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E6" w:rsidRDefault="003414E6">
      <w:pPr>
        <w:jc w:val="center"/>
      </w:pPr>
    </w:p>
    <w:p w:rsidR="003414E6" w:rsidRDefault="003414E6">
      <w:pPr>
        <w:jc w:val="center"/>
      </w:pPr>
    </w:p>
    <w:p w:rsidR="0067719F" w:rsidRDefault="0067719F">
      <w:pPr>
        <w:jc w:val="center"/>
      </w:pPr>
      <w:r>
        <w:t>OMB SUPPORTING STATEMENT</w:t>
      </w:r>
    </w:p>
    <w:p w:rsidR="0067719F" w:rsidRDefault="0067719F"/>
    <w:p w:rsidR="003414E6" w:rsidRDefault="003414E6"/>
    <w:p w:rsidR="0067719F" w:rsidP="007919B5" w:rsidRDefault="0037408C">
      <w:r>
        <w:t>OPM Form 1530 –</w:t>
      </w:r>
      <w:r>
        <w:t xml:space="preserve"> </w:t>
      </w:r>
      <w:r>
        <w:t>Report of Medical Examination of Person Electing Survivor Benefits under</w:t>
      </w:r>
      <w:r w:rsidR="007919B5">
        <w:br/>
      </w:r>
      <w:r>
        <w:t xml:space="preserve"> </w:t>
      </w:r>
      <w:r w:rsidR="007919B5">
        <w:tab/>
      </w:r>
      <w:r w:rsidR="007919B5">
        <w:tab/>
        <w:t xml:space="preserve">        </w:t>
      </w:r>
      <w:bookmarkStart w:name="_GoBack" w:id="0"/>
      <w:bookmarkEnd w:id="0"/>
      <w:r>
        <w:t>the Civil Service Retirement System</w:t>
      </w:r>
    </w:p>
    <w:p w:rsidR="0067719F" w:rsidRDefault="0067719F"/>
    <w:p w:rsidR="00A86050" w:rsidRDefault="00A86050"/>
    <w:p w:rsidR="00A86050" w:rsidP="00A86050" w:rsidRDefault="00A86050">
      <w:pPr>
        <w:numPr>
          <w:ilvl w:val="0"/>
          <w:numId w:val="3"/>
        </w:numPr>
      </w:pPr>
      <w:r>
        <w:t>Justification</w:t>
      </w:r>
    </w:p>
    <w:p w:rsidR="00A86050" w:rsidP="00A86050" w:rsidRDefault="00A86050"/>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p w:rsidRPr="00DF085B" w:rsidR="00A86050" w:rsidP="00A86050" w:rsidRDefault="008B6E60">
      <w:pPr>
        <w:ind w:left="720"/>
      </w:pPr>
      <w:r>
        <w:t xml:space="preserve">Title 5, </w:t>
      </w:r>
      <w:smartTag w:uri="urn:schemas-microsoft-com:office:smarttags" w:element="country-region">
        <w:smartTag w:uri="urn:schemas-microsoft-com:office:smarttags" w:element="place">
          <w:r>
            <w:t>U. S.</w:t>
          </w:r>
        </w:smartTag>
      </w:smartTag>
      <w:r>
        <w:t xml:space="preserve"> Code, Section 8339(k)(1) provides that an employee in good health who is applying for a non-disability annuity, may elect at the time of retirement, a reduced annuity in order to provide a survivor benefit for a person who has an insurable interest. An insurable interest exists if the survivor is a person who would suffer financially because of the death of the retiree.</w:t>
      </w:r>
      <w:r w:rsidRPr="00DF085B" w:rsidR="00F049D0">
        <w:t xml:space="preserve">  </w:t>
      </w:r>
      <w:r w:rsidRPr="00DF085B" w:rsidR="0067719F">
        <w:t xml:space="preserve"> </w:t>
      </w:r>
    </w:p>
    <w:p w:rsidRPr="00DF085B" w:rsidR="00A86050" w:rsidP="00A86050" w:rsidRDefault="00A86050">
      <w:pPr>
        <w:ind w:left="360"/>
      </w:pPr>
    </w:p>
    <w:p w:rsidRPr="00DF085B" w:rsidR="00A86050" w:rsidP="00A86050" w:rsidRDefault="00A86050">
      <w:pPr>
        <w:pStyle w:val="ListParagraph"/>
        <w:numPr>
          <w:ilvl w:val="0"/>
          <w:numId w:val="4"/>
        </w:numPr>
        <w:shd w:val="pct25" w:color="auto" w:fill="auto"/>
        <w:tabs>
          <w:tab w:val="left" w:pos="-720"/>
        </w:tabs>
        <w:suppressAutoHyphens/>
        <w:contextualSpacing/>
      </w:pPr>
      <w:r w:rsidRPr="00DF085B">
        <w:fldChar w:fldCharType="begin"/>
      </w:r>
      <w:r w:rsidRPr="00DF085B">
        <w:instrText>ADVANCE \R 0.95</w:instrText>
      </w:r>
      <w:r w:rsidRPr="00DF085B">
        <w:fldChar w:fldCharType="end"/>
      </w:r>
      <w:r w:rsidRPr="00DF085B">
        <w:t xml:space="preserve">Indicate how, by whom, and for what purpose the information is to be used.  Except for a new collection, indicate the actual use the agency has made of the information received from the current collection. </w:t>
      </w:r>
    </w:p>
    <w:p w:rsidRPr="00DF085B" w:rsidR="00A86050" w:rsidP="00A86050" w:rsidRDefault="00A86050"/>
    <w:p w:rsidRPr="00DF085B" w:rsidR="0067719F" w:rsidP="00392238" w:rsidRDefault="00B4278A">
      <w:pPr>
        <w:ind w:left="720"/>
      </w:pPr>
      <w:r>
        <w:t>When an employee elects an insurable interest survivor annuity, the Office of Personnel Management requires that the applicant provide evidence of a recent medical examination to verify their good health. OPM Form 1530 is designed to collect information from both the applicant and the applicant’s physician regarding the applicant’s health.  This information is used to determine whether the insurable interest survivor benefits election can be allowed.  Specifically, solicitation of this information is also authorized by the Federal Employees Retirement System (Chapter 84, title 5, United States Code). The Privacy Act Statement has been revised due to a general systematic review by our Chief Privacy Officer and there are editorial changes to the display of OMB nomenclature. The Public Burden Statement meets the requirements of 5 CFR 1320.8(b)(3).</w:t>
      </w:r>
      <w:r w:rsidRPr="00DF085B" w:rsidR="009A6C84">
        <w:t xml:space="preserve"> </w:t>
      </w:r>
    </w:p>
    <w:p w:rsidRPr="00DF085B" w:rsidR="0067719F" w:rsidRDefault="0067719F"/>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F085B">
        <w:tab/>
      </w:r>
    </w:p>
    <w:p w:rsidRPr="00DF085B" w:rsidR="006B37C6" w:rsidP="006B37C6" w:rsidRDefault="006B37C6">
      <w:pPr>
        <w:ind w:left="720"/>
      </w:pPr>
    </w:p>
    <w:p w:rsidRPr="001C1CC2" w:rsidR="001C1CC2" w:rsidP="001C1CC2" w:rsidRDefault="001C1CC2">
      <w:pPr>
        <w:ind w:left="792"/>
        <w:rPr>
          <w:szCs w:val="24"/>
        </w:rPr>
      </w:pPr>
      <w:r w:rsidRPr="001C1CC2">
        <w:rPr>
          <w:szCs w:val="24"/>
        </w:rPr>
        <w:t>The information collected is detailed and can only be obtained from the respondents.  New methods of information technology would do little to reduce the burden on the respondents.  However, this form is available in a pdf fillable format on our website and meets our GPEA requirements.</w:t>
      </w:r>
    </w:p>
    <w:p w:rsidRPr="00DF085B" w:rsidR="0067719F" w:rsidP="002B1643" w:rsidRDefault="0067719F">
      <w:pPr>
        <w:ind w:left="720"/>
      </w:pPr>
    </w:p>
    <w:p w:rsidRPr="00DF085B" w:rsidR="002B1643" w:rsidP="002B1643" w:rsidRDefault="002B1643">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 xml:space="preserve">Describe efforts to identify duplication.  Show specifically why any similar information already available cannot be used or modified for use for the purposes described in Item 2 above. </w:t>
      </w:r>
    </w:p>
    <w:p w:rsidRPr="00DF085B" w:rsidR="006B37C6" w:rsidP="006B37C6" w:rsidRDefault="006B37C6">
      <w:pPr>
        <w:ind w:firstLine="720"/>
      </w:pPr>
    </w:p>
    <w:p w:rsidRPr="00DF085B" w:rsidR="002B1643" w:rsidP="0047295A" w:rsidRDefault="00A96BD3">
      <w:pPr>
        <w:ind w:left="720"/>
      </w:pPr>
      <w:r>
        <w:t>Applications are filed individually.  There is no duplication because the respondents initiate the collection.</w:t>
      </w:r>
      <w:r w:rsidRPr="00DF085B" w:rsidR="002B1643">
        <w:t xml:space="preserve"> </w:t>
      </w:r>
    </w:p>
    <w:p w:rsidRPr="00DF085B" w:rsidR="006B37C6" w:rsidP="006B37C6" w:rsidRDefault="006B37C6">
      <w:pPr>
        <w:ind w:firstLine="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If the collection of information impacts small businesses or other small entities (Item 5 of OMB Form 83-I), describe any methods used to minimize.</w:t>
      </w:r>
    </w:p>
    <w:p w:rsidRPr="00DF085B" w:rsidR="006B37C6" w:rsidP="006B37C6" w:rsidRDefault="006B37C6">
      <w:pPr>
        <w:ind w:left="720"/>
      </w:pPr>
    </w:p>
    <w:p w:rsidRPr="00DF085B" w:rsidR="0067719F" w:rsidP="006B37C6" w:rsidRDefault="007E58A2">
      <w:pPr>
        <w:ind w:left="720"/>
      </w:pPr>
      <w:r>
        <w:t>Information is not collected from small businesses.</w:t>
      </w:r>
    </w:p>
    <w:p w:rsidRPr="00DF085B" w:rsidR="006B37C6" w:rsidP="006B37C6" w:rsidRDefault="006B37C6">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the consequence to Federal/DHS program or policy activities if the collection of information is not conducted, or is conducted less frequently, as well as any technical or legal obstacles to reducing burden.</w:t>
      </w:r>
    </w:p>
    <w:p w:rsidRPr="00DF085B" w:rsidR="0067719F" w:rsidRDefault="0067719F"/>
    <w:p w:rsidRPr="00DF085B" w:rsidR="006B37C6" w:rsidP="00E00A7D" w:rsidRDefault="009A36C9">
      <w:pPr>
        <w:ind w:left="720"/>
      </w:pPr>
      <w:r>
        <w:t>The collection of this information is performed as needed to grant the survivor reduction to eligible persons.  Less frequent collection would deny this benefit which is provided by law.</w:t>
      </w:r>
      <w:r w:rsidRPr="00DF085B" w:rsidR="00E00A7D">
        <w:t xml:space="preserve">  </w:t>
      </w:r>
    </w:p>
    <w:p w:rsidRPr="00DF085B" w:rsidR="00CB0B42" w:rsidP="006B37C6"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Explain any special circumstances that would cause an information collection to be conducted in a manner: </w:t>
      </w:r>
    </w:p>
    <w:p w:rsidRPr="00DF085B" w:rsidR="00CB0B42" w:rsidP="00CB0B42" w:rsidRDefault="00CB0B42">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CB0B42" w:rsidP="00CB0B42" w:rsidRDefault="00CB0B42">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CB0B42" w:rsidP="00CB0B42" w:rsidRDefault="00CB0B42">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CB0B42" w:rsidP="00CB0B42" w:rsidRDefault="00CB0B42">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CB0B42" w:rsidP="00CB0B42" w:rsidRDefault="00CB0B42">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CB0B42" w:rsidP="00CB0B42" w:rsidRDefault="00CB0B42">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CB0B42" w:rsidP="00CB0B42" w:rsidRDefault="00CB0B42">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CB0B42" w:rsidP="00CB0B42" w:rsidRDefault="00CB0B42">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Pr="00DF085B" w:rsidR="00CB0B42" w:rsidP="00CB0B42" w:rsidRDefault="00CB0B42">
      <w:pPr>
        <w:ind w:left="720"/>
      </w:pPr>
      <w:r w:rsidRPr="00DF085B">
        <w:br/>
      </w:r>
      <w:r w:rsidR="00946DA7">
        <w:t xml:space="preserve">There are no special circumstances that would cause this collection to be collected in the </w:t>
      </w:r>
      <w:proofErr w:type="gramStart"/>
      <w:r w:rsidR="00946DA7">
        <w:t>aforementioned manner</w:t>
      </w:r>
      <w:proofErr w:type="gramEnd"/>
      <w:r w:rsidR="00946DA7">
        <w:t>. This collection is consistent with the guidelines of 5 CFR 1320.6.</w:t>
      </w:r>
    </w:p>
    <w:p w:rsidRPr="00DF085B" w:rsidR="00CB0B42" w:rsidP="00CB0B42"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Federal Register Notice: </w:t>
      </w:r>
      <w:r w:rsidRPr="00DF085B">
        <w:fldChar w:fldCharType="begin"/>
      </w:r>
      <w:r w:rsidRPr="00DF085B">
        <w:instrText>ADVANCE \R 0.95</w:instrText>
      </w:r>
      <w:r w:rsidRPr="00DF085B">
        <w:fldChar w:fldCharType="end"/>
      </w:r>
      <w:r w:rsidRPr="00DF085B">
        <w:t xml:space="preserve">Provide a copy and identify the date and page number of </w:t>
      </w:r>
      <w:r w:rsidR="00946DA7">
        <w:t xml:space="preserve">the </w:t>
      </w:r>
      <w:r w:rsidRPr="00DF085B">
        <w:t>publi</w:t>
      </w:r>
      <w:r w:rsidR="00946DA7">
        <w:t>shing</w:t>
      </w:r>
      <w:r w:rsidRPr="00DF085B">
        <w:t xml:space="preserve"> in the Federal Register of the agency’s notice soliciting comments on the information collection prior to submission to OMB</w:t>
      </w:r>
    </w:p>
    <w:p w:rsidRPr="008A0DCF" w:rsidR="00CB0B42" w:rsidP="00CB0B42" w:rsidRDefault="000B1F23">
      <w:pPr>
        <w:ind w:left="720"/>
      </w:pPr>
      <w:r w:rsidRPr="00DF085B">
        <w:lastRenderedPageBreak/>
        <w:br/>
      </w:r>
      <w:r w:rsidR="00F9234F">
        <w:t xml:space="preserve">A notice of proposed information collection was published in the </w:t>
      </w:r>
      <w:r w:rsidRPr="0003604C" w:rsidR="00F9234F">
        <w:rPr>
          <w:i/>
        </w:rPr>
        <w:t>Federal Register</w:t>
      </w:r>
      <w:r w:rsidR="00F9234F">
        <w:t xml:space="preserve"> on, April 13, 2020, giving persons outside the agency an opportunity to comment on the forms.  No comments were received.</w:t>
      </w:r>
    </w:p>
    <w:p w:rsidRPr="008A0DCF" w:rsidR="00CB0B42" w:rsidP="0047295A" w:rsidRDefault="00CB0B42"/>
    <w:p w:rsidRPr="008A0DCF" w:rsidR="00CB0B42" w:rsidP="00CB0B42" w:rsidRDefault="00CB0B42">
      <w:pPr>
        <w:ind w:left="720"/>
      </w:pPr>
    </w:p>
    <w:p w:rsidRPr="008A0DCF" w:rsidR="00CB0B42" w:rsidP="00CB0B42" w:rsidRDefault="00CB0B42">
      <w:pPr>
        <w:pStyle w:val="ListParagraph"/>
        <w:numPr>
          <w:ilvl w:val="0"/>
          <w:numId w:val="4"/>
        </w:numPr>
        <w:shd w:val="pct25" w:color="auto" w:fill="auto"/>
        <w:tabs>
          <w:tab w:val="left" w:pos="-720"/>
        </w:tabs>
        <w:suppressAutoHyphens/>
        <w:ind w:right="-288"/>
        <w:contextualSpacing/>
      </w:pPr>
      <w:r w:rsidRPr="008A0DCF">
        <w:t>Explain any decision to provide any payment or gift to respondents, other than remuneration of contractors or grantees.</w:t>
      </w:r>
    </w:p>
    <w:p w:rsidRPr="008A0DCF" w:rsidR="002B1643" w:rsidP="006B37C6" w:rsidRDefault="002B1643">
      <w:pPr>
        <w:ind w:left="720"/>
      </w:pPr>
    </w:p>
    <w:p w:rsidRPr="008A0DCF" w:rsidR="006B37C6" w:rsidP="006B37C6" w:rsidRDefault="00CA78F1">
      <w:pPr>
        <w:ind w:left="720"/>
      </w:pPr>
      <w:r>
        <w:t>No payment or gift is provided to these respondents.</w:t>
      </w:r>
    </w:p>
    <w:p w:rsidRPr="008A0DCF" w:rsidR="002B1643" w:rsidP="006B37C6" w:rsidRDefault="002B1643">
      <w:pPr>
        <w:ind w:left="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right="-288"/>
        <w:contextualSpacing/>
      </w:pPr>
      <w:r w:rsidRPr="008A0DCF">
        <w:t xml:space="preserve">Describe any assurance of confidentiality provided to respondents and the basis for the assurance in statute, regulation, or agency policy.  </w:t>
      </w:r>
    </w:p>
    <w:p w:rsidRPr="008A0DCF" w:rsidR="00CB0B42" w:rsidP="00CB0B42" w:rsidRDefault="00CB0B42">
      <w:pPr>
        <w:pStyle w:val="ListParagraph"/>
        <w:ind w:right="-288"/>
      </w:pPr>
    </w:p>
    <w:p w:rsidRPr="008A0DCF" w:rsidR="00CB0B42" w:rsidP="00CB0B42" w:rsidRDefault="00480C78">
      <w:pPr>
        <w:ind w:right="-288" w:firstLine="720"/>
      </w:pPr>
      <w:r>
        <w:t xml:space="preserve">This information collection is protected by the Privacy Act of 1974 and OPM regulations </w:t>
      </w:r>
      <w:r>
        <w:br/>
        <w:t xml:space="preserve">          </w:t>
      </w:r>
      <w:proofErr w:type="gramStart"/>
      <w:r>
        <w:t xml:space="preserve">   </w:t>
      </w:r>
      <w:r>
        <w:t>(</w:t>
      </w:r>
      <w:proofErr w:type="gramEnd"/>
      <w:r>
        <w:t xml:space="preserve">5 </w:t>
      </w:r>
      <w:smartTag w:uri="urn:schemas-microsoft-com:office:smarttags" w:element="stockticker">
        <w:r>
          <w:t>CFR</w:t>
        </w:r>
      </w:smartTag>
      <w:r>
        <w:t xml:space="preserve"> 831.106 and 5 </w:t>
      </w:r>
      <w:smartTag w:uri="urn:schemas-microsoft-com:office:smarttags" w:element="stockticker">
        <w:r>
          <w:t>CFR</w:t>
        </w:r>
      </w:smartTag>
      <w:r>
        <w:t xml:space="preserve"> 841.108).  The routine uses for disclosure appear in the </w:t>
      </w:r>
      <w:r w:rsidRPr="0003604C">
        <w:rPr>
          <w:i/>
        </w:rPr>
        <w:t>Federal</w:t>
      </w:r>
      <w:r>
        <w:rPr>
          <w:i/>
        </w:rPr>
        <w:br/>
        <w:t xml:space="preserve">           </w:t>
      </w:r>
      <w:r w:rsidRPr="0003604C">
        <w:rPr>
          <w:i/>
        </w:rPr>
        <w:t xml:space="preserve"> Register</w:t>
      </w:r>
      <w:r>
        <w:t xml:space="preserve"> for OPM/Central-1 (73 FR 15013, </w:t>
      </w:r>
      <w:r w:rsidRPr="00867167">
        <w:rPr>
          <w:i/>
        </w:rPr>
        <w:t>et seq</w:t>
      </w:r>
      <w:r>
        <w:t xml:space="preserve">., </w:t>
      </w:r>
      <w:smartTag w:uri="urn:schemas-microsoft-com:office:smarttags" w:element="date">
        <w:smartTagPr>
          <w:attr w:name="Month" w:val="3"/>
          <w:attr w:name="Day" w:val="20"/>
          <w:attr w:name="Year" w:val="2008"/>
        </w:smartTagPr>
        <w:r>
          <w:t>March 20, 2008</w:t>
        </w:r>
      </w:smartTag>
      <w:r>
        <w:t>).</w:t>
      </w:r>
    </w:p>
    <w:p w:rsidRPr="008A0DCF" w:rsidR="00CB0B42" w:rsidP="00CB0B42" w:rsidRDefault="00CB0B42">
      <w:pPr>
        <w:ind w:right="-288" w:firstLine="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contextualSpacing/>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A0DCF" w:rsidR="00CB0B42" w:rsidP="00CB0B42" w:rsidRDefault="00C754AE">
      <w:pPr>
        <w:spacing w:before="240"/>
        <w:ind w:left="720"/>
      </w:pPr>
      <w:r>
        <w:t>The information collection does not include questions regarding sexual behavior and attitudes or religious beliefs, and other matters that are commonly considered private.  However, the collection does include questions about the health and physical condition of the applicant because these matters are fundamental to the decision as to whether to allow the insurable interest survivor election.</w:t>
      </w:r>
      <w:r w:rsidRPr="008A0DCF" w:rsidR="00CB0B42">
        <w:t xml:space="preserve"> </w:t>
      </w:r>
    </w:p>
    <w:p w:rsidRPr="008A0DCF" w:rsidR="00CB0B42" w:rsidP="00CB0B42" w:rsidRDefault="00CB0B42">
      <w:pPr>
        <w:ind w:right="-288" w:firstLine="720"/>
      </w:pPr>
    </w:p>
    <w:p w:rsidRPr="008A0DCF" w:rsidR="00CB0B42" w:rsidP="00CB0B42" w:rsidRDefault="00CB0B42">
      <w:pPr>
        <w:pStyle w:val="ListParagraph"/>
        <w:shd w:val="pct25" w:color="auto" w:fill="FFFFFF"/>
        <w:tabs>
          <w:tab w:val="left" w:pos="-720"/>
        </w:tabs>
        <w:suppressAutoHyphens/>
        <w:ind w:left="360"/>
      </w:pPr>
      <w:r w:rsidRPr="008A0DCF">
        <w:t>12. Provide estimates of the hour burden of the collection of information.  The statement should:</w:t>
      </w:r>
    </w:p>
    <w:p w:rsidRPr="008A0DCF" w:rsidR="00CB0B42" w:rsidP="00CB0B42" w:rsidRDefault="00CB0B42">
      <w:pPr>
        <w:pStyle w:val="ListParagraph"/>
        <w:tabs>
          <w:tab w:val="left" w:pos="-720"/>
        </w:tabs>
        <w:suppressAutoHyphens/>
        <w:ind w:left="360"/>
      </w:pPr>
    </w:p>
    <w:p w:rsidRPr="008A0DCF" w:rsidR="00CB0B42" w:rsidP="00CB0B42" w:rsidRDefault="00CB0B42">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CB0B42" w:rsidP="00CB0B42" w:rsidRDefault="00CB0B42">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CB0B42" w:rsidP="00C1773B" w:rsidRDefault="00CB0B42">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FA7F14" w:rsidR="00FA7F14" w:rsidP="00887B2E" w:rsidRDefault="00887B2E">
      <w:pPr>
        <w:ind w:left="792"/>
        <w:rPr>
          <w:szCs w:val="24"/>
        </w:rPr>
      </w:pPr>
      <w:r>
        <w:br/>
      </w:r>
      <w:r>
        <w:rPr>
          <w:szCs w:val="24"/>
        </w:rPr>
        <w:br/>
      </w:r>
      <w:r w:rsidRPr="00FA7F14" w:rsidR="00FA7F14">
        <w:rPr>
          <w:szCs w:val="24"/>
        </w:rPr>
        <w:lastRenderedPageBreak/>
        <w:t>Approximately 500 annuitants apply to elect an insurable interest survivor annuity each year.  The form requires approximately one hour and 30 minutes to complete.  This includes the time needed to undergo a physical examination and enter the results on the form.  A burden of 750 hours is estimated and is not expected to vary substantially.</w:t>
      </w:r>
      <w:r w:rsidRPr="00FA7F14" w:rsidR="00FA7F14">
        <w:rPr>
          <w:szCs w:val="24"/>
        </w:rPr>
        <w:br/>
      </w:r>
    </w:p>
    <w:tbl>
      <w:tblPr>
        <w:tblStyle w:val="TableGrid"/>
        <w:tblW w:w="0" w:type="auto"/>
        <w:tblInd w:w="720" w:type="dxa"/>
        <w:tblLook w:val="04A0" w:firstRow="1" w:lastRow="0" w:firstColumn="1" w:lastColumn="0" w:noHBand="0" w:noVBand="1"/>
      </w:tblPr>
      <w:tblGrid>
        <w:gridCol w:w="1315"/>
        <w:gridCol w:w="986"/>
        <w:gridCol w:w="1553"/>
        <w:gridCol w:w="1452"/>
        <w:gridCol w:w="935"/>
        <w:gridCol w:w="1017"/>
        <w:gridCol w:w="1372"/>
      </w:tblGrid>
      <w:tr w:rsidRPr="00FA7F14" w:rsidR="00FA7F14" w:rsidTr="00FE4EF7">
        <w:tc>
          <w:tcPr>
            <w:tcW w:w="1866" w:type="dxa"/>
            <w:shd w:val="clear" w:color="auto" w:fill="D9D9D9" w:themeFill="background1" w:themeFillShade="D9"/>
          </w:tcPr>
          <w:p w:rsidRPr="00FA7F14" w:rsidR="00FA7F14" w:rsidP="00FA7F14" w:rsidRDefault="00FA7F14">
            <w:pPr>
              <w:contextualSpacing/>
              <w:rPr>
                <w:rFonts w:ascii="Arial" w:hAnsi="Arial" w:cs="Arial"/>
                <w:b/>
                <w:bCs/>
                <w:sz w:val="20"/>
              </w:rPr>
            </w:pPr>
            <w:r w:rsidRPr="00FA7F14">
              <w:rPr>
                <w:rFonts w:ascii="Arial" w:hAnsi="Arial" w:cs="Arial"/>
                <w:b/>
                <w:bCs/>
                <w:sz w:val="20"/>
              </w:rPr>
              <w:t>Form Name</w:t>
            </w:r>
          </w:p>
        </w:tc>
        <w:tc>
          <w:tcPr>
            <w:tcW w:w="1082" w:type="dxa"/>
            <w:shd w:val="clear" w:color="auto" w:fill="D9D9D9" w:themeFill="background1" w:themeFillShade="D9"/>
          </w:tcPr>
          <w:p w:rsidRPr="00FA7F14" w:rsidR="00FA7F14" w:rsidP="00FA7F14" w:rsidRDefault="00FA7F14">
            <w:pPr>
              <w:contextualSpacing/>
              <w:rPr>
                <w:szCs w:val="24"/>
              </w:rPr>
            </w:pPr>
            <w:r w:rsidRPr="00FA7F14">
              <w:rPr>
                <w:rFonts w:ascii="Arial" w:hAnsi="Arial" w:cs="Arial"/>
                <w:b/>
                <w:bCs/>
                <w:sz w:val="20"/>
              </w:rPr>
              <w:t>Form Number</w:t>
            </w:r>
          </w:p>
        </w:tc>
        <w:tc>
          <w:tcPr>
            <w:tcW w:w="2048" w:type="dxa"/>
            <w:shd w:val="clear" w:color="auto" w:fill="D9D9D9" w:themeFill="background1" w:themeFillShade="D9"/>
          </w:tcPr>
          <w:p w:rsidRPr="00FA7F14" w:rsidR="00FA7F14" w:rsidP="00FA7F14" w:rsidRDefault="00FA7F14">
            <w:pPr>
              <w:contextualSpacing/>
              <w:rPr>
                <w:szCs w:val="24"/>
              </w:rPr>
            </w:pPr>
            <w:r w:rsidRPr="00FA7F14">
              <w:rPr>
                <w:rFonts w:ascii="Arial" w:hAnsi="Arial" w:cs="Arial"/>
                <w:b/>
                <w:bCs/>
                <w:sz w:val="20"/>
              </w:rPr>
              <w:t>No, of Respondents</w:t>
            </w:r>
          </w:p>
        </w:tc>
        <w:tc>
          <w:tcPr>
            <w:tcW w:w="2021" w:type="dxa"/>
            <w:shd w:val="clear" w:color="auto" w:fill="D9D9D9" w:themeFill="background1" w:themeFillShade="D9"/>
          </w:tcPr>
          <w:p w:rsidRPr="00FA7F14" w:rsidR="00FA7F14" w:rsidP="00FA7F14" w:rsidRDefault="00FA7F14">
            <w:pPr>
              <w:contextualSpacing/>
              <w:rPr>
                <w:szCs w:val="24"/>
              </w:rPr>
            </w:pPr>
            <w:r w:rsidRPr="00FA7F14">
              <w:rPr>
                <w:rFonts w:ascii="Arial" w:hAnsi="Arial" w:cs="Arial"/>
                <w:b/>
                <w:bCs/>
                <w:sz w:val="20"/>
              </w:rPr>
              <w:t>No. of Responses per Respondent</w:t>
            </w:r>
          </w:p>
        </w:tc>
        <w:tc>
          <w:tcPr>
            <w:tcW w:w="1068" w:type="dxa"/>
            <w:shd w:val="clear" w:color="auto" w:fill="D9D9D9" w:themeFill="background1" w:themeFillShade="D9"/>
          </w:tcPr>
          <w:p w:rsidRPr="00FA7F14" w:rsidR="00FA7F14" w:rsidP="00FA7F14" w:rsidRDefault="00FA7F14">
            <w:pPr>
              <w:contextualSpacing/>
              <w:rPr>
                <w:szCs w:val="24"/>
              </w:rPr>
            </w:pPr>
            <w:r w:rsidRPr="00FA7F14">
              <w:rPr>
                <w:rFonts w:ascii="Arial" w:hAnsi="Arial" w:cs="Arial"/>
                <w:b/>
                <w:bCs/>
                <w:sz w:val="20"/>
              </w:rPr>
              <w:t>Total Annual Burden (in hours)</w:t>
            </w:r>
          </w:p>
        </w:tc>
        <w:tc>
          <w:tcPr>
            <w:tcW w:w="1091" w:type="dxa"/>
            <w:shd w:val="clear" w:color="auto" w:fill="D9D9D9" w:themeFill="background1" w:themeFillShade="D9"/>
          </w:tcPr>
          <w:p w:rsidRPr="00FA7F14" w:rsidR="00FA7F14" w:rsidP="00FA7F14" w:rsidRDefault="00FA7F14">
            <w:pPr>
              <w:contextualSpacing/>
              <w:rPr>
                <w:szCs w:val="24"/>
              </w:rPr>
            </w:pPr>
            <w:r w:rsidRPr="00FA7F14">
              <w:rPr>
                <w:rFonts w:ascii="Arial" w:hAnsi="Arial" w:cs="Arial"/>
                <w:b/>
                <w:bCs/>
                <w:sz w:val="20"/>
              </w:rPr>
              <w:t>Average Hourly Wage Rate</w:t>
            </w:r>
          </w:p>
        </w:tc>
        <w:tc>
          <w:tcPr>
            <w:tcW w:w="894" w:type="dxa"/>
            <w:shd w:val="clear" w:color="auto" w:fill="D9D9D9" w:themeFill="background1" w:themeFillShade="D9"/>
          </w:tcPr>
          <w:p w:rsidRPr="00FA7F14" w:rsidR="00FA7F14" w:rsidP="00FA7F14" w:rsidRDefault="00FA7F14">
            <w:pPr>
              <w:contextualSpacing/>
              <w:rPr>
                <w:rFonts w:ascii="Arial" w:hAnsi="Arial" w:cs="Arial"/>
                <w:b/>
                <w:bCs/>
                <w:sz w:val="20"/>
              </w:rPr>
            </w:pPr>
            <w:r w:rsidRPr="00FA7F14">
              <w:rPr>
                <w:rFonts w:ascii="Arial" w:hAnsi="Arial" w:cs="Arial"/>
                <w:b/>
                <w:bCs/>
                <w:sz w:val="20"/>
              </w:rPr>
              <w:t>Total Annual Respondent Cost</w:t>
            </w:r>
          </w:p>
        </w:tc>
      </w:tr>
      <w:tr w:rsidRPr="00FA7F14" w:rsidR="00FA7F14" w:rsidTr="00FE4EF7">
        <w:tc>
          <w:tcPr>
            <w:tcW w:w="1866" w:type="dxa"/>
          </w:tcPr>
          <w:p w:rsidRPr="00FA7F14" w:rsidR="00FA7F14" w:rsidP="00FA7F14" w:rsidRDefault="00FA7F14">
            <w:pPr>
              <w:contextualSpacing/>
              <w:rPr>
                <w:sz w:val="20"/>
              </w:rPr>
            </w:pPr>
            <w:r w:rsidRPr="00FA7F14">
              <w:rPr>
                <w:sz w:val="20"/>
              </w:rPr>
              <w:t>Report of Medical Examination of Person Electing Survivor Benefits</w:t>
            </w:r>
          </w:p>
        </w:tc>
        <w:tc>
          <w:tcPr>
            <w:tcW w:w="1082" w:type="dxa"/>
          </w:tcPr>
          <w:p w:rsidRPr="00FA7F14" w:rsidR="00FA7F14" w:rsidP="00FA7F14" w:rsidRDefault="00FA7F14">
            <w:pPr>
              <w:contextualSpacing/>
              <w:rPr>
                <w:sz w:val="20"/>
              </w:rPr>
            </w:pPr>
            <w:r w:rsidRPr="00FA7F14">
              <w:rPr>
                <w:sz w:val="20"/>
              </w:rPr>
              <w:t>OPM 1530</w:t>
            </w:r>
          </w:p>
        </w:tc>
        <w:tc>
          <w:tcPr>
            <w:tcW w:w="2048" w:type="dxa"/>
          </w:tcPr>
          <w:p w:rsidRPr="00FA7F14" w:rsidR="00FA7F14" w:rsidP="00FA7F14" w:rsidRDefault="00FA7F14">
            <w:pPr>
              <w:contextualSpacing/>
              <w:jc w:val="right"/>
              <w:rPr>
                <w:sz w:val="20"/>
              </w:rPr>
            </w:pPr>
            <w:r w:rsidRPr="00FA7F14">
              <w:rPr>
                <w:sz w:val="20"/>
              </w:rPr>
              <w:t>500</w:t>
            </w:r>
          </w:p>
        </w:tc>
        <w:tc>
          <w:tcPr>
            <w:tcW w:w="2021" w:type="dxa"/>
          </w:tcPr>
          <w:p w:rsidRPr="00FA7F14" w:rsidR="00FA7F14" w:rsidP="00FA7F14" w:rsidRDefault="00FA7F14">
            <w:pPr>
              <w:contextualSpacing/>
              <w:jc w:val="right"/>
              <w:rPr>
                <w:sz w:val="20"/>
              </w:rPr>
            </w:pPr>
            <w:r w:rsidRPr="00FA7F14">
              <w:rPr>
                <w:sz w:val="20"/>
              </w:rPr>
              <w:t>1</w:t>
            </w:r>
          </w:p>
        </w:tc>
        <w:tc>
          <w:tcPr>
            <w:tcW w:w="1068" w:type="dxa"/>
          </w:tcPr>
          <w:p w:rsidRPr="00FA7F14" w:rsidR="00FA7F14" w:rsidP="00FA7F14" w:rsidRDefault="00FA7F14">
            <w:pPr>
              <w:contextualSpacing/>
              <w:jc w:val="right"/>
              <w:rPr>
                <w:sz w:val="20"/>
              </w:rPr>
            </w:pPr>
            <w:r w:rsidRPr="00FA7F14">
              <w:rPr>
                <w:sz w:val="20"/>
              </w:rPr>
              <w:t>1.5 hours</w:t>
            </w:r>
          </w:p>
        </w:tc>
        <w:tc>
          <w:tcPr>
            <w:tcW w:w="1091" w:type="dxa"/>
          </w:tcPr>
          <w:p w:rsidRPr="00FA7F14" w:rsidR="00FA7F14" w:rsidP="00FA7F14" w:rsidRDefault="00FA7F14">
            <w:pPr>
              <w:contextualSpacing/>
              <w:jc w:val="right"/>
              <w:rPr>
                <w:sz w:val="20"/>
              </w:rPr>
            </w:pPr>
            <w:r w:rsidRPr="00FA7F14">
              <w:rPr>
                <w:sz w:val="20"/>
              </w:rPr>
              <w:t>$10.75</w:t>
            </w:r>
          </w:p>
        </w:tc>
        <w:tc>
          <w:tcPr>
            <w:tcW w:w="894" w:type="dxa"/>
          </w:tcPr>
          <w:p w:rsidRPr="00FA7F14" w:rsidR="00FA7F14" w:rsidP="00FA7F14" w:rsidRDefault="00FA7F14">
            <w:pPr>
              <w:contextualSpacing/>
              <w:jc w:val="right"/>
              <w:rPr>
                <w:sz w:val="20"/>
              </w:rPr>
            </w:pPr>
            <w:r w:rsidRPr="00FA7F14">
              <w:rPr>
                <w:sz w:val="20"/>
              </w:rPr>
              <w:t>$6,718.75</w:t>
            </w:r>
          </w:p>
        </w:tc>
      </w:tr>
    </w:tbl>
    <w:p w:rsidRPr="00FA7F14" w:rsidR="00FA7F14" w:rsidP="00FA7F14" w:rsidRDefault="00FA7F14">
      <w:pPr>
        <w:ind w:left="720"/>
        <w:contextualSpacing/>
        <w:rPr>
          <w:szCs w:val="24"/>
        </w:rPr>
      </w:pPr>
    </w:p>
    <w:p w:rsidR="009E45C1" w:rsidP="00FA7F14" w:rsidRDefault="009E45C1">
      <w:pPr>
        <w:ind w:left="720"/>
      </w:pPr>
    </w:p>
    <w:p w:rsidR="0047295A" w:rsidP="009E45C1" w:rsidRDefault="00250221">
      <w:r>
        <w:t xml:space="preserve">            </w:t>
      </w:r>
      <w:r w:rsidR="002C5306">
        <w:t>The estimated Total Annual Respondent Cost is $</w:t>
      </w:r>
      <w:r w:rsidR="00FA7F14">
        <w:t>6,718.75</w:t>
      </w:r>
      <w:r w:rsidR="002C5306">
        <w:t>.</w:t>
      </w:r>
    </w:p>
    <w:p w:rsidR="00250221" w:rsidP="009E45C1" w:rsidRDefault="00250221"/>
    <w:p w:rsidR="00900E7C" w:rsidP="00CB0B42" w:rsidRDefault="00900E7C">
      <w:pPr>
        <w:ind w:right="-288" w:firstLine="720"/>
      </w:pPr>
    </w:p>
    <w:p w:rsidRPr="00741061" w:rsidR="00C11A92" w:rsidP="00C11A92" w:rsidRDefault="00C11A9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pPr>
        <w:pStyle w:val="ListParagraph"/>
        <w:shd w:val="pct25" w:color="auto" w:fill="auto"/>
        <w:tabs>
          <w:tab w:val="left" w:pos="-720"/>
        </w:tabs>
        <w:suppressAutoHyphens/>
        <w:ind w:left="0"/>
      </w:pPr>
    </w:p>
    <w:p w:rsidRPr="00741061" w:rsidR="00C11A92" w:rsidP="00C11A92" w:rsidRDefault="00C11A92">
      <w:pPr>
        <w:pStyle w:val="ListParagraph"/>
        <w:shd w:val="pct25" w:color="auto" w:fill="auto"/>
        <w:tabs>
          <w:tab w:val="left" w:pos="-720"/>
          <w:tab w:val="left" w:pos="810"/>
        </w:tabs>
        <w:suppressAutoHyphens/>
        <w:ind w:left="0"/>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8A0DCF" w:rsidR="00C11A92" w:rsidP="00D4209F" w:rsidRDefault="00546592">
      <w:pPr>
        <w:spacing w:before="240"/>
        <w:ind w:left="720"/>
      </w:pPr>
      <w:r>
        <w:lastRenderedPageBreak/>
        <w:t>A physician’s report is required to document the state of the applicant’s health.  There is no way to estimate the cost to the respondent because the respondent may or may not have had a recent physical examination on which to base the physician’s report.</w:t>
      </w:r>
    </w:p>
    <w:p w:rsidR="00C11A92" w:rsidP="00C11A92" w:rsidRDefault="00C11A92">
      <w:pPr>
        <w:spacing w:before="240"/>
        <w:ind w:firstLine="720"/>
      </w:pPr>
    </w:p>
    <w:p w:rsidR="00C11A92" w:rsidP="00C11A92" w:rsidRDefault="00C11A92">
      <w:p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C11A92" w:rsidP="00611CDB" w:rsidRDefault="00887B2E">
      <w:pPr>
        <w:spacing w:before="240"/>
        <w:ind w:left="720"/>
      </w:pPr>
      <w:r>
        <w:t>The annualized cost to the Federal government is $24,150.  This cost includes employee salary hours devoted to the program, forms cost, and overhead.</w:t>
      </w:r>
      <w:r w:rsidR="00D4209F">
        <w:t xml:space="preserve">  </w:t>
      </w:r>
    </w:p>
    <w:p w:rsidR="00CB0B42" w:rsidP="006B37C6" w:rsidRDefault="00CB0B4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rsidRDefault="00611CDB">
      <w:pPr>
        <w:ind w:left="720"/>
      </w:pPr>
    </w:p>
    <w:p w:rsidRPr="00DF085B" w:rsidR="00C11A92" w:rsidP="00900E7C" w:rsidRDefault="00A92425">
      <w:pPr>
        <w:ind w:firstLine="720"/>
      </w:pPr>
      <w:r>
        <w:t>There is no change to the respondent burden.</w:t>
      </w:r>
    </w:p>
    <w:p w:rsidRPr="00DF085B" w:rsidR="00C11A92" w:rsidP="006B37C6" w:rsidRDefault="00C11A92">
      <w:pPr>
        <w:ind w:left="720"/>
      </w:pPr>
    </w:p>
    <w:p w:rsidRPr="00DF085B" w:rsidR="00C11A92" w:rsidP="00C11A92" w:rsidRDefault="00C11A92">
      <w:pPr>
        <w:pStyle w:val="ListParagraph"/>
        <w:shd w:val="pct25" w:color="auto" w:fill="auto"/>
        <w:tabs>
          <w:tab w:val="left" w:pos="-720"/>
        </w:tabs>
        <w:suppressAutoHyphens/>
        <w:ind w:left="0"/>
      </w:pPr>
      <w:r w:rsidRPr="00DF085B">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F085B" w:rsidR="00C11A92" w:rsidP="00C11A92" w:rsidRDefault="00C11A92">
      <w:pPr>
        <w:ind w:left="720"/>
      </w:pPr>
    </w:p>
    <w:p w:rsidRPr="00DF085B" w:rsidR="00C11A92" w:rsidP="00C11A92" w:rsidRDefault="00C11A92">
      <w:pPr>
        <w:ind w:left="720"/>
      </w:pPr>
      <w:r w:rsidRPr="00DF085B">
        <w:t>The results of this information collection are not published.</w:t>
      </w:r>
    </w:p>
    <w:p w:rsidR="00C11A92" w:rsidP="00C11A92"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pPr>
        <w:pStyle w:val="ListParagraph"/>
        <w:tabs>
          <w:tab w:val="left" w:pos="-720"/>
        </w:tabs>
        <w:suppressAutoHyphens/>
        <w:ind w:left="0"/>
      </w:pPr>
    </w:p>
    <w:p w:rsidRPr="008A0DCF" w:rsidR="00611CDB" w:rsidP="00611CDB" w:rsidRDefault="00611CDB">
      <w:pPr>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w:t>
      </w:r>
      <w:r w:rsidRPr="008A0DCF">
        <w:lastRenderedPageBreak/>
        <w:t>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w:t>
      </w:r>
      <w:r w:rsidRPr="008A0DCF" w:rsidR="00392238">
        <w:t>ia the revision date.</w:t>
      </w:r>
    </w:p>
    <w:p w:rsidRPr="00741061" w:rsidR="00C11A92" w:rsidP="00C11A92" w:rsidRDefault="00C11A92">
      <w:pPr>
        <w:pStyle w:val="ListParagraph"/>
        <w:tabs>
          <w:tab w:val="left" w:pos="-720"/>
        </w:tabs>
        <w:suppressAutoHyphens/>
        <w:ind w:left="0"/>
      </w:pPr>
    </w:p>
    <w:p w:rsidR="00C11A92" w:rsidP="0088417A" w:rsidRDefault="00C11A92">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Pr="00DF085B" w:rsidR="00C11A92" w:rsidP="00C11A92" w:rsidRDefault="00C11A92">
      <w:pPr>
        <w:spacing w:before="240"/>
        <w:ind w:firstLine="720"/>
      </w:pPr>
      <w:r w:rsidRPr="00DF085B">
        <w:t>There are no exceptions to the certification statement.</w:t>
      </w:r>
    </w:p>
    <w:p w:rsidR="0067719F" w:rsidRDefault="0067719F"/>
    <w:sectPr w:rsidR="0067719F">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5EB" w:rsidRDefault="00C615EB" w:rsidP="00C615EB">
      <w:r>
        <w:separator/>
      </w:r>
    </w:p>
  </w:endnote>
  <w:endnote w:type="continuationSeparator" w:id="0">
    <w:p w:rsidR="00C615EB" w:rsidRDefault="00C615EB" w:rsidP="00C6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5EB" w:rsidRDefault="00C615EB" w:rsidP="00C615EB">
      <w:r>
        <w:separator/>
      </w:r>
    </w:p>
  </w:footnote>
  <w:footnote w:type="continuationSeparator" w:id="0">
    <w:p w:rsidR="00C615EB" w:rsidRDefault="00C615EB" w:rsidP="00C6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082E"/>
    <w:multiLevelType w:val="hybridMultilevel"/>
    <w:tmpl w:val="0ABAD470"/>
    <w:lvl w:ilvl="0" w:tplc="3CCCDB28">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2"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4"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5"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3"/>
    <w:rsid w:val="00010A18"/>
    <w:rsid w:val="00015DF7"/>
    <w:rsid w:val="00045911"/>
    <w:rsid w:val="000809A2"/>
    <w:rsid w:val="000B1F23"/>
    <w:rsid w:val="000C76FA"/>
    <w:rsid w:val="001753D1"/>
    <w:rsid w:val="001C1CC2"/>
    <w:rsid w:val="001F7B17"/>
    <w:rsid w:val="00237649"/>
    <w:rsid w:val="002459DD"/>
    <w:rsid w:val="00246051"/>
    <w:rsid w:val="002464C2"/>
    <w:rsid w:val="00250221"/>
    <w:rsid w:val="002B1643"/>
    <w:rsid w:val="002C5306"/>
    <w:rsid w:val="002E15C4"/>
    <w:rsid w:val="00300EE8"/>
    <w:rsid w:val="003120F3"/>
    <w:rsid w:val="0032674C"/>
    <w:rsid w:val="003414E6"/>
    <w:rsid w:val="0034372F"/>
    <w:rsid w:val="0037408C"/>
    <w:rsid w:val="00392238"/>
    <w:rsid w:val="003A4EDB"/>
    <w:rsid w:val="004136CC"/>
    <w:rsid w:val="0047295A"/>
    <w:rsid w:val="00480C78"/>
    <w:rsid w:val="004A59B6"/>
    <w:rsid w:val="00546592"/>
    <w:rsid w:val="00570270"/>
    <w:rsid w:val="00591F3F"/>
    <w:rsid w:val="00611CDB"/>
    <w:rsid w:val="006632C4"/>
    <w:rsid w:val="0067719F"/>
    <w:rsid w:val="006B37C6"/>
    <w:rsid w:val="007438A8"/>
    <w:rsid w:val="007919B5"/>
    <w:rsid w:val="007E58A2"/>
    <w:rsid w:val="00810C0A"/>
    <w:rsid w:val="008114ED"/>
    <w:rsid w:val="008819AA"/>
    <w:rsid w:val="0088417A"/>
    <w:rsid w:val="00887B2E"/>
    <w:rsid w:val="008A0DCF"/>
    <w:rsid w:val="008B6B31"/>
    <w:rsid w:val="008B6E60"/>
    <w:rsid w:val="008C2BD2"/>
    <w:rsid w:val="00900E7C"/>
    <w:rsid w:val="00946DA7"/>
    <w:rsid w:val="009A269F"/>
    <w:rsid w:val="009A36C9"/>
    <w:rsid w:val="009A69F3"/>
    <w:rsid w:val="009A6C84"/>
    <w:rsid w:val="009E45C1"/>
    <w:rsid w:val="00A02CBE"/>
    <w:rsid w:val="00A1229D"/>
    <w:rsid w:val="00A14624"/>
    <w:rsid w:val="00A3690D"/>
    <w:rsid w:val="00A86050"/>
    <w:rsid w:val="00A92425"/>
    <w:rsid w:val="00A96BD3"/>
    <w:rsid w:val="00AB084A"/>
    <w:rsid w:val="00AD79F2"/>
    <w:rsid w:val="00B10F95"/>
    <w:rsid w:val="00B4278A"/>
    <w:rsid w:val="00B721CC"/>
    <w:rsid w:val="00C11A92"/>
    <w:rsid w:val="00C1773B"/>
    <w:rsid w:val="00C535AD"/>
    <w:rsid w:val="00C615EB"/>
    <w:rsid w:val="00C754AE"/>
    <w:rsid w:val="00CA78F1"/>
    <w:rsid w:val="00CB0B42"/>
    <w:rsid w:val="00D4209F"/>
    <w:rsid w:val="00D82F63"/>
    <w:rsid w:val="00DF085B"/>
    <w:rsid w:val="00E00A7D"/>
    <w:rsid w:val="00E26880"/>
    <w:rsid w:val="00EB0FB2"/>
    <w:rsid w:val="00ED158B"/>
    <w:rsid w:val="00F049D0"/>
    <w:rsid w:val="00F9234F"/>
    <w:rsid w:val="00FA7F14"/>
    <w:rsid w:val="00FC436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C87DD6"/>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5EB"/>
    <w:pPr>
      <w:tabs>
        <w:tab w:val="center" w:pos="4680"/>
        <w:tab w:val="right" w:pos="9360"/>
      </w:tabs>
    </w:pPr>
  </w:style>
  <w:style w:type="character" w:customStyle="1" w:styleId="HeaderChar">
    <w:name w:val="Header Char"/>
    <w:basedOn w:val="DefaultParagraphFont"/>
    <w:link w:val="Header"/>
    <w:uiPriority w:val="99"/>
    <w:rsid w:val="00C615EB"/>
    <w:rPr>
      <w:sz w:val="24"/>
    </w:rPr>
  </w:style>
  <w:style w:type="paragraph" w:styleId="Footer">
    <w:name w:val="footer"/>
    <w:basedOn w:val="Normal"/>
    <w:link w:val="FooterChar"/>
    <w:uiPriority w:val="99"/>
    <w:unhideWhenUsed/>
    <w:rsid w:val="00C615EB"/>
    <w:pPr>
      <w:tabs>
        <w:tab w:val="center" w:pos="4680"/>
        <w:tab w:val="right" w:pos="9360"/>
      </w:tabs>
    </w:pPr>
  </w:style>
  <w:style w:type="character" w:customStyle="1" w:styleId="FooterChar">
    <w:name w:val="Footer Char"/>
    <w:basedOn w:val="DefaultParagraphFont"/>
    <w:link w:val="Footer"/>
    <w:uiPriority w:val="99"/>
    <w:rsid w:val="00C615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2274</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Benson, Cyrus S</cp:lastModifiedBy>
  <cp:revision>20</cp:revision>
  <cp:lastPrinted>2011-06-22T14:53:00Z</cp:lastPrinted>
  <dcterms:created xsi:type="dcterms:W3CDTF">2020-09-28T11:12:00Z</dcterms:created>
  <dcterms:modified xsi:type="dcterms:W3CDTF">2020-09-28T11:54:00Z</dcterms:modified>
</cp:coreProperties>
</file>