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4BD8" w:rsidP="00E5453E" w:rsidRDefault="000E0E02" w14:paraId="115ECB68" w14:textId="77777777">
      <w:pPr>
        <w:pStyle w:val="OMBToCHdg"/>
        <w:spacing w:after="0"/>
      </w:pPr>
      <w:bookmarkStart w:name="_Toc19698128" w:id="0"/>
      <w:r>
        <w:t>Appendix A. Research Questions</w:t>
      </w:r>
      <w:bookmarkEnd w:id="0"/>
    </w:p>
    <w:tbl>
      <w:tblPr>
        <w:tblStyle w:val="GridTable4-Accent11"/>
        <w:tblW w:w="5000" w:type="pct"/>
        <w:jc w:val="center"/>
        <w:tblBorders>
          <w:top w:val="none" w:color="auto" w:sz="0" w:space="0"/>
          <w:left w:val="none" w:color="auto" w:sz="0" w:space="0"/>
          <w:bottom w:val="none" w:color="auto" w:sz="0" w:space="0"/>
          <w:right w:val="none" w:color="auto" w:sz="0" w:space="0"/>
          <w:insideH w:val="single" w:color="009CD3" w:sz="4" w:space="0"/>
          <w:insideV w:val="none" w:color="auto" w:sz="0" w:space="0"/>
        </w:tblBorders>
        <w:tblLook w:val="0600" w:firstRow="0" w:lastRow="0" w:firstColumn="0" w:lastColumn="0" w:noHBand="1" w:noVBand="1"/>
      </w:tblPr>
      <w:tblGrid>
        <w:gridCol w:w="12960"/>
      </w:tblGrid>
      <w:tr w:rsidRPr="00BC1606" w:rsidR="00BC1606" w:rsidTr="00486422" w14:paraId="140A2A52" w14:textId="77777777">
        <w:trPr>
          <w:trHeight w:val="253"/>
          <w:tblHeader/>
          <w:jc w:val="center"/>
        </w:trPr>
        <w:tc>
          <w:tcPr>
            <w:tcW w:w="5000" w:type="pct"/>
            <w:vMerge w:val="restart"/>
            <w:shd w:val="clear" w:color="auto" w:fill="009CD3"/>
            <w:vAlign w:val="center"/>
          </w:tcPr>
          <w:p w:rsidRPr="00BC1606" w:rsidR="00BC1606" w:rsidP="00486422" w:rsidRDefault="00BC1606" w14:paraId="3C293605" w14:textId="77777777">
            <w:pPr>
              <w:spacing w:line="240" w:lineRule="auto"/>
              <w:jc w:val="center"/>
              <w:rPr>
                <w:rFonts w:eastAsia="SimSun" w:cs="Times New Roman"/>
                <w:b/>
                <w:color w:val="FFFFFF"/>
                <w:kern w:val="22"/>
                <w:sz w:val="22"/>
                <w:szCs w:val="21"/>
              </w:rPr>
            </w:pPr>
            <w:r w:rsidRPr="00BC1606">
              <w:rPr>
                <w:rFonts w:eastAsia="SimSun" w:cs="Times New Roman"/>
                <w:b/>
                <w:color w:val="FFFFFF"/>
                <w:kern w:val="22"/>
                <w:sz w:val="22"/>
                <w:szCs w:val="21"/>
              </w:rPr>
              <w:t>Research Objectives and Research Questions</w:t>
            </w:r>
          </w:p>
        </w:tc>
      </w:tr>
      <w:tr w:rsidRPr="00BC1606" w:rsidR="00BC1606" w:rsidTr="00104DB2" w14:paraId="3E53A73E" w14:textId="77777777">
        <w:trPr>
          <w:trHeight w:val="291"/>
          <w:tblHeader/>
          <w:jc w:val="center"/>
        </w:trPr>
        <w:tc>
          <w:tcPr>
            <w:tcW w:w="5000" w:type="pct"/>
            <w:vMerge/>
            <w:shd w:val="clear" w:color="auto" w:fill="009CD3"/>
          </w:tcPr>
          <w:p w:rsidRPr="00BC1606" w:rsidR="00BC1606" w:rsidP="00104DB2" w:rsidRDefault="00BC1606" w14:paraId="650650B9" w14:textId="77777777">
            <w:pPr>
              <w:spacing w:line="240" w:lineRule="auto"/>
              <w:rPr>
                <w:rFonts w:eastAsia="SimSun" w:cs="Times New Roman"/>
                <w:b/>
                <w:color w:val="FFFFFF"/>
                <w:kern w:val="22"/>
                <w:sz w:val="22"/>
                <w:szCs w:val="21"/>
              </w:rPr>
            </w:pPr>
          </w:p>
        </w:tc>
      </w:tr>
      <w:tr w:rsidRPr="00BC1606" w:rsidR="00BC1606" w:rsidTr="00104DB2" w14:paraId="063A972D" w14:textId="77777777">
        <w:trPr>
          <w:trHeight w:val="20"/>
          <w:jc w:val="center"/>
        </w:trPr>
        <w:tc>
          <w:tcPr>
            <w:tcW w:w="5000" w:type="pct"/>
            <w:shd w:val="clear" w:color="auto" w:fill="E7E6E6"/>
          </w:tcPr>
          <w:p w:rsidRPr="00BC1606" w:rsidR="00BC1606" w:rsidP="00104DB2" w:rsidRDefault="00BC1606" w14:paraId="2A43CDCA" w14:textId="77777777">
            <w:pPr>
              <w:spacing w:line="240" w:lineRule="auto"/>
              <w:rPr>
                <w:rFonts w:eastAsia="SimSun" w:cs="Times New Roman"/>
                <w:b/>
                <w:kern w:val="22"/>
                <w:sz w:val="22"/>
                <w:szCs w:val="21"/>
              </w:rPr>
            </w:pPr>
            <w:r w:rsidRPr="00BC1606">
              <w:rPr>
                <w:rFonts w:eastAsia="SimSun" w:cs="Times New Roman"/>
                <w:b/>
                <w:kern w:val="22"/>
                <w:sz w:val="22"/>
                <w:szCs w:val="21"/>
              </w:rPr>
              <w:t xml:space="preserve">Objective 1: Describe legislation, regulations, and policy that address safeguarding SNAP Participant </w:t>
            </w:r>
            <w:r w:rsidRPr="00BC1606" w:rsidDel="00D359AA">
              <w:rPr>
                <w:rFonts w:eastAsia="SimSun" w:cs="Times New Roman"/>
                <w:b/>
                <w:kern w:val="22"/>
                <w:sz w:val="22"/>
                <w:szCs w:val="21"/>
              </w:rPr>
              <w:t>Data</w:t>
            </w:r>
          </w:p>
        </w:tc>
      </w:tr>
      <w:tr w:rsidRPr="00BC1606" w:rsidR="00BC1606" w:rsidTr="00104DB2" w14:paraId="23E55C29" w14:textId="77777777">
        <w:trPr>
          <w:trHeight w:val="20"/>
          <w:jc w:val="center"/>
        </w:trPr>
        <w:tc>
          <w:tcPr>
            <w:tcW w:w="5000" w:type="pct"/>
            <w:vAlign w:val="center"/>
          </w:tcPr>
          <w:p w:rsidRPr="00BC1606" w:rsidR="00BC1606" w:rsidP="00104DB2" w:rsidRDefault="00BC1606" w14:paraId="10C65631" w14:textId="77777777">
            <w:pPr>
              <w:spacing w:line="240" w:lineRule="auto"/>
              <w:rPr>
                <w:rFonts w:eastAsia="SimSun" w:cs="Times New Roman"/>
                <w:kern w:val="22"/>
                <w:sz w:val="20"/>
                <w:szCs w:val="20"/>
              </w:rPr>
            </w:pPr>
            <w:r w:rsidRPr="00BC1606">
              <w:rPr>
                <w:rFonts w:eastAsia="SimSun" w:cs="Times New Roman"/>
                <w:b/>
                <w:bCs/>
                <w:kern w:val="22"/>
                <w:sz w:val="20"/>
                <w:szCs w:val="20"/>
              </w:rPr>
              <w:t>1.1</w:t>
            </w:r>
            <w:r w:rsidRPr="00BC1606">
              <w:rPr>
                <w:rFonts w:eastAsia="SimSun" w:cs="Times New Roman"/>
                <w:kern w:val="22"/>
                <w:sz w:val="20"/>
                <w:szCs w:val="20"/>
              </w:rPr>
              <w:t xml:space="preserve"> What federal legislation addresses SAs’ and Federal Government agencies’ handling of PII? What legislation specifically addresses SNAP participants’ PII?</w:t>
            </w:r>
          </w:p>
        </w:tc>
      </w:tr>
      <w:tr w:rsidRPr="00BC1606" w:rsidR="00BC1606" w:rsidTr="00104DB2" w14:paraId="683DBD11" w14:textId="77777777">
        <w:trPr>
          <w:trHeight w:val="20"/>
          <w:jc w:val="center"/>
        </w:trPr>
        <w:tc>
          <w:tcPr>
            <w:tcW w:w="5000" w:type="pct"/>
            <w:vAlign w:val="center"/>
          </w:tcPr>
          <w:p w:rsidRPr="00BC1606" w:rsidR="00BC1606" w:rsidP="00104DB2" w:rsidRDefault="00BC1606" w14:paraId="310D59E0" w14:textId="77777777">
            <w:pPr>
              <w:spacing w:line="240" w:lineRule="auto"/>
              <w:rPr>
                <w:rFonts w:eastAsia="SimSun" w:cs="Times New Roman"/>
                <w:kern w:val="22"/>
                <w:sz w:val="20"/>
                <w:szCs w:val="20"/>
              </w:rPr>
            </w:pPr>
            <w:r w:rsidRPr="00BC1606">
              <w:rPr>
                <w:rFonts w:eastAsia="SimSun" w:cs="Times New Roman"/>
                <w:b/>
                <w:bCs/>
                <w:kern w:val="22"/>
                <w:sz w:val="20"/>
                <w:szCs w:val="20"/>
              </w:rPr>
              <w:t>1.2</w:t>
            </w:r>
            <w:r w:rsidRPr="00BC1606">
              <w:rPr>
                <w:rFonts w:eastAsia="SimSun" w:cs="Times New Roman"/>
                <w:kern w:val="22"/>
                <w:sz w:val="20"/>
                <w:szCs w:val="20"/>
              </w:rPr>
              <w:t xml:space="preserve"> What federal regulations address SAs’ and Federal Government agencies’ handling of PII? What regulations specifically address SNAP participants’ PII?</w:t>
            </w:r>
          </w:p>
        </w:tc>
      </w:tr>
      <w:tr w:rsidRPr="00BC1606" w:rsidR="00BC1606" w:rsidTr="00104DB2" w14:paraId="29B4B3A7" w14:textId="77777777">
        <w:trPr>
          <w:trHeight w:val="20"/>
          <w:jc w:val="center"/>
        </w:trPr>
        <w:tc>
          <w:tcPr>
            <w:tcW w:w="5000" w:type="pct"/>
            <w:vAlign w:val="center"/>
          </w:tcPr>
          <w:p w:rsidRPr="00BC1606" w:rsidR="00BC1606" w:rsidP="00104DB2" w:rsidRDefault="00BC1606" w14:paraId="238B1516" w14:textId="77777777">
            <w:pPr>
              <w:spacing w:line="240" w:lineRule="auto"/>
              <w:rPr>
                <w:rFonts w:eastAsia="SimSun" w:cs="Times New Roman"/>
                <w:kern w:val="22"/>
                <w:sz w:val="20"/>
                <w:szCs w:val="20"/>
              </w:rPr>
            </w:pPr>
            <w:r w:rsidRPr="00BC1606">
              <w:rPr>
                <w:rFonts w:eastAsia="SimSun" w:cs="Times New Roman"/>
                <w:b/>
                <w:bCs/>
                <w:kern w:val="22"/>
                <w:sz w:val="20"/>
                <w:szCs w:val="20"/>
              </w:rPr>
              <w:t>1.3</w:t>
            </w:r>
            <w:r w:rsidRPr="00BC1606">
              <w:rPr>
                <w:rFonts w:eastAsia="SimSun" w:cs="Times New Roman"/>
                <w:kern w:val="22"/>
                <w:sz w:val="20"/>
                <w:szCs w:val="20"/>
              </w:rPr>
              <w:t xml:space="preserve"> What additional guidance has FNS provided SAs in regard to handling PII?</w:t>
            </w:r>
          </w:p>
        </w:tc>
      </w:tr>
      <w:tr w:rsidRPr="00BC1606" w:rsidR="00BC1606" w:rsidTr="00104DB2" w14:paraId="4711071A" w14:textId="77777777">
        <w:trPr>
          <w:trHeight w:val="20"/>
          <w:jc w:val="center"/>
        </w:trPr>
        <w:tc>
          <w:tcPr>
            <w:tcW w:w="5000" w:type="pct"/>
            <w:vAlign w:val="center"/>
          </w:tcPr>
          <w:p w:rsidRPr="00BC1606" w:rsidR="00BC1606" w:rsidP="00104DB2" w:rsidRDefault="00BC1606" w14:paraId="145CCC29" w14:textId="77777777">
            <w:pPr>
              <w:spacing w:line="240" w:lineRule="auto"/>
              <w:rPr>
                <w:rFonts w:eastAsia="SimSun" w:cs="Times New Roman"/>
                <w:kern w:val="22"/>
                <w:sz w:val="20"/>
                <w:szCs w:val="20"/>
              </w:rPr>
            </w:pPr>
            <w:r w:rsidRPr="00BC1606">
              <w:rPr>
                <w:rFonts w:eastAsia="SimSun" w:cs="Times New Roman"/>
                <w:b/>
                <w:bCs/>
                <w:kern w:val="22"/>
                <w:sz w:val="20"/>
                <w:szCs w:val="20"/>
              </w:rPr>
              <w:t>1.4</w:t>
            </w:r>
            <w:r w:rsidRPr="00BC1606">
              <w:rPr>
                <w:rFonts w:eastAsia="SimSun" w:cs="Times New Roman"/>
                <w:kern w:val="22"/>
                <w:sz w:val="20"/>
                <w:szCs w:val="20"/>
              </w:rPr>
              <w:t xml:space="preserve"> What State legislation and regulations govern SAs’ handling of PII?</w:t>
            </w:r>
          </w:p>
        </w:tc>
      </w:tr>
      <w:tr w:rsidRPr="00BC1606" w:rsidR="00BC1606" w:rsidTr="00104DB2" w14:paraId="0532F722" w14:textId="77777777">
        <w:trPr>
          <w:trHeight w:val="20"/>
          <w:jc w:val="center"/>
        </w:trPr>
        <w:tc>
          <w:tcPr>
            <w:tcW w:w="5000" w:type="pct"/>
            <w:vAlign w:val="center"/>
          </w:tcPr>
          <w:p w:rsidRPr="00BC1606" w:rsidR="00BC1606" w:rsidP="00104DB2" w:rsidRDefault="00BC1606" w14:paraId="734A51D9" w14:textId="77777777">
            <w:pPr>
              <w:spacing w:line="240" w:lineRule="auto"/>
              <w:rPr>
                <w:rFonts w:eastAsia="SimSun" w:cs="Times New Roman"/>
                <w:kern w:val="22"/>
                <w:sz w:val="20"/>
                <w:szCs w:val="20"/>
              </w:rPr>
            </w:pPr>
            <w:r w:rsidRPr="00BC1606">
              <w:rPr>
                <w:rFonts w:eastAsia="SimSun" w:cs="Times New Roman"/>
                <w:b/>
                <w:bCs/>
                <w:kern w:val="22"/>
                <w:sz w:val="20"/>
                <w:szCs w:val="20"/>
              </w:rPr>
              <w:t>1.5</w:t>
            </w:r>
            <w:r w:rsidRPr="00BC1606">
              <w:rPr>
                <w:rFonts w:eastAsia="SimSun" w:cs="Times New Roman"/>
                <w:kern w:val="22"/>
                <w:sz w:val="20"/>
                <w:szCs w:val="20"/>
              </w:rPr>
              <w:t xml:space="preserve"> Describe the National Institute of Standards and Technology (NIST) guidelines.</w:t>
            </w:r>
          </w:p>
        </w:tc>
      </w:tr>
      <w:tr w:rsidRPr="00BC1606" w:rsidR="00BC1606" w:rsidTr="00104DB2" w14:paraId="13F33B61" w14:textId="77777777">
        <w:trPr>
          <w:trHeight w:val="20"/>
          <w:jc w:val="center"/>
        </w:trPr>
        <w:tc>
          <w:tcPr>
            <w:tcW w:w="5000" w:type="pct"/>
            <w:shd w:val="clear" w:color="auto" w:fill="E7E6E6"/>
          </w:tcPr>
          <w:p w:rsidRPr="00BC1606" w:rsidR="00BC1606" w:rsidP="00104DB2" w:rsidRDefault="00BC1606" w14:paraId="0F3F8C3A" w14:textId="77777777">
            <w:pPr>
              <w:spacing w:line="240" w:lineRule="auto"/>
              <w:rPr>
                <w:rFonts w:eastAsia="SimSun" w:cs="Times New Roman"/>
                <w:b/>
                <w:kern w:val="22"/>
                <w:sz w:val="22"/>
                <w:szCs w:val="21"/>
              </w:rPr>
            </w:pPr>
            <w:r w:rsidRPr="00BC1606">
              <w:rPr>
                <w:rFonts w:eastAsia="SimSun" w:cs="Times New Roman"/>
                <w:b/>
                <w:kern w:val="22"/>
                <w:sz w:val="22"/>
                <w:szCs w:val="21"/>
              </w:rPr>
              <w:t>Objective 2: Describe methods that can be used to safeguard PII</w:t>
            </w:r>
          </w:p>
        </w:tc>
      </w:tr>
      <w:tr w:rsidRPr="00BC1606" w:rsidR="00BC1606" w:rsidTr="00104DB2" w14:paraId="41F30C57" w14:textId="77777777">
        <w:trPr>
          <w:trHeight w:val="20"/>
          <w:jc w:val="center"/>
        </w:trPr>
        <w:tc>
          <w:tcPr>
            <w:tcW w:w="5000" w:type="pct"/>
            <w:vAlign w:val="center"/>
          </w:tcPr>
          <w:p w:rsidRPr="00BC1606" w:rsidR="00BC1606" w:rsidP="00104DB2" w:rsidRDefault="00BC1606" w14:paraId="7539B574" w14:textId="77777777">
            <w:pPr>
              <w:spacing w:line="240" w:lineRule="auto"/>
              <w:rPr>
                <w:rFonts w:eastAsia="SimSun" w:cs="Times New Roman"/>
                <w:kern w:val="22"/>
                <w:sz w:val="20"/>
                <w:szCs w:val="20"/>
              </w:rPr>
            </w:pPr>
            <w:r w:rsidRPr="00BC1606">
              <w:rPr>
                <w:rFonts w:eastAsia="SimSun" w:cs="Times New Roman"/>
                <w:b/>
                <w:bCs/>
                <w:kern w:val="22"/>
                <w:sz w:val="20"/>
                <w:szCs w:val="20"/>
              </w:rPr>
              <w:t>2.1</w:t>
            </w:r>
            <w:r w:rsidRPr="00BC1606">
              <w:rPr>
                <w:rFonts w:eastAsia="SimSun" w:cs="Times New Roman"/>
                <w:kern w:val="22"/>
                <w:sz w:val="20"/>
                <w:szCs w:val="20"/>
              </w:rPr>
              <w:t xml:space="preserve"> What measures are established to prevent unauthorized users from accessing PII?</w:t>
            </w:r>
          </w:p>
        </w:tc>
      </w:tr>
      <w:tr w:rsidRPr="00BC1606" w:rsidR="00BC1606" w:rsidTr="00104DB2" w14:paraId="770A4888" w14:textId="77777777">
        <w:trPr>
          <w:trHeight w:val="20"/>
          <w:jc w:val="center"/>
        </w:trPr>
        <w:tc>
          <w:tcPr>
            <w:tcW w:w="5000" w:type="pct"/>
            <w:vAlign w:val="center"/>
          </w:tcPr>
          <w:p w:rsidRPr="00BC1606" w:rsidR="00BC1606" w:rsidP="00104DB2" w:rsidRDefault="00BC1606" w14:paraId="242D4058" w14:textId="77777777">
            <w:pPr>
              <w:spacing w:line="240" w:lineRule="auto"/>
              <w:rPr>
                <w:rFonts w:eastAsia="SimSun" w:cs="Times New Roman"/>
                <w:kern w:val="22"/>
                <w:sz w:val="20"/>
                <w:szCs w:val="20"/>
              </w:rPr>
            </w:pPr>
            <w:r w:rsidRPr="00BC1606">
              <w:rPr>
                <w:rFonts w:eastAsia="SimSun" w:cs="Times New Roman"/>
                <w:b/>
                <w:bCs/>
                <w:kern w:val="22"/>
                <w:sz w:val="20"/>
                <w:szCs w:val="20"/>
              </w:rPr>
              <w:t>2.2</w:t>
            </w:r>
            <w:r w:rsidRPr="00BC1606">
              <w:rPr>
                <w:rFonts w:eastAsia="SimSun" w:cs="Times New Roman"/>
                <w:kern w:val="22"/>
                <w:sz w:val="20"/>
                <w:szCs w:val="20"/>
              </w:rPr>
              <w:t xml:space="preserve"> Are appropriate role permissions established to limit PII access to authorized individuals only? If so, what are they?</w:t>
            </w:r>
          </w:p>
        </w:tc>
      </w:tr>
      <w:tr w:rsidRPr="00BC1606" w:rsidR="00BC1606" w:rsidTr="00104DB2" w14:paraId="2F2A4B56" w14:textId="77777777">
        <w:trPr>
          <w:trHeight w:val="20"/>
          <w:jc w:val="center"/>
        </w:trPr>
        <w:tc>
          <w:tcPr>
            <w:tcW w:w="5000" w:type="pct"/>
            <w:vAlign w:val="center"/>
          </w:tcPr>
          <w:p w:rsidRPr="00BC1606" w:rsidR="00BC1606" w:rsidP="00104DB2" w:rsidRDefault="00BC1606" w14:paraId="608D7E11" w14:textId="77777777">
            <w:pPr>
              <w:spacing w:line="240" w:lineRule="auto"/>
              <w:rPr>
                <w:rFonts w:eastAsia="SimSun" w:cs="Times New Roman"/>
                <w:kern w:val="22"/>
                <w:sz w:val="20"/>
                <w:szCs w:val="20"/>
              </w:rPr>
            </w:pPr>
            <w:r w:rsidRPr="00BC1606">
              <w:rPr>
                <w:rFonts w:eastAsia="SimSun" w:cs="Times New Roman"/>
                <w:b/>
                <w:bCs/>
                <w:kern w:val="22"/>
                <w:sz w:val="20"/>
                <w:szCs w:val="20"/>
              </w:rPr>
              <w:t>2.3</w:t>
            </w:r>
            <w:r w:rsidRPr="00BC1606">
              <w:rPr>
                <w:rFonts w:eastAsia="SimSun" w:cs="Times New Roman"/>
                <w:kern w:val="22"/>
                <w:sz w:val="20"/>
                <w:szCs w:val="20"/>
              </w:rPr>
              <w:t xml:space="preserve"> Does the State allow remote access to systems containing PII? If so, what is the process?</w:t>
            </w:r>
          </w:p>
        </w:tc>
      </w:tr>
      <w:tr w:rsidRPr="00BC1606" w:rsidR="00BC1606" w:rsidTr="00104DB2" w14:paraId="7A64F64F" w14:textId="77777777">
        <w:trPr>
          <w:trHeight w:val="20"/>
          <w:jc w:val="center"/>
        </w:trPr>
        <w:tc>
          <w:tcPr>
            <w:tcW w:w="5000" w:type="pct"/>
            <w:vAlign w:val="center"/>
          </w:tcPr>
          <w:p w:rsidRPr="00BC1606" w:rsidR="00BC1606" w:rsidP="00104DB2" w:rsidRDefault="00BC1606" w14:paraId="0498F112" w14:textId="77777777">
            <w:pPr>
              <w:spacing w:line="240" w:lineRule="auto"/>
              <w:rPr>
                <w:rFonts w:eastAsia="SimSun" w:cs="Times New Roman"/>
                <w:kern w:val="22"/>
                <w:sz w:val="20"/>
                <w:szCs w:val="20"/>
              </w:rPr>
            </w:pPr>
            <w:r w:rsidRPr="00BC1606">
              <w:rPr>
                <w:rFonts w:eastAsia="SimSun" w:cs="Times New Roman"/>
                <w:b/>
                <w:bCs/>
                <w:kern w:val="22"/>
                <w:sz w:val="20"/>
                <w:szCs w:val="20"/>
              </w:rPr>
              <w:t>2.4</w:t>
            </w:r>
            <w:r w:rsidRPr="00BC1606">
              <w:rPr>
                <w:rFonts w:eastAsia="SimSun" w:cs="Times New Roman"/>
                <w:kern w:val="22"/>
                <w:sz w:val="20"/>
                <w:szCs w:val="20"/>
              </w:rPr>
              <w:t xml:space="preserve"> Is masking used in PII data entry, particularly for SSNs?</w:t>
            </w:r>
          </w:p>
        </w:tc>
      </w:tr>
      <w:tr w:rsidRPr="00BC1606" w:rsidR="00BC1606" w:rsidTr="00104DB2" w14:paraId="4E97825A" w14:textId="77777777">
        <w:trPr>
          <w:trHeight w:val="20"/>
          <w:jc w:val="center"/>
        </w:trPr>
        <w:tc>
          <w:tcPr>
            <w:tcW w:w="5000" w:type="pct"/>
            <w:vAlign w:val="center"/>
          </w:tcPr>
          <w:p w:rsidRPr="00BC1606" w:rsidR="00BC1606" w:rsidP="00104DB2" w:rsidRDefault="00BC1606" w14:paraId="0E4A2C70" w14:textId="77777777">
            <w:pPr>
              <w:spacing w:line="240" w:lineRule="auto"/>
              <w:rPr>
                <w:rFonts w:eastAsia="SimSun" w:cs="Times New Roman"/>
                <w:kern w:val="22"/>
                <w:sz w:val="20"/>
                <w:szCs w:val="20"/>
              </w:rPr>
            </w:pPr>
            <w:r w:rsidRPr="00BC1606">
              <w:rPr>
                <w:rFonts w:eastAsia="SimSun" w:cs="Times New Roman"/>
                <w:b/>
                <w:bCs/>
                <w:kern w:val="22"/>
                <w:sz w:val="20"/>
                <w:szCs w:val="20"/>
              </w:rPr>
              <w:t>2.5</w:t>
            </w:r>
            <w:r w:rsidRPr="00BC1606">
              <w:rPr>
                <w:rFonts w:eastAsia="SimSun" w:cs="Times New Roman"/>
                <w:kern w:val="22"/>
                <w:sz w:val="20"/>
                <w:szCs w:val="20"/>
              </w:rPr>
              <w:t xml:space="preserve"> Is there a time-out function used on application screens that contain PII? If so, what is the time limit for the time-out? What policy or guidance covers time-out functions?</w:t>
            </w:r>
          </w:p>
        </w:tc>
      </w:tr>
      <w:tr w:rsidRPr="00BC1606" w:rsidR="00BC1606" w:rsidTr="00104DB2" w14:paraId="6D3728FA" w14:textId="77777777">
        <w:trPr>
          <w:trHeight w:val="20"/>
          <w:jc w:val="center"/>
        </w:trPr>
        <w:tc>
          <w:tcPr>
            <w:tcW w:w="5000" w:type="pct"/>
            <w:vAlign w:val="center"/>
          </w:tcPr>
          <w:p w:rsidRPr="00BC1606" w:rsidR="00BC1606" w:rsidP="00104DB2" w:rsidRDefault="00BC1606" w14:paraId="2570A358" w14:textId="77777777">
            <w:pPr>
              <w:spacing w:line="240" w:lineRule="auto"/>
              <w:rPr>
                <w:rFonts w:eastAsia="SimSun" w:cs="Times New Roman"/>
                <w:kern w:val="22"/>
                <w:sz w:val="20"/>
                <w:szCs w:val="20"/>
              </w:rPr>
            </w:pPr>
            <w:r w:rsidRPr="00BC1606">
              <w:rPr>
                <w:rFonts w:eastAsia="SimSun" w:cs="Times New Roman"/>
                <w:b/>
                <w:bCs/>
                <w:kern w:val="22"/>
                <w:sz w:val="20"/>
                <w:szCs w:val="20"/>
              </w:rPr>
              <w:t>2.6</w:t>
            </w:r>
            <w:r w:rsidRPr="00BC1606">
              <w:rPr>
                <w:rFonts w:eastAsia="SimSun" w:cs="Times New Roman"/>
                <w:kern w:val="22"/>
                <w:sz w:val="20"/>
                <w:szCs w:val="20"/>
              </w:rPr>
              <w:t xml:space="preserve"> Are encryption methods used for transmitting and storing PII? If so, what are the methods in place?</w:t>
            </w:r>
          </w:p>
        </w:tc>
      </w:tr>
      <w:tr w:rsidRPr="00BC1606" w:rsidR="00BC1606" w:rsidTr="00104DB2" w14:paraId="4B08B92C" w14:textId="77777777">
        <w:trPr>
          <w:trHeight w:val="20"/>
          <w:jc w:val="center"/>
        </w:trPr>
        <w:tc>
          <w:tcPr>
            <w:tcW w:w="5000" w:type="pct"/>
            <w:shd w:val="clear" w:color="auto" w:fill="E7E6E6"/>
          </w:tcPr>
          <w:p w:rsidRPr="00BC1606" w:rsidR="00BC1606" w:rsidP="00104DB2" w:rsidRDefault="00BC1606" w14:paraId="782BFFFE" w14:textId="77777777">
            <w:pPr>
              <w:spacing w:line="240" w:lineRule="auto"/>
              <w:rPr>
                <w:rFonts w:eastAsia="SimSun" w:cs="Times New Roman"/>
                <w:b/>
                <w:kern w:val="22"/>
                <w:sz w:val="22"/>
                <w:szCs w:val="21"/>
              </w:rPr>
            </w:pPr>
            <w:r w:rsidRPr="00BC1606">
              <w:rPr>
                <w:rFonts w:eastAsia="SimSun" w:cs="Times New Roman"/>
                <w:b/>
                <w:kern w:val="22"/>
                <w:sz w:val="22"/>
                <w:szCs w:val="21"/>
              </w:rPr>
              <w:t>Objective 3: Describe how States currently safeguard participant PII</w:t>
            </w:r>
          </w:p>
        </w:tc>
      </w:tr>
      <w:tr w:rsidRPr="00BC1606" w:rsidR="00BC1606" w:rsidTr="00104DB2" w14:paraId="331AD93A" w14:textId="77777777">
        <w:trPr>
          <w:trHeight w:val="20"/>
          <w:jc w:val="center"/>
        </w:trPr>
        <w:tc>
          <w:tcPr>
            <w:tcW w:w="5000" w:type="pct"/>
            <w:vAlign w:val="center"/>
          </w:tcPr>
          <w:p w:rsidRPr="00BC1606" w:rsidR="00BC1606" w:rsidP="00104DB2" w:rsidRDefault="00BC1606" w14:paraId="28B4973D" w14:textId="77777777">
            <w:pPr>
              <w:spacing w:line="240" w:lineRule="auto"/>
              <w:rPr>
                <w:rFonts w:eastAsia="SimSun" w:cs="Times New Roman"/>
                <w:kern w:val="22"/>
                <w:sz w:val="20"/>
                <w:szCs w:val="20"/>
              </w:rPr>
            </w:pPr>
            <w:r w:rsidRPr="00BC1606">
              <w:rPr>
                <w:rFonts w:eastAsia="SimSun" w:cs="Times New Roman"/>
                <w:b/>
                <w:bCs/>
                <w:kern w:val="22"/>
                <w:sz w:val="20"/>
                <w:szCs w:val="20"/>
              </w:rPr>
              <w:t>3.1</w:t>
            </w:r>
            <w:r w:rsidRPr="00BC1606">
              <w:rPr>
                <w:rFonts w:eastAsia="SimSun" w:cs="Times New Roman"/>
                <w:kern w:val="22"/>
                <w:sz w:val="20"/>
                <w:szCs w:val="20"/>
              </w:rPr>
              <w:t xml:space="preserve"> What vulnerabilities and threats to privacy have States encountered?</w:t>
            </w:r>
          </w:p>
        </w:tc>
      </w:tr>
      <w:tr w:rsidRPr="00BC1606" w:rsidR="00BC1606" w:rsidTr="00104DB2" w14:paraId="79F12B8B" w14:textId="77777777">
        <w:trPr>
          <w:trHeight w:val="20"/>
          <w:jc w:val="center"/>
        </w:trPr>
        <w:tc>
          <w:tcPr>
            <w:tcW w:w="5000" w:type="pct"/>
            <w:vAlign w:val="center"/>
          </w:tcPr>
          <w:p w:rsidRPr="00BC1606" w:rsidR="00BC1606" w:rsidP="00104DB2" w:rsidRDefault="00BC1606" w14:paraId="280C4649" w14:textId="77777777">
            <w:pPr>
              <w:spacing w:line="240" w:lineRule="auto"/>
              <w:rPr>
                <w:rFonts w:eastAsia="SimSun" w:cs="Times New Roman"/>
                <w:kern w:val="22"/>
                <w:sz w:val="20"/>
                <w:szCs w:val="20"/>
              </w:rPr>
            </w:pPr>
            <w:r w:rsidRPr="00BC1606">
              <w:rPr>
                <w:rFonts w:eastAsia="SimSun" w:cs="Times New Roman"/>
                <w:b/>
                <w:bCs/>
                <w:kern w:val="22"/>
                <w:sz w:val="20"/>
                <w:szCs w:val="20"/>
              </w:rPr>
              <w:t>3.2</w:t>
            </w:r>
            <w:r w:rsidRPr="00BC1606">
              <w:rPr>
                <w:rFonts w:eastAsia="SimSun" w:cs="Times New Roman"/>
                <w:kern w:val="22"/>
                <w:sz w:val="20"/>
                <w:szCs w:val="20"/>
              </w:rPr>
              <w:t xml:space="preserve"> When States perform data matches of State SNAP administrative data with other administrative data, what data files do States perform matches with? What PII is used for linking the files? How do States protect confidentiality in files produced by data matching? How does PII and confidentiality protection vary among different data matches?</w:t>
            </w:r>
          </w:p>
        </w:tc>
      </w:tr>
      <w:tr w:rsidRPr="00BC1606" w:rsidR="00BC1606" w:rsidTr="00104DB2" w14:paraId="5A70FDE1" w14:textId="77777777">
        <w:trPr>
          <w:trHeight w:val="20"/>
          <w:jc w:val="center"/>
        </w:trPr>
        <w:tc>
          <w:tcPr>
            <w:tcW w:w="5000" w:type="pct"/>
            <w:vAlign w:val="center"/>
          </w:tcPr>
          <w:p w:rsidRPr="00BC1606" w:rsidR="00BC1606" w:rsidP="00104DB2" w:rsidRDefault="00BC1606" w14:paraId="34206936" w14:textId="77777777">
            <w:pPr>
              <w:spacing w:line="240" w:lineRule="auto"/>
              <w:rPr>
                <w:rFonts w:eastAsia="SimSun" w:cs="Times New Roman"/>
                <w:kern w:val="22"/>
                <w:sz w:val="20"/>
                <w:szCs w:val="20"/>
              </w:rPr>
            </w:pPr>
            <w:r w:rsidRPr="00BC1606">
              <w:rPr>
                <w:rFonts w:eastAsia="SimSun" w:cs="Times New Roman"/>
                <w:b/>
                <w:bCs/>
                <w:kern w:val="22"/>
                <w:sz w:val="20"/>
                <w:szCs w:val="20"/>
              </w:rPr>
              <w:t>3.3</w:t>
            </w:r>
            <w:r w:rsidRPr="00BC1606">
              <w:rPr>
                <w:rFonts w:eastAsia="SimSun" w:cs="Times New Roman"/>
                <w:kern w:val="22"/>
                <w:sz w:val="20"/>
                <w:szCs w:val="20"/>
              </w:rPr>
              <w:t xml:space="preserve"> How do States handle law enforcement requests for PII?</w:t>
            </w:r>
          </w:p>
        </w:tc>
      </w:tr>
      <w:tr w:rsidRPr="00BC1606" w:rsidR="00BC1606" w:rsidTr="00104DB2" w14:paraId="1646E39A" w14:textId="77777777">
        <w:trPr>
          <w:trHeight w:val="20"/>
          <w:jc w:val="center"/>
        </w:trPr>
        <w:tc>
          <w:tcPr>
            <w:tcW w:w="5000" w:type="pct"/>
            <w:vAlign w:val="center"/>
          </w:tcPr>
          <w:p w:rsidRPr="00BC1606" w:rsidR="00BC1606" w:rsidP="00104DB2" w:rsidRDefault="00BC1606" w14:paraId="3BC88298" w14:textId="77777777">
            <w:pPr>
              <w:spacing w:line="240" w:lineRule="auto"/>
              <w:rPr>
                <w:rFonts w:eastAsia="SimSun" w:cs="Times New Roman"/>
                <w:kern w:val="22"/>
                <w:sz w:val="20"/>
                <w:szCs w:val="20"/>
              </w:rPr>
            </w:pPr>
            <w:r w:rsidRPr="00BC1606">
              <w:rPr>
                <w:rFonts w:eastAsia="SimSun" w:cs="Times New Roman"/>
                <w:b/>
                <w:bCs/>
                <w:kern w:val="22"/>
                <w:sz w:val="20"/>
                <w:szCs w:val="20"/>
              </w:rPr>
              <w:t>3.4</w:t>
            </w:r>
            <w:r w:rsidRPr="00BC1606">
              <w:rPr>
                <w:rFonts w:eastAsia="SimSun" w:cs="Times New Roman"/>
                <w:kern w:val="22"/>
                <w:sz w:val="20"/>
                <w:szCs w:val="20"/>
              </w:rPr>
              <w:t xml:space="preserve"> Do States follow the Federal Information Security Management Act (FISMA) or NIST guidelines?</w:t>
            </w:r>
          </w:p>
        </w:tc>
      </w:tr>
      <w:tr w:rsidRPr="00BC1606" w:rsidR="00BC1606" w:rsidTr="00104DB2" w14:paraId="79BCC62F" w14:textId="77777777">
        <w:trPr>
          <w:trHeight w:val="20"/>
          <w:jc w:val="center"/>
        </w:trPr>
        <w:tc>
          <w:tcPr>
            <w:tcW w:w="5000" w:type="pct"/>
            <w:vAlign w:val="center"/>
          </w:tcPr>
          <w:p w:rsidRPr="00BC1606" w:rsidR="00BC1606" w:rsidP="00104DB2" w:rsidRDefault="00BC1606" w14:paraId="38965161" w14:textId="77777777">
            <w:pPr>
              <w:spacing w:line="240" w:lineRule="auto"/>
              <w:rPr>
                <w:rFonts w:eastAsia="SimSun" w:cs="Times New Roman"/>
                <w:kern w:val="22"/>
                <w:sz w:val="20"/>
                <w:szCs w:val="20"/>
              </w:rPr>
            </w:pPr>
            <w:r w:rsidRPr="00BC1606">
              <w:rPr>
                <w:rFonts w:eastAsia="SimSun" w:cs="Times New Roman"/>
                <w:b/>
                <w:bCs/>
                <w:kern w:val="22"/>
                <w:sz w:val="20"/>
                <w:szCs w:val="20"/>
              </w:rPr>
              <w:t>3.5</w:t>
            </w:r>
            <w:r w:rsidRPr="00BC1606">
              <w:rPr>
                <w:rFonts w:eastAsia="SimSun" w:cs="Times New Roman"/>
                <w:kern w:val="22"/>
                <w:sz w:val="20"/>
                <w:szCs w:val="20"/>
              </w:rPr>
              <w:t xml:space="preserve"> What is the training process to ensure personnel understand their responsibilities in protecting PII?</w:t>
            </w:r>
          </w:p>
        </w:tc>
      </w:tr>
      <w:tr w:rsidRPr="00BC1606" w:rsidR="00BC1606" w:rsidTr="00104DB2" w14:paraId="17501729" w14:textId="77777777">
        <w:trPr>
          <w:trHeight w:val="20"/>
          <w:jc w:val="center"/>
        </w:trPr>
        <w:tc>
          <w:tcPr>
            <w:tcW w:w="5000" w:type="pct"/>
            <w:vAlign w:val="center"/>
          </w:tcPr>
          <w:p w:rsidRPr="00BC1606" w:rsidR="00BC1606" w:rsidP="00104DB2" w:rsidRDefault="00BC1606" w14:paraId="5A0BF202" w14:textId="77777777">
            <w:pPr>
              <w:spacing w:line="240" w:lineRule="auto"/>
              <w:rPr>
                <w:rFonts w:eastAsia="SimSun" w:cs="Times New Roman"/>
                <w:kern w:val="22"/>
                <w:sz w:val="20"/>
                <w:szCs w:val="20"/>
              </w:rPr>
            </w:pPr>
            <w:r w:rsidRPr="00BC1606">
              <w:rPr>
                <w:rFonts w:eastAsia="SimSun" w:cs="Times New Roman"/>
                <w:b/>
                <w:bCs/>
                <w:kern w:val="22"/>
                <w:sz w:val="20"/>
                <w:szCs w:val="20"/>
              </w:rPr>
              <w:t>3.6</w:t>
            </w:r>
            <w:r w:rsidRPr="00BC1606">
              <w:rPr>
                <w:rFonts w:eastAsia="SimSun" w:cs="Times New Roman"/>
                <w:kern w:val="22"/>
                <w:sz w:val="20"/>
                <w:szCs w:val="20"/>
              </w:rPr>
              <w:t xml:space="preserve"> Which States have had data breaches? What has been the response?</w:t>
            </w:r>
          </w:p>
        </w:tc>
      </w:tr>
      <w:tr w:rsidRPr="00BC1606" w:rsidR="00BC1606" w:rsidTr="00104DB2" w14:paraId="59500219" w14:textId="77777777">
        <w:trPr>
          <w:trHeight w:val="20"/>
          <w:jc w:val="center"/>
        </w:trPr>
        <w:tc>
          <w:tcPr>
            <w:tcW w:w="5000" w:type="pct"/>
            <w:vAlign w:val="center"/>
          </w:tcPr>
          <w:p w:rsidRPr="00BC1606" w:rsidR="00BC1606" w:rsidP="00104DB2" w:rsidRDefault="00BC1606" w14:paraId="769550F7" w14:textId="77777777">
            <w:pPr>
              <w:spacing w:line="240" w:lineRule="auto"/>
              <w:rPr>
                <w:rFonts w:eastAsia="SimSun" w:cs="Times New Roman"/>
                <w:kern w:val="22"/>
                <w:sz w:val="20"/>
                <w:szCs w:val="20"/>
              </w:rPr>
            </w:pPr>
            <w:r w:rsidRPr="00BC1606">
              <w:rPr>
                <w:rFonts w:eastAsia="SimSun" w:cs="Times New Roman"/>
                <w:b/>
                <w:bCs/>
                <w:kern w:val="22"/>
                <w:sz w:val="20"/>
                <w:szCs w:val="20"/>
              </w:rPr>
              <w:t>3.7</w:t>
            </w:r>
            <w:r w:rsidRPr="00BC1606">
              <w:rPr>
                <w:rFonts w:eastAsia="SimSun" w:cs="Times New Roman"/>
                <w:kern w:val="22"/>
                <w:sz w:val="20"/>
                <w:szCs w:val="20"/>
              </w:rPr>
              <w:t xml:space="preserve"> How secure is the transmission of online application data? How is the confidentiality of paper applications secured?</w:t>
            </w:r>
          </w:p>
        </w:tc>
      </w:tr>
      <w:tr w:rsidRPr="00BC1606" w:rsidR="00BC1606" w:rsidTr="00104DB2" w14:paraId="1949146C" w14:textId="77777777">
        <w:trPr>
          <w:trHeight w:val="20"/>
          <w:jc w:val="center"/>
        </w:trPr>
        <w:tc>
          <w:tcPr>
            <w:tcW w:w="5000" w:type="pct"/>
            <w:vAlign w:val="center"/>
          </w:tcPr>
          <w:p w:rsidRPr="00BC1606" w:rsidR="00BC1606" w:rsidP="00104DB2" w:rsidRDefault="00BC1606" w14:paraId="6D6D6859" w14:textId="77777777">
            <w:pPr>
              <w:spacing w:line="240" w:lineRule="auto"/>
              <w:rPr>
                <w:rFonts w:eastAsia="SimSun" w:cs="Times New Roman"/>
                <w:kern w:val="22"/>
                <w:sz w:val="20"/>
                <w:szCs w:val="20"/>
              </w:rPr>
            </w:pPr>
            <w:r w:rsidRPr="00BC1606">
              <w:rPr>
                <w:rFonts w:eastAsia="SimSun" w:cs="Times New Roman"/>
                <w:b/>
                <w:bCs/>
                <w:kern w:val="22"/>
                <w:sz w:val="20"/>
                <w:szCs w:val="20"/>
              </w:rPr>
              <w:t>3.8</w:t>
            </w:r>
            <w:r w:rsidRPr="00BC1606">
              <w:rPr>
                <w:rFonts w:eastAsia="SimSun" w:cs="Times New Roman"/>
                <w:kern w:val="22"/>
                <w:sz w:val="20"/>
                <w:szCs w:val="20"/>
              </w:rPr>
              <w:t xml:space="preserve"> How do safeguarding practices differ between States with county-administered SNAP versus those with Statewide administration?</w:t>
            </w:r>
          </w:p>
        </w:tc>
      </w:tr>
      <w:tr w:rsidRPr="00BC1606" w:rsidR="00BC1606" w:rsidTr="00104DB2" w14:paraId="79DDD433" w14:textId="77777777">
        <w:trPr>
          <w:trHeight w:val="20"/>
          <w:jc w:val="center"/>
        </w:trPr>
        <w:tc>
          <w:tcPr>
            <w:tcW w:w="5000" w:type="pct"/>
            <w:vAlign w:val="center"/>
          </w:tcPr>
          <w:p w:rsidRPr="00BC1606" w:rsidR="00BC1606" w:rsidP="00104DB2" w:rsidRDefault="00BC1606" w14:paraId="23A130E7" w14:textId="77777777">
            <w:pPr>
              <w:spacing w:line="240" w:lineRule="auto"/>
              <w:rPr>
                <w:rFonts w:eastAsia="SimSun" w:cs="Times New Roman"/>
                <w:kern w:val="22"/>
                <w:sz w:val="20"/>
                <w:szCs w:val="20"/>
              </w:rPr>
            </w:pPr>
            <w:r w:rsidRPr="00BC1606">
              <w:rPr>
                <w:rFonts w:eastAsia="SimSun" w:cs="Times New Roman"/>
                <w:b/>
                <w:bCs/>
                <w:kern w:val="22"/>
                <w:sz w:val="20"/>
                <w:szCs w:val="20"/>
              </w:rPr>
              <w:t>3.9</w:t>
            </w:r>
            <w:r w:rsidRPr="00BC1606">
              <w:rPr>
                <w:rFonts w:eastAsia="SimSun" w:cs="Times New Roman"/>
                <w:kern w:val="22"/>
                <w:sz w:val="20"/>
                <w:szCs w:val="20"/>
              </w:rPr>
              <w:t xml:space="preserve"> What other measures has the State implemented to ensure the protection of PII?</w:t>
            </w:r>
          </w:p>
        </w:tc>
      </w:tr>
      <w:tr w:rsidRPr="00BC1606" w:rsidR="00BC1606" w:rsidTr="00104DB2" w14:paraId="1F1DC8CF" w14:textId="77777777">
        <w:trPr>
          <w:trHeight w:val="20"/>
          <w:jc w:val="center"/>
        </w:trPr>
        <w:tc>
          <w:tcPr>
            <w:tcW w:w="5000" w:type="pct"/>
            <w:shd w:val="clear" w:color="auto" w:fill="E7E6E6"/>
          </w:tcPr>
          <w:p w:rsidRPr="00BC1606" w:rsidR="00BC1606" w:rsidP="00104DB2" w:rsidRDefault="00BC1606" w14:paraId="4E2290E7" w14:textId="77777777">
            <w:pPr>
              <w:spacing w:line="240" w:lineRule="auto"/>
              <w:rPr>
                <w:rFonts w:eastAsia="SimSun" w:cs="Times New Roman"/>
                <w:b/>
                <w:kern w:val="22"/>
                <w:sz w:val="22"/>
                <w:szCs w:val="21"/>
              </w:rPr>
            </w:pPr>
            <w:r w:rsidRPr="00BC1606">
              <w:rPr>
                <w:rFonts w:eastAsia="SimSun" w:cs="Times New Roman"/>
                <w:b/>
                <w:kern w:val="22"/>
                <w:sz w:val="22"/>
                <w:szCs w:val="21"/>
              </w:rPr>
              <w:t>Objective 4: Examine the consistency of safeguarding practices across States</w:t>
            </w:r>
          </w:p>
        </w:tc>
      </w:tr>
      <w:tr w:rsidRPr="00BC1606" w:rsidR="00BC1606" w:rsidTr="00104DB2" w14:paraId="1C4868AA" w14:textId="77777777">
        <w:trPr>
          <w:trHeight w:val="20"/>
          <w:jc w:val="center"/>
        </w:trPr>
        <w:tc>
          <w:tcPr>
            <w:tcW w:w="5000" w:type="pct"/>
          </w:tcPr>
          <w:p w:rsidRPr="00BC1606" w:rsidR="00BC1606" w:rsidP="00104DB2" w:rsidRDefault="00BC1606" w14:paraId="54AD6D56" w14:textId="77777777">
            <w:pPr>
              <w:spacing w:line="240" w:lineRule="auto"/>
              <w:rPr>
                <w:rFonts w:eastAsia="SimSun" w:cs="Times New Roman"/>
                <w:kern w:val="22"/>
                <w:sz w:val="20"/>
                <w:szCs w:val="20"/>
              </w:rPr>
            </w:pPr>
            <w:r w:rsidRPr="00BC1606">
              <w:rPr>
                <w:rFonts w:eastAsia="SimSun" w:cs="Times New Roman"/>
                <w:b/>
                <w:bCs/>
                <w:kern w:val="22"/>
                <w:sz w:val="20"/>
                <w:szCs w:val="20"/>
              </w:rPr>
              <w:t>4.1</w:t>
            </w:r>
            <w:r w:rsidRPr="00BC1606">
              <w:rPr>
                <w:rFonts w:eastAsia="SimSun" w:cs="Times New Roman"/>
                <w:kern w:val="22"/>
                <w:sz w:val="20"/>
                <w:szCs w:val="20"/>
              </w:rPr>
              <w:t xml:space="preserve"> What are the safeguarding practices that vary the most among States?</w:t>
            </w:r>
          </w:p>
        </w:tc>
      </w:tr>
      <w:tr w:rsidRPr="00BC1606" w:rsidR="00BC1606" w:rsidTr="00104DB2" w14:paraId="690F393F" w14:textId="77777777">
        <w:trPr>
          <w:trHeight w:val="20"/>
          <w:jc w:val="center"/>
        </w:trPr>
        <w:tc>
          <w:tcPr>
            <w:tcW w:w="5000" w:type="pct"/>
          </w:tcPr>
          <w:p w:rsidRPr="00BC1606" w:rsidR="00BC1606" w:rsidP="00104DB2" w:rsidRDefault="00BC1606" w14:paraId="20E4153B" w14:textId="77777777">
            <w:pPr>
              <w:spacing w:line="240" w:lineRule="auto"/>
              <w:rPr>
                <w:rFonts w:eastAsia="SimSun" w:cs="Times New Roman"/>
                <w:kern w:val="22"/>
                <w:sz w:val="20"/>
                <w:szCs w:val="20"/>
              </w:rPr>
            </w:pPr>
            <w:r w:rsidRPr="00BC1606">
              <w:rPr>
                <w:rFonts w:eastAsia="SimSun" w:cs="Times New Roman"/>
                <w:b/>
                <w:bCs/>
                <w:kern w:val="22"/>
                <w:sz w:val="20"/>
                <w:szCs w:val="20"/>
              </w:rPr>
              <w:t>4.2</w:t>
            </w:r>
            <w:r w:rsidRPr="00BC1606">
              <w:rPr>
                <w:rFonts w:eastAsia="SimSun" w:cs="Times New Roman"/>
                <w:kern w:val="22"/>
                <w:sz w:val="20"/>
                <w:szCs w:val="20"/>
              </w:rPr>
              <w:t xml:space="preserve"> What are the safeguarding practices that are most often practiced within States?</w:t>
            </w:r>
          </w:p>
        </w:tc>
      </w:tr>
      <w:tr w:rsidRPr="00BC1606" w:rsidR="00BC1606" w:rsidTr="00104DB2" w14:paraId="02F5AC5B" w14:textId="77777777">
        <w:trPr>
          <w:trHeight w:val="20"/>
          <w:jc w:val="center"/>
        </w:trPr>
        <w:tc>
          <w:tcPr>
            <w:tcW w:w="5000" w:type="pct"/>
          </w:tcPr>
          <w:p w:rsidRPr="00BC1606" w:rsidR="00BC1606" w:rsidP="00104DB2" w:rsidRDefault="00BC1606" w14:paraId="0814044D" w14:textId="77777777">
            <w:pPr>
              <w:spacing w:line="240" w:lineRule="auto"/>
              <w:rPr>
                <w:rFonts w:eastAsia="SimSun" w:cs="Times New Roman"/>
                <w:kern w:val="22"/>
                <w:sz w:val="20"/>
                <w:szCs w:val="20"/>
              </w:rPr>
            </w:pPr>
            <w:r w:rsidRPr="00BC1606">
              <w:rPr>
                <w:rFonts w:eastAsia="SimSun" w:cs="Times New Roman"/>
                <w:b/>
                <w:bCs/>
                <w:kern w:val="22"/>
                <w:sz w:val="20"/>
                <w:szCs w:val="20"/>
              </w:rPr>
              <w:t>4.3</w:t>
            </w:r>
            <w:r w:rsidRPr="00BC1606">
              <w:rPr>
                <w:rFonts w:eastAsia="SimSun" w:cs="Times New Roman"/>
                <w:kern w:val="22"/>
                <w:sz w:val="20"/>
                <w:szCs w:val="20"/>
              </w:rPr>
              <w:t xml:space="preserve"> In which areas are the safeguarding practices of States most in need of improvement?</w:t>
            </w:r>
          </w:p>
        </w:tc>
      </w:tr>
      <w:tr w:rsidRPr="00BC1606" w:rsidR="00BC1606" w:rsidTr="00104DB2" w14:paraId="65D7A69A" w14:textId="77777777">
        <w:trPr>
          <w:trHeight w:val="20"/>
          <w:jc w:val="center"/>
        </w:trPr>
        <w:tc>
          <w:tcPr>
            <w:tcW w:w="5000" w:type="pct"/>
            <w:shd w:val="clear" w:color="auto" w:fill="E7E6E6"/>
          </w:tcPr>
          <w:p w:rsidRPr="00BC1606" w:rsidR="00BC1606" w:rsidP="00104DB2" w:rsidRDefault="00BC1606" w14:paraId="25E1E33F" w14:textId="77777777">
            <w:pPr>
              <w:spacing w:line="240" w:lineRule="auto"/>
              <w:rPr>
                <w:rFonts w:eastAsia="SimSun" w:cs="Times New Roman"/>
                <w:b/>
                <w:kern w:val="22"/>
                <w:sz w:val="22"/>
                <w:szCs w:val="21"/>
              </w:rPr>
            </w:pPr>
            <w:r w:rsidRPr="00BC1606">
              <w:rPr>
                <w:rFonts w:eastAsia="SimSun" w:cs="Times New Roman"/>
                <w:b/>
                <w:kern w:val="22"/>
                <w:sz w:val="22"/>
                <w:szCs w:val="21"/>
              </w:rPr>
              <w:t>Objective 5: Provide recommendations to States for improved safeguarding of PII</w:t>
            </w:r>
          </w:p>
        </w:tc>
      </w:tr>
      <w:tr w:rsidRPr="00BC1606" w:rsidR="00BC1606" w:rsidTr="00104DB2" w14:paraId="55E8B5CA" w14:textId="77777777">
        <w:trPr>
          <w:trHeight w:val="20"/>
          <w:jc w:val="center"/>
        </w:trPr>
        <w:tc>
          <w:tcPr>
            <w:tcW w:w="5000" w:type="pct"/>
          </w:tcPr>
          <w:p w:rsidRPr="00BC1606" w:rsidR="00BC1606" w:rsidP="00104DB2" w:rsidRDefault="00BC1606" w14:paraId="1D1F5410" w14:textId="77777777">
            <w:pPr>
              <w:spacing w:line="240" w:lineRule="auto"/>
              <w:rPr>
                <w:rFonts w:eastAsia="SimSun" w:cs="Times New Roman"/>
                <w:kern w:val="22"/>
                <w:sz w:val="20"/>
                <w:szCs w:val="20"/>
              </w:rPr>
            </w:pPr>
            <w:r w:rsidRPr="00BC1606">
              <w:rPr>
                <w:rFonts w:eastAsia="SimSun" w:cs="Times New Roman"/>
                <w:b/>
                <w:bCs/>
                <w:kern w:val="22"/>
                <w:sz w:val="20"/>
                <w:szCs w:val="20"/>
              </w:rPr>
              <w:t>5.1</w:t>
            </w:r>
            <w:r w:rsidRPr="00BC1606">
              <w:rPr>
                <w:rFonts w:eastAsia="SimSun" w:cs="Times New Roman"/>
                <w:kern w:val="22"/>
                <w:sz w:val="20"/>
                <w:szCs w:val="20"/>
              </w:rPr>
              <w:t xml:space="preserve"> What best practices should States implement to ensure the safeguarding of PII?</w:t>
            </w:r>
          </w:p>
        </w:tc>
      </w:tr>
    </w:tbl>
    <w:p w:rsidRPr="009F7EC8" w:rsidR="009F7EC8" w:rsidP="00E5453E" w:rsidRDefault="009F7EC8" w14:paraId="74208990" w14:textId="77777777"/>
    <w:sectPr w:rsidRPr="009F7EC8" w:rsidR="009F7EC8" w:rsidSect="00FF5B1C">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1E9E4397"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F5B1C">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C7ABA"/>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0F0F"/>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453E"/>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2B9"/>
    <w:rsid w:val="00FF2593"/>
    <w:rsid w:val="00FF28E9"/>
    <w:rsid w:val="00FF5B1C"/>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10CBD504-D3C5-43DD-B19E-A721B1D9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8</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3099</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4</cp:revision>
  <dcterms:created xsi:type="dcterms:W3CDTF">2020-09-25T18:48:00Z</dcterms:created>
  <dcterms:modified xsi:type="dcterms:W3CDTF">2020-09-25T19:12:00Z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