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26CA" w:rsidP="001C0ABF" w:rsidRDefault="00266A7D" w14:paraId="74C1D665" w14:textId="405BEEA5">
      <w:pPr>
        <w:pStyle w:val="OMBToCHdg"/>
      </w:pPr>
      <w:bookmarkStart w:name="_Toc19698162" w:id="0"/>
      <w:r>
        <w:t xml:space="preserve">Appendix </w:t>
      </w:r>
      <w:r w:rsidRPr="00F626CA" w:rsidR="00F626CA">
        <w:t>E.</w:t>
      </w:r>
      <w:r w:rsidR="00420624">
        <w:t>2</w:t>
      </w:r>
      <w:r>
        <w:t xml:space="preserve"> </w:t>
      </w:r>
      <w:bookmarkEnd w:id="0"/>
      <w:r w:rsidR="00420624">
        <w:t>Comments from the National Agricultural Statistics Service</w:t>
      </w:r>
    </w:p>
    <w:p w:rsidRPr="00FD0938" w:rsidR="00FD0938" w:rsidP="00FD0938" w:rsidRDefault="00FD0938" w14:paraId="7AE02894" w14:textId="77777777">
      <w:pPr>
        <w:spacing w:line="240" w:lineRule="auto"/>
        <w:jc w:val="center"/>
        <w:rPr>
          <w:rFonts w:ascii="Arial" w:hAnsi="Arial" w:eastAsia="Calibri" w:cs="Arial"/>
          <w:b/>
          <w:bCs/>
          <w:sz w:val="32"/>
          <w:szCs w:val="28"/>
        </w:rPr>
      </w:pPr>
      <w:r w:rsidRPr="00FD0938">
        <w:rPr>
          <w:rFonts w:ascii="Arial" w:hAnsi="Arial" w:eastAsia="Calibri" w:cs="Arial"/>
          <w:b/>
          <w:bCs/>
          <w:sz w:val="32"/>
          <w:szCs w:val="28"/>
        </w:rPr>
        <w:t xml:space="preserve">Review of </w:t>
      </w:r>
    </w:p>
    <w:p w:rsidRPr="00FD0938" w:rsidR="00FD0938" w:rsidP="00FD0938" w:rsidRDefault="00FD0938" w14:paraId="0481A09E" w14:textId="77777777">
      <w:pPr>
        <w:spacing w:line="240" w:lineRule="auto"/>
        <w:jc w:val="center"/>
        <w:rPr>
          <w:rFonts w:ascii="Arial" w:hAnsi="Arial" w:eastAsia="Calibri" w:cs="Arial"/>
          <w:b/>
          <w:bCs/>
          <w:sz w:val="32"/>
          <w:szCs w:val="28"/>
        </w:rPr>
      </w:pPr>
      <w:r w:rsidRPr="00FD0938">
        <w:rPr>
          <w:rFonts w:ascii="Arial" w:hAnsi="Arial" w:eastAsia="Calibri" w:cs="Arial"/>
          <w:b/>
          <w:bCs/>
          <w:sz w:val="32"/>
          <w:szCs w:val="28"/>
        </w:rPr>
        <w:t>Study of How States Safeguard SNAP Participants’ Personally Identifiable Information (PII)</w:t>
      </w:r>
    </w:p>
    <w:p w:rsidRPr="00FD0938" w:rsidR="00FD0938" w:rsidP="00FD0938" w:rsidRDefault="00FD0938" w14:paraId="7BFB81C5" w14:textId="77777777">
      <w:pPr>
        <w:spacing w:line="240" w:lineRule="auto"/>
        <w:rPr>
          <w:rFonts w:ascii="Arial" w:hAnsi="Arial" w:eastAsia="Calibri" w:cs="Arial"/>
          <w:b/>
          <w:bCs/>
          <w:sz w:val="28"/>
          <w:szCs w:val="28"/>
        </w:rPr>
      </w:pPr>
    </w:p>
    <w:p w:rsidRPr="00FD0938" w:rsidR="00FD0938" w:rsidP="00FD0938" w:rsidRDefault="00FD0938" w14:paraId="7AAE617E" w14:textId="77777777">
      <w:pPr>
        <w:spacing w:line="240" w:lineRule="auto"/>
        <w:rPr>
          <w:rFonts w:ascii="Arial" w:hAnsi="Arial" w:eastAsia="Calibri" w:cs="Arial"/>
          <w:b/>
          <w:bCs/>
          <w:szCs w:val="24"/>
        </w:rPr>
      </w:pPr>
      <w:r w:rsidRPr="00FD0938">
        <w:rPr>
          <w:rFonts w:ascii="Arial" w:hAnsi="Arial" w:eastAsia="Calibri" w:cs="Arial"/>
          <w:b/>
          <w:bCs/>
          <w:szCs w:val="24"/>
        </w:rPr>
        <w:t>Reviewer:</w:t>
      </w:r>
    </w:p>
    <w:p w:rsidRPr="00FD0938" w:rsidR="00FD0938" w:rsidP="00FD0938" w:rsidRDefault="00FD0938" w14:paraId="0EDF1397" w14:textId="77777777">
      <w:pPr>
        <w:spacing w:line="240" w:lineRule="auto"/>
        <w:rPr>
          <w:rFonts w:ascii="Arial" w:hAnsi="Arial" w:eastAsia="Calibri" w:cs="Arial"/>
          <w:b/>
          <w:bCs/>
          <w:szCs w:val="24"/>
        </w:rPr>
      </w:pPr>
      <w:r w:rsidRPr="00FD0938">
        <w:rPr>
          <w:rFonts w:ascii="Arial" w:hAnsi="Arial" w:eastAsia="Calibri" w:cs="Arial"/>
          <w:b/>
          <w:bCs/>
          <w:szCs w:val="24"/>
        </w:rPr>
        <w:t xml:space="preserve">Beth </w:t>
      </w:r>
      <w:proofErr w:type="spellStart"/>
      <w:r w:rsidRPr="00FD0938">
        <w:rPr>
          <w:rFonts w:ascii="Arial" w:hAnsi="Arial" w:eastAsia="Calibri" w:cs="Arial"/>
          <w:b/>
          <w:bCs/>
          <w:szCs w:val="24"/>
        </w:rPr>
        <w:t>Schlein</w:t>
      </w:r>
      <w:proofErr w:type="spellEnd"/>
      <w:r w:rsidRPr="00FD0938">
        <w:rPr>
          <w:rFonts w:ascii="Arial" w:hAnsi="Arial" w:eastAsia="Calibri" w:cs="Arial"/>
          <w:b/>
          <w:bCs/>
          <w:szCs w:val="24"/>
        </w:rPr>
        <w:t xml:space="preserve"> (Mathematical Statistician)</w:t>
      </w:r>
    </w:p>
    <w:p w:rsidRPr="00FD0938" w:rsidR="00FD0938" w:rsidP="00FD0938" w:rsidRDefault="00FD0938" w14:paraId="1EFF423A" w14:textId="77777777">
      <w:pPr>
        <w:widowControl w:val="0"/>
        <w:tabs>
          <w:tab w:val="center" w:pos="4680"/>
        </w:tabs>
        <w:suppressAutoHyphens/>
        <w:spacing w:line="240" w:lineRule="auto"/>
        <w:rPr>
          <w:rFonts w:ascii="Arial" w:hAnsi="Arial" w:eastAsia="Calibri" w:cs="Arial"/>
          <w:szCs w:val="24"/>
        </w:rPr>
      </w:pPr>
      <w:r w:rsidRPr="00FD0938">
        <w:rPr>
          <w:rFonts w:ascii="Arial" w:hAnsi="Arial" w:eastAsia="Calibri" w:cs="Arial"/>
          <w:szCs w:val="24"/>
        </w:rPr>
        <w:t>Sampling and Frame Development Section,</w:t>
      </w:r>
    </w:p>
    <w:p w:rsidRPr="00FD0938" w:rsidR="00FD0938" w:rsidP="00FD0938" w:rsidRDefault="00FD0938" w14:paraId="419C71A7" w14:textId="77777777">
      <w:pPr>
        <w:widowControl w:val="0"/>
        <w:tabs>
          <w:tab w:val="center" w:pos="4680"/>
        </w:tabs>
        <w:suppressAutoHyphens/>
        <w:spacing w:line="240" w:lineRule="auto"/>
        <w:rPr>
          <w:rFonts w:ascii="Arial" w:hAnsi="Arial" w:eastAsia="Calibri" w:cs="Arial"/>
          <w:szCs w:val="24"/>
        </w:rPr>
      </w:pPr>
      <w:r w:rsidRPr="00FD0938">
        <w:rPr>
          <w:rFonts w:ascii="Arial" w:hAnsi="Arial" w:eastAsia="Calibri" w:cs="Arial"/>
          <w:szCs w:val="24"/>
        </w:rPr>
        <w:t>Methodology Division,</w:t>
      </w:r>
    </w:p>
    <w:p w:rsidRPr="00FD0938" w:rsidR="00FD0938" w:rsidP="00FD0938" w:rsidRDefault="00FD0938" w14:paraId="29C0F18E" w14:textId="77777777">
      <w:pPr>
        <w:widowControl w:val="0"/>
        <w:tabs>
          <w:tab w:val="center" w:pos="4680"/>
        </w:tabs>
        <w:suppressAutoHyphens/>
        <w:spacing w:after="200" w:line="240" w:lineRule="auto"/>
        <w:rPr>
          <w:rFonts w:ascii="Arial" w:hAnsi="Arial" w:eastAsia="Calibri" w:cs="Arial"/>
          <w:szCs w:val="24"/>
        </w:rPr>
      </w:pPr>
      <w:r w:rsidRPr="00FD0938">
        <w:rPr>
          <w:rFonts w:ascii="Arial" w:hAnsi="Arial" w:eastAsia="Calibri" w:cs="Arial"/>
          <w:szCs w:val="24"/>
        </w:rPr>
        <w:t>National Agricultural Statistics Service, Washington, DC 20250</w:t>
      </w:r>
    </w:p>
    <w:p w:rsidRPr="00FD0938" w:rsidR="00FD0938" w:rsidP="00FD0938" w:rsidRDefault="00FD0938" w14:paraId="69FF9EEA" w14:textId="77777777">
      <w:pPr>
        <w:spacing w:line="240" w:lineRule="auto"/>
        <w:jc w:val="center"/>
        <w:rPr>
          <w:rFonts w:ascii="Arial" w:hAnsi="Arial" w:eastAsia="Calibri" w:cs="Arial"/>
          <w:b/>
          <w:bCs/>
          <w:sz w:val="32"/>
          <w:szCs w:val="28"/>
        </w:rPr>
      </w:pPr>
    </w:p>
    <w:p w:rsidRPr="00FD0938" w:rsidR="00FD0938" w:rsidP="00FD0938" w:rsidRDefault="00FD0938" w14:paraId="0E80580B" w14:textId="77777777">
      <w:pPr>
        <w:spacing w:line="240" w:lineRule="auto"/>
        <w:rPr>
          <w:rFonts w:ascii="Arial" w:hAnsi="Arial" w:eastAsia="Calibri" w:cs="Arial"/>
          <w:bCs/>
          <w:szCs w:val="24"/>
        </w:rPr>
      </w:pPr>
      <w:r w:rsidRPr="00FD0938">
        <w:rPr>
          <w:rFonts w:ascii="Arial" w:hAnsi="Arial" w:eastAsia="Calibri" w:cs="Arial"/>
          <w:bCs/>
          <w:szCs w:val="24"/>
        </w:rPr>
        <w:t>Summary of Study:</w:t>
      </w:r>
    </w:p>
    <w:p w:rsidRPr="00FD0938" w:rsidR="00FD0938" w:rsidP="00FD0938" w:rsidRDefault="00FD0938" w14:paraId="6CBE5A16" w14:textId="77777777">
      <w:pPr>
        <w:spacing w:line="240" w:lineRule="auto"/>
        <w:jc w:val="center"/>
        <w:rPr>
          <w:rFonts w:ascii="Arial" w:hAnsi="Arial" w:eastAsia="Calibri" w:cs="Arial"/>
          <w:b/>
          <w:bCs/>
          <w:szCs w:val="24"/>
        </w:rPr>
      </w:pPr>
    </w:p>
    <w:p w:rsidRPr="00FD0938" w:rsidR="00FD0938" w:rsidP="00FD0938" w:rsidRDefault="00FD0938" w14:paraId="5D92F1C1" w14:textId="77777777">
      <w:pPr>
        <w:spacing w:line="240" w:lineRule="auto"/>
        <w:rPr>
          <w:rFonts w:ascii="Arial" w:hAnsi="Arial" w:eastAsia="Calibri" w:cs="Arial"/>
          <w:bCs/>
          <w:szCs w:val="24"/>
        </w:rPr>
      </w:pPr>
      <w:r w:rsidRPr="00FD0938">
        <w:rPr>
          <w:rFonts w:ascii="Arial" w:hAnsi="Arial" w:eastAsia="Calibri" w:cs="Arial"/>
          <w:bCs/>
          <w:szCs w:val="24"/>
        </w:rPr>
        <w:t xml:space="preserve">The proposed exploratory/descriptive study aims to determine the current practices, legislation and regulations used by State/Territory Agencies (SAs) to protect Supplemental Nutrition Assistance Program (SNAP) participants’ Personally Identifiable Information (PII) and then establish best practices for </w:t>
      </w:r>
      <w:proofErr w:type="gramStart"/>
      <w:r w:rsidRPr="00FD0938">
        <w:rPr>
          <w:rFonts w:ascii="Arial" w:hAnsi="Arial" w:eastAsia="Calibri" w:cs="Arial"/>
          <w:bCs/>
          <w:szCs w:val="24"/>
        </w:rPr>
        <w:t>safe guarding</w:t>
      </w:r>
      <w:proofErr w:type="gramEnd"/>
      <w:r w:rsidRPr="00FD0938">
        <w:rPr>
          <w:rFonts w:ascii="Arial" w:hAnsi="Arial" w:eastAsia="Calibri" w:cs="Arial"/>
          <w:bCs/>
          <w:szCs w:val="24"/>
        </w:rPr>
        <w:t xml:space="preserve"> PII. The study will first use a web-based questionnaire to survey the current methods/practices used by the 53 U.S. SAs to safeguard/protect PII of SNAP participants as well as conduct semi-structured phone interviews with 5 outside industry experts to gain insight into the requirements and challenges when protecting PII. Based on the findings from these 2 activities, semi-structured phone interviews will be conducted with 5 SAs that are determined to be leaders in safeguarding PII to establish best practices and lessons learned. </w:t>
      </w:r>
    </w:p>
    <w:p w:rsidRPr="00FD0938" w:rsidR="00FD0938" w:rsidP="00FD0938" w:rsidRDefault="00FD0938" w14:paraId="69516B60" w14:textId="77777777">
      <w:pPr>
        <w:spacing w:line="240" w:lineRule="auto"/>
        <w:rPr>
          <w:rFonts w:ascii="Arial" w:hAnsi="Arial" w:eastAsia="Calibri" w:cs="Arial"/>
          <w:bCs/>
          <w:szCs w:val="24"/>
        </w:rPr>
      </w:pPr>
    </w:p>
    <w:p w:rsidRPr="00FD0938" w:rsidR="00FD0938" w:rsidP="00FD0938" w:rsidRDefault="00FD0938" w14:paraId="73914226" w14:textId="77777777">
      <w:pPr>
        <w:spacing w:line="240" w:lineRule="auto"/>
        <w:rPr>
          <w:rFonts w:ascii="Arial" w:hAnsi="Arial" w:eastAsia="Calibri" w:cs="Arial"/>
          <w:bCs/>
          <w:szCs w:val="24"/>
        </w:rPr>
      </w:pPr>
      <w:r w:rsidRPr="00FD0938">
        <w:rPr>
          <w:rFonts w:ascii="Arial" w:hAnsi="Arial" w:eastAsia="Calibri" w:cs="Arial"/>
          <w:bCs/>
          <w:szCs w:val="24"/>
        </w:rPr>
        <w:t xml:space="preserve">The goals of the study are worthy of investigation. Items required in an OMB docket are touched upon in the various </w:t>
      </w:r>
      <w:r w:rsidRPr="00FD0938">
        <w:rPr>
          <w:rFonts w:ascii="Arial" w:hAnsi="Arial" w:eastAsia="Calibri" w:cs="Arial"/>
          <w:bCs/>
          <w:i/>
          <w:szCs w:val="24"/>
        </w:rPr>
        <w:t>Appendices</w:t>
      </w:r>
      <w:r w:rsidRPr="00FD0938">
        <w:rPr>
          <w:rFonts w:ascii="Arial" w:hAnsi="Arial" w:eastAsia="Calibri" w:cs="Arial"/>
          <w:bCs/>
          <w:szCs w:val="24"/>
        </w:rPr>
        <w:t xml:space="preserve"> and to some degree in </w:t>
      </w:r>
      <w:r w:rsidRPr="00FD0938">
        <w:rPr>
          <w:rFonts w:ascii="Arial" w:hAnsi="Arial" w:eastAsia="Calibri" w:cs="Arial"/>
          <w:bCs/>
          <w:i/>
          <w:szCs w:val="24"/>
        </w:rPr>
        <w:t>Supporting Statements Parts A and B</w:t>
      </w:r>
      <w:r w:rsidRPr="00FD0938">
        <w:rPr>
          <w:rFonts w:ascii="Arial" w:hAnsi="Arial" w:eastAsia="Calibri" w:cs="Arial"/>
          <w:bCs/>
          <w:szCs w:val="24"/>
        </w:rPr>
        <w:t xml:space="preserve">, but the </w:t>
      </w:r>
      <w:r w:rsidRPr="00FD0938">
        <w:rPr>
          <w:rFonts w:ascii="Arial" w:hAnsi="Arial" w:eastAsia="Calibri" w:cs="Arial"/>
          <w:bCs/>
          <w:i/>
          <w:szCs w:val="24"/>
        </w:rPr>
        <w:t>Supporting Statements Part A and B</w:t>
      </w:r>
      <w:r w:rsidRPr="00FD0938">
        <w:rPr>
          <w:rFonts w:ascii="Arial" w:hAnsi="Arial" w:eastAsia="Calibri" w:cs="Arial"/>
          <w:bCs/>
          <w:szCs w:val="24"/>
        </w:rPr>
        <w:t xml:space="preserve"> need more detail for readers to understand the survey methodology. Areas where background and/or elaboration would improve understanding are described below.</w:t>
      </w:r>
    </w:p>
    <w:p w:rsidRPr="00FD0938" w:rsidR="00FD0938" w:rsidP="00FD0938" w:rsidRDefault="00FD0938" w14:paraId="26A3AACF" w14:textId="77777777">
      <w:pPr>
        <w:spacing w:line="240" w:lineRule="auto"/>
        <w:rPr>
          <w:rFonts w:ascii="Arial" w:hAnsi="Arial" w:eastAsia="Calibri" w:cs="Arial"/>
          <w:bCs/>
          <w:szCs w:val="24"/>
        </w:rPr>
      </w:pPr>
    </w:p>
    <w:p w:rsidRPr="00FD0938" w:rsidR="00FD0938" w:rsidP="00FD0938" w:rsidRDefault="00FD0938" w14:paraId="6FDC9C8A" w14:textId="77777777">
      <w:pPr>
        <w:spacing w:line="240" w:lineRule="auto"/>
        <w:rPr>
          <w:rFonts w:ascii="Arial" w:hAnsi="Arial" w:eastAsia="Calibri" w:cs="Arial"/>
          <w:bCs/>
          <w:szCs w:val="24"/>
        </w:rPr>
      </w:pPr>
      <w:r w:rsidRPr="00FD0938">
        <w:rPr>
          <w:rFonts w:ascii="Arial" w:hAnsi="Arial" w:eastAsia="Calibri" w:cs="Arial"/>
          <w:bCs/>
          <w:szCs w:val="24"/>
        </w:rPr>
        <w:t xml:space="preserve">In </w:t>
      </w:r>
      <w:r w:rsidRPr="00FD0938">
        <w:rPr>
          <w:rFonts w:ascii="Arial" w:hAnsi="Arial" w:eastAsia="Calibri" w:cs="Arial"/>
          <w:bCs/>
          <w:i/>
          <w:szCs w:val="24"/>
        </w:rPr>
        <w:t>Supporting Statement Part A, Table A.3</w:t>
      </w:r>
      <w:r w:rsidRPr="00FD0938">
        <w:rPr>
          <w:rFonts w:ascii="Arial" w:hAnsi="Arial" w:eastAsia="Calibri" w:cs="Arial"/>
          <w:bCs/>
          <w:szCs w:val="24"/>
        </w:rPr>
        <w:t xml:space="preserve"> shows that 10 Industry Experts and 7 SA leaders will be initially contacted to participate in the study and after a number of follow-ups, there is an expectation that there will be 5 Industry Experts and 5 SA respondents. Yet for the 53 SAs, it is anticipated that nearly 100 percent of the SAs will participate. Since pretest findings described in </w:t>
      </w:r>
      <w:r w:rsidRPr="00FD0938">
        <w:rPr>
          <w:rFonts w:ascii="Arial" w:hAnsi="Arial" w:eastAsia="Calibri" w:cs="Arial"/>
          <w:bCs/>
          <w:i/>
          <w:szCs w:val="24"/>
        </w:rPr>
        <w:t xml:space="preserve">Appendix G.1 </w:t>
      </w:r>
      <w:r w:rsidRPr="00FD0938">
        <w:rPr>
          <w:rFonts w:ascii="Arial" w:hAnsi="Arial" w:eastAsia="Calibri" w:cs="Arial"/>
          <w:bCs/>
          <w:szCs w:val="24"/>
        </w:rPr>
        <w:t xml:space="preserve">did not show close to a 100 percent response, perhaps, a more detailed explanation of why there is a difference in expectations for the different groups, especially since the study is not mandatory for any of the respondents. </w:t>
      </w:r>
    </w:p>
    <w:p w:rsidRPr="00FD0938" w:rsidR="00FD0938" w:rsidP="00FD0938" w:rsidRDefault="00FD0938" w14:paraId="7D6E5610" w14:textId="77777777">
      <w:pPr>
        <w:spacing w:line="240" w:lineRule="auto"/>
        <w:rPr>
          <w:rFonts w:ascii="Arial" w:hAnsi="Arial" w:eastAsia="Calibri" w:cs="Arial"/>
          <w:bCs/>
          <w:szCs w:val="24"/>
        </w:rPr>
      </w:pPr>
    </w:p>
    <w:p w:rsidRPr="00FD0938" w:rsidR="00FD0938" w:rsidP="00FD0938" w:rsidRDefault="00FD0938" w14:paraId="0CE88E70" w14:textId="77777777">
      <w:pPr>
        <w:spacing w:line="240" w:lineRule="auto"/>
        <w:rPr>
          <w:rFonts w:ascii="Arial" w:hAnsi="Arial" w:eastAsia="Calibri" w:cs="Arial"/>
          <w:bCs/>
          <w:szCs w:val="24"/>
        </w:rPr>
      </w:pPr>
      <w:r w:rsidRPr="00FD0938">
        <w:rPr>
          <w:rFonts w:ascii="Arial" w:hAnsi="Arial" w:eastAsia="Calibri" w:cs="Arial"/>
          <w:bCs/>
          <w:i/>
          <w:szCs w:val="24"/>
        </w:rPr>
        <w:lastRenderedPageBreak/>
        <w:t>Supporting Statement Part B</w:t>
      </w:r>
      <w:r w:rsidRPr="00FD0938">
        <w:rPr>
          <w:rFonts w:ascii="Arial" w:hAnsi="Arial" w:eastAsia="Calibri" w:cs="Arial"/>
          <w:bCs/>
          <w:szCs w:val="24"/>
        </w:rPr>
        <w:t xml:space="preserve"> briefly mentions the use of a non-response adjustment factor if the response rate falls below 80 percent, but no details regarding the methodology are provided. States with fewer resources may be less likely to respond, so how will data/information regarding these states/territories be covered and included. </w:t>
      </w:r>
    </w:p>
    <w:p w:rsidRPr="00FD0938" w:rsidR="00FD0938" w:rsidP="00FD0938" w:rsidRDefault="00FD0938" w14:paraId="50AD2472" w14:textId="77777777">
      <w:pPr>
        <w:spacing w:line="240" w:lineRule="auto"/>
        <w:rPr>
          <w:rFonts w:ascii="Arial" w:hAnsi="Arial" w:eastAsia="Calibri" w:cs="Arial"/>
          <w:bCs/>
          <w:szCs w:val="24"/>
        </w:rPr>
      </w:pPr>
    </w:p>
    <w:p w:rsidRPr="00FD0938" w:rsidR="00FD0938" w:rsidP="00FD0938" w:rsidRDefault="00FD0938" w14:paraId="1D5C0760" w14:textId="77777777">
      <w:pPr>
        <w:spacing w:line="240" w:lineRule="auto"/>
        <w:rPr>
          <w:rFonts w:ascii="Arial" w:hAnsi="Arial" w:eastAsia="Calibri" w:cs="Arial"/>
          <w:bCs/>
          <w:szCs w:val="24"/>
        </w:rPr>
      </w:pPr>
      <w:r w:rsidRPr="00FD0938">
        <w:rPr>
          <w:rFonts w:ascii="Arial" w:hAnsi="Arial" w:eastAsia="Calibri" w:cs="Arial"/>
          <w:bCs/>
          <w:szCs w:val="24"/>
        </w:rPr>
        <w:t xml:space="preserve">A more detailed plan of how experts will be selected for the survey, including how to ensure good coverage would also be helpful. The technique of “snowball sampling,” mentioned in </w:t>
      </w:r>
      <w:r w:rsidRPr="00FD0938">
        <w:rPr>
          <w:rFonts w:ascii="Arial" w:hAnsi="Arial" w:eastAsia="Calibri" w:cs="Arial"/>
          <w:bCs/>
          <w:i/>
          <w:szCs w:val="24"/>
        </w:rPr>
        <w:t>Supporting Statement Part B,</w:t>
      </w:r>
      <w:r w:rsidRPr="00FD0938">
        <w:rPr>
          <w:rFonts w:ascii="Arial" w:hAnsi="Arial" w:eastAsia="Calibri" w:cs="Arial"/>
          <w:bCs/>
          <w:szCs w:val="24"/>
        </w:rPr>
        <w:t xml:space="preserve"> to select industry experts may lead to like-minded experts, rather than good coverage. In turn, the selection of industry experts will influence the selection of SA leaders and the establishment of best practices. It may be hard to establish the same best practices for all SAs due to differences in available resources, </w:t>
      </w:r>
      <w:proofErr w:type="gramStart"/>
      <w:r w:rsidRPr="00FD0938">
        <w:rPr>
          <w:rFonts w:ascii="Arial" w:hAnsi="Arial" w:eastAsia="Calibri" w:cs="Arial"/>
          <w:bCs/>
          <w:szCs w:val="24"/>
        </w:rPr>
        <w:t>caseloads</w:t>
      </w:r>
      <w:proofErr w:type="gramEnd"/>
      <w:r w:rsidRPr="00FD0938">
        <w:rPr>
          <w:rFonts w:ascii="Arial" w:hAnsi="Arial" w:eastAsia="Calibri" w:cs="Arial"/>
          <w:bCs/>
          <w:szCs w:val="24"/>
        </w:rPr>
        <w:t xml:space="preserve"> and methods of reporting (state/county/territory). Perhaps the SAs can be stratified and stratum specific guidelines/best practices established rather than a single set of guidelines/best practices.</w:t>
      </w:r>
    </w:p>
    <w:p w:rsidRPr="00FD0938" w:rsidR="00FD0938" w:rsidP="00FD0938" w:rsidRDefault="00FD0938" w14:paraId="6E93BF2B" w14:textId="77777777">
      <w:pPr>
        <w:spacing w:line="240" w:lineRule="auto"/>
        <w:rPr>
          <w:rFonts w:ascii="Arial" w:hAnsi="Arial" w:eastAsia="Calibri" w:cs="Arial"/>
          <w:bCs/>
          <w:szCs w:val="24"/>
        </w:rPr>
      </w:pPr>
    </w:p>
    <w:p w:rsidRPr="00FD0938" w:rsidR="00FD0938" w:rsidP="00FD0938" w:rsidRDefault="00FD0938" w14:paraId="3519D7E5" w14:textId="77777777">
      <w:pPr>
        <w:spacing w:line="240" w:lineRule="auto"/>
        <w:rPr>
          <w:rFonts w:ascii="Arial" w:hAnsi="Arial" w:eastAsia="Calibri" w:cs="Arial"/>
          <w:bCs/>
          <w:szCs w:val="24"/>
        </w:rPr>
      </w:pPr>
      <w:r w:rsidRPr="00FD0938">
        <w:rPr>
          <w:rFonts w:ascii="Arial" w:hAnsi="Arial" w:eastAsia="Calibri" w:cs="Arial"/>
          <w:bCs/>
          <w:szCs w:val="24"/>
        </w:rPr>
        <w:t xml:space="preserve">Confidentiality may be an issue when numerical data (for example, </w:t>
      </w:r>
      <w:r w:rsidRPr="00FD0938">
        <w:rPr>
          <w:rFonts w:ascii="Arial" w:hAnsi="Arial" w:eastAsia="Calibri" w:cs="Arial"/>
          <w:bCs/>
          <w:i/>
          <w:szCs w:val="24"/>
        </w:rPr>
        <w:t>Appendix B.2 question 5.17</w:t>
      </w:r>
      <w:r w:rsidRPr="00FD0938">
        <w:rPr>
          <w:rFonts w:ascii="Arial" w:hAnsi="Arial" w:eastAsia="Calibri" w:cs="Arial"/>
          <w:bCs/>
          <w:szCs w:val="24"/>
        </w:rPr>
        <w:t>) is summarized (aggregated). Will the summarized data be reviewed for potential disclosure and appropriate disclosure avoidance techniques be employed as necessary?</w:t>
      </w:r>
    </w:p>
    <w:p w:rsidRPr="00FD0938" w:rsidR="00FD0938" w:rsidP="00FD0938" w:rsidRDefault="00FD0938" w14:paraId="3B7C4F06" w14:textId="77777777">
      <w:pPr>
        <w:spacing w:line="240" w:lineRule="auto"/>
        <w:rPr>
          <w:rFonts w:ascii="Arial" w:hAnsi="Arial" w:eastAsia="Calibri" w:cs="Arial"/>
          <w:bCs/>
          <w:szCs w:val="24"/>
        </w:rPr>
      </w:pPr>
    </w:p>
    <w:p w:rsidRPr="00FD0938" w:rsidR="00FD0938" w:rsidP="00FD0938" w:rsidRDefault="00FD0938" w14:paraId="2AF06310" w14:textId="77777777">
      <w:pPr>
        <w:spacing w:line="240" w:lineRule="auto"/>
        <w:rPr>
          <w:rFonts w:ascii="Arial" w:hAnsi="Arial" w:eastAsia="Calibri" w:cs="Arial"/>
          <w:bCs/>
          <w:szCs w:val="24"/>
        </w:rPr>
      </w:pPr>
      <w:r w:rsidRPr="00FD0938">
        <w:rPr>
          <w:rFonts w:ascii="Arial" w:hAnsi="Arial" w:eastAsia="Calibri" w:cs="Arial"/>
          <w:bCs/>
          <w:szCs w:val="24"/>
        </w:rPr>
        <w:t xml:space="preserve">General comment: spelling, accuracy and consistency of table rows and section headings should be reviewed. </w:t>
      </w:r>
    </w:p>
    <w:p w:rsidRPr="00FD0938" w:rsidR="00FD0938" w:rsidP="00FD0938" w:rsidRDefault="00FD0938" w14:paraId="63151408" w14:textId="77777777">
      <w:pPr>
        <w:spacing w:line="240" w:lineRule="auto"/>
        <w:rPr>
          <w:rFonts w:ascii="Arial" w:hAnsi="Arial" w:eastAsia="Calibri" w:cs="Arial"/>
          <w:bCs/>
          <w:szCs w:val="24"/>
        </w:rPr>
      </w:pPr>
    </w:p>
    <w:p w:rsidRPr="00FD0938" w:rsidR="00FD0938" w:rsidP="00FD0938" w:rsidRDefault="00FD0938" w14:paraId="3AAE7217" w14:textId="77777777">
      <w:pPr>
        <w:numPr>
          <w:ilvl w:val="0"/>
          <w:numId w:val="70"/>
        </w:numPr>
        <w:spacing w:line="240" w:lineRule="auto"/>
        <w:contextualSpacing/>
        <w:rPr>
          <w:rFonts w:ascii="Arial" w:hAnsi="Arial" w:eastAsia="Calibri" w:cs="Arial"/>
          <w:bCs/>
          <w:szCs w:val="24"/>
        </w:rPr>
      </w:pPr>
      <w:r w:rsidRPr="00FD0938">
        <w:rPr>
          <w:rFonts w:ascii="Arial" w:hAnsi="Arial" w:eastAsia="Calibri" w:cs="Arial"/>
          <w:bCs/>
          <w:szCs w:val="24"/>
        </w:rPr>
        <w:t xml:space="preserve">All acronyms should be defined when first referenced, so that the general public can easily follow what is written (for example, in </w:t>
      </w:r>
      <w:r w:rsidRPr="00FD0938">
        <w:rPr>
          <w:rFonts w:ascii="Arial" w:hAnsi="Arial" w:eastAsia="Calibri" w:cs="Arial"/>
          <w:bCs/>
          <w:i/>
          <w:szCs w:val="24"/>
        </w:rPr>
        <w:t xml:space="preserve">Supporting Statement Part A, </w:t>
      </w:r>
      <w:r w:rsidRPr="00FD0938">
        <w:rPr>
          <w:rFonts w:ascii="Arial" w:hAnsi="Arial" w:eastAsia="Calibri" w:cs="Arial"/>
          <w:bCs/>
          <w:szCs w:val="24"/>
        </w:rPr>
        <w:t>FNS and EBT).</w:t>
      </w:r>
    </w:p>
    <w:p w:rsidRPr="00FD0938" w:rsidR="00FD0938" w:rsidP="00FD0938" w:rsidRDefault="00FD0938" w14:paraId="515BA782" w14:textId="77777777">
      <w:pPr>
        <w:spacing w:line="240" w:lineRule="auto"/>
        <w:rPr>
          <w:rFonts w:ascii="Arial" w:hAnsi="Arial" w:eastAsia="Calibri" w:cs="Arial"/>
          <w:bCs/>
          <w:szCs w:val="24"/>
        </w:rPr>
      </w:pPr>
    </w:p>
    <w:p w:rsidRPr="00FD0938" w:rsidR="00FD0938" w:rsidP="00FD0938" w:rsidRDefault="00FD0938" w14:paraId="4436072F" w14:textId="77777777">
      <w:pPr>
        <w:numPr>
          <w:ilvl w:val="0"/>
          <w:numId w:val="70"/>
        </w:numPr>
        <w:spacing w:line="240" w:lineRule="auto"/>
        <w:contextualSpacing/>
        <w:rPr>
          <w:rFonts w:ascii="Arial" w:hAnsi="Arial" w:eastAsia="Calibri" w:cs="Arial"/>
          <w:bCs/>
          <w:szCs w:val="24"/>
        </w:rPr>
      </w:pPr>
      <w:r w:rsidRPr="00FD0938">
        <w:rPr>
          <w:rFonts w:ascii="Arial" w:hAnsi="Arial" w:eastAsia="Calibri" w:cs="Arial"/>
          <w:bCs/>
          <w:szCs w:val="24"/>
        </w:rPr>
        <w:t xml:space="preserve">For clarity and ease of understanding, tables should include brief headings rather than reference to columns keys (for example, </w:t>
      </w:r>
      <w:r w:rsidRPr="00FD0938">
        <w:rPr>
          <w:rFonts w:ascii="Arial" w:hAnsi="Arial" w:eastAsia="Calibri" w:cs="Arial"/>
          <w:bCs/>
          <w:i/>
          <w:szCs w:val="24"/>
        </w:rPr>
        <w:t>Supporting Statement Part A Table A.3</w:t>
      </w:r>
      <w:r w:rsidRPr="00FD0938">
        <w:rPr>
          <w:rFonts w:ascii="Arial" w:hAnsi="Arial" w:eastAsia="Calibri" w:cs="Arial"/>
          <w:bCs/>
          <w:szCs w:val="24"/>
        </w:rPr>
        <w:t xml:space="preserve"> is difficult to understand while the table in</w:t>
      </w:r>
      <w:r w:rsidRPr="00FD0938">
        <w:rPr>
          <w:rFonts w:ascii="Arial" w:hAnsi="Arial" w:eastAsia="Calibri" w:cs="Arial"/>
          <w:bCs/>
          <w:i/>
          <w:szCs w:val="24"/>
        </w:rPr>
        <w:t xml:space="preserve"> Appendix E-1</w:t>
      </w:r>
      <w:r w:rsidRPr="00FD0938">
        <w:rPr>
          <w:rFonts w:ascii="Arial" w:hAnsi="Arial" w:eastAsia="Calibri" w:cs="Arial"/>
          <w:bCs/>
          <w:szCs w:val="24"/>
        </w:rPr>
        <w:t xml:space="preserve"> is easier to follow). </w:t>
      </w:r>
    </w:p>
    <w:p w:rsidRPr="00FD0938" w:rsidR="00FD0938" w:rsidP="00FD0938" w:rsidRDefault="00FD0938" w14:paraId="67BE718F" w14:textId="77777777">
      <w:pPr>
        <w:spacing w:line="240" w:lineRule="auto"/>
        <w:ind w:left="720"/>
        <w:contextualSpacing/>
        <w:rPr>
          <w:rFonts w:ascii="Arial" w:hAnsi="Arial" w:eastAsia="Calibri" w:cs="Arial"/>
          <w:bCs/>
          <w:szCs w:val="24"/>
        </w:rPr>
      </w:pPr>
    </w:p>
    <w:p w:rsidRPr="00FD0938" w:rsidR="00FD0938" w:rsidP="00FD0938" w:rsidRDefault="00FD0938" w14:paraId="101772D6" w14:textId="77777777">
      <w:pPr>
        <w:numPr>
          <w:ilvl w:val="0"/>
          <w:numId w:val="70"/>
        </w:numPr>
        <w:spacing w:line="240" w:lineRule="auto"/>
        <w:contextualSpacing/>
        <w:rPr>
          <w:rFonts w:ascii="Arial" w:hAnsi="Arial" w:eastAsia="Calibri" w:cs="Arial"/>
          <w:bCs/>
          <w:szCs w:val="24"/>
        </w:rPr>
      </w:pPr>
      <w:r w:rsidRPr="00FD0938">
        <w:rPr>
          <w:rFonts w:ascii="Arial" w:hAnsi="Arial" w:eastAsia="Calibri" w:cs="Arial"/>
          <w:bCs/>
          <w:szCs w:val="24"/>
        </w:rPr>
        <w:t xml:space="preserve">Tables should be reviewed for correctness and consistency of rows/ headings (for example, </w:t>
      </w:r>
      <w:r w:rsidRPr="00FD0938">
        <w:rPr>
          <w:rFonts w:ascii="Arial" w:hAnsi="Arial" w:eastAsia="Calibri" w:cs="Arial"/>
          <w:bCs/>
          <w:i/>
          <w:szCs w:val="24"/>
        </w:rPr>
        <w:t>Supporting Statement Part A Table A.3</w:t>
      </w:r>
      <w:r w:rsidRPr="00FD0938">
        <w:rPr>
          <w:rFonts w:ascii="Arial" w:hAnsi="Arial" w:eastAsia="Calibri" w:cs="Arial"/>
          <w:bCs/>
          <w:szCs w:val="24"/>
        </w:rPr>
        <w:t xml:space="preserve"> row </w:t>
      </w:r>
      <w:r w:rsidRPr="00FD0938">
        <w:rPr>
          <w:rFonts w:ascii="Arial" w:hAnsi="Arial" w:eastAsia="Calibri" w:cs="Arial"/>
          <w:bCs/>
          <w:i/>
          <w:szCs w:val="24"/>
        </w:rPr>
        <w:t>Industry Experts Interview Recruitment Phone Call Script 2</w:t>
      </w:r>
      <w:r w:rsidRPr="00FD0938">
        <w:rPr>
          <w:rFonts w:ascii="Arial" w:hAnsi="Arial" w:eastAsia="Calibri" w:cs="Arial"/>
          <w:bCs/>
          <w:szCs w:val="24"/>
        </w:rPr>
        <w:t xml:space="preserve"> should be removed. It is inconsistent with table in </w:t>
      </w:r>
      <w:r w:rsidRPr="00FD0938">
        <w:rPr>
          <w:rFonts w:ascii="Arial" w:hAnsi="Arial" w:eastAsia="Calibri" w:cs="Arial"/>
          <w:bCs/>
          <w:i/>
          <w:szCs w:val="24"/>
        </w:rPr>
        <w:t>Appendix E-1</w:t>
      </w:r>
      <w:r w:rsidRPr="00FD0938">
        <w:rPr>
          <w:rFonts w:ascii="Arial" w:hAnsi="Arial" w:eastAsia="Calibri" w:cs="Arial"/>
          <w:bCs/>
          <w:szCs w:val="24"/>
        </w:rPr>
        <w:t xml:space="preserve">). </w:t>
      </w:r>
    </w:p>
    <w:p w:rsidRPr="00FD0938" w:rsidR="00FD0938" w:rsidP="00FD0938" w:rsidRDefault="00FD0938" w14:paraId="6E9D4731" w14:textId="77777777">
      <w:pPr>
        <w:spacing w:line="240" w:lineRule="auto"/>
        <w:ind w:left="720"/>
        <w:contextualSpacing/>
        <w:rPr>
          <w:rFonts w:ascii="Arial" w:hAnsi="Arial" w:eastAsia="Calibri" w:cs="Arial"/>
          <w:bCs/>
          <w:szCs w:val="24"/>
        </w:rPr>
      </w:pPr>
    </w:p>
    <w:p w:rsidRPr="00FD0938" w:rsidR="00FD0938" w:rsidP="00FD0938" w:rsidRDefault="00FD0938" w14:paraId="22C11FA2" w14:textId="77777777">
      <w:pPr>
        <w:numPr>
          <w:ilvl w:val="0"/>
          <w:numId w:val="70"/>
        </w:numPr>
        <w:spacing w:line="240" w:lineRule="auto"/>
        <w:contextualSpacing/>
        <w:rPr>
          <w:rFonts w:ascii="Arial" w:hAnsi="Arial" w:eastAsia="Calibri" w:cs="Arial"/>
          <w:bCs/>
          <w:szCs w:val="24"/>
        </w:rPr>
      </w:pPr>
      <w:r w:rsidRPr="00FD0938">
        <w:rPr>
          <w:rFonts w:ascii="Arial" w:hAnsi="Arial" w:eastAsia="Calibri" w:cs="Arial"/>
          <w:bCs/>
          <w:szCs w:val="24"/>
        </w:rPr>
        <w:t xml:space="preserve">Spelling should be reviewed and corrected (for example, </w:t>
      </w:r>
      <w:r w:rsidRPr="00FD0938">
        <w:rPr>
          <w:rFonts w:ascii="Arial" w:hAnsi="Arial" w:eastAsia="Calibri" w:cs="Arial"/>
          <w:bCs/>
          <w:i/>
          <w:szCs w:val="24"/>
        </w:rPr>
        <w:t>Appendix G-12</w:t>
      </w:r>
      <w:r w:rsidRPr="00FD0938">
        <w:rPr>
          <w:rFonts w:ascii="Arial" w:hAnsi="Arial" w:eastAsia="Calibri" w:cs="Arial"/>
          <w:bCs/>
          <w:szCs w:val="24"/>
        </w:rPr>
        <w:t xml:space="preserve"> should be Experts rather than “Exerts”). </w:t>
      </w:r>
    </w:p>
    <w:p w:rsidRPr="00FD0938" w:rsidR="00FD0938" w:rsidP="00FD0938" w:rsidRDefault="00FD0938" w14:paraId="65E75501" w14:textId="77777777">
      <w:pPr>
        <w:spacing w:line="240" w:lineRule="auto"/>
        <w:ind w:left="720"/>
        <w:contextualSpacing/>
        <w:rPr>
          <w:rFonts w:ascii="Arial" w:hAnsi="Arial" w:eastAsia="Calibri" w:cs="Arial"/>
          <w:bCs/>
          <w:szCs w:val="24"/>
        </w:rPr>
      </w:pPr>
    </w:p>
    <w:p w:rsidRPr="00FD0938" w:rsidR="00FD0938" w:rsidP="00FD0938" w:rsidRDefault="00FD0938" w14:paraId="76B4E851" w14:textId="77777777">
      <w:pPr>
        <w:numPr>
          <w:ilvl w:val="0"/>
          <w:numId w:val="70"/>
        </w:numPr>
        <w:spacing w:line="240" w:lineRule="auto"/>
        <w:contextualSpacing/>
        <w:rPr>
          <w:rFonts w:ascii="Arial" w:hAnsi="Arial" w:eastAsia="Calibri" w:cs="Arial"/>
          <w:bCs/>
          <w:szCs w:val="24"/>
        </w:rPr>
      </w:pPr>
      <w:r w:rsidRPr="00FD0938">
        <w:rPr>
          <w:rFonts w:ascii="Arial" w:hAnsi="Arial" w:eastAsia="Calibri" w:cs="Arial"/>
          <w:bCs/>
          <w:szCs w:val="24"/>
        </w:rPr>
        <w:t xml:space="preserve">Headings should match to sections (for example, </w:t>
      </w:r>
      <w:r w:rsidRPr="00FD0938">
        <w:rPr>
          <w:rFonts w:ascii="Arial" w:hAnsi="Arial" w:eastAsia="Calibri" w:cs="Arial"/>
          <w:bCs/>
          <w:i/>
          <w:szCs w:val="24"/>
        </w:rPr>
        <w:t>Appendix G</w:t>
      </w:r>
      <w:r w:rsidRPr="00FD0938">
        <w:rPr>
          <w:rFonts w:ascii="Arial" w:hAnsi="Arial" w:eastAsia="Calibri" w:cs="Arial"/>
          <w:bCs/>
          <w:szCs w:val="24"/>
        </w:rPr>
        <w:t xml:space="preserve"> has Appendix headings referencing section A).</w:t>
      </w:r>
    </w:p>
    <w:p w:rsidRPr="00FD0938" w:rsidR="00FD0938" w:rsidP="00FD0938" w:rsidRDefault="00FD0938" w14:paraId="15416D48" w14:textId="77777777">
      <w:pPr>
        <w:rPr>
          <w:rFonts w:ascii="Arial" w:hAnsi="Arial" w:eastAsia="Calibri" w:cs="Arial"/>
          <w:szCs w:val="24"/>
        </w:rPr>
      </w:pPr>
    </w:p>
    <w:p w:rsidR="00F1561D" w:rsidP="00913874" w:rsidRDefault="00FD0938" w14:paraId="1DEE0699" w14:textId="13FF3A27">
      <w:pPr>
        <w:spacing w:line="240" w:lineRule="auto"/>
      </w:pPr>
      <w:r w:rsidRPr="00FD0938">
        <w:rPr>
          <w:rFonts w:ascii="Arial" w:hAnsi="Arial" w:eastAsia="Calibri" w:cs="Arial"/>
          <w:szCs w:val="24"/>
        </w:rPr>
        <w:t xml:space="preserve">The above examples are </w:t>
      </w:r>
      <w:r w:rsidRPr="00FD0938">
        <w:rPr>
          <w:rFonts w:ascii="Arial" w:hAnsi="Arial" w:eastAsia="Calibri" w:cs="Arial"/>
          <w:i/>
          <w:szCs w:val="24"/>
        </w:rPr>
        <w:t>not</w:t>
      </w:r>
      <w:r w:rsidRPr="00FD0938">
        <w:rPr>
          <w:rFonts w:ascii="Arial" w:hAnsi="Arial" w:eastAsia="Calibri" w:cs="Arial"/>
          <w:szCs w:val="24"/>
        </w:rPr>
        <w:t xml:space="preserve"> an exhaustive listing of issues that should be reviewed and corrected, but for the purpose of example.</w:t>
      </w:r>
    </w:p>
    <w:p w:rsidRPr="009F7EC8" w:rsidR="009F7EC8" w:rsidP="00640525" w:rsidRDefault="009F7EC8" w14:paraId="74208990" w14:textId="3161E77C">
      <w:pPr>
        <w:spacing w:after="160" w:line="259" w:lineRule="auto"/>
        <w:ind w:left="-720" w:right="-720"/>
        <w:jc w:val="center"/>
      </w:pPr>
    </w:p>
    <w:sectPr w:rsidRPr="009F7EC8" w:rsidR="009F7EC8" w:rsidSect="0091387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206EC372"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w:t>
    </w:r>
    <w:r w:rsidR="00913874">
      <w:rPr>
        <w:sz w:val="18"/>
      </w:rPr>
      <w:t>E</w:t>
    </w:r>
    <w:r>
      <w:rPr>
        <w:sz w:val="18"/>
      </w:rPr>
      <w:t>-</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F430B6">
      <w:rPr>
        <w:b/>
        <w:noProof/>
        <w:color w:val="009CD3" w:themeColor="accent1"/>
        <w:sz w:val="18"/>
      </w:rPr>
      <w:t>3</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FB68F4"/>
    <w:multiLevelType w:val="hybridMultilevel"/>
    <w:tmpl w:val="0D20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4"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53"/>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8"/>
  </w:num>
  <w:num w:numId="6">
    <w:abstractNumId w:val="40"/>
  </w:num>
  <w:num w:numId="7">
    <w:abstractNumId w:val="11"/>
  </w:num>
  <w:num w:numId="8">
    <w:abstractNumId w:val="0"/>
  </w:num>
  <w:num w:numId="9">
    <w:abstractNumId w:val="44"/>
  </w:num>
  <w:num w:numId="10">
    <w:abstractNumId w:val="57"/>
  </w:num>
  <w:num w:numId="11">
    <w:abstractNumId w:val="20"/>
  </w:num>
  <w:num w:numId="12">
    <w:abstractNumId w:val="23"/>
  </w:num>
  <w:num w:numId="13">
    <w:abstractNumId w:val="58"/>
  </w:num>
  <w:num w:numId="14">
    <w:abstractNumId w:val="3"/>
  </w:num>
  <w:num w:numId="15">
    <w:abstractNumId w:val="65"/>
  </w:num>
  <w:num w:numId="1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9"/>
  </w:num>
  <w:num w:numId="19">
    <w:abstractNumId w:val="66"/>
  </w:num>
  <w:num w:numId="20">
    <w:abstractNumId w:val="24"/>
  </w:num>
  <w:num w:numId="21">
    <w:abstractNumId w:val="38"/>
  </w:num>
  <w:num w:numId="22">
    <w:abstractNumId w:val="6"/>
  </w:num>
  <w:num w:numId="23">
    <w:abstractNumId w:val="48"/>
  </w:num>
  <w:num w:numId="24">
    <w:abstractNumId w:val="19"/>
  </w:num>
  <w:num w:numId="25">
    <w:abstractNumId w:val="60"/>
  </w:num>
  <w:num w:numId="26">
    <w:abstractNumId w:val="45"/>
  </w:num>
  <w:num w:numId="27">
    <w:abstractNumId w:val="47"/>
  </w:num>
  <w:num w:numId="28">
    <w:abstractNumId w:val="61"/>
  </w:num>
  <w:num w:numId="29">
    <w:abstractNumId w:val="5"/>
  </w:num>
  <w:num w:numId="30">
    <w:abstractNumId w:val="52"/>
  </w:num>
  <w:num w:numId="31">
    <w:abstractNumId w:val="17"/>
  </w:num>
  <w:num w:numId="32">
    <w:abstractNumId w:val="30"/>
  </w:num>
  <w:num w:numId="33">
    <w:abstractNumId w:val="29"/>
  </w:num>
  <w:num w:numId="34">
    <w:abstractNumId w:val="59"/>
  </w:num>
  <w:num w:numId="35">
    <w:abstractNumId w:val="34"/>
  </w:num>
  <w:num w:numId="36">
    <w:abstractNumId w:val="41"/>
  </w:num>
  <w:num w:numId="37">
    <w:abstractNumId w:val="55"/>
  </w:num>
  <w:num w:numId="38">
    <w:abstractNumId w:val="16"/>
  </w:num>
  <w:num w:numId="39">
    <w:abstractNumId w:val="63"/>
  </w:num>
  <w:num w:numId="40">
    <w:abstractNumId w:val="39"/>
  </w:num>
  <w:num w:numId="41">
    <w:abstractNumId w:val="1"/>
  </w:num>
  <w:num w:numId="42">
    <w:abstractNumId w:val="32"/>
  </w:num>
  <w:num w:numId="43">
    <w:abstractNumId w:val="31"/>
  </w:num>
  <w:num w:numId="44">
    <w:abstractNumId w:val="14"/>
  </w:num>
  <w:num w:numId="45">
    <w:abstractNumId w:val="64"/>
  </w:num>
  <w:num w:numId="46">
    <w:abstractNumId w:val="26"/>
  </w:num>
  <w:num w:numId="47">
    <w:abstractNumId w:val="22"/>
  </w:num>
  <w:num w:numId="48">
    <w:abstractNumId w:val="9"/>
  </w:num>
  <w:num w:numId="49">
    <w:abstractNumId w:val="27"/>
  </w:num>
  <w:num w:numId="50">
    <w:abstractNumId w:val="43"/>
  </w:num>
  <w:num w:numId="51">
    <w:abstractNumId w:val="68"/>
  </w:num>
  <w:num w:numId="52">
    <w:abstractNumId w:val="18"/>
  </w:num>
  <w:num w:numId="53">
    <w:abstractNumId w:val="67"/>
  </w:num>
  <w:num w:numId="54">
    <w:abstractNumId w:val="8"/>
  </w:num>
  <w:num w:numId="55">
    <w:abstractNumId w:val="62"/>
  </w:num>
  <w:num w:numId="56">
    <w:abstractNumId w:val="33"/>
  </w:num>
  <w:num w:numId="57">
    <w:abstractNumId w:val="12"/>
  </w:num>
  <w:num w:numId="58">
    <w:abstractNumId w:val="56"/>
  </w:num>
  <w:num w:numId="59">
    <w:abstractNumId w:val="49"/>
  </w:num>
  <w:num w:numId="60">
    <w:abstractNumId w:val="7"/>
  </w:num>
  <w:num w:numId="61">
    <w:abstractNumId w:val="21"/>
  </w:num>
  <w:num w:numId="62">
    <w:abstractNumId w:val="42"/>
  </w:num>
  <w:num w:numId="63">
    <w:abstractNumId w:val="37"/>
  </w:num>
  <w:num w:numId="64">
    <w:abstractNumId w:val="51"/>
  </w:num>
  <w:num w:numId="65">
    <w:abstractNumId w:val="35"/>
  </w:num>
  <w:num w:numId="66">
    <w:abstractNumId w:val="54"/>
  </w:num>
  <w:num w:numId="67">
    <w:abstractNumId w:val="15"/>
  </w:num>
  <w:num w:numId="68">
    <w:abstractNumId w:val="4"/>
  </w:num>
  <w:num w:numId="69">
    <w:abstractNumId w:val="46"/>
  </w:num>
  <w:num w:numId="70">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qgUAnbVe/y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0788"/>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624"/>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5D9"/>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27C31"/>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525"/>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3874"/>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1FFB"/>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0B6"/>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578CA"/>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0938"/>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Props1.xml><?xml version="1.0" encoding="utf-8"?>
<ds:datastoreItem xmlns:ds="http://schemas.openxmlformats.org/officeDocument/2006/customXml" ds:itemID="{CDB1F500-82B8-4567-A025-3E3C98F29F84}">
  <ds:schemaRefs>
    <ds:schemaRef ds:uri="http://schemas.openxmlformats.org/officeDocument/2006/bibliography"/>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3</TotalTime>
  <Pages>2</Pages>
  <Words>707</Words>
  <Characters>4024</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4707</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5</cp:revision>
  <dcterms:created xsi:type="dcterms:W3CDTF">2020-10-22T17:38:00Z</dcterms:created>
  <dcterms:modified xsi:type="dcterms:W3CDTF">2020-10-22T17:41:00Z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