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54CF" w:rsidR="004154CF" w:rsidP="001C0ABF" w:rsidRDefault="004154CF" w14:paraId="7F009007" w14:textId="77777777">
      <w:pPr>
        <w:pStyle w:val="OMBToCHdg"/>
      </w:pPr>
      <w:bookmarkStart w:name="_Toc19698146" w:id="0"/>
      <w:r w:rsidRPr="004154CF">
        <w:t xml:space="preserve">Appendix C.3 Letter Template to Introduce Study from FNS </w:t>
      </w:r>
      <w:r w:rsidR="00594CD5">
        <w:t>headquarters</w:t>
      </w:r>
      <w:r w:rsidRPr="004154CF">
        <w:t xml:space="preserve"> to SNAP State Director</w:t>
      </w:r>
      <w:r w:rsidR="00594CD5">
        <w:t>s</w:t>
      </w:r>
      <w:bookmarkEnd w:id="0"/>
    </w:p>
    <w:p w:rsidRPr="007350D8" w:rsidR="0093522B" w:rsidP="0093522B" w:rsidRDefault="004154CF" w14:paraId="53A24ACD" w14:textId="77777777">
      <w:pPr>
        <w:spacing w:line="259" w:lineRule="auto"/>
        <w:rPr>
          <w:rFonts w:cs="Times New Roman"/>
          <w:sz w:val="22"/>
        </w:rPr>
      </w:pPr>
      <w:r w:rsidRPr="007350D8">
        <w:rPr>
          <w:rFonts w:cs="Times New Roman"/>
          <w:b/>
          <w:bCs/>
          <w:sz w:val="22"/>
        </w:rPr>
        <w:t>From</w:t>
      </w:r>
      <w:r w:rsidRPr="007350D8">
        <w:rPr>
          <w:rFonts w:cs="Times New Roman"/>
          <w:sz w:val="22"/>
        </w:rPr>
        <w:t xml:space="preserve">: </w:t>
      </w:r>
      <w:r w:rsidRPr="007350D8" w:rsidR="00594CD5">
        <w:rPr>
          <w:rFonts w:cs="Times New Roman"/>
          <w:sz w:val="22"/>
        </w:rPr>
        <w:t>Kath</w:t>
      </w:r>
      <w:r w:rsidRPr="007350D8" w:rsidR="006E2953">
        <w:rPr>
          <w:rFonts w:cs="Times New Roman"/>
          <w:sz w:val="22"/>
        </w:rPr>
        <w:t>ryn Law</w:t>
      </w:r>
      <w:r w:rsidRPr="007350D8" w:rsidR="00452E78">
        <w:rPr>
          <w:rFonts w:cs="Times New Roman"/>
          <w:sz w:val="22"/>
        </w:rPr>
        <w:t>,</w:t>
      </w:r>
      <w:r w:rsidRPr="007350D8" w:rsidR="0093522B">
        <w:rPr>
          <w:rFonts w:cs="Times New Roman"/>
          <w:sz w:val="22"/>
        </w:rPr>
        <w:t xml:space="preserve"> Director, SNAP Research and Analysis Division</w:t>
      </w:r>
      <w:r w:rsidRPr="007350D8" w:rsidR="00452E78">
        <w:rPr>
          <w:rFonts w:cs="Times New Roman"/>
          <w:sz w:val="22"/>
        </w:rPr>
        <w:t>,</w:t>
      </w:r>
    </w:p>
    <w:p w:rsidRPr="007350D8" w:rsidR="004154CF" w:rsidP="007350D8" w:rsidRDefault="0093522B" w14:paraId="141C6C13" w14:textId="77777777">
      <w:pPr>
        <w:spacing w:line="259" w:lineRule="auto"/>
        <w:rPr>
          <w:rFonts w:cs="Times New Roman"/>
          <w:sz w:val="22"/>
        </w:rPr>
      </w:pPr>
      <w:r w:rsidRPr="007350D8">
        <w:rPr>
          <w:rFonts w:cs="Times New Roman"/>
          <w:sz w:val="22"/>
        </w:rPr>
        <w:t>Office of Policy Suppor</w:t>
      </w:r>
      <w:r w:rsidRPr="007350D8" w:rsidR="00452E78">
        <w:rPr>
          <w:rFonts w:cs="Times New Roman"/>
          <w:sz w:val="22"/>
        </w:rPr>
        <w:t>t</w:t>
      </w:r>
      <w:r w:rsidRPr="007350D8" w:rsidR="00012EFE">
        <w:rPr>
          <w:rFonts w:cs="Times New Roman"/>
          <w:sz w:val="22"/>
        </w:rPr>
        <w:t xml:space="preserve">, </w:t>
      </w:r>
      <w:r w:rsidRPr="007350D8">
        <w:rPr>
          <w:rFonts w:cs="Times New Roman"/>
          <w:sz w:val="22"/>
        </w:rPr>
        <w:t>USDA Food and Nutrition Service</w:t>
      </w:r>
    </w:p>
    <w:p w:rsidRPr="007350D8" w:rsidR="004154CF" w:rsidP="004154CF" w:rsidRDefault="004154CF" w14:paraId="216AC0F6" w14:textId="77777777">
      <w:pPr>
        <w:spacing w:after="160" w:line="259" w:lineRule="auto"/>
        <w:rPr>
          <w:rFonts w:cs="Times New Roman"/>
          <w:sz w:val="22"/>
        </w:rPr>
      </w:pPr>
      <w:r w:rsidRPr="007350D8">
        <w:rPr>
          <w:rFonts w:cs="Times New Roman"/>
          <w:b/>
          <w:bCs/>
          <w:sz w:val="22"/>
        </w:rPr>
        <w:t>To</w:t>
      </w:r>
      <w:r w:rsidRPr="007350D8">
        <w:rPr>
          <w:rFonts w:cs="Times New Roman"/>
          <w:sz w:val="22"/>
        </w:rPr>
        <w:t>: SNAP State Director</w:t>
      </w:r>
    </w:p>
    <w:p w:rsidRPr="007350D8" w:rsidR="004154CF" w:rsidP="004154CF" w:rsidRDefault="004154CF" w14:paraId="17796FB7" w14:textId="77777777">
      <w:pPr>
        <w:spacing w:after="160" w:line="259" w:lineRule="auto"/>
        <w:ind w:left="1440" w:hanging="1440"/>
        <w:rPr>
          <w:rFonts w:cs="Times New Roman"/>
          <w:sz w:val="22"/>
        </w:rPr>
      </w:pPr>
      <w:r w:rsidRPr="007350D8">
        <w:rPr>
          <w:rFonts w:cs="Times New Roman"/>
          <w:b/>
          <w:bCs/>
          <w:sz w:val="22"/>
        </w:rPr>
        <w:t>Subject</w:t>
      </w:r>
      <w:r w:rsidRPr="007350D8">
        <w:rPr>
          <w:rFonts w:cs="Times New Roman"/>
          <w:sz w:val="22"/>
        </w:rPr>
        <w:t>: Participating in the</w:t>
      </w:r>
      <w:r w:rsidRPr="007350D8">
        <w:rPr>
          <w:rFonts w:cs="Times New Roman"/>
          <w:i/>
          <w:sz w:val="22"/>
        </w:rPr>
        <w:t xml:space="preserve"> How States Safeguard SNAP Participants’ Personally Identifiable Information (PII) Study</w:t>
      </w:r>
    </w:p>
    <w:p w:rsidRPr="007350D8" w:rsidR="004154CF" w:rsidP="004154CF" w:rsidRDefault="004154CF" w14:paraId="28BF8ADC" w14:textId="77777777">
      <w:pPr>
        <w:spacing w:after="160" w:line="259" w:lineRule="auto"/>
        <w:jc w:val="center"/>
        <w:rPr>
          <w:rFonts w:cs="Times New Roman"/>
          <w:b/>
          <w:bCs/>
          <w:sz w:val="22"/>
        </w:rPr>
      </w:pPr>
      <w:r w:rsidRPr="007350D8">
        <w:rPr>
          <w:rFonts w:cs="Times New Roman"/>
          <w:b/>
          <w:bCs/>
          <w:sz w:val="22"/>
        </w:rPr>
        <w:t>[FNS Letterhead]</w:t>
      </w:r>
    </w:p>
    <w:p w:rsidRPr="007350D8" w:rsidR="004154CF" w:rsidP="004154CF" w:rsidRDefault="004154CF" w14:paraId="573EE96B" w14:textId="77777777">
      <w:pPr>
        <w:spacing w:after="160" w:line="259" w:lineRule="auto"/>
        <w:rPr>
          <w:rFonts w:cs="Times New Roman"/>
          <w:sz w:val="22"/>
        </w:rPr>
      </w:pPr>
      <w:r w:rsidRPr="007350D8">
        <w:rPr>
          <w:rFonts w:cs="Times New Roman"/>
          <w:sz w:val="22"/>
        </w:rPr>
        <w:t>XX/XX/2020</w:t>
      </w:r>
    </w:p>
    <w:p w:rsidRPr="007350D8" w:rsidR="004154CF" w:rsidP="004154CF" w:rsidRDefault="004154CF" w14:paraId="238DA35C" w14:textId="77777777">
      <w:pPr>
        <w:spacing w:after="160" w:line="259" w:lineRule="auto"/>
        <w:rPr>
          <w:rFonts w:cs="Times New Roman"/>
          <w:sz w:val="22"/>
        </w:rPr>
      </w:pPr>
      <w:r w:rsidRPr="007350D8">
        <w:rPr>
          <w:rFonts w:cs="Times New Roman"/>
          <w:sz w:val="22"/>
        </w:rPr>
        <w:t xml:space="preserve">Dear </w:t>
      </w:r>
      <w:r w:rsidRPr="007350D8">
        <w:rPr>
          <w:rFonts w:cs="Times New Roman"/>
          <w:b/>
          <w:bCs/>
          <w:sz w:val="22"/>
        </w:rPr>
        <w:t>[SNAP State Director]</w:t>
      </w:r>
      <w:r w:rsidRPr="007350D8">
        <w:rPr>
          <w:rFonts w:cs="Times New Roman"/>
          <w:sz w:val="22"/>
        </w:rPr>
        <w:t>,</w:t>
      </w:r>
    </w:p>
    <w:p w:rsidRPr="007350D8" w:rsidR="004154CF" w:rsidP="004154CF" w:rsidRDefault="004154CF" w14:paraId="0BC0D312" w14:textId="77777777">
      <w:pPr>
        <w:spacing w:after="160" w:line="259" w:lineRule="auto"/>
        <w:rPr>
          <w:rFonts w:eastAsia="Calibri" w:cs="Times New Roman"/>
          <w:sz w:val="22"/>
        </w:rPr>
      </w:pPr>
      <w:r w:rsidRPr="007350D8">
        <w:rPr>
          <w:rFonts w:eastAsia="Calibri" w:cs="Times New Roman"/>
          <w:sz w:val="22"/>
        </w:rPr>
        <w:t xml:space="preserve">The Food and Nutrition Service (FNS) has contracted with 2M Research (2M) to conduct a study of how the 53 SNAP State agencies (SAs) protect SNAP participant and applicant PII. </w:t>
      </w:r>
    </w:p>
    <w:p w:rsidRPr="007350D8" w:rsidR="004154CF" w:rsidP="004154CF" w:rsidRDefault="004154CF" w14:paraId="7F6E1A6C" w14:textId="77777777">
      <w:pPr>
        <w:spacing w:after="160" w:line="259" w:lineRule="auto"/>
        <w:rPr>
          <w:rFonts w:cs="Times New Roman"/>
          <w:sz w:val="22"/>
        </w:rPr>
      </w:pPr>
      <w:r w:rsidRPr="007350D8">
        <w:rPr>
          <w:rFonts w:cs="Times New Roman"/>
          <w:sz w:val="22"/>
        </w:rPr>
        <w:t xml:space="preserve">Between </w:t>
      </w:r>
      <w:r w:rsidRPr="007350D8">
        <w:rPr>
          <w:rFonts w:cs="Times New Roman"/>
          <w:sz w:val="22"/>
          <w:highlight w:val="yellow"/>
        </w:rPr>
        <w:t>TBD</w:t>
      </w:r>
      <w:r w:rsidRPr="007350D8">
        <w:rPr>
          <w:rFonts w:cs="Times New Roman"/>
          <w:sz w:val="22"/>
        </w:rPr>
        <w:t xml:space="preserve"> and </w:t>
      </w:r>
      <w:r w:rsidRPr="007350D8">
        <w:rPr>
          <w:rFonts w:cs="Times New Roman"/>
          <w:sz w:val="22"/>
          <w:highlight w:val="yellow"/>
        </w:rPr>
        <w:t>TBD</w:t>
      </w:r>
      <w:r w:rsidRPr="007350D8">
        <w:rPr>
          <w:rFonts w:cs="Times New Roman"/>
          <w:sz w:val="22"/>
        </w:rPr>
        <w:t xml:space="preserve"> 2020, your SA completed a web survey on personnel and security policies and procedures, as well as program operations involving PII. Based on the results of the web survey, discussions with data security and State management systems experts, and FNS input, your SA was identified as a leader in protecting SNAP PII. We have selected you to participate in a follow-up interview to help us understand the sources of your success and lessons that may be useful to others. This is your opportunity to showcase your SA’s methods for protecting PII that are innovative and cost effective and that other SAs can learn from.</w:t>
      </w:r>
    </w:p>
    <w:p w:rsidRPr="007350D8" w:rsidR="004154CF" w:rsidP="004154CF" w:rsidRDefault="004154CF" w14:paraId="3DF8ACFA" w14:textId="77777777">
      <w:pPr>
        <w:spacing w:after="160" w:line="259" w:lineRule="auto"/>
        <w:rPr>
          <w:rFonts w:cs="Times New Roman"/>
          <w:sz w:val="22"/>
        </w:rPr>
      </w:pPr>
      <w:r w:rsidRPr="007350D8">
        <w:rPr>
          <w:rFonts w:cs="Times New Roman"/>
          <w:sz w:val="22"/>
        </w:rPr>
        <w:t xml:space="preserve">This letter is to request your support in this important study. </w:t>
      </w:r>
      <w:r w:rsidRPr="007350D8">
        <w:rPr>
          <w:rFonts w:eastAsia="Calibri" w:cs="Times New Roman"/>
          <w:sz w:val="22"/>
        </w:rPr>
        <w:t xml:space="preserve">The study team will request that each SNAP State </w:t>
      </w:r>
      <w:r w:rsidRPr="007350D8" w:rsidR="00DF1BAE">
        <w:rPr>
          <w:rFonts w:eastAsia="Calibri" w:cs="Times New Roman"/>
          <w:sz w:val="22"/>
        </w:rPr>
        <w:t>Director</w:t>
      </w:r>
      <w:r w:rsidRPr="007350D8">
        <w:rPr>
          <w:rFonts w:eastAsia="Calibri" w:cs="Times New Roman"/>
          <w:sz w:val="22"/>
        </w:rPr>
        <w:t xml:space="preserve"> </w:t>
      </w:r>
      <w:r w:rsidRPr="007350D8">
        <w:rPr>
          <w:rFonts w:cs="Times New Roman"/>
          <w:sz w:val="22"/>
        </w:rPr>
        <w:t xml:space="preserve">designate the study team’s point of contact. This SA administrator will be asked to </w:t>
      </w:r>
      <w:r w:rsidRPr="007350D8">
        <w:rPr>
          <w:rFonts w:eastAsia="Calibri" w:cs="Times New Roman"/>
          <w:sz w:val="22"/>
        </w:rPr>
        <w:t>coordinate with appropriate staff to complete a follow-up telephone interview about challenges, successes, staff experiences protecting PII, and insights that can be used to create strategies for improving PII protection practices.</w:t>
      </w:r>
    </w:p>
    <w:p w:rsidRPr="007350D8" w:rsidR="004154CF" w:rsidP="004154CF" w:rsidRDefault="004154CF" w14:paraId="0810C386" w14:textId="77777777">
      <w:pPr>
        <w:spacing w:after="160" w:line="259" w:lineRule="auto"/>
        <w:rPr>
          <w:rFonts w:cs="Times New Roman"/>
          <w:sz w:val="22"/>
        </w:rPr>
      </w:pPr>
      <w:r w:rsidRPr="007350D8">
        <w:rPr>
          <w:rFonts w:cs="Times New Roman"/>
          <w:sz w:val="22"/>
        </w:rPr>
        <w:t>A member of the study team will contact you shortly to schedule a call to discuss this study in more detail and to coordinate your State’s participation.</w:t>
      </w:r>
    </w:p>
    <w:p w:rsidRPr="007350D8" w:rsidR="004154CF" w:rsidP="004154CF" w:rsidRDefault="004154CF" w14:paraId="062990D9" w14:textId="77777777">
      <w:pPr>
        <w:spacing w:after="160" w:line="259" w:lineRule="auto"/>
        <w:rPr>
          <w:rFonts w:cs="Times New Roman"/>
          <w:sz w:val="22"/>
        </w:rPr>
      </w:pPr>
      <w:r w:rsidRPr="007350D8">
        <w:rPr>
          <w:rFonts w:cs="Times New Roman"/>
          <w:sz w:val="22"/>
        </w:rPr>
        <w:t>SNAP is one of our country's strongest defenses against hunger and poverty and is a critical support for eligible low-income families. I hope you will join 2M in supporting FNS in this important endeavor.</w:t>
      </w:r>
    </w:p>
    <w:p w:rsidRPr="00EA2B9D" w:rsidR="003A3415" w:rsidP="003A3415" w:rsidRDefault="003A3415" w14:paraId="62C24A16" w14:textId="77777777">
      <w:pPr>
        <w:spacing w:after="160" w:line="259" w:lineRule="auto"/>
        <w:rPr>
          <w:rFonts w:cs="Times New Roman"/>
          <w:szCs w:val="24"/>
        </w:rPr>
      </w:pPr>
      <w:bookmarkStart w:name="_Hlk18578072" w:id="1"/>
      <w:r w:rsidRPr="00EA2B9D">
        <w:rPr>
          <w:rFonts w:cs="Times New Roman"/>
          <w:szCs w:val="24"/>
        </w:rPr>
        <w:t>Thank you in advance for your assistance.</w:t>
      </w:r>
    </w:p>
    <w:p w:rsidR="005B6EB2" w:rsidP="003A3415" w:rsidRDefault="005B6EB2" w14:paraId="2964C0E1" w14:textId="77777777">
      <w:pPr>
        <w:spacing w:line="259" w:lineRule="auto"/>
        <w:rPr>
          <w:rFonts w:cs="Times New Roman"/>
          <w:szCs w:val="24"/>
        </w:rPr>
      </w:pPr>
    </w:p>
    <w:p w:rsidR="005B6EB2" w:rsidP="003A3415" w:rsidRDefault="005B6EB2" w14:paraId="06A7E9DB" w14:textId="77777777">
      <w:pPr>
        <w:spacing w:line="259" w:lineRule="auto"/>
        <w:rPr>
          <w:rFonts w:cs="Times New Roman"/>
          <w:szCs w:val="24"/>
        </w:rPr>
      </w:pPr>
    </w:p>
    <w:p w:rsidRPr="00EA2B9D" w:rsidR="003A3415" w:rsidP="003A3415" w:rsidRDefault="003A3415" w14:paraId="52A10881" w14:textId="72C323E3">
      <w:pPr>
        <w:spacing w:line="259" w:lineRule="auto"/>
        <w:rPr>
          <w:rFonts w:cs="Times New Roman"/>
          <w:szCs w:val="24"/>
        </w:rPr>
      </w:pPr>
      <w:r w:rsidRPr="00EA2B9D">
        <w:rPr>
          <w:rFonts w:cs="Times New Roman"/>
          <w:szCs w:val="24"/>
        </w:rPr>
        <w:t>Kathryn Law</w:t>
      </w:r>
    </w:p>
    <w:p w:rsidRPr="00EA2B9D" w:rsidR="003A3415" w:rsidP="003A3415" w:rsidRDefault="003A3415" w14:paraId="06D026E4" w14:textId="77777777">
      <w:pPr>
        <w:spacing w:line="259" w:lineRule="auto"/>
        <w:rPr>
          <w:rFonts w:cs="Times New Roman"/>
          <w:szCs w:val="24"/>
        </w:rPr>
      </w:pPr>
      <w:r w:rsidRPr="00EA2B9D">
        <w:rPr>
          <w:rFonts w:cs="Times New Roman"/>
          <w:szCs w:val="24"/>
        </w:rPr>
        <w:t>Director, SNAP Analysis and Research Division</w:t>
      </w:r>
    </w:p>
    <w:p w:rsidRPr="00EA2B9D" w:rsidR="003A3415" w:rsidP="003A3415" w:rsidRDefault="003A3415" w14:paraId="7A70AD20" w14:textId="77777777">
      <w:pPr>
        <w:spacing w:line="259" w:lineRule="auto"/>
        <w:rPr>
          <w:rFonts w:cs="Times New Roman"/>
          <w:szCs w:val="24"/>
        </w:rPr>
      </w:pPr>
      <w:r w:rsidRPr="00EA2B9D">
        <w:rPr>
          <w:rFonts w:cs="Times New Roman"/>
          <w:szCs w:val="24"/>
        </w:rPr>
        <w:t>Office of Policy Support</w:t>
      </w:r>
    </w:p>
    <w:p w:rsidR="003A3415" w:rsidP="003A3415" w:rsidRDefault="003A3415" w14:paraId="4FAE9C96" w14:textId="77777777">
      <w:pPr>
        <w:spacing w:line="259" w:lineRule="auto"/>
        <w:rPr>
          <w:rFonts w:cs="Times New Roman"/>
          <w:szCs w:val="24"/>
        </w:rPr>
      </w:pPr>
      <w:r w:rsidRPr="00EA2B9D">
        <w:rPr>
          <w:rFonts w:cs="Times New Roman"/>
          <w:szCs w:val="24"/>
        </w:rPr>
        <w:t>USDA Food and Nutrition Service</w:t>
      </w:r>
    </w:p>
    <w:p w:rsidRPr="00EA2B9D" w:rsidR="003A3415" w:rsidP="003A3415" w:rsidRDefault="003A3415" w14:paraId="78B9F8FC" w14:textId="77777777">
      <w:pPr>
        <w:spacing w:line="259" w:lineRule="auto"/>
        <w:rPr>
          <w:rFonts w:cs="Times New Roman"/>
          <w:szCs w:val="24"/>
        </w:rPr>
      </w:pPr>
      <w:r>
        <w:rPr>
          <w:rFonts w:cs="Times New Roman"/>
          <w:szCs w:val="24"/>
        </w:rPr>
        <w:t>703-305-2138</w:t>
      </w:r>
    </w:p>
    <w:p w:rsidR="001326F5" w:rsidP="001326F5" w:rsidRDefault="001326F5" w14:paraId="7A8E1AC5" w14:textId="77777777">
      <w:pPr>
        <w:spacing w:line="259" w:lineRule="auto"/>
        <w:rPr>
          <w:rFonts w:cs="Times New Roman"/>
          <w:szCs w:val="24"/>
        </w:rPr>
      </w:pPr>
    </w:p>
    <w:bookmarkEnd w:id="1"/>
    <w:p w:rsidRPr="007350D8" w:rsidR="004154CF" w:rsidP="004154CF" w:rsidRDefault="004154CF" w14:paraId="27520A2A" w14:textId="77777777">
      <w:pPr>
        <w:spacing w:after="160" w:line="259" w:lineRule="auto"/>
        <w:rPr>
          <w:rFonts w:cs="Times New Roman"/>
          <w:sz w:val="22"/>
        </w:rPr>
      </w:pPr>
      <w:r w:rsidRPr="007350D8">
        <w:rPr>
          <w:rFonts w:cs="Times New Roman"/>
          <w:sz w:val="22"/>
        </w:rPr>
        <w:lastRenderedPageBreak/>
        <w:t>Attachment:</w:t>
      </w:r>
      <w:r w:rsidRPr="007350D8" w:rsidR="000B2809">
        <w:rPr>
          <w:rFonts w:cs="Times New Roman"/>
          <w:sz w:val="22"/>
        </w:rPr>
        <w:t xml:space="preserve"> Frequently Asked Questions (FAQ</w:t>
      </w:r>
      <w:r w:rsidRPr="007350D8" w:rsidR="00C62726">
        <w:rPr>
          <w:rFonts w:cs="Times New Roman"/>
          <w:sz w:val="22"/>
        </w:rPr>
        <w:t>s</w:t>
      </w:r>
      <w:r w:rsidRPr="007350D8" w:rsidR="000B2809">
        <w:rPr>
          <w:rFonts w:cs="Times New Roman"/>
          <w:sz w:val="22"/>
        </w:rPr>
        <w:t>)</w:t>
      </w:r>
    </w:p>
    <w:p w:rsidRPr="004154CF" w:rsidR="004154CF" w:rsidP="004154CF" w:rsidRDefault="004154CF" w14:paraId="115CC0A8" w14:textId="77777777">
      <w:pPr>
        <w:pBdr>
          <w:top w:val="single" w:color="auto" w:sz="4" w:space="1"/>
          <w:left w:val="single" w:color="auto" w:sz="4" w:space="4"/>
          <w:bottom w:val="single" w:color="auto" w:sz="4" w:space="1"/>
          <w:right w:val="single" w:color="auto" w:sz="4" w:space="4"/>
        </w:pBdr>
        <w:spacing w:after="160" w:line="259" w:lineRule="auto"/>
        <w:rPr>
          <w:rFonts w:cs="Times New Roman"/>
          <w:bCs/>
          <w:sz w:val="18"/>
          <w:szCs w:val="18"/>
        </w:rPr>
      </w:pPr>
      <w:r w:rsidRPr="004154CF">
        <w:rPr>
          <w:rFonts w:cs="Times New Roman"/>
          <w:b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154CF">
        <w:rPr>
          <w:rFonts w:cs="Times New Roman"/>
          <w:bCs/>
          <w:sz w:val="18"/>
          <w:szCs w:val="18"/>
          <w:highlight w:val="yellow"/>
        </w:rPr>
        <w:t>XXXX</w:t>
      </w:r>
      <w:r w:rsidRPr="004154CF">
        <w:rPr>
          <w:rFonts w:cs="Times New Roman"/>
          <w:bCs/>
          <w:sz w:val="18"/>
          <w:szCs w:val="18"/>
        </w:rPr>
        <w:t xml:space="preserve">. The time required to complete this information collection is estimated to average 5 minutes per response, including the time for reviewing instructions, searching existing data sources, </w:t>
      </w:r>
      <w:proofErr w:type="gramStart"/>
      <w:r w:rsidRPr="004154CF">
        <w:rPr>
          <w:rFonts w:cs="Times New Roman"/>
          <w:bCs/>
          <w:sz w:val="18"/>
          <w:szCs w:val="18"/>
        </w:rPr>
        <w:t>gathering</w:t>
      </w:r>
      <w:proofErr w:type="gramEnd"/>
      <w:r w:rsidRPr="004154CF">
        <w:rPr>
          <w:rFonts w:cs="Times New Roman"/>
          <w:bCs/>
          <w:sz w:val="18"/>
          <w:szCs w:val="18"/>
        </w:rPr>
        <w:t xml:space="preserve"> and maintaining the data needed, and completing and reviewing the collection of information.</w:t>
      </w:r>
    </w:p>
    <w:p w:rsidR="004154CF" w:rsidRDefault="004154CF" w14:paraId="2E57A6E1" w14:textId="6C48972F">
      <w:pPr>
        <w:spacing w:after="160" w:line="259" w:lineRule="auto"/>
      </w:pPr>
    </w:p>
    <w:sectPr w:rsidR="004154CF" w:rsidSect="009F7EC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576C326F"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EB728B">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2AA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6CA"/>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1EB4"/>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B728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84B60-9659-48F0-9F5B-5FB8268C9895}">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2</Pages>
  <Words>420</Words>
  <Characters>2399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2814</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2020-09-25T19:27:00Z</dcterms:created>
  <dcterms:modified xsi:type="dcterms:W3CDTF">2020-09-25T19:27:00Z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