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9698125" w:displacedByCustomXml="next" w:id="0"/>
    <w:sdt>
      <w:sdtPr>
        <w:rPr>
          <w:color w:val="009CD3" w:themeColor="accent1"/>
        </w:rPr>
        <w:id w:val="-1806921962"/>
        <w:docPartObj>
          <w:docPartGallery w:val="Cover Pages"/>
          <w:docPartUnique/>
        </w:docPartObj>
      </w:sdtPr>
      <w:sdtEndPr>
        <w:rPr>
          <w:color w:val="auto"/>
        </w:rPr>
      </w:sdtEndPr>
      <w:sdtContent>
        <w:bookmarkStart w:name="_Toc12629346" w:displacedByCustomXml="prev" w:id="1"/>
        <w:p w:rsidR="00B4291E" w:rsidP="00B4291E" w:rsidRDefault="00B4291E" w14:paraId="77B9BE8C" w14:textId="77777777">
          <w:pPr>
            <w:spacing w:line="240" w:lineRule="auto"/>
            <w:jc w:val="center"/>
            <w:rPr>
              <w:b/>
              <w:bCs/>
              <w:color w:val="009CD3" w:themeColor="accent1"/>
              <w:sz w:val="36"/>
              <w:szCs w:val="32"/>
            </w:rPr>
          </w:pPr>
          <w:r w:rsidRPr="00E744E3">
            <w:rPr>
              <w:b/>
              <w:bCs/>
              <w:color w:val="009CD3" w:themeColor="accent1"/>
              <w:sz w:val="36"/>
              <w:szCs w:val="32"/>
            </w:rPr>
            <w:t>Office of Management and Budget Information Collection Review Package</w:t>
          </w:r>
          <w:bookmarkEnd w:id="1"/>
        </w:p>
        <w:p w:rsidRPr="00E744E3" w:rsidR="00B4291E" w:rsidP="00B4291E" w:rsidRDefault="00B4291E" w14:paraId="2BCFED95" w14:textId="77777777">
          <w:pPr>
            <w:spacing w:line="240" w:lineRule="auto"/>
            <w:jc w:val="center"/>
            <w:rPr>
              <w:b/>
              <w:bCs/>
              <w:color w:val="009CD3" w:themeColor="accent1"/>
              <w:sz w:val="36"/>
              <w:szCs w:val="32"/>
            </w:rPr>
          </w:pPr>
        </w:p>
        <w:p w:rsidRPr="00785491" w:rsidR="00B4291E" w:rsidP="00B4291E" w:rsidRDefault="00B4291E" w14:paraId="62DA362F" w14:textId="77777777">
          <w:pPr>
            <w:spacing w:line="240" w:lineRule="auto"/>
            <w:jc w:val="center"/>
            <w:rPr>
              <w:b/>
              <w:bCs/>
            </w:rPr>
          </w:pPr>
          <w:r w:rsidRPr="00785491">
            <w:rPr>
              <w:b/>
              <w:bCs/>
              <w:color w:val="009CD3" w:themeColor="accent1"/>
              <w:sz w:val="32"/>
              <w:szCs w:val="28"/>
            </w:rPr>
            <w:t>Study of How States Safeguard SNAP Participants’ Personally Identifiable Information (PII)</w:t>
          </w:r>
        </w:p>
        <w:p w:rsidR="00B4291E" w:rsidP="00B4291E" w:rsidRDefault="00B4291E" w14:paraId="685D86BC" w14:textId="77777777">
          <w:pPr>
            <w:spacing w:line="240" w:lineRule="auto"/>
          </w:pPr>
        </w:p>
        <w:p w:rsidRPr="00E715A0" w:rsidR="00B4291E" w:rsidP="00B4291E" w:rsidRDefault="00B4291E" w14:paraId="6706B615" w14:textId="77777777">
          <w:pPr>
            <w:spacing w:line="240" w:lineRule="auto"/>
            <w:jc w:val="center"/>
            <w:rPr>
              <w:b/>
              <w:sz w:val="28"/>
              <w:szCs w:val="24"/>
            </w:rPr>
          </w:pPr>
          <w:r w:rsidRPr="00E715A0">
            <w:rPr>
              <w:b/>
              <w:sz w:val="28"/>
              <w:szCs w:val="24"/>
            </w:rPr>
            <w:t>September 25, 2020</w:t>
          </w:r>
        </w:p>
        <w:p w:rsidR="00B4291E" w:rsidP="00B4291E" w:rsidRDefault="00B4291E" w14:paraId="07843107" w14:textId="77777777">
          <w:pPr>
            <w:spacing w:line="240" w:lineRule="auto"/>
          </w:pPr>
        </w:p>
        <w:p w:rsidRPr="00785491" w:rsidR="00B4291E" w:rsidP="00B4291E" w:rsidRDefault="00B4291E" w14:paraId="75599482" w14:textId="77777777">
          <w:pPr>
            <w:spacing w:line="240" w:lineRule="auto"/>
            <w:jc w:val="center"/>
            <w:rPr>
              <w:b/>
              <w:bCs/>
              <w:color w:val="009CD3" w:themeColor="accent1"/>
              <w:sz w:val="32"/>
              <w:szCs w:val="28"/>
            </w:rPr>
          </w:pPr>
          <w:r>
            <w:rPr>
              <w:b/>
              <w:bCs/>
              <w:color w:val="009CD3" w:themeColor="accent1"/>
              <w:sz w:val="32"/>
              <w:szCs w:val="28"/>
            </w:rPr>
            <w:t>Andrew Burns</w:t>
          </w:r>
        </w:p>
        <w:p w:rsidRPr="00785491" w:rsidR="00B4291E" w:rsidP="00B4291E" w:rsidRDefault="00B4291E" w14:paraId="08A33D8F" w14:textId="77777777">
          <w:pPr>
            <w:spacing w:line="240" w:lineRule="auto"/>
            <w:jc w:val="center"/>
            <w:rPr>
              <w:b/>
              <w:bCs/>
              <w:color w:val="009CD3" w:themeColor="accent1"/>
              <w:sz w:val="32"/>
              <w:szCs w:val="28"/>
            </w:rPr>
          </w:pPr>
          <w:r w:rsidRPr="00785491">
            <w:rPr>
              <w:b/>
              <w:bCs/>
              <w:color w:val="009CD3" w:themeColor="accent1"/>
              <w:sz w:val="32"/>
              <w:szCs w:val="28"/>
            </w:rPr>
            <w:t>Office of Policy Support</w:t>
          </w:r>
        </w:p>
        <w:p w:rsidRPr="00785491" w:rsidR="00B4291E" w:rsidP="00B4291E" w:rsidRDefault="00B4291E" w14:paraId="797D5403" w14:textId="77777777">
          <w:pPr>
            <w:spacing w:line="240" w:lineRule="auto"/>
            <w:jc w:val="center"/>
            <w:rPr>
              <w:b/>
              <w:bCs/>
              <w:color w:val="009CD3" w:themeColor="accent1"/>
              <w:sz w:val="32"/>
              <w:szCs w:val="28"/>
            </w:rPr>
          </w:pPr>
          <w:r w:rsidRPr="00785491">
            <w:rPr>
              <w:b/>
              <w:bCs/>
              <w:color w:val="009CD3" w:themeColor="accent1"/>
              <w:sz w:val="32"/>
              <w:szCs w:val="28"/>
            </w:rPr>
            <w:t>Food and Nutrition Service</w:t>
          </w:r>
        </w:p>
        <w:p w:rsidRPr="00785491" w:rsidR="00B4291E" w:rsidP="00B4291E" w:rsidRDefault="00B4291E" w14:paraId="580CF8B7" w14:textId="77777777">
          <w:pPr>
            <w:spacing w:line="240" w:lineRule="auto"/>
            <w:jc w:val="center"/>
            <w:rPr>
              <w:b/>
              <w:bCs/>
              <w:color w:val="009CD3" w:themeColor="accent1"/>
              <w:sz w:val="32"/>
              <w:szCs w:val="28"/>
            </w:rPr>
          </w:pPr>
          <w:r w:rsidRPr="00785491">
            <w:rPr>
              <w:b/>
              <w:bCs/>
              <w:color w:val="009CD3" w:themeColor="accent1"/>
              <w:sz w:val="32"/>
              <w:szCs w:val="28"/>
            </w:rPr>
            <w:t>U</w:t>
          </w:r>
          <w:r>
            <w:rPr>
              <w:b/>
              <w:bCs/>
              <w:color w:val="009CD3" w:themeColor="accent1"/>
              <w:sz w:val="32"/>
              <w:szCs w:val="28"/>
            </w:rPr>
            <w:t>.S.</w:t>
          </w:r>
          <w:r w:rsidRPr="00785491">
            <w:rPr>
              <w:b/>
              <w:bCs/>
              <w:color w:val="009CD3" w:themeColor="accent1"/>
              <w:sz w:val="32"/>
              <w:szCs w:val="28"/>
            </w:rPr>
            <w:t xml:space="preserve"> Department of Agriculture</w:t>
          </w:r>
        </w:p>
        <w:p w:rsidRPr="00785491" w:rsidR="00B4291E" w:rsidP="00B4291E" w:rsidRDefault="00B4291E" w14:paraId="04AE679D" w14:textId="77777777">
          <w:pPr>
            <w:spacing w:line="240" w:lineRule="auto"/>
            <w:jc w:val="center"/>
            <w:rPr>
              <w:b/>
              <w:bCs/>
              <w:color w:val="009CD3" w:themeColor="accent1"/>
              <w:sz w:val="32"/>
              <w:szCs w:val="28"/>
            </w:rPr>
          </w:pPr>
          <w:r w:rsidRPr="00785491">
            <w:rPr>
              <w:b/>
              <w:bCs/>
              <w:color w:val="009CD3" w:themeColor="accent1"/>
              <w:sz w:val="32"/>
              <w:szCs w:val="28"/>
            </w:rPr>
            <w:t>3101 Park Center Drive</w:t>
          </w:r>
        </w:p>
        <w:p w:rsidRPr="00785491" w:rsidR="00B4291E" w:rsidP="00B4291E" w:rsidRDefault="00B4291E" w14:paraId="31C9B16D" w14:textId="77777777">
          <w:pPr>
            <w:spacing w:line="240" w:lineRule="auto"/>
            <w:jc w:val="center"/>
            <w:rPr>
              <w:b/>
              <w:bCs/>
              <w:color w:val="009CD3" w:themeColor="accent1"/>
              <w:sz w:val="32"/>
              <w:szCs w:val="28"/>
            </w:rPr>
          </w:pPr>
          <w:r w:rsidRPr="00785491">
            <w:rPr>
              <w:b/>
              <w:bCs/>
              <w:color w:val="009CD3" w:themeColor="accent1"/>
              <w:sz w:val="32"/>
              <w:szCs w:val="28"/>
            </w:rPr>
            <w:t>Alexandria, VA 22302</w:t>
          </w:r>
        </w:p>
        <w:p w:rsidR="00B4291E" w:rsidP="00B4291E" w:rsidRDefault="00B4291E" w14:paraId="21A86FB3" w14:textId="77777777">
          <w:pPr>
            <w:spacing w:line="240" w:lineRule="auto"/>
          </w:pPr>
        </w:p>
        <w:p w:rsidRPr="00785491" w:rsidR="00B4291E" w:rsidP="00B4291E" w:rsidRDefault="00B4291E" w14:paraId="55D1FC58" w14:textId="77777777">
          <w:pPr>
            <w:spacing w:line="240" w:lineRule="auto"/>
            <w:jc w:val="center"/>
            <w:rPr>
              <w:b/>
              <w:bCs/>
              <w:color w:val="009CD3" w:themeColor="accent1"/>
              <w:sz w:val="32"/>
              <w:szCs w:val="28"/>
            </w:rPr>
          </w:pPr>
          <w:r w:rsidRPr="00785491">
            <w:rPr>
              <w:b/>
              <w:bCs/>
              <w:color w:val="009CD3" w:themeColor="accent1"/>
              <w:sz w:val="32"/>
              <w:szCs w:val="28"/>
            </w:rPr>
            <w:t>Telephone: 703-305-</w:t>
          </w:r>
          <w:r>
            <w:rPr>
              <w:b/>
              <w:bCs/>
              <w:color w:val="009CD3" w:themeColor="accent1"/>
              <w:sz w:val="32"/>
              <w:szCs w:val="28"/>
            </w:rPr>
            <w:t>1091</w:t>
          </w:r>
        </w:p>
        <w:p w:rsidRPr="00B4291E" w:rsidR="00B4291E" w:rsidP="00B4291E" w:rsidRDefault="00B4291E" w14:paraId="3F51E751" w14:textId="4B20CE27">
          <w:pPr>
            <w:spacing w:line="240" w:lineRule="auto"/>
            <w:jc w:val="center"/>
            <w:rPr>
              <w:b/>
              <w:bCs/>
              <w:color w:val="009CD3" w:themeColor="accent1"/>
              <w:sz w:val="32"/>
              <w:szCs w:val="28"/>
            </w:rPr>
            <w:sectPr w:rsidRPr="00B4291E" w:rsidR="00B4291E" w:rsidSect="005A44DE">
              <w:headerReference w:type="first" r:id="rId11"/>
              <w:pgSz w:w="12240" w:h="15840" w:code="1"/>
              <w:pgMar w:top="1440" w:right="1440" w:bottom="1440" w:left="1440" w:header="720" w:footer="720" w:gutter="0"/>
              <w:pgNumType w:fmt="lowerRoman" w:start="1"/>
              <w:cols w:space="720"/>
              <w:vAlign w:val="center"/>
              <w:docGrid w:linePitch="360"/>
            </w:sectPr>
          </w:pPr>
          <w:r w:rsidRPr="00785491">
            <w:rPr>
              <w:b/>
              <w:bCs/>
              <w:color w:val="009CD3" w:themeColor="accent1"/>
              <w:sz w:val="32"/>
              <w:szCs w:val="28"/>
            </w:rPr>
            <w:t xml:space="preserve">Email: </w:t>
          </w:r>
          <w:r>
            <w:rPr>
              <w:b/>
              <w:bCs/>
              <w:color w:val="009CD3" w:themeColor="accent1"/>
              <w:sz w:val="32"/>
              <w:szCs w:val="28"/>
            </w:rPr>
            <w:t>Andrew</w:t>
          </w:r>
          <w:r w:rsidRPr="00785491">
            <w:rPr>
              <w:b/>
              <w:bCs/>
              <w:color w:val="009CD3" w:themeColor="accent1"/>
              <w:sz w:val="32"/>
              <w:szCs w:val="28"/>
            </w:rPr>
            <w:t>.</w:t>
          </w:r>
          <w:r>
            <w:rPr>
              <w:b/>
              <w:bCs/>
              <w:color w:val="009CD3" w:themeColor="accent1"/>
              <w:sz w:val="32"/>
              <w:szCs w:val="28"/>
            </w:rPr>
            <w:t>Burns</w:t>
          </w:r>
          <w:r w:rsidRPr="00785491">
            <w:rPr>
              <w:b/>
              <w:bCs/>
              <w:color w:val="009CD3" w:themeColor="accent1"/>
              <w:sz w:val="32"/>
              <w:szCs w:val="28"/>
            </w:rPr>
            <w:t>@usda.gov</w:t>
          </w:r>
        </w:p>
        <w:p w:rsidRPr="00B4291E" w:rsidR="00B4291E" w:rsidP="00B4291E" w:rsidRDefault="00B4291E" w14:paraId="48B27576" w14:textId="4346B5C9">
          <w:pPr>
            <w:spacing w:after="240" w:line="240" w:lineRule="auto"/>
            <w:rPr>
              <w:b/>
              <w:bCs/>
              <w:caps/>
              <w:color w:val="009CD3" w:themeColor="accent1"/>
              <w:spacing w:val="20"/>
            </w:rPr>
          </w:pPr>
          <w:r w:rsidRPr="0047733F">
            <w:rPr>
              <w:b/>
              <w:bCs/>
              <w:caps/>
              <w:color w:val="009CD3" w:themeColor="accent1"/>
              <w:spacing w:val="20"/>
            </w:rPr>
            <w:lastRenderedPageBreak/>
            <w:t>Table of Contents</w:t>
          </w:r>
        </w:p>
        <w:p w:rsidRPr="00B4291E" w:rsidR="00B4291E" w:rsidP="00B4291E" w:rsidRDefault="00B4291E" w14:paraId="31F6BA57" w14:textId="1950B813">
          <w:pPr>
            <w:pStyle w:val="TOC1"/>
            <w:rPr>
              <w:rFonts w:asciiTheme="minorHAnsi" w:hAnsiTheme="minorHAnsi" w:eastAsiaTheme="minorEastAsia"/>
              <w:sz w:val="18"/>
              <w:szCs w:val="18"/>
            </w:rPr>
          </w:pPr>
          <w:r w:rsidRPr="00B4291E">
            <w:rPr>
              <w:color w:val="000000" w:themeColor="text1"/>
              <w:sz w:val="18"/>
              <w:szCs w:val="18"/>
            </w:rPr>
            <w:fldChar w:fldCharType="begin"/>
          </w:r>
          <w:r w:rsidRPr="00B4291E">
            <w:rPr>
              <w:color w:val="000000" w:themeColor="text1"/>
              <w:sz w:val="18"/>
              <w:szCs w:val="18"/>
            </w:rPr>
            <w:instrText xml:space="preserve"> TOC \h \z \u \t "OMBToCHdg,1" </w:instrText>
          </w:r>
          <w:r w:rsidRPr="00B4291E">
            <w:rPr>
              <w:color w:val="000000" w:themeColor="text1"/>
              <w:sz w:val="18"/>
              <w:szCs w:val="18"/>
            </w:rPr>
            <w:fldChar w:fldCharType="separate"/>
          </w:r>
          <w:hyperlink w:history="1" w:anchor="_Toc19698125">
            <w:r w:rsidRPr="00B4291E">
              <w:rPr>
                <w:rStyle w:val="Hyperlink"/>
                <w:sz w:val="18"/>
                <w:szCs w:val="18"/>
              </w:rPr>
              <w:t>Supporting Statement Part A: Justification</w:t>
            </w:r>
            <w:r w:rsidRPr="00B4291E">
              <w:rPr>
                <w:webHidden/>
                <w:sz w:val="18"/>
                <w:szCs w:val="18"/>
              </w:rPr>
              <w:tab/>
              <w:t>Part A-</w:t>
            </w:r>
            <w:r w:rsidRPr="00B4291E">
              <w:rPr>
                <w:webHidden/>
                <w:sz w:val="18"/>
                <w:szCs w:val="18"/>
              </w:rPr>
              <w:fldChar w:fldCharType="begin"/>
            </w:r>
            <w:r w:rsidRPr="00B4291E">
              <w:rPr>
                <w:webHidden/>
                <w:sz w:val="18"/>
                <w:szCs w:val="18"/>
              </w:rPr>
              <w:instrText xml:space="preserve"> PAGEREF _Toc19698125 \h </w:instrText>
            </w:r>
            <w:r w:rsidRPr="00B4291E">
              <w:rPr>
                <w:webHidden/>
                <w:sz w:val="18"/>
                <w:szCs w:val="18"/>
              </w:rPr>
            </w:r>
            <w:r w:rsidRPr="00B4291E">
              <w:rPr>
                <w:webHidden/>
                <w:sz w:val="18"/>
                <w:szCs w:val="18"/>
              </w:rPr>
              <w:fldChar w:fldCharType="separate"/>
            </w:r>
            <w:r w:rsidRPr="00B4291E">
              <w:rPr>
                <w:webHidden/>
                <w:sz w:val="18"/>
                <w:szCs w:val="18"/>
              </w:rPr>
              <w:t>1</w:t>
            </w:r>
            <w:r w:rsidRPr="00B4291E">
              <w:rPr>
                <w:webHidden/>
                <w:sz w:val="18"/>
                <w:szCs w:val="18"/>
              </w:rPr>
              <w:fldChar w:fldCharType="end"/>
            </w:r>
          </w:hyperlink>
        </w:p>
        <w:p w:rsidRPr="00B4291E" w:rsidR="00B4291E" w:rsidP="00B4291E" w:rsidRDefault="00671891" w14:paraId="615768B4" w14:textId="77777777">
          <w:pPr>
            <w:pStyle w:val="TOC1"/>
            <w:rPr>
              <w:rFonts w:asciiTheme="minorHAnsi" w:hAnsiTheme="minorHAnsi" w:eastAsiaTheme="minorEastAsia"/>
              <w:sz w:val="18"/>
              <w:szCs w:val="18"/>
            </w:rPr>
          </w:pPr>
          <w:hyperlink w:history="1" w:anchor="_Toc19698126">
            <w:r w:rsidRPr="00B4291E" w:rsidR="00B4291E">
              <w:rPr>
                <w:rStyle w:val="Hyperlink"/>
                <w:sz w:val="18"/>
                <w:szCs w:val="18"/>
              </w:rPr>
              <w:t>Supporting Statement Part B: Collections of Information Employing Statistical Methods</w:t>
            </w:r>
            <w:r w:rsidRPr="00B4291E" w:rsidR="00B4291E">
              <w:rPr>
                <w:webHidden/>
                <w:sz w:val="18"/>
                <w:szCs w:val="18"/>
              </w:rPr>
              <w:tab/>
              <w:t>Part B-</w:t>
            </w:r>
            <w:r w:rsidRPr="00B4291E" w:rsidR="00B4291E">
              <w:rPr>
                <w:webHidden/>
                <w:sz w:val="18"/>
                <w:szCs w:val="18"/>
              </w:rPr>
              <w:fldChar w:fldCharType="begin"/>
            </w:r>
            <w:r w:rsidRPr="00B4291E" w:rsidR="00B4291E">
              <w:rPr>
                <w:webHidden/>
                <w:sz w:val="18"/>
                <w:szCs w:val="18"/>
              </w:rPr>
              <w:instrText xml:space="preserve"> PAGEREF _Toc19698126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w:t>
            </w:r>
            <w:r w:rsidRPr="00B4291E" w:rsidR="00B4291E">
              <w:rPr>
                <w:webHidden/>
                <w:sz w:val="18"/>
                <w:szCs w:val="18"/>
              </w:rPr>
              <w:fldChar w:fldCharType="end"/>
            </w:r>
          </w:hyperlink>
        </w:p>
        <w:p w:rsidRPr="00B4291E" w:rsidR="00B4291E" w:rsidP="00B4291E" w:rsidRDefault="00671891" w14:paraId="7158BE12" w14:textId="77777777">
          <w:pPr>
            <w:pStyle w:val="TOC1"/>
            <w:rPr>
              <w:rFonts w:asciiTheme="minorHAnsi" w:hAnsiTheme="minorHAnsi" w:eastAsiaTheme="minorEastAsia"/>
              <w:sz w:val="18"/>
              <w:szCs w:val="18"/>
            </w:rPr>
          </w:pPr>
          <w:hyperlink w:history="1" w:anchor="_Toc19698127">
            <w:r w:rsidRPr="00B4291E" w:rsidR="00B4291E">
              <w:rPr>
                <w:rStyle w:val="Hyperlink"/>
                <w:sz w:val="18"/>
                <w:szCs w:val="18"/>
              </w:rPr>
              <w:t>Appendices</w:t>
            </w:r>
          </w:hyperlink>
        </w:p>
        <w:p w:rsidRPr="00B4291E" w:rsidR="00B4291E" w:rsidP="00B4291E" w:rsidRDefault="00671891" w14:paraId="74809BF7" w14:textId="77777777">
          <w:pPr>
            <w:pStyle w:val="TOC1"/>
            <w:rPr>
              <w:rFonts w:asciiTheme="minorHAnsi" w:hAnsiTheme="minorHAnsi" w:eastAsiaTheme="minorEastAsia"/>
              <w:sz w:val="18"/>
              <w:szCs w:val="18"/>
            </w:rPr>
          </w:pPr>
          <w:hyperlink w:history="1" w:anchor="_Toc19698128">
            <w:r w:rsidRPr="00B4291E" w:rsidR="00B4291E">
              <w:rPr>
                <w:rStyle w:val="Hyperlink"/>
                <w:sz w:val="18"/>
                <w:szCs w:val="18"/>
              </w:rPr>
              <w:t>Appendix A. Research Questions</w:t>
            </w:r>
            <w:r w:rsidRPr="00B4291E" w:rsidR="00B4291E">
              <w:rPr>
                <w:webHidden/>
                <w:sz w:val="18"/>
                <w:szCs w:val="18"/>
              </w:rPr>
              <w:tab/>
              <w:t>A-</w:t>
            </w:r>
            <w:r w:rsidRPr="00B4291E" w:rsidR="00B4291E">
              <w:rPr>
                <w:webHidden/>
                <w:sz w:val="18"/>
                <w:szCs w:val="18"/>
              </w:rPr>
              <w:fldChar w:fldCharType="begin"/>
            </w:r>
            <w:r w:rsidRPr="00B4291E" w:rsidR="00B4291E">
              <w:rPr>
                <w:webHidden/>
                <w:sz w:val="18"/>
                <w:szCs w:val="18"/>
              </w:rPr>
              <w:instrText xml:space="preserve"> PAGEREF _Toc19698128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w:t>
            </w:r>
            <w:r w:rsidRPr="00B4291E" w:rsidR="00B4291E">
              <w:rPr>
                <w:webHidden/>
                <w:sz w:val="18"/>
                <w:szCs w:val="18"/>
              </w:rPr>
              <w:fldChar w:fldCharType="end"/>
            </w:r>
          </w:hyperlink>
        </w:p>
        <w:p w:rsidRPr="00B4291E" w:rsidR="00B4291E" w:rsidP="00B4291E" w:rsidRDefault="00671891" w14:paraId="04EC546F" w14:textId="77777777">
          <w:pPr>
            <w:pStyle w:val="TOC1"/>
            <w:rPr>
              <w:rFonts w:asciiTheme="minorHAnsi" w:hAnsiTheme="minorHAnsi" w:eastAsiaTheme="minorEastAsia"/>
              <w:sz w:val="18"/>
              <w:szCs w:val="18"/>
            </w:rPr>
          </w:pPr>
          <w:hyperlink w:history="1" w:anchor="_Toc19698130">
            <w:r w:rsidRPr="00B4291E" w:rsidR="00B4291E">
              <w:rPr>
                <w:rStyle w:val="Hyperlink"/>
                <w:sz w:val="18"/>
                <w:szCs w:val="18"/>
              </w:rPr>
              <w:t>Appendix B.1 Web Survey of SNAP State Agencies (Paper Version)</w:t>
            </w:r>
            <w:r w:rsidRPr="00B4291E" w:rsidR="00B4291E">
              <w:rPr>
                <w:webHidden/>
                <w:sz w:val="18"/>
                <w:szCs w:val="18"/>
              </w:rPr>
              <w:tab/>
              <w:t>B-1</w:t>
            </w:r>
          </w:hyperlink>
        </w:p>
        <w:p w:rsidRPr="00B4291E" w:rsidR="00B4291E" w:rsidP="00B4291E" w:rsidRDefault="00671891" w14:paraId="796FE9FB" w14:textId="77777777">
          <w:pPr>
            <w:pStyle w:val="TOC1"/>
            <w:rPr>
              <w:rFonts w:asciiTheme="minorHAnsi" w:hAnsiTheme="minorHAnsi" w:eastAsiaTheme="minorEastAsia"/>
              <w:sz w:val="18"/>
              <w:szCs w:val="18"/>
            </w:rPr>
          </w:pPr>
          <w:hyperlink w:history="1" w:anchor="_Toc19698131">
            <w:r w:rsidRPr="00B4291E" w:rsidR="00B4291E">
              <w:rPr>
                <w:rStyle w:val="Hyperlink"/>
                <w:sz w:val="18"/>
                <w:szCs w:val="18"/>
              </w:rPr>
              <w:t>Appendix B.2 Web Survey of SNAP State Agencies (Online Version)</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_Toc19698131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35</w:t>
            </w:r>
            <w:r w:rsidRPr="00B4291E" w:rsidR="00B4291E">
              <w:rPr>
                <w:webHidden/>
                <w:sz w:val="18"/>
                <w:szCs w:val="18"/>
              </w:rPr>
              <w:fldChar w:fldCharType="end"/>
            </w:r>
          </w:hyperlink>
        </w:p>
        <w:p w:rsidRPr="00B4291E" w:rsidR="00B4291E" w:rsidP="00B4291E" w:rsidRDefault="00671891" w14:paraId="55704336" w14:textId="77777777">
          <w:pPr>
            <w:pStyle w:val="TOC1"/>
            <w:jc w:val="left"/>
            <w:rPr>
              <w:rFonts w:asciiTheme="minorHAnsi" w:hAnsiTheme="minorHAnsi" w:eastAsiaTheme="minorEastAsia"/>
              <w:sz w:val="18"/>
              <w:szCs w:val="18"/>
            </w:rPr>
          </w:pPr>
          <w:hyperlink w:history="1" w:anchor="_Toc19698132">
            <w:r w:rsidRPr="00B4291E" w:rsidR="00B4291E">
              <w:rPr>
                <w:rStyle w:val="Hyperlink"/>
                <w:sz w:val="18"/>
                <w:szCs w:val="18"/>
              </w:rPr>
              <w:t>Appendix B.3 Template for Letter from FNS Headquarters to State SNAP Directors to Introduce Study</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_Toc19698132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122</w:t>
            </w:r>
            <w:r w:rsidRPr="00B4291E" w:rsidR="00B4291E">
              <w:rPr>
                <w:webHidden/>
                <w:sz w:val="18"/>
                <w:szCs w:val="18"/>
              </w:rPr>
              <w:fldChar w:fldCharType="end"/>
            </w:r>
          </w:hyperlink>
        </w:p>
        <w:p w:rsidRPr="00B4291E" w:rsidR="00B4291E" w:rsidP="00B4291E" w:rsidRDefault="00671891" w14:paraId="4ECF405D" w14:textId="77777777">
          <w:pPr>
            <w:pStyle w:val="TOC1"/>
            <w:rPr>
              <w:rFonts w:asciiTheme="minorHAnsi" w:hAnsiTheme="minorHAnsi" w:eastAsiaTheme="minorEastAsia"/>
              <w:sz w:val="18"/>
              <w:szCs w:val="18"/>
            </w:rPr>
          </w:pPr>
          <w:hyperlink w:history="1" w:anchor="_Toc19698133">
            <w:r w:rsidRPr="00B4291E" w:rsidR="00B4291E">
              <w:rPr>
                <w:rStyle w:val="Hyperlink"/>
                <w:sz w:val="18"/>
                <w:szCs w:val="18"/>
              </w:rPr>
              <w:t>Appendix B.4 Frequently Asked Questions (FAQs)</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_Toc19698133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124</w:t>
            </w:r>
            <w:r w:rsidRPr="00B4291E" w:rsidR="00B4291E">
              <w:rPr>
                <w:webHidden/>
                <w:sz w:val="18"/>
                <w:szCs w:val="18"/>
              </w:rPr>
              <w:fldChar w:fldCharType="end"/>
            </w:r>
          </w:hyperlink>
        </w:p>
        <w:p w:rsidRPr="00B4291E" w:rsidR="00B4291E" w:rsidP="00B4291E" w:rsidRDefault="00671891" w14:paraId="7FE51024" w14:textId="77777777">
          <w:pPr>
            <w:pStyle w:val="TOC1"/>
            <w:rPr>
              <w:rFonts w:asciiTheme="minorHAnsi" w:hAnsiTheme="minorHAnsi" w:eastAsiaTheme="minorEastAsia"/>
              <w:sz w:val="18"/>
              <w:szCs w:val="18"/>
            </w:rPr>
          </w:pPr>
          <w:hyperlink w:history="1" w:anchor="_Toc19698134">
            <w:r w:rsidRPr="00B4291E" w:rsidR="00B4291E">
              <w:rPr>
                <w:rStyle w:val="Hyperlink"/>
                <w:sz w:val="18"/>
                <w:szCs w:val="18"/>
              </w:rPr>
              <w:t>Appendix B.5 Survey Notification Email with Web Survey Link</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_Toc19698134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126</w:t>
            </w:r>
            <w:r w:rsidRPr="00B4291E" w:rsidR="00B4291E">
              <w:rPr>
                <w:webHidden/>
                <w:sz w:val="18"/>
                <w:szCs w:val="18"/>
              </w:rPr>
              <w:fldChar w:fldCharType="end"/>
            </w:r>
          </w:hyperlink>
        </w:p>
        <w:p w:rsidRPr="00B4291E" w:rsidR="00B4291E" w:rsidP="00B4291E" w:rsidRDefault="00671891" w14:paraId="11A9258C" w14:textId="77777777">
          <w:pPr>
            <w:pStyle w:val="TOC1"/>
            <w:rPr>
              <w:rFonts w:asciiTheme="minorHAnsi" w:hAnsiTheme="minorHAnsi" w:eastAsiaTheme="minorEastAsia"/>
              <w:sz w:val="18"/>
              <w:szCs w:val="18"/>
            </w:rPr>
          </w:pPr>
          <w:hyperlink w:history="1" w:anchor="_Toc19698135">
            <w:r w:rsidRPr="00B4291E" w:rsidR="00B4291E">
              <w:rPr>
                <w:rStyle w:val="Hyperlink"/>
                <w:sz w:val="18"/>
                <w:szCs w:val="18"/>
              </w:rPr>
              <w:t>Appendix B.6 Survey Reminder Email 1</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_Toc19698135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128</w:t>
            </w:r>
            <w:r w:rsidRPr="00B4291E" w:rsidR="00B4291E">
              <w:rPr>
                <w:webHidden/>
                <w:sz w:val="18"/>
                <w:szCs w:val="18"/>
              </w:rPr>
              <w:fldChar w:fldCharType="end"/>
            </w:r>
          </w:hyperlink>
        </w:p>
        <w:p w:rsidRPr="00B4291E" w:rsidR="00B4291E" w:rsidP="00B4291E" w:rsidRDefault="00671891" w14:paraId="21123810" w14:textId="77777777">
          <w:pPr>
            <w:pStyle w:val="TOC1"/>
            <w:rPr>
              <w:rFonts w:asciiTheme="minorHAnsi" w:hAnsiTheme="minorHAnsi" w:eastAsiaTheme="minorEastAsia"/>
              <w:sz w:val="18"/>
              <w:szCs w:val="18"/>
            </w:rPr>
          </w:pPr>
          <w:hyperlink w:history="1" w:anchor="_Toc19698136">
            <w:r w:rsidRPr="00B4291E" w:rsidR="00B4291E">
              <w:rPr>
                <w:rStyle w:val="Hyperlink"/>
                <w:sz w:val="18"/>
                <w:szCs w:val="18"/>
              </w:rPr>
              <w:t>Appendix B.7 SNAP Director Telephone Reminder Script</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_Toc19698136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129</w:t>
            </w:r>
            <w:r w:rsidRPr="00B4291E" w:rsidR="00B4291E">
              <w:rPr>
                <w:webHidden/>
                <w:sz w:val="18"/>
                <w:szCs w:val="18"/>
              </w:rPr>
              <w:fldChar w:fldCharType="end"/>
            </w:r>
          </w:hyperlink>
        </w:p>
        <w:p w:rsidRPr="00B4291E" w:rsidR="00B4291E" w:rsidP="00B4291E" w:rsidRDefault="00671891" w14:paraId="52FD8D3C" w14:textId="77777777">
          <w:pPr>
            <w:pStyle w:val="TOC1"/>
            <w:rPr>
              <w:rFonts w:asciiTheme="minorHAnsi" w:hAnsiTheme="minorHAnsi" w:eastAsiaTheme="minorEastAsia"/>
              <w:sz w:val="18"/>
              <w:szCs w:val="18"/>
            </w:rPr>
          </w:pPr>
          <w:hyperlink w:history="1" w:anchor="_Toc19698137">
            <w:r w:rsidRPr="00B4291E" w:rsidR="00B4291E">
              <w:rPr>
                <w:rStyle w:val="Hyperlink"/>
                <w:sz w:val="18"/>
                <w:szCs w:val="18"/>
              </w:rPr>
              <w:t>Appendix B.8 Survey Reminder Email 2</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_Toc19698137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133</w:t>
            </w:r>
            <w:r w:rsidRPr="00B4291E" w:rsidR="00B4291E">
              <w:rPr>
                <w:webHidden/>
                <w:sz w:val="18"/>
                <w:szCs w:val="18"/>
              </w:rPr>
              <w:fldChar w:fldCharType="end"/>
            </w:r>
          </w:hyperlink>
        </w:p>
        <w:p w:rsidRPr="00B4291E" w:rsidR="00B4291E" w:rsidP="00B4291E" w:rsidRDefault="00671891" w14:paraId="64202550" w14:textId="77777777">
          <w:pPr>
            <w:pStyle w:val="TOC1"/>
            <w:rPr>
              <w:rFonts w:asciiTheme="minorHAnsi" w:hAnsiTheme="minorHAnsi" w:eastAsiaTheme="minorEastAsia"/>
              <w:sz w:val="18"/>
              <w:szCs w:val="18"/>
            </w:rPr>
          </w:pPr>
          <w:hyperlink w:history="1" w:anchor="_Toc19698138">
            <w:r w:rsidRPr="00B4291E" w:rsidR="00B4291E">
              <w:rPr>
                <w:rStyle w:val="Hyperlink"/>
                <w:sz w:val="18"/>
                <w:szCs w:val="18"/>
              </w:rPr>
              <w:t>Appendix B.9 Survey Reminder Email 3</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_Toc19698138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134</w:t>
            </w:r>
            <w:r w:rsidRPr="00B4291E" w:rsidR="00B4291E">
              <w:rPr>
                <w:webHidden/>
                <w:sz w:val="18"/>
                <w:szCs w:val="18"/>
              </w:rPr>
              <w:fldChar w:fldCharType="end"/>
            </w:r>
          </w:hyperlink>
        </w:p>
        <w:p w:rsidRPr="00B4291E" w:rsidR="00B4291E" w:rsidP="00B4291E" w:rsidRDefault="00671891" w14:paraId="40446B31" w14:textId="77777777">
          <w:pPr>
            <w:pStyle w:val="TOC1"/>
            <w:rPr>
              <w:rFonts w:asciiTheme="minorHAnsi" w:hAnsiTheme="minorHAnsi" w:eastAsiaTheme="minorEastAsia"/>
              <w:sz w:val="18"/>
              <w:szCs w:val="18"/>
            </w:rPr>
          </w:pPr>
          <w:hyperlink w:history="1" w:anchor="_Toc19698139">
            <w:r w:rsidRPr="00B4291E" w:rsidR="00B4291E">
              <w:rPr>
                <w:rStyle w:val="Hyperlink"/>
                <w:sz w:val="18"/>
                <w:szCs w:val="18"/>
              </w:rPr>
              <w:t>Appendix B.10 Survey Reminder Emails 4–8</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_Toc19698139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135</w:t>
            </w:r>
            <w:r w:rsidRPr="00B4291E" w:rsidR="00B4291E">
              <w:rPr>
                <w:webHidden/>
                <w:sz w:val="18"/>
                <w:szCs w:val="18"/>
              </w:rPr>
              <w:fldChar w:fldCharType="end"/>
            </w:r>
          </w:hyperlink>
        </w:p>
        <w:p w:rsidRPr="00B4291E" w:rsidR="00B4291E" w:rsidP="00B4291E" w:rsidRDefault="00671891" w14:paraId="1BD11DAE" w14:textId="77777777">
          <w:pPr>
            <w:pStyle w:val="TOC1"/>
            <w:rPr>
              <w:rFonts w:asciiTheme="minorHAnsi" w:hAnsiTheme="minorHAnsi" w:eastAsiaTheme="minorEastAsia"/>
              <w:sz w:val="18"/>
              <w:szCs w:val="18"/>
            </w:rPr>
          </w:pPr>
          <w:hyperlink w:history="1" w:anchor="_Toc19698140">
            <w:r w:rsidRPr="00B4291E" w:rsidR="00B4291E">
              <w:rPr>
                <w:rStyle w:val="Hyperlink"/>
                <w:sz w:val="18"/>
                <w:szCs w:val="18"/>
              </w:rPr>
              <w:t>Appendix B.11 Post-Survey Clarification Email</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_Toc19698140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136</w:t>
            </w:r>
            <w:r w:rsidRPr="00B4291E" w:rsidR="00B4291E">
              <w:rPr>
                <w:webHidden/>
                <w:sz w:val="18"/>
                <w:szCs w:val="18"/>
              </w:rPr>
              <w:fldChar w:fldCharType="end"/>
            </w:r>
          </w:hyperlink>
        </w:p>
        <w:p w:rsidRPr="00B4291E" w:rsidR="00B4291E" w:rsidP="00B4291E" w:rsidRDefault="00671891" w14:paraId="406C5EBF" w14:textId="77777777">
          <w:pPr>
            <w:pStyle w:val="TOC1"/>
            <w:rPr>
              <w:rFonts w:asciiTheme="minorHAnsi" w:hAnsiTheme="minorHAnsi" w:eastAsiaTheme="minorEastAsia"/>
              <w:sz w:val="18"/>
              <w:szCs w:val="18"/>
            </w:rPr>
          </w:pPr>
          <w:hyperlink w:history="1" w:anchor="_Toc19698141">
            <w:r w:rsidRPr="00B4291E" w:rsidR="00B4291E">
              <w:rPr>
                <w:rStyle w:val="Hyperlink"/>
                <w:sz w:val="18"/>
                <w:szCs w:val="18"/>
              </w:rPr>
              <w:t>Appendix B.12 Post-Survey Clarification Telephone Script</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_Toc19698141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137</w:t>
            </w:r>
            <w:r w:rsidRPr="00B4291E" w:rsidR="00B4291E">
              <w:rPr>
                <w:webHidden/>
                <w:sz w:val="18"/>
                <w:szCs w:val="18"/>
              </w:rPr>
              <w:fldChar w:fldCharType="end"/>
            </w:r>
          </w:hyperlink>
        </w:p>
        <w:p w:rsidRPr="00B4291E" w:rsidR="00B4291E" w:rsidP="00B4291E" w:rsidRDefault="00671891" w14:paraId="187BAA9E" w14:textId="77777777">
          <w:pPr>
            <w:pStyle w:val="TOC1"/>
            <w:rPr>
              <w:rFonts w:asciiTheme="minorHAnsi" w:hAnsiTheme="minorHAnsi" w:eastAsiaTheme="minorEastAsia"/>
              <w:sz w:val="18"/>
              <w:szCs w:val="18"/>
            </w:rPr>
          </w:pPr>
          <w:hyperlink w:history="1" w:anchor="_Toc19698142">
            <w:r w:rsidRPr="00B4291E" w:rsidR="00B4291E">
              <w:rPr>
                <w:rStyle w:val="Hyperlink"/>
                <w:sz w:val="18"/>
                <w:szCs w:val="18"/>
              </w:rPr>
              <w:t>Appendix B.13 Thank-You Email to Study Participants</w:t>
            </w:r>
            <w:r w:rsidRPr="00B4291E" w:rsidR="00B4291E">
              <w:rPr>
                <w:webHidden/>
                <w:sz w:val="18"/>
                <w:szCs w:val="18"/>
              </w:rPr>
              <w:tab/>
              <w:t>B-</w:t>
            </w:r>
            <w:r w:rsidRPr="00B4291E" w:rsidR="00B4291E">
              <w:rPr>
                <w:webHidden/>
                <w:sz w:val="18"/>
                <w:szCs w:val="18"/>
              </w:rPr>
              <w:fldChar w:fldCharType="begin"/>
            </w:r>
            <w:r w:rsidRPr="00B4291E" w:rsidR="00B4291E">
              <w:rPr>
                <w:webHidden/>
                <w:sz w:val="18"/>
                <w:szCs w:val="18"/>
              </w:rPr>
              <w:instrText xml:space="preserve"> PAGEREF _Toc19698142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140</w:t>
            </w:r>
            <w:r w:rsidRPr="00B4291E" w:rsidR="00B4291E">
              <w:rPr>
                <w:webHidden/>
                <w:sz w:val="18"/>
                <w:szCs w:val="18"/>
              </w:rPr>
              <w:fldChar w:fldCharType="end"/>
            </w:r>
          </w:hyperlink>
        </w:p>
        <w:p w:rsidRPr="00B4291E" w:rsidR="00B4291E" w:rsidP="00B4291E" w:rsidRDefault="00671891" w14:paraId="5B4D3215" w14:textId="77777777">
          <w:pPr>
            <w:pStyle w:val="TOC1"/>
            <w:rPr>
              <w:rFonts w:asciiTheme="minorHAnsi" w:hAnsiTheme="minorHAnsi" w:eastAsiaTheme="minorEastAsia"/>
              <w:sz w:val="18"/>
              <w:szCs w:val="18"/>
            </w:rPr>
          </w:pPr>
          <w:hyperlink w:history="1" w:anchor="_Toc19698144">
            <w:r w:rsidRPr="00B4291E" w:rsidR="00B4291E">
              <w:rPr>
                <w:rStyle w:val="Hyperlink"/>
                <w:sz w:val="18"/>
                <w:szCs w:val="18"/>
              </w:rPr>
              <w:t>Appendix C.1 SNAP State Agency Leaders in Safeguarding PII: Interview Protocol</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_Toc19698144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w:t>
            </w:r>
            <w:r w:rsidRPr="00B4291E" w:rsidR="00B4291E">
              <w:rPr>
                <w:webHidden/>
                <w:sz w:val="18"/>
                <w:szCs w:val="18"/>
              </w:rPr>
              <w:fldChar w:fldCharType="end"/>
            </w:r>
          </w:hyperlink>
        </w:p>
        <w:p w:rsidRPr="00B4291E" w:rsidR="00B4291E" w:rsidP="00B4291E" w:rsidRDefault="00671891" w14:paraId="3B8742CB" w14:textId="77777777">
          <w:pPr>
            <w:pStyle w:val="TOC1"/>
            <w:rPr>
              <w:rFonts w:asciiTheme="minorHAnsi" w:hAnsiTheme="minorHAnsi" w:eastAsiaTheme="minorEastAsia"/>
              <w:sz w:val="18"/>
              <w:szCs w:val="18"/>
            </w:rPr>
          </w:pPr>
          <w:hyperlink w:history="1" w:anchor="_Toc19698145">
            <w:r w:rsidRPr="00B4291E" w:rsidR="00B4291E">
              <w:rPr>
                <w:rStyle w:val="Hyperlink"/>
                <w:sz w:val="18"/>
                <w:szCs w:val="18"/>
              </w:rPr>
              <w:t>Appendix C.2 Frequently Asked Questions (FAQs) for SNAP State Agency Leaders’ Interview</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_Toc19698145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5</w:t>
            </w:r>
            <w:r w:rsidRPr="00B4291E" w:rsidR="00B4291E">
              <w:rPr>
                <w:webHidden/>
                <w:sz w:val="18"/>
                <w:szCs w:val="18"/>
              </w:rPr>
              <w:fldChar w:fldCharType="end"/>
            </w:r>
          </w:hyperlink>
        </w:p>
        <w:p w:rsidRPr="00B4291E" w:rsidR="00B4291E" w:rsidP="00B4291E" w:rsidRDefault="00671891" w14:paraId="4F1A468E" w14:textId="77777777">
          <w:pPr>
            <w:pStyle w:val="TOC1"/>
            <w:rPr>
              <w:rFonts w:asciiTheme="minorHAnsi" w:hAnsiTheme="minorHAnsi" w:eastAsiaTheme="minorEastAsia"/>
              <w:sz w:val="18"/>
              <w:szCs w:val="18"/>
            </w:rPr>
          </w:pPr>
          <w:hyperlink w:history="1" w:anchor="_Toc19698146">
            <w:r w:rsidRPr="00B4291E" w:rsidR="00B4291E">
              <w:rPr>
                <w:rStyle w:val="Hyperlink"/>
                <w:sz w:val="18"/>
                <w:szCs w:val="18"/>
              </w:rPr>
              <w:t>Appendix C.3 Letter Template to Introduce Study from FNS headquarters to SNAP State Directors</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_Toc19698146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7</w:t>
            </w:r>
            <w:r w:rsidRPr="00B4291E" w:rsidR="00B4291E">
              <w:rPr>
                <w:webHidden/>
                <w:sz w:val="18"/>
                <w:szCs w:val="18"/>
              </w:rPr>
              <w:fldChar w:fldCharType="end"/>
            </w:r>
          </w:hyperlink>
        </w:p>
        <w:p w:rsidRPr="00B4291E" w:rsidR="00B4291E" w:rsidP="00B4291E" w:rsidRDefault="00671891" w14:paraId="3E118323" w14:textId="77777777">
          <w:pPr>
            <w:pStyle w:val="TOC1"/>
            <w:rPr>
              <w:rFonts w:asciiTheme="minorHAnsi" w:hAnsiTheme="minorHAnsi" w:eastAsiaTheme="minorEastAsia"/>
              <w:sz w:val="18"/>
              <w:szCs w:val="18"/>
            </w:rPr>
          </w:pPr>
          <w:hyperlink w:history="1" w:anchor="_Toc19698147">
            <w:r w:rsidRPr="00B4291E" w:rsidR="00B4291E">
              <w:rPr>
                <w:rStyle w:val="Hyperlink"/>
                <w:sz w:val="18"/>
                <w:szCs w:val="18"/>
              </w:rPr>
              <w:t>Appendix C.4 Initial Interview Notification and Scheduler Letter</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_Toc19698147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9</w:t>
            </w:r>
            <w:r w:rsidRPr="00B4291E" w:rsidR="00B4291E">
              <w:rPr>
                <w:webHidden/>
                <w:sz w:val="18"/>
                <w:szCs w:val="18"/>
              </w:rPr>
              <w:fldChar w:fldCharType="end"/>
            </w:r>
          </w:hyperlink>
        </w:p>
        <w:p w:rsidRPr="00B4291E" w:rsidR="00B4291E" w:rsidP="00B4291E" w:rsidRDefault="00671891" w14:paraId="40E0AF7B" w14:textId="77777777">
          <w:pPr>
            <w:pStyle w:val="TOC1"/>
            <w:rPr>
              <w:rFonts w:asciiTheme="minorHAnsi" w:hAnsiTheme="minorHAnsi" w:eastAsiaTheme="minorEastAsia"/>
              <w:sz w:val="18"/>
              <w:szCs w:val="18"/>
            </w:rPr>
          </w:pPr>
          <w:hyperlink w:history="1" w:anchor="_Toc19698148">
            <w:r w:rsidRPr="00B4291E" w:rsidR="00B4291E">
              <w:rPr>
                <w:rStyle w:val="Hyperlink"/>
                <w:sz w:val="18"/>
                <w:szCs w:val="18"/>
              </w:rPr>
              <w:t>Appendix C.5 Interview Reminder Email</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_Toc19698148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11</w:t>
            </w:r>
            <w:r w:rsidRPr="00B4291E" w:rsidR="00B4291E">
              <w:rPr>
                <w:webHidden/>
                <w:sz w:val="18"/>
                <w:szCs w:val="18"/>
              </w:rPr>
              <w:fldChar w:fldCharType="end"/>
            </w:r>
          </w:hyperlink>
        </w:p>
        <w:p w:rsidRPr="00B4291E" w:rsidR="00B4291E" w:rsidP="00B4291E" w:rsidRDefault="00671891" w14:paraId="06B8CC64" w14:textId="77777777">
          <w:pPr>
            <w:pStyle w:val="TOC1"/>
            <w:rPr>
              <w:rFonts w:asciiTheme="minorHAnsi" w:hAnsiTheme="minorHAnsi" w:eastAsiaTheme="minorEastAsia"/>
              <w:sz w:val="18"/>
              <w:szCs w:val="18"/>
            </w:rPr>
          </w:pPr>
          <w:hyperlink w:history="1" w:anchor="_Toc19698149">
            <w:r w:rsidRPr="00B4291E" w:rsidR="00B4291E">
              <w:rPr>
                <w:rStyle w:val="Hyperlink"/>
                <w:sz w:val="18"/>
                <w:szCs w:val="18"/>
              </w:rPr>
              <w:t>Appendix C.6 Interview Reminder and Scheduling Script</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_Toc19698149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13</w:t>
            </w:r>
            <w:r w:rsidRPr="00B4291E" w:rsidR="00B4291E">
              <w:rPr>
                <w:webHidden/>
                <w:sz w:val="18"/>
                <w:szCs w:val="18"/>
              </w:rPr>
              <w:fldChar w:fldCharType="end"/>
            </w:r>
          </w:hyperlink>
        </w:p>
        <w:p w:rsidRPr="00B4291E" w:rsidR="00B4291E" w:rsidP="00B4291E" w:rsidRDefault="00671891" w14:paraId="7A85CF79" w14:textId="77777777">
          <w:pPr>
            <w:pStyle w:val="TOC1"/>
            <w:rPr>
              <w:rFonts w:asciiTheme="minorHAnsi" w:hAnsiTheme="minorHAnsi" w:eastAsiaTheme="minorEastAsia"/>
              <w:sz w:val="18"/>
              <w:szCs w:val="18"/>
            </w:rPr>
          </w:pPr>
          <w:hyperlink w:history="1" w:anchor="_Toc19698150">
            <w:r w:rsidRPr="00B4291E" w:rsidR="00B4291E">
              <w:rPr>
                <w:rStyle w:val="Hyperlink"/>
                <w:sz w:val="18"/>
                <w:szCs w:val="18"/>
              </w:rPr>
              <w:t>Appendix C.7 Interview Participation Confirmation Email</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_Toc19698150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17</w:t>
            </w:r>
            <w:r w:rsidRPr="00B4291E" w:rsidR="00B4291E">
              <w:rPr>
                <w:webHidden/>
                <w:sz w:val="18"/>
                <w:szCs w:val="18"/>
              </w:rPr>
              <w:fldChar w:fldCharType="end"/>
            </w:r>
          </w:hyperlink>
        </w:p>
        <w:p w:rsidRPr="00B4291E" w:rsidR="00B4291E" w:rsidP="00B4291E" w:rsidRDefault="00671891" w14:paraId="7A75492B" w14:textId="77777777">
          <w:pPr>
            <w:pStyle w:val="TOC1"/>
            <w:rPr>
              <w:rFonts w:asciiTheme="minorHAnsi" w:hAnsiTheme="minorHAnsi" w:eastAsiaTheme="minorEastAsia"/>
              <w:sz w:val="18"/>
              <w:szCs w:val="18"/>
            </w:rPr>
          </w:pPr>
          <w:hyperlink w:history="1" w:anchor="_Toc19698151">
            <w:r w:rsidRPr="00B4291E" w:rsidR="00B4291E">
              <w:rPr>
                <w:rStyle w:val="Hyperlink"/>
                <w:sz w:val="18"/>
                <w:szCs w:val="18"/>
              </w:rPr>
              <w:t>Appendix C.8 Thank-You Letter to Study Participants</w:t>
            </w:r>
            <w:r w:rsidRPr="00B4291E" w:rsidR="00B4291E">
              <w:rPr>
                <w:webHidden/>
                <w:sz w:val="18"/>
                <w:szCs w:val="18"/>
              </w:rPr>
              <w:tab/>
              <w:t>C-</w:t>
            </w:r>
            <w:r w:rsidRPr="00B4291E" w:rsidR="00B4291E">
              <w:rPr>
                <w:webHidden/>
                <w:sz w:val="18"/>
                <w:szCs w:val="18"/>
              </w:rPr>
              <w:fldChar w:fldCharType="begin"/>
            </w:r>
            <w:r w:rsidRPr="00B4291E" w:rsidR="00B4291E">
              <w:rPr>
                <w:webHidden/>
                <w:sz w:val="18"/>
                <w:szCs w:val="18"/>
              </w:rPr>
              <w:instrText xml:space="preserve"> PAGEREF _Toc19698151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18</w:t>
            </w:r>
            <w:r w:rsidRPr="00B4291E" w:rsidR="00B4291E">
              <w:rPr>
                <w:webHidden/>
                <w:sz w:val="18"/>
                <w:szCs w:val="18"/>
              </w:rPr>
              <w:fldChar w:fldCharType="end"/>
            </w:r>
          </w:hyperlink>
        </w:p>
        <w:p w:rsidRPr="00B4291E" w:rsidR="00B4291E" w:rsidP="00B4291E" w:rsidRDefault="00671891" w14:paraId="0084EC56" w14:textId="77777777">
          <w:pPr>
            <w:pStyle w:val="TOC1"/>
            <w:rPr>
              <w:rFonts w:asciiTheme="minorHAnsi" w:hAnsiTheme="minorHAnsi" w:eastAsiaTheme="minorEastAsia"/>
              <w:sz w:val="18"/>
              <w:szCs w:val="18"/>
            </w:rPr>
          </w:pPr>
          <w:hyperlink w:history="1" w:anchor="_Toc19698153">
            <w:r w:rsidRPr="00B4291E" w:rsidR="00B4291E">
              <w:rPr>
                <w:rStyle w:val="Hyperlink"/>
                <w:sz w:val="18"/>
                <w:szCs w:val="18"/>
              </w:rPr>
              <w:t>Appendix D.1 Industry Expert Interview Protocol</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_Toc19698153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w:t>
            </w:r>
            <w:r w:rsidRPr="00B4291E" w:rsidR="00B4291E">
              <w:rPr>
                <w:webHidden/>
                <w:sz w:val="18"/>
                <w:szCs w:val="18"/>
              </w:rPr>
              <w:fldChar w:fldCharType="end"/>
            </w:r>
          </w:hyperlink>
        </w:p>
        <w:p w:rsidRPr="00B4291E" w:rsidR="00B4291E" w:rsidP="00B4291E" w:rsidRDefault="00671891" w14:paraId="066B6082" w14:textId="77777777">
          <w:pPr>
            <w:pStyle w:val="TOC1"/>
            <w:rPr>
              <w:rFonts w:asciiTheme="minorHAnsi" w:hAnsiTheme="minorHAnsi" w:eastAsiaTheme="minorEastAsia"/>
              <w:sz w:val="18"/>
              <w:szCs w:val="18"/>
            </w:rPr>
          </w:pPr>
          <w:hyperlink w:history="1" w:anchor="_Toc19698154">
            <w:r w:rsidRPr="00B4291E" w:rsidR="00B4291E">
              <w:rPr>
                <w:rStyle w:val="Hyperlink"/>
                <w:sz w:val="18"/>
                <w:szCs w:val="18"/>
              </w:rPr>
              <w:t>Appendix D.2 Industry Experts Recruitment Email 1</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_Toc19698154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5</w:t>
            </w:r>
            <w:r w:rsidRPr="00B4291E" w:rsidR="00B4291E">
              <w:rPr>
                <w:webHidden/>
                <w:sz w:val="18"/>
                <w:szCs w:val="18"/>
              </w:rPr>
              <w:fldChar w:fldCharType="end"/>
            </w:r>
          </w:hyperlink>
        </w:p>
        <w:p w:rsidRPr="00B4291E" w:rsidR="00B4291E" w:rsidP="00B4291E" w:rsidRDefault="00671891" w14:paraId="606216B8" w14:textId="77777777">
          <w:pPr>
            <w:pStyle w:val="TOC1"/>
            <w:rPr>
              <w:rFonts w:asciiTheme="minorHAnsi" w:hAnsiTheme="minorHAnsi" w:eastAsiaTheme="minorEastAsia"/>
              <w:sz w:val="18"/>
              <w:szCs w:val="18"/>
            </w:rPr>
          </w:pPr>
          <w:hyperlink w:history="1" w:anchor="_Toc19698155">
            <w:r w:rsidRPr="00B4291E" w:rsidR="00B4291E">
              <w:rPr>
                <w:rStyle w:val="Hyperlink"/>
                <w:sz w:val="18"/>
                <w:szCs w:val="18"/>
              </w:rPr>
              <w:t>Appendix D.3 Frequently Asked Questions (FAQs)</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_Toc19698155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7</w:t>
            </w:r>
            <w:r w:rsidRPr="00B4291E" w:rsidR="00B4291E">
              <w:rPr>
                <w:webHidden/>
                <w:sz w:val="18"/>
                <w:szCs w:val="18"/>
              </w:rPr>
              <w:fldChar w:fldCharType="end"/>
            </w:r>
          </w:hyperlink>
        </w:p>
        <w:p w:rsidRPr="00B4291E" w:rsidR="00B4291E" w:rsidP="00B4291E" w:rsidRDefault="00671891" w14:paraId="2E0E7EB9" w14:textId="77777777">
          <w:pPr>
            <w:pStyle w:val="TOC1"/>
            <w:rPr>
              <w:rFonts w:asciiTheme="minorHAnsi" w:hAnsiTheme="minorHAnsi" w:eastAsiaTheme="minorEastAsia"/>
              <w:sz w:val="18"/>
              <w:szCs w:val="18"/>
            </w:rPr>
          </w:pPr>
          <w:hyperlink w:history="1" w:anchor="_Toc19698156">
            <w:r w:rsidRPr="00B4291E" w:rsidR="00B4291E">
              <w:rPr>
                <w:rStyle w:val="Hyperlink"/>
                <w:sz w:val="18"/>
                <w:szCs w:val="18"/>
              </w:rPr>
              <w:t>Appendix D.4 Supporting Letter from FNS to Industry Experts</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_Toc19698156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9</w:t>
            </w:r>
            <w:r w:rsidRPr="00B4291E" w:rsidR="00B4291E">
              <w:rPr>
                <w:webHidden/>
                <w:sz w:val="18"/>
                <w:szCs w:val="18"/>
              </w:rPr>
              <w:fldChar w:fldCharType="end"/>
            </w:r>
          </w:hyperlink>
        </w:p>
        <w:p w:rsidRPr="00B4291E" w:rsidR="00B4291E" w:rsidP="00B4291E" w:rsidRDefault="00671891" w14:paraId="7D204CAE" w14:textId="77777777">
          <w:pPr>
            <w:pStyle w:val="TOC1"/>
            <w:rPr>
              <w:rFonts w:asciiTheme="minorHAnsi" w:hAnsiTheme="minorHAnsi" w:eastAsiaTheme="minorEastAsia"/>
              <w:sz w:val="18"/>
              <w:szCs w:val="18"/>
            </w:rPr>
          </w:pPr>
          <w:hyperlink w:history="1" w:anchor="_Toc19698157">
            <w:r w:rsidRPr="00B4291E" w:rsidR="00B4291E">
              <w:rPr>
                <w:rStyle w:val="Hyperlink"/>
                <w:sz w:val="18"/>
                <w:szCs w:val="18"/>
              </w:rPr>
              <w:t>Appendix D.5 Recruitment Emails 2 and 3</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_Toc19698157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11</w:t>
            </w:r>
            <w:r w:rsidRPr="00B4291E" w:rsidR="00B4291E">
              <w:rPr>
                <w:webHidden/>
                <w:sz w:val="18"/>
                <w:szCs w:val="18"/>
              </w:rPr>
              <w:fldChar w:fldCharType="end"/>
            </w:r>
          </w:hyperlink>
        </w:p>
        <w:p w:rsidRPr="00B4291E" w:rsidR="00B4291E" w:rsidP="00B4291E" w:rsidRDefault="00671891" w14:paraId="5B2AA85E" w14:textId="77777777">
          <w:pPr>
            <w:pStyle w:val="TOC1"/>
            <w:rPr>
              <w:rFonts w:asciiTheme="minorHAnsi" w:hAnsiTheme="minorHAnsi" w:eastAsiaTheme="minorEastAsia"/>
              <w:sz w:val="18"/>
              <w:szCs w:val="18"/>
            </w:rPr>
          </w:pPr>
          <w:hyperlink w:history="1" w:anchor="_Toc19698158">
            <w:r w:rsidRPr="00B4291E" w:rsidR="00B4291E">
              <w:rPr>
                <w:rStyle w:val="Hyperlink"/>
                <w:sz w:val="18"/>
                <w:szCs w:val="18"/>
              </w:rPr>
              <w:t>Appendix D.6 Recruitment Phone Call Scripts 1 and 2</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_Toc19698158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13</w:t>
            </w:r>
            <w:r w:rsidRPr="00B4291E" w:rsidR="00B4291E">
              <w:rPr>
                <w:webHidden/>
                <w:sz w:val="18"/>
                <w:szCs w:val="18"/>
              </w:rPr>
              <w:fldChar w:fldCharType="end"/>
            </w:r>
          </w:hyperlink>
        </w:p>
        <w:p w:rsidRPr="00B4291E" w:rsidR="00B4291E" w:rsidP="00B4291E" w:rsidRDefault="00671891" w14:paraId="0E8A136A" w14:textId="77777777">
          <w:pPr>
            <w:pStyle w:val="TOC1"/>
            <w:rPr>
              <w:rFonts w:asciiTheme="minorHAnsi" w:hAnsiTheme="minorHAnsi" w:eastAsiaTheme="minorEastAsia"/>
              <w:sz w:val="18"/>
              <w:szCs w:val="18"/>
            </w:rPr>
          </w:pPr>
          <w:hyperlink w:history="1" w:anchor="_Toc19698159">
            <w:r w:rsidRPr="00B4291E" w:rsidR="00B4291E">
              <w:rPr>
                <w:rStyle w:val="Hyperlink"/>
                <w:sz w:val="18"/>
                <w:szCs w:val="18"/>
              </w:rPr>
              <w:t>Appendix D.7 Industry Experts Interview: Participant Confirmation Email</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_Toc19698159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17</w:t>
            </w:r>
            <w:r w:rsidRPr="00B4291E" w:rsidR="00B4291E">
              <w:rPr>
                <w:webHidden/>
                <w:sz w:val="18"/>
                <w:szCs w:val="18"/>
              </w:rPr>
              <w:fldChar w:fldCharType="end"/>
            </w:r>
          </w:hyperlink>
        </w:p>
        <w:p w:rsidRPr="00B4291E" w:rsidR="00B4291E" w:rsidP="00B4291E" w:rsidRDefault="00671891" w14:paraId="6217873F" w14:textId="77777777">
          <w:pPr>
            <w:pStyle w:val="TOC1"/>
            <w:rPr>
              <w:rFonts w:asciiTheme="minorHAnsi" w:hAnsiTheme="minorHAnsi" w:eastAsiaTheme="minorEastAsia"/>
              <w:sz w:val="18"/>
              <w:szCs w:val="18"/>
            </w:rPr>
          </w:pPr>
          <w:hyperlink w:history="1" w:anchor="_Toc19698160">
            <w:r w:rsidRPr="00B4291E" w:rsidR="00B4291E">
              <w:rPr>
                <w:rStyle w:val="Hyperlink"/>
                <w:sz w:val="18"/>
                <w:szCs w:val="18"/>
              </w:rPr>
              <w:t>Appendix D.8 Industry Experts Interview: Thank-You Email to Study Participants</w:t>
            </w:r>
            <w:r w:rsidRPr="00B4291E" w:rsidR="00B4291E">
              <w:rPr>
                <w:webHidden/>
                <w:sz w:val="18"/>
                <w:szCs w:val="18"/>
              </w:rPr>
              <w:tab/>
              <w:t>D-</w:t>
            </w:r>
            <w:r w:rsidRPr="00B4291E" w:rsidR="00B4291E">
              <w:rPr>
                <w:webHidden/>
                <w:sz w:val="18"/>
                <w:szCs w:val="18"/>
              </w:rPr>
              <w:fldChar w:fldCharType="begin"/>
            </w:r>
            <w:r w:rsidRPr="00B4291E" w:rsidR="00B4291E">
              <w:rPr>
                <w:webHidden/>
                <w:sz w:val="18"/>
                <w:szCs w:val="18"/>
              </w:rPr>
              <w:instrText xml:space="preserve"> PAGEREF _Toc19698160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18</w:t>
            </w:r>
            <w:r w:rsidRPr="00B4291E" w:rsidR="00B4291E">
              <w:rPr>
                <w:webHidden/>
                <w:sz w:val="18"/>
                <w:szCs w:val="18"/>
              </w:rPr>
              <w:fldChar w:fldCharType="end"/>
            </w:r>
          </w:hyperlink>
        </w:p>
        <w:p w:rsidRPr="00B4291E" w:rsidR="00B4291E" w:rsidP="00B4291E" w:rsidRDefault="00671891" w14:paraId="3BAC6F80" w14:textId="77777777">
          <w:pPr>
            <w:pStyle w:val="TOC1"/>
            <w:rPr>
              <w:rFonts w:asciiTheme="minorHAnsi" w:hAnsiTheme="minorHAnsi" w:eastAsiaTheme="minorEastAsia"/>
              <w:sz w:val="18"/>
              <w:szCs w:val="18"/>
            </w:rPr>
          </w:pPr>
          <w:hyperlink w:history="1" w:anchor="_Toc19698162">
            <w:r w:rsidRPr="00B4291E" w:rsidR="00B4291E">
              <w:rPr>
                <w:rStyle w:val="Hyperlink"/>
                <w:sz w:val="18"/>
                <w:szCs w:val="18"/>
              </w:rPr>
              <w:t>Appendix E.1 Federal Register 60-day Notice (No comments received)</w:t>
            </w:r>
            <w:r w:rsidRPr="00B4291E" w:rsidR="00B4291E">
              <w:rPr>
                <w:webHidden/>
                <w:sz w:val="18"/>
                <w:szCs w:val="18"/>
              </w:rPr>
              <w:tab/>
              <w:t>E-</w:t>
            </w:r>
            <w:r w:rsidRPr="00B4291E" w:rsidR="00B4291E">
              <w:rPr>
                <w:webHidden/>
                <w:sz w:val="18"/>
                <w:szCs w:val="18"/>
              </w:rPr>
              <w:fldChar w:fldCharType="begin"/>
            </w:r>
            <w:r w:rsidRPr="00B4291E" w:rsidR="00B4291E">
              <w:rPr>
                <w:webHidden/>
                <w:sz w:val="18"/>
                <w:szCs w:val="18"/>
              </w:rPr>
              <w:instrText xml:space="preserve"> PAGEREF _Toc19698162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1</w:t>
            </w:r>
            <w:r w:rsidRPr="00B4291E" w:rsidR="00B4291E">
              <w:rPr>
                <w:webHidden/>
                <w:sz w:val="18"/>
                <w:szCs w:val="18"/>
              </w:rPr>
              <w:fldChar w:fldCharType="end"/>
            </w:r>
          </w:hyperlink>
        </w:p>
        <w:p w:rsidRPr="00B4291E" w:rsidR="00B4291E" w:rsidP="00B4291E" w:rsidRDefault="00671891" w14:paraId="613E65C1" w14:textId="77777777">
          <w:pPr>
            <w:pStyle w:val="TOC1"/>
            <w:rPr>
              <w:rFonts w:asciiTheme="minorHAnsi" w:hAnsiTheme="minorHAnsi" w:eastAsiaTheme="minorEastAsia"/>
              <w:sz w:val="18"/>
              <w:szCs w:val="18"/>
            </w:rPr>
          </w:pPr>
          <w:hyperlink w:history="1" w:anchor="_Toc19698163">
            <w:r w:rsidRPr="00B4291E" w:rsidR="00B4291E">
              <w:rPr>
                <w:rStyle w:val="Hyperlink"/>
                <w:sz w:val="18"/>
                <w:szCs w:val="18"/>
              </w:rPr>
              <w:t>Appendix E.2 Comments from the National Agricultural Statistics Service (NASS)</w:t>
            </w:r>
            <w:r w:rsidRPr="00B4291E" w:rsidR="00B4291E">
              <w:rPr>
                <w:webHidden/>
                <w:sz w:val="18"/>
                <w:szCs w:val="18"/>
              </w:rPr>
              <w:tab/>
              <w:t>E-</w:t>
            </w:r>
            <w:r w:rsidRPr="00B4291E" w:rsidR="00B4291E">
              <w:rPr>
                <w:webHidden/>
                <w:sz w:val="18"/>
                <w:szCs w:val="18"/>
              </w:rPr>
              <w:fldChar w:fldCharType="begin"/>
            </w:r>
            <w:r w:rsidRPr="00B4291E" w:rsidR="00B4291E">
              <w:rPr>
                <w:webHidden/>
                <w:sz w:val="18"/>
                <w:szCs w:val="18"/>
              </w:rPr>
              <w:instrText xml:space="preserve"> PAGEREF _Toc19698163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3</w:t>
            </w:r>
            <w:r w:rsidRPr="00B4291E" w:rsidR="00B4291E">
              <w:rPr>
                <w:webHidden/>
                <w:sz w:val="18"/>
                <w:szCs w:val="18"/>
              </w:rPr>
              <w:fldChar w:fldCharType="end"/>
            </w:r>
          </w:hyperlink>
        </w:p>
        <w:p w:rsidRPr="00B4291E" w:rsidR="00B4291E" w:rsidP="00B4291E" w:rsidRDefault="00671891" w14:paraId="31D2784D" w14:textId="77777777">
          <w:pPr>
            <w:pStyle w:val="TOC1"/>
            <w:rPr>
              <w:rFonts w:asciiTheme="minorHAnsi" w:hAnsiTheme="minorHAnsi" w:eastAsiaTheme="minorEastAsia"/>
              <w:sz w:val="18"/>
              <w:szCs w:val="18"/>
            </w:rPr>
          </w:pPr>
          <w:hyperlink w:history="1" w:anchor="_Toc19698164">
            <w:r w:rsidRPr="00B4291E" w:rsidR="00B4291E">
              <w:rPr>
                <w:rStyle w:val="Hyperlink"/>
                <w:sz w:val="18"/>
                <w:szCs w:val="18"/>
              </w:rPr>
              <w:t>Appendix E.3 FNS Response to NASS Comments</w:t>
            </w:r>
            <w:r w:rsidRPr="00B4291E" w:rsidR="00B4291E">
              <w:rPr>
                <w:webHidden/>
                <w:sz w:val="18"/>
                <w:szCs w:val="18"/>
              </w:rPr>
              <w:tab/>
              <w:t>E-</w:t>
            </w:r>
            <w:r w:rsidRPr="00B4291E" w:rsidR="00B4291E">
              <w:rPr>
                <w:webHidden/>
                <w:sz w:val="18"/>
                <w:szCs w:val="18"/>
              </w:rPr>
              <w:fldChar w:fldCharType="begin"/>
            </w:r>
            <w:r w:rsidRPr="00B4291E" w:rsidR="00B4291E">
              <w:rPr>
                <w:webHidden/>
                <w:sz w:val="18"/>
                <w:szCs w:val="18"/>
              </w:rPr>
              <w:instrText xml:space="preserve"> PAGEREF _Toc19698164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4</w:t>
            </w:r>
            <w:r w:rsidRPr="00B4291E" w:rsidR="00B4291E">
              <w:rPr>
                <w:webHidden/>
                <w:sz w:val="18"/>
                <w:szCs w:val="18"/>
              </w:rPr>
              <w:fldChar w:fldCharType="end"/>
            </w:r>
          </w:hyperlink>
        </w:p>
        <w:p w:rsidRPr="00B4291E" w:rsidR="00B4291E" w:rsidP="00B4291E" w:rsidRDefault="00671891" w14:paraId="725DFDFB" w14:textId="77777777">
          <w:pPr>
            <w:pStyle w:val="TOC1"/>
            <w:rPr>
              <w:rFonts w:asciiTheme="minorHAnsi" w:hAnsiTheme="minorHAnsi" w:eastAsiaTheme="minorEastAsia"/>
              <w:sz w:val="18"/>
              <w:szCs w:val="18"/>
            </w:rPr>
          </w:pPr>
          <w:hyperlink w:history="1" w:anchor="_Toc19698165">
            <w:r w:rsidRPr="00B4291E" w:rsidR="00B4291E">
              <w:rPr>
                <w:rStyle w:val="Hyperlink"/>
                <w:sz w:val="18"/>
                <w:szCs w:val="18"/>
              </w:rPr>
              <w:t>Appendix F. 2M Research Data Collector Confidentiality Agreement</w:t>
            </w:r>
            <w:r w:rsidRPr="00B4291E" w:rsidR="00B4291E">
              <w:rPr>
                <w:webHidden/>
                <w:sz w:val="18"/>
                <w:szCs w:val="18"/>
              </w:rPr>
              <w:tab/>
              <w:t>F-</w:t>
            </w:r>
            <w:r w:rsidRPr="00B4291E" w:rsidR="00B4291E">
              <w:rPr>
                <w:webHidden/>
                <w:sz w:val="18"/>
                <w:szCs w:val="18"/>
              </w:rPr>
              <w:fldChar w:fldCharType="begin"/>
            </w:r>
            <w:r w:rsidRPr="00B4291E" w:rsidR="00B4291E">
              <w:rPr>
                <w:webHidden/>
                <w:sz w:val="18"/>
                <w:szCs w:val="18"/>
              </w:rPr>
              <w:instrText xml:space="preserve"> PAGEREF _Toc19698165 \h </w:instrText>
            </w:r>
            <w:r w:rsidRPr="00B4291E" w:rsidR="00B4291E">
              <w:rPr>
                <w:webHidden/>
                <w:sz w:val="18"/>
                <w:szCs w:val="18"/>
              </w:rPr>
            </w:r>
            <w:r w:rsidRPr="00B4291E" w:rsidR="00B4291E">
              <w:rPr>
                <w:webHidden/>
                <w:sz w:val="18"/>
                <w:szCs w:val="18"/>
              </w:rPr>
              <w:fldChar w:fldCharType="separate"/>
            </w:r>
            <w:r w:rsidRPr="00B4291E" w:rsidR="00B4291E">
              <w:rPr>
                <w:webHidden/>
                <w:sz w:val="18"/>
                <w:szCs w:val="18"/>
              </w:rPr>
              <w:t>i</w:t>
            </w:r>
            <w:r w:rsidRPr="00B4291E" w:rsidR="00B4291E">
              <w:rPr>
                <w:webHidden/>
                <w:sz w:val="18"/>
                <w:szCs w:val="18"/>
              </w:rPr>
              <w:fldChar w:fldCharType="end"/>
            </w:r>
          </w:hyperlink>
        </w:p>
        <w:p w:rsidRPr="00B4291E" w:rsidR="00B4291E" w:rsidP="00B4291E" w:rsidRDefault="00671891" w14:paraId="1AE5887D" w14:textId="77777777">
          <w:pPr>
            <w:pStyle w:val="TOC1"/>
            <w:rPr>
              <w:rFonts w:asciiTheme="minorHAnsi" w:hAnsiTheme="minorHAnsi" w:eastAsiaTheme="minorEastAsia"/>
              <w:sz w:val="18"/>
              <w:szCs w:val="18"/>
            </w:rPr>
          </w:pPr>
          <w:hyperlink w:history="1" w:anchor="_Toc19698167">
            <w:r w:rsidRPr="00B4291E" w:rsidR="00B4291E">
              <w:rPr>
                <w:rStyle w:val="Hyperlink"/>
                <w:sz w:val="18"/>
                <w:szCs w:val="18"/>
              </w:rPr>
              <w:t>Appendix G.1 Pretest Findings</w:t>
            </w:r>
            <w:r w:rsidRPr="00B4291E" w:rsidR="00B4291E">
              <w:rPr>
                <w:webHidden/>
                <w:sz w:val="18"/>
                <w:szCs w:val="18"/>
              </w:rPr>
              <w:tab/>
              <w:t>G-1</w:t>
            </w:r>
          </w:hyperlink>
        </w:p>
        <w:p w:rsidRPr="00B4291E" w:rsidR="00B4291E" w:rsidP="00B4291E" w:rsidRDefault="00B4291E" w14:paraId="72A28C3A" w14:textId="7EB54D5A">
          <w:pPr>
            <w:spacing w:after="120" w:line="240" w:lineRule="auto"/>
          </w:pPr>
          <w:r w:rsidRPr="00B4291E">
            <w:rPr>
              <w:noProof/>
              <w:color w:val="000000" w:themeColor="text1"/>
              <w:sz w:val="18"/>
              <w:szCs w:val="18"/>
            </w:rPr>
            <w:lastRenderedPageBreak/>
            <w:fldChar w:fldCharType="end"/>
          </w:r>
        </w:p>
      </w:sdtContent>
    </w:sdt>
    <w:p w:rsidR="00CD5575" w:rsidP="0047733F" w:rsidRDefault="00785491" w14:paraId="65812FEC" w14:textId="36C3B85A">
      <w:pPr>
        <w:pStyle w:val="OMBToCHdg"/>
      </w:pPr>
      <w:r>
        <w:t>Supporting Statement Part A</w:t>
      </w:r>
      <w:r w:rsidR="00C53859">
        <w:t>:</w:t>
      </w:r>
      <w:r w:rsidR="0050296E">
        <w:t xml:space="preserve"> J</w:t>
      </w:r>
      <w:r w:rsidR="00C53859">
        <w:t>ustification</w:t>
      </w:r>
      <w:bookmarkEnd w:id="0"/>
    </w:p>
    <w:p w:rsidRPr="003A0F78" w:rsidR="00785491" w:rsidP="7DC7382C" w:rsidRDefault="00785491" w14:paraId="28185E35" w14:textId="77777777">
      <w:pPr>
        <w:pStyle w:val="NoSpacing"/>
        <w:rPr>
          <w:b/>
          <w:bCs/>
          <w:color w:val="009CD3" w:themeColor="accent1"/>
        </w:rPr>
      </w:pPr>
      <w:bookmarkStart w:name="_Toc339621281" w:id="2"/>
      <w:bookmarkStart w:name="_Toc282506023" w:id="3"/>
      <w:r w:rsidRPr="003A0F78">
        <w:rPr>
          <w:b/>
          <w:bCs/>
          <w:color w:val="009CD3" w:themeColor="accent1"/>
        </w:rPr>
        <w:t xml:space="preserve">A.1 </w:t>
      </w:r>
      <w:r w:rsidRPr="003A0F78">
        <w:rPr>
          <w:b/>
          <w:bCs/>
          <w:color w:val="009CD3" w:themeColor="accent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bookmarkEnd w:id="3"/>
    </w:p>
    <w:p w:rsidRPr="003A0F78" w:rsidR="003A0F78" w:rsidP="003A0F78" w:rsidRDefault="003A0F78" w14:paraId="49E2D931" w14:textId="77777777">
      <w:pPr>
        <w:pStyle w:val="NoSpacing"/>
      </w:pPr>
    </w:p>
    <w:p w:rsidRPr="00785491" w:rsidR="00785491" w:rsidP="00785491" w:rsidRDefault="00785491" w14:paraId="1EB300A6" w14:textId="40F8C46B">
      <w:r w:rsidRPr="003A0F78">
        <w:rPr>
          <w:b/>
          <w:bCs/>
          <w:i/>
          <w:iCs/>
          <w:color w:val="000000" w:themeColor="text1"/>
        </w:rPr>
        <w:t>Circumstances that make the collection necessary.</w:t>
      </w:r>
      <w:r w:rsidRPr="00785491">
        <w:t xml:space="preserve"> This is a new data collection. The collection is necessary to provide up-to-date information on how Supplemental Nutrition Assistance Program (SNAP) State Agencies (SAs) protect personally identifiable information (PII) of SNAP participants and applicants. </w:t>
      </w:r>
      <w:r w:rsidR="003B2E93">
        <w:t>The U.S. Department of Agriculture’s (USDA) Food and Nutrition Service (</w:t>
      </w:r>
      <w:r w:rsidRPr="00785491" w:rsidR="00603F2F">
        <w:t>FNS</w:t>
      </w:r>
      <w:r w:rsidR="003B2E93">
        <w:t>)</w:t>
      </w:r>
      <w:r w:rsidRPr="00785491" w:rsidR="00603F2F">
        <w:t xml:space="preserve"> has not studied cybersecurity issues in SNAP to date</w:t>
      </w:r>
      <w:r w:rsidR="00603F2F">
        <w:t>.</w:t>
      </w:r>
      <w:r w:rsidRPr="00785491" w:rsidR="00603F2F">
        <w:t xml:space="preserve"> SNAP SAs are </w:t>
      </w:r>
      <w:r w:rsidR="003B6899">
        <w:t>required</w:t>
      </w:r>
      <w:r w:rsidR="00064C2A">
        <w:t xml:space="preserve"> to follow</w:t>
      </w:r>
      <w:r w:rsidRPr="00785491" w:rsidR="00603F2F">
        <w:t xml:space="preserve"> laws and regulations that protect SNAP applicants’ and participants’ PII.</w:t>
      </w:r>
      <w:r w:rsidRPr="00785491">
        <w:t xml:space="preserve"> According to the Food and Nutrition Act of 2008, the statute governing operation of SNAP, such data can only be obtained and used when necessary to operate SNAP. However, little is known about how States safeguard such information.</w:t>
      </w:r>
    </w:p>
    <w:p w:rsidRPr="00785491" w:rsidR="00785491" w:rsidP="00785491" w:rsidRDefault="00785491" w14:paraId="542C9D98" w14:textId="77777777">
      <w:r w:rsidRPr="00785491">
        <w:t>This study will provide the following:</w:t>
      </w:r>
    </w:p>
    <w:p w:rsidRPr="00785491" w:rsidR="00785491" w:rsidP="007C44AD" w:rsidRDefault="00785491" w14:paraId="4EA6C063" w14:textId="77777777">
      <w:pPr>
        <w:numPr>
          <w:ilvl w:val="0"/>
          <w:numId w:val="2"/>
        </w:numPr>
      </w:pPr>
      <w:r w:rsidRPr="00785491">
        <w:t>Detailed descriptions of laws, regulations, and guidance materials related to safeguarding SNAP participants’ PII.</w:t>
      </w:r>
    </w:p>
    <w:p w:rsidRPr="00785491" w:rsidR="00785491" w:rsidP="0030478C" w:rsidRDefault="00785491" w14:paraId="6E2F6C94" w14:textId="77777777">
      <w:pPr>
        <w:pStyle w:val="ListParagraph"/>
      </w:pPr>
      <w:r w:rsidRPr="00785491">
        <w:t xml:space="preserve">A national survey of SNAP SAs’ policies and practices for protecting SNAP participants’ PII. The survey will cover agencies’ security plans, use of role-based </w:t>
      </w:r>
      <w:r w:rsidR="003B3627">
        <w:t>access to PII</w:t>
      </w:r>
      <w:r w:rsidRPr="00785491">
        <w:t>, physical and mobile device security, systems security, security practices in sharing or matching SNAP data containing PII with data from other SAs or Federal agencies, and challenges and barriers to implementing safeguarding practices.</w:t>
      </w:r>
    </w:p>
    <w:p w:rsidRPr="00785491" w:rsidR="00785491" w:rsidP="007C44AD" w:rsidRDefault="00785491" w14:paraId="2C656912" w14:textId="30683B45">
      <w:pPr>
        <w:numPr>
          <w:ilvl w:val="0"/>
          <w:numId w:val="2"/>
        </w:numPr>
      </w:pPr>
      <w:r w:rsidRPr="00785491">
        <w:t xml:space="preserve">Results of semi-structured telephone interviews with five industry experts. The contractor and FNS will work together to identify experts in State SNAP data systems </w:t>
      </w:r>
      <w:r w:rsidRPr="00785491">
        <w:lastRenderedPageBreak/>
        <w:t xml:space="preserve">(including companies that develop and maintain the eligibility and/or </w:t>
      </w:r>
      <w:r w:rsidR="00E2655B">
        <w:t>Electronic Benefits Transfer [</w:t>
      </w:r>
      <w:r w:rsidRPr="00785491">
        <w:t>EBT</w:t>
      </w:r>
      <w:r w:rsidR="00E2655B">
        <w:t>]</w:t>
      </w:r>
      <w:r w:rsidRPr="00785491">
        <w:t xml:space="preserve"> systems); leaders of professional organizations that have a broader picture of how States’ operations vary; or academic experts in cybersecurity, who would know best practices used in private industry and might be helpful in assessing how to anticipate cybersecurity challenges in the future.</w:t>
      </w:r>
    </w:p>
    <w:p w:rsidRPr="00785491" w:rsidR="00785491" w:rsidP="007C44AD" w:rsidRDefault="00785491" w14:paraId="497CA264" w14:textId="77777777">
      <w:pPr>
        <w:numPr>
          <w:ilvl w:val="0"/>
          <w:numId w:val="2"/>
        </w:numPr>
      </w:pPr>
      <w:r w:rsidRPr="00785491">
        <w:t>Results of semi-structured interviews with five SNAP SAs identified as leaders in protecting PII. (These interviews will typically include the same respondents who completed the web-based survey but the respondents will be interviewed jointly, by telephone.) Choice of leading SAs will reflect the results of the web survey, views of industry experts, opinions of FNS headquarters SNAP staff, regional office staff, and Office of State Systems staff. These interviews will emphasize best practices.</w:t>
      </w:r>
    </w:p>
    <w:p w:rsidRPr="00785491" w:rsidR="00785491" w:rsidP="00785491" w:rsidRDefault="00785491" w14:paraId="4D6EC1C6" w14:textId="2141C020">
      <w:r w:rsidRPr="00785491">
        <w:t xml:space="preserve">Included with this package are the research questions (Appendix A) and </w:t>
      </w:r>
      <w:r w:rsidR="000207EB">
        <w:t>p</w:t>
      </w:r>
      <w:r w:rsidR="00BF21FE">
        <w:t>aper</w:t>
      </w:r>
      <w:r w:rsidR="000207EB">
        <w:t xml:space="preserve"> </w:t>
      </w:r>
      <w:r w:rsidR="000D6384">
        <w:t>and online</w:t>
      </w:r>
      <w:r w:rsidR="008F2BD2">
        <w:t xml:space="preserve">  </w:t>
      </w:r>
      <w:r w:rsidRPr="00785491">
        <w:t>version</w:t>
      </w:r>
      <w:r w:rsidR="000D6384">
        <w:t>s</w:t>
      </w:r>
      <w:r w:rsidRPr="00785491">
        <w:t xml:space="preserve"> of the State SNAP Director survey instrument (Appendix B). Appendix B also includes the various emails, telephone scripts, and other materials that will be used to obtain a high response rate.</w:t>
      </w:r>
      <w:r w:rsidRPr="009B4D9C" w:rsidR="009B4D9C">
        <w:t xml:space="preserve"> </w:t>
      </w:r>
      <w:r w:rsidRPr="00785491">
        <w:t>Appendix C presents the protocol that will guide the semi-structured telephone interviews with industry experts and associated written materials. Appendix D contains the protocol for interviews with staff from SAs that are leaders in protecting PII, as well as the scripts or letters to be used in communications with the S</w:t>
      </w:r>
      <w:r w:rsidR="00224CF2">
        <w:t>A</w:t>
      </w:r>
      <w:r w:rsidRPr="00785491">
        <w:t>s.</w:t>
      </w:r>
    </w:p>
    <w:p w:rsidRPr="00785491" w:rsidR="00785491" w:rsidP="003A0F78" w:rsidRDefault="7DC7382C" w14:paraId="2D0CB4E7" w14:textId="77777777">
      <w:r w:rsidRPr="7DC7382C">
        <w:rPr>
          <w:b/>
          <w:bCs/>
          <w:i/>
          <w:iCs/>
          <w:color w:val="000000" w:themeColor="text1"/>
        </w:rPr>
        <w:t>Legal or Administrative Requirements.</w:t>
      </w:r>
      <w:r>
        <w:t xml:space="preserve"> There are no legal or administrative requirements that apply to this study. This is an exploratory, descriptive study.</w:t>
      </w:r>
    </w:p>
    <w:p w:rsidRPr="003A0F78" w:rsidR="00785491" w:rsidP="7DC7382C" w:rsidRDefault="00785491" w14:paraId="5B84D1F1" w14:textId="77777777">
      <w:pPr>
        <w:pStyle w:val="NoSpacing"/>
        <w:rPr>
          <w:b/>
          <w:bCs/>
          <w:color w:val="009CD3" w:themeColor="accent1"/>
        </w:rPr>
      </w:pPr>
      <w:bookmarkStart w:name="_Toc339621282" w:id="4"/>
      <w:r w:rsidRPr="003A0F78">
        <w:rPr>
          <w:b/>
          <w:bCs/>
          <w:color w:val="009CD3" w:themeColor="accent1"/>
        </w:rPr>
        <w:t>A.2</w:t>
      </w:r>
      <w:r w:rsidRPr="003A0F78">
        <w:rPr>
          <w:b/>
          <w:bCs/>
          <w:color w:val="009CD3" w:themeColor="accent1"/>
        </w:rPr>
        <w:tab/>
        <w:t>Indicate how, by whom, how frequently, and for what purpose the information is to be used. Except for a new collection, indicate the actual use the agency has made of the information received from the current collection.</w:t>
      </w:r>
      <w:bookmarkEnd w:id="4"/>
    </w:p>
    <w:p w:rsidRPr="003A0F78" w:rsidR="003A0F78" w:rsidP="003A0F78" w:rsidRDefault="003A0F78" w14:paraId="1176E418" w14:textId="77777777">
      <w:pPr>
        <w:pStyle w:val="NoSpacing"/>
      </w:pPr>
    </w:p>
    <w:p w:rsidRPr="00785491" w:rsidR="00785491" w:rsidP="00785491" w:rsidRDefault="00785491" w14:paraId="19192285" w14:textId="77777777">
      <w:r w:rsidRPr="0030478C">
        <w:rPr>
          <w:b/>
          <w:i/>
          <w:iCs/>
          <w:color w:val="000000" w:themeColor="text1"/>
        </w:rPr>
        <w:lastRenderedPageBreak/>
        <w:t>For what purpose is the information to be used?</w:t>
      </w:r>
      <w:r w:rsidRPr="00785491">
        <w:rPr>
          <w:b/>
        </w:rPr>
        <w:t xml:space="preserve"> </w:t>
      </w:r>
      <w:r w:rsidRPr="00785491">
        <w:t>This is a new data collection, and it is expected to occur once. This study will provide an overview of how security policies are implemented nationwide in SNAP and collect data from experts and SA leaders on best practices for protecting PII in SNAP applications and case records. FNS will use these data to describe and assess program operations, provide input for legislation and regulations on SNAP, and develop pertinent technical assistance and training for program staff at the State and local SNAP agency levels. Because most SNAP recordkeeping systems are Statewide, collecting data from SNAP SAs is likely to be the best way to assess current SA practices.</w:t>
      </w:r>
      <w:r w:rsidR="00A76FB8">
        <w:t xml:space="preserve"> </w:t>
      </w:r>
    </w:p>
    <w:p w:rsidR="003A0F78" w:rsidP="003A0F78" w:rsidRDefault="003A0F78" w14:paraId="744E0BD3" w14:textId="77777777">
      <w:pPr>
        <w:spacing w:before="120"/>
        <w:rPr>
          <w:szCs w:val="24"/>
        </w:rPr>
      </w:pPr>
      <w:r w:rsidRPr="0030478C">
        <w:rPr>
          <w:b/>
          <w:i/>
          <w:iCs/>
          <w:color w:val="000000" w:themeColor="text1"/>
        </w:rPr>
        <w:t>From whom will the information be collected?</w:t>
      </w:r>
      <w:r w:rsidRPr="0054509B">
        <w:rPr>
          <w:szCs w:val="24"/>
        </w:rPr>
        <w:t xml:space="preserve"> Data will be collected primarily from SNAP </w:t>
      </w:r>
      <w:r>
        <w:rPr>
          <w:szCs w:val="24"/>
        </w:rPr>
        <w:t>State D</w:t>
      </w:r>
      <w:r w:rsidRPr="0054509B">
        <w:rPr>
          <w:szCs w:val="24"/>
        </w:rPr>
        <w:t>irectors</w:t>
      </w:r>
      <w:r w:rsidR="00D51490">
        <w:rPr>
          <w:szCs w:val="24"/>
        </w:rPr>
        <w:t>,</w:t>
      </w:r>
      <w:r w:rsidRPr="0054509B">
        <w:rPr>
          <w:szCs w:val="24"/>
        </w:rPr>
        <w:t xml:space="preserve"> </w:t>
      </w:r>
      <w:r w:rsidR="0043604A">
        <w:rPr>
          <w:szCs w:val="24"/>
        </w:rPr>
        <w:t xml:space="preserve">State </w:t>
      </w:r>
      <w:r w:rsidR="008C24F4">
        <w:rPr>
          <w:szCs w:val="24"/>
        </w:rPr>
        <w:t xml:space="preserve">cybersecurity experts, and SA </w:t>
      </w:r>
      <w:r w:rsidR="000F4CA6">
        <w:rPr>
          <w:szCs w:val="24"/>
        </w:rPr>
        <w:t>staff</w:t>
      </w:r>
      <w:r w:rsidRPr="0054509B">
        <w:rPr>
          <w:szCs w:val="24"/>
        </w:rPr>
        <w:t xml:space="preserve">. In addition, five semi-structured interviews with industry experts will be conducted. </w:t>
      </w:r>
      <w:r>
        <w:rPr>
          <w:szCs w:val="24"/>
        </w:rPr>
        <w:t>Based on survey results and advice from industry experts and FNS, State SNAP Directors and staff in five</w:t>
      </w:r>
      <w:r w:rsidRPr="0054509B">
        <w:rPr>
          <w:szCs w:val="24"/>
        </w:rPr>
        <w:t xml:space="preserve"> States</w:t>
      </w:r>
      <w:r>
        <w:rPr>
          <w:szCs w:val="24"/>
        </w:rPr>
        <w:t xml:space="preserve"> that are</w:t>
      </w:r>
      <w:r w:rsidRPr="0054509B">
        <w:rPr>
          <w:szCs w:val="24"/>
        </w:rPr>
        <w:t xml:space="preserve"> seen as leaders in safeguarding</w:t>
      </w:r>
      <w:r>
        <w:rPr>
          <w:szCs w:val="24"/>
        </w:rPr>
        <w:t xml:space="preserve"> SNAP participants’</w:t>
      </w:r>
      <w:r w:rsidRPr="0054509B">
        <w:rPr>
          <w:szCs w:val="24"/>
        </w:rPr>
        <w:t xml:space="preserve"> PII will be</w:t>
      </w:r>
      <w:r>
        <w:rPr>
          <w:szCs w:val="24"/>
        </w:rPr>
        <w:t xml:space="preserve"> </w:t>
      </w:r>
      <w:r w:rsidRPr="0054509B">
        <w:rPr>
          <w:szCs w:val="24"/>
        </w:rPr>
        <w:t>interviewed</w:t>
      </w:r>
      <w:r>
        <w:rPr>
          <w:szCs w:val="24"/>
        </w:rPr>
        <w:t>,</w:t>
      </w:r>
      <w:r w:rsidRPr="0054509B">
        <w:rPr>
          <w:szCs w:val="24"/>
        </w:rPr>
        <w:t xml:space="preserve"> </w:t>
      </w:r>
      <w:r>
        <w:rPr>
          <w:szCs w:val="24"/>
        </w:rPr>
        <w:t>in depth, by telephone</w:t>
      </w:r>
      <w:r w:rsidRPr="0054509B">
        <w:rPr>
          <w:szCs w:val="24"/>
        </w:rPr>
        <w:t xml:space="preserve"> </w:t>
      </w:r>
      <w:r w:rsidRPr="004F27C3">
        <w:rPr>
          <w:szCs w:val="24"/>
        </w:rPr>
        <w:t>to help assess factors associated with their success and lessons learned</w:t>
      </w:r>
      <w:r w:rsidR="00A82FE6">
        <w:rPr>
          <w:szCs w:val="24"/>
        </w:rPr>
        <w:t xml:space="preserve"> </w:t>
      </w:r>
      <w:r w:rsidR="00696488">
        <w:rPr>
          <w:szCs w:val="24"/>
        </w:rPr>
        <w:t>that</w:t>
      </w:r>
      <w:r w:rsidRPr="004F27C3">
        <w:rPr>
          <w:szCs w:val="24"/>
        </w:rPr>
        <w:t xml:space="preserve"> could be useful to other </w:t>
      </w:r>
      <w:r>
        <w:rPr>
          <w:szCs w:val="24"/>
        </w:rPr>
        <w:t>SAs</w:t>
      </w:r>
      <w:r w:rsidRPr="004F27C3">
        <w:rPr>
          <w:szCs w:val="24"/>
        </w:rPr>
        <w:t>.</w:t>
      </w:r>
    </w:p>
    <w:p w:rsidR="00785491" w:rsidP="003A0F78" w:rsidRDefault="003A0F78" w14:paraId="712890BD" w14:textId="77777777">
      <w:pPr>
        <w:rPr>
          <w:bCs/>
        </w:rPr>
      </w:pPr>
      <w:r w:rsidRPr="0030478C">
        <w:rPr>
          <w:b/>
          <w:i/>
          <w:iCs/>
          <w:color w:val="000000" w:themeColor="text1"/>
        </w:rPr>
        <w:t>How the information will be collected.</w:t>
      </w:r>
      <w:r>
        <w:rPr>
          <w:b/>
        </w:rPr>
        <w:t xml:space="preserve"> </w:t>
      </w:r>
      <w:r>
        <w:t xml:space="preserve">Data for the survey of all SNAP SAs will be collected through an online survey. State SNAP </w:t>
      </w:r>
      <w:r>
        <w:rPr>
          <w:bCs/>
        </w:rPr>
        <w:t>Director</w:t>
      </w:r>
      <w:r w:rsidRPr="0046529D">
        <w:rPr>
          <w:bCs/>
        </w:rPr>
        <w:t xml:space="preserve">s </w:t>
      </w:r>
      <w:r>
        <w:rPr>
          <w:bCs/>
        </w:rPr>
        <w:t>can</w:t>
      </w:r>
      <w:r w:rsidRPr="0046529D">
        <w:rPr>
          <w:bCs/>
        </w:rPr>
        <w:t xml:space="preserve"> </w:t>
      </w:r>
      <w:r w:rsidR="001B0A19">
        <w:rPr>
          <w:bCs/>
        </w:rPr>
        <w:t xml:space="preserve">also </w:t>
      </w:r>
      <w:r w:rsidRPr="0046529D">
        <w:rPr>
          <w:bCs/>
        </w:rPr>
        <w:t>complete th</w:t>
      </w:r>
      <w:r>
        <w:rPr>
          <w:bCs/>
        </w:rPr>
        <w:t xml:space="preserve">e survey </w:t>
      </w:r>
      <w:r w:rsidR="00BF7128">
        <w:rPr>
          <w:bCs/>
        </w:rPr>
        <w:t xml:space="preserve">using a paper version of the survey </w:t>
      </w:r>
      <w:r w:rsidRPr="0046529D">
        <w:rPr>
          <w:bCs/>
        </w:rPr>
        <w:t>(</w:t>
      </w:r>
      <w:r>
        <w:rPr>
          <w:bCs/>
        </w:rPr>
        <w:t xml:space="preserve">returned by </w:t>
      </w:r>
      <w:r w:rsidRPr="0046529D">
        <w:rPr>
          <w:bCs/>
        </w:rPr>
        <w:t xml:space="preserve">regular mail) or </w:t>
      </w:r>
      <w:r>
        <w:rPr>
          <w:bCs/>
        </w:rPr>
        <w:t>by telephone (with the survey assistant conducting the telephone interview using the respondent’s unique web link to enter responses)</w:t>
      </w:r>
      <w:r w:rsidR="001B420F">
        <w:rPr>
          <w:bCs/>
        </w:rPr>
        <w:t>.</w:t>
      </w:r>
      <w:r>
        <w:rPr>
          <w:bCs/>
        </w:rPr>
        <w:t xml:space="preserve"> In either case, the respondent will be advised of the advantages of the online survey and will be assisted in completion by mail or telephone, if needed.</w:t>
      </w:r>
    </w:p>
    <w:p w:rsidRPr="000A79BC" w:rsidR="00121AA2" w:rsidP="000A79BC" w:rsidRDefault="00121AA2" w14:paraId="3C45A2DD" w14:textId="77777777">
      <w:bookmarkStart w:name="_Hlk522997665" w:id="5"/>
      <w:r w:rsidRPr="000A79BC">
        <w:br w:type="page"/>
      </w:r>
    </w:p>
    <w:p w:rsidR="003A0F78" w:rsidP="003A0F78" w:rsidRDefault="003A0F78" w14:paraId="5685CA08" w14:textId="77777777">
      <w:pPr>
        <w:pStyle w:val="Caption"/>
      </w:pPr>
      <w:r w:rsidRPr="00F95154">
        <w:lastRenderedPageBreak/>
        <w:t>Table A</w:t>
      </w:r>
      <w:r>
        <w:t>.</w:t>
      </w:r>
      <w:r w:rsidRPr="00F95154">
        <w:t>1. Overview of Data Collection Activities</w:t>
      </w:r>
    </w:p>
    <w:tbl>
      <w:tblPr>
        <w:tblStyle w:val="TableGrid1"/>
        <w:tblW w:w="9216" w:type="dxa"/>
        <w:tblBorders>
          <w:top w:val="single" w:color="009CD3" w:themeColor="accent1" w:sz="4" w:space="0"/>
          <w:left w:val="none" w:color="auto" w:sz="0" w:space="0"/>
          <w:bottom w:val="single" w:color="009CD3" w:themeColor="accent1" w:sz="4" w:space="0"/>
          <w:right w:val="none" w:color="auto" w:sz="0" w:space="0"/>
          <w:insideH w:val="single" w:color="009CD3" w:themeColor="accent1" w:sz="4" w:space="0"/>
          <w:insideV w:val="none" w:color="auto" w:sz="0" w:space="0"/>
        </w:tblBorders>
        <w:tblLook w:val="04A0" w:firstRow="1" w:lastRow="0" w:firstColumn="1" w:lastColumn="0" w:noHBand="0" w:noVBand="1"/>
      </w:tblPr>
      <w:tblGrid>
        <w:gridCol w:w="1781"/>
        <w:gridCol w:w="1511"/>
        <w:gridCol w:w="1246"/>
        <w:gridCol w:w="1170"/>
        <w:gridCol w:w="2208"/>
        <w:gridCol w:w="1300"/>
      </w:tblGrid>
      <w:tr w:rsidRPr="003A0F78" w:rsidR="003A0F78" w:rsidTr="00995EB3" w14:paraId="44255656" w14:textId="77777777">
        <w:trPr>
          <w:trHeight w:val="419"/>
          <w:tblHeader/>
        </w:trPr>
        <w:tc>
          <w:tcPr>
            <w:tcW w:w="1781" w:type="dxa"/>
            <w:shd w:val="clear" w:color="auto" w:fill="009CD3" w:themeFill="accent1"/>
            <w:vAlign w:val="center"/>
          </w:tcPr>
          <w:p w:rsidRPr="003A0F78" w:rsidR="003A0F78" w:rsidP="00995EB3" w:rsidRDefault="003A0F78" w14:paraId="65A47543" w14:textId="77777777">
            <w:pPr>
              <w:spacing w:line="240" w:lineRule="auto"/>
              <w:rPr>
                <w:b/>
                <w:color w:val="FFFFFF" w:themeColor="background1"/>
                <w:sz w:val="22"/>
                <w:szCs w:val="22"/>
              </w:rPr>
            </w:pPr>
            <w:r w:rsidRPr="003A0F78">
              <w:rPr>
                <w:b/>
                <w:color w:val="FFFFFF" w:themeColor="background1"/>
                <w:sz w:val="22"/>
                <w:szCs w:val="22"/>
              </w:rPr>
              <w:t>Instrument</w:t>
            </w:r>
          </w:p>
        </w:tc>
        <w:tc>
          <w:tcPr>
            <w:tcW w:w="1511" w:type="dxa"/>
            <w:shd w:val="clear" w:color="auto" w:fill="009CD3" w:themeFill="accent1"/>
            <w:vAlign w:val="center"/>
          </w:tcPr>
          <w:p w:rsidRPr="003A0F78" w:rsidR="003A0F78" w:rsidP="00995EB3" w:rsidRDefault="003A0F78" w14:paraId="71337BCE" w14:textId="77777777">
            <w:pPr>
              <w:spacing w:line="240" w:lineRule="auto"/>
              <w:rPr>
                <w:b/>
                <w:color w:val="FFFFFF" w:themeColor="background1"/>
                <w:sz w:val="22"/>
                <w:szCs w:val="22"/>
              </w:rPr>
            </w:pPr>
            <w:r w:rsidRPr="003A0F78">
              <w:rPr>
                <w:b/>
                <w:color w:val="FFFFFF" w:themeColor="background1"/>
                <w:sz w:val="22"/>
                <w:szCs w:val="22"/>
              </w:rPr>
              <w:t>Respondents</w:t>
            </w:r>
          </w:p>
        </w:tc>
        <w:tc>
          <w:tcPr>
            <w:tcW w:w="1246" w:type="dxa"/>
            <w:shd w:val="clear" w:color="auto" w:fill="009CD3" w:themeFill="accent1"/>
            <w:vAlign w:val="center"/>
          </w:tcPr>
          <w:p w:rsidRPr="003A0F78" w:rsidR="003A0F78" w:rsidP="00995EB3" w:rsidRDefault="003A0F78" w14:paraId="5F218053" w14:textId="77777777">
            <w:pPr>
              <w:spacing w:line="240" w:lineRule="auto"/>
              <w:rPr>
                <w:b/>
                <w:color w:val="FFFFFF" w:themeColor="background1"/>
                <w:sz w:val="22"/>
                <w:szCs w:val="22"/>
              </w:rPr>
            </w:pPr>
            <w:r w:rsidRPr="003A0F78">
              <w:rPr>
                <w:b/>
                <w:color w:val="FFFFFF" w:themeColor="background1"/>
                <w:sz w:val="22"/>
                <w:szCs w:val="22"/>
              </w:rPr>
              <w:t>Method of Collection</w:t>
            </w:r>
          </w:p>
        </w:tc>
        <w:tc>
          <w:tcPr>
            <w:tcW w:w="1170" w:type="dxa"/>
            <w:shd w:val="clear" w:color="auto" w:fill="009CD3" w:themeFill="accent1"/>
            <w:vAlign w:val="center"/>
          </w:tcPr>
          <w:p w:rsidRPr="003A0F78" w:rsidR="003A0F78" w:rsidP="00995EB3" w:rsidRDefault="003A0F78" w14:paraId="2344DEF9" w14:textId="77777777">
            <w:pPr>
              <w:spacing w:line="240" w:lineRule="auto"/>
              <w:rPr>
                <w:b/>
                <w:color w:val="FFFFFF" w:themeColor="background1"/>
                <w:sz w:val="22"/>
                <w:szCs w:val="22"/>
              </w:rPr>
            </w:pPr>
            <w:r w:rsidRPr="003A0F78">
              <w:rPr>
                <w:b/>
                <w:color w:val="FFFFFF" w:themeColor="background1"/>
                <w:sz w:val="22"/>
                <w:szCs w:val="22"/>
              </w:rPr>
              <w:t>Estimated Length</w:t>
            </w:r>
          </w:p>
        </w:tc>
        <w:tc>
          <w:tcPr>
            <w:tcW w:w="2208" w:type="dxa"/>
            <w:shd w:val="clear" w:color="auto" w:fill="009CD3" w:themeFill="accent1"/>
            <w:vAlign w:val="center"/>
          </w:tcPr>
          <w:p w:rsidRPr="003A0F78" w:rsidR="003A0F78" w:rsidP="00995EB3" w:rsidRDefault="003A0F78" w14:paraId="242AC2BC" w14:textId="77777777">
            <w:pPr>
              <w:spacing w:line="240" w:lineRule="auto"/>
              <w:rPr>
                <w:b/>
                <w:color w:val="FFFFFF" w:themeColor="background1"/>
                <w:sz w:val="22"/>
                <w:szCs w:val="22"/>
              </w:rPr>
            </w:pPr>
            <w:r w:rsidRPr="003A0F78">
              <w:rPr>
                <w:b/>
                <w:color w:val="FFFFFF" w:themeColor="background1"/>
                <w:sz w:val="22"/>
                <w:szCs w:val="22"/>
              </w:rPr>
              <w:t>Purpose</w:t>
            </w:r>
          </w:p>
        </w:tc>
        <w:tc>
          <w:tcPr>
            <w:tcW w:w="1300" w:type="dxa"/>
            <w:shd w:val="clear" w:color="auto" w:fill="009CD3" w:themeFill="accent1"/>
            <w:vAlign w:val="center"/>
          </w:tcPr>
          <w:p w:rsidRPr="003A0F78" w:rsidR="003A0F78" w:rsidP="00995EB3" w:rsidRDefault="003A0F78" w14:paraId="177D7CB1" w14:textId="77777777">
            <w:pPr>
              <w:spacing w:line="240" w:lineRule="auto"/>
              <w:rPr>
                <w:b/>
                <w:color w:val="FFFFFF" w:themeColor="background1"/>
                <w:sz w:val="22"/>
                <w:szCs w:val="22"/>
              </w:rPr>
            </w:pPr>
            <w:r w:rsidRPr="003A0F78">
              <w:rPr>
                <w:b/>
                <w:color w:val="FFFFFF" w:themeColor="background1"/>
                <w:sz w:val="22"/>
                <w:szCs w:val="22"/>
              </w:rPr>
              <w:t>Frequency</w:t>
            </w:r>
          </w:p>
        </w:tc>
      </w:tr>
      <w:tr w:rsidRPr="003A0F78" w:rsidR="003A0F78" w:rsidTr="00995EB3" w14:paraId="56EB4AE6" w14:textId="77777777">
        <w:trPr>
          <w:trHeight w:val="648"/>
        </w:trPr>
        <w:tc>
          <w:tcPr>
            <w:tcW w:w="1781" w:type="dxa"/>
            <w:vAlign w:val="center"/>
          </w:tcPr>
          <w:p w:rsidRPr="003A0F78" w:rsidR="003A0F78" w:rsidP="00995EB3" w:rsidRDefault="003A0F78" w14:paraId="676DF862" w14:textId="77777777">
            <w:pPr>
              <w:spacing w:line="240" w:lineRule="auto"/>
              <w:rPr>
                <w:sz w:val="20"/>
              </w:rPr>
            </w:pPr>
            <w:r w:rsidRPr="003A0F78">
              <w:rPr>
                <w:sz w:val="20"/>
              </w:rPr>
              <w:t>Survey of SNAP SAs</w:t>
            </w:r>
          </w:p>
        </w:tc>
        <w:tc>
          <w:tcPr>
            <w:tcW w:w="1511" w:type="dxa"/>
            <w:vAlign w:val="center"/>
          </w:tcPr>
          <w:p w:rsidRPr="003A0F78" w:rsidR="003A0F78" w:rsidP="00995EB3" w:rsidRDefault="003A0F78" w14:paraId="00DEAAF6" w14:textId="77777777">
            <w:pPr>
              <w:spacing w:line="240" w:lineRule="auto"/>
              <w:rPr>
                <w:sz w:val="20"/>
              </w:rPr>
            </w:pPr>
            <w:r w:rsidRPr="003A0F78">
              <w:rPr>
                <w:sz w:val="20"/>
              </w:rPr>
              <w:t>53 States and Territories (up to 3 respondents per SA)</w:t>
            </w:r>
          </w:p>
        </w:tc>
        <w:tc>
          <w:tcPr>
            <w:tcW w:w="1246" w:type="dxa"/>
            <w:vAlign w:val="center"/>
          </w:tcPr>
          <w:p w:rsidRPr="003A0F78" w:rsidR="003A0F78" w:rsidP="00995EB3" w:rsidRDefault="003A0F78" w14:paraId="79514D4C" w14:textId="77777777">
            <w:pPr>
              <w:spacing w:line="240" w:lineRule="auto"/>
              <w:rPr>
                <w:sz w:val="20"/>
              </w:rPr>
            </w:pPr>
            <w:r w:rsidRPr="003A0F78">
              <w:rPr>
                <w:sz w:val="20"/>
              </w:rPr>
              <w:t>Web survey</w:t>
            </w:r>
          </w:p>
        </w:tc>
        <w:tc>
          <w:tcPr>
            <w:tcW w:w="1170" w:type="dxa"/>
            <w:vAlign w:val="center"/>
          </w:tcPr>
          <w:p w:rsidRPr="003A0F78" w:rsidR="003A0F78" w:rsidP="00995EB3" w:rsidRDefault="006E7804" w14:paraId="3F0F43B6" w14:textId="77777777">
            <w:pPr>
              <w:spacing w:line="240" w:lineRule="auto"/>
              <w:rPr>
                <w:sz w:val="20"/>
              </w:rPr>
            </w:pPr>
            <w:r>
              <w:rPr>
                <w:sz w:val="20"/>
              </w:rPr>
              <w:t>90 minutes</w:t>
            </w:r>
          </w:p>
        </w:tc>
        <w:tc>
          <w:tcPr>
            <w:tcW w:w="2208" w:type="dxa"/>
            <w:vAlign w:val="center"/>
          </w:tcPr>
          <w:p w:rsidRPr="003A0F78" w:rsidR="003A0F78" w:rsidP="00995EB3" w:rsidRDefault="003A0F78" w14:paraId="47A58019" w14:textId="77777777">
            <w:pPr>
              <w:spacing w:line="240" w:lineRule="auto"/>
              <w:rPr>
                <w:sz w:val="20"/>
              </w:rPr>
            </w:pPr>
            <w:r w:rsidRPr="003A0F78">
              <w:rPr>
                <w:sz w:val="20"/>
              </w:rPr>
              <w:t>To document the practices used by SNAP SAs in all 50 States, the District of Columbia, Guam, and the U.S. Virgin Islands to safeguard the PII of SNAP participants</w:t>
            </w:r>
          </w:p>
        </w:tc>
        <w:tc>
          <w:tcPr>
            <w:tcW w:w="1300" w:type="dxa"/>
            <w:vAlign w:val="center"/>
          </w:tcPr>
          <w:p w:rsidRPr="003A0F78" w:rsidR="003A0F78" w:rsidP="00995EB3" w:rsidRDefault="003A0F78" w14:paraId="333016E6" w14:textId="77777777">
            <w:pPr>
              <w:spacing w:line="240" w:lineRule="auto"/>
              <w:rPr>
                <w:sz w:val="20"/>
              </w:rPr>
            </w:pPr>
            <w:r w:rsidRPr="003A0F78">
              <w:rPr>
                <w:sz w:val="20"/>
              </w:rPr>
              <w:t>Once</w:t>
            </w:r>
          </w:p>
        </w:tc>
      </w:tr>
      <w:tr w:rsidRPr="003A0F78" w:rsidR="003A0F78" w:rsidTr="00995EB3" w14:paraId="6091544E" w14:textId="77777777">
        <w:trPr>
          <w:trHeight w:val="1054"/>
        </w:trPr>
        <w:tc>
          <w:tcPr>
            <w:tcW w:w="1781" w:type="dxa"/>
            <w:vAlign w:val="center"/>
          </w:tcPr>
          <w:p w:rsidRPr="003A0F78" w:rsidR="003A0F78" w:rsidP="00995EB3" w:rsidRDefault="003A0F78" w14:paraId="1BA52F20" w14:textId="77777777">
            <w:pPr>
              <w:spacing w:line="240" w:lineRule="auto"/>
              <w:rPr>
                <w:sz w:val="20"/>
              </w:rPr>
            </w:pPr>
            <w:r w:rsidRPr="003A0F78">
              <w:rPr>
                <w:sz w:val="20"/>
              </w:rPr>
              <w:t xml:space="preserve">Industry Expert Interviews on Safeguarding SNAP PII  </w:t>
            </w:r>
          </w:p>
        </w:tc>
        <w:tc>
          <w:tcPr>
            <w:tcW w:w="1511" w:type="dxa"/>
            <w:vAlign w:val="center"/>
          </w:tcPr>
          <w:p w:rsidRPr="003A0F78" w:rsidR="003A0F78" w:rsidP="00995EB3" w:rsidRDefault="003A0F78" w14:paraId="2B0DA2BD" w14:textId="77777777">
            <w:pPr>
              <w:spacing w:line="240" w:lineRule="auto"/>
              <w:rPr>
                <w:sz w:val="20"/>
              </w:rPr>
            </w:pPr>
            <w:r w:rsidRPr="003A0F78">
              <w:rPr>
                <w:sz w:val="20"/>
              </w:rPr>
              <w:t>5 Industry experts</w:t>
            </w:r>
          </w:p>
        </w:tc>
        <w:tc>
          <w:tcPr>
            <w:tcW w:w="1246" w:type="dxa"/>
            <w:vAlign w:val="center"/>
          </w:tcPr>
          <w:p w:rsidRPr="003A0F78" w:rsidR="003A0F78" w:rsidP="00995EB3" w:rsidRDefault="003A0F78" w14:paraId="4528E468" w14:textId="77777777">
            <w:pPr>
              <w:spacing w:line="240" w:lineRule="auto"/>
              <w:rPr>
                <w:sz w:val="20"/>
              </w:rPr>
            </w:pPr>
            <w:r w:rsidRPr="003A0F78">
              <w:rPr>
                <w:sz w:val="20"/>
              </w:rPr>
              <w:t xml:space="preserve">Semi-structured interview </w:t>
            </w:r>
          </w:p>
        </w:tc>
        <w:tc>
          <w:tcPr>
            <w:tcW w:w="1170" w:type="dxa"/>
            <w:vAlign w:val="center"/>
          </w:tcPr>
          <w:p w:rsidRPr="003A0F78" w:rsidR="003A0F78" w:rsidP="00995EB3" w:rsidRDefault="003A0F78" w14:paraId="4CCF4904" w14:textId="77777777">
            <w:pPr>
              <w:spacing w:line="240" w:lineRule="auto"/>
              <w:rPr>
                <w:sz w:val="20"/>
              </w:rPr>
            </w:pPr>
            <w:r w:rsidRPr="003A0F78">
              <w:rPr>
                <w:sz w:val="20"/>
              </w:rPr>
              <w:t xml:space="preserve"> 1 hour</w:t>
            </w:r>
          </w:p>
        </w:tc>
        <w:tc>
          <w:tcPr>
            <w:tcW w:w="2208" w:type="dxa"/>
            <w:vAlign w:val="center"/>
          </w:tcPr>
          <w:p w:rsidRPr="003A0F78" w:rsidR="003A0F78" w:rsidP="00995EB3" w:rsidRDefault="003A0F78" w14:paraId="4730F31F" w14:textId="77777777">
            <w:pPr>
              <w:spacing w:line="240" w:lineRule="auto"/>
              <w:rPr>
                <w:sz w:val="20"/>
              </w:rPr>
            </w:pPr>
            <w:r w:rsidRPr="003A0F78">
              <w:rPr>
                <w:sz w:val="20"/>
              </w:rPr>
              <w:t>To collect information from technical experts who could provide deeper insight into the safeguards that SNAP SAs have implemented to safeguard PII</w:t>
            </w:r>
          </w:p>
        </w:tc>
        <w:tc>
          <w:tcPr>
            <w:tcW w:w="1300" w:type="dxa"/>
            <w:vAlign w:val="center"/>
          </w:tcPr>
          <w:p w:rsidRPr="003A0F78" w:rsidR="003A0F78" w:rsidP="00995EB3" w:rsidRDefault="003A0F78" w14:paraId="3BEBCFD8" w14:textId="77777777">
            <w:pPr>
              <w:spacing w:line="240" w:lineRule="auto"/>
              <w:rPr>
                <w:sz w:val="20"/>
              </w:rPr>
            </w:pPr>
            <w:r w:rsidRPr="003A0F78">
              <w:rPr>
                <w:sz w:val="20"/>
              </w:rPr>
              <w:t>Once</w:t>
            </w:r>
          </w:p>
        </w:tc>
      </w:tr>
      <w:tr w:rsidRPr="003A0F78" w:rsidR="003A0F78" w:rsidTr="00995EB3" w14:paraId="70B1DC5D" w14:textId="77777777">
        <w:trPr>
          <w:trHeight w:val="1054"/>
        </w:trPr>
        <w:tc>
          <w:tcPr>
            <w:tcW w:w="1781" w:type="dxa"/>
            <w:vAlign w:val="center"/>
          </w:tcPr>
          <w:p w:rsidRPr="003A0F78" w:rsidR="003A0F78" w:rsidP="00995EB3" w:rsidRDefault="003A0F78" w14:paraId="425C0F13" w14:textId="77777777">
            <w:pPr>
              <w:spacing w:line="240" w:lineRule="auto"/>
              <w:rPr>
                <w:sz w:val="20"/>
              </w:rPr>
            </w:pPr>
            <w:r w:rsidRPr="003A0F78">
              <w:rPr>
                <w:sz w:val="20"/>
              </w:rPr>
              <w:t xml:space="preserve">Telephone Interviews with SNAP SA Leaders in Safeguarding PII </w:t>
            </w:r>
          </w:p>
        </w:tc>
        <w:tc>
          <w:tcPr>
            <w:tcW w:w="1511" w:type="dxa"/>
            <w:vAlign w:val="center"/>
          </w:tcPr>
          <w:p w:rsidRPr="003A0F78" w:rsidR="003A0F78" w:rsidP="00995EB3" w:rsidRDefault="003A0F78" w14:paraId="60BB2477" w14:textId="77777777">
            <w:pPr>
              <w:spacing w:line="240" w:lineRule="auto"/>
              <w:rPr>
                <w:sz w:val="20"/>
              </w:rPr>
            </w:pPr>
            <w:r w:rsidRPr="003A0F78">
              <w:rPr>
                <w:sz w:val="20"/>
              </w:rPr>
              <w:t>5 SNAP SA leaders and their staff (up to 3 respondents per interview)</w:t>
            </w:r>
          </w:p>
        </w:tc>
        <w:tc>
          <w:tcPr>
            <w:tcW w:w="1246" w:type="dxa"/>
            <w:vAlign w:val="center"/>
          </w:tcPr>
          <w:p w:rsidRPr="003A0F78" w:rsidR="003A0F78" w:rsidP="00995EB3" w:rsidRDefault="003A0F78" w14:paraId="0672DDE6" w14:textId="77777777">
            <w:pPr>
              <w:spacing w:line="240" w:lineRule="auto"/>
              <w:rPr>
                <w:sz w:val="20"/>
              </w:rPr>
            </w:pPr>
            <w:r w:rsidRPr="003A0F78">
              <w:rPr>
                <w:sz w:val="20"/>
              </w:rPr>
              <w:t xml:space="preserve">Semi-structured interview </w:t>
            </w:r>
          </w:p>
        </w:tc>
        <w:tc>
          <w:tcPr>
            <w:tcW w:w="1170" w:type="dxa"/>
            <w:vAlign w:val="center"/>
          </w:tcPr>
          <w:p w:rsidRPr="003A0F78" w:rsidR="003A0F78" w:rsidP="00995EB3" w:rsidRDefault="003A0F78" w14:paraId="7FB76CE9" w14:textId="77777777">
            <w:pPr>
              <w:spacing w:line="240" w:lineRule="auto"/>
              <w:rPr>
                <w:sz w:val="20"/>
              </w:rPr>
            </w:pPr>
            <w:r w:rsidRPr="003A0F78">
              <w:rPr>
                <w:sz w:val="20"/>
              </w:rPr>
              <w:t xml:space="preserve"> 1 hour</w:t>
            </w:r>
          </w:p>
        </w:tc>
        <w:tc>
          <w:tcPr>
            <w:tcW w:w="2208" w:type="dxa"/>
            <w:vAlign w:val="center"/>
          </w:tcPr>
          <w:p w:rsidRPr="003A0F78" w:rsidR="003A0F78" w:rsidP="00995EB3" w:rsidRDefault="003A0F78" w14:paraId="3ADA14DD" w14:textId="77777777">
            <w:pPr>
              <w:spacing w:line="240" w:lineRule="auto"/>
              <w:rPr>
                <w:sz w:val="20"/>
              </w:rPr>
            </w:pPr>
            <w:r w:rsidRPr="003A0F78">
              <w:rPr>
                <w:sz w:val="20"/>
              </w:rPr>
              <w:t>To collect information from SNAP SAs that have been identified as leaders in safeguarding the PII of SNAP participants</w:t>
            </w:r>
          </w:p>
        </w:tc>
        <w:tc>
          <w:tcPr>
            <w:tcW w:w="1300" w:type="dxa"/>
            <w:vAlign w:val="center"/>
          </w:tcPr>
          <w:p w:rsidRPr="003A0F78" w:rsidR="003A0F78" w:rsidP="00995EB3" w:rsidRDefault="003A0F78" w14:paraId="5B5F439E" w14:textId="77777777">
            <w:pPr>
              <w:spacing w:line="240" w:lineRule="auto"/>
              <w:rPr>
                <w:sz w:val="20"/>
              </w:rPr>
            </w:pPr>
            <w:r w:rsidRPr="003A0F78">
              <w:rPr>
                <w:sz w:val="20"/>
              </w:rPr>
              <w:t>Once</w:t>
            </w:r>
          </w:p>
        </w:tc>
      </w:tr>
      <w:bookmarkEnd w:id="5"/>
    </w:tbl>
    <w:p w:rsidR="009852EF" w:rsidP="009852EF" w:rsidRDefault="009852EF" w14:paraId="725FBF10" w14:textId="77777777">
      <w:pPr>
        <w:autoSpaceDE w:val="0"/>
        <w:autoSpaceDN w:val="0"/>
        <w:adjustRightInd w:val="0"/>
        <w:spacing w:before="120" w:line="240" w:lineRule="auto"/>
        <w:rPr>
          <w:b/>
          <w:i/>
          <w:iCs/>
          <w:color w:val="000000" w:themeColor="text1"/>
        </w:rPr>
      </w:pPr>
    </w:p>
    <w:p w:rsidRPr="0046529D" w:rsidR="003A0F78" w:rsidP="003A0F78" w:rsidRDefault="003A0F78" w14:paraId="5E31BC93" w14:textId="77777777">
      <w:pPr>
        <w:autoSpaceDE w:val="0"/>
        <w:autoSpaceDN w:val="0"/>
        <w:adjustRightInd w:val="0"/>
        <w:spacing w:before="120"/>
        <w:rPr>
          <w:szCs w:val="24"/>
        </w:rPr>
      </w:pPr>
      <w:r w:rsidRPr="0030478C">
        <w:rPr>
          <w:b/>
          <w:i/>
          <w:iCs/>
          <w:color w:val="000000" w:themeColor="text1"/>
        </w:rPr>
        <w:t>Frequency of information collected. Information shared with any other organizations inside or outside USDA or the government.</w:t>
      </w:r>
      <w:r>
        <w:rPr>
          <w:szCs w:val="24"/>
        </w:rPr>
        <w:t xml:space="preserve"> This information will be collected once. Data files and documentation will be prepared </w:t>
      </w:r>
      <w:r w:rsidDel="00C238F4">
        <w:rPr>
          <w:szCs w:val="24"/>
        </w:rPr>
        <w:t>for restricted</w:t>
      </w:r>
      <w:r>
        <w:rPr>
          <w:szCs w:val="24"/>
        </w:rPr>
        <w:t xml:space="preserve"> </w:t>
      </w:r>
      <w:r w:rsidDel="00C238F4">
        <w:rPr>
          <w:szCs w:val="24"/>
        </w:rPr>
        <w:t xml:space="preserve">use </w:t>
      </w:r>
      <w:r>
        <w:rPr>
          <w:szCs w:val="24"/>
        </w:rPr>
        <w:t>only</w:t>
      </w:r>
      <w:r w:rsidDel="00F12B66">
        <w:rPr>
          <w:szCs w:val="24"/>
        </w:rPr>
        <w:t xml:space="preserve"> </w:t>
      </w:r>
      <w:r>
        <w:rPr>
          <w:szCs w:val="24"/>
        </w:rPr>
        <w:t>(with masking of data that could identify States</w:t>
      </w:r>
      <w:r w:rsidR="00241EB8">
        <w:rPr>
          <w:szCs w:val="24"/>
        </w:rPr>
        <w:t>, if needed</w:t>
      </w:r>
      <w:r>
        <w:rPr>
          <w:szCs w:val="24"/>
        </w:rPr>
        <w:t xml:space="preserve">). </w:t>
      </w:r>
      <w:r w:rsidRPr="0046529D">
        <w:rPr>
          <w:szCs w:val="24"/>
        </w:rPr>
        <w:t>All results will be presented in aggregated form in the final report</w:t>
      </w:r>
      <w:r>
        <w:rPr>
          <w:szCs w:val="24"/>
        </w:rPr>
        <w:t>, which will be</w:t>
      </w:r>
      <w:r w:rsidRPr="0046529D">
        <w:rPr>
          <w:szCs w:val="24"/>
        </w:rPr>
        <w:t xml:space="preserve"> made</w:t>
      </w:r>
      <w:r>
        <w:rPr>
          <w:szCs w:val="24"/>
        </w:rPr>
        <w:t xml:space="preserve"> publicly</w:t>
      </w:r>
      <w:r w:rsidRPr="0046529D">
        <w:rPr>
          <w:szCs w:val="24"/>
        </w:rPr>
        <w:t xml:space="preserve"> available in the research section of the USDA FNS website</w:t>
      </w:r>
      <w:r>
        <w:rPr>
          <w:szCs w:val="24"/>
        </w:rPr>
        <w:t xml:space="preserve"> at</w:t>
      </w:r>
      <w:r w:rsidRPr="0046529D">
        <w:rPr>
          <w:szCs w:val="24"/>
        </w:rPr>
        <w:t xml:space="preserve"> </w:t>
      </w:r>
      <w:hyperlink w:history="1" r:id="rId12">
        <w:r w:rsidRPr="0046529D">
          <w:rPr>
            <w:rStyle w:val="Hyperlink"/>
            <w:szCs w:val="24"/>
          </w:rPr>
          <w:t>http://www.fns.usda.gov/ops/research-and-analysis</w:t>
        </w:r>
      </w:hyperlink>
      <w:r w:rsidRPr="0046529D">
        <w:rPr>
          <w:szCs w:val="24"/>
        </w:rPr>
        <w:t>.</w:t>
      </w:r>
      <w:r w:rsidR="002152AE">
        <w:rPr>
          <w:szCs w:val="24"/>
        </w:rPr>
        <w:t xml:space="preserve"> </w:t>
      </w:r>
      <w:r w:rsidR="00214957">
        <w:rPr>
          <w:szCs w:val="24"/>
        </w:rPr>
        <w:t xml:space="preserve">Based on the pretest and team experience, we believe the SA survey will typically require three respondents </w:t>
      </w:r>
      <w:r w:rsidR="00622659">
        <w:rPr>
          <w:szCs w:val="24"/>
        </w:rPr>
        <w:t xml:space="preserve">and </w:t>
      </w:r>
      <w:r w:rsidR="005A2BBF">
        <w:rPr>
          <w:szCs w:val="24"/>
        </w:rPr>
        <w:t>will last</w:t>
      </w:r>
      <w:r w:rsidR="00622659">
        <w:rPr>
          <w:szCs w:val="24"/>
        </w:rPr>
        <w:t xml:space="preserve"> about half an hour for each</w:t>
      </w:r>
      <w:r w:rsidR="00D55FB5">
        <w:rPr>
          <w:szCs w:val="24"/>
        </w:rPr>
        <w:t xml:space="preserve"> respondent</w:t>
      </w:r>
      <w:r w:rsidR="00622659">
        <w:rPr>
          <w:szCs w:val="24"/>
        </w:rPr>
        <w:t xml:space="preserve">, leading to a total burden of 90 minutes per SA. </w:t>
      </w:r>
      <w:r w:rsidR="00112AE4">
        <w:rPr>
          <w:szCs w:val="24"/>
        </w:rPr>
        <w:t xml:space="preserve">This burden reflects the </w:t>
      </w:r>
      <w:r w:rsidR="000C4F78">
        <w:rPr>
          <w:szCs w:val="24"/>
        </w:rPr>
        <w:t xml:space="preserve">time needed to </w:t>
      </w:r>
      <w:r w:rsidR="00112AE4">
        <w:rPr>
          <w:szCs w:val="24"/>
        </w:rPr>
        <w:t xml:space="preserve">identify </w:t>
      </w:r>
      <w:r w:rsidR="000C4F78">
        <w:rPr>
          <w:szCs w:val="24"/>
        </w:rPr>
        <w:t xml:space="preserve">the </w:t>
      </w:r>
      <w:r w:rsidR="00112AE4">
        <w:rPr>
          <w:szCs w:val="24"/>
        </w:rPr>
        <w:t>respondent</w:t>
      </w:r>
      <w:r w:rsidR="000C4F78">
        <w:rPr>
          <w:szCs w:val="24"/>
        </w:rPr>
        <w:t>(</w:t>
      </w:r>
      <w:r w:rsidR="00112AE4">
        <w:rPr>
          <w:szCs w:val="24"/>
        </w:rPr>
        <w:t>s</w:t>
      </w:r>
      <w:r w:rsidR="000C4F78">
        <w:rPr>
          <w:szCs w:val="24"/>
        </w:rPr>
        <w:t>)</w:t>
      </w:r>
      <w:r w:rsidR="00112AE4">
        <w:rPr>
          <w:szCs w:val="24"/>
        </w:rPr>
        <w:t xml:space="preserve"> </w:t>
      </w:r>
      <w:r w:rsidR="00C118DE">
        <w:rPr>
          <w:szCs w:val="24"/>
        </w:rPr>
        <w:t>best equipped to answer each question</w:t>
      </w:r>
      <w:r w:rsidR="00397632">
        <w:rPr>
          <w:szCs w:val="24"/>
        </w:rPr>
        <w:t xml:space="preserve">. In addition, </w:t>
      </w:r>
      <w:r w:rsidR="000C4F78">
        <w:rPr>
          <w:szCs w:val="24"/>
        </w:rPr>
        <w:t xml:space="preserve">some </w:t>
      </w:r>
      <w:r w:rsidR="00C63D74">
        <w:rPr>
          <w:szCs w:val="24"/>
        </w:rPr>
        <w:t xml:space="preserve">staff </w:t>
      </w:r>
      <w:r w:rsidR="000C4F78">
        <w:rPr>
          <w:szCs w:val="24"/>
        </w:rPr>
        <w:t xml:space="preserve">meetings may be </w:t>
      </w:r>
      <w:r w:rsidR="00C63D74">
        <w:rPr>
          <w:szCs w:val="24"/>
        </w:rPr>
        <w:t xml:space="preserve">required </w:t>
      </w:r>
      <w:r w:rsidR="00397632">
        <w:rPr>
          <w:szCs w:val="24"/>
        </w:rPr>
        <w:t xml:space="preserve">to </w:t>
      </w:r>
      <w:r w:rsidR="00C63D74">
        <w:rPr>
          <w:szCs w:val="24"/>
        </w:rPr>
        <w:t>achieve a</w:t>
      </w:r>
      <w:r w:rsidR="00397632">
        <w:rPr>
          <w:szCs w:val="24"/>
        </w:rPr>
        <w:t xml:space="preserve"> consensus on </w:t>
      </w:r>
      <w:r w:rsidR="005907CD">
        <w:rPr>
          <w:szCs w:val="24"/>
        </w:rPr>
        <w:t>responses.</w:t>
      </w:r>
    </w:p>
    <w:p w:rsidRPr="00995EB3" w:rsidR="00121AA2" w:rsidP="00995EB3" w:rsidRDefault="00121AA2" w14:paraId="351C45AB" w14:textId="77777777">
      <w:r w:rsidRPr="00995EB3">
        <w:br w:type="page"/>
      </w:r>
    </w:p>
    <w:p w:rsidRPr="0030478C" w:rsidR="003A0F78" w:rsidP="003A0F78" w:rsidRDefault="003A0F78" w14:paraId="18A98B0A" w14:textId="77777777">
      <w:pPr>
        <w:pStyle w:val="NoSpacing"/>
        <w:rPr>
          <w:b/>
          <w:bCs/>
          <w:color w:val="009CD3" w:themeColor="accent1"/>
        </w:rPr>
      </w:pPr>
      <w:r w:rsidRPr="0030478C">
        <w:rPr>
          <w:b/>
          <w:bCs/>
          <w:color w:val="009CD3" w:themeColor="accent1"/>
        </w:rPr>
        <w:lastRenderedPageBreak/>
        <w:t>A.3</w:t>
      </w:r>
      <w:r w:rsidRPr="0030478C">
        <w:rPr>
          <w:b/>
          <w:bCs/>
          <w:color w:val="009CD3" w:themeColor="accen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A0F78" w:rsidP="003A0F78" w:rsidRDefault="003A0F78" w14:paraId="3B47B0E9" w14:textId="77777777">
      <w:pPr>
        <w:pStyle w:val="NoSpacing"/>
      </w:pPr>
    </w:p>
    <w:p w:rsidR="003A0F78" w:rsidP="003A0F78" w:rsidRDefault="003A0F78" w14:paraId="485AAFEA" w14:textId="77777777">
      <w:r>
        <w:t xml:space="preserve">FNS is committed to complying with the E-Government Act of 2002, to promote the use of technology. As noted, the survey of all SNAP SAs will be provided online for the SNAP SAs to complete. </w:t>
      </w:r>
      <w:r w:rsidR="00C16CDA">
        <w:t xml:space="preserve">Because there may be different respondents for different sections of the survey, each SA </w:t>
      </w:r>
      <w:r w:rsidR="00DF1BAE">
        <w:t>D</w:t>
      </w:r>
      <w:r w:rsidR="00C16CDA">
        <w:t xml:space="preserve">irector will be provided with a personalized link that will allow the respondent to access and respond to the survey. To re-enter the survey, the link from the email may be reused; to allow access to a different respondent, the initial respondent would </w:t>
      </w:r>
      <w:r w:rsidR="005F5ED8">
        <w:t xml:space="preserve">only </w:t>
      </w:r>
      <w:r w:rsidR="00C16CDA">
        <w:t xml:space="preserve">need to forward the link to the other respondent. </w:t>
      </w:r>
      <w:r>
        <w:t>Most survey reminders will be sent via email. The web survey will contain links to the Frequently Asked Questions and to a Table of Contents that the survey respondent can use to navigate between different sections of the survey. The survey will contain skip logic to reduce time and burden and will be set up for completion on a mobile phone. Responses can be submitted by clicking the “Submit” button at the end of the survey. If a survey is largely complete but the respondent did not hit “Submit”, the survey staff will contact the respondent, if possible, by email, or mark the survey as submitted, provided it meets criteria that will be set in advance of data collection.</w:t>
      </w:r>
      <w:r w:rsidR="00C11A41">
        <w:t xml:space="preserve"> </w:t>
      </w:r>
      <w:r w:rsidR="00D22C23">
        <w:t>Electronic systems are used for all these steps.</w:t>
      </w:r>
    </w:p>
    <w:p w:rsidRPr="00995EB3" w:rsidR="7C3976B8" w:rsidP="00995EB3" w:rsidRDefault="003A0F78" w14:paraId="5A1B729B" w14:textId="77777777">
      <w:r>
        <w:t>For the semi-structured</w:t>
      </w:r>
      <w:r w:rsidR="0048675D">
        <w:t xml:space="preserve"> telephone</w:t>
      </w:r>
      <w:r>
        <w:t xml:space="preserve"> interviews, the main technology used will be recording of interviews, if the respondent agrees to do so. Such recordings will be transcribed, and then can be analyzed using NVivo.</w:t>
      </w:r>
      <w:r w:rsidR="00194987">
        <w:t xml:space="preserve"> </w:t>
      </w:r>
      <w:r w:rsidR="00C7284F">
        <w:t xml:space="preserve">If the respondent prefers not to be recorded, </w:t>
      </w:r>
      <w:r w:rsidR="00FB5CF3">
        <w:t xml:space="preserve">a </w:t>
      </w:r>
      <w:r w:rsidR="00DA597E">
        <w:t xml:space="preserve">member of the </w:t>
      </w:r>
      <w:r w:rsidR="00FB5CF3">
        <w:t>study</w:t>
      </w:r>
      <w:r w:rsidR="00DA597E">
        <w:t xml:space="preserve"> </w:t>
      </w:r>
      <w:r w:rsidRPr="00995EB3" w:rsidR="00DA597E">
        <w:t xml:space="preserve">team </w:t>
      </w:r>
      <w:r w:rsidRPr="00995EB3" w:rsidR="00FB5CF3">
        <w:t>will take detailed notes.</w:t>
      </w:r>
    </w:p>
    <w:p w:rsidRPr="00995EB3" w:rsidR="00121AA2" w:rsidP="00995EB3" w:rsidRDefault="00121AA2" w14:paraId="6A0892E7" w14:textId="77777777">
      <w:r w:rsidRPr="00995EB3">
        <w:br w:type="page"/>
      </w:r>
    </w:p>
    <w:p w:rsidRPr="0030478C" w:rsidR="003A0F78" w:rsidP="003A0F78" w:rsidRDefault="003A0F78" w14:paraId="65F885A7" w14:textId="77777777">
      <w:pPr>
        <w:pStyle w:val="NoSpacing"/>
        <w:rPr>
          <w:b/>
          <w:bCs/>
          <w:color w:val="009CD3" w:themeColor="accent1"/>
        </w:rPr>
      </w:pPr>
      <w:r w:rsidRPr="0030478C">
        <w:rPr>
          <w:b/>
          <w:bCs/>
          <w:color w:val="009CD3" w:themeColor="accent1"/>
        </w:rPr>
        <w:lastRenderedPageBreak/>
        <w:t xml:space="preserve">A.4 </w:t>
      </w:r>
      <w:r w:rsidRPr="0030478C">
        <w:rPr>
          <w:b/>
          <w:bCs/>
          <w:color w:val="009CD3" w:themeColor="accent1"/>
        </w:rPr>
        <w:tab/>
        <w:t>Describe efforts to identify duplication. Show specifically why any similar information already available cannot be used or modified for use for the purpose described in item 2 above.</w:t>
      </w:r>
    </w:p>
    <w:p w:rsidR="003A0F78" w:rsidP="003A0F78" w:rsidRDefault="003A0F78" w14:paraId="0A2C3A6D" w14:textId="77777777">
      <w:pPr>
        <w:pStyle w:val="NoSpacing"/>
      </w:pPr>
    </w:p>
    <w:p w:rsidR="003A0F78" w:rsidP="003A0F78" w:rsidRDefault="003A0F78" w14:paraId="5DCA2A82" w14:textId="77777777">
      <w:r>
        <w:t>Every effort has been made to avoid duplication. FNS has reviewed USDA reporting requirements, State administrative agency reporting requirements, and special studies by other government and private agencies and determined that no current data are similar to that proposed for collection in this study. Some related information is provided in Advance Planning Documents that States seeking funding for systems development must submit to FNS, but not in sufficient detail to answer this study’s research questions.</w:t>
      </w:r>
    </w:p>
    <w:p w:rsidRPr="0030478C" w:rsidR="003A0F78" w:rsidP="003A0F78" w:rsidRDefault="003A0F78" w14:paraId="2FCD9EEF" w14:textId="77777777">
      <w:pPr>
        <w:pStyle w:val="NoSpacing"/>
        <w:rPr>
          <w:b/>
          <w:bCs/>
          <w:color w:val="009CD3" w:themeColor="accent1"/>
        </w:rPr>
      </w:pPr>
      <w:r w:rsidRPr="0030478C">
        <w:rPr>
          <w:b/>
          <w:bCs/>
          <w:color w:val="009CD3" w:themeColor="accent1"/>
        </w:rPr>
        <w:t xml:space="preserve">A.5 </w:t>
      </w:r>
      <w:r w:rsidRPr="0030478C">
        <w:rPr>
          <w:b/>
          <w:bCs/>
          <w:color w:val="009CD3" w:themeColor="accent1"/>
        </w:rPr>
        <w:tab/>
        <w:t>If the collection of information impacts small businesses or other small entities, describe any methods used to minimize burden.</w:t>
      </w:r>
    </w:p>
    <w:p w:rsidR="003A0F78" w:rsidP="003A0F78" w:rsidRDefault="003A0F78" w14:paraId="7E570B44" w14:textId="77777777">
      <w:pPr>
        <w:pStyle w:val="NoSpacing"/>
      </w:pPr>
    </w:p>
    <w:p w:rsidR="003A0F78" w:rsidP="003A0F78" w:rsidRDefault="003A0F78" w14:paraId="6C5824BD" w14:textId="77777777">
      <w:r>
        <w:t xml:space="preserve">No small businesses or entities are included in this study. </w:t>
      </w:r>
    </w:p>
    <w:p w:rsidRPr="0030478C" w:rsidR="003A0F78" w:rsidP="0030478C" w:rsidRDefault="003A0F78" w14:paraId="0C865C60" w14:textId="77777777">
      <w:pPr>
        <w:pStyle w:val="NoSpacing"/>
        <w:rPr>
          <w:b/>
          <w:bCs/>
          <w:color w:val="009CD3" w:themeColor="accent1"/>
        </w:rPr>
      </w:pPr>
      <w:r w:rsidRPr="0030478C">
        <w:rPr>
          <w:b/>
          <w:bCs/>
          <w:color w:val="009CD3" w:themeColor="accent1"/>
        </w:rPr>
        <w:t xml:space="preserve">A.6 </w:t>
      </w:r>
      <w:r w:rsidRPr="0030478C">
        <w:rPr>
          <w:b/>
          <w:bCs/>
          <w:color w:val="009CD3" w:themeColor="accent1"/>
        </w:rPr>
        <w:tab/>
        <w:t>Describe the consequence to Federal program or policy activities if the collection is no</w:t>
      </w:r>
      <w:r w:rsidRPr="0030478C" w:rsidR="0030478C">
        <w:rPr>
          <w:b/>
          <w:bCs/>
          <w:color w:val="009CD3" w:themeColor="accent1"/>
        </w:rPr>
        <w:t xml:space="preserve">t </w:t>
      </w:r>
      <w:r w:rsidRPr="0030478C">
        <w:rPr>
          <w:b/>
          <w:bCs/>
          <w:color w:val="009CD3" w:themeColor="accent1"/>
        </w:rPr>
        <w:t>conducted or is conducted less frequently, as well as any technical or legal obstacles to reducing burden.</w:t>
      </w:r>
    </w:p>
    <w:p w:rsidR="0030478C" w:rsidP="0030478C" w:rsidRDefault="0030478C" w14:paraId="19929024" w14:textId="77777777">
      <w:pPr>
        <w:pStyle w:val="NoSpacing"/>
      </w:pPr>
    </w:p>
    <w:p w:rsidR="003A0F78" w:rsidP="003A0F78" w:rsidRDefault="003A0F78" w14:paraId="26B07093" w14:textId="77777777">
      <w:r>
        <w:t>This is a one-time data collection. Without this data collection, FNS will not have information on how States protect SNAP participants’ and applicants’ PII, how this varies from State to State, and how these protections are implemented on a day-to-day basis. FNS would also not obtain advice on best practices from industry experts and SNAP State agency staff who operate especially strong safeguarding programs.</w:t>
      </w:r>
    </w:p>
    <w:p w:rsidRPr="0030478C" w:rsidR="0030478C" w:rsidP="0030478C" w:rsidRDefault="0030478C" w14:paraId="59DB736B" w14:textId="77777777">
      <w:pPr>
        <w:spacing w:line="240" w:lineRule="auto"/>
        <w:rPr>
          <w:b/>
          <w:color w:val="009CD3" w:themeColor="accent1"/>
        </w:rPr>
      </w:pPr>
      <w:r w:rsidRPr="0030478C">
        <w:rPr>
          <w:b/>
          <w:color w:val="009CD3" w:themeColor="accent1"/>
        </w:rPr>
        <w:t>A.7</w:t>
      </w:r>
      <w:r w:rsidRPr="7C3976B8">
        <w:rPr>
          <w:b/>
          <w:bCs/>
          <w:color w:val="009CD3" w:themeColor="accent1"/>
        </w:rPr>
        <w:t>.</w:t>
      </w:r>
      <w:r w:rsidRPr="0030478C">
        <w:rPr>
          <w:b/>
          <w:color w:val="009CD3" w:themeColor="accent1"/>
        </w:rPr>
        <w:tab/>
        <w:t>Explain any special circumstances that would cause an information collection to be conducted in a manner:</w:t>
      </w:r>
    </w:p>
    <w:p w:rsidRPr="0030478C" w:rsidR="0030478C" w:rsidP="0030478C" w:rsidRDefault="0030478C" w14:paraId="52E7BCAB" w14:textId="77777777">
      <w:pPr>
        <w:pStyle w:val="ListParagraph"/>
        <w:spacing w:after="120" w:line="240" w:lineRule="auto"/>
        <w:rPr>
          <w:b/>
          <w:color w:val="009CD3" w:themeColor="accent1"/>
        </w:rPr>
      </w:pPr>
      <w:r w:rsidRPr="0030478C">
        <w:rPr>
          <w:b/>
          <w:color w:val="009CD3" w:themeColor="accent1"/>
        </w:rPr>
        <w:t>requiring respondents to report information to the agency more often than quarterly;</w:t>
      </w:r>
    </w:p>
    <w:p w:rsidRPr="0030478C" w:rsidR="0030478C" w:rsidP="0030478C" w:rsidRDefault="0030478C" w14:paraId="1F3DBC12" w14:textId="77777777">
      <w:pPr>
        <w:pStyle w:val="ListParagraph"/>
        <w:spacing w:after="120" w:line="240" w:lineRule="auto"/>
        <w:rPr>
          <w:b/>
          <w:color w:val="009CD3" w:themeColor="accent1"/>
        </w:rPr>
      </w:pPr>
      <w:r w:rsidRPr="0030478C">
        <w:rPr>
          <w:b/>
          <w:color w:val="009CD3" w:themeColor="accent1"/>
        </w:rPr>
        <w:t>requiring respondents to prepare a written response to a collection of information in fewer than 30 days after receipt of it;</w:t>
      </w:r>
    </w:p>
    <w:p w:rsidRPr="0030478C" w:rsidR="0030478C" w:rsidP="0030478C" w:rsidRDefault="0030478C" w14:paraId="1E64D11D" w14:textId="77777777">
      <w:pPr>
        <w:pStyle w:val="ListParagraph"/>
        <w:spacing w:after="120" w:line="240" w:lineRule="auto"/>
        <w:rPr>
          <w:b/>
          <w:color w:val="009CD3" w:themeColor="accent1"/>
        </w:rPr>
      </w:pPr>
      <w:r w:rsidRPr="0030478C">
        <w:rPr>
          <w:b/>
          <w:color w:val="009CD3" w:themeColor="accent1"/>
        </w:rPr>
        <w:t>requiring respondents to submit more than an original and two copies of any document;</w:t>
      </w:r>
    </w:p>
    <w:p w:rsidRPr="0030478C" w:rsidR="0030478C" w:rsidP="0030478C" w:rsidRDefault="0030478C" w14:paraId="1CB6FF75" w14:textId="77777777">
      <w:pPr>
        <w:pStyle w:val="ListParagraph"/>
        <w:spacing w:after="120" w:line="240" w:lineRule="auto"/>
        <w:rPr>
          <w:b/>
          <w:color w:val="009CD3" w:themeColor="accent1"/>
        </w:rPr>
      </w:pPr>
      <w:r w:rsidRPr="0030478C">
        <w:rPr>
          <w:b/>
          <w:color w:val="009CD3" w:themeColor="accent1"/>
        </w:rPr>
        <w:t>requiring respondents to retain records, other than health, medical, government contract, grant-in-aid, or tax records for more than three years;</w:t>
      </w:r>
    </w:p>
    <w:p w:rsidRPr="0030478C" w:rsidR="0030478C" w:rsidP="0030478C" w:rsidRDefault="0030478C" w14:paraId="3372EEA4" w14:textId="77777777">
      <w:pPr>
        <w:pStyle w:val="ListParagraph"/>
        <w:spacing w:after="120" w:line="240" w:lineRule="auto"/>
        <w:rPr>
          <w:b/>
          <w:color w:val="009CD3" w:themeColor="accent1"/>
        </w:rPr>
      </w:pPr>
      <w:r w:rsidRPr="0030478C">
        <w:rPr>
          <w:b/>
          <w:color w:val="009CD3" w:themeColor="accent1"/>
        </w:rPr>
        <w:lastRenderedPageBreak/>
        <w:t>in connection with a statistical survey that is not designed to produce valid and reliable results that can be generalized to the universe of study;</w:t>
      </w:r>
    </w:p>
    <w:p w:rsidRPr="0030478C" w:rsidR="0030478C" w:rsidP="0030478C" w:rsidRDefault="0030478C" w14:paraId="5B39D9D3" w14:textId="77777777">
      <w:pPr>
        <w:pStyle w:val="ListParagraph"/>
        <w:spacing w:after="120" w:line="240" w:lineRule="auto"/>
        <w:rPr>
          <w:b/>
          <w:color w:val="009CD3" w:themeColor="accent1"/>
        </w:rPr>
      </w:pPr>
      <w:r w:rsidRPr="0030478C">
        <w:rPr>
          <w:b/>
          <w:color w:val="009CD3" w:themeColor="accent1"/>
        </w:rPr>
        <w:t>requiring the use of a statistical data classification that has not been reviewed and approved by OMB;</w:t>
      </w:r>
    </w:p>
    <w:p w:rsidRPr="0030478C" w:rsidR="0030478C" w:rsidP="0030478C" w:rsidRDefault="0030478C" w14:paraId="55666218" w14:textId="77777777">
      <w:pPr>
        <w:pStyle w:val="ListParagraph"/>
        <w:spacing w:after="120" w:line="240" w:lineRule="auto"/>
        <w:rPr>
          <w:b/>
          <w:color w:val="009CD3" w:themeColor="accent1"/>
        </w:rPr>
      </w:pPr>
      <w:r w:rsidRPr="0030478C">
        <w:rPr>
          <w:b/>
          <w:color w:val="009CD3" w:themeColor="accen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0478C" w:rsidR="0030478C" w:rsidP="0030478C" w:rsidRDefault="0030478C" w14:paraId="53CE28E1" w14:textId="77777777">
      <w:pPr>
        <w:pStyle w:val="ListParagraph"/>
        <w:spacing w:after="120" w:line="240" w:lineRule="auto"/>
        <w:rPr>
          <w:b/>
          <w:color w:val="009CD3" w:themeColor="accent1"/>
        </w:rPr>
      </w:pPr>
      <w:r w:rsidRPr="0030478C">
        <w:rPr>
          <w:b/>
          <w:color w:val="009CD3" w:themeColor="accent1"/>
        </w:rPr>
        <w:t>requiring respondents to submit proprietary trade secret, or other confidential information unless the agency can demonstrate that it has instituted procedures to protect the information's confidentiality to the extent permitted by law.</w:t>
      </w:r>
    </w:p>
    <w:p w:rsidR="0030478C" w:rsidP="0030478C" w:rsidRDefault="0030478C" w14:paraId="27032ABD" w14:textId="77777777">
      <w:pPr>
        <w:pStyle w:val="NoSpacing"/>
      </w:pPr>
    </w:p>
    <w:p w:rsidRPr="0030478C" w:rsidR="0030478C" w:rsidP="0030478C" w:rsidRDefault="0030478C" w14:paraId="3F8B56D2" w14:textId="2287A1BC">
      <w:r w:rsidRPr="0030478C">
        <w:t>There are no special circumstances.</w:t>
      </w:r>
      <w:bookmarkStart w:name="_Toc282506030" w:id="6"/>
      <w:bookmarkStart w:name="_Toc339621288" w:id="7"/>
      <w:r w:rsidRPr="00307011" w:rsidR="00307011">
        <w:t xml:space="preserve"> The collection of information is conducted in a manner consistent with the guidelines in 5 CFR 1320.5.</w:t>
      </w:r>
      <w:r w:rsidR="00307011">
        <w:rPr>
          <w:color w:val="FF0000"/>
        </w:rPr>
        <w:t xml:space="preserve">  </w:t>
      </w:r>
    </w:p>
    <w:p w:rsidRPr="0030478C" w:rsidR="0030478C" w:rsidP="0030478C" w:rsidRDefault="0030478C" w14:paraId="5F8E9F0A" w14:textId="77777777">
      <w:pPr>
        <w:pStyle w:val="NoSpacing"/>
        <w:rPr>
          <w:b/>
          <w:bCs/>
          <w:color w:val="009CD3" w:themeColor="accent1"/>
        </w:rPr>
      </w:pPr>
      <w:r w:rsidRPr="0030478C">
        <w:rPr>
          <w:b/>
          <w:bCs/>
          <w:color w:val="009CD3" w:themeColor="accent1"/>
        </w:rPr>
        <w:t>A.8</w:t>
      </w:r>
      <w:r w:rsidRPr="0030478C">
        <w:rPr>
          <w:b/>
          <w:bCs/>
          <w:color w:val="009CD3" w:themeColor="accent1"/>
        </w:rPr>
        <w:tab/>
      </w:r>
      <w:bookmarkEnd w:id="6"/>
      <w:r w:rsidRPr="0030478C">
        <w:rPr>
          <w:b/>
          <w:bCs/>
          <w:color w:val="009CD3" w:themeColor="accent1"/>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7"/>
    </w:p>
    <w:p w:rsidR="0030478C" w:rsidP="0030478C" w:rsidRDefault="0030478C" w14:paraId="7D7819EC" w14:textId="77777777">
      <w:pPr>
        <w:pStyle w:val="NoSpacing"/>
      </w:pPr>
    </w:p>
    <w:p w:rsidR="0030478C" w:rsidP="0030478C" w:rsidRDefault="0030478C" w14:paraId="03876408" w14:textId="77777777">
      <w:r w:rsidRPr="0046529D">
        <w:t xml:space="preserve">Notice of this study was published in the </w:t>
      </w:r>
      <w:r w:rsidRPr="000C4CB8">
        <w:rPr>
          <w:i/>
        </w:rPr>
        <w:t>Federal Register</w:t>
      </w:r>
      <w:r w:rsidRPr="0046529D">
        <w:t xml:space="preserve"> </w:t>
      </w:r>
      <w:r>
        <w:t xml:space="preserve">(Volume 84, Number 53, Pages 10025-10030) </w:t>
      </w:r>
      <w:r w:rsidRPr="0046529D">
        <w:t xml:space="preserve">on </w:t>
      </w:r>
      <w:r>
        <w:t>March 19, 2019, specifying a 60-day comment period ending May 19, 2019.</w:t>
      </w:r>
      <w:r w:rsidDel="000802DC">
        <w:t xml:space="preserve"> </w:t>
      </w:r>
      <w:r>
        <w:t xml:space="preserve">The Federal Register Notice is included as Appendix </w:t>
      </w:r>
      <w:r w:rsidR="00E520E4">
        <w:t>E.1</w:t>
      </w:r>
      <w:r>
        <w:t>. FNS did not receive any comments during the 60-day comment period.</w:t>
      </w:r>
    </w:p>
    <w:p w:rsidRPr="0030478C" w:rsidR="0030478C" w:rsidP="0030478C" w:rsidRDefault="0030478C" w14:paraId="7C152C98" w14:textId="77777777">
      <w:pPr>
        <w:rPr>
          <w:b/>
          <w:i/>
          <w:iCs/>
        </w:rPr>
      </w:pPr>
      <w:r w:rsidRPr="0030478C">
        <w:rPr>
          <w:b/>
          <w:i/>
          <w:iCs/>
        </w:rPr>
        <w:t>Actions Taken by the Agency</w:t>
      </w:r>
    </w:p>
    <w:p w:rsidR="00230C25" w:rsidP="00230C25" w:rsidRDefault="0030478C" w14:paraId="66E6EEC2" w14:textId="3EF1C274">
      <w:pPr>
        <w:pStyle w:val="ListParagraph"/>
      </w:pPr>
      <w:r w:rsidRPr="0030478C">
        <w:t>In addition to soliciting comments from the public and affected stakeholders, FNS had this information collection request reviewed by</w:t>
      </w:r>
      <w:r w:rsidR="0003442B">
        <w:t xml:space="preserve"> Beth Schlein</w:t>
      </w:r>
      <w:r w:rsidRPr="0030478C">
        <w:t xml:space="preserve"> from the National Agricultural Statistics Service (NASS) for an expert assessment of the study design and methodology. NASS comments and the FNS response to NASS comments are available in </w:t>
      </w:r>
      <w:r w:rsidRPr="004D07A2">
        <w:t xml:space="preserve">Appendices </w:t>
      </w:r>
      <w:r w:rsidRPr="004D07A2" w:rsidR="00435928">
        <w:t>E</w:t>
      </w:r>
      <w:r w:rsidRPr="004D07A2">
        <w:t>.</w:t>
      </w:r>
      <w:r w:rsidRPr="004D07A2" w:rsidR="00F76094">
        <w:t>2</w:t>
      </w:r>
      <w:r w:rsidRPr="004D07A2">
        <w:t xml:space="preserve"> and </w:t>
      </w:r>
      <w:r w:rsidRPr="004D07A2" w:rsidR="00435928">
        <w:t>E</w:t>
      </w:r>
      <w:r w:rsidRPr="004D07A2">
        <w:t>.</w:t>
      </w:r>
      <w:r w:rsidRPr="004D07A2" w:rsidR="00F76094">
        <w:t>3</w:t>
      </w:r>
      <w:r w:rsidRPr="004D07A2">
        <w:t>, respectively.</w:t>
      </w:r>
    </w:p>
    <w:p w:rsidRPr="00230C25" w:rsidR="0030478C" w:rsidP="00230C25" w:rsidRDefault="00D41831" w14:paraId="251BA217" w14:textId="44BB7792">
      <w:pPr>
        <w:pStyle w:val="ListParagraph"/>
      </w:pPr>
      <w:r w:rsidRPr="00230C25">
        <w:t>Four</w:t>
      </w:r>
      <w:r w:rsidRPr="00230C25" w:rsidR="0030478C">
        <w:t xml:space="preserve"> SNAP</w:t>
      </w:r>
      <w:r w:rsidRPr="00230C25" w:rsidDel="00762404" w:rsidR="0030478C">
        <w:t xml:space="preserve"> experts </w:t>
      </w:r>
      <w:r w:rsidRPr="00230C25">
        <w:t xml:space="preserve">were </w:t>
      </w:r>
      <w:r w:rsidRPr="00230C25" w:rsidR="0030478C">
        <w:t>consulted about this study</w:t>
      </w:r>
      <w:r w:rsidRPr="00230C25" w:rsidR="0084728E">
        <w:t>.</w:t>
      </w:r>
      <w:r w:rsidRPr="00230C25" w:rsidR="0030478C">
        <w:t xml:space="preserve"> </w:t>
      </w:r>
      <w:r w:rsidRPr="00230C25" w:rsidR="00B40500">
        <w:t>Th</w:t>
      </w:r>
      <w:r w:rsidRPr="00230C25" w:rsidR="00E1249F">
        <w:t>ey</w:t>
      </w:r>
      <w:r w:rsidRPr="00230C25" w:rsidR="00B40500">
        <w:t xml:space="preserve"> include a </w:t>
      </w:r>
      <w:r w:rsidRPr="00230C25" w:rsidR="0030478C">
        <w:t>former State</w:t>
      </w:r>
      <w:r w:rsidRPr="0030478C" w:rsidR="0030478C">
        <w:t xml:space="preserve"> SNAP Director, Larry Goolsby, </w:t>
      </w:r>
      <w:r w:rsidR="00755415">
        <w:t xml:space="preserve">who </w:t>
      </w:r>
      <w:r w:rsidRPr="0030478C" w:rsidR="0030478C">
        <w:t xml:space="preserve">participates in this study as a consultant to 2M </w:t>
      </w:r>
      <w:r w:rsidRPr="0030478C" w:rsidR="0030478C">
        <w:lastRenderedPageBreak/>
        <w:t>Research (2M)</w:t>
      </w:r>
      <w:r w:rsidR="00B40500">
        <w:t xml:space="preserve">; </w:t>
      </w:r>
      <w:r w:rsidR="00AC4E2C">
        <w:t>Maurice (Bill) Walker</w:t>
      </w:r>
      <w:r w:rsidR="006207C4">
        <w:t>,</w:t>
      </w:r>
      <w:r w:rsidR="00AC4E2C">
        <w:t xml:space="preserve"> </w:t>
      </w:r>
      <w:r w:rsidR="006207C4">
        <w:t>the SNAP Electronic Benefit Transfer Coordinator</w:t>
      </w:r>
      <w:r w:rsidR="00BC4242">
        <w:t>, and Michael Isaac,</w:t>
      </w:r>
      <w:r w:rsidR="006207C4">
        <w:t xml:space="preserve"> the Application Development Manager</w:t>
      </w:r>
      <w:r w:rsidR="00BC4242">
        <w:t>, both</w:t>
      </w:r>
      <w:r w:rsidR="006207C4">
        <w:t xml:space="preserve"> </w:t>
      </w:r>
      <w:r w:rsidR="008452D5">
        <w:t>at</w:t>
      </w:r>
      <w:r w:rsidR="00AC4E2C">
        <w:t xml:space="preserve"> the Oregon Department of Human Services and the Oregon Health Authority; and Allison Davis, </w:t>
      </w:r>
      <w:r w:rsidR="008452D5">
        <w:t xml:space="preserve">Chief Information Security Officer </w:t>
      </w:r>
      <w:r w:rsidR="00A72035">
        <w:t>at</w:t>
      </w:r>
      <w:r w:rsidR="00A26147">
        <w:t xml:space="preserve"> the New Jersey Department of Human Services </w:t>
      </w:r>
      <w:r w:rsidR="00A72035">
        <w:t>(</w:t>
      </w:r>
      <w:r w:rsidR="009143BE">
        <w:t>at</w:t>
      </w:r>
      <w:r w:rsidR="00A72035">
        <w:t xml:space="preserve"> the time of an exploratory discussion)</w:t>
      </w:r>
      <w:r w:rsidRPr="0030478C" w:rsidR="0030478C">
        <w:t xml:space="preserve">. </w:t>
      </w:r>
    </w:p>
    <w:p w:rsidRPr="0030478C" w:rsidR="0030478C" w:rsidP="0030478C" w:rsidRDefault="0030478C" w14:paraId="302609F3" w14:textId="16DB8E1B">
      <w:pPr>
        <w:pStyle w:val="ListParagraph"/>
      </w:pPr>
      <w:r w:rsidRPr="0030478C">
        <w:t xml:space="preserve">Other experts consulted include Ann Collins, consultant to 2M, and two senior 2M staff, </w:t>
      </w:r>
      <w:r w:rsidR="00E3447E">
        <w:t xml:space="preserve">Drs. </w:t>
      </w:r>
      <w:r w:rsidRPr="0030478C">
        <w:t xml:space="preserve">Nicholas Beyler and Steven Garasky. </w:t>
      </w:r>
      <w:r w:rsidR="008E4E1E">
        <w:t xml:space="preserve">Ann Collins </w:t>
      </w:r>
      <w:r w:rsidR="00251A91">
        <w:t xml:space="preserve">has more than 25 years of experience </w:t>
      </w:r>
      <w:r w:rsidR="00E20863">
        <w:t>working</w:t>
      </w:r>
      <w:r w:rsidRPr="00E20863" w:rsidR="00E20863">
        <w:t xml:space="preserve"> with State and local agencies, including those responsible for administ</w:t>
      </w:r>
      <w:r w:rsidR="00773CEB">
        <w:t>ering</w:t>
      </w:r>
      <w:r w:rsidRPr="00E20863" w:rsidR="00E20863">
        <w:t xml:space="preserve"> SNAP</w:t>
      </w:r>
      <w:r w:rsidR="00066A6D">
        <w:t>,</w:t>
      </w:r>
      <w:r w:rsidRPr="00E20863" w:rsidR="00E20863">
        <w:t xml:space="preserve"> </w:t>
      </w:r>
      <w:r w:rsidR="00066A6D">
        <w:t>in addition to</w:t>
      </w:r>
      <w:r w:rsidRPr="00E20863" w:rsidR="00E20863">
        <w:t xml:space="preserve"> other agencies and organizations involved with FNS programs that collect and manage participant data</w:t>
      </w:r>
      <w:r w:rsidR="00BA1C5C">
        <w:t>. Dr</w:t>
      </w:r>
      <w:r w:rsidR="00E3447E">
        <w:t>.</w:t>
      </w:r>
      <w:r w:rsidR="00BA1C5C">
        <w:t xml:space="preserve"> G</w:t>
      </w:r>
      <w:r w:rsidR="00E3447E">
        <w:t>arasky</w:t>
      </w:r>
      <w:r w:rsidR="00585C36">
        <w:t xml:space="preserve"> has </w:t>
      </w:r>
      <w:r w:rsidRPr="00585C36" w:rsidR="00585C36">
        <w:t>over 30 years of experience as a researcher and an evaluator of domestic social policies and programs</w:t>
      </w:r>
      <w:r w:rsidR="00FA328D">
        <w:t>, with extensive experience in developing</w:t>
      </w:r>
      <w:r w:rsidRPr="00FA328D" w:rsidR="00FA328D">
        <w:t xml:space="preserve"> study designs and </w:t>
      </w:r>
      <w:r w:rsidR="00FA328D">
        <w:t xml:space="preserve">designing </w:t>
      </w:r>
      <w:r w:rsidRPr="00FA328D" w:rsidR="00FA328D">
        <w:t>survey questionnaires</w:t>
      </w:r>
      <w:r w:rsidR="00FA328D">
        <w:t xml:space="preserve">. Dr. Beyler </w:t>
      </w:r>
      <w:r w:rsidR="000A2D7D">
        <w:t xml:space="preserve">has more than 15 years of experience in </w:t>
      </w:r>
      <w:r w:rsidRPr="00804F60" w:rsidR="000A2D7D">
        <w:rPr>
          <w:rFonts w:cs="Times New Roman"/>
          <w:szCs w:val="24"/>
        </w:rPr>
        <w:t xml:space="preserve">sample design, analysis of complex survey data, </w:t>
      </w:r>
      <w:r w:rsidR="000A2D7D">
        <w:rPr>
          <w:rFonts w:cs="Times New Roman"/>
          <w:szCs w:val="24"/>
        </w:rPr>
        <w:t>and</w:t>
      </w:r>
      <w:r w:rsidRPr="00804F60" w:rsidR="000A2D7D">
        <w:rPr>
          <w:rFonts w:cs="Times New Roman"/>
          <w:szCs w:val="24"/>
        </w:rPr>
        <w:t xml:space="preserve"> measurement error adjustments</w:t>
      </w:r>
      <w:r w:rsidR="000A2D7D">
        <w:rPr>
          <w:rFonts w:cs="Times New Roman"/>
          <w:szCs w:val="24"/>
        </w:rPr>
        <w:t xml:space="preserve">. </w:t>
      </w:r>
      <w:r w:rsidRPr="0030478C">
        <w:t>Either Dr. Beyler or Dr. Garasky has reviewed every</w:t>
      </w:r>
      <w:r w:rsidR="00124E71">
        <w:t xml:space="preserve"> 2M</w:t>
      </w:r>
      <w:r w:rsidRPr="0030478C">
        <w:t xml:space="preserve"> deliverable submitted to date. </w:t>
      </w:r>
      <w:r w:rsidR="00C4124D">
        <w:t xml:space="preserve">Joshua Townley, 2M’s IT director, also reviewed the survey and provided valuable comments. </w:t>
      </w:r>
    </w:p>
    <w:p w:rsidR="0030478C" w:rsidP="0030478C" w:rsidRDefault="0030478C" w14:paraId="3E586E98" w14:textId="77777777">
      <w:pPr>
        <w:pStyle w:val="Caption"/>
      </w:pPr>
      <w:r w:rsidRPr="0030478C">
        <w:t>Table A.2 Experts Consulted Regarding this Study</w:t>
      </w:r>
    </w:p>
    <w:tbl>
      <w:tblPr>
        <w:tblStyle w:val="TableGrid"/>
        <w:tblW w:w="5000" w:type="pct"/>
        <w:tblBorders>
          <w:top w:val="single" w:color="009CD3" w:themeColor="accent1" w:sz="4" w:space="0"/>
          <w:left w:val="none" w:color="auto" w:sz="0" w:space="0"/>
          <w:bottom w:val="single" w:color="009CD3" w:themeColor="accent1" w:sz="4" w:space="0"/>
          <w:right w:val="none" w:color="auto" w:sz="0" w:space="0"/>
          <w:insideH w:val="single" w:color="009CD3" w:themeColor="accent1" w:sz="4" w:space="0"/>
          <w:insideV w:val="none" w:color="auto" w:sz="0" w:space="0"/>
        </w:tblBorders>
        <w:tblLook w:val="04A0" w:firstRow="1" w:lastRow="0" w:firstColumn="1" w:lastColumn="0" w:noHBand="0" w:noVBand="1"/>
      </w:tblPr>
      <w:tblGrid>
        <w:gridCol w:w="4680"/>
        <w:gridCol w:w="4680"/>
      </w:tblGrid>
      <w:tr w:rsidRPr="00F57578" w:rsidR="00C76183" w:rsidTr="00833576" w14:paraId="38D175AA" w14:textId="77777777">
        <w:tc>
          <w:tcPr>
            <w:tcW w:w="2500" w:type="pct"/>
          </w:tcPr>
          <w:p w:rsidR="00C76183" w:rsidP="0030478C" w:rsidRDefault="00C76183" w14:paraId="1AAFB9AE" w14:textId="77777777">
            <w:pPr>
              <w:spacing w:line="240" w:lineRule="auto"/>
              <w:rPr>
                <w:sz w:val="20"/>
                <w:szCs w:val="18"/>
              </w:rPr>
            </w:pPr>
            <w:r>
              <w:rPr>
                <w:sz w:val="20"/>
                <w:szCs w:val="18"/>
              </w:rPr>
              <w:t>Beth Schlein</w:t>
            </w:r>
            <w:r w:rsidR="00FA25CA">
              <w:rPr>
                <w:sz w:val="20"/>
                <w:szCs w:val="18"/>
              </w:rPr>
              <w:t xml:space="preserve">, </w:t>
            </w:r>
            <w:r w:rsidR="008F3440">
              <w:rPr>
                <w:sz w:val="20"/>
                <w:szCs w:val="18"/>
              </w:rPr>
              <w:t>Mathematical Statistician</w:t>
            </w:r>
          </w:p>
          <w:p w:rsidR="008F3440" w:rsidP="0030478C" w:rsidRDefault="008F3440" w14:paraId="30B42E66" w14:textId="35D9C525">
            <w:pPr>
              <w:spacing w:line="240" w:lineRule="auto"/>
              <w:rPr>
                <w:sz w:val="20"/>
                <w:szCs w:val="18"/>
              </w:rPr>
            </w:pPr>
            <w:r>
              <w:rPr>
                <w:sz w:val="20"/>
                <w:szCs w:val="18"/>
              </w:rPr>
              <w:t>NASS</w:t>
            </w:r>
            <w:r w:rsidR="00C574DA">
              <w:rPr>
                <w:sz w:val="20"/>
                <w:szCs w:val="18"/>
              </w:rPr>
              <w:t>, USDA</w:t>
            </w:r>
          </w:p>
          <w:p w:rsidRPr="00F57578" w:rsidR="008F3440" w:rsidP="0030478C" w:rsidRDefault="00671891" w14:paraId="149A02CA" w14:textId="55C9B993">
            <w:pPr>
              <w:spacing w:line="240" w:lineRule="auto"/>
              <w:rPr>
                <w:sz w:val="20"/>
                <w:szCs w:val="18"/>
              </w:rPr>
            </w:pPr>
            <w:hyperlink w:history="1" r:id="rId13">
              <w:r w:rsidRPr="006D49BC" w:rsidR="006D49BC">
                <w:rPr>
                  <w:rStyle w:val="Hyperlink"/>
                  <w:sz w:val="20"/>
                  <w:szCs w:val="18"/>
                </w:rPr>
                <w:t>beth.schlein@nass.usda.gov</w:t>
              </w:r>
            </w:hyperlink>
          </w:p>
        </w:tc>
        <w:tc>
          <w:tcPr>
            <w:tcW w:w="2500" w:type="pct"/>
          </w:tcPr>
          <w:p w:rsidRPr="00F57578" w:rsidR="00857A0B" w:rsidP="00857A0B" w:rsidRDefault="00857A0B" w14:paraId="1D036380" w14:textId="77777777">
            <w:pPr>
              <w:spacing w:line="240" w:lineRule="auto"/>
              <w:rPr>
                <w:sz w:val="20"/>
                <w:szCs w:val="18"/>
              </w:rPr>
            </w:pPr>
            <w:bookmarkStart w:name="_Hlk525648497" w:id="8"/>
            <w:r w:rsidRPr="00F57578">
              <w:rPr>
                <w:sz w:val="20"/>
                <w:szCs w:val="18"/>
              </w:rPr>
              <w:t>Larry Goolsby, Consultant to 2M</w:t>
            </w:r>
          </w:p>
          <w:p w:rsidRPr="00F57578" w:rsidR="00857A0B" w:rsidP="00857A0B" w:rsidRDefault="00671891" w14:paraId="260CDC0D" w14:textId="77777777">
            <w:pPr>
              <w:spacing w:line="240" w:lineRule="auto"/>
              <w:rPr>
                <w:sz w:val="20"/>
                <w:szCs w:val="18"/>
              </w:rPr>
            </w:pPr>
            <w:hyperlink w:history="1" r:id="rId14">
              <w:r w:rsidRPr="00F57578" w:rsidR="00857A0B">
                <w:rPr>
                  <w:rStyle w:val="Hyperlink"/>
                  <w:sz w:val="20"/>
                  <w:szCs w:val="18"/>
                </w:rPr>
                <w:t>goolsbycl@gmail.com</w:t>
              </w:r>
            </w:hyperlink>
            <w:bookmarkEnd w:id="8"/>
          </w:p>
          <w:p w:rsidRPr="00F57578" w:rsidR="00C76183" w:rsidP="00857A0B" w:rsidRDefault="00857A0B" w14:paraId="7369B1A8" w14:textId="56629B30">
            <w:pPr>
              <w:spacing w:line="240" w:lineRule="auto"/>
              <w:rPr>
                <w:sz w:val="20"/>
                <w:szCs w:val="18"/>
              </w:rPr>
            </w:pPr>
            <w:r w:rsidRPr="00F57578">
              <w:rPr>
                <w:sz w:val="20"/>
                <w:szCs w:val="18"/>
              </w:rPr>
              <w:t>301-946-6479</w:t>
            </w:r>
          </w:p>
        </w:tc>
      </w:tr>
      <w:tr w:rsidRPr="00F57578" w:rsidR="0030478C" w:rsidTr="00833576" w14:paraId="5AD69016" w14:textId="77777777">
        <w:tc>
          <w:tcPr>
            <w:tcW w:w="2500" w:type="pct"/>
          </w:tcPr>
          <w:p w:rsidR="00857A0B" w:rsidP="00857A0B" w:rsidRDefault="00857A0B" w14:paraId="1D96595F" w14:textId="77777777">
            <w:pPr>
              <w:spacing w:line="240" w:lineRule="auto"/>
              <w:rPr>
                <w:sz w:val="20"/>
                <w:szCs w:val="18"/>
              </w:rPr>
            </w:pPr>
            <w:r>
              <w:rPr>
                <w:sz w:val="20"/>
                <w:szCs w:val="18"/>
              </w:rPr>
              <w:t>Maurice (Bill) Walker, Electronic Benefits Transfer Coordinator</w:t>
            </w:r>
          </w:p>
          <w:p w:rsidR="00857A0B" w:rsidP="00857A0B" w:rsidRDefault="00857A0B" w14:paraId="2BEF5A58" w14:textId="77777777">
            <w:pPr>
              <w:spacing w:line="240" w:lineRule="auto"/>
              <w:rPr>
                <w:sz w:val="20"/>
                <w:szCs w:val="18"/>
              </w:rPr>
            </w:pPr>
            <w:r>
              <w:rPr>
                <w:sz w:val="20"/>
                <w:szCs w:val="18"/>
              </w:rPr>
              <w:t>Oregon Department of Human Services and Oregon Health Authority</w:t>
            </w:r>
          </w:p>
          <w:p w:rsidR="00857A0B" w:rsidP="00857A0B" w:rsidRDefault="00671891" w14:paraId="1869AABA" w14:textId="6653D17A">
            <w:pPr>
              <w:spacing w:line="240" w:lineRule="auto"/>
              <w:rPr>
                <w:sz w:val="20"/>
                <w:szCs w:val="18"/>
              </w:rPr>
            </w:pPr>
            <w:hyperlink w:history="1" r:id="rId15">
              <w:r w:rsidRPr="006A32FF" w:rsidR="00857A0B">
                <w:rPr>
                  <w:rStyle w:val="Hyperlink"/>
                  <w:sz w:val="20"/>
                  <w:szCs w:val="18"/>
                </w:rPr>
                <w:t>Maurice.walker@dshoha.state.or.us</w:t>
              </w:r>
            </w:hyperlink>
          </w:p>
          <w:p w:rsidRPr="00F57578" w:rsidR="0030478C" w:rsidP="0030478C" w:rsidRDefault="00A0766B" w14:paraId="153A7169" w14:textId="6869315B">
            <w:pPr>
              <w:spacing w:line="240" w:lineRule="auto"/>
              <w:rPr>
                <w:sz w:val="20"/>
                <w:szCs w:val="18"/>
              </w:rPr>
            </w:pPr>
            <w:r>
              <w:rPr>
                <w:sz w:val="20"/>
                <w:szCs w:val="18"/>
              </w:rPr>
              <w:t>503-945-6075</w:t>
            </w:r>
          </w:p>
        </w:tc>
        <w:tc>
          <w:tcPr>
            <w:tcW w:w="2500" w:type="pct"/>
          </w:tcPr>
          <w:p w:rsidR="00A0766B" w:rsidP="00A0766B" w:rsidRDefault="00A0766B" w14:paraId="4F104CE1" w14:textId="77777777">
            <w:pPr>
              <w:spacing w:line="240" w:lineRule="auto"/>
              <w:rPr>
                <w:sz w:val="20"/>
                <w:szCs w:val="18"/>
              </w:rPr>
            </w:pPr>
            <w:r>
              <w:rPr>
                <w:sz w:val="20"/>
                <w:szCs w:val="18"/>
              </w:rPr>
              <w:t>Michael Isaac, Application Development Manager</w:t>
            </w:r>
          </w:p>
          <w:p w:rsidR="00A0766B" w:rsidP="00A0766B" w:rsidRDefault="00A0766B" w14:paraId="3F62422F" w14:textId="77777777">
            <w:pPr>
              <w:spacing w:line="240" w:lineRule="auto"/>
              <w:rPr>
                <w:sz w:val="20"/>
                <w:szCs w:val="18"/>
              </w:rPr>
            </w:pPr>
            <w:r>
              <w:rPr>
                <w:sz w:val="20"/>
                <w:szCs w:val="18"/>
              </w:rPr>
              <w:t>Oregon Department of Human Services and Oregon Health Authority</w:t>
            </w:r>
          </w:p>
          <w:p w:rsidRPr="00F57578" w:rsidR="0030478C" w:rsidP="00A0766B" w:rsidRDefault="00671891" w14:paraId="23C51580" w14:textId="1EE50AEA">
            <w:pPr>
              <w:spacing w:line="240" w:lineRule="auto"/>
              <w:rPr>
                <w:sz w:val="20"/>
                <w:szCs w:val="18"/>
              </w:rPr>
            </w:pPr>
            <w:hyperlink w:history="1" r:id="rId16">
              <w:r w:rsidRPr="006A32FF" w:rsidR="00A0766B">
                <w:rPr>
                  <w:rStyle w:val="Hyperlink"/>
                  <w:sz w:val="20"/>
                  <w:szCs w:val="18"/>
                </w:rPr>
                <w:t>Michael.r.isaac@dshoha.state.or.us</w:t>
              </w:r>
            </w:hyperlink>
          </w:p>
        </w:tc>
      </w:tr>
      <w:tr w:rsidRPr="00F57578" w:rsidR="0030478C" w:rsidTr="00833576" w14:paraId="722A7408" w14:textId="77777777">
        <w:tc>
          <w:tcPr>
            <w:tcW w:w="2500" w:type="pct"/>
          </w:tcPr>
          <w:p w:rsidR="00A0766B" w:rsidP="00A0766B" w:rsidRDefault="00A0766B" w14:paraId="5874DB46" w14:textId="77777777">
            <w:pPr>
              <w:spacing w:line="240" w:lineRule="auto"/>
              <w:rPr>
                <w:sz w:val="20"/>
                <w:szCs w:val="18"/>
              </w:rPr>
            </w:pPr>
            <w:r>
              <w:rPr>
                <w:sz w:val="20"/>
                <w:szCs w:val="18"/>
              </w:rPr>
              <w:t>Allison Davis</w:t>
            </w:r>
          </w:p>
          <w:p w:rsidR="00A0766B" w:rsidP="00A0766B" w:rsidRDefault="00A0766B" w14:paraId="160CFCE6" w14:textId="77777777">
            <w:pPr>
              <w:spacing w:line="240" w:lineRule="auto"/>
              <w:rPr>
                <w:sz w:val="20"/>
                <w:szCs w:val="18"/>
              </w:rPr>
            </w:pPr>
            <w:r>
              <w:rPr>
                <w:sz w:val="20"/>
                <w:szCs w:val="18"/>
              </w:rPr>
              <w:t>New Jersey Department of Health, CISO</w:t>
            </w:r>
          </w:p>
          <w:p w:rsidR="00A0766B" w:rsidP="00A0766B" w:rsidRDefault="00A0766B" w14:paraId="0B4ECFAF" w14:textId="77777777">
            <w:pPr>
              <w:spacing w:line="240" w:lineRule="auto"/>
              <w:rPr>
                <w:sz w:val="20"/>
                <w:szCs w:val="18"/>
              </w:rPr>
            </w:pPr>
            <w:r>
              <w:rPr>
                <w:sz w:val="20"/>
                <w:szCs w:val="18"/>
              </w:rPr>
              <w:t>(formerly NJ Department of Human Services, CISO)</w:t>
            </w:r>
          </w:p>
          <w:p w:rsidR="00A0766B" w:rsidP="00A0766B" w:rsidRDefault="00671891" w14:paraId="69823507" w14:textId="77777777">
            <w:pPr>
              <w:spacing w:line="240" w:lineRule="auto"/>
              <w:rPr>
                <w:sz w:val="20"/>
                <w:szCs w:val="18"/>
              </w:rPr>
            </w:pPr>
            <w:hyperlink w:history="1" r:id="rId17">
              <w:r w:rsidRPr="001059ED" w:rsidR="00A0766B">
                <w:rPr>
                  <w:rStyle w:val="Hyperlink"/>
                  <w:sz w:val="20"/>
                  <w:szCs w:val="18"/>
                </w:rPr>
                <w:t>allison.davis@doh.nj.gov</w:t>
              </w:r>
            </w:hyperlink>
          </w:p>
          <w:p w:rsidRPr="00F57578" w:rsidR="0030478C" w:rsidP="00A0766B" w:rsidRDefault="00A0766B" w14:paraId="1FE9EDF8" w14:textId="4339402F">
            <w:pPr>
              <w:spacing w:line="240" w:lineRule="auto"/>
              <w:rPr>
                <w:sz w:val="20"/>
                <w:szCs w:val="18"/>
              </w:rPr>
            </w:pPr>
            <w:r>
              <w:rPr>
                <w:sz w:val="20"/>
                <w:szCs w:val="18"/>
              </w:rPr>
              <w:lastRenderedPageBreak/>
              <w:t>609-292-1795</w:t>
            </w:r>
          </w:p>
        </w:tc>
        <w:tc>
          <w:tcPr>
            <w:tcW w:w="2500" w:type="pct"/>
          </w:tcPr>
          <w:p w:rsidRPr="00F57578" w:rsidR="001D35D3" w:rsidP="001D35D3" w:rsidRDefault="001D35D3" w14:paraId="1A095980" w14:textId="77777777">
            <w:pPr>
              <w:spacing w:line="240" w:lineRule="auto"/>
              <w:rPr>
                <w:sz w:val="20"/>
                <w:szCs w:val="18"/>
              </w:rPr>
            </w:pPr>
            <w:r w:rsidRPr="00F57578">
              <w:rPr>
                <w:sz w:val="20"/>
                <w:szCs w:val="18"/>
              </w:rPr>
              <w:lastRenderedPageBreak/>
              <w:t>Ann Collins, Consultant to 2M</w:t>
            </w:r>
          </w:p>
          <w:p w:rsidRPr="00F57578" w:rsidR="001D35D3" w:rsidP="001D35D3" w:rsidRDefault="00671891" w14:paraId="73BB3254" w14:textId="77777777">
            <w:pPr>
              <w:spacing w:line="240" w:lineRule="auto"/>
              <w:rPr>
                <w:sz w:val="20"/>
                <w:szCs w:val="18"/>
              </w:rPr>
            </w:pPr>
            <w:hyperlink w:history="1" r:id="rId18">
              <w:r w:rsidRPr="00F57578" w:rsidR="001D35D3">
                <w:rPr>
                  <w:rStyle w:val="Hyperlink"/>
                  <w:sz w:val="20"/>
                  <w:szCs w:val="18"/>
                </w:rPr>
                <w:t>Amcfromnyc@gmail.com</w:t>
              </w:r>
            </w:hyperlink>
          </w:p>
          <w:p w:rsidRPr="00F57578" w:rsidR="0030478C" w:rsidP="001D35D3" w:rsidRDefault="001D35D3" w14:paraId="56AE2767" w14:textId="6F86AE82">
            <w:pPr>
              <w:spacing w:line="240" w:lineRule="auto"/>
              <w:rPr>
                <w:sz w:val="20"/>
                <w:szCs w:val="18"/>
              </w:rPr>
            </w:pPr>
            <w:r w:rsidRPr="00F57578">
              <w:rPr>
                <w:sz w:val="20"/>
                <w:szCs w:val="18"/>
              </w:rPr>
              <w:t>617-455-2104</w:t>
            </w:r>
          </w:p>
        </w:tc>
      </w:tr>
      <w:tr w:rsidRPr="00F57578" w:rsidR="003C56E7" w:rsidTr="00833576" w14:paraId="545D5A8E" w14:textId="77777777">
        <w:tc>
          <w:tcPr>
            <w:tcW w:w="2500" w:type="pct"/>
          </w:tcPr>
          <w:p w:rsidRPr="00F57578" w:rsidR="001D35D3" w:rsidP="001D35D3" w:rsidRDefault="001D35D3" w14:paraId="38461B43" w14:textId="77777777">
            <w:pPr>
              <w:spacing w:line="240" w:lineRule="auto"/>
              <w:rPr>
                <w:sz w:val="20"/>
                <w:szCs w:val="18"/>
              </w:rPr>
            </w:pPr>
            <w:r w:rsidRPr="00F57578">
              <w:rPr>
                <w:sz w:val="20"/>
                <w:szCs w:val="18"/>
              </w:rPr>
              <w:t>Nicholas Beyler, PhD, Vice President for Social, Behavioral and Methodological Sciences, 2M Research</w:t>
            </w:r>
          </w:p>
          <w:p w:rsidRPr="00F57578" w:rsidR="001D35D3" w:rsidP="001D35D3" w:rsidRDefault="00671891" w14:paraId="7490BC9E" w14:textId="77777777">
            <w:pPr>
              <w:spacing w:line="240" w:lineRule="auto"/>
              <w:rPr>
                <w:sz w:val="20"/>
                <w:szCs w:val="18"/>
              </w:rPr>
            </w:pPr>
            <w:hyperlink w:history="1" r:id="rId19">
              <w:r w:rsidRPr="00F57578" w:rsidR="001D35D3">
                <w:rPr>
                  <w:rStyle w:val="Hyperlink"/>
                  <w:sz w:val="20"/>
                  <w:szCs w:val="18"/>
                </w:rPr>
                <w:t>nbeyler@2mresearch.com</w:t>
              </w:r>
            </w:hyperlink>
          </w:p>
          <w:p w:rsidRPr="00F57578" w:rsidR="00350F6A" w:rsidP="001D35D3" w:rsidRDefault="001D35D3" w14:paraId="2CFF9597" w14:textId="6FA0ED16">
            <w:pPr>
              <w:spacing w:line="240" w:lineRule="auto"/>
              <w:rPr>
                <w:sz w:val="20"/>
                <w:szCs w:val="18"/>
              </w:rPr>
            </w:pPr>
            <w:r w:rsidRPr="00F57578">
              <w:rPr>
                <w:sz w:val="20"/>
                <w:szCs w:val="18"/>
              </w:rPr>
              <w:t>703-214-0931</w:t>
            </w:r>
          </w:p>
        </w:tc>
        <w:tc>
          <w:tcPr>
            <w:tcW w:w="2500" w:type="pct"/>
          </w:tcPr>
          <w:p w:rsidRPr="00F57578" w:rsidR="001D35D3" w:rsidP="001D35D3" w:rsidRDefault="001D35D3" w14:paraId="5BF42E2C" w14:textId="77777777">
            <w:pPr>
              <w:spacing w:line="240" w:lineRule="auto"/>
              <w:rPr>
                <w:sz w:val="20"/>
                <w:szCs w:val="18"/>
              </w:rPr>
            </w:pPr>
            <w:r w:rsidRPr="00F57578">
              <w:rPr>
                <w:sz w:val="20"/>
                <w:szCs w:val="18"/>
              </w:rPr>
              <w:t>Steven Garasky, PhD</w:t>
            </w:r>
          </w:p>
          <w:p w:rsidRPr="00F57578" w:rsidR="001D35D3" w:rsidP="001D35D3" w:rsidRDefault="001D35D3" w14:paraId="419C2F8B" w14:textId="77777777">
            <w:pPr>
              <w:spacing w:line="240" w:lineRule="auto"/>
              <w:rPr>
                <w:sz w:val="20"/>
                <w:szCs w:val="18"/>
              </w:rPr>
            </w:pPr>
            <w:r w:rsidRPr="00F57578">
              <w:rPr>
                <w:sz w:val="20"/>
                <w:szCs w:val="18"/>
              </w:rPr>
              <w:t>Senior Study Director, 2M Research</w:t>
            </w:r>
          </w:p>
          <w:p w:rsidRPr="00F57578" w:rsidR="001D35D3" w:rsidP="001D35D3" w:rsidRDefault="00671891" w14:paraId="1FD8AE02" w14:textId="77777777">
            <w:pPr>
              <w:spacing w:line="240" w:lineRule="auto"/>
              <w:rPr>
                <w:sz w:val="20"/>
                <w:szCs w:val="18"/>
              </w:rPr>
            </w:pPr>
            <w:hyperlink w:history="1" r:id="rId20">
              <w:r w:rsidRPr="00F57578" w:rsidR="001D35D3">
                <w:rPr>
                  <w:rStyle w:val="Hyperlink"/>
                  <w:sz w:val="20"/>
                  <w:szCs w:val="18"/>
                </w:rPr>
                <w:t>sgarasky@2mresearch.com</w:t>
              </w:r>
            </w:hyperlink>
          </w:p>
          <w:p w:rsidRPr="00F57578" w:rsidR="00350403" w:rsidP="001D35D3" w:rsidRDefault="001D35D3" w14:paraId="63B29079" w14:textId="56983347">
            <w:pPr>
              <w:spacing w:line="240" w:lineRule="auto"/>
              <w:rPr>
                <w:sz w:val="20"/>
                <w:szCs w:val="18"/>
              </w:rPr>
            </w:pPr>
            <w:r w:rsidRPr="00F57578">
              <w:rPr>
                <w:sz w:val="20"/>
                <w:szCs w:val="18"/>
              </w:rPr>
              <w:t>817-856-0876</w:t>
            </w:r>
          </w:p>
        </w:tc>
      </w:tr>
      <w:tr w:rsidRPr="00F57578" w:rsidR="003C56E7" w:rsidTr="00833576" w14:paraId="02147CE7" w14:textId="77777777">
        <w:tc>
          <w:tcPr>
            <w:tcW w:w="2500" w:type="pct"/>
          </w:tcPr>
          <w:p w:rsidR="003C56E7" w:rsidP="0030478C" w:rsidRDefault="00E064C0" w14:paraId="1C67E94E" w14:textId="77777777">
            <w:pPr>
              <w:spacing w:line="240" w:lineRule="auto"/>
              <w:rPr>
                <w:sz w:val="20"/>
                <w:szCs w:val="18"/>
              </w:rPr>
            </w:pPr>
            <w:r>
              <w:rPr>
                <w:sz w:val="20"/>
                <w:szCs w:val="18"/>
              </w:rPr>
              <w:t>Joshua Townley</w:t>
            </w:r>
            <w:r w:rsidR="006B27B6">
              <w:rPr>
                <w:sz w:val="20"/>
                <w:szCs w:val="18"/>
              </w:rPr>
              <w:t xml:space="preserve">, </w:t>
            </w:r>
            <w:r w:rsidR="005B2826">
              <w:rPr>
                <w:sz w:val="20"/>
                <w:szCs w:val="18"/>
              </w:rPr>
              <w:t xml:space="preserve">2M Research </w:t>
            </w:r>
          </w:p>
          <w:p w:rsidR="00DB022F" w:rsidP="0030478C" w:rsidRDefault="00084087" w14:paraId="596E2881" w14:textId="77777777">
            <w:pPr>
              <w:spacing w:line="240" w:lineRule="auto"/>
              <w:rPr>
                <w:sz w:val="20"/>
                <w:szCs w:val="18"/>
              </w:rPr>
            </w:pPr>
            <w:r>
              <w:rPr>
                <w:sz w:val="20"/>
                <w:szCs w:val="18"/>
              </w:rPr>
              <w:t>Special Projects Lead/IT Director</w:t>
            </w:r>
          </w:p>
          <w:p w:rsidR="005B2826" w:rsidP="0030478C" w:rsidRDefault="00671891" w14:paraId="7214CE87" w14:textId="77777777">
            <w:pPr>
              <w:spacing w:line="240" w:lineRule="auto"/>
              <w:rPr>
                <w:sz w:val="20"/>
                <w:szCs w:val="18"/>
              </w:rPr>
            </w:pPr>
            <w:hyperlink w:history="1" r:id="rId21">
              <w:r w:rsidRPr="000F3372" w:rsidR="005B2826">
                <w:rPr>
                  <w:rStyle w:val="Hyperlink"/>
                  <w:sz w:val="20"/>
                  <w:szCs w:val="18"/>
                </w:rPr>
                <w:t>jtownley@2mresearch.com</w:t>
              </w:r>
            </w:hyperlink>
          </w:p>
          <w:p w:rsidRPr="00F57578" w:rsidR="003C56E7" w:rsidP="0030478C" w:rsidRDefault="00481212" w14:paraId="2343FFF0" w14:textId="77777777">
            <w:pPr>
              <w:spacing w:line="240" w:lineRule="auto"/>
              <w:rPr>
                <w:sz w:val="20"/>
                <w:szCs w:val="18"/>
              </w:rPr>
            </w:pPr>
            <w:r>
              <w:rPr>
                <w:sz w:val="20"/>
                <w:szCs w:val="18"/>
              </w:rPr>
              <w:t>817-</w:t>
            </w:r>
            <w:r w:rsidR="00B27D6A">
              <w:rPr>
                <w:sz w:val="20"/>
                <w:szCs w:val="18"/>
              </w:rPr>
              <w:t>856-0862</w:t>
            </w:r>
          </w:p>
        </w:tc>
        <w:tc>
          <w:tcPr>
            <w:tcW w:w="2500" w:type="pct"/>
          </w:tcPr>
          <w:p w:rsidRPr="00F57578" w:rsidR="003A4FD5" w:rsidP="0030478C" w:rsidRDefault="003A4FD5" w14:paraId="650B6AFE" w14:textId="5A502109">
            <w:pPr>
              <w:spacing w:line="240" w:lineRule="auto"/>
              <w:rPr>
                <w:sz w:val="20"/>
                <w:szCs w:val="18"/>
              </w:rPr>
            </w:pPr>
          </w:p>
        </w:tc>
      </w:tr>
    </w:tbl>
    <w:p w:rsidR="0030478C" w:rsidP="004644DD" w:rsidRDefault="0030478C" w14:paraId="6708493C" w14:textId="5187A3C2">
      <w:pPr>
        <w:pStyle w:val="NoSpacing"/>
      </w:pPr>
    </w:p>
    <w:p w:rsidR="00C1640C" w:rsidP="00377FBF" w:rsidRDefault="00C76968" w14:paraId="0861BB68" w14:textId="6E4719AC">
      <w:pPr>
        <w:pStyle w:val="NoSpacing"/>
        <w:spacing w:line="480" w:lineRule="auto"/>
      </w:pPr>
      <w:r>
        <w:t>These</w:t>
      </w:r>
      <w:r w:rsidR="00EA2E1C">
        <w:t xml:space="preserve"> expert</w:t>
      </w:r>
      <w:r>
        <w:t xml:space="preserve"> consultations provided an array of feedback </w:t>
      </w:r>
      <w:r w:rsidR="00861882">
        <w:t>related to methodology</w:t>
      </w:r>
      <w:r w:rsidR="00AA08DA">
        <w:t xml:space="preserve">, </w:t>
      </w:r>
      <w:r w:rsidR="00DD7FE1">
        <w:t xml:space="preserve">confidentiality, </w:t>
      </w:r>
      <w:r w:rsidR="00AA08DA">
        <w:t xml:space="preserve">respondent types, </w:t>
      </w:r>
      <w:r w:rsidR="008116DB">
        <w:t>and</w:t>
      </w:r>
      <w:r w:rsidR="00C72393">
        <w:t xml:space="preserve"> definitions and concepts included in the survey instrument and interview protocols. </w:t>
      </w:r>
      <w:r w:rsidR="00095739">
        <w:t>M</w:t>
      </w:r>
      <w:r w:rsidR="00C72393">
        <w:t>ethodological comments f</w:t>
      </w:r>
      <w:r w:rsidR="000B27E7">
        <w:t>ocused on</w:t>
      </w:r>
      <w:r w:rsidR="00823981">
        <w:t xml:space="preserve"> providing a detailed plan for </w:t>
      </w:r>
      <w:r w:rsidR="0066284F">
        <w:t>identifying a sample of in</w:t>
      </w:r>
      <w:r w:rsidR="00334F38">
        <w:t xml:space="preserve">terviewees via a purposive non-probability sample and providing additional details on the </w:t>
      </w:r>
      <w:r w:rsidR="00D80939">
        <w:t xml:space="preserve">study’s </w:t>
      </w:r>
      <w:r w:rsidR="00334F38">
        <w:t xml:space="preserve">use of </w:t>
      </w:r>
      <w:r w:rsidR="00EE1961">
        <w:t>snowball sampling methods.</w:t>
      </w:r>
      <w:r w:rsidR="00D80939">
        <w:t xml:space="preserve"> </w:t>
      </w:r>
      <w:r w:rsidR="00881218">
        <w:t>Other</w:t>
      </w:r>
      <w:r w:rsidR="00D80939">
        <w:t xml:space="preserve"> </w:t>
      </w:r>
      <w:r w:rsidR="00CA6CD6">
        <w:t xml:space="preserve">comments </w:t>
      </w:r>
      <w:r w:rsidR="00881218">
        <w:t>pertained to</w:t>
      </w:r>
      <w:r w:rsidR="00340622">
        <w:t xml:space="preserve"> provid</w:t>
      </w:r>
      <w:r w:rsidR="00881218">
        <w:t>ing</w:t>
      </w:r>
      <w:r w:rsidR="00340622">
        <w:t xml:space="preserve"> additional information </w:t>
      </w:r>
      <w:r w:rsidR="00D80939">
        <w:t>on the approach for conducting a nonresponse analysis to determine nonresponse bias</w:t>
      </w:r>
      <w:r w:rsidR="003221F7">
        <w:t xml:space="preserve"> if the survey response rate falls below 80 percent</w:t>
      </w:r>
      <w:r w:rsidR="00D80939">
        <w:t>.</w:t>
      </w:r>
      <w:r w:rsidR="00AA45A8">
        <w:t xml:space="preserve"> The methodological </w:t>
      </w:r>
      <w:r w:rsidR="008C0C27">
        <w:t>comments were incorporated within</w:t>
      </w:r>
      <w:r w:rsidR="00AA45A8">
        <w:t xml:space="preserve"> Supporting Statement Part B. </w:t>
      </w:r>
      <w:r w:rsidR="00D80939">
        <w:t xml:space="preserve"> </w:t>
      </w:r>
      <w:r w:rsidR="00EE1961">
        <w:t xml:space="preserve"> </w:t>
      </w:r>
      <w:r w:rsidR="00C72393">
        <w:t xml:space="preserve"> </w:t>
      </w:r>
    </w:p>
    <w:p w:rsidR="008C0C27" w:rsidP="00377FBF" w:rsidRDefault="00630464" w14:paraId="0D184624" w14:textId="1D35B43D">
      <w:pPr>
        <w:pStyle w:val="NoSpacing"/>
        <w:spacing w:line="480" w:lineRule="auto"/>
      </w:pPr>
      <w:r>
        <w:t xml:space="preserve">Comments </w:t>
      </w:r>
      <w:r w:rsidR="000658E3">
        <w:t xml:space="preserve">provided by the experts </w:t>
      </w:r>
      <w:r w:rsidR="00BF61D4">
        <w:t xml:space="preserve">also focused on the </w:t>
      </w:r>
      <w:r w:rsidR="00577093">
        <w:t>need to ensure confidentiality</w:t>
      </w:r>
      <w:r w:rsidR="00BF61D4">
        <w:t xml:space="preserve"> </w:t>
      </w:r>
      <w:r w:rsidR="00577093">
        <w:t xml:space="preserve">in the final report and the associated public-use data files. </w:t>
      </w:r>
      <w:r w:rsidR="00C6079D">
        <w:t xml:space="preserve">These comments were addressed within </w:t>
      </w:r>
      <w:r w:rsidR="00A239AD">
        <w:t>Section A-10</w:t>
      </w:r>
      <w:r w:rsidR="00C6079D">
        <w:t>, which</w:t>
      </w:r>
      <w:r w:rsidR="00A239AD">
        <w:t xml:space="preserve"> details the associated steps that the study</w:t>
      </w:r>
      <w:r w:rsidR="008D0F26">
        <w:t xml:space="preserve"> team will take to ensure that confidentiality is maintained</w:t>
      </w:r>
      <w:r w:rsidR="0094400E">
        <w:t xml:space="preserve"> throughout all phase</w:t>
      </w:r>
      <w:r w:rsidR="006E01D3">
        <w:t>s</w:t>
      </w:r>
      <w:r w:rsidR="0094400E">
        <w:t xml:space="preserve"> of the study. </w:t>
      </w:r>
      <w:r w:rsidR="008D0F26">
        <w:t xml:space="preserve"> </w:t>
      </w:r>
    </w:p>
    <w:p w:rsidR="00FA6CA4" w:rsidP="00840E13" w:rsidRDefault="00C20D9F" w14:paraId="328BA7D8" w14:textId="348CEFA8">
      <w:pPr>
        <w:pStyle w:val="NoSpacing"/>
        <w:spacing w:line="480" w:lineRule="auto"/>
      </w:pPr>
      <w:r>
        <w:t xml:space="preserve">Experts also provided comments and guidance on the selection of respondent types for the </w:t>
      </w:r>
      <w:r w:rsidR="00B83750">
        <w:t>survey instrument and interview protocols</w:t>
      </w:r>
      <w:r w:rsidR="002E7F7C">
        <w:t>.</w:t>
      </w:r>
      <w:r w:rsidR="00C346C3">
        <w:t xml:space="preserve"> </w:t>
      </w:r>
      <w:r w:rsidR="00B6212A">
        <w:t xml:space="preserve">The survey instrument was </w:t>
      </w:r>
      <w:r w:rsidR="00B63DF1">
        <w:t xml:space="preserve">subsequently revised to include additional language on the suggested respondents for each section, such as </w:t>
      </w:r>
      <w:r w:rsidR="00D016BF">
        <w:t xml:space="preserve">SA Directors, Chief Information Security Officers, </w:t>
      </w:r>
      <w:r w:rsidR="00F813BF">
        <w:t xml:space="preserve">and </w:t>
      </w:r>
      <w:r w:rsidR="00D5140C">
        <w:t>data analysts</w:t>
      </w:r>
      <w:r w:rsidR="00F813BF">
        <w:t xml:space="preserve">. </w:t>
      </w:r>
      <w:r w:rsidR="00755547">
        <w:t xml:space="preserve">The interview protocols were subsequently revised to </w:t>
      </w:r>
      <w:r w:rsidR="002F4038">
        <w:t>include additional information on the respondent types within SAs for the ‘S</w:t>
      </w:r>
      <w:r w:rsidR="003520F4">
        <w:t xml:space="preserve">NAP State Agency </w:t>
      </w:r>
      <w:r w:rsidR="002F4038">
        <w:t>Leaders</w:t>
      </w:r>
      <w:r w:rsidR="003520F4">
        <w:t xml:space="preserve"> in Safeguarding PII</w:t>
      </w:r>
      <w:r w:rsidR="00E54F86">
        <w:t>’</w:t>
      </w:r>
      <w:r w:rsidR="002F4038">
        <w:t xml:space="preserve"> </w:t>
      </w:r>
      <w:r w:rsidR="003520F4">
        <w:t>i</w:t>
      </w:r>
      <w:r w:rsidR="002F4038">
        <w:t xml:space="preserve">nterview </w:t>
      </w:r>
      <w:r w:rsidR="003520F4">
        <w:t>p</w:t>
      </w:r>
      <w:r w:rsidR="002F4038">
        <w:t>rotocol</w:t>
      </w:r>
      <w:r w:rsidR="00F13529">
        <w:t xml:space="preserve"> and </w:t>
      </w:r>
      <w:r w:rsidR="001116E1">
        <w:t>the types of industry</w:t>
      </w:r>
      <w:r w:rsidRPr="001116E1" w:rsidR="001116E1">
        <w:t xml:space="preserve"> experts who work closely with SNAP State Agencies regarding the protection of PI</w:t>
      </w:r>
      <w:r w:rsidR="001116E1">
        <w:t xml:space="preserve">I for </w:t>
      </w:r>
      <w:r w:rsidR="001116E1">
        <w:lastRenderedPageBreak/>
        <w:t xml:space="preserve">the ‘Industry Expert’ interview protocol. </w:t>
      </w:r>
      <w:r w:rsidR="00507C40">
        <w:t>A final set of expert comments pertained to t</w:t>
      </w:r>
      <w:r w:rsidR="00BE7E93">
        <w:t xml:space="preserve">he definitions and concepts included in the survey instrument and interview protocols. These comments suggested revising language within the instruments and protocols to </w:t>
      </w:r>
      <w:r w:rsidR="00EE274F">
        <w:t xml:space="preserve">more closely </w:t>
      </w:r>
      <w:r w:rsidR="00BE7E93">
        <w:t xml:space="preserve">reflect the language </w:t>
      </w:r>
      <w:r w:rsidR="00840E13">
        <w:t xml:space="preserve">used by </w:t>
      </w:r>
      <w:r w:rsidR="005D35BD">
        <w:t>SAs and industry leaders</w:t>
      </w:r>
      <w:r w:rsidR="00A66D84">
        <w:t xml:space="preserve"> in their efforts to safeguard PII</w:t>
      </w:r>
      <w:r w:rsidR="005D35BD">
        <w:t>, such as revising “breach” to “security incident” or “incident response.”</w:t>
      </w:r>
      <w:r w:rsidR="00A66D84">
        <w:t xml:space="preserve"> </w:t>
      </w:r>
      <w:r w:rsidR="00794646">
        <w:t xml:space="preserve">The survey instrument and interview protocols were subsequently revised to address these comments. </w:t>
      </w:r>
    </w:p>
    <w:p w:rsidRPr="005C6108" w:rsidR="004644DD" w:rsidP="005C6108" w:rsidRDefault="004644DD" w14:paraId="2FB74497" w14:textId="77777777">
      <w:pPr>
        <w:pStyle w:val="NoSpacing"/>
        <w:rPr>
          <w:b/>
          <w:bCs/>
          <w:color w:val="009CD3" w:themeColor="accent1"/>
        </w:rPr>
      </w:pPr>
      <w:bookmarkStart w:name="_Toc282506031" w:id="9"/>
      <w:bookmarkStart w:name="_Toc339621289" w:id="10"/>
      <w:r w:rsidRPr="005C6108">
        <w:rPr>
          <w:b/>
          <w:bCs/>
          <w:color w:val="009CD3" w:themeColor="accent1"/>
        </w:rPr>
        <w:t>A.9</w:t>
      </w:r>
      <w:r w:rsidRPr="005C6108">
        <w:rPr>
          <w:b/>
          <w:bCs/>
          <w:color w:val="009CD3" w:themeColor="accent1"/>
        </w:rPr>
        <w:tab/>
      </w:r>
      <w:bookmarkEnd w:id="9"/>
      <w:r w:rsidRPr="005C6108">
        <w:rPr>
          <w:b/>
          <w:bCs/>
          <w:color w:val="009CD3" w:themeColor="accent1"/>
        </w:rPr>
        <w:t>Explain any decision to provide any payment or gift to respondents, other than remuneration of contractors or grantees.</w:t>
      </w:r>
      <w:bookmarkEnd w:id="10"/>
    </w:p>
    <w:p w:rsidR="005C6108" w:rsidP="005C6108" w:rsidRDefault="005C6108" w14:paraId="24CF2854" w14:textId="77777777">
      <w:pPr>
        <w:pStyle w:val="NoSpacing"/>
      </w:pPr>
    </w:p>
    <w:p w:rsidRPr="004644DD" w:rsidR="004644DD" w:rsidP="004644DD" w:rsidRDefault="004644DD" w14:paraId="3A4ADF54" w14:textId="77777777">
      <w:r w:rsidRPr="004644DD">
        <w:t>No payment or gift will be provided to respondents.</w:t>
      </w:r>
    </w:p>
    <w:p w:rsidRPr="005C6108" w:rsidR="004644DD" w:rsidP="005C6108" w:rsidRDefault="004644DD" w14:paraId="656677EC" w14:textId="77777777">
      <w:pPr>
        <w:pStyle w:val="NoSpacing"/>
        <w:rPr>
          <w:b/>
          <w:bCs/>
          <w:color w:val="009CD3" w:themeColor="accent1"/>
        </w:rPr>
      </w:pPr>
      <w:bookmarkStart w:name="_Toc282506032" w:id="11"/>
      <w:bookmarkStart w:name="_Toc339621290" w:id="12"/>
      <w:r w:rsidRPr="005C6108">
        <w:rPr>
          <w:b/>
          <w:bCs/>
          <w:color w:val="009CD3" w:themeColor="accent1"/>
        </w:rPr>
        <w:t>A.10</w:t>
      </w:r>
      <w:r w:rsidRPr="005C6108">
        <w:rPr>
          <w:b/>
          <w:bCs/>
          <w:color w:val="009CD3" w:themeColor="accent1"/>
        </w:rPr>
        <w:tab/>
      </w:r>
      <w:bookmarkEnd w:id="11"/>
      <w:r w:rsidRPr="005C6108">
        <w:rPr>
          <w:b/>
          <w:bCs/>
          <w:color w:val="009CD3" w:themeColor="accent1"/>
        </w:rPr>
        <w:t>Describe any assurance of confidentiality provided to respondents and the basis for the assurance in statute, regulation, or agency policy.</w:t>
      </w:r>
      <w:bookmarkEnd w:id="12"/>
    </w:p>
    <w:p w:rsidR="005C6108" w:rsidP="005C6108" w:rsidRDefault="005C6108" w14:paraId="271393D8" w14:textId="77777777">
      <w:pPr>
        <w:pStyle w:val="NoSpacing"/>
      </w:pPr>
    </w:p>
    <w:p w:rsidR="004644DD" w:rsidP="004644DD" w:rsidRDefault="004644DD" w14:paraId="351B89A8" w14:textId="3C576F6E">
      <w:r w:rsidRPr="004644DD">
        <w:t>Participants will be subject to assurances as provided by the Privacy Act of 1974 (5 USC §552a), which requires the safeguarding of individuals against invasion of privacy. FNS (and its contractor, 2M) will ensure the privacy and security of electronic data during the data collection and processing period following the system of record notice (SORN) titled FNS-8 USDA/FNS Studies and Reports. No confidential information will be requested, reported, or maintained as a result of the data collection activities. The State</w:t>
      </w:r>
      <w:r w:rsidRPr="004644DD" w:rsidDel="00FD2FD3">
        <w:t xml:space="preserve"> </w:t>
      </w:r>
      <w:r w:rsidRPr="004644DD">
        <w:t xml:space="preserve">SNAP Directors and other SA staff participating in the web survey will be informed that their personal information (name, telephone number, and so forth) will be kept private but that their responses about SA operations may in rare cases allow for readers to deduce the State </w:t>
      </w:r>
      <w:r w:rsidRPr="00BF2731">
        <w:t>being discussed (</w:t>
      </w:r>
      <w:r w:rsidRPr="00BF2731" w:rsidR="00DF1BAE">
        <w:t>s</w:t>
      </w:r>
      <w:r w:rsidRPr="00BF2731">
        <w:t xml:space="preserve">ee Appendix </w:t>
      </w:r>
      <w:r w:rsidRPr="00BF2731" w:rsidR="00A34198">
        <w:t>B.</w:t>
      </w:r>
      <w:r w:rsidR="00285855">
        <w:t>4</w:t>
      </w:r>
      <w:r w:rsidRPr="00BF2731">
        <w:t>).</w:t>
      </w:r>
      <w:r w:rsidRPr="004644DD">
        <w:t xml:space="preserve"> The SNAP State Directors, other SA staff, and industry experts participating in the semi-structured interviews will be informed that their personal information will be kept private and that their answers will only be reported in aggregated form or via anonymous quotations (Appendix C.</w:t>
      </w:r>
      <w:r w:rsidR="007E47B0">
        <w:t>2</w:t>
      </w:r>
      <w:r w:rsidRPr="004644DD" w:rsidR="007E47B0">
        <w:t xml:space="preserve"> </w:t>
      </w:r>
      <w:r w:rsidRPr="004644DD">
        <w:t>and D.</w:t>
      </w:r>
      <w:r w:rsidR="007E47B0">
        <w:t>2</w:t>
      </w:r>
      <w:r w:rsidRPr="004644DD">
        <w:t xml:space="preserve">). </w:t>
      </w:r>
    </w:p>
    <w:p w:rsidR="00B07022" w:rsidP="00B07022" w:rsidRDefault="00B07022" w14:paraId="747C4EEC" w14:textId="7B9C4DDB">
      <w:r>
        <w:lastRenderedPageBreak/>
        <w:t>A collection of steps will be taken to ensure confidentiality is maintained in the final report and the associated public-use data files. To the extent feasible, any data that could be identified inferentially will be masked, and the study team will combine categories if there are fewer than five responses. For numeric responses, outliers may be top- or bottom-coded to prevent identification of the respondent. For interview data, quotations will be used in the report only with permission of the respondent and/or the State Director. As noted above, the data will be available to researchers only as restricted-use files, for which users are required to sign an agreement to protect PII.</w:t>
      </w:r>
    </w:p>
    <w:p w:rsidRPr="004644DD" w:rsidR="004644DD" w:rsidP="004644DD" w:rsidRDefault="004644DD" w14:paraId="7C7CB0BE" w14:textId="77777777">
      <w:r w:rsidRPr="004644DD">
        <w:t xml:space="preserve">To ensure that personal information remains private, the study team is required to create and keep data on secure networks and to use data collectors who sign confidentiality agreements that bind the collectors to protect private information (Appendix </w:t>
      </w:r>
      <w:r w:rsidRPr="0086783F" w:rsidR="00BE50BE">
        <w:t>F</w:t>
      </w:r>
      <w:r w:rsidRPr="004644DD">
        <w:t xml:space="preserve">). </w:t>
      </w:r>
      <w:r w:rsidR="007A3C30">
        <w:t>S</w:t>
      </w:r>
      <w:r w:rsidRPr="004644DD">
        <w:t>urvey and interview respondents will be assigned a unique ID number, and analyses will be conducted on datasets that include only respondent ID numbers. While FNS will maintain a separate file that links the unique ID numbers with respondent contact information, that file will be kept private and will not be made available for public use. All restricted-use data will be deidentified or masked, as needed, to protect respondent privacy. All data will be</w:t>
      </w:r>
      <w:r w:rsidRPr="004644DD" w:rsidDel="00E3695F">
        <w:t xml:space="preserve"> </w:t>
      </w:r>
      <w:r w:rsidRPr="004644DD">
        <w:t xml:space="preserve">transmitted to the study team via secure networks, mail, or telephone and will be stored in locked file cabinets, or on password-protected computers, only accessible to study team staff. Once the contract has ended, members of the study team will destroy all files containing private information. </w:t>
      </w:r>
    </w:p>
    <w:p w:rsidRPr="004644DD" w:rsidR="004644DD" w:rsidP="004644DD" w:rsidRDefault="004644DD" w14:paraId="56956A80" w14:textId="77777777">
      <w:r w:rsidRPr="004644DD">
        <w:t xml:space="preserve">FNS published a system of record notice titled FNS-8 USDA/FNS Studies and Reports in the </w:t>
      </w:r>
      <w:r w:rsidRPr="004644DD">
        <w:rPr>
          <w:i/>
        </w:rPr>
        <w:t>Federal Register</w:t>
      </w:r>
      <w:r w:rsidRPr="004644DD">
        <w:t xml:space="preserve"> on April 25, 1991, volume 56, pages 19,078–19,080, that discusses the terms of protections that will be provided to respondents.</w:t>
      </w:r>
    </w:p>
    <w:p w:rsidR="004644DD" w:rsidP="005C6108" w:rsidRDefault="004644DD" w14:paraId="3D23858B" w14:textId="77777777">
      <w:pPr>
        <w:pStyle w:val="NoSpacing"/>
        <w:rPr>
          <w:b/>
          <w:bCs/>
          <w:color w:val="009CD3" w:themeColor="accent1"/>
        </w:rPr>
      </w:pPr>
      <w:bookmarkStart w:name="_Toc282506033" w:id="13"/>
      <w:bookmarkStart w:name="_Toc339621291" w:id="14"/>
      <w:r w:rsidRPr="005C6108">
        <w:rPr>
          <w:b/>
          <w:bCs/>
          <w:color w:val="009CD3" w:themeColor="accent1"/>
        </w:rPr>
        <w:t>A.11</w:t>
      </w:r>
      <w:r w:rsidRPr="005C6108">
        <w:rPr>
          <w:b/>
          <w:bCs/>
          <w:color w:val="009CD3" w:themeColor="accent1"/>
        </w:rPr>
        <w:tab/>
      </w:r>
      <w:bookmarkEnd w:id="13"/>
      <w:r w:rsidRPr="005C6108">
        <w:rPr>
          <w:b/>
          <w:bCs/>
          <w:color w:val="009CD3" w:themeColor="accent1"/>
        </w:rPr>
        <w:t xml:space="preserve">Provide additional justification for any questions of a sensitive nature, such as sexual behavior or attitudes, religious beliefs, and other matters that are commonly </w:t>
      </w:r>
      <w:r w:rsidRPr="005C6108">
        <w:rPr>
          <w:b/>
          <w:bCs/>
          <w:color w:val="009CD3" w:themeColor="accent1"/>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4"/>
    </w:p>
    <w:p w:rsidRPr="005C6108" w:rsidR="005C6108" w:rsidP="005C6108" w:rsidRDefault="005C6108" w14:paraId="16C7058F" w14:textId="77777777">
      <w:pPr>
        <w:pStyle w:val="NoSpacing"/>
      </w:pPr>
    </w:p>
    <w:p w:rsidRPr="004644DD" w:rsidR="004644DD" w:rsidP="004644DD" w:rsidRDefault="004644DD" w14:paraId="6C2CED2D" w14:textId="77777777">
      <w:r w:rsidRPr="004644DD">
        <w:t xml:space="preserve">There are no questions of a sensitive nature included in this information collection. </w:t>
      </w:r>
    </w:p>
    <w:p w:rsidRPr="00FB0ECE" w:rsidR="004644DD" w:rsidP="00FB0ECE" w:rsidRDefault="004644DD" w14:paraId="1293DA53" w14:textId="77777777">
      <w:pPr>
        <w:pStyle w:val="NoSpacing"/>
        <w:rPr>
          <w:b/>
          <w:bCs/>
          <w:color w:val="009CD3" w:themeColor="accent1"/>
        </w:rPr>
      </w:pPr>
      <w:bookmarkStart w:name="_Toc282506034" w:id="15"/>
      <w:bookmarkStart w:name="_Toc339621292" w:id="16"/>
      <w:r w:rsidRPr="00FB0ECE">
        <w:rPr>
          <w:b/>
          <w:bCs/>
          <w:color w:val="009CD3" w:themeColor="accent1"/>
        </w:rPr>
        <w:t>A.12</w:t>
      </w:r>
      <w:r w:rsidRPr="00FB0ECE">
        <w:rPr>
          <w:b/>
          <w:bCs/>
          <w:color w:val="009CD3" w:themeColor="accent1"/>
        </w:rPr>
        <w:tab/>
      </w:r>
      <w:bookmarkEnd w:id="15"/>
      <w:r w:rsidRPr="00FB0ECE">
        <w:rPr>
          <w:b/>
          <w:bCs/>
          <w:color w:val="009CD3" w:themeColor="accent1"/>
        </w:rPr>
        <w:t>Provide estimates of the hour burden of the collection of information. The statement should:</w:t>
      </w:r>
      <w:bookmarkEnd w:id="16"/>
    </w:p>
    <w:p w:rsidRPr="00FB0ECE" w:rsidR="00FB0ECE" w:rsidP="00FB0ECE" w:rsidRDefault="00FB0ECE" w14:paraId="4D2B691C" w14:textId="77777777">
      <w:pPr>
        <w:pStyle w:val="ListParagraph"/>
        <w:spacing w:after="120" w:line="240" w:lineRule="auto"/>
        <w:rPr>
          <w:b/>
          <w:color w:val="009CD3" w:themeColor="accent1"/>
        </w:rPr>
      </w:pPr>
      <w:r w:rsidRPr="00FB0ECE">
        <w:rPr>
          <w:b/>
          <w:color w:val="009CD3" w:themeColor="accent1"/>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8121D" w:rsidP="00D540AE" w:rsidRDefault="00D540AE" w14:paraId="668A5253" w14:textId="77777777">
      <w:r w:rsidRPr="00D540AE">
        <w:t>Table A.3 show</w:t>
      </w:r>
      <w:r w:rsidR="00BE50BE">
        <w:t>s</w:t>
      </w:r>
      <w:r w:rsidRPr="00D540AE">
        <w:t xml:space="preserve"> the estimates of the respondent burden for the proposed data collection, including the number of respondents, frequency of response, average time to respond, and annual hour burden. These estimates reflect consultations with program officials, affected stakeholders, and prior experience in collecting similar data</w:t>
      </w:r>
      <w:r w:rsidR="0018219F">
        <w:t>, as well as findings from a pretest of all instruments</w:t>
      </w:r>
      <w:r w:rsidR="000233D2">
        <w:t>, discussed in Part B</w:t>
      </w:r>
      <w:r w:rsidRPr="00D540AE">
        <w:t xml:space="preserve">. </w:t>
      </w:r>
    </w:p>
    <w:p w:rsidR="00D8121D" w:rsidP="00D8121D" w:rsidRDefault="00D8121D" w14:paraId="0120C0CA" w14:textId="77777777">
      <w:r>
        <w:t xml:space="preserve">Different response rates are anticipated for the respondents participating in the study’s three modes of data collection. The SA Survey is a census of all SNAP SAs, and a 100 percent response rate is anticipated on the basis of FNS’s prior experience with conducting SA surveys for other studies, as well as the study’s strategy for recruitment and survey completion (as detailed primarily in Section B.3 in addition to Sections A.11, A.12, B.1, and Appendix B). In contrast, it is anticipated that SAs may be less inclined to participate in the subsequent State Agency Leaders Interviews due to the additional time requirements while industry experts are anticipated to have less of an incentive to participate in the Industry Expert Interviews. Accordingly, 10 industry experts and 7 SAs will be recruited to participate in the respective interviews to ensure that a minimum of 5 industry experts and SAs participate.  </w:t>
      </w:r>
    </w:p>
    <w:p w:rsidR="00D8121D" w:rsidP="00D8121D" w:rsidRDefault="00D8121D" w14:paraId="6090BFE6" w14:textId="77777777">
      <w:r>
        <w:t xml:space="preserve">Under the procedures discussed in this submission, there are a total of 186 respondents with whom contact will be attempted (179 respondents and 7 non-respondents), 776 responses, and </w:t>
      </w:r>
      <w:r>
        <w:lastRenderedPageBreak/>
        <w:t>132 burden hours (120 for respondents and 12 for non-respondents). The average number of responses per respondent is 433/179 = 2.42, and the average number of responses per non-respondent is 343/7 = 49.0.</w:t>
      </w:r>
    </w:p>
    <w:p w:rsidR="00D540AE" w:rsidP="00D540AE" w:rsidRDefault="00D540AE" w14:paraId="156C318A" w14:textId="67AB859F">
      <w:pPr>
        <w:sectPr w:rsidR="00D540AE" w:rsidSect="00B4291E">
          <w:footerReference w:type="default" r:id="rId22"/>
          <w:pgSz w:w="12240" w:h="15840"/>
          <w:pgMar w:top="1440" w:right="1440" w:bottom="1440" w:left="1440" w:header="720" w:footer="720" w:gutter="0"/>
          <w:pgNumType w:start="0"/>
          <w:cols w:space="720"/>
          <w:titlePg/>
          <w:docGrid w:linePitch="360"/>
        </w:sectPr>
      </w:pPr>
    </w:p>
    <w:p w:rsidR="00D540AE" w:rsidP="00F75370" w:rsidRDefault="00F75370" w14:paraId="72B530DB" w14:textId="77777777">
      <w:pPr>
        <w:pStyle w:val="Caption"/>
      </w:pPr>
      <w:r>
        <w:lastRenderedPageBreak/>
        <w:t xml:space="preserve">Table A.3 Estimated Annual Burden and Cost </w:t>
      </w:r>
      <w:r w:rsidR="00211DEA">
        <w:t>f</w:t>
      </w:r>
      <w:r>
        <w:t>or Respondents</w:t>
      </w:r>
    </w:p>
    <w:p w:rsidR="00E7585E" w:rsidP="00D056E1" w:rsidRDefault="00E7585E" w14:paraId="2C202477" w14:textId="77777777">
      <w:pPr>
        <w:pStyle w:val="NoSpacing"/>
        <w:sectPr w:rsidR="00E7585E" w:rsidSect="00CE36D0">
          <w:headerReference w:type="default" r:id="rId23"/>
          <w:footerReference w:type="default" r:id="rId24"/>
          <w:pgSz w:w="15840" w:h="12240" w:orient="landscape"/>
          <w:pgMar w:top="432" w:right="432" w:bottom="432" w:left="432" w:header="720" w:footer="720" w:gutter="0"/>
          <w:cols w:space="720"/>
          <w:docGrid w:linePitch="360"/>
        </w:sectPr>
      </w:pPr>
    </w:p>
    <w:p w:rsidRPr="00D65B29" w:rsidR="00D056E1" w:rsidP="00D056E1" w:rsidRDefault="00CD0A20" w14:paraId="6823BA13" w14:textId="77777777">
      <w:pPr>
        <w:pStyle w:val="NoSpacing"/>
        <w:rPr>
          <w:b/>
          <w:bCs/>
          <w:color w:val="009CD3" w:themeColor="accent1"/>
        </w:rPr>
      </w:pPr>
      <w:r w:rsidRPr="00D65B29">
        <w:rPr>
          <w:b/>
          <w:bCs/>
          <w:color w:val="009CD3" w:themeColor="accent1"/>
        </w:rPr>
        <w:t xml:space="preserve">Column </w:t>
      </w:r>
      <w:r w:rsidRPr="00D65B29" w:rsidR="00D056E1">
        <w:rPr>
          <w:b/>
          <w:bCs/>
          <w:color w:val="009CD3" w:themeColor="accent1"/>
        </w:rPr>
        <w:t>Key:</w:t>
      </w:r>
    </w:p>
    <w:p w:rsidR="00D056E1" w:rsidP="00D056E1" w:rsidRDefault="00D056E1" w14:paraId="3DA66ABB" w14:textId="77777777">
      <w:pPr>
        <w:pStyle w:val="NoSpacing"/>
      </w:pPr>
      <w:r>
        <w:t>(1) Estimated Number of Respondents</w:t>
      </w:r>
    </w:p>
    <w:p w:rsidR="00D056E1" w:rsidP="00D056E1" w:rsidRDefault="00D056E1" w14:paraId="34595D21" w14:textId="77777777">
      <w:pPr>
        <w:pStyle w:val="NoSpacing"/>
      </w:pPr>
      <w:r>
        <w:t>(2) Frequency of Response</w:t>
      </w:r>
    </w:p>
    <w:p w:rsidR="00D056E1" w:rsidP="00D056E1" w:rsidRDefault="00D056E1" w14:paraId="6356829E" w14:textId="77777777">
      <w:pPr>
        <w:pStyle w:val="NoSpacing"/>
      </w:pPr>
      <w:r>
        <w:t>(3) Estimated Total Annual Responses</w:t>
      </w:r>
    </w:p>
    <w:p w:rsidR="00D056E1" w:rsidP="00D056E1" w:rsidRDefault="00D056E1" w14:paraId="08DDDA1E" w14:textId="77777777">
      <w:pPr>
        <w:pStyle w:val="NoSpacing"/>
      </w:pPr>
      <w:r>
        <w:t xml:space="preserve">(4) </w:t>
      </w:r>
      <w:r w:rsidR="00145117">
        <w:t xml:space="preserve">Average </w:t>
      </w:r>
      <w:r>
        <w:t>Hours Per Response</w:t>
      </w:r>
    </w:p>
    <w:p w:rsidR="00D056E1" w:rsidP="00D056E1" w:rsidRDefault="00D056E1" w14:paraId="420567E5" w14:textId="77777777">
      <w:pPr>
        <w:pStyle w:val="NoSpacing"/>
      </w:pPr>
      <w:r>
        <w:t>(5) Estimated Annual Burden (Hours)</w:t>
      </w:r>
    </w:p>
    <w:p w:rsidR="001D34EE" w:rsidP="001D34EE" w:rsidRDefault="001D34EE" w14:paraId="646FA277" w14:textId="77777777">
      <w:pPr>
        <w:pStyle w:val="NoSpacing"/>
      </w:pPr>
      <w:r>
        <w:t xml:space="preserve">(6) Estimated Number of </w:t>
      </w:r>
      <w:r w:rsidR="00F241BC">
        <w:t>Non-</w:t>
      </w:r>
      <w:r>
        <w:t>Respondents</w:t>
      </w:r>
    </w:p>
    <w:p w:rsidR="001D34EE" w:rsidP="001D34EE" w:rsidRDefault="001D34EE" w14:paraId="29B8AD1D" w14:textId="77777777">
      <w:pPr>
        <w:pStyle w:val="NoSpacing"/>
      </w:pPr>
      <w:r>
        <w:t>(</w:t>
      </w:r>
      <w:r w:rsidR="00546F6F">
        <w:t>7</w:t>
      </w:r>
      <w:r>
        <w:t xml:space="preserve">) Frequency of </w:t>
      </w:r>
      <w:r w:rsidR="00F241BC">
        <w:t>Non-</w:t>
      </w:r>
      <w:r>
        <w:t>Response</w:t>
      </w:r>
    </w:p>
    <w:p w:rsidR="001D34EE" w:rsidP="001D34EE" w:rsidRDefault="001D34EE" w14:paraId="2CD5EB02" w14:textId="77777777">
      <w:pPr>
        <w:pStyle w:val="NoSpacing"/>
      </w:pPr>
      <w:r>
        <w:t>(</w:t>
      </w:r>
      <w:r w:rsidR="00546F6F">
        <w:t>8</w:t>
      </w:r>
      <w:r>
        <w:t xml:space="preserve">) Estimated Total Annual </w:t>
      </w:r>
      <w:r w:rsidR="00F241BC">
        <w:t>Non-</w:t>
      </w:r>
      <w:r>
        <w:t>Responses</w:t>
      </w:r>
    </w:p>
    <w:p w:rsidR="001D34EE" w:rsidP="001D34EE" w:rsidRDefault="001D34EE" w14:paraId="25A56B6B" w14:textId="77777777">
      <w:pPr>
        <w:pStyle w:val="NoSpacing"/>
      </w:pPr>
      <w:r>
        <w:t>(</w:t>
      </w:r>
      <w:r w:rsidR="00546F6F">
        <w:t>9</w:t>
      </w:r>
      <w:r>
        <w:t xml:space="preserve">) Average Hours Per </w:t>
      </w:r>
      <w:r w:rsidR="00546F6F">
        <w:t>Non-</w:t>
      </w:r>
      <w:r>
        <w:t>Response</w:t>
      </w:r>
    </w:p>
    <w:p w:rsidR="001D34EE" w:rsidP="001D34EE" w:rsidRDefault="001D34EE" w14:paraId="5616AA7B" w14:textId="77777777">
      <w:pPr>
        <w:pStyle w:val="NoSpacing"/>
      </w:pPr>
      <w:r>
        <w:t>(</w:t>
      </w:r>
      <w:r w:rsidR="00546F6F">
        <w:t>10</w:t>
      </w:r>
      <w:r>
        <w:t>) Estimated Annual Burden (Hours)</w:t>
      </w:r>
    </w:p>
    <w:p w:rsidR="00D056E1" w:rsidP="00D056E1" w:rsidRDefault="00D056E1" w14:paraId="3E971CE1" w14:textId="77777777">
      <w:pPr>
        <w:pStyle w:val="NoSpacing"/>
      </w:pPr>
      <w:r>
        <w:t>(</w:t>
      </w:r>
      <w:r w:rsidR="00546F6F">
        <w:t>11</w:t>
      </w:r>
      <w:r>
        <w:t>) Estimated Total Annual Hour Burden</w:t>
      </w:r>
    </w:p>
    <w:p w:rsidR="00D056E1" w:rsidP="00D056E1" w:rsidRDefault="00D056E1" w14:paraId="463BC8AB" w14:textId="77777777">
      <w:pPr>
        <w:pStyle w:val="NoSpacing"/>
      </w:pPr>
      <w:r>
        <w:t>(</w:t>
      </w:r>
      <w:r w:rsidR="00546F6F">
        <w:t>12</w:t>
      </w:r>
      <w:r>
        <w:t>) Hourly Wage Rate*</w:t>
      </w:r>
    </w:p>
    <w:p w:rsidRPr="007543D2" w:rsidR="00D056E1" w:rsidP="00D056E1" w:rsidRDefault="00D056E1" w14:paraId="7E8E154B" w14:textId="77777777">
      <w:pPr>
        <w:pStyle w:val="NoSpacing"/>
      </w:pPr>
      <w:r>
        <w:t>(</w:t>
      </w:r>
      <w:r w:rsidR="00546F6F">
        <w:t>1</w:t>
      </w:r>
      <w:r w:rsidR="00304FF2">
        <w:t>3</w:t>
      </w:r>
      <w:r>
        <w:t>) Total Burden (in $)</w:t>
      </w:r>
    </w:p>
    <w:p w:rsidR="00E7585E" w:rsidP="00C27678" w:rsidRDefault="00E7585E" w14:paraId="2BD3E1E6" w14:textId="77777777">
      <w:pPr>
        <w:pStyle w:val="NoSpacing"/>
        <w:sectPr w:rsidR="00E7585E" w:rsidSect="00D65B29">
          <w:type w:val="continuous"/>
          <w:pgSz w:w="15840" w:h="12240" w:orient="landscape"/>
          <w:pgMar w:top="432" w:right="432" w:bottom="432" w:left="432" w:header="720" w:footer="720" w:gutter="0"/>
          <w:cols w:space="720" w:num="2"/>
          <w:docGrid w:linePitch="360"/>
        </w:sectPr>
      </w:pPr>
    </w:p>
    <w:tbl>
      <w:tblPr>
        <w:tblW w:w="4050" w:type="dxa"/>
        <w:tblLook w:val="04A0" w:firstRow="1" w:lastRow="0" w:firstColumn="1" w:lastColumn="0" w:noHBand="0" w:noVBand="1"/>
      </w:tblPr>
      <w:tblGrid>
        <w:gridCol w:w="4050"/>
      </w:tblGrid>
      <w:tr w:rsidRPr="00F23F4B" w:rsidR="00F23F4B" w:rsidTr="00F23F4B" w14:paraId="086BC689" w14:textId="77777777">
        <w:trPr>
          <w:trHeight w:val="289"/>
        </w:trPr>
        <w:tc>
          <w:tcPr>
            <w:tcW w:w="4050" w:type="dxa"/>
            <w:tcBorders>
              <w:top w:val="nil"/>
              <w:left w:val="nil"/>
              <w:bottom w:val="nil"/>
              <w:right w:val="nil"/>
            </w:tcBorders>
            <w:shd w:val="clear" w:color="000000" w:fill="BAE18F"/>
            <w:vAlign w:val="bottom"/>
            <w:hideMark/>
          </w:tcPr>
          <w:p w:rsidRPr="00F23F4B" w:rsidR="00F23F4B" w:rsidP="00F23F4B" w:rsidRDefault="00F23F4B" w14:paraId="0B459B84" w14:textId="77777777">
            <w:pPr>
              <w:spacing w:line="240" w:lineRule="auto"/>
              <w:rPr>
                <w:rFonts w:eastAsia="Times New Roman" w:cs="Times New Roman"/>
                <w:color w:val="2F2F2F"/>
                <w:sz w:val="20"/>
                <w:szCs w:val="20"/>
              </w:rPr>
            </w:pPr>
            <w:r w:rsidRPr="00F23F4B">
              <w:rPr>
                <w:rFonts w:eastAsia="Times New Roman" w:cs="Times New Roman"/>
                <w:color w:val="2F2F2F"/>
                <w:sz w:val="20"/>
                <w:szCs w:val="20"/>
              </w:rPr>
              <w:t>Light Green - Recruiting and Reminders</w:t>
            </w:r>
          </w:p>
        </w:tc>
      </w:tr>
      <w:tr w:rsidRPr="00F23F4B" w:rsidR="00F23F4B" w:rsidTr="00F23F4B" w14:paraId="4EAE30ED" w14:textId="77777777">
        <w:trPr>
          <w:trHeight w:val="289"/>
        </w:trPr>
        <w:tc>
          <w:tcPr>
            <w:tcW w:w="4050" w:type="dxa"/>
            <w:tcBorders>
              <w:top w:val="nil"/>
              <w:left w:val="nil"/>
              <w:bottom w:val="nil"/>
              <w:right w:val="nil"/>
            </w:tcBorders>
            <w:shd w:val="clear" w:color="000000" w:fill="C1F0FF"/>
            <w:vAlign w:val="bottom"/>
            <w:hideMark/>
          </w:tcPr>
          <w:p w:rsidRPr="00F23F4B" w:rsidR="00F23F4B" w:rsidP="00F23F4B" w:rsidRDefault="00F23F4B" w14:paraId="29AC365C" w14:textId="77777777">
            <w:pPr>
              <w:spacing w:line="240" w:lineRule="auto"/>
              <w:rPr>
                <w:rFonts w:eastAsia="Times New Roman" w:cs="Times New Roman"/>
                <w:color w:val="2F2F2F"/>
                <w:sz w:val="20"/>
                <w:szCs w:val="20"/>
              </w:rPr>
            </w:pPr>
            <w:r w:rsidRPr="00F23F4B">
              <w:rPr>
                <w:rFonts w:eastAsia="Times New Roman" w:cs="Times New Roman"/>
                <w:color w:val="2F2F2F"/>
                <w:sz w:val="20"/>
                <w:szCs w:val="20"/>
              </w:rPr>
              <w:t>Light Blue - Participating in Data Collection</w:t>
            </w:r>
          </w:p>
        </w:tc>
      </w:tr>
      <w:tr w:rsidRPr="00F23F4B" w:rsidR="00F23F4B" w:rsidTr="00F23F4B" w14:paraId="5ADB1550" w14:textId="77777777">
        <w:trPr>
          <w:trHeight w:val="289"/>
        </w:trPr>
        <w:tc>
          <w:tcPr>
            <w:tcW w:w="4050" w:type="dxa"/>
            <w:tcBorders>
              <w:top w:val="nil"/>
              <w:left w:val="nil"/>
              <w:bottom w:val="nil"/>
              <w:right w:val="nil"/>
            </w:tcBorders>
            <w:shd w:val="clear" w:color="000000" w:fill="FFEDC9"/>
            <w:vAlign w:val="bottom"/>
            <w:hideMark/>
          </w:tcPr>
          <w:p w:rsidRPr="00F23F4B" w:rsidR="00F23F4B" w:rsidP="00F23F4B" w:rsidRDefault="00F23F4B" w14:paraId="0B97D535" w14:textId="77777777">
            <w:pPr>
              <w:spacing w:line="240" w:lineRule="auto"/>
              <w:rPr>
                <w:rFonts w:eastAsia="Times New Roman" w:cs="Times New Roman"/>
                <w:color w:val="2F2F2F"/>
                <w:sz w:val="20"/>
                <w:szCs w:val="20"/>
              </w:rPr>
            </w:pPr>
            <w:r w:rsidRPr="00F23F4B">
              <w:rPr>
                <w:rFonts w:eastAsia="Times New Roman" w:cs="Times New Roman"/>
                <w:color w:val="2F2F2F"/>
                <w:sz w:val="20"/>
                <w:szCs w:val="20"/>
              </w:rPr>
              <w:t>Light Orange - Post Follow-up and Thank-You</w:t>
            </w:r>
          </w:p>
        </w:tc>
      </w:tr>
    </w:tbl>
    <w:p w:rsidRPr="00D056E1" w:rsidR="00D056E1" w:rsidP="00C27678" w:rsidRDefault="00D056E1" w14:paraId="7A8DED92" w14:textId="77777777">
      <w:pPr>
        <w:pStyle w:val="NoSpacing"/>
      </w:pPr>
    </w:p>
    <w:tbl>
      <w:tblPr>
        <w:tblW w:w="0" w:type="auto"/>
        <w:tblLook w:val="04A0" w:firstRow="1" w:lastRow="0" w:firstColumn="1" w:lastColumn="0" w:noHBand="0" w:noVBand="1"/>
      </w:tblPr>
      <w:tblGrid>
        <w:gridCol w:w="1366"/>
        <w:gridCol w:w="2228"/>
        <w:gridCol w:w="2931"/>
        <w:gridCol w:w="830"/>
        <w:gridCol w:w="471"/>
        <w:gridCol w:w="514"/>
        <w:gridCol w:w="471"/>
        <w:gridCol w:w="514"/>
        <w:gridCol w:w="684"/>
        <w:gridCol w:w="415"/>
        <w:gridCol w:w="599"/>
        <w:gridCol w:w="471"/>
        <w:gridCol w:w="514"/>
        <w:gridCol w:w="599"/>
        <w:gridCol w:w="684"/>
        <w:gridCol w:w="769"/>
        <w:gridCol w:w="896"/>
      </w:tblGrid>
      <w:tr w:rsidRPr="00833576" w:rsidR="008B5BB1" w:rsidTr="00F23F4B" w14:paraId="54816103" w14:textId="77777777">
        <w:trPr>
          <w:trHeight w:val="300"/>
          <w:tblHeader/>
        </w:trPr>
        <w:tc>
          <w:tcPr>
            <w:tcW w:w="1430" w:type="dxa"/>
            <w:vMerge w:val="restart"/>
            <w:tcBorders>
              <w:top w:val="single" w:color="auto" w:sz="8" w:space="0"/>
              <w:left w:val="single" w:color="auto" w:sz="8" w:space="0"/>
              <w:bottom w:val="single" w:color="000000" w:sz="8" w:space="0"/>
              <w:right w:val="single" w:color="auto" w:sz="8" w:space="0"/>
            </w:tcBorders>
            <w:shd w:val="clear" w:color="000000" w:fill="009CD3"/>
            <w:vAlign w:val="center"/>
            <w:hideMark/>
          </w:tcPr>
          <w:p w:rsidRPr="00833576" w:rsidR="003F3620" w:rsidP="003F3620" w:rsidRDefault="003F3620" w14:paraId="31E0030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Affected Public</w:t>
            </w:r>
          </w:p>
        </w:tc>
        <w:tc>
          <w:tcPr>
            <w:tcW w:w="2228" w:type="dxa"/>
            <w:vMerge w:val="restart"/>
            <w:tcBorders>
              <w:top w:val="single" w:color="auto" w:sz="8" w:space="0"/>
              <w:left w:val="single" w:color="auto" w:sz="8" w:space="0"/>
              <w:bottom w:val="single" w:color="000000" w:sz="8" w:space="0"/>
              <w:right w:val="single" w:color="auto" w:sz="8" w:space="0"/>
            </w:tcBorders>
            <w:shd w:val="clear" w:color="000000" w:fill="009CD3"/>
            <w:vAlign w:val="center"/>
            <w:hideMark/>
          </w:tcPr>
          <w:p w:rsidRPr="00833576" w:rsidR="003F3620" w:rsidP="003F3620" w:rsidRDefault="003F3620" w14:paraId="79E03F10"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Respondent Type</w:t>
            </w:r>
          </w:p>
        </w:tc>
        <w:tc>
          <w:tcPr>
            <w:tcW w:w="0" w:type="auto"/>
            <w:vMerge w:val="restart"/>
            <w:tcBorders>
              <w:top w:val="single" w:color="auto" w:sz="8" w:space="0"/>
              <w:left w:val="single" w:color="auto" w:sz="8" w:space="0"/>
              <w:bottom w:val="single" w:color="000000" w:sz="8" w:space="0"/>
              <w:right w:val="single" w:color="auto" w:sz="4" w:space="0"/>
            </w:tcBorders>
            <w:shd w:val="clear" w:color="000000" w:fill="009CD3"/>
            <w:vAlign w:val="center"/>
            <w:hideMark/>
          </w:tcPr>
          <w:p w:rsidRPr="00833576" w:rsidR="003F3620" w:rsidP="003F3620" w:rsidRDefault="003F3620" w14:paraId="2AE032C3"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Data Collection Activity</w:t>
            </w:r>
          </w:p>
        </w:tc>
        <w:tc>
          <w:tcPr>
            <w:tcW w:w="0" w:type="auto"/>
            <w:vMerge w:val="restart"/>
            <w:tcBorders>
              <w:top w:val="single" w:color="auto" w:sz="8" w:space="0"/>
              <w:left w:val="nil"/>
              <w:bottom w:val="single" w:color="000000" w:sz="8" w:space="0"/>
              <w:right w:val="single" w:color="auto" w:sz="4" w:space="0"/>
            </w:tcBorders>
            <w:shd w:val="clear" w:color="000000" w:fill="009CD3"/>
            <w:vAlign w:val="center"/>
            <w:hideMark/>
          </w:tcPr>
          <w:p w:rsidRPr="00833576" w:rsidR="003F3620" w:rsidP="003F3620" w:rsidRDefault="003F3620" w14:paraId="760836AE"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Original Sample Size</w:t>
            </w:r>
          </w:p>
        </w:tc>
        <w:tc>
          <w:tcPr>
            <w:tcW w:w="0" w:type="auto"/>
            <w:gridSpan w:val="5"/>
            <w:tcBorders>
              <w:top w:val="single" w:color="auto" w:sz="8" w:space="0"/>
              <w:left w:val="nil"/>
              <w:bottom w:val="single" w:color="auto" w:sz="8" w:space="0"/>
              <w:right w:val="single" w:color="auto" w:sz="4" w:space="0"/>
            </w:tcBorders>
            <w:shd w:val="clear" w:color="000000" w:fill="009CD3"/>
            <w:vAlign w:val="bottom"/>
            <w:hideMark/>
          </w:tcPr>
          <w:p w:rsidRPr="00833576" w:rsidR="003F3620" w:rsidP="003F3620" w:rsidRDefault="003F3620" w14:paraId="3426BB3B"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Responsive</w:t>
            </w:r>
          </w:p>
        </w:tc>
        <w:tc>
          <w:tcPr>
            <w:tcW w:w="0" w:type="auto"/>
            <w:gridSpan w:val="5"/>
            <w:tcBorders>
              <w:top w:val="single" w:color="auto" w:sz="8" w:space="0"/>
              <w:left w:val="nil"/>
              <w:bottom w:val="single" w:color="auto" w:sz="8" w:space="0"/>
              <w:right w:val="single" w:color="auto" w:sz="4" w:space="0"/>
            </w:tcBorders>
            <w:shd w:val="clear" w:color="000000" w:fill="009CD3"/>
            <w:vAlign w:val="bottom"/>
            <w:hideMark/>
          </w:tcPr>
          <w:p w:rsidRPr="00833576" w:rsidR="003F3620" w:rsidP="003F3620" w:rsidRDefault="003F3620" w14:paraId="4CE99063"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Non-responsive</w:t>
            </w:r>
          </w:p>
        </w:tc>
        <w:tc>
          <w:tcPr>
            <w:tcW w:w="0" w:type="auto"/>
            <w:gridSpan w:val="3"/>
            <w:tcBorders>
              <w:top w:val="single" w:color="auto" w:sz="8" w:space="0"/>
              <w:left w:val="single" w:color="auto" w:sz="8" w:space="0"/>
              <w:bottom w:val="single" w:color="auto" w:sz="8" w:space="0"/>
              <w:right w:val="single" w:color="000000" w:sz="8" w:space="0"/>
            </w:tcBorders>
            <w:shd w:val="clear" w:color="000000" w:fill="009CD3"/>
            <w:vAlign w:val="center"/>
            <w:hideMark/>
          </w:tcPr>
          <w:p w:rsidRPr="00833576" w:rsidR="003F3620" w:rsidP="003F3620" w:rsidRDefault="003F3620" w14:paraId="37550A85"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All</w:t>
            </w:r>
          </w:p>
        </w:tc>
      </w:tr>
      <w:tr w:rsidRPr="00833576" w:rsidR="001F281B" w:rsidTr="00F23F4B" w14:paraId="6E47249A" w14:textId="77777777">
        <w:trPr>
          <w:trHeight w:val="710"/>
          <w:tblHeader/>
        </w:trPr>
        <w:tc>
          <w:tcPr>
            <w:tcW w:w="1430" w:type="dxa"/>
            <w:vMerge/>
            <w:tcBorders>
              <w:top w:val="single" w:color="auto" w:sz="8" w:space="0"/>
              <w:left w:val="single" w:color="auto" w:sz="8" w:space="0"/>
              <w:bottom w:val="single" w:color="000000" w:sz="8" w:space="0"/>
              <w:right w:val="single" w:color="auto" w:sz="8" w:space="0"/>
            </w:tcBorders>
            <w:vAlign w:val="center"/>
            <w:hideMark/>
          </w:tcPr>
          <w:p w:rsidRPr="00833576" w:rsidR="003F3620" w:rsidP="003F3620" w:rsidRDefault="003F3620" w14:paraId="0273A1FC" w14:textId="77777777">
            <w:pPr>
              <w:spacing w:line="240" w:lineRule="auto"/>
              <w:rPr>
                <w:rFonts w:eastAsia="Times New Roman" w:cs="Times New Roman"/>
                <w:b/>
                <w:bCs/>
                <w:color w:val="FFFFFF"/>
                <w:sz w:val="17"/>
                <w:szCs w:val="17"/>
              </w:rPr>
            </w:pPr>
          </w:p>
        </w:tc>
        <w:tc>
          <w:tcPr>
            <w:tcW w:w="2228" w:type="dxa"/>
            <w:vMerge/>
            <w:tcBorders>
              <w:top w:val="single" w:color="auto" w:sz="8" w:space="0"/>
              <w:left w:val="single" w:color="auto" w:sz="8" w:space="0"/>
              <w:bottom w:val="single" w:color="000000" w:sz="8" w:space="0"/>
              <w:right w:val="single" w:color="auto" w:sz="8" w:space="0"/>
            </w:tcBorders>
            <w:vAlign w:val="center"/>
            <w:hideMark/>
          </w:tcPr>
          <w:p w:rsidRPr="00833576" w:rsidR="003F3620" w:rsidP="003F3620" w:rsidRDefault="003F3620" w14:paraId="2919F79F" w14:textId="77777777">
            <w:pPr>
              <w:spacing w:line="240" w:lineRule="auto"/>
              <w:rPr>
                <w:rFonts w:eastAsia="Times New Roman" w:cs="Times New Roman"/>
                <w:b/>
                <w:bCs/>
                <w:color w:val="FFFFFF"/>
                <w:sz w:val="17"/>
                <w:szCs w:val="17"/>
              </w:rPr>
            </w:pPr>
          </w:p>
        </w:tc>
        <w:tc>
          <w:tcPr>
            <w:tcW w:w="0" w:type="auto"/>
            <w:vMerge/>
            <w:tcBorders>
              <w:top w:val="single" w:color="auto" w:sz="8" w:space="0"/>
              <w:left w:val="single" w:color="auto" w:sz="8" w:space="0"/>
              <w:bottom w:val="single" w:color="000000" w:sz="8" w:space="0"/>
              <w:right w:val="single" w:color="auto" w:sz="4" w:space="0"/>
            </w:tcBorders>
            <w:vAlign w:val="center"/>
            <w:hideMark/>
          </w:tcPr>
          <w:p w:rsidRPr="00833576" w:rsidR="003F3620" w:rsidP="003F3620" w:rsidRDefault="003F3620" w14:paraId="643D55A5" w14:textId="77777777">
            <w:pPr>
              <w:spacing w:line="240" w:lineRule="auto"/>
              <w:rPr>
                <w:rFonts w:eastAsia="Times New Roman" w:cs="Times New Roman"/>
                <w:b/>
                <w:bCs/>
                <w:color w:val="FFFFFF"/>
                <w:sz w:val="17"/>
                <w:szCs w:val="17"/>
              </w:rPr>
            </w:pPr>
          </w:p>
        </w:tc>
        <w:tc>
          <w:tcPr>
            <w:tcW w:w="0" w:type="auto"/>
            <w:vMerge/>
            <w:tcBorders>
              <w:top w:val="single" w:color="auto" w:sz="8" w:space="0"/>
              <w:left w:val="nil"/>
              <w:bottom w:val="single" w:color="000000" w:sz="8" w:space="0"/>
              <w:right w:val="single" w:color="auto" w:sz="4" w:space="0"/>
            </w:tcBorders>
            <w:vAlign w:val="center"/>
            <w:hideMark/>
          </w:tcPr>
          <w:p w:rsidRPr="00833576" w:rsidR="003F3620" w:rsidP="003F3620" w:rsidRDefault="003F3620" w14:paraId="200B8558" w14:textId="77777777">
            <w:pPr>
              <w:spacing w:line="240" w:lineRule="auto"/>
              <w:rPr>
                <w:rFonts w:eastAsia="Times New Roman" w:cs="Times New Roman"/>
                <w:b/>
                <w:bCs/>
                <w:color w:val="FFFFFF"/>
                <w:sz w:val="17"/>
                <w:szCs w:val="17"/>
              </w:rPr>
            </w:pPr>
          </w:p>
        </w:tc>
        <w:tc>
          <w:tcPr>
            <w:tcW w:w="0" w:type="auto"/>
            <w:tcBorders>
              <w:top w:val="single" w:color="auto" w:sz="8" w:space="0"/>
              <w:left w:val="single" w:color="auto" w:sz="8" w:space="0"/>
              <w:bottom w:val="single" w:color="auto" w:sz="8" w:space="0"/>
              <w:right w:val="single" w:color="auto" w:sz="4" w:space="0"/>
            </w:tcBorders>
            <w:shd w:val="clear" w:color="000000" w:fill="FFFFFF"/>
            <w:vAlign w:val="center"/>
            <w:hideMark/>
          </w:tcPr>
          <w:p w:rsidRPr="00833576" w:rsidR="003F3620" w:rsidP="003F3620" w:rsidRDefault="003F3620" w14:paraId="750731BF"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300C4FBE"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(2)</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635C0077"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(3)</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5B8ACA44"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(4)</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767E8843"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(5)</w:t>
            </w:r>
          </w:p>
        </w:tc>
        <w:tc>
          <w:tcPr>
            <w:tcW w:w="0" w:type="auto"/>
            <w:tcBorders>
              <w:top w:val="single" w:color="auto" w:sz="8" w:space="0"/>
              <w:left w:val="single" w:color="auto" w:sz="8" w:space="0"/>
              <w:bottom w:val="single" w:color="auto" w:sz="8" w:space="0"/>
              <w:right w:val="single" w:color="auto" w:sz="4" w:space="0"/>
            </w:tcBorders>
            <w:shd w:val="clear" w:color="000000" w:fill="FFFFFF"/>
            <w:vAlign w:val="center"/>
            <w:hideMark/>
          </w:tcPr>
          <w:p w:rsidRPr="00833576" w:rsidR="003F3620" w:rsidP="003F3620" w:rsidRDefault="003F3620" w14:paraId="6F3E7251"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Pr="00833576" w:rsidR="00864F1C">
              <w:rPr>
                <w:rFonts w:eastAsia="Times New Roman" w:cs="Times New Roman"/>
                <w:b/>
                <w:bCs/>
                <w:color w:val="2F2F2F"/>
                <w:sz w:val="17"/>
                <w:szCs w:val="17"/>
              </w:rPr>
              <w:t>6</w:t>
            </w:r>
            <w:r w:rsidRPr="00833576">
              <w:rPr>
                <w:rFonts w:eastAsia="Times New Roman" w:cs="Times New Roman"/>
                <w:b/>
                <w:bCs/>
                <w:color w:val="2F2F2F"/>
                <w:sz w:val="17"/>
                <w:szCs w:val="17"/>
              </w:rPr>
              <w:t>)</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49B4708E"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Pr="00833576" w:rsidR="00864F1C">
              <w:rPr>
                <w:rFonts w:eastAsia="Times New Roman" w:cs="Times New Roman"/>
                <w:b/>
                <w:bCs/>
                <w:color w:val="2F2F2F"/>
                <w:sz w:val="17"/>
                <w:szCs w:val="17"/>
              </w:rPr>
              <w:t>7</w:t>
            </w:r>
            <w:r w:rsidRPr="00833576">
              <w:rPr>
                <w:rFonts w:eastAsia="Times New Roman" w:cs="Times New Roman"/>
                <w:b/>
                <w:bCs/>
                <w:color w:val="2F2F2F"/>
                <w:sz w:val="17"/>
                <w:szCs w:val="17"/>
              </w:rPr>
              <w:t>)</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2A4EDD6A"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Pr="00833576" w:rsidR="00864F1C">
              <w:rPr>
                <w:rFonts w:eastAsia="Times New Roman" w:cs="Times New Roman"/>
                <w:b/>
                <w:bCs/>
                <w:color w:val="2F2F2F"/>
                <w:sz w:val="17"/>
                <w:szCs w:val="17"/>
              </w:rPr>
              <w:t>8</w:t>
            </w:r>
            <w:r w:rsidRPr="00833576">
              <w:rPr>
                <w:rFonts w:eastAsia="Times New Roman" w:cs="Times New Roman"/>
                <w:b/>
                <w:bCs/>
                <w:color w:val="2F2F2F"/>
                <w:sz w:val="17"/>
                <w:szCs w:val="17"/>
              </w:rPr>
              <w:t>)</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2E90FF94"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Pr="00833576" w:rsidR="00DB128C">
              <w:rPr>
                <w:rFonts w:eastAsia="Times New Roman" w:cs="Times New Roman"/>
                <w:b/>
                <w:bCs/>
                <w:color w:val="2F2F2F"/>
                <w:sz w:val="17"/>
                <w:szCs w:val="17"/>
              </w:rPr>
              <w:t>9</w:t>
            </w:r>
            <w:r w:rsidRPr="00833576">
              <w:rPr>
                <w:rFonts w:eastAsia="Times New Roman" w:cs="Times New Roman"/>
                <w:b/>
                <w:bCs/>
                <w:color w:val="2F2F2F"/>
                <w:sz w:val="17"/>
                <w:szCs w:val="17"/>
              </w:rPr>
              <w:t>)</w:t>
            </w:r>
          </w:p>
        </w:tc>
        <w:tc>
          <w:tcPr>
            <w:tcW w:w="0" w:type="auto"/>
            <w:tcBorders>
              <w:top w:val="single" w:color="auto" w:sz="8" w:space="0"/>
              <w:left w:val="single" w:color="auto" w:sz="4" w:space="0"/>
              <w:bottom w:val="single" w:color="auto" w:sz="8" w:space="0"/>
              <w:right w:val="single" w:color="auto" w:sz="4" w:space="0"/>
            </w:tcBorders>
            <w:shd w:val="clear" w:color="000000" w:fill="FFFFFF"/>
            <w:vAlign w:val="center"/>
            <w:hideMark/>
          </w:tcPr>
          <w:p w:rsidRPr="00833576" w:rsidR="003F3620" w:rsidP="003F3620" w:rsidRDefault="003F3620" w14:paraId="0BA9A2F7"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Pr="00833576" w:rsidR="00DB128C">
              <w:rPr>
                <w:rFonts w:eastAsia="Times New Roman" w:cs="Times New Roman"/>
                <w:b/>
                <w:bCs/>
                <w:color w:val="2F2F2F"/>
                <w:sz w:val="17"/>
                <w:szCs w:val="17"/>
              </w:rPr>
              <w:t>10</w:t>
            </w:r>
            <w:r w:rsidRPr="00833576">
              <w:rPr>
                <w:rFonts w:eastAsia="Times New Roman" w:cs="Times New Roman"/>
                <w:b/>
                <w:bCs/>
                <w:color w:val="2F2F2F"/>
                <w:sz w:val="17"/>
                <w:szCs w:val="17"/>
              </w:rPr>
              <w:t>)</w:t>
            </w:r>
          </w:p>
        </w:tc>
        <w:tc>
          <w:tcPr>
            <w:tcW w:w="0" w:type="auto"/>
            <w:tcBorders>
              <w:top w:val="single" w:color="auto" w:sz="8" w:space="0"/>
              <w:left w:val="single" w:color="auto" w:sz="8" w:space="0"/>
              <w:bottom w:val="single" w:color="auto" w:sz="8" w:space="0"/>
              <w:right w:val="single" w:color="auto" w:sz="4" w:space="0"/>
            </w:tcBorders>
            <w:shd w:val="clear" w:color="000000" w:fill="009CD3"/>
            <w:vAlign w:val="center"/>
            <w:hideMark/>
          </w:tcPr>
          <w:p w:rsidRPr="00833576" w:rsidR="003F3620" w:rsidP="003F3620" w:rsidRDefault="003F3620" w14:paraId="05DD9B2D"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Pr="00833576" w:rsidR="00DB128C">
              <w:rPr>
                <w:rFonts w:eastAsia="Times New Roman" w:cs="Times New Roman"/>
                <w:b/>
                <w:bCs/>
                <w:color w:val="FFFFFF"/>
                <w:sz w:val="17"/>
                <w:szCs w:val="17"/>
              </w:rPr>
              <w:t>11</w:t>
            </w:r>
            <w:r w:rsidRPr="00833576">
              <w:rPr>
                <w:rFonts w:eastAsia="Times New Roman" w:cs="Times New Roman"/>
                <w:b/>
                <w:bCs/>
                <w:color w:val="FFFFFF"/>
                <w:sz w:val="17"/>
                <w:szCs w:val="17"/>
              </w:rPr>
              <w:t>)</w:t>
            </w:r>
          </w:p>
        </w:tc>
        <w:tc>
          <w:tcPr>
            <w:tcW w:w="0" w:type="auto"/>
            <w:tcBorders>
              <w:top w:val="single" w:color="auto" w:sz="8" w:space="0"/>
              <w:left w:val="nil"/>
              <w:bottom w:val="single" w:color="auto" w:sz="8" w:space="0"/>
              <w:right w:val="single" w:color="auto" w:sz="4" w:space="0"/>
            </w:tcBorders>
            <w:shd w:val="clear" w:color="000000" w:fill="009CD3"/>
            <w:vAlign w:val="center"/>
            <w:hideMark/>
          </w:tcPr>
          <w:p w:rsidRPr="00833576" w:rsidR="003F3620" w:rsidP="003F3620" w:rsidRDefault="003F3620" w14:paraId="2196BEBA"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Pr="00833576" w:rsidR="00DB128C">
              <w:rPr>
                <w:rFonts w:eastAsia="Times New Roman" w:cs="Times New Roman"/>
                <w:b/>
                <w:bCs/>
                <w:color w:val="FFFFFF"/>
                <w:sz w:val="17"/>
                <w:szCs w:val="17"/>
              </w:rPr>
              <w:t>12</w:t>
            </w:r>
            <w:r w:rsidRPr="00833576">
              <w:rPr>
                <w:rFonts w:eastAsia="Times New Roman" w:cs="Times New Roman"/>
                <w:b/>
                <w:bCs/>
                <w:color w:val="FFFFFF"/>
                <w:sz w:val="17"/>
                <w:szCs w:val="17"/>
              </w:rPr>
              <w:t>)</w:t>
            </w:r>
            <w:r w:rsidRPr="00833576" w:rsidR="00D056E1">
              <w:rPr>
                <w:rFonts w:eastAsia="Times New Roman" w:cs="Times New Roman"/>
                <w:b/>
                <w:bCs/>
                <w:color w:val="FFFFFF"/>
                <w:sz w:val="17"/>
                <w:szCs w:val="17"/>
              </w:rPr>
              <w:t>*</w:t>
            </w:r>
          </w:p>
        </w:tc>
        <w:tc>
          <w:tcPr>
            <w:tcW w:w="0" w:type="auto"/>
            <w:tcBorders>
              <w:top w:val="single" w:color="auto" w:sz="8" w:space="0"/>
              <w:left w:val="nil"/>
              <w:bottom w:val="single" w:color="auto" w:sz="8" w:space="0"/>
              <w:right w:val="single" w:color="auto" w:sz="8" w:space="0"/>
            </w:tcBorders>
            <w:shd w:val="clear" w:color="000000" w:fill="009CD3"/>
            <w:vAlign w:val="center"/>
            <w:hideMark/>
          </w:tcPr>
          <w:p w:rsidRPr="00833576" w:rsidR="003F3620" w:rsidP="003F3620" w:rsidRDefault="003F3620" w14:paraId="2F1FB3F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Pr="00833576" w:rsidR="00DB128C">
              <w:rPr>
                <w:rFonts w:eastAsia="Times New Roman" w:cs="Times New Roman"/>
                <w:b/>
                <w:bCs/>
                <w:color w:val="FFFFFF"/>
                <w:sz w:val="17"/>
                <w:szCs w:val="17"/>
              </w:rPr>
              <w:t>13</w:t>
            </w:r>
            <w:r w:rsidRPr="00833576">
              <w:rPr>
                <w:rFonts w:eastAsia="Times New Roman" w:cs="Times New Roman"/>
                <w:b/>
                <w:bCs/>
                <w:color w:val="FFFFFF"/>
                <w:sz w:val="17"/>
                <w:szCs w:val="17"/>
              </w:rPr>
              <w:t>)</w:t>
            </w:r>
          </w:p>
        </w:tc>
      </w:tr>
      <w:tr w:rsidRPr="00833576" w:rsidR="00974DE9" w:rsidTr="00F23F4B" w14:paraId="7DFCEE86" w14:textId="77777777">
        <w:trPr>
          <w:trHeight w:val="230"/>
        </w:trPr>
        <w:tc>
          <w:tcPr>
            <w:tcW w:w="1430" w:type="dxa"/>
            <w:vMerge w:val="restart"/>
            <w:tcBorders>
              <w:top w:val="nil"/>
              <w:left w:val="single" w:color="auto" w:sz="8" w:space="0"/>
              <w:bottom w:val="single" w:color="000000" w:sz="8" w:space="0"/>
              <w:right w:val="single" w:color="auto" w:sz="8" w:space="0"/>
            </w:tcBorders>
            <w:shd w:val="clear" w:color="000000" w:fill="C1F0FF"/>
            <w:vAlign w:val="center"/>
            <w:hideMark/>
          </w:tcPr>
          <w:p w:rsidRPr="00833576" w:rsidR="003F3620" w:rsidP="003F3620" w:rsidRDefault="003F3620" w14:paraId="3A54120B"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Private/</w:t>
            </w:r>
            <w:r w:rsidRPr="00833576">
              <w:rPr>
                <w:rFonts w:eastAsia="Times New Roman" w:cs="Times New Roman"/>
                <w:b/>
                <w:bCs/>
                <w:color w:val="2F2F2F"/>
                <w:sz w:val="17"/>
                <w:szCs w:val="17"/>
              </w:rPr>
              <w:br/>
              <w:t>Commercial Industry</w:t>
            </w:r>
          </w:p>
        </w:tc>
        <w:tc>
          <w:tcPr>
            <w:tcW w:w="2228"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833576" w:rsidR="003F3620" w:rsidP="003F3620" w:rsidRDefault="003F3620" w14:paraId="464511A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Industry Experts*</w:t>
            </w:r>
          </w:p>
        </w:tc>
        <w:tc>
          <w:tcPr>
            <w:tcW w:w="0" w:type="auto"/>
            <w:tcBorders>
              <w:top w:val="single" w:color="auto" w:sz="4" w:space="0"/>
              <w:left w:val="nil"/>
              <w:bottom w:val="single" w:color="auto" w:sz="4" w:space="0"/>
              <w:right w:val="single" w:color="auto" w:sz="4" w:space="0"/>
            </w:tcBorders>
            <w:shd w:val="clear" w:color="000000" w:fill="BAE18F"/>
            <w:vAlign w:val="center"/>
            <w:hideMark/>
          </w:tcPr>
          <w:p w:rsidRPr="00833576" w:rsidR="003F3620" w:rsidP="003F3620" w:rsidRDefault="003F3620" w14:paraId="62C21AF6" w14:textId="6A267CCD">
            <w:pPr>
              <w:spacing w:line="240" w:lineRule="auto"/>
              <w:rPr>
                <w:rFonts w:eastAsia="Times New Roman" w:cs="Times New Roman"/>
                <w:color w:val="2F2F2F"/>
                <w:sz w:val="17"/>
                <w:szCs w:val="17"/>
              </w:rPr>
            </w:pPr>
            <w:r w:rsidRPr="00833576">
              <w:rPr>
                <w:rFonts w:eastAsia="Times New Roman" w:cs="Times New Roman"/>
                <w:color w:val="2F2F2F"/>
                <w:sz w:val="17"/>
                <w:szCs w:val="17"/>
              </w:rPr>
              <w:t xml:space="preserve">Industry Experts Interview Recruitment </w:t>
            </w:r>
            <w:r w:rsidR="00475A87">
              <w:rPr>
                <w:rFonts w:eastAsia="Times New Roman" w:cs="Times New Roman"/>
                <w:color w:val="2F2F2F"/>
                <w:sz w:val="17"/>
                <w:szCs w:val="17"/>
              </w:rPr>
              <w:t xml:space="preserve">Email </w:t>
            </w:r>
            <w:r w:rsidRPr="00833576">
              <w:rPr>
                <w:rFonts w:eastAsia="Times New Roman" w:cs="Times New Roman"/>
                <w:color w:val="2F2F2F"/>
                <w:sz w:val="17"/>
                <w:szCs w:val="17"/>
              </w:rPr>
              <w:t xml:space="preserve">1 </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4B91488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w:t>
            </w:r>
          </w:p>
        </w:tc>
        <w:tc>
          <w:tcPr>
            <w:tcW w:w="0" w:type="auto"/>
            <w:tcBorders>
              <w:top w:val="single" w:color="3A3838" w:sz="4" w:space="0"/>
              <w:left w:val="single" w:color="3A3838" w:sz="4" w:space="0"/>
              <w:bottom w:val="single" w:color="3A3838" w:sz="4" w:space="0"/>
              <w:right w:val="single" w:color="3A3838" w:sz="4" w:space="0"/>
            </w:tcBorders>
            <w:shd w:val="clear" w:color="000000" w:fill="BAE18F"/>
            <w:vAlign w:val="center"/>
            <w:hideMark/>
          </w:tcPr>
          <w:p w:rsidRPr="00833576" w:rsidR="003F3620" w:rsidP="00A76A6B" w:rsidRDefault="003F3620" w14:paraId="1F9831D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4" w:space="0"/>
              <w:left w:val="single" w:color="auto" w:sz="4" w:space="0"/>
              <w:bottom w:val="single" w:color="auto" w:sz="4" w:space="0"/>
              <w:right w:val="single" w:color="auto" w:sz="4" w:space="0"/>
            </w:tcBorders>
            <w:shd w:val="clear" w:color="000000" w:fill="BAE18F"/>
            <w:noWrap/>
            <w:vAlign w:val="center"/>
            <w:hideMark/>
          </w:tcPr>
          <w:p w:rsidRPr="00833576" w:rsidR="003F3620" w:rsidP="00A76A6B" w:rsidRDefault="003F3620" w14:paraId="2CBDEEC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0D7E666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452AEE3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EE431E">
              <w:rPr>
                <w:rFonts w:eastAsia="Times New Roman" w:cs="Times New Roman"/>
                <w:color w:val="2F2F2F"/>
                <w:sz w:val="17"/>
                <w:szCs w:val="17"/>
              </w:rPr>
              <w:t>05</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1B0145F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1AE5DEF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9</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7FA8439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75369E3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9</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4B61CA5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single" w:color="auto" w:sz="4" w:space="0"/>
              <w:left w:val="nil"/>
              <w:bottom w:val="single" w:color="auto" w:sz="4" w:space="0"/>
              <w:right w:val="nil"/>
            </w:tcBorders>
            <w:shd w:val="clear" w:color="000000" w:fill="BAE18F"/>
            <w:noWrap/>
            <w:vAlign w:val="center"/>
            <w:hideMark/>
          </w:tcPr>
          <w:p w:rsidRPr="00833576" w:rsidR="003F3620" w:rsidP="00A76A6B" w:rsidRDefault="003F3620" w14:paraId="019CB51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0.27</w:t>
            </w:r>
          </w:p>
        </w:tc>
        <w:tc>
          <w:tcPr>
            <w:tcW w:w="0" w:type="auto"/>
            <w:tcBorders>
              <w:top w:val="single" w:color="auto" w:sz="4" w:space="0"/>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73DBF763"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0.32</w:t>
            </w:r>
          </w:p>
        </w:tc>
        <w:tc>
          <w:tcPr>
            <w:tcW w:w="0" w:type="auto"/>
            <w:tcBorders>
              <w:top w:val="single" w:color="auto" w:sz="4" w:space="0"/>
              <w:left w:val="nil"/>
              <w:bottom w:val="single" w:color="auto" w:sz="4" w:space="0"/>
              <w:right w:val="single" w:color="auto" w:sz="4" w:space="0"/>
            </w:tcBorders>
            <w:shd w:val="clear" w:color="000000" w:fill="009CD3"/>
            <w:noWrap/>
            <w:vAlign w:val="center"/>
            <w:hideMark/>
          </w:tcPr>
          <w:p w:rsidRPr="00833576" w:rsidR="003F3620" w:rsidP="00A76A6B" w:rsidRDefault="003F3620" w14:paraId="58AE8E78" w14:textId="36648739">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0E65BB">
              <w:rPr>
                <w:rFonts w:eastAsia="Times New Roman" w:cs="Times New Roman"/>
                <w:b/>
                <w:bCs/>
                <w:color w:val="FFFFFF"/>
                <w:sz w:val="17"/>
                <w:szCs w:val="17"/>
              </w:rPr>
              <w:t>102.58</w:t>
            </w:r>
          </w:p>
        </w:tc>
        <w:tc>
          <w:tcPr>
            <w:tcW w:w="0" w:type="auto"/>
            <w:tcBorders>
              <w:top w:val="single" w:color="auto" w:sz="4" w:space="0"/>
              <w:left w:val="nil"/>
              <w:bottom w:val="single" w:color="auto" w:sz="4" w:space="0"/>
              <w:right w:val="single" w:color="auto" w:sz="8" w:space="0"/>
            </w:tcBorders>
            <w:shd w:val="clear" w:color="000000" w:fill="009CD3"/>
            <w:noWrap/>
            <w:vAlign w:val="center"/>
            <w:hideMark/>
          </w:tcPr>
          <w:p w:rsidRPr="00833576" w:rsidR="003F3620" w:rsidP="00A76A6B" w:rsidRDefault="003F3620" w14:paraId="3B9C8090" w14:textId="456AE68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0C46FB">
              <w:rPr>
                <w:rFonts w:eastAsia="Times New Roman" w:cs="Times New Roman"/>
                <w:b/>
                <w:bCs/>
                <w:color w:val="FFFFFF"/>
                <w:sz w:val="17"/>
                <w:szCs w:val="17"/>
              </w:rPr>
              <w:t>32.83</w:t>
            </w:r>
          </w:p>
        </w:tc>
      </w:tr>
      <w:tr w:rsidRPr="00833576" w:rsidR="005066C3" w:rsidTr="00F23F4B" w14:paraId="7131254B" w14:textId="77777777">
        <w:trPr>
          <w:trHeight w:val="230"/>
        </w:trPr>
        <w:tc>
          <w:tcPr>
            <w:tcW w:w="1430"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6B577F31"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16B76607"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5066C3" w:rsidP="005066C3" w:rsidRDefault="005066C3" w14:paraId="14D1CB53"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Frequently Asked Questions (FAQs) - Industry Experts</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F71EC2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w:t>
            </w:r>
          </w:p>
        </w:tc>
        <w:tc>
          <w:tcPr>
            <w:tcW w:w="0" w:type="auto"/>
            <w:tcBorders>
              <w:top w:val="single" w:color="auto" w:sz="4" w:space="0"/>
              <w:left w:val="nil"/>
              <w:bottom w:val="single" w:color="auto" w:sz="4" w:space="0"/>
              <w:right w:val="single" w:color="auto" w:sz="4" w:space="0"/>
            </w:tcBorders>
            <w:shd w:val="clear" w:color="000000" w:fill="BAE18F"/>
            <w:noWrap/>
            <w:vAlign w:val="center"/>
            <w:hideMark/>
          </w:tcPr>
          <w:p w:rsidRPr="00833576" w:rsidR="005066C3" w:rsidP="005066C3" w:rsidRDefault="005066C3" w14:paraId="607D1BB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3A9DE26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6033A7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4E7F30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6162312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1.50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0F054D9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97E3CD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AF1240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6FFF05A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0.15</w:t>
            </w:r>
          </w:p>
        </w:tc>
        <w:tc>
          <w:tcPr>
            <w:tcW w:w="0" w:type="auto"/>
            <w:tcBorders>
              <w:top w:val="nil"/>
              <w:left w:val="nil"/>
              <w:bottom w:val="single" w:color="auto" w:sz="4" w:space="0"/>
              <w:right w:val="nil"/>
            </w:tcBorders>
            <w:shd w:val="clear" w:color="000000" w:fill="BAE18F"/>
            <w:noWrap/>
            <w:vAlign w:val="center"/>
            <w:hideMark/>
          </w:tcPr>
          <w:p w:rsidRPr="00833576" w:rsidR="005066C3" w:rsidP="005066C3" w:rsidRDefault="005066C3" w14:paraId="258939A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5066C3" w:rsidP="005066C3" w:rsidRDefault="005066C3" w14:paraId="1C758EEA"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1.50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5066C3" w:rsidP="005066C3" w:rsidRDefault="000E65BB" w14:paraId="64F87947" w14:textId="52DBF806">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102.58</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5066C3" w:rsidP="005066C3" w:rsidRDefault="005066C3" w14:paraId="2B518391" w14:textId="6FBD18B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943AB5">
              <w:rPr>
                <w:rFonts w:eastAsia="Times New Roman" w:cs="Times New Roman"/>
                <w:b/>
                <w:bCs/>
                <w:color w:val="FFFFFF"/>
                <w:sz w:val="17"/>
                <w:szCs w:val="17"/>
              </w:rPr>
              <w:t>153.87</w:t>
            </w:r>
          </w:p>
        </w:tc>
      </w:tr>
      <w:tr w:rsidRPr="00833576" w:rsidR="005066C3" w:rsidTr="00F23F4B" w14:paraId="1B86D272" w14:textId="77777777">
        <w:trPr>
          <w:trHeight w:val="230"/>
        </w:trPr>
        <w:tc>
          <w:tcPr>
            <w:tcW w:w="1430"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0570A35D"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4D37D6AA"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5066C3" w:rsidP="005066C3" w:rsidRDefault="005066C3" w14:paraId="72331437" w14:textId="72E66931">
            <w:pPr>
              <w:spacing w:line="240" w:lineRule="auto"/>
              <w:rPr>
                <w:rFonts w:eastAsia="Times New Roman" w:cs="Times New Roman"/>
                <w:color w:val="2F2F2F"/>
                <w:sz w:val="17"/>
                <w:szCs w:val="17"/>
              </w:rPr>
            </w:pPr>
            <w:r w:rsidRPr="00833576">
              <w:rPr>
                <w:rFonts w:eastAsia="Times New Roman" w:cs="Times New Roman"/>
                <w:color w:val="2F2F2F"/>
                <w:sz w:val="17"/>
                <w:szCs w:val="17"/>
              </w:rPr>
              <w:t xml:space="preserve">Industry Experts Interview Recruitment </w:t>
            </w:r>
            <w:r>
              <w:rPr>
                <w:rFonts w:eastAsia="Times New Roman" w:cs="Times New Roman"/>
                <w:color w:val="2F2F2F"/>
                <w:sz w:val="17"/>
                <w:szCs w:val="17"/>
              </w:rPr>
              <w:t xml:space="preserve">Email </w:t>
            </w:r>
            <w:r w:rsidRPr="00833576">
              <w:rPr>
                <w:rFonts w:eastAsia="Times New Roman" w:cs="Times New Roman"/>
                <w:color w:val="2F2F2F"/>
                <w:sz w:val="17"/>
                <w:szCs w:val="17"/>
              </w:rPr>
              <w:t xml:space="preserve">2 </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2C9B87B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9</w:t>
            </w:r>
          </w:p>
        </w:tc>
        <w:tc>
          <w:tcPr>
            <w:tcW w:w="0" w:type="auto"/>
            <w:tcBorders>
              <w:top w:val="single" w:color="3A3838" w:sz="4" w:space="0"/>
              <w:left w:val="single" w:color="3A3838" w:sz="4" w:space="0"/>
              <w:bottom w:val="single" w:color="3A3838" w:sz="4" w:space="0"/>
              <w:right w:val="single" w:color="3A3838" w:sz="4" w:space="0"/>
            </w:tcBorders>
            <w:shd w:val="clear" w:color="000000" w:fill="BAE18F"/>
            <w:vAlign w:val="center"/>
            <w:hideMark/>
          </w:tcPr>
          <w:p w:rsidRPr="00833576" w:rsidR="005066C3" w:rsidP="005066C3" w:rsidRDefault="005066C3" w14:paraId="65B2CD4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5066C3" w:rsidP="005066C3" w:rsidRDefault="005066C3" w14:paraId="1778F28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15FE176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FD5119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3C102CF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399BD2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BFB18B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7AF065F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7383CE9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5066C3" w:rsidP="005066C3" w:rsidRDefault="005066C3" w14:paraId="2299D41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0.24</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5066C3" w:rsidP="005066C3" w:rsidRDefault="005066C3" w14:paraId="026B6B94"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0.29</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5066C3" w:rsidP="005066C3" w:rsidRDefault="000E65BB" w14:paraId="6E0AB6B9" w14:textId="75B910BA">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102.58</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5066C3" w:rsidP="005066C3" w:rsidRDefault="005066C3" w14:paraId="2C10CCA0" w14:textId="7C55A9A1">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F15D53">
              <w:rPr>
                <w:rFonts w:eastAsia="Times New Roman" w:cs="Times New Roman"/>
                <w:b/>
                <w:bCs/>
                <w:color w:val="FFFFFF"/>
                <w:sz w:val="17"/>
                <w:szCs w:val="17"/>
              </w:rPr>
              <w:t>29.75</w:t>
            </w:r>
          </w:p>
        </w:tc>
      </w:tr>
      <w:tr w:rsidRPr="00833576" w:rsidR="005066C3" w:rsidTr="00F23F4B" w14:paraId="30B77C05" w14:textId="77777777">
        <w:trPr>
          <w:trHeight w:val="230"/>
        </w:trPr>
        <w:tc>
          <w:tcPr>
            <w:tcW w:w="1430"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1E441B5C"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35DA57E3"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5066C3" w:rsidP="005066C3" w:rsidRDefault="005066C3" w14:paraId="146A738A" w14:textId="475D2E46">
            <w:pPr>
              <w:spacing w:line="240" w:lineRule="auto"/>
              <w:rPr>
                <w:rFonts w:eastAsia="Times New Roman" w:cs="Times New Roman"/>
                <w:color w:val="2F2F2F"/>
                <w:sz w:val="17"/>
                <w:szCs w:val="17"/>
              </w:rPr>
            </w:pPr>
            <w:r w:rsidRPr="00833576">
              <w:rPr>
                <w:rFonts w:eastAsia="Times New Roman" w:cs="Times New Roman"/>
                <w:color w:val="2F2F2F"/>
                <w:sz w:val="17"/>
                <w:szCs w:val="17"/>
              </w:rPr>
              <w:t>Industry Experts Interview Recruitment Phone Call Script</w:t>
            </w:r>
            <w:r>
              <w:rPr>
                <w:rFonts w:eastAsia="Times New Roman" w:cs="Times New Roman"/>
                <w:color w:val="2F2F2F"/>
                <w:sz w:val="17"/>
                <w:szCs w:val="17"/>
              </w:rPr>
              <w:t xml:space="preserve"> 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2DF20F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8</w:t>
            </w:r>
          </w:p>
        </w:tc>
        <w:tc>
          <w:tcPr>
            <w:tcW w:w="0" w:type="auto"/>
            <w:tcBorders>
              <w:top w:val="nil"/>
              <w:left w:val="single" w:color="3A3838" w:sz="4" w:space="0"/>
              <w:bottom w:val="single" w:color="3A3838" w:sz="4" w:space="0"/>
              <w:right w:val="single" w:color="3A3838" w:sz="4" w:space="0"/>
            </w:tcBorders>
            <w:shd w:val="clear" w:color="000000" w:fill="BAE18F"/>
            <w:vAlign w:val="center"/>
            <w:hideMark/>
          </w:tcPr>
          <w:p w:rsidRPr="00833576" w:rsidR="005066C3" w:rsidP="005066C3" w:rsidRDefault="005066C3" w14:paraId="5500878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5066C3" w:rsidP="005066C3" w:rsidRDefault="005066C3" w14:paraId="105C6A8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46EF1F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6F456A6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51074F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0.17</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73642FB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6587C00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23DF5F4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B58101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nil"/>
            </w:tcBorders>
            <w:shd w:val="clear" w:color="000000" w:fill="BAE18F"/>
            <w:noWrap/>
            <w:vAlign w:val="center"/>
            <w:hideMark/>
          </w:tcPr>
          <w:p w:rsidRPr="00833576" w:rsidR="005066C3" w:rsidP="005066C3" w:rsidRDefault="005066C3" w14:paraId="0C6E63F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0.18</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5066C3" w:rsidP="005066C3" w:rsidRDefault="005066C3" w14:paraId="01FE3FF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0.43</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5066C3" w:rsidP="005066C3" w:rsidRDefault="000E65BB" w14:paraId="11E7DD64" w14:textId="0940D06C">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102.58</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5066C3" w:rsidP="005066C3" w:rsidRDefault="005066C3" w14:paraId="0724FAD5" w14:textId="2095F62F">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F15D53">
              <w:rPr>
                <w:rFonts w:eastAsia="Times New Roman" w:cs="Times New Roman"/>
                <w:b/>
                <w:bCs/>
                <w:color w:val="FFFFFF"/>
                <w:sz w:val="17"/>
                <w:szCs w:val="17"/>
              </w:rPr>
              <w:t>44.11</w:t>
            </w:r>
          </w:p>
        </w:tc>
      </w:tr>
      <w:tr w:rsidRPr="00833576" w:rsidR="005066C3" w:rsidTr="00F23F4B" w14:paraId="0A759641" w14:textId="77777777">
        <w:trPr>
          <w:trHeight w:val="230"/>
        </w:trPr>
        <w:tc>
          <w:tcPr>
            <w:tcW w:w="1430"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0A1D9FF7"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2D8E7989"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5066C3" w:rsidP="005066C3" w:rsidRDefault="005066C3" w14:paraId="4DD93617" w14:textId="10780C46">
            <w:pPr>
              <w:spacing w:line="240" w:lineRule="auto"/>
              <w:rPr>
                <w:rFonts w:eastAsia="Times New Roman" w:cs="Times New Roman"/>
                <w:color w:val="2F2F2F"/>
                <w:sz w:val="17"/>
                <w:szCs w:val="17"/>
              </w:rPr>
            </w:pPr>
            <w:r w:rsidRPr="00833576">
              <w:rPr>
                <w:rFonts w:eastAsia="Times New Roman" w:cs="Times New Roman"/>
                <w:color w:val="2F2F2F"/>
                <w:sz w:val="17"/>
                <w:szCs w:val="17"/>
              </w:rPr>
              <w:t>Industry Experts Interview Recruitment Email</w:t>
            </w:r>
            <w:r>
              <w:rPr>
                <w:rFonts w:eastAsia="Times New Roman" w:cs="Times New Roman"/>
                <w:color w:val="2F2F2F"/>
                <w:sz w:val="17"/>
                <w:szCs w:val="17"/>
              </w:rPr>
              <w:t xml:space="preserve"> 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20FCE87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nil"/>
              <w:left w:val="single" w:color="3A3838" w:sz="4" w:space="0"/>
              <w:bottom w:val="single" w:color="3A3838" w:sz="4" w:space="0"/>
              <w:right w:val="single" w:color="3A3838" w:sz="4" w:space="0"/>
            </w:tcBorders>
            <w:shd w:val="clear" w:color="000000" w:fill="BAE18F"/>
            <w:vAlign w:val="center"/>
            <w:hideMark/>
          </w:tcPr>
          <w:p w:rsidRPr="00833576" w:rsidR="005066C3" w:rsidP="005066C3" w:rsidRDefault="005066C3" w14:paraId="216F34D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5066C3" w:rsidP="005066C3" w:rsidRDefault="005066C3" w14:paraId="4249D4A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256FA9E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7D6460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02497A7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7EB439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778C484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BBDAF8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1703788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5066C3" w:rsidP="005066C3" w:rsidRDefault="005066C3" w14:paraId="7B33AC8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0.15</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5066C3" w:rsidP="005066C3" w:rsidRDefault="005066C3" w14:paraId="086DCC6C"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0.23</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5066C3" w:rsidP="005066C3" w:rsidRDefault="000E65BB" w14:paraId="774812F0" w14:textId="0B6364C4">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102.58</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5066C3" w:rsidP="005066C3" w:rsidRDefault="005066C3" w14:paraId="230B7AE0" w14:textId="5688B283">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5F6E8E">
              <w:rPr>
                <w:rFonts w:eastAsia="Times New Roman" w:cs="Times New Roman"/>
                <w:b/>
                <w:bCs/>
                <w:color w:val="FFFFFF"/>
                <w:sz w:val="17"/>
                <w:szCs w:val="17"/>
              </w:rPr>
              <w:t>23.59</w:t>
            </w:r>
          </w:p>
        </w:tc>
      </w:tr>
      <w:tr w:rsidRPr="00833576" w:rsidR="005066C3" w:rsidTr="00F23F4B" w14:paraId="79A7CF3A" w14:textId="77777777">
        <w:trPr>
          <w:trHeight w:val="230"/>
        </w:trPr>
        <w:tc>
          <w:tcPr>
            <w:tcW w:w="1430"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5C11FBE6"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38F9A0EA"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5066C3" w:rsidP="005066C3" w:rsidRDefault="005066C3" w14:paraId="5B9EFC3C" w14:textId="687B92E6">
            <w:pPr>
              <w:spacing w:line="240" w:lineRule="auto"/>
              <w:rPr>
                <w:rFonts w:eastAsia="Times New Roman" w:cs="Times New Roman"/>
                <w:color w:val="2F2F2F"/>
                <w:sz w:val="17"/>
                <w:szCs w:val="17"/>
              </w:rPr>
            </w:pPr>
            <w:r w:rsidRPr="00833576">
              <w:rPr>
                <w:rFonts w:eastAsia="Times New Roman" w:cs="Times New Roman"/>
                <w:color w:val="2F2F2F"/>
                <w:sz w:val="17"/>
                <w:szCs w:val="17"/>
              </w:rPr>
              <w:t>Industry Experts Interview Recruitment Phone Call Script</w:t>
            </w:r>
            <w:r>
              <w:rPr>
                <w:rFonts w:eastAsia="Times New Roman" w:cs="Times New Roman"/>
                <w:color w:val="2F2F2F"/>
                <w:sz w:val="17"/>
                <w:szCs w:val="17"/>
              </w:rPr>
              <w:t xml:space="preserve"> 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7D3F71B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nil"/>
              <w:left w:val="single" w:color="3A3838" w:sz="4" w:space="0"/>
              <w:bottom w:val="single" w:color="3A3838" w:sz="4" w:space="0"/>
              <w:right w:val="single" w:color="3A3838" w:sz="4" w:space="0"/>
            </w:tcBorders>
            <w:shd w:val="clear" w:color="000000" w:fill="BAE18F"/>
            <w:vAlign w:val="center"/>
            <w:hideMark/>
          </w:tcPr>
          <w:p w:rsidRPr="00833576" w:rsidR="005066C3" w:rsidP="005066C3" w:rsidRDefault="005066C3" w14:paraId="05FA9D9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5066C3" w:rsidP="005066C3" w:rsidRDefault="005066C3" w14:paraId="7A7BE27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7DAB2BA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2AB6391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2BB8698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5CB5B29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191346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7A95372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5066C3" w:rsidP="005066C3" w:rsidRDefault="005066C3" w14:paraId="4972A3A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nil"/>
            </w:tcBorders>
            <w:shd w:val="clear" w:color="000000" w:fill="BAE18F"/>
            <w:noWrap/>
            <w:vAlign w:val="center"/>
            <w:hideMark/>
          </w:tcPr>
          <w:p w:rsidRPr="00833576" w:rsidR="005066C3" w:rsidP="005066C3" w:rsidRDefault="005066C3" w14:paraId="4DFDCDB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0.32</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5066C3" w:rsidP="005066C3" w:rsidRDefault="005066C3" w14:paraId="1CCA6D61"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0.33</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5066C3" w:rsidP="005066C3" w:rsidRDefault="000E65BB" w14:paraId="1CD2F20A" w14:textId="289C747E">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102.58</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5066C3" w:rsidP="005066C3" w:rsidRDefault="005066C3" w14:paraId="639C2E44" w14:textId="3888CF3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5F6E8E">
              <w:rPr>
                <w:rFonts w:eastAsia="Times New Roman" w:cs="Times New Roman"/>
                <w:b/>
                <w:bCs/>
                <w:color w:val="FFFFFF"/>
                <w:sz w:val="17"/>
                <w:szCs w:val="17"/>
              </w:rPr>
              <w:t>33.85</w:t>
            </w:r>
          </w:p>
        </w:tc>
      </w:tr>
      <w:tr w:rsidRPr="00833576" w:rsidR="005066C3" w:rsidTr="00F23F4B" w14:paraId="5C37FCD9" w14:textId="77777777">
        <w:trPr>
          <w:trHeight w:val="570"/>
        </w:trPr>
        <w:tc>
          <w:tcPr>
            <w:tcW w:w="1430"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35C5CCD2"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004F6BBC"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C1F0FF"/>
            <w:vAlign w:val="center"/>
            <w:hideMark/>
          </w:tcPr>
          <w:p w:rsidRPr="00833576" w:rsidR="005066C3" w:rsidP="005066C3" w:rsidRDefault="005066C3" w14:paraId="01E4BDCD"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Conducting How States Safeguard SNAP Participant PII Semi-Structured Interview - Industry Experts (Data Collection)</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3F52254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single" w:color="auto" w:sz="4" w:space="0"/>
              <w:left w:val="nil"/>
              <w:bottom w:val="single" w:color="auto" w:sz="4" w:space="0"/>
              <w:right w:val="single" w:color="auto" w:sz="4" w:space="0"/>
            </w:tcBorders>
            <w:shd w:val="clear" w:color="000000" w:fill="C1F0FF"/>
            <w:noWrap/>
            <w:vAlign w:val="center"/>
            <w:hideMark/>
          </w:tcPr>
          <w:p w:rsidRPr="00833576" w:rsidR="005066C3" w:rsidP="005066C3" w:rsidRDefault="005066C3" w14:paraId="4D6D322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712906F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4DFDDA1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1EA3CD5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0D0A470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5.00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5E545E2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65AD640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47E404B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5066C3" w:rsidP="005066C3" w:rsidRDefault="005066C3" w14:paraId="1194B61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nil"/>
              <w:bottom w:val="single" w:color="auto" w:sz="4" w:space="0"/>
              <w:right w:val="nil"/>
            </w:tcBorders>
            <w:shd w:val="clear" w:color="000000" w:fill="C1F0FF"/>
            <w:noWrap/>
            <w:vAlign w:val="center"/>
            <w:hideMark/>
          </w:tcPr>
          <w:p w:rsidRPr="00833576" w:rsidR="005066C3" w:rsidP="005066C3" w:rsidRDefault="005066C3" w14:paraId="111A8E9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5066C3" w:rsidP="005066C3" w:rsidRDefault="005066C3" w14:paraId="42DDD2FC"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5.00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5066C3" w:rsidP="005066C3" w:rsidRDefault="000E65BB" w14:paraId="52F3DEFE" w14:textId="1A72AC86">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102.58</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5066C3" w:rsidP="005066C3" w:rsidRDefault="005066C3" w14:paraId="70BEA11E" w14:textId="51EDD27A">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4D12BD">
              <w:rPr>
                <w:rFonts w:eastAsia="Times New Roman" w:cs="Times New Roman"/>
                <w:b/>
                <w:bCs/>
                <w:color w:val="FFFFFF"/>
                <w:sz w:val="17"/>
                <w:szCs w:val="17"/>
              </w:rPr>
              <w:t>512.90</w:t>
            </w:r>
          </w:p>
        </w:tc>
      </w:tr>
      <w:tr w:rsidRPr="00833576" w:rsidR="005066C3" w:rsidTr="00F23F4B" w14:paraId="56514712" w14:textId="77777777">
        <w:trPr>
          <w:trHeight w:val="240"/>
        </w:trPr>
        <w:tc>
          <w:tcPr>
            <w:tcW w:w="1430"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6AEC01E6"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5066C3" w:rsidP="005066C3" w:rsidRDefault="005066C3" w14:paraId="7B11B210" w14:textId="77777777">
            <w:pPr>
              <w:spacing w:line="240" w:lineRule="auto"/>
              <w:rPr>
                <w:rFonts w:eastAsia="Times New Roman" w:cs="Times New Roman"/>
                <w:color w:val="2F2F2F"/>
                <w:sz w:val="17"/>
                <w:szCs w:val="17"/>
              </w:rPr>
            </w:pPr>
          </w:p>
        </w:tc>
        <w:tc>
          <w:tcPr>
            <w:tcW w:w="0" w:type="auto"/>
            <w:tcBorders>
              <w:top w:val="nil"/>
              <w:left w:val="nil"/>
              <w:bottom w:val="single" w:color="auto" w:sz="8" w:space="0"/>
              <w:right w:val="single" w:color="auto" w:sz="4" w:space="0"/>
            </w:tcBorders>
            <w:shd w:val="clear" w:color="000000" w:fill="FFEDC9"/>
            <w:vAlign w:val="center"/>
            <w:hideMark/>
          </w:tcPr>
          <w:p w:rsidRPr="00833576" w:rsidR="005066C3" w:rsidP="005066C3" w:rsidRDefault="005066C3" w14:paraId="70E90406"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Thank-You Email to Study Participants</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364C4FE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28A1C57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6120D4F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43981D0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3D9E0F4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73BBDA3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08AEA91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2F9A048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42AC0D0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5066C3" w:rsidP="005066C3" w:rsidRDefault="005066C3" w14:paraId="5D7C8D8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8" w:space="0"/>
              <w:right w:val="nil"/>
            </w:tcBorders>
            <w:shd w:val="clear" w:color="000000" w:fill="FFEDC9"/>
            <w:noWrap/>
            <w:vAlign w:val="center"/>
            <w:hideMark/>
          </w:tcPr>
          <w:p w:rsidRPr="00833576" w:rsidR="005066C3" w:rsidP="005066C3" w:rsidRDefault="005066C3" w14:paraId="0E4F230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8" w:space="0"/>
              <w:right w:val="single" w:color="auto" w:sz="4" w:space="0"/>
            </w:tcBorders>
            <w:shd w:val="clear" w:color="000000" w:fill="009CD3"/>
            <w:noWrap/>
            <w:vAlign w:val="center"/>
            <w:hideMark/>
          </w:tcPr>
          <w:p w:rsidRPr="00833576" w:rsidR="005066C3" w:rsidP="005066C3" w:rsidRDefault="005066C3" w14:paraId="0D0098D8"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0.25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5066C3" w:rsidP="005066C3" w:rsidRDefault="000E65BB" w14:paraId="6AF45841" w14:textId="146B874F">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102.58</w:t>
            </w:r>
          </w:p>
        </w:tc>
        <w:tc>
          <w:tcPr>
            <w:tcW w:w="0" w:type="auto"/>
            <w:tcBorders>
              <w:top w:val="nil"/>
              <w:left w:val="nil"/>
              <w:bottom w:val="single" w:color="auto" w:sz="8" w:space="0"/>
              <w:right w:val="single" w:color="auto" w:sz="8" w:space="0"/>
            </w:tcBorders>
            <w:shd w:val="clear" w:color="000000" w:fill="009CD3"/>
            <w:noWrap/>
            <w:vAlign w:val="center"/>
            <w:hideMark/>
          </w:tcPr>
          <w:p w:rsidRPr="00833576" w:rsidR="005066C3" w:rsidP="005066C3" w:rsidRDefault="005066C3" w14:paraId="3AEAA1E3" w14:textId="58DF1E6E">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4E39F0">
              <w:rPr>
                <w:rFonts w:eastAsia="Times New Roman" w:cs="Times New Roman"/>
                <w:b/>
                <w:bCs/>
                <w:color w:val="FFFFFF"/>
                <w:sz w:val="17"/>
                <w:szCs w:val="17"/>
              </w:rPr>
              <w:t>25.65</w:t>
            </w:r>
          </w:p>
        </w:tc>
      </w:tr>
      <w:tr w:rsidRPr="00833576" w:rsidR="00080515" w:rsidTr="00F23F4B" w14:paraId="37EB9633" w14:textId="77777777">
        <w:trPr>
          <w:trHeight w:val="290"/>
        </w:trPr>
        <w:tc>
          <w:tcPr>
            <w:tcW w:w="1430"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072073EE" w14:textId="77777777">
            <w:pPr>
              <w:spacing w:line="240" w:lineRule="auto"/>
              <w:rPr>
                <w:rFonts w:eastAsia="Times New Roman" w:cs="Times New Roman"/>
                <w:b/>
                <w:bCs/>
                <w:color w:val="2F2F2F"/>
                <w:sz w:val="17"/>
                <w:szCs w:val="17"/>
              </w:rPr>
            </w:pPr>
          </w:p>
        </w:tc>
        <w:tc>
          <w:tcPr>
            <w:tcW w:w="4959" w:type="dxa"/>
            <w:gridSpan w:val="2"/>
            <w:tcBorders>
              <w:top w:val="single" w:color="auto" w:sz="8" w:space="0"/>
              <w:left w:val="nil"/>
              <w:bottom w:val="single" w:color="auto" w:sz="8" w:space="0"/>
              <w:right w:val="nil"/>
            </w:tcBorders>
            <w:shd w:val="clear" w:color="000000" w:fill="E7E6E6"/>
            <w:vAlign w:val="center"/>
            <w:hideMark/>
          </w:tcPr>
          <w:p w:rsidRPr="00833576" w:rsidR="003F3620" w:rsidP="003F3620" w:rsidRDefault="003F3620" w14:paraId="030C24A4" w14:textId="77777777">
            <w:pPr>
              <w:spacing w:line="240" w:lineRule="auto"/>
              <w:rPr>
                <w:rFonts w:eastAsia="Times New Roman" w:cs="Times New Roman"/>
                <w:b/>
                <w:bCs/>
                <w:color w:val="2F2F2F"/>
                <w:sz w:val="17"/>
                <w:szCs w:val="17"/>
              </w:rPr>
            </w:pPr>
            <w:r w:rsidRPr="00833576">
              <w:rPr>
                <w:rFonts w:eastAsia="Times New Roman" w:cs="Times New Roman"/>
                <w:b/>
                <w:bCs/>
                <w:color w:val="2F2F2F"/>
                <w:sz w:val="17"/>
                <w:szCs w:val="17"/>
              </w:rPr>
              <w:t>Private/Commercial Industry Subtotal</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03E65D61"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10</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379915C0"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5</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934045" w14:paraId="06E44A79"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5</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7F09C571"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2</w:t>
            </w:r>
            <w:r w:rsidRPr="00833576" w:rsidR="00934045">
              <w:rPr>
                <w:rFonts w:eastAsia="Times New Roman" w:cs="Times New Roman"/>
                <w:b/>
                <w:bCs/>
                <w:color w:val="2F2F2F"/>
                <w:sz w:val="17"/>
                <w:szCs w:val="17"/>
              </w:rPr>
              <w:t>5</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34E876D0"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0.28</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5522DFA7"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7.</w:t>
            </w:r>
            <w:r w:rsidRPr="00833576" w:rsidR="00934045">
              <w:rPr>
                <w:rFonts w:eastAsia="Times New Roman" w:cs="Times New Roman"/>
                <w:b/>
                <w:bCs/>
                <w:color w:val="2F2F2F"/>
                <w:sz w:val="17"/>
                <w:szCs w:val="17"/>
              </w:rPr>
              <w:t>06</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35EAFE8F"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5</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ED34F3" w14:paraId="13347537"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7</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5E817A79"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3</w:t>
            </w:r>
            <w:r w:rsidRPr="00833576" w:rsidR="00ED34F3">
              <w:rPr>
                <w:rFonts w:eastAsia="Times New Roman" w:cs="Times New Roman"/>
                <w:b/>
                <w:bCs/>
                <w:color w:val="2F2F2F"/>
                <w:sz w:val="17"/>
                <w:szCs w:val="17"/>
              </w:rPr>
              <w:t>5</w:t>
            </w:r>
          </w:p>
        </w:tc>
        <w:tc>
          <w:tcPr>
            <w:tcW w:w="0" w:type="auto"/>
            <w:tcBorders>
              <w:top w:val="nil"/>
              <w:left w:val="nil"/>
              <w:bottom w:val="single" w:color="auto" w:sz="8" w:space="0"/>
              <w:right w:val="single" w:color="auto" w:sz="4" w:space="0"/>
            </w:tcBorders>
            <w:shd w:val="clear" w:color="000000" w:fill="E7E6E6"/>
            <w:noWrap/>
            <w:vAlign w:val="center"/>
            <w:hideMark/>
          </w:tcPr>
          <w:p w:rsidRPr="00833576" w:rsidR="003F3620" w:rsidP="00A76A6B" w:rsidRDefault="003F3620" w14:paraId="28445657"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0.04</w:t>
            </w:r>
          </w:p>
        </w:tc>
        <w:tc>
          <w:tcPr>
            <w:tcW w:w="0" w:type="auto"/>
            <w:tcBorders>
              <w:top w:val="nil"/>
              <w:left w:val="nil"/>
              <w:bottom w:val="single" w:color="auto" w:sz="8" w:space="0"/>
              <w:right w:val="nil"/>
            </w:tcBorders>
            <w:shd w:val="clear" w:color="000000" w:fill="E7E6E6"/>
            <w:noWrap/>
            <w:vAlign w:val="center"/>
            <w:hideMark/>
          </w:tcPr>
          <w:p w:rsidRPr="00833576" w:rsidR="003F3620" w:rsidP="00A76A6B" w:rsidRDefault="003F3620" w14:paraId="60B10E09"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w:t>
            </w:r>
            <w:r w:rsidRPr="00833576" w:rsidR="00ED34F3">
              <w:rPr>
                <w:rFonts w:eastAsia="Times New Roman" w:cs="Times New Roman"/>
                <w:b/>
                <w:bCs/>
                <w:color w:val="2F2F2F"/>
                <w:sz w:val="17"/>
                <w:szCs w:val="17"/>
              </w:rPr>
              <w:t>29</w:t>
            </w:r>
          </w:p>
        </w:tc>
        <w:tc>
          <w:tcPr>
            <w:tcW w:w="0" w:type="auto"/>
            <w:tcBorders>
              <w:top w:val="nil"/>
              <w:left w:val="single" w:color="auto" w:sz="8" w:space="0"/>
              <w:bottom w:val="single" w:color="auto" w:sz="8" w:space="0"/>
              <w:right w:val="single" w:color="auto" w:sz="4" w:space="0"/>
            </w:tcBorders>
            <w:shd w:val="clear" w:color="000000" w:fill="E7E6E6"/>
            <w:noWrap/>
            <w:vAlign w:val="center"/>
            <w:hideMark/>
          </w:tcPr>
          <w:p w:rsidRPr="00833576" w:rsidR="003F3620" w:rsidP="00A76A6B" w:rsidRDefault="003F3620" w14:paraId="03746596"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8.3</w:t>
            </w:r>
            <w:r w:rsidRPr="00833576" w:rsidR="00ED34F3">
              <w:rPr>
                <w:rFonts w:eastAsia="Times New Roman" w:cs="Times New Roman"/>
                <w:b/>
                <w:bCs/>
                <w:color w:val="2F2F2F"/>
                <w:sz w:val="17"/>
                <w:szCs w:val="17"/>
              </w:rPr>
              <w:t>5</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A76A6B" w:rsidRDefault="003F3620" w14:paraId="2369D7B4" w14:textId="58C4E631">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000E65BB">
              <w:rPr>
                <w:rFonts w:eastAsia="Times New Roman" w:cs="Times New Roman"/>
                <w:b/>
                <w:bCs/>
                <w:color w:val="2F2F2F"/>
                <w:sz w:val="17"/>
                <w:szCs w:val="17"/>
              </w:rPr>
              <w:t>102.58</w:t>
            </w:r>
          </w:p>
        </w:tc>
        <w:tc>
          <w:tcPr>
            <w:tcW w:w="0" w:type="auto"/>
            <w:tcBorders>
              <w:top w:val="nil"/>
              <w:left w:val="nil"/>
              <w:bottom w:val="single" w:color="auto" w:sz="8" w:space="0"/>
              <w:right w:val="single" w:color="auto" w:sz="8" w:space="0"/>
            </w:tcBorders>
            <w:shd w:val="clear" w:color="000000" w:fill="E7E6E6"/>
            <w:noWrap/>
            <w:vAlign w:val="center"/>
            <w:hideMark/>
          </w:tcPr>
          <w:p w:rsidRPr="00833576" w:rsidR="003F3620" w:rsidP="00A76A6B" w:rsidRDefault="003F3620" w14:paraId="2E84CE50" w14:textId="1D6D2E03">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004E39F0">
              <w:rPr>
                <w:rFonts w:eastAsia="Times New Roman" w:cs="Times New Roman"/>
                <w:b/>
                <w:bCs/>
                <w:color w:val="2F2F2F"/>
                <w:sz w:val="17"/>
                <w:szCs w:val="17"/>
              </w:rPr>
              <w:t>856.5</w:t>
            </w:r>
            <w:r w:rsidR="00BA480E">
              <w:rPr>
                <w:rFonts w:eastAsia="Times New Roman" w:cs="Times New Roman"/>
                <w:b/>
                <w:bCs/>
                <w:color w:val="2F2F2F"/>
                <w:sz w:val="17"/>
                <w:szCs w:val="17"/>
              </w:rPr>
              <w:t>5</w:t>
            </w:r>
          </w:p>
        </w:tc>
      </w:tr>
      <w:tr w:rsidRPr="00833576" w:rsidR="00974DE9" w:rsidTr="00F23F4B" w14:paraId="64083243" w14:textId="77777777">
        <w:trPr>
          <w:trHeight w:val="290"/>
        </w:trPr>
        <w:tc>
          <w:tcPr>
            <w:tcW w:w="1430" w:type="dxa"/>
            <w:vMerge w:val="restart"/>
            <w:tcBorders>
              <w:top w:val="nil"/>
              <w:left w:val="single" w:color="auto" w:sz="8" w:space="0"/>
              <w:bottom w:val="single" w:color="000000" w:sz="8" w:space="0"/>
              <w:right w:val="nil"/>
            </w:tcBorders>
            <w:shd w:val="clear" w:color="000000" w:fill="C1F0FF"/>
            <w:vAlign w:val="center"/>
            <w:hideMark/>
          </w:tcPr>
          <w:p w:rsidRPr="00833576" w:rsidR="003F3620" w:rsidP="003F3620" w:rsidRDefault="003F3620" w14:paraId="63EDF2C6"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State Government</w:t>
            </w:r>
          </w:p>
        </w:tc>
        <w:tc>
          <w:tcPr>
            <w:tcW w:w="2228" w:type="dxa"/>
            <w:vMerge w:val="restart"/>
            <w:tcBorders>
              <w:top w:val="nil"/>
              <w:left w:val="single" w:color="auto" w:sz="8" w:space="0"/>
              <w:bottom w:val="single" w:color="000000" w:sz="8" w:space="0"/>
              <w:right w:val="single" w:color="auto" w:sz="8" w:space="0"/>
            </w:tcBorders>
            <w:shd w:val="clear" w:color="auto" w:fill="auto"/>
            <w:vAlign w:val="center"/>
            <w:hideMark/>
          </w:tcPr>
          <w:p w:rsidRPr="00833576" w:rsidR="003F3620" w:rsidP="003F3620" w:rsidRDefault="003F3620" w14:paraId="3A87846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SA Directors**</w:t>
            </w: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7BEE26AC"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Notification Email (Web Survey with Link)</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A4E7F7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07D7A3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8C62C1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595D98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0C6D6D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25140C">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72D35A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2.65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C6EF91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856C98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47D7EA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D6FD0D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55AA8BB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0ABF92C7"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2.65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3F3620" w14:paraId="726E89D9" w14:textId="2DE798CA">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0152FF">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15AB3475" w14:textId="0D5AF74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E6039D">
              <w:rPr>
                <w:rFonts w:eastAsia="Times New Roman" w:cs="Times New Roman"/>
                <w:b/>
                <w:bCs/>
                <w:color w:val="FFFFFF"/>
                <w:sz w:val="17"/>
                <w:szCs w:val="17"/>
              </w:rPr>
              <w:t>179.56</w:t>
            </w:r>
          </w:p>
        </w:tc>
      </w:tr>
      <w:tr w:rsidRPr="00833576" w:rsidR="00974DE9" w:rsidTr="00F23F4B" w14:paraId="5FD42B49"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297D124D"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3E33E545"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67EF64FA"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Frequently Asked Questions (FAQs) - Web Survey</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601ADA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96FA98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BC83D7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BEA133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DF0AFF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970E30">
              <w:rPr>
                <w:rFonts w:eastAsia="Times New Roman" w:cs="Times New Roman"/>
                <w:color w:val="2F2F2F"/>
                <w:sz w:val="17"/>
                <w:szCs w:val="17"/>
              </w:rPr>
              <w:t>15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59ADE3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7.95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14C7F6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EC1A4C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5DB763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F538CA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9762C1">
              <w:rPr>
                <w:rFonts w:eastAsia="Times New Roman" w:cs="Times New Roman"/>
                <w:color w:val="2F2F2F"/>
                <w:sz w:val="17"/>
                <w:szCs w:val="17"/>
              </w:rPr>
              <w:t>15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4347A6A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2ED03EBD"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7.95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3F3620" w14:paraId="0603A0BF" w14:textId="06091425">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CA6ACF">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543A68D2" w14:textId="21006E45">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5E771B">
              <w:rPr>
                <w:rFonts w:eastAsia="Times New Roman" w:cs="Times New Roman"/>
                <w:b/>
                <w:bCs/>
                <w:color w:val="FFFFFF"/>
                <w:sz w:val="17"/>
                <w:szCs w:val="17"/>
              </w:rPr>
              <w:t>583.69</w:t>
            </w:r>
          </w:p>
        </w:tc>
      </w:tr>
      <w:tr w:rsidRPr="00833576" w:rsidR="00974DE9" w:rsidTr="00F23F4B" w14:paraId="1BA519A0"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698D780B"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734326BE"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723244AD"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Reminder Email 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D81923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r w:rsidRPr="00833576" w:rsidR="005748E1">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ED31B1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3C2929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A7EEA9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1FAC27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0F212C">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C02B1E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E70F6D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r w:rsidRPr="00833576" w:rsidR="00AE6DA6">
              <w:rPr>
                <w:rFonts w:eastAsia="Times New Roman" w:cs="Times New Roman"/>
                <w:color w:val="2F2F2F"/>
                <w:sz w:val="17"/>
                <w:szCs w:val="17"/>
              </w:rPr>
              <w:t>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EBA67D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02EF6A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r w:rsidRPr="00833576" w:rsidR="000E55F2">
              <w:rPr>
                <w:rFonts w:eastAsia="Times New Roman" w:cs="Times New Roman"/>
                <w:color w:val="2F2F2F"/>
                <w:sz w:val="17"/>
                <w:szCs w:val="17"/>
              </w:rPr>
              <w:t>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4B84FA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1DD3EF3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CA563C">
              <w:rPr>
                <w:rFonts w:eastAsia="Times New Roman" w:cs="Times New Roman"/>
                <w:color w:val="2F2F2F"/>
                <w:sz w:val="17"/>
                <w:szCs w:val="17"/>
              </w:rPr>
              <w:t>44</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668BEF8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1.6</w:t>
            </w:r>
            <w:r w:rsidRPr="00833576" w:rsidR="003B116B">
              <w:rPr>
                <w:rFonts w:eastAsia="Times New Roman" w:cs="Times New Roman"/>
                <w:b/>
                <w:bCs/>
                <w:color w:val="FFFFFF"/>
                <w:sz w:val="17"/>
                <w:szCs w:val="17"/>
              </w:rPr>
              <w:t>9</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5E771B" w14:paraId="21703DB9" w14:textId="182FEDF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69FCA078" w14:textId="0F612516">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5E771B">
              <w:rPr>
                <w:rFonts w:eastAsia="Times New Roman" w:cs="Times New Roman"/>
                <w:b/>
                <w:bCs/>
                <w:color w:val="FFFFFF"/>
                <w:sz w:val="17"/>
                <w:szCs w:val="17"/>
              </w:rPr>
              <w:t>114.51</w:t>
            </w:r>
          </w:p>
        </w:tc>
      </w:tr>
      <w:tr w:rsidRPr="00833576" w:rsidR="00974DE9" w:rsidTr="00F23F4B" w14:paraId="6073D55F"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27D4D689"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2B36FD38"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779D10B4"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Reminder Email 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F96AE8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r w:rsidRPr="00833576" w:rsidR="00D44795">
              <w:rPr>
                <w:rFonts w:eastAsia="Times New Roman" w:cs="Times New Roman"/>
                <w:color w:val="2F2F2F"/>
                <w:sz w:val="17"/>
                <w:szCs w:val="17"/>
              </w:rPr>
              <w:t>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2B2ECB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5307A6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FD5A62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253F7F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0F212C">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A5D8C3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1D9C62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r w:rsidRPr="00833576" w:rsidR="00AE6DA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A9345F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EEF19D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r w:rsidRPr="00833576" w:rsidR="000E55F2">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5BF77D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0D6657F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1.2</w:t>
            </w:r>
            <w:r w:rsidRPr="00833576" w:rsidR="00CA563C">
              <w:rPr>
                <w:rFonts w:eastAsia="Times New Roman" w:cs="Times New Roman"/>
                <w:color w:val="2F2F2F"/>
                <w:sz w:val="17"/>
                <w:szCs w:val="17"/>
              </w:rPr>
              <w:t>9</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2A4A64AC"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1.5</w:t>
            </w:r>
            <w:r w:rsidRPr="00833576" w:rsidR="008D7EFF">
              <w:rPr>
                <w:rFonts w:eastAsia="Times New Roman" w:cs="Times New Roman"/>
                <w:b/>
                <w:bCs/>
                <w:color w:val="FFFFFF"/>
                <w:sz w:val="17"/>
                <w:szCs w:val="17"/>
              </w:rPr>
              <w:t>4</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5E771B" w14:paraId="0304D336" w14:textId="3834083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6B275EFC" w14:textId="5AC7BA52">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5E771B">
              <w:rPr>
                <w:rFonts w:eastAsia="Times New Roman" w:cs="Times New Roman"/>
                <w:b/>
                <w:bCs/>
                <w:color w:val="FFFFFF"/>
                <w:sz w:val="17"/>
                <w:szCs w:val="17"/>
              </w:rPr>
              <w:t>104.35</w:t>
            </w:r>
          </w:p>
        </w:tc>
      </w:tr>
      <w:tr w:rsidRPr="00833576" w:rsidR="00974DE9" w:rsidTr="00F23F4B" w14:paraId="49AEEEDE"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56CD769A"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234BCAAA"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2DAA91A2"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Reminder Email 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3A1BE5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r w:rsidRPr="00833576" w:rsidR="007A7DB8">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F0F8B7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266EE4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1CF4E7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902FC9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0F212C">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29FCA0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71725D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r w:rsidRPr="00833576" w:rsidR="00AE6DA6">
              <w:rPr>
                <w:rFonts w:eastAsia="Times New Roman" w:cs="Times New Roman"/>
                <w:color w:val="2F2F2F"/>
                <w:sz w:val="17"/>
                <w:szCs w:val="17"/>
              </w:rPr>
              <w:t>9</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E144EF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C268F6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r w:rsidRPr="00833576" w:rsidR="000E55F2">
              <w:rPr>
                <w:rFonts w:eastAsia="Times New Roman" w:cs="Times New Roman"/>
                <w:color w:val="2F2F2F"/>
                <w:sz w:val="17"/>
                <w:szCs w:val="17"/>
              </w:rPr>
              <w:t>9</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E595B2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550AF27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CA563C">
              <w:rPr>
                <w:rFonts w:eastAsia="Times New Roman" w:cs="Times New Roman"/>
                <w:color w:val="2F2F2F"/>
                <w:sz w:val="17"/>
                <w:szCs w:val="17"/>
              </w:rPr>
              <w:t>17</w:t>
            </w:r>
            <w:r w:rsidRPr="00833576">
              <w:rPr>
                <w:rFonts w:eastAsia="Times New Roman" w:cs="Times New Roman"/>
                <w:color w:val="2F2F2F"/>
                <w:sz w:val="17"/>
                <w:szCs w:val="17"/>
              </w:rPr>
              <w:t>8</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2004660C"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w:t>
            </w:r>
            <w:r w:rsidRPr="00833576" w:rsidR="008D7EFF">
              <w:rPr>
                <w:rFonts w:eastAsia="Times New Roman" w:cs="Times New Roman"/>
                <w:b/>
                <w:bCs/>
                <w:color w:val="FFFFFF"/>
                <w:sz w:val="17"/>
                <w:szCs w:val="17"/>
              </w:rPr>
              <w:t>37</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827CD3" w14:paraId="63CB9148" w14:textId="285742F5">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13915678" w14:textId="3D425992">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827CD3">
              <w:rPr>
                <w:rFonts w:eastAsia="Times New Roman" w:cs="Times New Roman"/>
                <w:b/>
                <w:bCs/>
                <w:color w:val="FFFFFF"/>
                <w:sz w:val="17"/>
                <w:szCs w:val="17"/>
              </w:rPr>
              <w:t>92.83</w:t>
            </w:r>
          </w:p>
        </w:tc>
      </w:tr>
      <w:tr w:rsidRPr="00833576" w:rsidR="00974DE9" w:rsidTr="00F23F4B" w14:paraId="2687E1AF"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570E9A1B"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663AE761"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7CCB71D1" w14:textId="67BF679B">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 State SNAP Agency (SA) Director Telephone Reminder Script</w:t>
            </w:r>
            <w:r w:rsidR="002B3F02">
              <w:rPr>
                <w:rFonts w:eastAsia="Times New Roman" w:cs="Times New Roman"/>
                <w:color w:val="2F2F2F"/>
                <w:sz w:val="17"/>
                <w:szCs w:val="17"/>
              </w:rPr>
              <w:t xml:space="preserve"> 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3DA494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r w:rsidRPr="00833576" w:rsidR="007A7DB8">
              <w:rPr>
                <w:rFonts w:eastAsia="Times New Roman" w:cs="Times New Roman"/>
                <w:color w:val="2F2F2F"/>
                <w:sz w:val="17"/>
                <w:szCs w:val="17"/>
              </w:rPr>
              <w:t>9</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838EC8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AD5B29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330CDE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258E81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5B55C8">
              <w:rPr>
                <w:rFonts w:eastAsia="Times New Roman" w:cs="Times New Roman"/>
                <w:color w:val="2F2F2F"/>
                <w:sz w:val="17"/>
                <w:szCs w:val="17"/>
              </w:rPr>
              <w:t>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7CCC93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0.40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651384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r w:rsidRPr="00833576" w:rsidR="00FC4055">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4E8ACB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D37002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r w:rsidRPr="00833576" w:rsidR="000E55F2">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20D0AC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AE6A58">
              <w:rPr>
                <w:rFonts w:eastAsia="Times New Roman" w:cs="Times New Roman"/>
                <w:color w:val="2F2F2F"/>
                <w:sz w:val="17"/>
                <w:szCs w:val="17"/>
              </w:rPr>
              <w:t>0</w:t>
            </w:r>
            <w:r w:rsidRPr="00833576" w:rsidR="00CA563C">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FD71B1" w14:paraId="5962E90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3F3620">
              <w:rPr>
                <w:rFonts w:eastAsia="Times New Roman" w:cs="Times New Roman"/>
                <w:color w:val="2F2F2F"/>
                <w:sz w:val="17"/>
                <w:szCs w:val="17"/>
              </w:rPr>
              <w:t>.</w:t>
            </w:r>
            <w:r w:rsidRPr="00833576">
              <w:rPr>
                <w:rFonts w:eastAsia="Times New Roman" w:cs="Times New Roman"/>
                <w:color w:val="2F2F2F"/>
                <w:sz w:val="17"/>
                <w:szCs w:val="17"/>
              </w:rPr>
              <w:t>70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42938E7C"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2.</w:t>
            </w:r>
            <w:r w:rsidRPr="00833576" w:rsidR="00B75FD1">
              <w:rPr>
                <w:rFonts w:eastAsia="Times New Roman" w:cs="Times New Roman"/>
                <w:b/>
                <w:bCs/>
                <w:color w:val="FFFFFF"/>
                <w:sz w:val="17"/>
                <w:szCs w:val="17"/>
              </w:rPr>
              <w:t>10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827CD3" w14:paraId="31CE0111" w14:textId="17B6D92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470BB0BB" w14:textId="447A31AE">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827CD3">
              <w:rPr>
                <w:rFonts w:eastAsia="Times New Roman" w:cs="Times New Roman"/>
                <w:b/>
                <w:bCs/>
                <w:color w:val="FFFFFF"/>
                <w:sz w:val="17"/>
                <w:szCs w:val="17"/>
              </w:rPr>
              <w:t>142.30</w:t>
            </w:r>
          </w:p>
        </w:tc>
      </w:tr>
      <w:tr w:rsidRPr="00833576" w:rsidR="00974DE9" w:rsidTr="00F23F4B" w14:paraId="0EF8D724"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45E9B1B1"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3152B934"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4D97DAEE"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Reminder Email 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5B6AA8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r w:rsidRPr="00833576" w:rsidR="007A7DB8">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BB92DF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A24977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8D4C34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55409A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B521D0">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4023DF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FC4055" w14:paraId="15108D8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711D7C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0E55F2" w14:paraId="4290749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AD5A9A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31D9917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FD71B1">
              <w:rPr>
                <w:rFonts w:eastAsia="Times New Roman" w:cs="Times New Roman"/>
                <w:color w:val="2F2F2F"/>
                <w:sz w:val="17"/>
                <w:szCs w:val="17"/>
              </w:rPr>
              <w:t>90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02ADF4AC"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1.1</w:t>
            </w:r>
            <w:r w:rsidRPr="00833576" w:rsidR="00B75FD1">
              <w:rPr>
                <w:rFonts w:eastAsia="Times New Roman" w:cs="Times New Roman"/>
                <w:b/>
                <w:bCs/>
                <w:color w:val="FFFFFF"/>
                <w:sz w:val="17"/>
                <w:szCs w:val="17"/>
              </w:rPr>
              <w:t>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827CD3" w14:paraId="669022AE" w14:textId="4A4481F6">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428F4FE5" w14:textId="27EC973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827CD3">
              <w:rPr>
                <w:rFonts w:eastAsia="Times New Roman" w:cs="Times New Roman"/>
                <w:b/>
                <w:bCs/>
                <w:color w:val="FFFFFF"/>
                <w:sz w:val="17"/>
                <w:szCs w:val="17"/>
              </w:rPr>
              <w:t>74.54</w:t>
            </w:r>
          </w:p>
        </w:tc>
      </w:tr>
      <w:tr w:rsidRPr="00833576" w:rsidR="00974DE9" w:rsidTr="00F23F4B" w14:paraId="664B3D16"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7B623679"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01D0BB38"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3FAAFF2D" w14:textId="34F68E49">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 SA Director Telephone Reminder Script</w:t>
            </w:r>
            <w:r w:rsidR="002B3F02">
              <w:rPr>
                <w:rFonts w:eastAsia="Times New Roman" w:cs="Times New Roman"/>
                <w:color w:val="2F2F2F"/>
                <w:sz w:val="17"/>
                <w:szCs w:val="17"/>
              </w:rPr>
              <w:t xml:space="preserve"> 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E531C2" w14:paraId="1E0C452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7C5D7E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BF8F15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84E8AF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835033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B521D0">
              <w:rPr>
                <w:rFonts w:eastAsia="Times New Roman" w:cs="Times New Roman"/>
                <w:color w:val="2F2F2F"/>
                <w:sz w:val="17"/>
                <w:szCs w:val="17"/>
              </w:rPr>
              <w:t>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4C9095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0.40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F78C0B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r w:rsidRPr="00833576" w:rsidR="00FC4055">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685684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6FEFA3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r w:rsidRPr="00833576" w:rsidR="000E55F2">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ED1B1D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F70589">
              <w:rPr>
                <w:rFonts w:eastAsia="Times New Roman" w:cs="Times New Roman"/>
                <w:color w:val="2F2F2F"/>
                <w:sz w:val="17"/>
                <w:szCs w:val="17"/>
              </w:rPr>
              <w:t>0</w:t>
            </w:r>
            <w:r w:rsidRPr="00833576" w:rsidR="00CA563C">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6DA0AF9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FD71B1">
              <w:rPr>
                <w:rFonts w:eastAsia="Times New Roman" w:cs="Times New Roman"/>
                <w:color w:val="2F2F2F"/>
                <w:sz w:val="17"/>
                <w:szCs w:val="17"/>
              </w:rPr>
              <w:t>25</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B75FD1" w14:paraId="487C306E"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w:t>
            </w:r>
            <w:r w:rsidRPr="00833576" w:rsidR="003F3620">
              <w:rPr>
                <w:rFonts w:eastAsia="Times New Roman" w:cs="Times New Roman"/>
                <w:b/>
                <w:bCs/>
                <w:color w:val="FFFFFF"/>
                <w:sz w:val="17"/>
                <w:szCs w:val="17"/>
              </w:rPr>
              <w:t>.</w:t>
            </w:r>
            <w:r w:rsidRPr="00833576">
              <w:rPr>
                <w:rFonts w:eastAsia="Times New Roman" w:cs="Times New Roman"/>
                <w:b/>
                <w:bCs/>
                <w:color w:val="FFFFFF"/>
                <w:sz w:val="17"/>
                <w:szCs w:val="17"/>
              </w:rPr>
              <w:t>65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81206A" w14:paraId="5F5AD562" w14:textId="72FB964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3AB9003F" w14:textId="6DFC8961">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81206A">
              <w:rPr>
                <w:rFonts w:eastAsia="Times New Roman" w:cs="Times New Roman"/>
                <w:b/>
                <w:bCs/>
                <w:color w:val="FFFFFF"/>
                <w:sz w:val="17"/>
                <w:szCs w:val="17"/>
              </w:rPr>
              <w:t>111.80</w:t>
            </w:r>
          </w:p>
        </w:tc>
      </w:tr>
      <w:tr w:rsidRPr="00833576" w:rsidR="00974DE9" w:rsidTr="00F23F4B" w14:paraId="610B426B"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6F736AC7"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39D442D0"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1F13FC68"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Reminder Email 5 (Web Survey with Link)</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CC6E94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r w:rsidRPr="00833576" w:rsidR="00E531C2">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5EF941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312288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AA89C0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176971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4A4704">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D8FA31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FC4055" w14:paraId="0A71E4E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E68644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714656" w14:paraId="15DC3EF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D67E8D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565C3D8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FD71B1">
              <w:rPr>
                <w:rFonts w:eastAsia="Times New Roman" w:cs="Times New Roman"/>
                <w:color w:val="2F2F2F"/>
                <w:sz w:val="17"/>
                <w:szCs w:val="17"/>
              </w:rPr>
              <w:t>60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2BB1FB9A"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w:t>
            </w:r>
            <w:r w:rsidRPr="00833576" w:rsidR="00B75FD1">
              <w:rPr>
                <w:rFonts w:eastAsia="Times New Roman" w:cs="Times New Roman"/>
                <w:b/>
                <w:bCs/>
                <w:color w:val="FFFFFF"/>
                <w:sz w:val="17"/>
                <w:szCs w:val="17"/>
              </w:rPr>
              <w:t>85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3F3620" w14:paraId="660E1151" w14:textId="150B19A4">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81206A">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44BB507A" w14:textId="3BC0889C">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C9119F">
              <w:rPr>
                <w:rFonts w:eastAsia="Times New Roman" w:cs="Times New Roman"/>
                <w:b/>
                <w:bCs/>
                <w:color w:val="FFFFFF"/>
                <w:sz w:val="17"/>
                <w:szCs w:val="17"/>
              </w:rPr>
              <w:t>57.60</w:t>
            </w:r>
          </w:p>
        </w:tc>
      </w:tr>
      <w:tr w:rsidRPr="00833576" w:rsidR="00974DE9" w:rsidTr="00F23F4B" w14:paraId="3AD1AE8E"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07FFE482"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7EEDF656"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0A103A68" w14:textId="0626FDA1">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 SA Director Telephone Reminder</w:t>
            </w:r>
            <w:r w:rsidRPr="00833576" w:rsidR="00AA7589">
              <w:rPr>
                <w:rFonts w:eastAsia="Times New Roman" w:cs="Times New Roman"/>
                <w:color w:val="2F2F2F"/>
                <w:sz w:val="17"/>
                <w:szCs w:val="17"/>
              </w:rPr>
              <w:t xml:space="preserve"> </w:t>
            </w:r>
            <w:r w:rsidRPr="00833576">
              <w:rPr>
                <w:rFonts w:eastAsia="Times New Roman" w:cs="Times New Roman"/>
                <w:color w:val="2F2F2F"/>
                <w:sz w:val="17"/>
                <w:szCs w:val="17"/>
              </w:rPr>
              <w:t>Script</w:t>
            </w:r>
            <w:r w:rsidR="009434E4">
              <w:rPr>
                <w:rFonts w:eastAsia="Times New Roman" w:cs="Times New Roman"/>
                <w:color w:val="2F2F2F"/>
                <w:sz w:val="17"/>
                <w:szCs w:val="17"/>
              </w:rPr>
              <w:t xml:space="preserve"> 3</w:t>
            </w:r>
            <w:r w:rsidRPr="00833576">
              <w:rPr>
                <w:rFonts w:eastAsia="Times New Roman" w:cs="Times New Roman"/>
                <w:color w:val="2F2F2F"/>
                <w:sz w:val="17"/>
                <w:szCs w:val="17"/>
              </w:rPr>
              <w:t xml:space="preserve"> (Web Survey)</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E531C2" w14:paraId="2B9D505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853838" w14:paraId="4D1F178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CD689A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150E58" w14:paraId="0D6BD64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D0889B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8D7EF5">
              <w:rPr>
                <w:rFonts w:eastAsia="Times New Roman" w:cs="Times New Roman"/>
                <w:color w:val="2F2F2F"/>
                <w:sz w:val="17"/>
                <w:szCs w:val="17"/>
              </w:rPr>
              <w:t>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B97C0C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08322B">
              <w:rPr>
                <w:rFonts w:eastAsia="Times New Roman" w:cs="Times New Roman"/>
                <w:color w:val="2F2F2F"/>
                <w:sz w:val="17"/>
                <w:szCs w:val="17"/>
              </w:rPr>
              <w:t>32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7CAFB2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FC4055">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111690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3F7CA7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714656">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41E767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F70589">
              <w:rPr>
                <w:rFonts w:eastAsia="Times New Roman" w:cs="Times New Roman"/>
                <w:color w:val="2F2F2F"/>
                <w:sz w:val="17"/>
                <w:szCs w:val="17"/>
              </w:rPr>
              <w:t>0</w:t>
            </w:r>
            <w:r w:rsidRPr="00833576" w:rsidR="008A2496">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D84EC0" w14:paraId="1FB49C0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3F3620">
              <w:rPr>
                <w:rFonts w:eastAsia="Times New Roman" w:cs="Times New Roman"/>
                <w:color w:val="2F2F2F"/>
                <w:sz w:val="17"/>
                <w:szCs w:val="17"/>
              </w:rPr>
              <w:t>.</w:t>
            </w:r>
            <w:r w:rsidRPr="00833576">
              <w:rPr>
                <w:rFonts w:eastAsia="Times New Roman" w:cs="Times New Roman"/>
                <w:color w:val="2F2F2F"/>
                <w:sz w:val="17"/>
                <w:szCs w:val="17"/>
              </w:rPr>
              <w:t>80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6ED1E991"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w:t>
            </w:r>
            <w:r w:rsidRPr="00833576" w:rsidR="00B75FD1">
              <w:rPr>
                <w:rFonts w:eastAsia="Times New Roman" w:cs="Times New Roman"/>
                <w:b/>
                <w:bCs/>
                <w:color w:val="FFFFFF"/>
                <w:sz w:val="17"/>
                <w:szCs w:val="17"/>
              </w:rPr>
              <w:t>12</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C9119F" w14:paraId="05FA4EA6" w14:textId="5FB75EE8">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6EA7EA3A" w14:textId="439ADB8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C9119F">
              <w:rPr>
                <w:rFonts w:eastAsia="Times New Roman" w:cs="Times New Roman"/>
                <w:b/>
                <w:bCs/>
                <w:color w:val="FFFFFF"/>
                <w:sz w:val="17"/>
                <w:szCs w:val="17"/>
              </w:rPr>
              <w:t>75.89</w:t>
            </w:r>
          </w:p>
        </w:tc>
      </w:tr>
      <w:tr w:rsidRPr="00833576" w:rsidR="00974DE9" w:rsidTr="00F23F4B" w14:paraId="79D0C832"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19223E40"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51BAEDB9"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0B3EAF32"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Reminder Email 6 (Web Survey with Link)</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ED3D49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E531C2">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853838" w14:paraId="1F8FDDB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D39206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AE47CD" w14:paraId="439DCDD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7EF703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A4188F">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7B12BD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F41916">
              <w:rPr>
                <w:rFonts w:eastAsia="Times New Roman" w:cs="Times New Roman"/>
                <w:color w:val="2F2F2F"/>
                <w:sz w:val="17"/>
                <w:szCs w:val="17"/>
              </w:rPr>
              <w:t>20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2EC085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FC4055">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407AEC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5C9716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714656">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C100CD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0EC8F26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0.3</w:t>
            </w:r>
            <w:r w:rsidRPr="00833576" w:rsidR="00D84EC0">
              <w:rPr>
                <w:rFonts w:eastAsia="Times New Roman" w:cs="Times New Roman"/>
                <w:color w:val="2F2F2F"/>
                <w:sz w:val="17"/>
                <w:szCs w:val="17"/>
              </w:rPr>
              <w:t>6</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4E07A3FE"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w:t>
            </w:r>
            <w:r w:rsidRPr="00833576" w:rsidR="008C773B">
              <w:rPr>
                <w:rFonts w:eastAsia="Times New Roman" w:cs="Times New Roman"/>
                <w:b/>
                <w:bCs/>
                <w:color w:val="FFFFFF"/>
                <w:sz w:val="17"/>
                <w:szCs w:val="17"/>
              </w:rPr>
              <w:t>56</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C9119F" w14:paraId="162B33EC" w14:textId="05C1444E">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1273A6C0" w14:textId="18BA171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7D21AB">
              <w:rPr>
                <w:rFonts w:eastAsia="Times New Roman" w:cs="Times New Roman"/>
                <w:b/>
                <w:bCs/>
                <w:color w:val="FFFFFF"/>
                <w:sz w:val="17"/>
                <w:szCs w:val="17"/>
              </w:rPr>
              <w:t>37.95</w:t>
            </w:r>
          </w:p>
        </w:tc>
      </w:tr>
      <w:tr w:rsidRPr="00833576" w:rsidR="00974DE9" w:rsidTr="00F23F4B" w14:paraId="12D4962A"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599D2C0F"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7DB02C10"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6A97623D" w14:textId="4D673721">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 SA Director Telephone Reminder</w:t>
            </w:r>
            <w:r w:rsidRPr="00833576" w:rsidR="00AA7589">
              <w:rPr>
                <w:rFonts w:eastAsia="Times New Roman" w:cs="Times New Roman"/>
                <w:color w:val="2F2F2F"/>
                <w:sz w:val="17"/>
                <w:szCs w:val="17"/>
              </w:rPr>
              <w:t xml:space="preserve"> </w:t>
            </w:r>
            <w:r w:rsidRPr="00833576">
              <w:rPr>
                <w:rFonts w:eastAsia="Times New Roman" w:cs="Times New Roman"/>
                <w:color w:val="2F2F2F"/>
                <w:sz w:val="17"/>
                <w:szCs w:val="17"/>
              </w:rPr>
              <w:t>Script</w:t>
            </w:r>
            <w:r w:rsidR="009434E4">
              <w:rPr>
                <w:rFonts w:eastAsia="Times New Roman" w:cs="Times New Roman"/>
                <w:color w:val="2F2F2F"/>
                <w:sz w:val="17"/>
                <w:szCs w:val="17"/>
              </w:rPr>
              <w:t xml:space="preserve"> 4</w:t>
            </w:r>
            <w:r w:rsidRPr="00833576">
              <w:rPr>
                <w:rFonts w:eastAsia="Times New Roman" w:cs="Times New Roman"/>
                <w:color w:val="2F2F2F"/>
                <w:sz w:val="17"/>
                <w:szCs w:val="17"/>
              </w:rPr>
              <w:t xml:space="preserve"> (Web Survey)</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CA0A4E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r w:rsidRPr="00833576" w:rsidR="00E531C2">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9E2736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F730A1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B56167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0A91A2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725DAE">
              <w:rPr>
                <w:rFonts w:eastAsia="Times New Roman" w:cs="Times New Roman"/>
                <w:color w:val="2F2F2F"/>
                <w:sz w:val="17"/>
                <w:szCs w:val="17"/>
              </w:rPr>
              <w:t>0</w:t>
            </w:r>
            <w:r w:rsidRPr="00833576" w:rsidR="00A4188F">
              <w:rPr>
                <w:rFonts w:eastAsia="Times New Roman" w:cs="Times New Roman"/>
                <w:color w:val="2F2F2F"/>
                <w:sz w:val="17"/>
                <w:szCs w:val="17"/>
              </w:rPr>
              <w:t>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25DA0E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FC4055" w14:paraId="4CF2FAD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9</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08CD42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714656" w14:paraId="55B4C1A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9</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275EE7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D51AE9">
              <w:rPr>
                <w:rFonts w:eastAsia="Times New Roman" w:cs="Times New Roman"/>
                <w:color w:val="2F2F2F"/>
                <w:sz w:val="17"/>
                <w:szCs w:val="17"/>
              </w:rPr>
              <w:t>0</w:t>
            </w:r>
            <w:r w:rsidRPr="00833576" w:rsidR="008A2496">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51496FE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D84EC0">
              <w:rPr>
                <w:rFonts w:eastAsia="Times New Roman" w:cs="Times New Roman"/>
                <w:color w:val="2F2F2F"/>
                <w:sz w:val="17"/>
                <w:szCs w:val="17"/>
              </w:rPr>
              <w:t>45</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09566DED"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w:t>
            </w:r>
            <w:r w:rsidRPr="00833576" w:rsidR="008C773B">
              <w:rPr>
                <w:rFonts w:eastAsia="Times New Roman" w:cs="Times New Roman"/>
                <w:b/>
                <w:bCs/>
                <w:color w:val="FFFFFF"/>
                <w:sz w:val="17"/>
                <w:szCs w:val="17"/>
              </w:rPr>
              <w:t>69</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7D21AB" w14:paraId="53C3C662" w14:textId="27495F8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189E7AAA" w14:textId="52BA9ECA">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7D21AB">
              <w:rPr>
                <w:rFonts w:eastAsia="Times New Roman" w:cs="Times New Roman"/>
                <w:b/>
                <w:bCs/>
                <w:color w:val="FFFFFF"/>
                <w:sz w:val="17"/>
                <w:szCs w:val="17"/>
              </w:rPr>
              <w:t>46.75</w:t>
            </w:r>
          </w:p>
        </w:tc>
      </w:tr>
      <w:tr w:rsidRPr="00833576" w:rsidR="00974DE9" w:rsidTr="00F23F4B" w14:paraId="294CA8CF"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00918AE6"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6A8A5186"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576675D2"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 Survey Reminder Email 7 (Web Survey with Link)</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AC13E5" w14:paraId="10C2CD1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9</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C41952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B032DA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3FAC2D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610CEC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725DAE">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DD87B2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FC4055" w14:paraId="24F8A9F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29CF75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714656" w14:paraId="0AC9AE8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63A516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3652CC9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CD150B">
              <w:rPr>
                <w:rFonts w:eastAsia="Times New Roman" w:cs="Times New Roman"/>
                <w:color w:val="2F2F2F"/>
                <w:sz w:val="17"/>
                <w:szCs w:val="17"/>
              </w:rPr>
              <w:t>18</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2180935B"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0.3</w:t>
            </w:r>
            <w:r w:rsidRPr="00833576" w:rsidR="008C773B">
              <w:rPr>
                <w:rFonts w:eastAsia="Times New Roman" w:cs="Times New Roman"/>
                <w:b/>
                <w:bCs/>
                <w:color w:val="FFFFFF"/>
                <w:sz w:val="17"/>
                <w:szCs w:val="17"/>
              </w:rPr>
              <w:t>3</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7D21AB" w14:paraId="5CA1C83F" w14:textId="006B4C04">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458C0FF3" w14:textId="6B569F6E">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7D21AB">
              <w:rPr>
                <w:rFonts w:eastAsia="Times New Roman" w:cs="Times New Roman"/>
                <w:b/>
                <w:bCs/>
                <w:color w:val="FFFFFF"/>
                <w:sz w:val="17"/>
                <w:szCs w:val="17"/>
              </w:rPr>
              <w:t>22.36</w:t>
            </w:r>
          </w:p>
        </w:tc>
      </w:tr>
      <w:tr w:rsidRPr="00833576" w:rsidR="00974DE9" w:rsidTr="00F23F4B" w14:paraId="14BB3E37"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7CF4C445"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551A7850"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7386689B" w14:textId="0BBAC82E">
            <w:pPr>
              <w:spacing w:line="240" w:lineRule="auto"/>
              <w:rPr>
                <w:rFonts w:eastAsia="Times New Roman" w:cs="Times New Roman"/>
                <w:color w:val="2F2F2F"/>
                <w:sz w:val="17"/>
                <w:szCs w:val="17"/>
              </w:rPr>
            </w:pPr>
            <w:r w:rsidRPr="00833576">
              <w:rPr>
                <w:rFonts w:eastAsia="Times New Roman" w:cs="Times New Roman"/>
                <w:color w:val="2F2F2F"/>
                <w:sz w:val="17"/>
                <w:szCs w:val="17"/>
              </w:rPr>
              <w:t xml:space="preserve">Survey - SA Director Telephone Reminder </w:t>
            </w:r>
            <w:r w:rsidRPr="00833576" w:rsidR="00AA7589">
              <w:rPr>
                <w:rFonts w:eastAsia="Times New Roman" w:cs="Times New Roman"/>
                <w:color w:val="2F2F2F"/>
                <w:sz w:val="17"/>
                <w:szCs w:val="17"/>
              </w:rPr>
              <w:t xml:space="preserve"> </w:t>
            </w:r>
            <w:r w:rsidRPr="00833576">
              <w:rPr>
                <w:rFonts w:eastAsia="Times New Roman" w:cs="Times New Roman"/>
                <w:color w:val="2F2F2F"/>
                <w:sz w:val="17"/>
                <w:szCs w:val="17"/>
              </w:rPr>
              <w:t>Script</w:t>
            </w:r>
            <w:r w:rsidR="009434E4">
              <w:rPr>
                <w:rFonts w:eastAsia="Times New Roman" w:cs="Times New Roman"/>
                <w:color w:val="2F2F2F"/>
                <w:sz w:val="17"/>
                <w:szCs w:val="17"/>
              </w:rPr>
              <w:t xml:space="preserve"> 5</w:t>
            </w:r>
            <w:r w:rsidRPr="00833576">
              <w:rPr>
                <w:rFonts w:eastAsia="Times New Roman" w:cs="Times New Roman"/>
                <w:color w:val="2F2F2F"/>
                <w:sz w:val="17"/>
                <w:szCs w:val="17"/>
              </w:rPr>
              <w:t xml:space="preserve"> (Web Survey)</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AC13E5" w14:paraId="0667F07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C806C9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5D24CD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FD9F31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74EF12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332B50">
              <w:rPr>
                <w:rFonts w:eastAsia="Times New Roman" w:cs="Times New Roman"/>
                <w:color w:val="2F2F2F"/>
                <w:sz w:val="17"/>
                <w:szCs w:val="17"/>
              </w:rPr>
              <w:t>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A852E9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8E5750" w14:paraId="325857A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22684F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714656" w14:paraId="1AC8E56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814A3A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793FDC">
              <w:rPr>
                <w:rFonts w:eastAsia="Times New Roman" w:cs="Times New Roman"/>
                <w:color w:val="2F2F2F"/>
                <w:sz w:val="17"/>
                <w:szCs w:val="17"/>
              </w:rPr>
              <w:t>0</w:t>
            </w:r>
            <w:r w:rsidRPr="00833576" w:rsidR="00714656">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3AD7910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D84EC0">
              <w:rPr>
                <w:rFonts w:eastAsia="Times New Roman" w:cs="Times New Roman"/>
                <w:color w:val="2F2F2F"/>
                <w:sz w:val="17"/>
                <w:szCs w:val="17"/>
              </w:rPr>
              <w:t>5</w:t>
            </w:r>
            <w:r w:rsidRPr="00833576">
              <w:rPr>
                <w:rFonts w:eastAsia="Times New Roman" w:cs="Times New Roman"/>
                <w:color w:val="2F2F2F"/>
                <w:sz w:val="17"/>
                <w:szCs w:val="17"/>
              </w:rPr>
              <w:t>6</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7AE41621"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w:t>
            </w:r>
            <w:r w:rsidRPr="00833576" w:rsidR="008C773B">
              <w:rPr>
                <w:rFonts w:eastAsia="Times New Roman" w:cs="Times New Roman"/>
                <w:b/>
                <w:bCs/>
                <w:color w:val="FFFFFF"/>
                <w:sz w:val="17"/>
                <w:szCs w:val="17"/>
              </w:rPr>
              <w:t>39</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F263BA" w14:paraId="1B31E69A" w14:textId="4AFF212A">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64686A19" w14:textId="58D01659">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F263BA">
              <w:rPr>
                <w:rFonts w:eastAsia="Times New Roman" w:cs="Times New Roman"/>
                <w:b/>
                <w:bCs/>
                <w:color w:val="FFFFFF"/>
                <w:sz w:val="17"/>
                <w:szCs w:val="17"/>
              </w:rPr>
              <w:t>26.43</w:t>
            </w:r>
          </w:p>
        </w:tc>
      </w:tr>
      <w:tr w:rsidRPr="00833576" w:rsidR="00974DE9" w:rsidTr="00F23F4B" w14:paraId="58BD6224"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6E4E847E"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553DBEAC"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3CC8B1B7"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Survey Reminder Email 8 (Web Survey with Link)</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AC13E5" w14:paraId="7A567C2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853838" w14:paraId="62E64A6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7C1F21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DC41C7" w14:paraId="26723D6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7AB078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AF791E">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74C1E0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w:t>
            </w:r>
            <w:r w:rsidRPr="00833576" w:rsidR="00F4191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E28F2E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3FB1AC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33FFB9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8A4D1B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714656">
              <w:rPr>
                <w:rFonts w:eastAsia="Times New Roman" w:cs="Times New Roman"/>
                <w:color w:val="2F2F2F"/>
                <w:sz w:val="17"/>
                <w:szCs w:val="17"/>
              </w:rPr>
              <w:t>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160F045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592779A4"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0.1</w:t>
            </w:r>
            <w:r w:rsidRPr="00833576" w:rsidR="008C773B">
              <w:rPr>
                <w:rFonts w:eastAsia="Times New Roman" w:cs="Times New Roman"/>
                <w:b/>
                <w:bCs/>
                <w:color w:val="FFFFFF"/>
                <w:sz w:val="17"/>
                <w:szCs w:val="17"/>
              </w:rPr>
              <w:t>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F263BA" w14:paraId="5A726D35" w14:textId="1D8C91B1">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72D461EB" w14:textId="7644E899">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F263BA">
              <w:rPr>
                <w:rFonts w:eastAsia="Times New Roman" w:cs="Times New Roman"/>
                <w:b/>
                <w:bCs/>
                <w:color w:val="FFFFFF"/>
                <w:sz w:val="17"/>
                <w:szCs w:val="17"/>
              </w:rPr>
              <w:t>10.16</w:t>
            </w:r>
          </w:p>
        </w:tc>
      </w:tr>
      <w:tr w:rsidRPr="00833576" w:rsidR="00974DE9" w:rsidTr="00F23F4B" w14:paraId="1F9F9B12"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746ADCF6"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42ABBA0F"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C1F0FF"/>
            <w:vAlign w:val="center"/>
            <w:hideMark/>
          </w:tcPr>
          <w:p w:rsidRPr="00833576" w:rsidR="003F3620" w:rsidP="003F3620" w:rsidRDefault="003F3620" w14:paraId="510DB27B"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Conducting How States Safeguard SNAP Participant PII Web Survey (Data Collection)</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1584FB2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29A3617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7BDF778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46F8AF8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4D72F79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4911AA">
              <w:rPr>
                <w:rFonts w:eastAsia="Times New Roman" w:cs="Times New Roman"/>
                <w:color w:val="2F2F2F"/>
                <w:sz w:val="17"/>
                <w:szCs w:val="17"/>
              </w:rPr>
              <w:t>50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1D4120" w:rsidRDefault="00363B92" w14:paraId="4E91D12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26.50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4B1252F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652875" w14:paraId="19066AC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263A6CD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2A6D6DB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652875">
              <w:rPr>
                <w:rFonts w:eastAsia="Times New Roman" w:cs="Times New Roman"/>
                <w:color w:val="2F2F2F"/>
                <w:sz w:val="17"/>
                <w:szCs w:val="17"/>
              </w:rPr>
              <w:t>0</w:t>
            </w:r>
          </w:p>
        </w:tc>
        <w:tc>
          <w:tcPr>
            <w:tcW w:w="0" w:type="auto"/>
            <w:tcBorders>
              <w:top w:val="nil"/>
              <w:left w:val="nil"/>
              <w:bottom w:val="single" w:color="auto" w:sz="4" w:space="0"/>
              <w:right w:val="nil"/>
            </w:tcBorders>
            <w:shd w:val="clear" w:color="000000" w:fill="C1F0FF"/>
            <w:noWrap/>
            <w:vAlign w:val="center"/>
            <w:hideMark/>
          </w:tcPr>
          <w:p w:rsidRPr="00833576" w:rsidR="003F3620" w:rsidP="00A76A6B" w:rsidRDefault="003F3620" w14:paraId="4315B1A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2314BE" w14:paraId="324D6721"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26.50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F263BA" w14:paraId="5E7A2272" w14:textId="1EFC1AE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0E8857DE" w14:textId="31C77431">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Pr="00833576" w:rsidR="00C47AAD">
              <w:rPr>
                <w:rFonts w:eastAsia="Times New Roman" w:cs="Times New Roman"/>
                <w:b/>
                <w:bCs/>
                <w:color w:val="FFFFFF"/>
                <w:sz w:val="17"/>
                <w:szCs w:val="17"/>
              </w:rPr>
              <w:t>1,</w:t>
            </w:r>
            <w:r w:rsidR="00F263BA">
              <w:rPr>
                <w:rFonts w:eastAsia="Times New Roman" w:cs="Times New Roman"/>
                <w:b/>
                <w:bCs/>
                <w:color w:val="FFFFFF"/>
                <w:sz w:val="17"/>
                <w:szCs w:val="17"/>
              </w:rPr>
              <w:t>795.64</w:t>
            </w:r>
          </w:p>
        </w:tc>
      </w:tr>
      <w:tr w:rsidRPr="00833576" w:rsidR="00974DE9" w:rsidTr="00F23F4B" w14:paraId="3B983B6E"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490CB697"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07C5896A"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FFEDC9"/>
            <w:vAlign w:val="center"/>
            <w:hideMark/>
          </w:tcPr>
          <w:p w:rsidRPr="00833576" w:rsidR="003F3620" w:rsidP="003F3620" w:rsidRDefault="003F3620" w14:paraId="403550B8"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Post-Survey Response Clarification Email (Web Survey)</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586678E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6E3A5DB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5029F6B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74EBB8F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122351F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1D6E45">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700D3FB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0.10</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4752ED8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53704DE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166997A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6BEB710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FFEDC9"/>
            <w:noWrap/>
            <w:vAlign w:val="center"/>
            <w:hideMark/>
          </w:tcPr>
          <w:p w:rsidRPr="00833576" w:rsidR="003F3620" w:rsidP="00A76A6B" w:rsidRDefault="003F3620" w14:paraId="425BFC7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0.09</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5DF098A0"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0.19</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F263BA" w14:paraId="721C0B96" w14:textId="4EDD75D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38F5750D" w14:textId="69B13C28">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F263BA">
              <w:rPr>
                <w:rFonts w:eastAsia="Times New Roman" w:cs="Times New Roman"/>
                <w:b/>
                <w:bCs/>
                <w:color w:val="FFFFFF"/>
                <w:sz w:val="17"/>
                <w:szCs w:val="17"/>
              </w:rPr>
              <w:t>12.87</w:t>
            </w:r>
          </w:p>
        </w:tc>
      </w:tr>
      <w:tr w:rsidRPr="00833576" w:rsidR="00974DE9" w:rsidTr="00F23F4B" w14:paraId="4E24C775"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5A2CBE48"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018CA966"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FFEDC9"/>
            <w:vAlign w:val="center"/>
            <w:hideMark/>
          </w:tcPr>
          <w:p w:rsidRPr="00833576" w:rsidR="003F3620" w:rsidP="003F3620" w:rsidRDefault="003F3620" w14:paraId="0C4B6E59"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Post-Survey Response Clarification Phone Call Script (Web Survey)</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44D4F9F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39864F7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70A3320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3FC3911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4CA2B32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18C043D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w:t>
            </w:r>
            <w:r w:rsidRPr="00833576" w:rsidR="00B962D3">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22F7C3C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161DC0D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0E7BF05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FFEDC9"/>
            <w:noWrap/>
            <w:vAlign w:val="center"/>
            <w:hideMark/>
          </w:tcPr>
          <w:p w:rsidRPr="00833576" w:rsidR="003F3620" w:rsidP="00A76A6B" w:rsidRDefault="003F3620" w14:paraId="43C10E1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5E5E00">
              <w:rPr>
                <w:rFonts w:eastAsia="Times New Roman" w:cs="Times New Roman"/>
                <w:color w:val="2F2F2F"/>
                <w:sz w:val="17"/>
                <w:szCs w:val="17"/>
              </w:rPr>
              <w:t>0</w:t>
            </w:r>
            <w:r w:rsidRPr="00833576" w:rsidR="00B962D3">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FFEDC9"/>
            <w:noWrap/>
            <w:vAlign w:val="center"/>
            <w:hideMark/>
          </w:tcPr>
          <w:p w:rsidRPr="00833576" w:rsidR="003F3620" w:rsidP="00A76A6B" w:rsidRDefault="003F3620" w14:paraId="6045FD7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781A97A6"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0.2</w:t>
            </w:r>
            <w:r w:rsidRPr="00833576" w:rsidR="000F26A8">
              <w:rPr>
                <w:rFonts w:eastAsia="Times New Roman" w:cs="Times New Roman"/>
                <w:b/>
                <w:bCs/>
                <w:color w:val="FFFFFF"/>
                <w:sz w:val="17"/>
                <w:szCs w:val="17"/>
              </w:rPr>
              <w:t>4</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AD5282" w14:paraId="2F38A315" w14:textId="37CD09F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2AD52623" w14:textId="11D41213">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AD5282">
              <w:rPr>
                <w:rFonts w:eastAsia="Times New Roman" w:cs="Times New Roman"/>
                <w:b/>
                <w:bCs/>
                <w:color w:val="FFFFFF"/>
                <w:sz w:val="17"/>
                <w:szCs w:val="17"/>
              </w:rPr>
              <w:t>16.26</w:t>
            </w:r>
          </w:p>
        </w:tc>
      </w:tr>
      <w:tr w:rsidRPr="00833576" w:rsidR="00974DE9" w:rsidTr="00F23F4B" w14:paraId="5C44FD0C" w14:textId="77777777">
        <w:trPr>
          <w:trHeight w:val="24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7404BCED"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74D0BFBD" w14:textId="77777777">
            <w:pPr>
              <w:spacing w:line="240" w:lineRule="auto"/>
              <w:rPr>
                <w:rFonts w:eastAsia="Times New Roman" w:cs="Times New Roman"/>
                <w:color w:val="2F2F2F"/>
                <w:sz w:val="17"/>
                <w:szCs w:val="17"/>
              </w:rPr>
            </w:pPr>
          </w:p>
        </w:tc>
        <w:tc>
          <w:tcPr>
            <w:tcW w:w="0" w:type="auto"/>
            <w:tcBorders>
              <w:top w:val="nil"/>
              <w:left w:val="nil"/>
              <w:bottom w:val="nil"/>
              <w:right w:val="single" w:color="auto" w:sz="4" w:space="0"/>
            </w:tcBorders>
            <w:shd w:val="clear" w:color="000000" w:fill="FFEDC9"/>
            <w:vAlign w:val="center"/>
            <w:hideMark/>
          </w:tcPr>
          <w:p w:rsidRPr="00833576" w:rsidR="003F3620" w:rsidP="003F3620" w:rsidRDefault="003F3620" w14:paraId="0758A861"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Post-Survey Thank-You Email (Web Survey)</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6F40484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1022EBF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26C2767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0D4754A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04873E9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C14BD2">
              <w:rPr>
                <w:rFonts w:eastAsia="Times New Roman" w:cs="Times New Roman"/>
                <w:color w:val="2F2F2F"/>
                <w:sz w:val="17"/>
                <w:szCs w:val="17"/>
              </w:rPr>
              <w:t>05</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5379225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2.65</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6927244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1DA73B8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33A3FA1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nil"/>
              <w:right w:val="single" w:color="auto" w:sz="4" w:space="0"/>
            </w:tcBorders>
            <w:shd w:val="clear" w:color="000000" w:fill="FFEDC9"/>
            <w:noWrap/>
            <w:vAlign w:val="center"/>
            <w:hideMark/>
          </w:tcPr>
          <w:p w:rsidRPr="00833576" w:rsidR="003F3620" w:rsidP="00A76A6B" w:rsidRDefault="003F3620" w14:paraId="34BF3AB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nil"/>
              <w:right w:val="nil"/>
            </w:tcBorders>
            <w:shd w:val="clear" w:color="000000" w:fill="FFEDC9"/>
            <w:noWrap/>
            <w:vAlign w:val="center"/>
            <w:hideMark/>
          </w:tcPr>
          <w:p w:rsidRPr="00833576" w:rsidR="003F3620" w:rsidP="00A76A6B" w:rsidRDefault="003F3620" w14:paraId="273BAAC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nil"/>
              <w:right w:val="single" w:color="auto" w:sz="4" w:space="0"/>
            </w:tcBorders>
            <w:shd w:val="clear" w:color="000000" w:fill="009CD3"/>
            <w:noWrap/>
            <w:vAlign w:val="center"/>
            <w:hideMark/>
          </w:tcPr>
          <w:p w:rsidRPr="00833576" w:rsidR="003F3620" w:rsidP="00A76A6B" w:rsidRDefault="003F3620" w14:paraId="3713BEFB"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2.65</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A76A6B" w:rsidRDefault="00AD5282" w14:paraId="0B92747C" w14:textId="3BB1ABCB">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nil"/>
              <w:right w:val="single" w:color="auto" w:sz="8" w:space="0"/>
            </w:tcBorders>
            <w:shd w:val="clear" w:color="000000" w:fill="009CD3"/>
            <w:noWrap/>
            <w:vAlign w:val="center"/>
            <w:hideMark/>
          </w:tcPr>
          <w:p w:rsidRPr="00833576" w:rsidR="003F3620" w:rsidP="00A76A6B" w:rsidRDefault="003F3620" w14:paraId="0C8B6F99" w14:textId="5415C071">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AD5282">
              <w:rPr>
                <w:rFonts w:eastAsia="Times New Roman" w:cs="Times New Roman"/>
                <w:b/>
                <w:bCs/>
                <w:color w:val="FFFFFF"/>
                <w:sz w:val="17"/>
                <w:szCs w:val="17"/>
              </w:rPr>
              <w:t>179.56</w:t>
            </w:r>
          </w:p>
        </w:tc>
      </w:tr>
      <w:tr w:rsidRPr="00833576" w:rsidR="00974DE9" w:rsidTr="00F23F4B" w14:paraId="7E83EC03"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5DACA59A"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4359E288" w14:textId="77777777">
            <w:pPr>
              <w:spacing w:line="240" w:lineRule="auto"/>
              <w:rPr>
                <w:rFonts w:eastAsia="Times New Roman" w:cs="Times New Roman"/>
                <w:color w:val="2F2F2F"/>
                <w:sz w:val="17"/>
                <w:szCs w:val="17"/>
              </w:rPr>
            </w:pPr>
          </w:p>
        </w:tc>
        <w:tc>
          <w:tcPr>
            <w:tcW w:w="0" w:type="auto"/>
            <w:tcBorders>
              <w:top w:val="single" w:color="auto" w:sz="8" w:space="0"/>
              <w:left w:val="nil"/>
              <w:bottom w:val="single" w:color="auto" w:sz="4" w:space="0"/>
              <w:right w:val="single" w:color="auto" w:sz="4" w:space="0"/>
            </w:tcBorders>
            <w:shd w:val="clear" w:color="000000" w:fill="BAE18F"/>
            <w:vAlign w:val="center"/>
            <w:hideMark/>
          </w:tcPr>
          <w:p w:rsidRPr="00833576" w:rsidR="003F3620" w:rsidP="003F3620" w:rsidRDefault="003F3620" w14:paraId="6A545039"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Pre-Interview Notification Letter (Semi-Structured Interview - SA)</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3F968C3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7</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0D8E47A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2660203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50C1E26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3917A19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0333D5">
              <w:rPr>
                <w:rFonts w:eastAsia="Times New Roman" w:cs="Times New Roman"/>
                <w:color w:val="2F2F2F"/>
                <w:sz w:val="17"/>
                <w:szCs w:val="17"/>
              </w:rPr>
              <w:t>05</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5A9F410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2A8F5AB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5898649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6957D89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single" w:color="auto" w:sz="8" w:space="0"/>
              <w:left w:val="nil"/>
              <w:bottom w:val="single" w:color="auto" w:sz="4" w:space="0"/>
              <w:right w:val="single" w:color="auto" w:sz="4" w:space="0"/>
            </w:tcBorders>
            <w:shd w:val="clear" w:color="000000" w:fill="BAE18F"/>
            <w:noWrap/>
            <w:vAlign w:val="center"/>
            <w:hideMark/>
          </w:tcPr>
          <w:p w:rsidRPr="00833576" w:rsidR="003F3620" w:rsidP="00A76A6B" w:rsidRDefault="003F3620" w14:paraId="6A1CC34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single" w:color="auto" w:sz="8" w:space="0"/>
              <w:left w:val="nil"/>
              <w:bottom w:val="single" w:color="auto" w:sz="4" w:space="0"/>
              <w:right w:val="nil"/>
            </w:tcBorders>
            <w:shd w:val="clear" w:color="000000" w:fill="BAE18F"/>
            <w:noWrap/>
            <w:vAlign w:val="center"/>
            <w:hideMark/>
          </w:tcPr>
          <w:p w:rsidRPr="00833576" w:rsidR="003F3620" w:rsidP="00A76A6B" w:rsidRDefault="003F3620" w14:paraId="6C7BDA3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0.18</w:t>
            </w:r>
          </w:p>
        </w:tc>
        <w:tc>
          <w:tcPr>
            <w:tcW w:w="0" w:type="auto"/>
            <w:tcBorders>
              <w:top w:val="single" w:color="auto" w:sz="8" w:space="0"/>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666EAFD7"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0.23</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AD5282" w14:paraId="3F5CB8BA" w14:textId="35FA13B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single" w:color="auto" w:sz="8" w:space="0"/>
              <w:left w:val="nil"/>
              <w:bottom w:val="single" w:color="auto" w:sz="4" w:space="0"/>
              <w:right w:val="single" w:color="auto" w:sz="8" w:space="0"/>
            </w:tcBorders>
            <w:shd w:val="clear" w:color="000000" w:fill="009CD3"/>
            <w:noWrap/>
            <w:vAlign w:val="center"/>
            <w:hideMark/>
          </w:tcPr>
          <w:p w:rsidRPr="00833576" w:rsidR="003F3620" w:rsidP="00A76A6B" w:rsidRDefault="003F3620" w14:paraId="63278771" w14:textId="4FAB5BAB">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1C2324">
              <w:rPr>
                <w:rFonts w:eastAsia="Times New Roman" w:cs="Times New Roman"/>
                <w:b/>
                <w:bCs/>
                <w:color w:val="FFFFFF"/>
                <w:sz w:val="17"/>
                <w:szCs w:val="17"/>
              </w:rPr>
              <w:t>15.58</w:t>
            </w:r>
          </w:p>
        </w:tc>
      </w:tr>
      <w:tr w:rsidRPr="00833576" w:rsidR="00974DE9" w:rsidTr="00F23F4B" w14:paraId="6E785662"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260239DC"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3E726FAF"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47336058"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FAQs - State Leaders</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903ECA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7</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69AB6F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7</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869AB3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8DB6C5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7</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4D871B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6C71CE">
              <w:rPr>
                <w:rFonts w:eastAsia="Times New Roman" w:cs="Times New Roman"/>
                <w:color w:val="2F2F2F"/>
                <w:sz w:val="17"/>
                <w:szCs w:val="17"/>
              </w:rPr>
              <w:t>15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E8F5C1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CCC935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F3CE77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E88941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8A5809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1B78E7">
              <w:rPr>
                <w:rFonts w:eastAsia="Times New Roman" w:cs="Times New Roman"/>
                <w:color w:val="2F2F2F"/>
                <w:sz w:val="17"/>
                <w:szCs w:val="17"/>
              </w:rPr>
              <w:t>15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5041B7E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0438FD7A"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1.05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1C2324" w14:paraId="1960DBA8" w14:textId="22203F73">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33D7878F" w14:textId="626A7AB4">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1C2324">
              <w:rPr>
                <w:rFonts w:eastAsia="Times New Roman" w:cs="Times New Roman"/>
                <w:b/>
                <w:bCs/>
                <w:color w:val="FFFFFF"/>
                <w:sz w:val="17"/>
                <w:szCs w:val="17"/>
              </w:rPr>
              <w:t>71.15</w:t>
            </w:r>
          </w:p>
        </w:tc>
      </w:tr>
      <w:tr w:rsidRPr="00833576" w:rsidR="00974DE9" w:rsidTr="00F23F4B" w14:paraId="0DC19A1A"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1996DADA"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4B568A60"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52077305" w14:textId="2D649F5C">
            <w:pPr>
              <w:spacing w:line="240" w:lineRule="auto"/>
              <w:rPr>
                <w:rFonts w:eastAsia="Times New Roman" w:cs="Times New Roman"/>
                <w:color w:val="2F2F2F"/>
                <w:sz w:val="17"/>
                <w:szCs w:val="17"/>
              </w:rPr>
            </w:pPr>
            <w:r w:rsidRPr="00833576">
              <w:rPr>
                <w:rFonts w:eastAsia="Times New Roman" w:cs="Times New Roman"/>
                <w:color w:val="2F2F2F"/>
                <w:sz w:val="17"/>
                <w:szCs w:val="17"/>
              </w:rPr>
              <w:t>Semi-Structured Interview - SA Recruitment Email</w:t>
            </w:r>
            <w:r w:rsidR="003163E3">
              <w:rPr>
                <w:rFonts w:eastAsia="Times New Roman" w:cs="Times New Roman"/>
                <w:color w:val="2F2F2F"/>
                <w:sz w:val="17"/>
                <w:szCs w:val="17"/>
              </w:rPr>
              <w:t xml:space="preserve"> 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02D4611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6</w:t>
            </w:r>
          </w:p>
        </w:tc>
        <w:tc>
          <w:tcPr>
            <w:tcW w:w="0" w:type="auto"/>
            <w:tcBorders>
              <w:top w:val="single" w:color="3A3838" w:sz="4" w:space="0"/>
              <w:left w:val="single" w:color="3A3838" w:sz="4" w:space="0"/>
              <w:bottom w:val="single" w:color="3A3838" w:sz="4" w:space="0"/>
              <w:right w:val="single" w:color="3A3838" w:sz="4" w:space="0"/>
            </w:tcBorders>
            <w:shd w:val="clear" w:color="000000" w:fill="BAE18F"/>
            <w:vAlign w:val="center"/>
            <w:hideMark/>
          </w:tcPr>
          <w:p w:rsidRPr="00833576" w:rsidR="003F3620" w:rsidP="00A76A6B" w:rsidRDefault="003F3620" w14:paraId="289E1DE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3F3620" w:rsidP="00A76A6B" w:rsidRDefault="003F3620" w14:paraId="54EEF42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E18571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6D2545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6C71CE">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DFB5E6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F61A7D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070470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E60ED3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77960D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7685470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0.15</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72040FAB"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0.20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1C2324" w14:paraId="20DA11D4" w14:textId="49E9F5D6">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68EAAB7C" w14:textId="2D4977E5">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5A4294">
              <w:rPr>
                <w:rFonts w:eastAsia="Times New Roman" w:cs="Times New Roman"/>
                <w:b/>
                <w:bCs/>
                <w:color w:val="FFFFFF"/>
                <w:sz w:val="17"/>
                <w:szCs w:val="17"/>
              </w:rPr>
              <w:t>13.55</w:t>
            </w:r>
          </w:p>
        </w:tc>
      </w:tr>
      <w:tr w:rsidRPr="00833576" w:rsidR="00974DE9" w:rsidTr="00F23F4B" w14:paraId="3468D146"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57419A0E"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0ABFF749"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017E6A17" w14:textId="759F126A">
            <w:pPr>
              <w:spacing w:line="240" w:lineRule="auto"/>
              <w:rPr>
                <w:rFonts w:eastAsia="Times New Roman" w:cs="Times New Roman"/>
                <w:color w:val="2F2F2F"/>
                <w:sz w:val="17"/>
                <w:szCs w:val="17"/>
              </w:rPr>
            </w:pPr>
            <w:r w:rsidRPr="00833576">
              <w:rPr>
                <w:rFonts w:eastAsia="Times New Roman" w:cs="Times New Roman"/>
                <w:color w:val="2F2F2F"/>
                <w:sz w:val="17"/>
                <w:szCs w:val="17"/>
              </w:rPr>
              <w:t>Semi-Structured Interview - SA Recruitment Phone Calls</w:t>
            </w:r>
            <w:r w:rsidR="003163E3">
              <w:rPr>
                <w:rFonts w:eastAsia="Times New Roman" w:cs="Times New Roman"/>
                <w:color w:val="2F2F2F"/>
                <w:sz w:val="17"/>
                <w:szCs w:val="17"/>
              </w:rPr>
              <w:t xml:space="preserve"> 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9B89B2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single" w:color="3A3838" w:sz="4" w:space="0"/>
              <w:bottom w:val="single" w:color="3A3838" w:sz="4" w:space="0"/>
              <w:right w:val="single" w:color="3A3838" w:sz="4" w:space="0"/>
            </w:tcBorders>
            <w:shd w:val="clear" w:color="000000" w:fill="BAE18F"/>
            <w:vAlign w:val="center"/>
            <w:hideMark/>
          </w:tcPr>
          <w:p w:rsidRPr="00833576" w:rsidR="003F3620" w:rsidP="00A76A6B" w:rsidRDefault="003F3620" w14:paraId="6A259DE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3F3620" w:rsidP="00A76A6B" w:rsidRDefault="003F3620" w14:paraId="4027B80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ECCC4B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0A3228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D6F850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A4F596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125818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6E82D2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41A1C9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7772E4">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18C6E53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2103EF">
              <w:rPr>
                <w:rFonts w:eastAsia="Times New Roman" w:cs="Times New Roman"/>
                <w:color w:val="2F2F2F"/>
                <w:sz w:val="17"/>
                <w:szCs w:val="17"/>
              </w:rPr>
              <w:t>20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2154DA4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w:t>
            </w:r>
            <w:r w:rsidRPr="00833576" w:rsidR="002103EF">
              <w:rPr>
                <w:rFonts w:eastAsia="Times New Roman" w:cs="Times New Roman"/>
                <w:b/>
                <w:bCs/>
                <w:color w:val="FFFFFF"/>
                <w:sz w:val="17"/>
                <w:szCs w:val="17"/>
              </w:rPr>
              <w:t>28</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5A4294" w14:paraId="4F45D6F0" w14:textId="101EF274">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4553A189" w14:textId="476E5DC8">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5A4294">
              <w:rPr>
                <w:rFonts w:eastAsia="Times New Roman" w:cs="Times New Roman"/>
                <w:b/>
                <w:bCs/>
                <w:color w:val="FFFFFF"/>
                <w:sz w:val="17"/>
                <w:szCs w:val="17"/>
              </w:rPr>
              <w:t>18.97</w:t>
            </w:r>
          </w:p>
        </w:tc>
      </w:tr>
      <w:tr w:rsidRPr="00833576" w:rsidR="00974DE9" w:rsidTr="00F23F4B" w14:paraId="2ED32709"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34312F5D"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5DF2E0D2"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49A7B08E" w14:textId="763635BA">
            <w:pPr>
              <w:spacing w:line="240" w:lineRule="auto"/>
              <w:rPr>
                <w:rFonts w:eastAsia="Times New Roman" w:cs="Times New Roman"/>
                <w:color w:val="2F2F2F"/>
                <w:sz w:val="17"/>
                <w:szCs w:val="17"/>
              </w:rPr>
            </w:pPr>
            <w:r w:rsidRPr="00833576">
              <w:rPr>
                <w:rFonts w:eastAsia="Times New Roman" w:cs="Times New Roman"/>
                <w:color w:val="2F2F2F"/>
                <w:sz w:val="17"/>
                <w:szCs w:val="17"/>
              </w:rPr>
              <w:t>Semi-Structured Interview - SA Recruitment Email</w:t>
            </w:r>
            <w:r w:rsidR="003163E3">
              <w:rPr>
                <w:rFonts w:eastAsia="Times New Roman" w:cs="Times New Roman"/>
                <w:color w:val="2F2F2F"/>
                <w:sz w:val="17"/>
                <w:szCs w:val="17"/>
              </w:rPr>
              <w:t xml:space="preserve"> 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12D106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4</w:t>
            </w:r>
          </w:p>
        </w:tc>
        <w:tc>
          <w:tcPr>
            <w:tcW w:w="0" w:type="auto"/>
            <w:tcBorders>
              <w:top w:val="nil"/>
              <w:left w:val="single" w:color="3A3838" w:sz="4" w:space="0"/>
              <w:bottom w:val="single" w:color="3A3838" w:sz="4" w:space="0"/>
              <w:right w:val="single" w:color="3A3838" w:sz="4" w:space="0"/>
            </w:tcBorders>
            <w:shd w:val="clear" w:color="000000" w:fill="BAE18F"/>
            <w:vAlign w:val="center"/>
            <w:hideMark/>
          </w:tcPr>
          <w:p w:rsidRPr="00833576" w:rsidR="003F3620" w:rsidP="00A76A6B" w:rsidRDefault="003F3620" w14:paraId="78DA161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3F3620" w:rsidP="00A76A6B" w:rsidRDefault="003F3620" w14:paraId="618DE9F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C5657F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7797C6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9A6BB9">
              <w:rPr>
                <w:rFonts w:eastAsia="Times New Roman" w:cs="Times New Roman"/>
                <w:color w:val="2F2F2F"/>
                <w:sz w:val="17"/>
                <w:szCs w:val="17"/>
              </w:rPr>
              <w:t>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AA5E41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0.05</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92D19E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3248A0C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274D63B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5EF7206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49A2B66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0.09</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023B9277"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0.14</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5A4294" w14:paraId="426E8FEF" w14:textId="49AE3759">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2694A037" w14:textId="70BB80E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961BFB">
              <w:rPr>
                <w:rFonts w:eastAsia="Times New Roman" w:cs="Times New Roman"/>
                <w:b/>
                <w:bCs/>
                <w:color w:val="FFFFFF"/>
                <w:sz w:val="17"/>
                <w:szCs w:val="17"/>
              </w:rPr>
              <w:t>9.49</w:t>
            </w:r>
          </w:p>
        </w:tc>
      </w:tr>
      <w:tr w:rsidRPr="00833576" w:rsidR="00974DE9" w:rsidTr="00F23F4B" w14:paraId="08D3948C" w14:textId="77777777">
        <w:trPr>
          <w:trHeight w:val="23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758D61ED"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4BF2C33F"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BAE18F"/>
            <w:vAlign w:val="center"/>
            <w:hideMark/>
          </w:tcPr>
          <w:p w:rsidRPr="00833576" w:rsidR="003F3620" w:rsidP="003F3620" w:rsidRDefault="003F3620" w14:paraId="3B39355C" w14:textId="6883B80F">
            <w:pPr>
              <w:spacing w:line="240" w:lineRule="auto"/>
              <w:rPr>
                <w:rFonts w:eastAsia="Times New Roman" w:cs="Times New Roman"/>
                <w:color w:val="2F2F2F"/>
                <w:sz w:val="17"/>
                <w:szCs w:val="17"/>
              </w:rPr>
            </w:pPr>
            <w:r w:rsidRPr="00833576">
              <w:rPr>
                <w:rFonts w:eastAsia="Times New Roman" w:cs="Times New Roman"/>
                <w:color w:val="2F2F2F"/>
                <w:sz w:val="17"/>
                <w:szCs w:val="17"/>
              </w:rPr>
              <w:t>Semi-Structured Interview - SA Recruitment Phone Calls</w:t>
            </w:r>
            <w:r w:rsidR="003163E3">
              <w:rPr>
                <w:rFonts w:eastAsia="Times New Roman" w:cs="Times New Roman"/>
                <w:color w:val="2F2F2F"/>
                <w:sz w:val="17"/>
                <w:szCs w:val="17"/>
              </w:rPr>
              <w:t xml:space="preserve"> 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0F48A6" w14:paraId="1CC0CC5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3</w:t>
            </w:r>
          </w:p>
        </w:tc>
        <w:tc>
          <w:tcPr>
            <w:tcW w:w="0" w:type="auto"/>
            <w:tcBorders>
              <w:top w:val="nil"/>
              <w:left w:val="single" w:color="3A3838" w:sz="4" w:space="0"/>
              <w:bottom w:val="single" w:color="3A3838" w:sz="4" w:space="0"/>
              <w:right w:val="single" w:color="3A3838" w:sz="4" w:space="0"/>
            </w:tcBorders>
            <w:shd w:val="clear" w:color="000000" w:fill="BAE18F"/>
            <w:vAlign w:val="center"/>
            <w:hideMark/>
          </w:tcPr>
          <w:p w:rsidRPr="00833576" w:rsidR="003F3620" w:rsidP="00A76A6B" w:rsidRDefault="003F3620" w14:paraId="2B6CB94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single" w:color="auto" w:sz="4" w:space="0"/>
              <w:bottom w:val="single" w:color="auto" w:sz="4" w:space="0"/>
              <w:right w:val="single" w:color="auto" w:sz="4" w:space="0"/>
            </w:tcBorders>
            <w:shd w:val="clear" w:color="000000" w:fill="BAE18F"/>
            <w:noWrap/>
            <w:vAlign w:val="center"/>
            <w:hideMark/>
          </w:tcPr>
          <w:p w:rsidRPr="00833576" w:rsidR="003F3620" w:rsidP="00A76A6B" w:rsidRDefault="003F3620" w14:paraId="050C495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4367183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65193FA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4AD1BE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0.08</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7772E4" w14:paraId="5013518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102B196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7772E4" w14:paraId="607B810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w:t>
            </w:r>
          </w:p>
        </w:tc>
        <w:tc>
          <w:tcPr>
            <w:tcW w:w="0" w:type="auto"/>
            <w:tcBorders>
              <w:top w:val="nil"/>
              <w:left w:val="nil"/>
              <w:bottom w:val="single" w:color="auto" w:sz="4" w:space="0"/>
              <w:right w:val="single" w:color="auto" w:sz="4" w:space="0"/>
            </w:tcBorders>
            <w:shd w:val="clear" w:color="000000" w:fill="BAE18F"/>
            <w:noWrap/>
            <w:vAlign w:val="center"/>
            <w:hideMark/>
          </w:tcPr>
          <w:p w:rsidRPr="00833576" w:rsidR="003F3620" w:rsidP="00A76A6B" w:rsidRDefault="003F3620" w14:paraId="7D12C5B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E70161">
              <w:rPr>
                <w:rFonts w:eastAsia="Times New Roman" w:cs="Times New Roman"/>
                <w:color w:val="2F2F2F"/>
                <w:sz w:val="17"/>
                <w:szCs w:val="17"/>
              </w:rPr>
              <w:t>0</w:t>
            </w:r>
            <w:r w:rsidRPr="00833576" w:rsidR="002103EF">
              <w:rPr>
                <w:rFonts w:eastAsia="Times New Roman" w:cs="Times New Roman"/>
                <w:color w:val="2F2F2F"/>
                <w:sz w:val="17"/>
                <w:szCs w:val="17"/>
              </w:rPr>
              <w:t>5</w:t>
            </w:r>
          </w:p>
        </w:tc>
        <w:tc>
          <w:tcPr>
            <w:tcW w:w="0" w:type="auto"/>
            <w:tcBorders>
              <w:top w:val="nil"/>
              <w:left w:val="nil"/>
              <w:bottom w:val="single" w:color="auto" w:sz="4" w:space="0"/>
              <w:right w:val="nil"/>
            </w:tcBorders>
            <w:shd w:val="clear" w:color="000000" w:fill="BAE18F"/>
            <w:noWrap/>
            <w:vAlign w:val="center"/>
            <w:hideMark/>
          </w:tcPr>
          <w:p w:rsidRPr="00833576" w:rsidR="003F3620" w:rsidP="00A76A6B" w:rsidRDefault="003F3620" w14:paraId="54389A5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2103EF">
              <w:rPr>
                <w:rFonts w:eastAsia="Times New Roman" w:cs="Times New Roman"/>
                <w:color w:val="2F2F2F"/>
                <w:sz w:val="17"/>
                <w:szCs w:val="17"/>
              </w:rPr>
              <w:t>10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1A8685FA"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0.1</w:t>
            </w:r>
            <w:r w:rsidRPr="00833576" w:rsidR="000453D8">
              <w:rPr>
                <w:rFonts w:eastAsia="Times New Roman" w:cs="Times New Roman"/>
                <w:b/>
                <w:bCs/>
                <w:color w:val="FFFFFF"/>
                <w:sz w:val="17"/>
                <w:szCs w:val="17"/>
              </w:rPr>
              <w:t>8</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961BFB" w14:paraId="35CE9765" w14:textId="6514880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5192D3C9" w14:textId="7F650B89">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961BFB">
              <w:rPr>
                <w:rFonts w:eastAsia="Times New Roman" w:cs="Times New Roman"/>
                <w:b/>
                <w:bCs/>
                <w:color w:val="FFFFFF"/>
                <w:sz w:val="17"/>
                <w:szCs w:val="17"/>
              </w:rPr>
              <w:t>12.20</w:t>
            </w:r>
          </w:p>
        </w:tc>
      </w:tr>
      <w:tr w:rsidRPr="00833576" w:rsidR="00974DE9" w:rsidTr="00F23F4B" w14:paraId="733900A3" w14:textId="77777777">
        <w:trPr>
          <w:trHeight w:val="46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37F6801F"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069E071F" w14:textId="77777777">
            <w:pPr>
              <w:spacing w:line="240" w:lineRule="auto"/>
              <w:rPr>
                <w:rFonts w:eastAsia="Times New Roman" w:cs="Times New Roman"/>
                <w:color w:val="2F2F2F"/>
                <w:sz w:val="17"/>
                <w:szCs w:val="17"/>
              </w:rPr>
            </w:pPr>
          </w:p>
        </w:tc>
        <w:tc>
          <w:tcPr>
            <w:tcW w:w="0" w:type="auto"/>
            <w:tcBorders>
              <w:top w:val="nil"/>
              <w:left w:val="nil"/>
              <w:bottom w:val="single" w:color="auto" w:sz="4" w:space="0"/>
              <w:right w:val="single" w:color="auto" w:sz="4" w:space="0"/>
            </w:tcBorders>
            <w:shd w:val="clear" w:color="000000" w:fill="C1F0FF"/>
            <w:vAlign w:val="center"/>
            <w:hideMark/>
          </w:tcPr>
          <w:p w:rsidRPr="00833576" w:rsidR="003F3620" w:rsidP="003F3620" w:rsidRDefault="003F3620" w14:paraId="7783EC47"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 xml:space="preserve">Conducting How States Safeguard SNAP Participant PII Semi-Structured </w:t>
            </w:r>
            <w:r w:rsidRPr="00833576">
              <w:rPr>
                <w:rFonts w:eastAsia="Times New Roman" w:cs="Times New Roman"/>
                <w:color w:val="2F2F2F"/>
                <w:sz w:val="17"/>
                <w:szCs w:val="17"/>
              </w:rPr>
              <w:lastRenderedPageBreak/>
              <w:t>Interview - State Leaders (Data Collection)</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1B0C4C9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lastRenderedPageBreak/>
              <w:t>5</w:t>
            </w:r>
          </w:p>
        </w:tc>
        <w:tc>
          <w:tcPr>
            <w:tcW w:w="0" w:type="auto"/>
            <w:tcBorders>
              <w:top w:val="single" w:color="auto" w:sz="4" w:space="0"/>
              <w:left w:val="nil"/>
              <w:bottom w:val="single" w:color="auto" w:sz="4" w:space="0"/>
              <w:right w:val="single" w:color="auto" w:sz="4" w:space="0"/>
            </w:tcBorders>
            <w:shd w:val="clear" w:color="000000" w:fill="C1F0FF"/>
            <w:noWrap/>
            <w:vAlign w:val="center"/>
            <w:hideMark/>
          </w:tcPr>
          <w:p w:rsidRPr="00833576" w:rsidR="003F3620" w:rsidP="00A76A6B" w:rsidRDefault="003F3620" w14:paraId="41E30CC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3E6F0D6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45622F1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62B4624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3D2C675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5.00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6B84302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13054" w14:paraId="4937CB3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7C7CCE3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5B009CE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313054">
              <w:rPr>
                <w:rFonts w:eastAsia="Times New Roman" w:cs="Times New Roman"/>
                <w:color w:val="2F2F2F"/>
                <w:sz w:val="17"/>
                <w:szCs w:val="17"/>
              </w:rPr>
              <w:t>0</w:t>
            </w:r>
          </w:p>
        </w:tc>
        <w:tc>
          <w:tcPr>
            <w:tcW w:w="0" w:type="auto"/>
            <w:tcBorders>
              <w:top w:val="nil"/>
              <w:left w:val="nil"/>
              <w:bottom w:val="single" w:color="auto" w:sz="4" w:space="0"/>
              <w:right w:val="nil"/>
            </w:tcBorders>
            <w:shd w:val="clear" w:color="000000" w:fill="C1F0FF"/>
            <w:noWrap/>
            <w:vAlign w:val="center"/>
            <w:hideMark/>
          </w:tcPr>
          <w:p w:rsidRPr="00833576" w:rsidR="003F3620" w:rsidP="00A76A6B" w:rsidRDefault="003F3620" w14:paraId="419114B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F3620" w14:paraId="75D4FB3C"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5.00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961BFB" w14:paraId="06B71A92" w14:textId="4447E708">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39830A90" w14:textId="52D52218">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961BFB">
              <w:rPr>
                <w:rFonts w:eastAsia="Times New Roman" w:cs="Times New Roman"/>
                <w:b/>
                <w:bCs/>
                <w:color w:val="FFFFFF"/>
                <w:sz w:val="17"/>
                <w:szCs w:val="17"/>
              </w:rPr>
              <w:t>338.80</w:t>
            </w:r>
          </w:p>
        </w:tc>
      </w:tr>
      <w:tr w:rsidRPr="00833576" w:rsidR="00974DE9" w:rsidTr="00F23F4B" w14:paraId="6EC4BB93" w14:textId="77777777">
        <w:trPr>
          <w:trHeight w:val="24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6CDA749C"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000000" w:sz="8" w:space="0"/>
              <w:right w:val="single" w:color="auto" w:sz="8" w:space="0"/>
            </w:tcBorders>
            <w:vAlign w:val="center"/>
            <w:hideMark/>
          </w:tcPr>
          <w:p w:rsidRPr="00833576" w:rsidR="003F3620" w:rsidP="003F3620" w:rsidRDefault="003F3620" w14:paraId="13B86735" w14:textId="77777777">
            <w:pPr>
              <w:spacing w:line="240" w:lineRule="auto"/>
              <w:rPr>
                <w:rFonts w:eastAsia="Times New Roman" w:cs="Times New Roman"/>
                <w:color w:val="2F2F2F"/>
                <w:sz w:val="17"/>
                <w:szCs w:val="17"/>
              </w:rPr>
            </w:pPr>
          </w:p>
        </w:tc>
        <w:tc>
          <w:tcPr>
            <w:tcW w:w="0" w:type="auto"/>
            <w:tcBorders>
              <w:top w:val="nil"/>
              <w:left w:val="nil"/>
              <w:bottom w:val="single" w:color="auto" w:sz="8" w:space="0"/>
              <w:right w:val="single" w:color="auto" w:sz="4" w:space="0"/>
            </w:tcBorders>
            <w:shd w:val="clear" w:color="000000" w:fill="FFEDC9"/>
            <w:vAlign w:val="center"/>
            <w:hideMark/>
          </w:tcPr>
          <w:p w:rsidRPr="00833576" w:rsidR="003F3620" w:rsidP="003F3620" w:rsidRDefault="003F3620" w14:paraId="245C0A56"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Thank-You Email for Participation in Study</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7A0553E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39712D9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45EE13B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5977B0A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5FC171C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4D5E04">
              <w:rPr>
                <w:rFonts w:eastAsia="Times New Roman" w:cs="Times New Roman"/>
                <w:color w:val="2F2F2F"/>
                <w:sz w:val="17"/>
                <w:szCs w:val="17"/>
              </w:rPr>
              <w:t>05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1B35C69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0.25</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791061A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047F127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19F548E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8" w:space="0"/>
              <w:right w:val="single" w:color="auto" w:sz="4" w:space="0"/>
            </w:tcBorders>
            <w:shd w:val="clear" w:color="000000" w:fill="FFEDC9"/>
            <w:noWrap/>
            <w:vAlign w:val="center"/>
            <w:hideMark/>
          </w:tcPr>
          <w:p w:rsidRPr="00833576" w:rsidR="003F3620" w:rsidP="00A76A6B" w:rsidRDefault="003F3620" w14:paraId="71FAE40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0.03</w:t>
            </w:r>
          </w:p>
        </w:tc>
        <w:tc>
          <w:tcPr>
            <w:tcW w:w="0" w:type="auto"/>
            <w:tcBorders>
              <w:top w:val="nil"/>
              <w:left w:val="nil"/>
              <w:bottom w:val="single" w:color="auto" w:sz="8" w:space="0"/>
              <w:right w:val="nil"/>
            </w:tcBorders>
            <w:shd w:val="clear" w:color="000000" w:fill="FFEDC9"/>
            <w:noWrap/>
            <w:vAlign w:val="center"/>
            <w:hideMark/>
          </w:tcPr>
          <w:p w:rsidRPr="00833576" w:rsidR="003F3620" w:rsidP="00A76A6B" w:rsidRDefault="003F3620" w14:paraId="410A515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8" w:space="0"/>
              <w:right w:val="single" w:color="auto" w:sz="4" w:space="0"/>
            </w:tcBorders>
            <w:shd w:val="clear" w:color="000000" w:fill="009CD3"/>
            <w:noWrap/>
            <w:vAlign w:val="center"/>
            <w:hideMark/>
          </w:tcPr>
          <w:p w:rsidRPr="00833576" w:rsidR="003F3620" w:rsidP="00A76A6B" w:rsidRDefault="003F3620" w14:paraId="43DF08AA"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0.25</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961BFB" w14:paraId="5E5C32FB" w14:textId="25115DC0">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67.76</w:t>
            </w:r>
          </w:p>
        </w:tc>
        <w:tc>
          <w:tcPr>
            <w:tcW w:w="0" w:type="auto"/>
            <w:tcBorders>
              <w:top w:val="nil"/>
              <w:left w:val="nil"/>
              <w:bottom w:val="single" w:color="auto" w:sz="8" w:space="0"/>
              <w:right w:val="single" w:color="auto" w:sz="8" w:space="0"/>
            </w:tcBorders>
            <w:shd w:val="clear" w:color="000000" w:fill="009CD3"/>
            <w:noWrap/>
            <w:vAlign w:val="center"/>
            <w:hideMark/>
          </w:tcPr>
          <w:p w:rsidRPr="00833576" w:rsidR="003F3620" w:rsidP="00A76A6B" w:rsidRDefault="003F3620" w14:paraId="121C9D21" w14:textId="3CDE0C8B">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4146AC">
              <w:rPr>
                <w:rFonts w:eastAsia="Times New Roman" w:cs="Times New Roman"/>
                <w:b/>
                <w:bCs/>
                <w:color w:val="FFFFFF"/>
                <w:sz w:val="17"/>
                <w:szCs w:val="17"/>
              </w:rPr>
              <w:t>16.94</w:t>
            </w:r>
          </w:p>
        </w:tc>
      </w:tr>
      <w:tr w:rsidRPr="00833576" w:rsidR="00974DE9" w:rsidTr="00F23F4B" w14:paraId="59CD8FF6" w14:textId="77777777">
        <w:trPr>
          <w:trHeight w:val="51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0C5CE646" w14:textId="77777777">
            <w:pPr>
              <w:spacing w:line="240" w:lineRule="auto"/>
              <w:rPr>
                <w:rFonts w:eastAsia="Times New Roman" w:cs="Times New Roman"/>
                <w:b/>
                <w:bCs/>
                <w:color w:val="2F2F2F"/>
                <w:sz w:val="17"/>
                <w:szCs w:val="17"/>
              </w:rPr>
            </w:pPr>
          </w:p>
        </w:tc>
        <w:tc>
          <w:tcPr>
            <w:tcW w:w="2228" w:type="dxa"/>
            <w:vMerge w:val="restart"/>
            <w:tcBorders>
              <w:top w:val="nil"/>
              <w:left w:val="single" w:color="auto" w:sz="8" w:space="0"/>
              <w:bottom w:val="single" w:color="auto" w:sz="8" w:space="0"/>
              <w:right w:val="single" w:color="auto" w:sz="8" w:space="0"/>
            </w:tcBorders>
            <w:shd w:val="clear" w:color="auto" w:fill="auto"/>
            <w:vAlign w:val="center"/>
            <w:hideMark/>
          </w:tcPr>
          <w:p w:rsidRPr="00833576" w:rsidR="003F3620" w:rsidP="003F3620" w:rsidRDefault="003F3620" w14:paraId="62FAC63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Information Technology Systems Staff***</w:t>
            </w:r>
          </w:p>
        </w:tc>
        <w:tc>
          <w:tcPr>
            <w:tcW w:w="0" w:type="auto"/>
            <w:tcBorders>
              <w:top w:val="nil"/>
              <w:left w:val="nil"/>
              <w:bottom w:val="single" w:color="auto" w:sz="4" w:space="0"/>
              <w:right w:val="single" w:color="auto" w:sz="4" w:space="0"/>
            </w:tcBorders>
            <w:shd w:val="clear" w:color="000000" w:fill="C1F0FF"/>
            <w:vAlign w:val="center"/>
            <w:hideMark/>
          </w:tcPr>
          <w:p w:rsidRPr="00833576" w:rsidR="003F3620" w:rsidP="003F3620" w:rsidRDefault="003F3620" w14:paraId="49944F47"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Conducting How States Safeguard SNAP Participant PII Web Survey (Data Collection)</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59B2425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26A6EA0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6C6BF44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0486AE9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single" w:color="auto" w:sz="4" w:space="0"/>
              <w:left w:val="nil"/>
              <w:bottom w:val="single" w:color="auto" w:sz="4" w:space="0"/>
              <w:right w:val="single" w:color="auto" w:sz="4" w:space="0"/>
            </w:tcBorders>
            <w:shd w:val="clear" w:color="000000" w:fill="C1F0FF"/>
            <w:noWrap/>
            <w:vAlign w:val="center"/>
            <w:hideMark/>
          </w:tcPr>
          <w:p w:rsidRPr="00833576" w:rsidR="003F3620" w:rsidP="00A76A6B" w:rsidRDefault="003F3620" w14:paraId="3DE5BC0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363B92">
              <w:rPr>
                <w:rFonts w:eastAsia="Times New Roman" w:cs="Times New Roman"/>
                <w:color w:val="2F2F2F"/>
                <w:sz w:val="17"/>
                <w:szCs w:val="17"/>
              </w:rPr>
              <w:t>50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63B92" w14:paraId="316BA0E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26.50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09088C85"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4220FC" w14:paraId="2803928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2C19E29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7816C3F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4220FC">
              <w:rPr>
                <w:rFonts w:eastAsia="Times New Roman" w:cs="Times New Roman"/>
                <w:color w:val="2F2F2F"/>
                <w:sz w:val="17"/>
                <w:szCs w:val="17"/>
              </w:rPr>
              <w:t>0</w:t>
            </w:r>
          </w:p>
        </w:tc>
        <w:tc>
          <w:tcPr>
            <w:tcW w:w="0" w:type="auto"/>
            <w:tcBorders>
              <w:top w:val="nil"/>
              <w:left w:val="nil"/>
              <w:bottom w:val="single" w:color="auto" w:sz="4" w:space="0"/>
              <w:right w:val="nil"/>
            </w:tcBorders>
            <w:shd w:val="clear" w:color="000000" w:fill="C1F0FF"/>
            <w:noWrap/>
            <w:vAlign w:val="center"/>
            <w:hideMark/>
          </w:tcPr>
          <w:p w:rsidRPr="00833576" w:rsidR="003F3620" w:rsidP="00A76A6B" w:rsidRDefault="003F3620" w14:paraId="1C6910B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A2CBF" w14:paraId="05B3B7B8"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26.50</w:t>
            </w:r>
          </w:p>
        </w:tc>
        <w:tc>
          <w:tcPr>
            <w:tcW w:w="0" w:type="auto"/>
            <w:tcBorders>
              <w:top w:val="single" w:color="auto" w:sz="8" w:space="0"/>
              <w:left w:val="nil"/>
              <w:bottom w:val="single" w:color="auto" w:sz="4" w:space="0"/>
              <w:right w:val="single" w:color="auto" w:sz="4" w:space="0"/>
            </w:tcBorders>
            <w:shd w:val="clear" w:color="000000" w:fill="009CD3"/>
            <w:noWrap/>
            <w:vAlign w:val="center"/>
            <w:hideMark/>
          </w:tcPr>
          <w:p w:rsidRPr="00833576" w:rsidR="003F3620" w:rsidP="00A76A6B" w:rsidRDefault="003F3620" w14:paraId="5A9BC2E4" w14:textId="016A1618">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6D5DDF">
              <w:rPr>
                <w:rFonts w:eastAsia="Times New Roman" w:cs="Times New Roman"/>
                <w:b/>
                <w:bCs/>
                <w:color w:val="FFFFFF"/>
                <w:sz w:val="17"/>
                <w:szCs w:val="17"/>
              </w:rPr>
              <w:t>54.76</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249095BF" w14:textId="034C52D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4E4130">
              <w:rPr>
                <w:rFonts w:eastAsia="Times New Roman" w:cs="Times New Roman"/>
                <w:b/>
                <w:bCs/>
                <w:color w:val="FFFFFF"/>
                <w:sz w:val="17"/>
                <w:szCs w:val="17"/>
              </w:rPr>
              <w:t>1,451.14</w:t>
            </w:r>
          </w:p>
        </w:tc>
      </w:tr>
      <w:tr w:rsidRPr="00833576" w:rsidR="00974DE9" w:rsidTr="00F23F4B" w14:paraId="6B70B0B3" w14:textId="77777777">
        <w:trPr>
          <w:trHeight w:val="47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3E18A676"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auto" w:sz="8" w:space="0"/>
              <w:right w:val="single" w:color="auto" w:sz="8" w:space="0"/>
            </w:tcBorders>
            <w:vAlign w:val="center"/>
            <w:hideMark/>
          </w:tcPr>
          <w:p w:rsidRPr="00833576" w:rsidR="003F3620" w:rsidP="003F3620" w:rsidRDefault="003F3620" w14:paraId="52B6CB64" w14:textId="77777777">
            <w:pPr>
              <w:spacing w:line="240" w:lineRule="auto"/>
              <w:rPr>
                <w:rFonts w:eastAsia="Times New Roman" w:cs="Times New Roman"/>
                <w:color w:val="2F2F2F"/>
                <w:sz w:val="17"/>
                <w:szCs w:val="17"/>
              </w:rPr>
            </w:pPr>
          </w:p>
        </w:tc>
        <w:tc>
          <w:tcPr>
            <w:tcW w:w="0" w:type="auto"/>
            <w:tcBorders>
              <w:top w:val="nil"/>
              <w:left w:val="nil"/>
              <w:bottom w:val="single" w:color="auto" w:sz="8" w:space="0"/>
              <w:right w:val="single" w:color="auto" w:sz="4" w:space="0"/>
            </w:tcBorders>
            <w:shd w:val="clear" w:color="000000" w:fill="C1F0FF"/>
            <w:vAlign w:val="center"/>
            <w:hideMark/>
          </w:tcPr>
          <w:p w:rsidRPr="00833576" w:rsidR="003F3620" w:rsidP="003F3620" w:rsidRDefault="003F3620" w14:paraId="49A5A2F4"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Conducting How States Safeguard SNAP Participant PII Semi-Structured Interview - State Leaders (Data Collection)</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72694C7F"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4CA8868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783D62D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66050F9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6B33227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1.00</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23BEF61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5.00</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6FF2D04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4220FC" w14:paraId="512E09EA"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6E3F3E3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8" w:space="0"/>
              <w:right w:val="single" w:color="auto" w:sz="4" w:space="0"/>
            </w:tcBorders>
            <w:shd w:val="clear" w:color="000000" w:fill="C1F0FF"/>
            <w:noWrap/>
            <w:vAlign w:val="center"/>
            <w:hideMark/>
          </w:tcPr>
          <w:p w:rsidRPr="00833576" w:rsidR="003F3620" w:rsidP="00A76A6B" w:rsidRDefault="003F3620" w14:paraId="0B4350A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4220FC">
              <w:rPr>
                <w:rFonts w:eastAsia="Times New Roman" w:cs="Times New Roman"/>
                <w:color w:val="2F2F2F"/>
                <w:sz w:val="17"/>
                <w:szCs w:val="17"/>
              </w:rPr>
              <w:t>0</w:t>
            </w:r>
          </w:p>
        </w:tc>
        <w:tc>
          <w:tcPr>
            <w:tcW w:w="0" w:type="auto"/>
            <w:tcBorders>
              <w:top w:val="nil"/>
              <w:left w:val="nil"/>
              <w:bottom w:val="single" w:color="auto" w:sz="8" w:space="0"/>
              <w:right w:val="nil"/>
            </w:tcBorders>
            <w:shd w:val="clear" w:color="000000" w:fill="C1F0FF"/>
            <w:noWrap/>
            <w:vAlign w:val="center"/>
            <w:hideMark/>
          </w:tcPr>
          <w:p w:rsidRPr="00833576" w:rsidR="003F3620" w:rsidP="00A76A6B" w:rsidRDefault="003F3620" w14:paraId="307ABE6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8" w:space="0"/>
              <w:right w:val="single" w:color="auto" w:sz="4" w:space="0"/>
            </w:tcBorders>
            <w:shd w:val="clear" w:color="000000" w:fill="009CD3"/>
            <w:noWrap/>
            <w:vAlign w:val="center"/>
            <w:hideMark/>
          </w:tcPr>
          <w:p w:rsidRPr="00833576" w:rsidR="003F3620" w:rsidP="00A76A6B" w:rsidRDefault="003F3620" w14:paraId="6FE7998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5.00</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A76A6B" w:rsidRDefault="004E4130" w14:paraId="22F9087D" w14:textId="297D0931">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Pr>
                <w:rFonts w:eastAsia="Times New Roman" w:cs="Times New Roman"/>
                <w:b/>
                <w:bCs/>
                <w:color w:val="FFFFFF"/>
                <w:sz w:val="17"/>
                <w:szCs w:val="17"/>
              </w:rPr>
              <w:t>54.76</w:t>
            </w:r>
          </w:p>
        </w:tc>
        <w:tc>
          <w:tcPr>
            <w:tcW w:w="0" w:type="auto"/>
            <w:tcBorders>
              <w:top w:val="nil"/>
              <w:left w:val="nil"/>
              <w:bottom w:val="single" w:color="auto" w:sz="8" w:space="0"/>
              <w:right w:val="single" w:color="auto" w:sz="8" w:space="0"/>
            </w:tcBorders>
            <w:shd w:val="clear" w:color="000000" w:fill="009CD3"/>
            <w:noWrap/>
            <w:vAlign w:val="center"/>
            <w:hideMark/>
          </w:tcPr>
          <w:p w:rsidRPr="00833576" w:rsidR="003F3620" w:rsidP="00A76A6B" w:rsidRDefault="003F3620" w14:paraId="46C76B6B" w14:textId="1CEC49D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EE74FA">
              <w:rPr>
                <w:rFonts w:eastAsia="Times New Roman" w:cs="Times New Roman"/>
                <w:b/>
                <w:bCs/>
                <w:color w:val="FFFFFF"/>
                <w:sz w:val="17"/>
                <w:szCs w:val="17"/>
              </w:rPr>
              <w:t>273.80</w:t>
            </w:r>
          </w:p>
        </w:tc>
      </w:tr>
      <w:tr w:rsidRPr="00833576" w:rsidR="00974DE9" w:rsidTr="00F23F4B" w14:paraId="1D7E3073" w14:textId="77777777">
        <w:trPr>
          <w:trHeight w:val="24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5D37B225" w14:textId="77777777">
            <w:pPr>
              <w:spacing w:line="240" w:lineRule="auto"/>
              <w:rPr>
                <w:rFonts w:eastAsia="Times New Roman" w:cs="Times New Roman"/>
                <w:b/>
                <w:bCs/>
                <w:color w:val="2F2F2F"/>
                <w:sz w:val="17"/>
                <w:szCs w:val="17"/>
              </w:rPr>
            </w:pPr>
          </w:p>
        </w:tc>
        <w:tc>
          <w:tcPr>
            <w:tcW w:w="2228" w:type="dxa"/>
            <w:vMerge w:val="restart"/>
            <w:tcBorders>
              <w:top w:val="nil"/>
              <w:left w:val="single" w:color="auto" w:sz="8" w:space="0"/>
              <w:bottom w:val="single" w:color="auto" w:sz="8" w:space="0"/>
              <w:right w:val="single" w:color="auto" w:sz="8" w:space="0"/>
            </w:tcBorders>
            <w:shd w:val="clear" w:color="auto" w:fill="auto"/>
            <w:vAlign w:val="center"/>
            <w:hideMark/>
          </w:tcPr>
          <w:p w:rsidRPr="00833576" w:rsidR="003F3620" w:rsidP="003F3620" w:rsidRDefault="003F3620" w14:paraId="3CBA1DAB"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Program/</w:t>
            </w:r>
            <w:r w:rsidRPr="00833576" w:rsidR="00EA0C3C">
              <w:rPr>
                <w:rFonts w:eastAsia="Times New Roman" w:cs="Times New Roman"/>
                <w:color w:val="2F2F2F"/>
                <w:sz w:val="17"/>
                <w:szCs w:val="17"/>
              </w:rPr>
              <w:t xml:space="preserve"> </w:t>
            </w:r>
            <w:r w:rsidRPr="00833576">
              <w:rPr>
                <w:rFonts w:eastAsia="Times New Roman" w:cs="Times New Roman"/>
                <w:color w:val="2F2F2F"/>
                <w:sz w:val="17"/>
                <w:szCs w:val="17"/>
              </w:rPr>
              <w:t>Data Analysts</w:t>
            </w:r>
            <w:r w:rsidRPr="00833576" w:rsidR="00EA0C3C">
              <w:rPr>
                <w:rFonts w:eastAsia="Times New Roman" w:cs="Times New Roman"/>
                <w:color w:val="2F2F2F"/>
                <w:sz w:val="17"/>
                <w:szCs w:val="17"/>
              </w:rPr>
              <w:t xml:space="preserve"> </w:t>
            </w:r>
            <w:r w:rsidRPr="00833576">
              <w:rPr>
                <w:rFonts w:eastAsia="Times New Roman" w:cs="Times New Roman"/>
                <w:color w:val="2F2F2F"/>
                <w:sz w:val="17"/>
                <w:szCs w:val="17"/>
              </w:rPr>
              <w:t>****</w:t>
            </w:r>
          </w:p>
        </w:tc>
        <w:tc>
          <w:tcPr>
            <w:tcW w:w="0" w:type="auto"/>
            <w:tcBorders>
              <w:top w:val="nil"/>
              <w:left w:val="nil"/>
              <w:bottom w:val="single" w:color="auto" w:sz="4" w:space="0"/>
              <w:right w:val="single" w:color="auto" w:sz="4" w:space="0"/>
            </w:tcBorders>
            <w:shd w:val="clear" w:color="000000" w:fill="C1F0FF"/>
            <w:vAlign w:val="center"/>
            <w:hideMark/>
          </w:tcPr>
          <w:p w:rsidRPr="00833576" w:rsidR="003F3620" w:rsidP="003F3620" w:rsidRDefault="003F3620" w14:paraId="4B10F5FF"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Conducting How States Safeguard SNAP Participant PII Web Survey (Data Collection)</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64BA1F6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5353EEF0"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5602475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307728B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53</w:t>
            </w:r>
          </w:p>
        </w:tc>
        <w:tc>
          <w:tcPr>
            <w:tcW w:w="0" w:type="auto"/>
            <w:tcBorders>
              <w:top w:val="single" w:color="auto" w:sz="4" w:space="0"/>
              <w:left w:val="nil"/>
              <w:bottom w:val="single" w:color="auto" w:sz="4" w:space="0"/>
              <w:right w:val="single" w:color="auto" w:sz="4" w:space="0"/>
            </w:tcBorders>
            <w:shd w:val="clear" w:color="000000" w:fill="C1F0FF"/>
            <w:noWrap/>
            <w:vAlign w:val="center"/>
            <w:hideMark/>
          </w:tcPr>
          <w:p w:rsidRPr="00833576" w:rsidR="003F3620" w:rsidP="00A76A6B" w:rsidRDefault="003F3620" w14:paraId="666123EE"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r w:rsidRPr="00833576" w:rsidR="00363B92">
              <w:rPr>
                <w:rFonts w:eastAsia="Times New Roman" w:cs="Times New Roman"/>
                <w:color w:val="2F2F2F"/>
                <w:sz w:val="17"/>
                <w:szCs w:val="17"/>
              </w:rPr>
              <w:t>50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1D4120" w:rsidRDefault="00363B92" w14:paraId="37AC578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26.50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69A779E3"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4220FC" w14:paraId="58FBE61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52B7A88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single" w:color="auto" w:sz="4" w:space="0"/>
              <w:right w:val="single" w:color="auto" w:sz="4" w:space="0"/>
            </w:tcBorders>
            <w:shd w:val="clear" w:color="000000" w:fill="C1F0FF"/>
            <w:noWrap/>
            <w:vAlign w:val="center"/>
            <w:hideMark/>
          </w:tcPr>
          <w:p w:rsidRPr="00833576" w:rsidR="003F3620" w:rsidP="00A76A6B" w:rsidRDefault="003F3620" w14:paraId="6AC9DDA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4220FC">
              <w:rPr>
                <w:rFonts w:eastAsia="Times New Roman" w:cs="Times New Roman"/>
                <w:color w:val="2F2F2F"/>
                <w:sz w:val="17"/>
                <w:szCs w:val="17"/>
              </w:rPr>
              <w:t>0</w:t>
            </w:r>
          </w:p>
        </w:tc>
        <w:tc>
          <w:tcPr>
            <w:tcW w:w="0" w:type="auto"/>
            <w:tcBorders>
              <w:top w:val="nil"/>
              <w:left w:val="nil"/>
              <w:bottom w:val="single" w:color="auto" w:sz="4" w:space="0"/>
              <w:right w:val="nil"/>
            </w:tcBorders>
            <w:shd w:val="clear" w:color="000000" w:fill="C1F0FF"/>
            <w:noWrap/>
            <w:vAlign w:val="center"/>
            <w:hideMark/>
          </w:tcPr>
          <w:p w:rsidRPr="00833576" w:rsidR="003F3620" w:rsidP="00A76A6B" w:rsidRDefault="003F3620" w14:paraId="5D49EF0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single" w:color="auto" w:sz="4" w:space="0"/>
              <w:right w:val="single" w:color="auto" w:sz="4" w:space="0"/>
            </w:tcBorders>
            <w:shd w:val="clear" w:color="000000" w:fill="009CD3"/>
            <w:noWrap/>
            <w:vAlign w:val="center"/>
            <w:hideMark/>
          </w:tcPr>
          <w:p w:rsidRPr="00833576" w:rsidR="003F3620" w:rsidP="00A76A6B" w:rsidRDefault="003A2CBF" w14:paraId="78635D11"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26.50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3F3620" w14:paraId="16F6559B" w14:textId="6482AEAF">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E25854">
              <w:rPr>
                <w:rFonts w:eastAsia="Times New Roman" w:cs="Times New Roman"/>
                <w:b/>
                <w:bCs/>
                <w:color w:val="FFFFFF"/>
                <w:sz w:val="17"/>
                <w:szCs w:val="17"/>
              </w:rPr>
              <w:t>40.27</w:t>
            </w:r>
          </w:p>
        </w:tc>
        <w:tc>
          <w:tcPr>
            <w:tcW w:w="0" w:type="auto"/>
            <w:tcBorders>
              <w:top w:val="nil"/>
              <w:left w:val="nil"/>
              <w:bottom w:val="single" w:color="auto" w:sz="4" w:space="0"/>
              <w:right w:val="single" w:color="auto" w:sz="8" w:space="0"/>
            </w:tcBorders>
            <w:shd w:val="clear" w:color="000000" w:fill="009CD3"/>
            <w:noWrap/>
            <w:vAlign w:val="center"/>
            <w:hideMark/>
          </w:tcPr>
          <w:p w:rsidRPr="00833576" w:rsidR="003F3620" w:rsidP="00A76A6B" w:rsidRDefault="003F3620" w14:paraId="033EDBAD" w14:textId="1772967C">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3B368C">
              <w:rPr>
                <w:rFonts w:eastAsia="Times New Roman" w:cs="Times New Roman"/>
                <w:b/>
                <w:bCs/>
                <w:color w:val="FFFFFF"/>
                <w:sz w:val="17"/>
                <w:szCs w:val="17"/>
              </w:rPr>
              <w:t>1,067.16</w:t>
            </w:r>
          </w:p>
        </w:tc>
      </w:tr>
      <w:tr w:rsidRPr="00833576" w:rsidR="00974DE9" w:rsidTr="00F23F4B" w14:paraId="21BF1AF0" w14:textId="77777777">
        <w:trPr>
          <w:trHeight w:val="47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0D1572E4" w14:textId="77777777">
            <w:pPr>
              <w:spacing w:line="240" w:lineRule="auto"/>
              <w:rPr>
                <w:rFonts w:eastAsia="Times New Roman" w:cs="Times New Roman"/>
                <w:b/>
                <w:bCs/>
                <w:color w:val="2F2F2F"/>
                <w:sz w:val="17"/>
                <w:szCs w:val="17"/>
              </w:rPr>
            </w:pPr>
          </w:p>
        </w:tc>
        <w:tc>
          <w:tcPr>
            <w:tcW w:w="2228" w:type="dxa"/>
            <w:vMerge/>
            <w:tcBorders>
              <w:top w:val="nil"/>
              <w:left w:val="single" w:color="auto" w:sz="8" w:space="0"/>
              <w:bottom w:val="single" w:color="auto" w:sz="8" w:space="0"/>
              <w:right w:val="single" w:color="auto" w:sz="8" w:space="0"/>
            </w:tcBorders>
            <w:vAlign w:val="center"/>
            <w:hideMark/>
          </w:tcPr>
          <w:p w:rsidRPr="00833576" w:rsidR="003F3620" w:rsidP="003F3620" w:rsidRDefault="003F3620" w14:paraId="0AE54769" w14:textId="77777777">
            <w:pPr>
              <w:spacing w:line="240" w:lineRule="auto"/>
              <w:rPr>
                <w:rFonts w:eastAsia="Times New Roman" w:cs="Times New Roman"/>
                <w:color w:val="2F2F2F"/>
                <w:sz w:val="17"/>
                <w:szCs w:val="17"/>
              </w:rPr>
            </w:pPr>
          </w:p>
        </w:tc>
        <w:tc>
          <w:tcPr>
            <w:tcW w:w="0" w:type="auto"/>
            <w:tcBorders>
              <w:top w:val="nil"/>
              <w:left w:val="nil"/>
              <w:bottom w:val="single" w:color="auto" w:sz="8" w:space="0"/>
              <w:right w:val="single" w:color="auto" w:sz="4" w:space="0"/>
            </w:tcBorders>
            <w:shd w:val="clear" w:color="000000" w:fill="C1F0FF"/>
            <w:vAlign w:val="center"/>
            <w:hideMark/>
          </w:tcPr>
          <w:p w:rsidRPr="00833576" w:rsidR="003F3620" w:rsidP="003F3620" w:rsidRDefault="003F3620" w14:paraId="18F12B90" w14:textId="77777777">
            <w:pPr>
              <w:spacing w:line="240" w:lineRule="auto"/>
              <w:rPr>
                <w:rFonts w:eastAsia="Times New Roman" w:cs="Times New Roman"/>
                <w:color w:val="2F2F2F"/>
                <w:sz w:val="17"/>
                <w:szCs w:val="17"/>
              </w:rPr>
            </w:pPr>
            <w:r w:rsidRPr="00833576">
              <w:rPr>
                <w:rFonts w:eastAsia="Times New Roman" w:cs="Times New Roman"/>
                <w:color w:val="2F2F2F"/>
                <w:sz w:val="17"/>
                <w:szCs w:val="17"/>
              </w:rPr>
              <w:t>Conducting How States Safeguard SNAP Participant PII Semi-Structured Interview - State Leaders (Data Collection)</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7720F16D"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45DAD2B1"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76D19FF2"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62F20A5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7A83762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1.00</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2058D278"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5.00</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0A8F1BD7"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4220FC" w14:paraId="2F2BBD34"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3C065346"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w:t>
            </w:r>
          </w:p>
        </w:tc>
        <w:tc>
          <w:tcPr>
            <w:tcW w:w="0" w:type="auto"/>
            <w:tcBorders>
              <w:top w:val="nil"/>
              <w:left w:val="nil"/>
              <w:bottom w:val="nil"/>
              <w:right w:val="single" w:color="auto" w:sz="4" w:space="0"/>
            </w:tcBorders>
            <w:shd w:val="clear" w:color="000000" w:fill="C1F0FF"/>
            <w:noWrap/>
            <w:vAlign w:val="center"/>
            <w:hideMark/>
          </w:tcPr>
          <w:p w:rsidRPr="00833576" w:rsidR="003F3620" w:rsidP="00A76A6B" w:rsidRDefault="003F3620" w14:paraId="59B58709"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w:t>
            </w:r>
            <w:r w:rsidRPr="00833576" w:rsidR="004220FC">
              <w:rPr>
                <w:rFonts w:eastAsia="Times New Roman" w:cs="Times New Roman"/>
                <w:color w:val="2F2F2F"/>
                <w:sz w:val="17"/>
                <w:szCs w:val="17"/>
              </w:rPr>
              <w:t>0</w:t>
            </w:r>
          </w:p>
        </w:tc>
        <w:tc>
          <w:tcPr>
            <w:tcW w:w="0" w:type="auto"/>
            <w:tcBorders>
              <w:top w:val="nil"/>
              <w:left w:val="nil"/>
              <w:bottom w:val="nil"/>
              <w:right w:val="nil"/>
            </w:tcBorders>
            <w:shd w:val="clear" w:color="000000" w:fill="C1F0FF"/>
            <w:noWrap/>
            <w:vAlign w:val="center"/>
            <w:hideMark/>
          </w:tcPr>
          <w:p w:rsidRPr="00833576" w:rsidR="003F3620" w:rsidP="00A76A6B" w:rsidRDefault="003F3620" w14:paraId="240A3F9C" w14:textId="77777777">
            <w:pPr>
              <w:spacing w:line="240" w:lineRule="auto"/>
              <w:jc w:val="center"/>
              <w:rPr>
                <w:rFonts w:eastAsia="Times New Roman" w:cs="Times New Roman"/>
                <w:color w:val="2F2F2F"/>
                <w:sz w:val="17"/>
                <w:szCs w:val="17"/>
              </w:rPr>
            </w:pPr>
            <w:r w:rsidRPr="00833576">
              <w:rPr>
                <w:rFonts w:eastAsia="Times New Roman" w:cs="Times New Roman"/>
                <w:color w:val="2F2F2F"/>
                <w:sz w:val="17"/>
                <w:szCs w:val="17"/>
              </w:rPr>
              <w:t>0.00</w:t>
            </w:r>
          </w:p>
        </w:tc>
        <w:tc>
          <w:tcPr>
            <w:tcW w:w="0" w:type="auto"/>
            <w:tcBorders>
              <w:top w:val="nil"/>
              <w:left w:val="single" w:color="auto" w:sz="8" w:space="0"/>
              <w:bottom w:val="nil"/>
              <w:right w:val="single" w:color="auto" w:sz="4" w:space="0"/>
            </w:tcBorders>
            <w:shd w:val="clear" w:color="000000" w:fill="009CD3"/>
            <w:noWrap/>
            <w:vAlign w:val="center"/>
            <w:hideMark/>
          </w:tcPr>
          <w:p w:rsidRPr="00833576" w:rsidR="003F3620" w:rsidP="00A76A6B" w:rsidRDefault="003F3620" w14:paraId="3837074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5.00</w:t>
            </w:r>
          </w:p>
        </w:tc>
        <w:tc>
          <w:tcPr>
            <w:tcW w:w="0" w:type="auto"/>
            <w:tcBorders>
              <w:top w:val="nil"/>
              <w:left w:val="nil"/>
              <w:bottom w:val="single" w:color="auto" w:sz="4" w:space="0"/>
              <w:right w:val="single" w:color="auto" w:sz="4" w:space="0"/>
            </w:tcBorders>
            <w:shd w:val="clear" w:color="000000" w:fill="009CD3"/>
            <w:noWrap/>
            <w:vAlign w:val="center"/>
            <w:hideMark/>
          </w:tcPr>
          <w:p w:rsidRPr="00833576" w:rsidR="003F3620" w:rsidP="00A76A6B" w:rsidRDefault="003F3620" w14:paraId="321E42AC" w14:textId="42CA7B99">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70181C">
              <w:rPr>
                <w:rFonts w:eastAsia="Times New Roman" w:cs="Times New Roman"/>
                <w:b/>
                <w:bCs/>
                <w:color w:val="FFFFFF"/>
                <w:sz w:val="17"/>
                <w:szCs w:val="17"/>
              </w:rPr>
              <w:t>40.27</w:t>
            </w:r>
          </w:p>
        </w:tc>
        <w:tc>
          <w:tcPr>
            <w:tcW w:w="0" w:type="auto"/>
            <w:tcBorders>
              <w:top w:val="nil"/>
              <w:left w:val="nil"/>
              <w:bottom w:val="nil"/>
              <w:right w:val="single" w:color="auto" w:sz="8" w:space="0"/>
            </w:tcBorders>
            <w:shd w:val="clear" w:color="000000" w:fill="009CD3"/>
            <w:noWrap/>
            <w:vAlign w:val="center"/>
            <w:hideMark/>
          </w:tcPr>
          <w:p w:rsidRPr="00833576" w:rsidR="003F3620" w:rsidP="00A76A6B" w:rsidRDefault="003F3620" w14:paraId="4DF09634" w14:textId="693EF89D">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70181C">
              <w:rPr>
                <w:rFonts w:eastAsia="Times New Roman" w:cs="Times New Roman"/>
                <w:b/>
                <w:bCs/>
                <w:color w:val="FFFFFF"/>
                <w:sz w:val="17"/>
                <w:szCs w:val="17"/>
              </w:rPr>
              <w:t>201.35</w:t>
            </w:r>
          </w:p>
        </w:tc>
      </w:tr>
      <w:tr w:rsidRPr="00833576" w:rsidR="00080515" w:rsidTr="00F23F4B" w14:paraId="5B0B97D9" w14:textId="77777777">
        <w:trPr>
          <w:trHeight w:val="300"/>
        </w:trPr>
        <w:tc>
          <w:tcPr>
            <w:tcW w:w="1430" w:type="dxa"/>
            <w:vMerge/>
            <w:tcBorders>
              <w:top w:val="nil"/>
              <w:left w:val="single" w:color="auto" w:sz="8" w:space="0"/>
              <w:bottom w:val="single" w:color="000000" w:sz="8" w:space="0"/>
              <w:right w:val="nil"/>
            </w:tcBorders>
            <w:vAlign w:val="center"/>
            <w:hideMark/>
          </w:tcPr>
          <w:p w:rsidRPr="00833576" w:rsidR="003F3620" w:rsidP="003F3620" w:rsidRDefault="003F3620" w14:paraId="3B793F0E" w14:textId="77777777">
            <w:pPr>
              <w:spacing w:line="240" w:lineRule="auto"/>
              <w:rPr>
                <w:rFonts w:eastAsia="Times New Roman" w:cs="Times New Roman"/>
                <w:b/>
                <w:bCs/>
                <w:color w:val="2F2F2F"/>
                <w:sz w:val="17"/>
                <w:szCs w:val="17"/>
              </w:rPr>
            </w:pPr>
          </w:p>
        </w:tc>
        <w:tc>
          <w:tcPr>
            <w:tcW w:w="4959" w:type="dxa"/>
            <w:gridSpan w:val="2"/>
            <w:tcBorders>
              <w:top w:val="single" w:color="auto" w:sz="8" w:space="0"/>
              <w:left w:val="single" w:color="auto" w:sz="8" w:space="0"/>
              <w:bottom w:val="single" w:color="auto" w:sz="8" w:space="0"/>
              <w:right w:val="nil"/>
            </w:tcBorders>
            <w:shd w:val="clear" w:color="000000" w:fill="E7E6E6"/>
            <w:vAlign w:val="center"/>
            <w:hideMark/>
          </w:tcPr>
          <w:p w:rsidRPr="00833576" w:rsidR="003F3620" w:rsidP="003F3620" w:rsidRDefault="003F3620" w14:paraId="3574DC12" w14:textId="77777777">
            <w:pPr>
              <w:spacing w:line="240" w:lineRule="auto"/>
              <w:rPr>
                <w:rFonts w:eastAsia="Times New Roman" w:cs="Times New Roman"/>
                <w:b/>
                <w:bCs/>
                <w:color w:val="2F2F2F"/>
                <w:sz w:val="17"/>
                <w:szCs w:val="17"/>
              </w:rPr>
            </w:pPr>
            <w:r w:rsidRPr="00833576">
              <w:rPr>
                <w:rFonts w:eastAsia="Times New Roman" w:cs="Times New Roman"/>
                <w:b/>
                <w:bCs/>
                <w:color w:val="2F2F2F"/>
                <w:sz w:val="17"/>
                <w:szCs w:val="17"/>
              </w:rPr>
              <w:t>State Government Subtotal</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A76A6B" w:rsidRDefault="003F3620" w14:paraId="5F2B6C2A"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w:t>
            </w:r>
            <w:r w:rsidRPr="00833576" w:rsidR="00B64C8B">
              <w:rPr>
                <w:rFonts w:eastAsia="Times New Roman" w:cs="Times New Roman"/>
                <w:b/>
                <w:bCs/>
                <w:color w:val="2F2F2F"/>
                <w:sz w:val="17"/>
                <w:szCs w:val="17"/>
              </w:rPr>
              <w:t>76</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1D4120" w:rsidRDefault="00590A05" w14:paraId="1FE167FE"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w:t>
            </w:r>
            <w:r w:rsidRPr="00833576" w:rsidR="00B64C8B">
              <w:rPr>
                <w:rFonts w:eastAsia="Times New Roman" w:cs="Times New Roman"/>
                <w:b/>
                <w:bCs/>
                <w:color w:val="2F2F2F"/>
                <w:sz w:val="17"/>
                <w:szCs w:val="17"/>
              </w:rPr>
              <w:t>74</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A76A6B" w:rsidRDefault="00B64C8B" w14:paraId="255F41DC"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2.34</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1D4120" w:rsidRDefault="00590A05" w14:paraId="526E4C71"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40</w:t>
            </w:r>
            <w:r w:rsidRPr="00833576" w:rsidR="00B64C8B">
              <w:rPr>
                <w:rFonts w:eastAsia="Times New Roman" w:cs="Times New Roman"/>
                <w:b/>
                <w:bCs/>
                <w:color w:val="2F2F2F"/>
                <w:sz w:val="17"/>
                <w:szCs w:val="17"/>
              </w:rPr>
              <w:t>8</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A76A6B" w:rsidRDefault="003F3620" w14:paraId="6C777BBE"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0.2</w:t>
            </w:r>
            <w:r w:rsidRPr="00833576" w:rsidR="000352D5">
              <w:rPr>
                <w:rFonts w:eastAsia="Times New Roman" w:cs="Times New Roman"/>
                <w:b/>
                <w:bCs/>
                <w:color w:val="2F2F2F"/>
                <w:sz w:val="17"/>
                <w:szCs w:val="17"/>
              </w:rPr>
              <w:t>8</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1D4120" w:rsidRDefault="00710329" w14:paraId="3ED3090E"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112.9</w:t>
            </w:r>
            <w:r w:rsidRPr="00833576" w:rsidR="00B64C8B">
              <w:rPr>
                <w:rFonts w:eastAsia="Times New Roman" w:cs="Times New Roman"/>
                <w:b/>
                <w:bCs/>
                <w:color w:val="2F2F2F"/>
                <w:sz w:val="17"/>
                <w:szCs w:val="17"/>
              </w:rPr>
              <w:t>5</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A76A6B" w:rsidRDefault="000342C9" w14:paraId="410F409E"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2</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A76A6B" w:rsidRDefault="000342C9" w14:paraId="012EC1C6"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154</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1D4120" w:rsidRDefault="008E067C" w14:paraId="79CC6A45"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308</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A76A6B" w:rsidRDefault="003F3620" w14:paraId="3215D2C1"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0.04</w:t>
            </w:r>
          </w:p>
        </w:tc>
        <w:tc>
          <w:tcPr>
            <w:tcW w:w="0" w:type="auto"/>
            <w:tcBorders>
              <w:top w:val="single" w:color="auto" w:sz="8" w:space="0"/>
              <w:left w:val="nil"/>
              <w:bottom w:val="single" w:color="auto" w:sz="8" w:space="0"/>
              <w:right w:val="nil"/>
            </w:tcBorders>
            <w:shd w:val="clear" w:color="000000" w:fill="E7E6E6"/>
            <w:noWrap/>
            <w:vAlign w:val="center"/>
            <w:hideMark/>
          </w:tcPr>
          <w:p w:rsidRPr="00833576" w:rsidR="003F3620" w:rsidP="001D4120" w:rsidRDefault="00D45C6D" w14:paraId="0A42F488"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w:t>
            </w:r>
            <w:r w:rsidRPr="00833576" w:rsidR="00955D66">
              <w:rPr>
                <w:rFonts w:eastAsia="Times New Roman" w:cs="Times New Roman"/>
                <w:b/>
                <w:bCs/>
                <w:color w:val="2F2F2F"/>
                <w:sz w:val="17"/>
                <w:szCs w:val="17"/>
              </w:rPr>
              <w:t>1</w:t>
            </w:r>
            <w:r w:rsidRPr="00833576">
              <w:rPr>
                <w:rFonts w:eastAsia="Times New Roman" w:cs="Times New Roman"/>
                <w:b/>
                <w:bCs/>
                <w:color w:val="2F2F2F"/>
                <w:sz w:val="17"/>
                <w:szCs w:val="17"/>
              </w:rPr>
              <w:t>.1</w:t>
            </w:r>
            <w:r w:rsidRPr="00833576" w:rsidR="00955D66">
              <w:rPr>
                <w:rFonts w:eastAsia="Times New Roman" w:cs="Times New Roman"/>
                <w:b/>
                <w:bCs/>
                <w:color w:val="2F2F2F"/>
                <w:sz w:val="17"/>
                <w:szCs w:val="17"/>
              </w:rPr>
              <w:t>0</w:t>
            </w:r>
          </w:p>
        </w:tc>
        <w:tc>
          <w:tcPr>
            <w:tcW w:w="0" w:type="auto"/>
            <w:tcBorders>
              <w:top w:val="single" w:color="auto" w:sz="8" w:space="0"/>
              <w:left w:val="single" w:color="auto" w:sz="8" w:space="0"/>
              <w:bottom w:val="single" w:color="auto" w:sz="8" w:space="0"/>
              <w:right w:val="single" w:color="auto" w:sz="4" w:space="0"/>
            </w:tcBorders>
            <w:shd w:val="clear" w:color="000000" w:fill="E7E6E6"/>
            <w:noWrap/>
            <w:vAlign w:val="center"/>
            <w:hideMark/>
          </w:tcPr>
          <w:p w:rsidRPr="00833576" w:rsidR="003F3620" w:rsidP="00A76A6B" w:rsidRDefault="00142216" w14:paraId="45ABC4A5" w14:textId="77777777">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12</w:t>
            </w:r>
            <w:r w:rsidRPr="00833576" w:rsidR="00A30C78">
              <w:rPr>
                <w:rFonts w:eastAsia="Times New Roman" w:cs="Times New Roman"/>
                <w:b/>
                <w:bCs/>
                <w:color w:val="2F2F2F"/>
                <w:sz w:val="17"/>
                <w:szCs w:val="17"/>
              </w:rPr>
              <w:t>4</w:t>
            </w:r>
            <w:r w:rsidRPr="00833576">
              <w:rPr>
                <w:rFonts w:eastAsia="Times New Roman" w:cs="Times New Roman"/>
                <w:b/>
                <w:bCs/>
                <w:color w:val="2F2F2F"/>
                <w:sz w:val="17"/>
                <w:szCs w:val="17"/>
              </w:rPr>
              <w:t>.0</w:t>
            </w:r>
            <w:r w:rsidRPr="00833576" w:rsidR="00A30C78">
              <w:rPr>
                <w:rFonts w:eastAsia="Times New Roman" w:cs="Times New Roman"/>
                <w:b/>
                <w:bCs/>
                <w:color w:val="2F2F2F"/>
                <w:sz w:val="17"/>
                <w:szCs w:val="17"/>
              </w:rPr>
              <w:t>5</w:t>
            </w:r>
          </w:p>
        </w:tc>
        <w:tc>
          <w:tcPr>
            <w:tcW w:w="0" w:type="auto"/>
            <w:tcBorders>
              <w:top w:val="single" w:color="auto" w:sz="8" w:space="0"/>
              <w:left w:val="nil"/>
              <w:bottom w:val="single" w:color="auto" w:sz="8" w:space="0"/>
              <w:right w:val="single" w:color="auto" w:sz="4" w:space="0"/>
            </w:tcBorders>
            <w:shd w:val="clear" w:color="000000" w:fill="E7E6E6"/>
            <w:noWrap/>
            <w:vAlign w:val="center"/>
            <w:hideMark/>
          </w:tcPr>
          <w:p w:rsidRPr="00833576" w:rsidR="003F3620" w:rsidP="001D4120" w:rsidRDefault="00D45C6D" w14:paraId="69A3D378" w14:textId="3806775A">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009A6260">
              <w:rPr>
                <w:rFonts w:eastAsia="Times New Roman" w:cs="Times New Roman"/>
                <w:b/>
                <w:bCs/>
                <w:color w:val="2F2F2F"/>
                <w:sz w:val="17"/>
                <w:szCs w:val="17"/>
              </w:rPr>
              <w:t>57.84</w:t>
            </w:r>
          </w:p>
        </w:tc>
        <w:tc>
          <w:tcPr>
            <w:tcW w:w="0" w:type="auto"/>
            <w:tcBorders>
              <w:top w:val="single" w:color="auto" w:sz="8" w:space="0"/>
              <w:left w:val="nil"/>
              <w:bottom w:val="single" w:color="auto" w:sz="8" w:space="0"/>
              <w:right w:val="single" w:color="auto" w:sz="8" w:space="0"/>
            </w:tcBorders>
            <w:shd w:val="clear" w:color="000000" w:fill="E7E6E6"/>
            <w:noWrap/>
            <w:vAlign w:val="center"/>
            <w:hideMark/>
          </w:tcPr>
          <w:p w:rsidRPr="00833576" w:rsidR="003F3620" w:rsidP="001D4120" w:rsidRDefault="00D45C6D" w14:paraId="4CF48127" w14:textId="3A3ECE5F">
            <w:pPr>
              <w:spacing w:line="240" w:lineRule="auto"/>
              <w:jc w:val="center"/>
              <w:rPr>
                <w:rFonts w:eastAsia="Times New Roman" w:cs="Times New Roman"/>
                <w:b/>
                <w:bCs/>
                <w:color w:val="2F2F2F"/>
                <w:sz w:val="17"/>
                <w:szCs w:val="17"/>
              </w:rPr>
            </w:pPr>
            <w:r w:rsidRPr="00833576">
              <w:rPr>
                <w:rFonts w:eastAsia="Times New Roman" w:cs="Times New Roman"/>
                <w:b/>
                <w:bCs/>
                <w:color w:val="2F2F2F"/>
                <w:sz w:val="17"/>
                <w:szCs w:val="17"/>
              </w:rPr>
              <w:t>$</w:t>
            </w:r>
            <w:r w:rsidR="00CC5086">
              <w:rPr>
                <w:rFonts w:eastAsia="Times New Roman" w:cs="Times New Roman"/>
                <w:b/>
                <w:bCs/>
                <w:color w:val="2F2F2F"/>
                <w:sz w:val="17"/>
                <w:szCs w:val="17"/>
              </w:rPr>
              <w:t>7,175.18</w:t>
            </w:r>
          </w:p>
        </w:tc>
      </w:tr>
      <w:tr w:rsidRPr="00076E6E" w:rsidR="008B5BB1" w:rsidTr="00974DE9" w14:paraId="7EE3CABE" w14:textId="77777777">
        <w:trPr>
          <w:trHeight w:val="300"/>
        </w:trPr>
        <w:tc>
          <w:tcPr>
            <w:tcW w:w="0" w:type="auto"/>
            <w:gridSpan w:val="3"/>
            <w:tcBorders>
              <w:top w:val="single" w:color="auto" w:sz="8" w:space="0"/>
              <w:left w:val="single" w:color="auto" w:sz="8" w:space="0"/>
              <w:bottom w:val="single" w:color="auto" w:sz="8" w:space="0"/>
              <w:right w:val="nil"/>
            </w:tcBorders>
            <w:shd w:val="clear" w:color="000000" w:fill="009CD3"/>
            <w:noWrap/>
            <w:vAlign w:val="center"/>
            <w:hideMark/>
          </w:tcPr>
          <w:p w:rsidRPr="00833576" w:rsidR="003F3620" w:rsidP="00821A0E" w:rsidRDefault="003F3620" w14:paraId="66CD4223" w14:textId="77777777">
            <w:pPr>
              <w:spacing w:line="240" w:lineRule="auto"/>
              <w:rPr>
                <w:rFonts w:eastAsia="Times New Roman" w:cs="Times New Roman"/>
                <w:b/>
                <w:bCs/>
                <w:color w:val="FFFFFF"/>
                <w:sz w:val="17"/>
                <w:szCs w:val="17"/>
              </w:rPr>
            </w:pPr>
            <w:r w:rsidRPr="00833576">
              <w:rPr>
                <w:rFonts w:eastAsia="Times New Roman" w:cs="Times New Roman"/>
                <w:b/>
                <w:bCs/>
                <w:color w:val="FFFFFF"/>
                <w:sz w:val="17"/>
                <w:szCs w:val="17"/>
              </w:rPr>
              <w:t>Total Burden (Private/Commercial Industry and State Government)</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A76A6B" w:rsidRDefault="003F3620" w14:paraId="6B6F1E8A"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w:t>
            </w:r>
            <w:r w:rsidRPr="00833576" w:rsidR="00B64C8B">
              <w:rPr>
                <w:rFonts w:eastAsia="Times New Roman" w:cs="Times New Roman"/>
                <w:b/>
                <w:bCs/>
                <w:color w:val="FFFFFF"/>
                <w:sz w:val="17"/>
                <w:szCs w:val="17"/>
              </w:rPr>
              <w:t>86</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3D161C" w:rsidRDefault="00CA071A" w14:paraId="20F38E91"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w:t>
            </w:r>
            <w:r w:rsidRPr="00833576" w:rsidR="00B64C8B">
              <w:rPr>
                <w:rFonts w:eastAsia="Times New Roman" w:cs="Times New Roman"/>
                <w:b/>
                <w:bCs/>
                <w:color w:val="FFFFFF"/>
                <w:sz w:val="17"/>
                <w:szCs w:val="17"/>
              </w:rPr>
              <w:t>79</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3D161C" w:rsidRDefault="00CA071A" w14:paraId="3AB12306"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2.</w:t>
            </w:r>
            <w:r w:rsidRPr="00833576" w:rsidR="00B64C8B">
              <w:rPr>
                <w:rFonts w:eastAsia="Times New Roman" w:cs="Times New Roman"/>
                <w:b/>
                <w:bCs/>
                <w:color w:val="FFFFFF"/>
                <w:sz w:val="17"/>
                <w:szCs w:val="17"/>
              </w:rPr>
              <w:t>42</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3D161C" w:rsidRDefault="0082695B" w14:paraId="3899688F"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43</w:t>
            </w:r>
            <w:r w:rsidRPr="00833576" w:rsidR="00B64C8B">
              <w:rPr>
                <w:rFonts w:eastAsia="Times New Roman" w:cs="Times New Roman"/>
                <w:b/>
                <w:bCs/>
                <w:color w:val="FFFFFF"/>
                <w:sz w:val="17"/>
                <w:szCs w:val="17"/>
              </w:rPr>
              <w:t>3</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A76A6B" w:rsidRDefault="003F3620" w14:paraId="704D057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w:t>
            </w:r>
            <w:r w:rsidRPr="00833576" w:rsidR="00322B42">
              <w:rPr>
                <w:rFonts w:eastAsia="Times New Roman" w:cs="Times New Roman"/>
                <w:b/>
                <w:bCs/>
                <w:color w:val="FFFFFF"/>
                <w:sz w:val="17"/>
                <w:szCs w:val="17"/>
              </w:rPr>
              <w:t>28</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3D161C" w:rsidRDefault="00823477" w14:paraId="55D6DBE7"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w:t>
            </w:r>
            <w:r w:rsidRPr="00833576" w:rsidR="00B64C8B">
              <w:rPr>
                <w:rFonts w:eastAsia="Times New Roman" w:cs="Times New Roman"/>
                <w:b/>
                <w:bCs/>
                <w:color w:val="FFFFFF"/>
                <w:sz w:val="17"/>
                <w:szCs w:val="17"/>
              </w:rPr>
              <w:t>20</w:t>
            </w:r>
            <w:r w:rsidRPr="00833576" w:rsidR="0082695B">
              <w:rPr>
                <w:rFonts w:eastAsia="Times New Roman" w:cs="Times New Roman"/>
                <w:b/>
                <w:bCs/>
                <w:color w:val="FFFFFF"/>
                <w:sz w:val="17"/>
                <w:szCs w:val="17"/>
              </w:rPr>
              <w:t>.</w:t>
            </w:r>
            <w:r w:rsidRPr="00833576" w:rsidR="000342C9">
              <w:rPr>
                <w:rFonts w:eastAsia="Times New Roman" w:cs="Times New Roman"/>
                <w:b/>
                <w:bCs/>
                <w:color w:val="FFFFFF"/>
                <w:sz w:val="17"/>
                <w:szCs w:val="17"/>
              </w:rPr>
              <w:t>01</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A76A6B" w:rsidRDefault="000342C9" w14:paraId="2EBEFF91"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7</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3D161C" w:rsidRDefault="000342C9" w14:paraId="705F1E90"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49</w:t>
            </w:r>
            <w:r w:rsidRPr="00833576" w:rsidR="00287A89">
              <w:rPr>
                <w:rFonts w:eastAsia="Times New Roman" w:cs="Times New Roman"/>
                <w:b/>
                <w:bCs/>
                <w:color w:val="FFFFFF"/>
                <w:sz w:val="17"/>
                <w:szCs w:val="17"/>
              </w:rPr>
              <w:t>.</w:t>
            </w:r>
            <w:r w:rsidRPr="00833576" w:rsidR="00090D49">
              <w:rPr>
                <w:rFonts w:eastAsia="Times New Roman" w:cs="Times New Roman"/>
                <w:b/>
                <w:bCs/>
                <w:color w:val="FFFFFF"/>
                <w:sz w:val="17"/>
                <w:szCs w:val="17"/>
              </w:rPr>
              <w:t>00</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3D161C" w:rsidRDefault="00287A89" w14:paraId="0C245FB2"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3</w:t>
            </w:r>
            <w:r w:rsidRPr="00833576" w:rsidR="008E067C">
              <w:rPr>
                <w:rFonts w:eastAsia="Times New Roman" w:cs="Times New Roman"/>
                <w:b/>
                <w:bCs/>
                <w:color w:val="FFFFFF"/>
                <w:sz w:val="17"/>
                <w:szCs w:val="17"/>
              </w:rPr>
              <w:t>43</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A76A6B" w:rsidRDefault="003F3620" w14:paraId="6A77D9FF"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0.04</w:t>
            </w:r>
          </w:p>
        </w:tc>
        <w:tc>
          <w:tcPr>
            <w:tcW w:w="0" w:type="auto"/>
            <w:tcBorders>
              <w:top w:val="nil"/>
              <w:left w:val="nil"/>
              <w:bottom w:val="single" w:color="auto" w:sz="8" w:space="0"/>
              <w:right w:val="nil"/>
            </w:tcBorders>
            <w:shd w:val="clear" w:color="000000" w:fill="009CD3"/>
            <w:noWrap/>
            <w:vAlign w:val="center"/>
            <w:hideMark/>
          </w:tcPr>
          <w:p w:rsidRPr="00833576" w:rsidR="003F3620" w:rsidP="003D161C" w:rsidRDefault="0052605C" w14:paraId="12F2FD88"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w:t>
            </w:r>
            <w:r w:rsidRPr="00833576" w:rsidR="00955D66">
              <w:rPr>
                <w:rFonts w:eastAsia="Times New Roman" w:cs="Times New Roman"/>
                <w:b/>
                <w:bCs/>
                <w:color w:val="FFFFFF"/>
                <w:sz w:val="17"/>
                <w:szCs w:val="17"/>
              </w:rPr>
              <w:t>2</w:t>
            </w:r>
            <w:r w:rsidRPr="00833576">
              <w:rPr>
                <w:rFonts w:eastAsia="Times New Roman" w:cs="Times New Roman"/>
                <w:b/>
                <w:bCs/>
                <w:color w:val="FFFFFF"/>
                <w:sz w:val="17"/>
                <w:szCs w:val="17"/>
              </w:rPr>
              <w:t>.</w:t>
            </w:r>
            <w:r w:rsidRPr="00833576" w:rsidR="00955D66">
              <w:rPr>
                <w:rFonts w:eastAsia="Times New Roman" w:cs="Times New Roman"/>
                <w:b/>
                <w:bCs/>
                <w:color w:val="FFFFFF"/>
                <w:sz w:val="17"/>
                <w:szCs w:val="17"/>
              </w:rPr>
              <w:t>39</w:t>
            </w:r>
          </w:p>
        </w:tc>
        <w:tc>
          <w:tcPr>
            <w:tcW w:w="0" w:type="auto"/>
            <w:tcBorders>
              <w:top w:val="nil"/>
              <w:left w:val="single" w:color="auto" w:sz="8" w:space="0"/>
              <w:bottom w:val="single" w:color="auto" w:sz="8" w:space="0"/>
              <w:right w:val="single" w:color="auto" w:sz="4" w:space="0"/>
            </w:tcBorders>
            <w:shd w:val="clear" w:color="000000" w:fill="009CD3"/>
            <w:noWrap/>
            <w:vAlign w:val="center"/>
            <w:hideMark/>
          </w:tcPr>
          <w:p w:rsidRPr="00833576" w:rsidR="003F3620" w:rsidP="003D161C" w:rsidRDefault="004C529C" w14:paraId="0EF5017B" w14:textId="77777777">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13</w:t>
            </w:r>
            <w:r w:rsidRPr="00833576" w:rsidR="00955D66">
              <w:rPr>
                <w:rFonts w:eastAsia="Times New Roman" w:cs="Times New Roman"/>
                <w:b/>
                <w:bCs/>
                <w:color w:val="FFFFFF"/>
                <w:sz w:val="17"/>
                <w:szCs w:val="17"/>
              </w:rPr>
              <w:t>2</w:t>
            </w:r>
            <w:r w:rsidRPr="00833576">
              <w:rPr>
                <w:rFonts w:eastAsia="Times New Roman" w:cs="Times New Roman"/>
                <w:b/>
                <w:bCs/>
                <w:color w:val="FFFFFF"/>
                <w:sz w:val="17"/>
                <w:szCs w:val="17"/>
              </w:rPr>
              <w:t>.</w:t>
            </w:r>
            <w:r w:rsidRPr="00833576" w:rsidR="00955D66">
              <w:rPr>
                <w:rFonts w:eastAsia="Times New Roman" w:cs="Times New Roman"/>
                <w:b/>
                <w:bCs/>
                <w:color w:val="FFFFFF"/>
                <w:sz w:val="17"/>
                <w:szCs w:val="17"/>
              </w:rPr>
              <w:t>40</w:t>
            </w:r>
          </w:p>
        </w:tc>
        <w:tc>
          <w:tcPr>
            <w:tcW w:w="0" w:type="auto"/>
            <w:tcBorders>
              <w:top w:val="nil"/>
              <w:left w:val="nil"/>
              <w:bottom w:val="single" w:color="auto" w:sz="8" w:space="0"/>
              <w:right w:val="single" w:color="auto" w:sz="4" w:space="0"/>
            </w:tcBorders>
            <w:shd w:val="clear" w:color="000000" w:fill="009CD3"/>
            <w:noWrap/>
            <w:vAlign w:val="center"/>
            <w:hideMark/>
          </w:tcPr>
          <w:p w:rsidRPr="00833576" w:rsidR="003F3620" w:rsidP="00A76A6B" w:rsidRDefault="003F3620" w14:paraId="68469290" w14:textId="4F40A3E8">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7726C6">
              <w:rPr>
                <w:rFonts w:eastAsia="Times New Roman" w:cs="Times New Roman"/>
                <w:b/>
                <w:bCs/>
                <w:color w:val="FFFFFF"/>
                <w:sz w:val="17"/>
                <w:szCs w:val="17"/>
              </w:rPr>
              <w:t>60.66</w:t>
            </w:r>
            <w:r w:rsidRPr="00833576">
              <w:rPr>
                <w:rFonts w:eastAsia="Times New Roman" w:cs="Times New Roman"/>
                <w:b/>
                <w:bCs/>
                <w:color w:val="FFFFFF"/>
                <w:sz w:val="17"/>
                <w:szCs w:val="17"/>
              </w:rPr>
              <w:t>†</w:t>
            </w:r>
          </w:p>
        </w:tc>
        <w:tc>
          <w:tcPr>
            <w:tcW w:w="0" w:type="auto"/>
            <w:tcBorders>
              <w:top w:val="nil"/>
              <w:left w:val="nil"/>
              <w:bottom w:val="single" w:color="auto" w:sz="8" w:space="0"/>
              <w:right w:val="single" w:color="auto" w:sz="8" w:space="0"/>
            </w:tcBorders>
            <w:shd w:val="clear" w:color="000000" w:fill="009CD3"/>
            <w:noWrap/>
            <w:vAlign w:val="center"/>
            <w:hideMark/>
          </w:tcPr>
          <w:p w:rsidRPr="003F3620" w:rsidR="003F3620" w:rsidP="003D161C" w:rsidRDefault="0052605C" w14:paraId="76719811" w14:textId="56F314FF">
            <w:pPr>
              <w:spacing w:line="240" w:lineRule="auto"/>
              <w:jc w:val="center"/>
              <w:rPr>
                <w:rFonts w:eastAsia="Times New Roman" w:cs="Times New Roman"/>
                <w:b/>
                <w:bCs/>
                <w:color w:val="FFFFFF"/>
                <w:sz w:val="17"/>
                <w:szCs w:val="17"/>
              </w:rPr>
            </w:pPr>
            <w:r w:rsidRPr="00833576">
              <w:rPr>
                <w:rFonts w:eastAsia="Times New Roman" w:cs="Times New Roman"/>
                <w:b/>
                <w:bCs/>
                <w:color w:val="FFFFFF"/>
                <w:sz w:val="17"/>
                <w:szCs w:val="17"/>
              </w:rPr>
              <w:t>$</w:t>
            </w:r>
            <w:r w:rsidR="00F0054E">
              <w:rPr>
                <w:rFonts w:eastAsia="Times New Roman" w:cs="Times New Roman"/>
                <w:b/>
                <w:bCs/>
                <w:color w:val="FFFFFF"/>
                <w:sz w:val="17"/>
                <w:szCs w:val="17"/>
              </w:rPr>
              <w:t>8,031.73</w:t>
            </w:r>
          </w:p>
        </w:tc>
      </w:tr>
    </w:tbl>
    <w:p w:rsidRPr="00D65B29" w:rsidR="000F402A" w:rsidP="000F402A" w:rsidRDefault="002A5909" w14:paraId="28A93377" w14:textId="2DFD3861">
      <w:pPr>
        <w:pStyle w:val="NoSpacing"/>
        <w:rPr>
          <w:sz w:val="20"/>
          <w:szCs w:val="20"/>
        </w:rPr>
      </w:pPr>
      <w:r w:rsidRPr="00D65B29">
        <w:rPr>
          <w:sz w:val="20"/>
          <w:szCs w:val="20"/>
        </w:rPr>
        <w:t>*</w:t>
      </w:r>
      <w:r w:rsidR="000F402A">
        <w:rPr>
          <w:sz w:val="20"/>
          <w:szCs w:val="20"/>
        </w:rPr>
        <w:t>Fully</w:t>
      </w:r>
      <w:r w:rsidR="00426CED">
        <w:rPr>
          <w:sz w:val="20"/>
          <w:szCs w:val="20"/>
        </w:rPr>
        <w:t>-</w:t>
      </w:r>
      <w:r w:rsidR="000F402A">
        <w:rPr>
          <w:sz w:val="20"/>
          <w:szCs w:val="20"/>
        </w:rPr>
        <w:t xml:space="preserve">loaded wages were calculated by combining </w:t>
      </w:r>
      <w:r w:rsidRPr="00D65B29" w:rsidR="000F402A">
        <w:rPr>
          <w:sz w:val="20"/>
          <w:szCs w:val="20"/>
        </w:rPr>
        <w:t xml:space="preserve">Bureau of Labor Statistics (BLS) median hourly wage </w:t>
      </w:r>
      <w:r w:rsidR="000F402A">
        <w:rPr>
          <w:sz w:val="20"/>
          <w:szCs w:val="20"/>
        </w:rPr>
        <w:t xml:space="preserve">data </w:t>
      </w:r>
      <w:r w:rsidRPr="00D65B29" w:rsidR="000F402A">
        <w:rPr>
          <w:sz w:val="20"/>
          <w:szCs w:val="20"/>
        </w:rPr>
        <w:t>for Computer and Information Systems Managers (11-3021), May 201</w:t>
      </w:r>
      <w:r w:rsidR="000F402A">
        <w:rPr>
          <w:sz w:val="20"/>
          <w:szCs w:val="20"/>
        </w:rPr>
        <w:t xml:space="preserve">9 with </w:t>
      </w:r>
      <w:r w:rsidR="0009137A">
        <w:rPr>
          <w:sz w:val="20"/>
          <w:szCs w:val="20"/>
        </w:rPr>
        <w:t>fringe benefit</w:t>
      </w:r>
      <w:r w:rsidR="000F402A">
        <w:rPr>
          <w:sz w:val="20"/>
          <w:szCs w:val="20"/>
        </w:rPr>
        <w:t xml:space="preserve"> cost data from BLS Employer Costs for Employee Compensation, June 2019. </w:t>
      </w:r>
    </w:p>
    <w:p w:rsidRPr="00D65B29" w:rsidR="002A5909" w:rsidP="00C27678" w:rsidRDefault="002A5909" w14:paraId="256582D1" w14:textId="3CB0C562">
      <w:pPr>
        <w:pStyle w:val="NoSpacing"/>
        <w:rPr>
          <w:sz w:val="20"/>
          <w:szCs w:val="20"/>
        </w:rPr>
      </w:pPr>
      <w:r w:rsidRPr="00D65B29">
        <w:rPr>
          <w:sz w:val="20"/>
          <w:szCs w:val="20"/>
        </w:rPr>
        <w:t>**</w:t>
      </w:r>
      <w:r w:rsidRPr="000C7BCD" w:rsidR="000C7BCD">
        <w:rPr>
          <w:sz w:val="20"/>
          <w:szCs w:val="20"/>
        </w:rPr>
        <w:t xml:space="preserve"> </w:t>
      </w:r>
      <w:r w:rsidR="000C7BCD">
        <w:rPr>
          <w:sz w:val="20"/>
          <w:szCs w:val="20"/>
        </w:rPr>
        <w:t>Fully</w:t>
      </w:r>
      <w:r w:rsidR="00426CED">
        <w:rPr>
          <w:sz w:val="20"/>
          <w:szCs w:val="20"/>
        </w:rPr>
        <w:t>-</w:t>
      </w:r>
      <w:r w:rsidR="000C7BCD">
        <w:rPr>
          <w:sz w:val="20"/>
          <w:szCs w:val="20"/>
        </w:rPr>
        <w:t xml:space="preserve">loaded wages were calculated by combining </w:t>
      </w:r>
      <w:r w:rsidRPr="00D65B29">
        <w:rPr>
          <w:sz w:val="20"/>
          <w:szCs w:val="20"/>
        </w:rPr>
        <w:t>BLS median hourly wage for General and Operations Managers (11-1021</w:t>
      </w:r>
      <w:r w:rsidR="004C05D1">
        <w:rPr>
          <w:sz w:val="20"/>
          <w:szCs w:val="20"/>
        </w:rPr>
        <w:t xml:space="preserve">; </w:t>
      </w:r>
      <w:r w:rsidRPr="00D65B29" w:rsidR="004C05D1">
        <w:rPr>
          <w:sz w:val="20"/>
          <w:szCs w:val="20"/>
        </w:rPr>
        <w:t>State government, excluding schools and hospitals</w:t>
      </w:r>
      <w:r w:rsidRPr="00D65B29">
        <w:rPr>
          <w:sz w:val="20"/>
          <w:szCs w:val="20"/>
        </w:rPr>
        <w:t xml:space="preserve">), May 2018 </w:t>
      </w:r>
      <w:r w:rsidR="004C05D1">
        <w:rPr>
          <w:sz w:val="20"/>
          <w:szCs w:val="20"/>
        </w:rPr>
        <w:t xml:space="preserve">with </w:t>
      </w:r>
      <w:r w:rsidR="00663D03">
        <w:rPr>
          <w:sz w:val="20"/>
          <w:szCs w:val="20"/>
        </w:rPr>
        <w:t xml:space="preserve">a rate </w:t>
      </w:r>
      <w:r w:rsidR="004A4936">
        <w:rPr>
          <w:sz w:val="20"/>
          <w:szCs w:val="20"/>
        </w:rPr>
        <w:t xml:space="preserve">of </w:t>
      </w:r>
      <w:r w:rsidR="00663D03">
        <w:rPr>
          <w:sz w:val="20"/>
          <w:szCs w:val="20"/>
        </w:rPr>
        <w:t>33</w:t>
      </w:r>
      <w:r w:rsidR="00B530CD">
        <w:rPr>
          <w:sz w:val="20"/>
          <w:szCs w:val="20"/>
        </w:rPr>
        <w:t>.0</w:t>
      </w:r>
      <w:r w:rsidR="00663D03">
        <w:rPr>
          <w:sz w:val="20"/>
          <w:szCs w:val="20"/>
        </w:rPr>
        <w:t xml:space="preserve"> percent</w:t>
      </w:r>
      <w:r w:rsidR="00B530CD">
        <w:rPr>
          <w:sz w:val="20"/>
          <w:szCs w:val="20"/>
        </w:rPr>
        <w:t xml:space="preserve"> of </w:t>
      </w:r>
      <w:r w:rsidR="008E07CB">
        <w:rPr>
          <w:sz w:val="20"/>
          <w:szCs w:val="20"/>
        </w:rPr>
        <w:t>hourly wages</w:t>
      </w:r>
      <w:r w:rsidR="00663D03">
        <w:rPr>
          <w:sz w:val="20"/>
          <w:szCs w:val="20"/>
        </w:rPr>
        <w:t xml:space="preserve"> to account for </w:t>
      </w:r>
      <w:r w:rsidR="0009137A">
        <w:rPr>
          <w:sz w:val="20"/>
          <w:szCs w:val="20"/>
        </w:rPr>
        <w:t>fringe benefit</w:t>
      </w:r>
      <w:r w:rsidR="00686264">
        <w:rPr>
          <w:sz w:val="20"/>
          <w:szCs w:val="20"/>
        </w:rPr>
        <w:t xml:space="preserve"> costs.</w:t>
      </w:r>
      <w:r w:rsidR="00663D03">
        <w:rPr>
          <w:sz w:val="20"/>
          <w:szCs w:val="20"/>
        </w:rPr>
        <w:t xml:space="preserve"> </w:t>
      </w:r>
    </w:p>
    <w:p w:rsidRPr="00D65B29" w:rsidR="00E10B74" w:rsidP="00E10B74" w:rsidRDefault="002A5909" w14:paraId="0C8697D7" w14:textId="05B74104">
      <w:pPr>
        <w:pStyle w:val="NoSpacing"/>
        <w:rPr>
          <w:sz w:val="20"/>
          <w:szCs w:val="20"/>
        </w:rPr>
      </w:pPr>
      <w:r w:rsidRPr="00D65B29">
        <w:rPr>
          <w:sz w:val="20"/>
          <w:szCs w:val="20"/>
        </w:rPr>
        <w:t>***</w:t>
      </w:r>
      <w:r w:rsidRPr="00E10B74" w:rsidR="00E10B74">
        <w:rPr>
          <w:sz w:val="20"/>
          <w:szCs w:val="20"/>
        </w:rPr>
        <w:t xml:space="preserve"> </w:t>
      </w:r>
      <w:r w:rsidR="00E10B74">
        <w:rPr>
          <w:sz w:val="20"/>
          <w:szCs w:val="20"/>
        </w:rPr>
        <w:t>Fully</w:t>
      </w:r>
      <w:r w:rsidR="00426CED">
        <w:rPr>
          <w:sz w:val="20"/>
          <w:szCs w:val="20"/>
        </w:rPr>
        <w:t>-</w:t>
      </w:r>
      <w:r w:rsidR="00E10B74">
        <w:rPr>
          <w:sz w:val="20"/>
          <w:szCs w:val="20"/>
        </w:rPr>
        <w:t xml:space="preserve">loaded wages were calculated by combining </w:t>
      </w:r>
      <w:r w:rsidRPr="00D65B29">
        <w:rPr>
          <w:sz w:val="20"/>
          <w:szCs w:val="20"/>
        </w:rPr>
        <w:t>BLS median hourly wage for Information Security Analysts (15-12</w:t>
      </w:r>
      <w:r w:rsidR="000803CC">
        <w:rPr>
          <w:sz w:val="20"/>
          <w:szCs w:val="20"/>
        </w:rPr>
        <w:t>1</w:t>
      </w:r>
      <w:r w:rsidRPr="00D65B29">
        <w:rPr>
          <w:sz w:val="20"/>
          <w:szCs w:val="20"/>
        </w:rPr>
        <w:t>2</w:t>
      </w:r>
      <w:r w:rsidR="00E10B74">
        <w:rPr>
          <w:sz w:val="20"/>
          <w:szCs w:val="20"/>
        </w:rPr>
        <w:t xml:space="preserve">; </w:t>
      </w:r>
      <w:r w:rsidRPr="00D65B29" w:rsidR="00E10B74">
        <w:rPr>
          <w:sz w:val="20"/>
          <w:szCs w:val="20"/>
        </w:rPr>
        <w:t>State government, excluding schools and hospitals</w:t>
      </w:r>
      <w:r w:rsidRPr="00D65B29">
        <w:rPr>
          <w:sz w:val="20"/>
          <w:szCs w:val="20"/>
        </w:rPr>
        <w:t>), May 201</w:t>
      </w:r>
      <w:r w:rsidR="000803CC">
        <w:rPr>
          <w:sz w:val="20"/>
          <w:szCs w:val="20"/>
        </w:rPr>
        <w:t>9</w:t>
      </w:r>
      <w:r w:rsidR="00E10B74">
        <w:rPr>
          <w:sz w:val="20"/>
          <w:szCs w:val="20"/>
        </w:rPr>
        <w:t xml:space="preserve"> </w:t>
      </w:r>
      <w:r w:rsidR="008E07CB">
        <w:rPr>
          <w:sz w:val="20"/>
          <w:szCs w:val="20"/>
        </w:rPr>
        <w:t xml:space="preserve">with a rate </w:t>
      </w:r>
      <w:r w:rsidR="004A4936">
        <w:rPr>
          <w:sz w:val="20"/>
          <w:szCs w:val="20"/>
        </w:rPr>
        <w:t xml:space="preserve">of </w:t>
      </w:r>
      <w:r w:rsidR="008E07CB">
        <w:rPr>
          <w:sz w:val="20"/>
          <w:szCs w:val="20"/>
        </w:rPr>
        <w:t xml:space="preserve">33.0 percent of hourly wages to account for </w:t>
      </w:r>
      <w:r w:rsidR="0009137A">
        <w:rPr>
          <w:sz w:val="20"/>
          <w:szCs w:val="20"/>
        </w:rPr>
        <w:t>fringe benefit</w:t>
      </w:r>
      <w:r w:rsidR="008E07CB">
        <w:rPr>
          <w:sz w:val="20"/>
          <w:szCs w:val="20"/>
        </w:rPr>
        <w:t xml:space="preserve"> costs.</w:t>
      </w:r>
    </w:p>
    <w:p w:rsidRPr="00D65B29" w:rsidR="002A5909" w:rsidP="00C27678" w:rsidRDefault="002A5909" w14:paraId="52989525" w14:textId="70DF1F9A">
      <w:pPr>
        <w:pStyle w:val="NoSpacing"/>
        <w:rPr>
          <w:sz w:val="20"/>
          <w:szCs w:val="20"/>
        </w:rPr>
      </w:pPr>
      <w:r w:rsidRPr="00D65B29">
        <w:rPr>
          <w:sz w:val="20"/>
          <w:szCs w:val="20"/>
        </w:rPr>
        <w:t>****</w:t>
      </w:r>
      <w:r w:rsidRPr="004A4936" w:rsidR="004A4936">
        <w:rPr>
          <w:sz w:val="20"/>
          <w:szCs w:val="20"/>
        </w:rPr>
        <w:t xml:space="preserve"> </w:t>
      </w:r>
      <w:r w:rsidR="004A4936">
        <w:rPr>
          <w:sz w:val="20"/>
          <w:szCs w:val="20"/>
        </w:rPr>
        <w:t>Fully</w:t>
      </w:r>
      <w:r w:rsidR="00426CED">
        <w:rPr>
          <w:sz w:val="20"/>
          <w:szCs w:val="20"/>
        </w:rPr>
        <w:t>-</w:t>
      </w:r>
      <w:r w:rsidR="004A4936">
        <w:rPr>
          <w:sz w:val="20"/>
          <w:szCs w:val="20"/>
        </w:rPr>
        <w:t xml:space="preserve">loaded wages were calculated by combining </w:t>
      </w:r>
      <w:r w:rsidRPr="00D65B29">
        <w:rPr>
          <w:sz w:val="20"/>
          <w:szCs w:val="20"/>
        </w:rPr>
        <w:t>BLS median hourly wage for First-Line Supervisors of Office and Administrative Support Workers (43-1011</w:t>
      </w:r>
      <w:r w:rsidR="004A4936">
        <w:rPr>
          <w:sz w:val="20"/>
          <w:szCs w:val="20"/>
        </w:rPr>
        <w:t xml:space="preserve">; </w:t>
      </w:r>
      <w:r w:rsidRPr="00D65B29" w:rsidR="004A4936">
        <w:rPr>
          <w:sz w:val="20"/>
          <w:szCs w:val="20"/>
        </w:rPr>
        <w:t>State government, excluding schools and hospitals</w:t>
      </w:r>
      <w:r w:rsidRPr="00D65B29">
        <w:rPr>
          <w:sz w:val="20"/>
          <w:szCs w:val="20"/>
        </w:rPr>
        <w:t>), May 201</w:t>
      </w:r>
      <w:r w:rsidR="006060B3">
        <w:rPr>
          <w:sz w:val="20"/>
          <w:szCs w:val="20"/>
        </w:rPr>
        <w:t>9</w:t>
      </w:r>
      <w:r w:rsidRPr="00D65B29">
        <w:rPr>
          <w:sz w:val="20"/>
          <w:szCs w:val="20"/>
        </w:rPr>
        <w:t xml:space="preserve"> </w:t>
      </w:r>
      <w:r w:rsidR="004A4936">
        <w:rPr>
          <w:sz w:val="20"/>
          <w:szCs w:val="20"/>
        </w:rPr>
        <w:t xml:space="preserve">with a rate of 33.0 percent of hourly wages to account for </w:t>
      </w:r>
      <w:r w:rsidR="0009137A">
        <w:rPr>
          <w:sz w:val="20"/>
          <w:szCs w:val="20"/>
        </w:rPr>
        <w:t>fringe benefit</w:t>
      </w:r>
      <w:r w:rsidR="004A4936">
        <w:rPr>
          <w:sz w:val="20"/>
          <w:szCs w:val="20"/>
        </w:rPr>
        <w:t xml:space="preserve"> costs.</w:t>
      </w:r>
    </w:p>
    <w:p w:rsidRPr="00D65B29" w:rsidR="00DE4C87" w:rsidP="00DE4C87" w:rsidRDefault="002A5909" w14:paraId="429E860E" w14:textId="77777777">
      <w:pPr>
        <w:pStyle w:val="NoSpacing"/>
        <w:rPr>
          <w:sz w:val="20"/>
          <w:szCs w:val="20"/>
        </w:rPr>
      </w:pPr>
      <w:r w:rsidRPr="00D65B29">
        <w:rPr>
          <w:sz w:val="20"/>
          <w:szCs w:val="20"/>
        </w:rPr>
        <w:t>†Average hourly wage of respondent types</w:t>
      </w:r>
    </w:p>
    <w:p w:rsidR="00602F7B" w:rsidP="00DE4C87" w:rsidRDefault="00602F7B" w14:paraId="5689AA37" w14:textId="77777777">
      <w:pPr>
        <w:pStyle w:val="NoSpacing"/>
      </w:pPr>
    </w:p>
    <w:p w:rsidRPr="00121AA2" w:rsidR="00655688" w:rsidP="00282B0C" w:rsidRDefault="00655688" w14:paraId="7A53E5BB" w14:textId="327F0C6F">
      <w:pPr>
        <w:pStyle w:val="NoSpacing"/>
        <w:rPr>
          <w:b/>
          <w:bCs/>
        </w:rPr>
        <w:sectPr w:rsidRPr="00121AA2" w:rsidR="00655688" w:rsidSect="00E7585E">
          <w:type w:val="continuous"/>
          <w:pgSz w:w="15840" w:h="12240" w:orient="landscape"/>
          <w:pgMar w:top="432" w:right="432" w:bottom="432" w:left="432" w:header="720" w:footer="720" w:gutter="0"/>
          <w:cols w:space="720"/>
          <w:docGrid w:linePitch="360"/>
        </w:sectPr>
      </w:pPr>
    </w:p>
    <w:p w:rsidRPr="00D65B29" w:rsidR="00101644" w:rsidP="00DE4C87" w:rsidRDefault="00CB3F13" w14:paraId="14425A07" w14:textId="16D1A1DD">
      <w:pPr>
        <w:pStyle w:val="NoSpacing"/>
        <w:rPr>
          <w:b/>
          <w:bCs/>
          <w:color w:val="009CD3" w:themeColor="accent1"/>
        </w:rPr>
      </w:pPr>
      <w:r w:rsidRPr="00D65B29">
        <w:rPr>
          <w:b/>
          <w:bCs/>
          <w:color w:val="009CD3" w:themeColor="accent1"/>
        </w:rPr>
        <w:t>Totals:</w:t>
      </w:r>
    </w:p>
    <w:tbl>
      <w:tblPr>
        <w:tblW w:w="6306" w:type="dxa"/>
        <w:tblLook w:val="04A0" w:firstRow="1" w:lastRow="0" w:firstColumn="1" w:lastColumn="0" w:noHBand="0" w:noVBand="1"/>
      </w:tblPr>
      <w:tblGrid>
        <w:gridCol w:w="5130"/>
        <w:gridCol w:w="1176"/>
      </w:tblGrid>
      <w:tr w:rsidRPr="00C27678" w:rsidR="00B2535C" w:rsidTr="003451E2" w14:paraId="7A4ED053" w14:textId="77777777">
        <w:trPr>
          <w:trHeight w:val="230"/>
        </w:trPr>
        <w:tc>
          <w:tcPr>
            <w:tcW w:w="5130" w:type="dxa"/>
            <w:tcBorders>
              <w:top w:val="nil"/>
              <w:left w:val="nil"/>
              <w:bottom w:val="nil"/>
              <w:right w:val="nil"/>
            </w:tcBorders>
            <w:shd w:val="clear" w:color="auto" w:fill="auto"/>
            <w:noWrap/>
            <w:vAlign w:val="bottom"/>
            <w:hideMark/>
          </w:tcPr>
          <w:p w:rsidRPr="00C27678" w:rsidR="00B2535C" w:rsidP="00B2535C" w:rsidRDefault="00B2535C" w14:paraId="72885A3E" w14:textId="77777777">
            <w:pPr>
              <w:spacing w:line="240" w:lineRule="auto"/>
              <w:rPr>
                <w:rFonts w:eastAsia="Times New Roman" w:cs="Times New Roman"/>
                <w:color w:val="2F2F2F"/>
                <w:szCs w:val="24"/>
              </w:rPr>
            </w:pPr>
            <w:r w:rsidRPr="00C27678">
              <w:rPr>
                <w:rFonts w:eastAsia="Times New Roman" w:cs="Times New Roman"/>
                <w:color w:val="2F2F2F"/>
                <w:szCs w:val="24"/>
              </w:rPr>
              <w:t>Estimated Time Per Response</w:t>
            </w:r>
          </w:p>
        </w:tc>
        <w:tc>
          <w:tcPr>
            <w:tcW w:w="1176" w:type="dxa"/>
            <w:tcBorders>
              <w:top w:val="nil"/>
              <w:left w:val="nil"/>
              <w:bottom w:val="nil"/>
              <w:right w:val="nil"/>
            </w:tcBorders>
            <w:shd w:val="clear" w:color="auto" w:fill="auto"/>
            <w:noWrap/>
            <w:vAlign w:val="bottom"/>
            <w:hideMark/>
          </w:tcPr>
          <w:p w:rsidRPr="00C27678" w:rsidR="00B2535C" w:rsidP="00B2535C" w:rsidRDefault="00B2535C" w14:paraId="73FADF20" w14:textId="77777777">
            <w:pPr>
              <w:spacing w:line="240" w:lineRule="auto"/>
              <w:jc w:val="right"/>
              <w:rPr>
                <w:rFonts w:eastAsia="Times New Roman" w:cs="Times New Roman"/>
                <w:color w:val="2F2F2F"/>
                <w:szCs w:val="24"/>
              </w:rPr>
            </w:pPr>
            <w:r w:rsidRPr="00C27678">
              <w:rPr>
                <w:rFonts w:eastAsia="Times New Roman" w:cs="Times New Roman"/>
                <w:color w:val="2F2F2F"/>
                <w:szCs w:val="24"/>
              </w:rPr>
              <w:t>0.1</w:t>
            </w:r>
            <w:r w:rsidR="0064476F">
              <w:rPr>
                <w:rFonts w:eastAsia="Times New Roman" w:cs="Times New Roman"/>
                <w:color w:val="2F2F2F"/>
                <w:szCs w:val="24"/>
              </w:rPr>
              <w:t>7</w:t>
            </w:r>
          </w:p>
        </w:tc>
      </w:tr>
      <w:tr w:rsidRPr="00C27678" w:rsidR="00B2535C" w:rsidTr="003451E2" w14:paraId="6448738E" w14:textId="77777777">
        <w:trPr>
          <w:trHeight w:val="230"/>
        </w:trPr>
        <w:tc>
          <w:tcPr>
            <w:tcW w:w="5130" w:type="dxa"/>
            <w:tcBorders>
              <w:top w:val="nil"/>
              <w:left w:val="nil"/>
              <w:bottom w:val="nil"/>
              <w:right w:val="nil"/>
            </w:tcBorders>
            <w:shd w:val="clear" w:color="auto" w:fill="auto"/>
            <w:noWrap/>
            <w:vAlign w:val="bottom"/>
            <w:hideMark/>
          </w:tcPr>
          <w:p w:rsidRPr="00C27678" w:rsidR="00B2535C" w:rsidP="00B2535C" w:rsidRDefault="00B2535C" w14:paraId="3C9AEA2D" w14:textId="77777777">
            <w:pPr>
              <w:spacing w:line="240" w:lineRule="auto"/>
              <w:rPr>
                <w:rFonts w:eastAsia="Times New Roman" w:cs="Times New Roman"/>
                <w:color w:val="2F2F2F"/>
                <w:szCs w:val="24"/>
              </w:rPr>
            </w:pPr>
            <w:r w:rsidRPr="00C27678">
              <w:rPr>
                <w:rFonts w:eastAsia="Times New Roman" w:cs="Times New Roman"/>
                <w:color w:val="2F2F2F"/>
                <w:szCs w:val="24"/>
              </w:rPr>
              <w:t>Number of Respondents</w:t>
            </w:r>
          </w:p>
        </w:tc>
        <w:tc>
          <w:tcPr>
            <w:tcW w:w="1176" w:type="dxa"/>
            <w:tcBorders>
              <w:top w:val="nil"/>
              <w:left w:val="nil"/>
              <w:bottom w:val="nil"/>
              <w:right w:val="nil"/>
            </w:tcBorders>
            <w:shd w:val="clear" w:color="auto" w:fill="auto"/>
            <w:noWrap/>
            <w:vAlign w:val="bottom"/>
            <w:hideMark/>
          </w:tcPr>
          <w:p w:rsidRPr="00C27678" w:rsidR="00B2535C" w:rsidP="00B2535C" w:rsidRDefault="00B2535C" w14:paraId="1E169B17" w14:textId="77777777">
            <w:pPr>
              <w:spacing w:line="240" w:lineRule="auto"/>
              <w:jc w:val="right"/>
              <w:rPr>
                <w:rFonts w:eastAsia="Times New Roman" w:cs="Times New Roman"/>
                <w:color w:val="2F2F2F"/>
                <w:szCs w:val="24"/>
              </w:rPr>
            </w:pPr>
            <w:r w:rsidRPr="00C27678">
              <w:rPr>
                <w:rFonts w:eastAsia="Times New Roman" w:cs="Times New Roman"/>
                <w:color w:val="2F2F2F"/>
                <w:szCs w:val="24"/>
              </w:rPr>
              <w:t>1</w:t>
            </w:r>
            <w:r w:rsidR="0064476F">
              <w:rPr>
                <w:rFonts w:eastAsia="Times New Roman" w:cs="Times New Roman"/>
                <w:color w:val="2F2F2F"/>
                <w:szCs w:val="24"/>
              </w:rPr>
              <w:t>86</w:t>
            </w:r>
          </w:p>
        </w:tc>
      </w:tr>
      <w:tr w:rsidRPr="00C27678" w:rsidR="00B2535C" w:rsidTr="003451E2" w14:paraId="765B984F" w14:textId="77777777">
        <w:trPr>
          <w:trHeight w:val="230"/>
        </w:trPr>
        <w:tc>
          <w:tcPr>
            <w:tcW w:w="5130" w:type="dxa"/>
            <w:tcBorders>
              <w:top w:val="nil"/>
              <w:left w:val="nil"/>
              <w:bottom w:val="nil"/>
              <w:right w:val="nil"/>
            </w:tcBorders>
            <w:shd w:val="clear" w:color="auto" w:fill="auto"/>
            <w:noWrap/>
            <w:vAlign w:val="bottom"/>
            <w:hideMark/>
          </w:tcPr>
          <w:p w:rsidRPr="00C27678" w:rsidR="00B2535C" w:rsidP="00B2535C" w:rsidRDefault="00B2535C" w14:paraId="4A860340" w14:textId="77777777">
            <w:pPr>
              <w:spacing w:line="240" w:lineRule="auto"/>
              <w:rPr>
                <w:rFonts w:eastAsia="Times New Roman" w:cs="Times New Roman"/>
                <w:color w:val="2F2F2F"/>
                <w:szCs w:val="24"/>
              </w:rPr>
            </w:pPr>
            <w:r w:rsidRPr="00C27678">
              <w:rPr>
                <w:rFonts w:eastAsia="Times New Roman" w:cs="Times New Roman"/>
                <w:color w:val="2F2F2F"/>
                <w:szCs w:val="24"/>
              </w:rPr>
              <w:t>Estimated Total Annual Responses</w:t>
            </w:r>
          </w:p>
        </w:tc>
        <w:tc>
          <w:tcPr>
            <w:tcW w:w="1176" w:type="dxa"/>
            <w:tcBorders>
              <w:top w:val="nil"/>
              <w:left w:val="nil"/>
              <w:bottom w:val="nil"/>
              <w:right w:val="nil"/>
            </w:tcBorders>
            <w:shd w:val="clear" w:color="auto" w:fill="auto"/>
            <w:noWrap/>
            <w:vAlign w:val="bottom"/>
            <w:hideMark/>
          </w:tcPr>
          <w:p w:rsidRPr="00C27678" w:rsidR="00B2535C" w:rsidP="00B2535C" w:rsidRDefault="00B2535C" w14:paraId="123780F9" w14:textId="77777777">
            <w:pPr>
              <w:spacing w:line="240" w:lineRule="auto"/>
              <w:jc w:val="right"/>
              <w:rPr>
                <w:rFonts w:eastAsia="Times New Roman" w:cs="Times New Roman"/>
                <w:color w:val="2F2F2F"/>
                <w:szCs w:val="24"/>
              </w:rPr>
            </w:pPr>
            <w:r w:rsidRPr="00C27678">
              <w:rPr>
                <w:rFonts w:eastAsia="Times New Roman" w:cs="Times New Roman"/>
                <w:color w:val="2F2F2F"/>
                <w:szCs w:val="24"/>
              </w:rPr>
              <w:t>7</w:t>
            </w:r>
            <w:r w:rsidR="0064476F">
              <w:rPr>
                <w:rFonts w:eastAsia="Times New Roman" w:cs="Times New Roman"/>
                <w:color w:val="2F2F2F"/>
                <w:szCs w:val="24"/>
              </w:rPr>
              <w:t>76</w:t>
            </w:r>
          </w:p>
        </w:tc>
      </w:tr>
      <w:tr w:rsidRPr="00C27678" w:rsidR="00B2535C" w:rsidTr="003451E2" w14:paraId="18217E2A" w14:textId="77777777">
        <w:trPr>
          <w:trHeight w:val="230"/>
        </w:trPr>
        <w:tc>
          <w:tcPr>
            <w:tcW w:w="5130" w:type="dxa"/>
            <w:tcBorders>
              <w:top w:val="nil"/>
              <w:left w:val="nil"/>
              <w:bottom w:val="nil"/>
              <w:right w:val="nil"/>
            </w:tcBorders>
            <w:shd w:val="clear" w:color="auto" w:fill="auto"/>
            <w:noWrap/>
            <w:vAlign w:val="bottom"/>
            <w:hideMark/>
          </w:tcPr>
          <w:p w:rsidRPr="00C27678" w:rsidR="00B2535C" w:rsidP="00B2535C" w:rsidRDefault="00B2535C" w14:paraId="32EF1652" w14:textId="77777777">
            <w:pPr>
              <w:spacing w:line="240" w:lineRule="auto"/>
              <w:rPr>
                <w:rFonts w:eastAsia="Times New Roman" w:cs="Times New Roman"/>
                <w:color w:val="2F2F2F"/>
                <w:szCs w:val="24"/>
              </w:rPr>
            </w:pPr>
            <w:r w:rsidRPr="00C27678">
              <w:rPr>
                <w:rFonts w:eastAsia="Times New Roman" w:cs="Times New Roman"/>
                <w:color w:val="2F2F2F"/>
                <w:szCs w:val="24"/>
              </w:rPr>
              <w:t>Estimated Number of Responses Per Respondent</w:t>
            </w:r>
          </w:p>
        </w:tc>
        <w:tc>
          <w:tcPr>
            <w:tcW w:w="1176" w:type="dxa"/>
            <w:tcBorders>
              <w:top w:val="nil"/>
              <w:left w:val="nil"/>
              <w:bottom w:val="nil"/>
              <w:right w:val="nil"/>
            </w:tcBorders>
            <w:shd w:val="clear" w:color="auto" w:fill="auto"/>
            <w:noWrap/>
            <w:vAlign w:val="bottom"/>
            <w:hideMark/>
          </w:tcPr>
          <w:p w:rsidRPr="00C27678" w:rsidR="00B2535C" w:rsidP="00B2535C" w:rsidRDefault="00B2535C" w14:paraId="193818F0" w14:textId="77777777">
            <w:pPr>
              <w:spacing w:line="240" w:lineRule="auto"/>
              <w:jc w:val="right"/>
              <w:rPr>
                <w:rFonts w:eastAsia="Times New Roman" w:cs="Times New Roman"/>
                <w:color w:val="2F2F2F"/>
                <w:szCs w:val="24"/>
              </w:rPr>
            </w:pPr>
            <w:r w:rsidRPr="00C27678">
              <w:rPr>
                <w:rFonts w:eastAsia="Times New Roman" w:cs="Times New Roman"/>
                <w:color w:val="2F2F2F"/>
                <w:szCs w:val="24"/>
              </w:rPr>
              <w:t>4.</w:t>
            </w:r>
            <w:r w:rsidR="0064476F">
              <w:rPr>
                <w:rFonts w:eastAsia="Times New Roman" w:cs="Times New Roman"/>
                <w:color w:val="2F2F2F"/>
                <w:szCs w:val="24"/>
              </w:rPr>
              <w:t>17</w:t>
            </w:r>
          </w:p>
        </w:tc>
      </w:tr>
      <w:tr w:rsidRPr="00C27678" w:rsidR="00B2535C" w:rsidTr="003451E2" w14:paraId="686DF355" w14:textId="77777777">
        <w:trPr>
          <w:trHeight w:val="230"/>
        </w:trPr>
        <w:tc>
          <w:tcPr>
            <w:tcW w:w="5130" w:type="dxa"/>
            <w:tcBorders>
              <w:top w:val="nil"/>
              <w:left w:val="nil"/>
              <w:bottom w:val="nil"/>
              <w:right w:val="nil"/>
            </w:tcBorders>
            <w:shd w:val="clear" w:color="auto" w:fill="auto"/>
            <w:noWrap/>
            <w:vAlign w:val="bottom"/>
            <w:hideMark/>
          </w:tcPr>
          <w:p w:rsidRPr="00C27678" w:rsidR="00B2535C" w:rsidP="00B2535C" w:rsidRDefault="00B2535C" w14:paraId="57F1D5F7" w14:textId="77777777">
            <w:pPr>
              <w:spacing w:line="240" w:lineRule="auto"/>
              <w:rPr>
                <w:rFonts w:eastAsia="Times New Roman" w:cs="Times New Roman"/>
                <w:color w:val="2F2F2F"/>
                <w:szCs w:val="24"/>
              </w:rPr>
            </w:pPr>
            <w:r w:rsidRPr="00C27678">
              <w:rPr>
                <w:rFonts w:eastAsia="Times New Roman" w:cs="Times New Roman"/>
                <w:color w:val="2F2F2F"/>
                <w:szCs w:val="24"/>
              </w:rPr>
              <w:t>Estimated Total Annual Hours</w:t>
            </w:r>
          </w:p>
        </w:tc>
        <w:tc>
          <w:tcPr>
            <w:tcW w:w="1176" w:type="dxa"/>
            <w:tcBorders>
              <w:top w:val="nil"/>
              <w:left w:val="nil"/>
              <w:bottom w:val="nil"/>
              <w:right w:val="nil"/>
            </w:tcBorders>
            <w:shd w:val="clear" w:color="auto" w:fill="auto"/>
            <w:noWrap/>
            <w:vAlign w:val="bottom"/>
            <w:hideMark/>
          </w:tcPr>
          <w:p w:rsidRPr="00C27678" w:rsidR="00B2535C" w:rsidP="00B2535C" w:rsidRDefault="00ED705F" w14:paraId="73AA5439" w14:textId="77777777">
            <w:pPr>
              <w:spacing w:line="240" w:lineRule="auto"/>
              <w:jc w:val="right"/>
              <w:rPr>
                <w:rFonts w:eastAsia="Times New Roman" w:cs="Times New Roman"/>
                <w:color w:val="2F2F2F"/>
                <w:szCs w:val="24"/>
              </w:rPr>
            </w:pPr>
            <w:r>
              <w:rPr>
                <w:rFonts w:eastAsia="Times New Roman" w:cs="Times New Roman"/>
                <w:color w:val="2F2F2F"/>
                <w:szCs w:val="24"/>
              </w:rPr>
              <w:t>13</w:t>
            </w:r>
            <w:r w:rsidR="0064476F">
              <w:rPr>
                <w:rFonts w:eastAsia="Times New Roman" w:cs="Times New Roman"/>
                <w:color w:val="2F2F2F"/>
                <w:szCs w:val="24"/>
              </w:rPr>
              <w:t>2</w:t>
            </w:r>
            <w:r w:rsidRPr="00C27678" w:rsidR="00B2535C">
              <w:rPr>
                <w:rFonts w:eastAsia="Times New Roman" w:cs="Times New Roman"/>
                <w:color w:val="2F2F2F"/>
                <w:szCs w:val="24"/>
              </w:rPr>
              <w:t>.</w:t>
            </w:r>
            <w:r w:rsidR="0064476F">
              <w:rPr>
                <w:rFonts w:eastAsia="Times New Roman" w:cs="Times New Roman"/>
                <w:color w:val="2F2F2F"/>
                <w:szCs w:val="24"/>
              </w:rPr>
              <w:t>40</w:t>
            </w:r>
          </w:p>
        </w:tc>
      </w:tr>
      <w:tr w:rsidRPr="00C27678" w:rsidR="00B2535C" w:rsidTr="003451E2" w14:paraId="4297AD6C" w14:textId="77777777">
        <w:trPr>
          <w:trHeight w:val="230"/>
        </w:trPr>
        <w:tc>
          <w:tcPr>
            <w:tcW w:w="5130" w:type="dxa"/>
            <w:tcBorders>
              <w:top w:val="nil"/>
              <w:left w:val="nil"/>
              <w:bottom w:val="nil"/>
              <w:right w:val="nil"/>
            </w:tcBorders>
            <w:shd w:val="clear" w:color="auto" w:fill="auto"/>
            <w:noWrap/>
            <w:vAlign w:val="bottom"/>
            <w:hideMark/>
          </w:tcPr>
          <w:p w:rsidRPr="00C27678" w:rsidR="00B2535C" w:rsidP="00B2535C" w:rsidRDefault="00B2535C" w14:paraId="5D1D01FB" w14:textId="77777777">
            <w:pPr>
              <w:spacing w:line="240" w:lineRule="auto"/>
              <w:rPr>
                <w:rFonts w:eastAsia="Times New Roman" w:cs="Times New Roman"/>
                <w:color w:val="2F2F2F"/>
                <w:szCs w:val="24"/>
              </w:rPr>
            </w:pPr>
            <w:r w:rsidRPr="00C27678">
              <w:rPr>
                <w:rFonts w:eastAsia="Times New Roman" w:cs="Times New Roman"/>
                <w:color w:val="2F2F2F"/>
                <w:szCs w:val="24"/>
              </w:rPr>
              <w:t>Estimated Total Burden in Dollars</w:t>
            </w:r>
          </w:p>
        </w:tc>
        <w:tc>
          <w:tcPr>
            <w:tcW w:w="1176" w:type="dxa"/>
            <w:tcBorders>
              <w:top w:val="nil"/>
              <w:left w:val="nil"/>
              <w:bottom w:val="nil"/>
              <w:right w:val="nil"/>
            </w:tcBorders>
            <w:shd w:val="clear" w:color="auto" w:fill="auto"/>
            <w:noWrap/>
            <w:vAlign w:val="bottom"/>
            <w:hideMark/>
          </w:tcPr>
          <w:p w:rsidRPr="00C27678" w:rsidR="00B2535C" w:rsidP="00B2535C" w:rsidRDefault="00B2535C" w14:paraId="3CE1EEEC" w14:textId="14B0D66A">
            <w:pPr>
              <w:spacing w:line="240" w:lineRule="auto"/>
              <w:jc w:val="right"/>
              <w:rPr>
                <w:rFonts w:eastAsia="Times New Roman" w:cs="Times New Roman"/>
                <w:color w:val="2F2F2F"/>
                <w:szCs w:val="24"/>
              </w:rPr>
            </w:pPr>
            <w:r w:rsidRPr="00C27678">
              <w:rPr>
                <w:rFonts w:eastAsia="Times New Roman" w:cs="Times New Roman"/>
                <w:color w:val="2F2F2F"/>
                <w:szCs w:val="24"/>
              </w:rPr>
              <w:t>$</w:t>
            </w:r>
            <w:r w:rsidR="00BF3933">
              <w:rPr>
                <w:rFonts w:eastAsia="Times New Roman" w:cs="Times New Roman"/>
                <w:color w:val="2F2F2F"/>
                <w:szCs w:val="24"/>
              </w:rPr>
              <w:t>8,031.73</w:t>
            </w:r>
          </w:p>
        </w:tc>
      </w:tr>
    </w:tbl>
    <w:p w:rsidR="00655688" w:rsidP="00940B46" w:rsidRDefault="00655688" w14:paraId="4FE4F255" w14:textId="77777777">
      <w:pPr>
        <w:spacing w:line="240" w:lineRule="auto"/>
        <w:sectPr w:rsidR="00655688" w:rsidSect="00D65B29">
          <w:type w:val="continuous"/>
          <w:pgSz w:w="15840" w:h="12240" w:orient="landscape"/>
          <w:pgMar w:top="432" w:right="432" w:bottom="432" w:left="432" w:header="720" w:footer="720" w:gutter="0"/>
          <w:cols w:space="720" w:num="2"/>
          <w:docGrid w:linePitch="360"/>
        </w:sectPr>
      </w:pPr>
    </w:p>
    <w:p w:rsidRPr="008A079C" w:rsidR="002B42DA" w:rsidP="002B42DA" w:rsidRDefault="002B42DA" w14:paraId="1D318883" w14:textId="77777777">
      <w:pPr>
        <w:pStyle w:val="NoSpacing"/>
        <w:rPr>
          <w:b/>
          <w:bCs/>
          <w:color w:val="009CD3" w:themeColor="accent1"/>
        </w:rPr>
      </w:pPr>
      <w:r w:rsidRPr="008A079C">
        <w:rPr>
          <w:b/>
          <w:bCs/>
          <w:color w:val="009CD3" w:themeColor="accent1"/>
        </w:rPr>
        <w:lastRenderedPageBreak/>
        <w:t>A.12.B.</w:t>
      </w:r>
      <w:r w:rsidR="00232004">
        <w:rPr>
          <w:b/>
          <w:bCs/>
          <w:color w:val="009CD3" w:themeColor="accent1"/>
        </w:rPr>
        <w:t xml:space="preserve"> </w:t>
      </w:r>
      <w:r w:rsidRPr="008A079C">
        <w:rPr>
          <w:b/>
          <w:bCs/>
          <w:color w:val="009CD3" w:themeColor="accent1"/>
        </w:rPr>
        <w:t>Provide estimates of annualized cost to respondents for the hour burdens for collections of information, identifying and using appropriate wage rate categories.</w:t>
      </w:r>
    </w:p>
    <w:p w:rsidRPr="002B42DA" w:rsidR="00ED1031" w:rsidP="002B42DA" w:rsidRDefault="00ED1031" w14:paraId="104ED712" w14:textId="77777777">
      <w:pPr>
        <w:pStyle w:val="NoSpacing"/>
        <w:rPr>
          <w:b/>
          <w:bCs/>
        </w:rPr>
      </w:pPr>
    </w:p>
    <w:p w:rsidR="00940B46" w:rsidP="002B42DA" w:rsidRDefault="002B42DA" w14:paraId="3B9D79F9" w14:textId="343B27A0">
      <w:pPr>
        <w:autoSpaceDE w:val="0"/>
        <w:autoSpaceDN w:val="0"/>
        <w:adjustRightInd w:val="0"/>
      </w:pPr>
      <w:r w:rsidRPr="003459B4">
        <w:rPr>
          <w:szCs w:val="24"/>
        </w:rPr>
        <w:t>Table A.</w:t>
      </w:r>
      <w:r w:rsidRPr="003459B4" w:rsidR="00B72C91">
        <w:rPr>
          <w:szCs w:val="24"/>
        </w:rPr>
        <w:t>3</w:t>
      </w:r>
      <w:r w:rsidRPr="003459B4" w:rsidR="001A0925">
        <w:rPr>
          <w:szCs w:val="24"/>
        </w:rPr>
        <w:t xml:space="preserve"> also </w:t>
      </w:r>
      <w:r w:rsidRPr="003459B4">
        <w:rPr>
          <w:szCs w:val="24"/>
        </w:rPr>
        <w:t>show</w:t>
      </w:r>
      <w:r w:rsidRPr="003459B4" w:rsidR="001A0925">
        <w:rPr>
          <w:szCs w:val="24"/>
        </w:rPr>
        <w:t>s</w:t>
      </w:r>
      <w:r w:rsidRPr="003459B4">
        <w:rPr>
          <w:szCs w:val="24"/>
        </w:rPr>
        <w:t xml:space="preserve"> the estimated annualized cost to respondents. </w:t>
      </w:r>
      <w:r w:rsidRPr="003459B4">
        <w:t xml:space="preserve">The estimates of annualized costs to State Government and private industry are based on the burden estimates </w:t>
      </w:r>
      <w:r w:rsidRPr="003459B4" w:rsidR="00627D71">
        <w:t>and fully-loaded hourly wages for each job category</w:t>
      </w:r>
      <w:r w:rsidRPr="003459B4" w:rsidR="008C66A4">
        <w:t xml:space="preserve"> that were calculated by combining </w:t>
      </w:r>
      <w:r w:rsidRPr="003459B4" w:rsidR="00033E48">
        <w:t xml:space="preserve">median hourly wages from </w:t>
      </w:r>
      <w:r w:rsidRPr="003459B4">
        <w:t>the U.S. Department of Labor, Bureau of Labor Statistics</w:t>
      </w:r>
      <w:r w:rsidR="00375E31">
        <w:t xml:space="preserve"> (BLS)</w:t>
      </w:r>
      <w:r w:rsidRPr="003459B4">
        <w:t>,</w:t>
      </w:r>
      <w:r w:rsidRPr="003459B4" w:rsidR="00E2606E">
        <w:t xml:space="preserve"> and average hourly </w:t>
      </w:r>
      <w:r w:rsidRPr="003459B4" w:rsidR="00770CC2">
        <w:t xml:space="preserve">benefit cost data from the 2019 BLS Employer Costs for Employee Compensation (for industry experts) or a rate of 33.0 percent of hourly wages to account for the </w:t>
      </w:r>
      <w:r w:rsidR="0009137A">
        <w:t>fringe benefit</w:t>
      </w:r>
      <w:r w:rsidRPr="003459B4" w:rsidR="00770CC2">
        <w:t xml:space="preserve"> costs of </w:t>
      </w:r>
      <w:r w:rsidRPr="003459B4" w:rsidR="002654A0">
        <w:t>state government employees</w:t>
      </w:r>
      <w:r w:rsidR="002654A0">
        <w:t xml:space="preserve"> (per agency guidance).</w:t>
      </w:r>
      <w:r w:rsidR="003459B4">
        <w:t xml:space="preserve"> </w:t>
      </w:r>
      <w:r>
        <w:t xml:space="preserve">The estimated annualized cost for State Government, which includes the time of State SNAP Directors </w:t>
      </w:r>
      <w:r w:rsidRPr="00BA1340">
        <w:t>(</w:t>
      </w:r>
      <w:hyperlink w:history="1" r:id="rId25">
        <w:bookmarkStart w:name="_Hlk55395590" w:id="17"/>
        <w:r w:rsidRPr="00410D13">
          <w:rPr>
            <w:rStyle w:val="Hyperlink"/>
          </w:rPr>
          <w:t>General and Operations Managers, Occupation Code 11-1021</w:t>
        </w:r>
        <w:bookmarkEnd w:id="17"/>
        <w:r w:rsidRPr="00410D13" w:rsidR="003C325B">
          <w:rPr>
            <w:rStyle w:val="Hyperlink"/>
          </w:rPr>
          <w:t>, May 2018</w:t>
        </w:r>
      </w:hyperlink>
      <w:r w:rsidR="003E69E2">
        <w:rPr>
          <w:rStyle w:val="FootnoteReference"/>
        </w:rPr>
        <w:footnoteReference w:id="2"/>
      </w:r>
      <w:r w:rsidRPr="00BA1340">
        <w:t>)</w:t>
      </w:r>
      <w:r>
        <w:t xml:space="preserve">, </w:t>
      </w:r>
      <w:r w:rsidRPr="00AF2749">
        <w:t xml:space="preserve">is </w:t>
      </w:r>
      <w:r w:rsidRPr="000A5BC8">
        <w:t>$</w:t>
      </w:r>
      <w:r w:rsidR="006350EA">
        <w:t>4,136.75</w:t>
      </w:r>
      <w:r w:rsidRPr="000A5BC8">
        <w:t xml:space="preserve"> ($</w:t>
      </w:r>
      <w:r w:rsidR="00A76579">
        <w:t>67.76</w:t>
      </w:r>
      <w:r w:rsidRPr="000A5BC8">
        <w:t>/hr</w:t>
      </w:r>
      <w:r>
        <w:t>.</w:t>
      </w:r>
      <w:r w:rsidRPr="000A5BC8">
        <w:t xml:space="preserve"> x </w:t>
      </w:r>
      <w:r w:rsidR="00A76579">
        <w:t>61.05</w:t>
      </w:r>
      <w:r w:rsidRPr="00A509EE">
        <w:t xml:space="preserve"> hours).</w:t>
      </w:r>
      <w:r>
        <w:t xml:space="preserve"> </w:t>
      </w:r>
      <w:r w:rsidRPr="00AF2749">
        <w:t xml:space="preserve">The estimated cost of this data collection for </w:t>
      </w:r>
      <w:r>
        <w:t>other SA staff</w:t>
      </w:r>
      <w:r w:rsidRPr="00AF2749">
        <w:t>, which includes</w:t>
      </w:r>
      <w:r>
        <w:t xml:space="preserve"> time spent by</w:t>
      </w:r>
      <w:r w:rsidRPr="00AF2749">
        <w:t xml:space="preserve"> </w:t>
      </w:r>
      <w:r>
        <w:t xml:space="preserve">information security analysts </w:t>
      </w:r>
      <w:r w:rsidRPr="00BA1340">
        <w:t>(</w:t>
      </w:r>
      <w:hyperlink w:history="1" w:anchor="11-0000" r:id="rId26">
        <w:r w:rsidRPr="003E69E2">
          <w:rPr>
            <w:rStyle w:val="Hyperlink"/>
          </w:rPr>
          <w:t>Occupation Code 15-</w:t>
        </w:r>
        <w:r w:rsidRPr="003E69E2" w:rsidR="001F636F">
          <w:rPr>
            <w:rStyle w:val="Hyperlink"/>
          </w:rPr>
          <w:t>1212</w:t>
        </w:r>
        <w:r w:rsidRPr="003E69E2" w:rsidR="003E69E2">
          <w:rPr>
            <w:rStyle w:val="Hyperlink"/>
          </w:rPr>
          <w:t>, May 2019</w:t>
        </w:r>
      </w:hyperlink>
      <w:r>
        <w:t xml:space="preserve">), </w:t>
      </w:r>
      <w:r w:rsidRPr="00AF2749">
        <w:t xml:space="preserve">is </w:t>
      </w:r>
      <w:r w:rsidRPr="000A5BC8">
        <w:t>$</w:t>
      </w:r>
      <w:r w:rsidR="005B615F">
        <w:t>1,72</w:t>
      </w:r>
      <w:r w:rsidR="00BB32EA">
        <w:t>4</w:t>
      </w:r>
      <w:r w:rsidR="005B615F">
        <w:t>.94</w:t>
      </w:r>
      <w:r w:rsidR="00C078F4">
        <w:t xml:space="preserve"> </w:t>
      </w:r>
      <w:r>
        <w:t>(</w:t>
      </w:r>
      <w:r w:rsidRPr="000A5BC8">
        <w:t>$</w:t>
      </w:r>
      <w:r w:rsidR="005B615F">
        <w:t>54.76</w:t>
      </w:r>
      <w:r w:rsidRPr="000A5BC8">
        <w:t>/hr</w:t>
      </w:r>
      <w:r>
        <w:t>.</w:t>
      </w:r>
      <w:r w:rsidRPr="000A5BC8">
        <w:t xml:space="preserve"> x </w:t>
      </w:r>
      <w:r w:rsidR="00462D1E">
        <w:t>31.50</w:t>
      </w:r>
      <w:r w:rsidRPr="00C62199">
        <w:t xml:space="preserve"> hours)</w:t>
      </w:r>
      <w:r>
        <w:t xml:space="preserve"> and by program/data analysts </w:t>
      </w:r>
      <w:r w:rsidRPr="007F7F71">
        <w:t>(</w:t>
      </w:r>
      <w:hyperlink w:history="1" w:anchor="11-0000" r:id="rId27">
        <w:r w:rsidRPr="00F8223C">
          <w:rPr>
            <w:rStyle w:val="Hyperlink"/>
          </w:rPr>
          <w:t>First-Line Supervisors of Office and Administrative Support Workers, Occupation Code 43-1011</w:t>
        </w:r>
        <w:r w:rsidRPr="00F8223C" w:rsidR="003E69E2">
          <w:rPr>
            <w:rStyle w:val="Hyperlink"/>
          </w:rPr>
          <w:t>, May 2019</w:t>
        </w:r>
      </w:hyperlink>
      <w:r w:rsidRPr="007F7F71">
        <w:t>)</w:t>
      </w:r>
      <w:r>
        <w:t xml:space="preserve"> is $</w:t>
      </w:r>
      <w:r w:rsidR="00C22517">
        <w:t>1,268.51</w:t>
      </w:r>
      <w:r>
        <w:t xml:space="preserve"> (</w:t>
      </w:r>
      <w:r w:rsidRPr="000A5BC8">
        <w:t>$</w:t>
      </w:r>
      <w:r w:rsidR="004354C0">
        <w:t>40.27</w:t>
      </w:r>
      <w:r w:rsidRPr="000A5BC8">
        <w:t>/hr</w:t>
      </w:r>
      <w:r>
        <w:t>.</w:t>
      </w:r>
      <w:r w:rsidRPr="000A5BC8">
        <w:t xml:space="preserve"> x </w:t>
      </w:r>
      <w:r w:rsidR="004354C0">
        <w:t>31.50</w:t>
      </w:r>
      <w:r w:rsidRPr="00C62199">
        <w:t xml:space="preserve"> hours)</w:t>
      </w:r>
      <w:r>
        <w:t>.</w:t>
      </w:r>
      <w:r>
        <w:rPr>
          <w:rStyle w:val="FootnoteReference"/>
        </w:rPr>
        <w:footnoteReference w:id="3"/>
      </w:r>
      <w:r>
        <w:t xml:space="preserve"> The estimated annualized cost for private industry, industry experts </w:t>
      </w:r>
      <w:r w:rsidRPr="00BA1340">
        <w:t>(</w:t>
      </w:r>
      <w:hyperlink w:history="1" r:id="rId28">
        <w:r w:rsidRPr="00F8223C">
          <w:rPr>
            <w:rStyle w:val="Hyperlink"/>
          </w:rPr>
          <w:t>Computer and Information Systems Managers, Occupation Code 11-3021</w:t>
        </w:r>
        <w:r w:rsidRPr="00F8223C" w:rsidR="00F8223C">
          <w:rPr>
            <w:rStyle w:val="Hyperlink"/>
          </w:rPr>
          <w:t>, May 2019</w:t>
        </w:r>
      </w:hyperlink>
      <w:r w:rsidRPr="00BA1340">
        <w:t>)</w:t>
      </w:r>
      <w:r>
        <w:t xml:space="preserve">, </w:t>
      </w:r>
      <w:r w:rsidRPr="00AF2749">
        <w:t xml:space="preserve">is </w:t>
      </w:r>
      <w:r w:rsidRPr="000A5BC8">
        <w:t>$</w:t>
      </w:r>
      <w:r w:rsidR="00947ECA">
        <w:t>856.54</w:t>
      </w:r>
      <w:r w:rsidRPr="000A5BC8">
        <w:t xml:space="preserve"> ($</w:t>
      </w:r>
      <w:r w:rsidR="00947ECA">
        <w:t>102.58</w:t>
      </w:r>
      <w:r w:rsidRPr="000A5BC8">
        <w:t>/hr</w:t>
      </w:r>
      <w:r>
        <w:t>.</w:t>
      </w:r>
      <w:r w:rsidRPr="000A5BC8">
        <w:t xml:space="preserve"> x </w:t>
      </w:r>
      <w:r>
        <w:t>8.3</w:t>
      </w:r>
      <w:r w:rsidR="00947ECA">
        <w:t>5</w:t>
      </w:r>
      <w:r w:rsidRPr="00A509EE">
        <w:t xml:space="preserve"> hours).</w:t>
      </w:r>
      <w:r w:rsidRPr="00AF2749">
        <w:t xml:space="preserve"> The estimated </w:t>
      </w:r>
      <w:r>
        <w:t xml:space="preserve">annualized </w:t>
      </w:r>
      <w:r w:rsidRPr="00AF2749">
        <w:t xml:space="preserve">total cost </w:t>
      </w:r>
      <w:r>
        <w:t>to respondents is</w:t>
      </w:r>
      <w:r w:rsidRPr="00AF2749">
        <w:t xml:space="preserve"> </w:t>
      </w:r>
      <w:bookmarkStart w:name="_Hlk9343999" w:id="18"/>
      <w:r w:rsidRPr="000A5BC8">
        <w:t>$</w:t>
      </w:r>
      <w:bookmarkEnd w:id="18"/>
      <w:r w:rsidR="00DE0E60">
        <w:t>7,986.74</w:t>
      </w:r>
      <w:r>
        <w:t>.</w:t>
      </w:r>
    </w:p>
    <w:p w:rsidR="008A079C" w:rsidP="008A079C" w:rsidRDefault="008A079C" w14:paraId="235D1449" w14:textId="77777777">
      <w:pPr>
        <w:autoSpaceDE w:val="0"/>
        <w:autoSpaceDN w:val="0"/>
        <w:adjustRightInd w:val="0"/>
        <w:spacing w:line="240" w:lineRule="auto"/>
        <w:rPr>
          <w:b/>
          <w:color w:val="009CD3" w:themeColor="accent1"/>
          <w:szCs w:val="24"/>
        </w:rPr>
      </w:pPr>
      <w:bookmarkStart w:name="_Toc282506035" w:id="19"/>
      <w:bookmarkStart w:name="_Toc339621295" w:id="20"/>
      <w:r w:rsidRPr="008A079C">
        <w:rPr>
          <w:b/>
          <w:color w:val="009CD3" w:themeColor="accent1"/>
          <w:szCs w:val="24"/>
        </w:rPr>
        <w:t>A.13</w:t>
      </w:r>
      <w:r w:rsidRPr="008A079C">
        <w:rPr>
          <w:b/>
          <w:color w:val="009CD3" w:themeColor="accent1"/>
          <w:szCs w:val="24"/>
        </w:rPr>
        <w:tab/>
      </w:r>
      <w:bookmarkEnd w:id="19"/>
      <w:r w:rsidRPr="008A079C">
        <w:rPr>
          <w:b/>
          <w:color w:val="009CD3" w:themeColor="accent1"/>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20"/>
    </w:p>
    <w:p w:rsidRPr="008A079C" w:rsidR="008A079C" w:rsidP="008A079C" w:rsidRDefault="008A079C" w14:paraId="44DFEB4B" w14:textId="77777777">
      <w:pPr>
        <w:pStyle w:val="NoSpacing"/>
      </w:pPr>
    </w:p>
    <w:p w:rsidRPr="008A079C" w:rsidR="008A079C" w:rsidP="008A079C" w:rsidRDefault="008A079C" w14:paraId="5D526D9E" w14:textId="77777777">
      <w:pPr>
        <w:autoSpaceDE w:val="0"/>
        <w:autoSpaceDN w:val="0"/>
        <w:adjustRightInd w:val="0"/>
        <w:rPr>
          <w:szCs w:val="24"/>
        </w:rPr>
      </w:pPr>
      <w:r w:rsidRPr="008A079C">
        <w:rPr>
          <w:szCs w:val="24"/>
        </w:rPr>
        <w:t>There are no costs to respondents beyond those presented in Section A.12.</w:t>
      </w:r>
    </w:p>
    <w:p w:rsidRPr="00FD1A51" w:rsidR="008A079C" w:rsidP="00FD1A51" w:rsidRDefault="008A079C" w14:paraId="3E442A47" w14:textId="77777777">
      <w:pPr>
        <w:pStyle w:val="NoSpacing"/>
        <w:rPr>
          <w:b/>
          <w:bCs/>
          <w:color w:val="009CD3" w:themeColor="accent1"/>
        </w:rPr>
      </w:pPr>
      <w:bookmarkStart w:name="_Toc282506036" w:id="21"/>
      <w:bookmarkStart w:name="_Toc339621296" w:id="22"/>
      <w:r w:rsidRPr="00FD1A51">
        <w:rPr>
          <w:b/>
          <w:bCs/>
          <w:color w:val="009CD3" w:themeColor="accent1"/>
        </w:rPr>
        <w:lastRenderedPageBreak/>
        <w:t>A.14</w:t>
      </w:r>
      <w:r w:rsidRPr="00FD1A51">
        <w:rPr>
          <w:b/>
          <w:bCs/>
          <w:color w:val="009CD3" w:themeColor="accent1"/>
        </w:rPr>
        <w:tab/>
      </w:r>
      <w:bookmarkEnd w:id="21"/>
      <w:r w:rsidRPr="00FD1A51">
        <w:rPr>
          <w:b/>
          <w:bCs/>
          <w:color w:val="009CD3" w:themeColor="accent1"/>
        </w:rPr>
        <w:t>Provide estimates of annualized cost to the Federal government. Also, provide a description of the method used to estimate cost and any other expense that would not have been incurred without this collection of information.</w:t>
      </w:r>
      <w:bookmarkEnd w:id="22"/>
    </w:p>
    <w:p w:rsidRPr="008A079C" w:rsidR="00FD1A51" w:rsidP="00FD1A51" w:rsidRDefault="00FD1A51" w14:paraId="5816C480" w14:textId="77777777">
      <w:pPr>
        <w:pStyle w:val="NoSpacing"/>
      </w:pPr>
    </w:p>
    <w:p w:rsidRPr="008A079C" w:rsidR="008A079C" w:rsidP="008A079C" w:rsidRDefault="008A079C" w14:paraId="7C7D531D" w14:textId="0550CA31">
      <w:pPr>
        <w:autoSpaceDE w:val="0"/>
        <w:autoSpaceDN w:val="0"/>
        <w:adjustRightInd w:val="0"/>
        <w:rPr>
          <w:szCs w:val="24"/>
        </w:rPr>
      </w:pPr>
      <w:r w:rsidRPr="008A079C">
        <w:rPr>
          <w:szCs w:val="24"/>
        </w:rPr>
        <w:t xml:space="preserve">The total cost to the Federal Government is estimated to be </w:t>
      </w:r>
      <w:r w:rsidR="00A21099">
        <w:rPr>
          <w:szCs w:val="24"/>
        </w:rPr>
        <w:t>$</w:t>
      </w:r>
      <w:r w:rsidR="00850A0F">
        <w:rPr>
          <w:szCs w:val="24"/>
        </w:rPr>
        <w:t>555,535</w:t>
      </w:r>
      <w:r w:rsidRPr="008A079C">
        <w:rPr>
          <w:szCs w:val="24"/>
        </w:rPr>
        <w:t>. The largest cost to the federal government is to pay a contractor $437,509</w:t>
      </w:r>
      <w:r w:rsidR="001B4FDF">
        <w:rPr>
          <w:szCs w:val="24"/>
        </w:rPr>
        <w:t xml:space="preserve"> </w:t>
      </w:r>
      <w:r w:rsidRPr="008A079C">
        <w:rPr>
          <w:szCs w:val="24"/>
        </w:rPr>
        <w:t>over a 30-month period to conduct the study and deliver data files and reports. This contract cost includes overhead costs, as well as the direct costs for computing, copying, supplies, postage, shipping, setting up the website, and other miscellaneous items.</w:t>
      </w:r>
    </w:p>
    <w:p w:rsidRPr="008A079C" w:rsidR="008A079C" w:rsidP="008A079C" w:rsidRDefault="008A079C" w14:paraId="6EEA7FF6" w14:textId="37F75424">
      <w:pPr>
        <w:autoSpaceDE w:val="0"/>
        <w:autoSpaceDN w:val="0"/>
        <w:adjustRightInd w:val="0"/>
        <w:rPr>
          <w:szCs w:val="24"/>
        </w:rPr>
      </w:pPr>
      <w:r w:rsidRPr="008A079C">
        <w:rPr>
          <w:szCs w:val="24"/>
        </w:rPr>
        <w:t>This information collection also assumes the cost of FNS employees, which is estimated to be $</w:t>
      </w:r>
      <w:r w:rsidR="001E7CC8">
        <w:rPr>
          <w:szCs w:val="24"/>
        </w:rPr>
        <w:t>118,026</w:t>
      </w:r>
      <w:r w:rsidRPr="008A079C">
        <w:rPr>
          <w:szCs w:val="24"/>
        </w:rPr>
        <w:t xml:space="preserve">. This cost was calculated as follows. The FNS employee, Program Analyst, involved in project oversight, is estimated at GS-13, Step 10, </w:t>
      </w:r>
      <w:r w:rsidR="00BB51F6">
        <w:rPr>
          <w:szCs w:val="24"/>
        </w:rPr>
        <w:t>with</w:t>
      </w:r>
      <w:r w:rsidR="00E94EC7">
        <w:rPr>
          <w:szCs w:val="24"/>
        </w:rPr>
        <w:t xml:space="preserve"> a fully</w:t>
      </w:r>
      <w:r w:rsidR="009D5582">
        <w:rPr>
          <w:szCs w:val="24"/>
        </w:rPr>
        <w:t>-</w:t>
      </w:r>
      <w:r w:rsidR="00E94EC7">
        <w:rPr>
          <w:szCs w:val="24"/>
        </w:rPr>
        <w:t>loaded</w:t>
      </w:r>
      <w:r w:rsidR="0050040F">
        <w:rPr>
          <w:szCs w:val="24"/>
        </w:rPr>
        <w:t xml:space="preserve"> wage rate of</w:t>
      </w:r>
      <w:r w:rsidRPr="008A079C">
        <w:rPr>
          <w:szCs w:val="24"/>
        </w:rPr>
        <w:t xml:space="preserve"> $</w:t>
      </w:r>
      <w:r w:rsidR="000B5CA9">
        <w:rPr>
          <w:szCs w:val="24"/>
        </w:rPr>
        <w:t>92.51</w:t>
      </w:r>
      <w:r w:rsidRPr="008A079C">
        <w:rPr>
          <w:szCs w:val="24"/>
        </w:rPr>
        <w:t xml:space="preserve"> per hour</w:t>
      </w:r>
      <w:r w:rsidR="007B30AF">
        <w:rPr>
          <w:rStyle w:val="FootnoteReference"/>
          <w:szCs w:val="24"/>
        </w:rPr>
        <w:footnoteReference w:id="4"/>
      </w:r>
      <w:r w:rsidRPr="008A079C">
        <w:rPr>
          <w:szCs w:val="24"/>
        </w:rPr>
        <w:t>. FNS anticipates this person will work 400 hours per year for 2.5 years, for a combined total of 1,000 hours. The total cost for the FNS Program Analyst is $</w:t>
      </w:r>
      <w:r w:rsidR="008579F6">
        <w:rPr>
          <w:szCs w:val="24"/>
        </w:rPr>
        <w:t>92,510</w:t>
      </w:r>
      <w:r w:rsidRPr="008A079C">
        <w:rPr>
          <w:szCs w:val="24"/>
        </w:rPr>
        <w:t xml:space="preserve">. The cost of the FNS employee, Branch Chief, involved in project oversight with the study is estimated at GS-14, Step 6, </w:t>
      </w:r>
      <w:r w:rsidR="00114507">
        <w:rPr>
          <w:szCs w:val="24"/>
        </w:rPr>
        <w:t>with a fully</w:t>
      </w:r>
      <w:r w:rsidR="009D5582">
        <w:rPr>
          <w:szCs w:val="24"/>
        </w:rPr>
        <w:t>-</w:t>
      </w:r>
      <w:r w:rsidR="00114507">
        <w:rPr>
          <w:szCs w:val="24"/>
        </w:rPr>
        <w:t>loaded wage rate of</w:t>
      </w:r>
      <w:r w:rsidRPr="008A079C">
        <w:rPr>
          <w:szCs w:val="24"/>
        </w:rPr>
        <w:t xml:space="preserve"> $</w:t>
      </w:r>
      <w:r w:rsidR="003035D5">
        <w:rPr>
          <w:szCs w:val="24"/>
        </w:rPr>
        <w:t>98.11</w:t>
      </w:r>
      <w:r w:rsidRPr="008A079C">
        <w:rPr>
          <w:szCs w:val="24"/>
        </w:rPr>
        <w:t xml:space="preserve"> per hour</w:t>
      </w:r>
      <w:r w:rsidR="00DA0C85">
        <w:rPr>
          <w:rStyle w:val="FootnoteReference"/>
          <w:szCs w:val="24"/>
        </w:rPr>
        <w:footnoteReference w:id="5"/>
      </w:r>
      <w:r w:rsidRPr="008A079C">
        <w:rPr>
          <w:szCs w:val="24"/>
        </w:rPr>
        <w:t>. We estimate that this person will work 100 hours for a cost of $</w:t>
      </w:r>
      <w:r w:rsidR="00225809">
        <w:rPr>
          <w:szCs w:val="24"/>
        </w:rPr>
        <w:t>9,811</w:t>
      </w:r>
      <w:r w:rsidRPr="008A079C">
        <w:rPr>
          <w:szCs w:val="24"/>
        </w:rPr>
        <w:t xml:space="preserve">. The cost of one FNS employee providing expert subject matter guidance on State computer systems and PII is estimated at GS-13, Step 5, </w:t>
      </w:r>
      <w:r w:rsidR="00225809">
        <w:rPr>
          <w:szCs w:val="24"/>
        </w:rPr>
        <w:t>with a fully</w:t>
      </w:r>
      <w:r w:rsidR="00426CED">
        <w:rPr>
          <w:szCs w:val="24"/>
        </w:rPr>
        <w:t>-</w:t>
      </w:r>
      <w:r w:rsidR="00225809">
        <w:rPr>
          <w:szCs w:val="24"/>
        </w:rPr>
        <w:t>loaded wage rate of</w:t>
      </w:r>
      <w:r w:rsidRPr="008A079C" w:rsidR="00225809">
        <w:rPr>
          <w:szCs w:val="24"/>
        </w:rPr>
        <w:t xml:space="preserve"> </w:t>
      </w:r>
      <w:r w:rsidRPr="008A079C">
        <w:rPr>
          <w:szCs w:val="24"/>
        </w:rPr>
        <w:t>$</w:t>
      </w:r>
      <w:r w:rsidR="00A6680E">
        <w:rPr>
          <w:szCs w:val="24"/>
        </w:rPr>
        <w:t>78.77</w:t>
      </w:r>
      <w:r w:rsidRPr="008A079C">
        <w:rPr>
          <w:szCs w:val="24"/>
        </w:rPr>
        <w:t xml:space="preserve"> per hour</w:t>
      </w:r>
      <w:r w:rsidR="00A6680E">
        <w:rPr>
          <w:rStyle w:val="FootnoteReference"/>
          <w:szCs w:val="24"/>
        </w:rPr>
        <w:footnoteReference w:id="6"/>
      </w:r>
      <w:r w:rsidRPr="008A079C">
        <w:rPr>
          <w:szCs w:val="24"/>
        </w:rPr>
        <w:t>. We anticipate that this employee will work 100 hours for a cost of $</w:t>
      </w:r>
      <w:r w:rsidR="001F6808">
        <w:rPr>
          <w:szCs w:val="24"/>
        </w:rPr>
        <w:t>7</w:t>
      </w:r>
      <w:r w:rsidRPr="008A079C">
        <w:rPr>
          <w:szCs w:val="24"/>
        </w:rPr>
        <w:t>,</w:t>
      </w:r>
      <w:r w:rsidR="001F6808">
        <w:rPr>
          <w:szCs w:val="24"/>
        </w:rPr>
        <w:t>8</w:t>
      </w:r>
      <w:r w:rsidRPr="008A079C">
        <w:rPr>
          <w:szCs w:val="24"/>
        </w:rPr>
        <w:t xml:space="preserve">77. The cost of one FNS employee providing expert subject matter guidance on FNS policy </w:t>
      </w:r>
      <w:r w:rsidRPr="008A079C">
        <w:rPr>
          <w:szCs w:val="24"/>
        </w:rPr>
        <w:lastRenderedPageBreak/>
        <w:t xml:space="preserve">regarding PII is estimated at GS-13, Step 4, </w:t>
      </w:r>
      <w:r w:rsidR="001F6808">
        <w:rPr>
          <w:szCs w:val="24"/>
        </w:rPr>
        <w:t>with a fully</w:t>
      </w:r>
      <w:r w:rsidR="00426CED">
        <w:rPr>
          <w:szCs w:val="24"/>
        </w:rPr>
        <w:t>-</w:t>
      </w:r>
      <w:r w:rsidR="001F6808">
        <w:rPr>
          <w:szCs w:val="24"/>
        </w:rPr>
        <w:t>loaded wage rate of</w:t>
      </w:r>
      <w:r w:rsidRPr="008A079C" w:rsidR="001F6808">
        <w:rPr>
          <w:szCs w:val="24"/>
        </w:rPr>
        <w:t xml:space="preserve"> </w:t>
      </w:r>
      <w:r w:rsidRPr="008A079C">
        <w:rPr>
          <w:szCs w:val="24"/>
        </w:rPr>
        <w:t>$</w:t>
      </w:r>
      <w:r w:rsidR="001F6808">
        <w:rPr>
          <w:szCs w:val="24"/>
        </w:rPr>
        <w:t>78.28</w:t>
      </w:r>
      <w:r w:rsidRPr="008A079C">
        <w:rPr>
          <w:szCs w:val="24"/>
        </w:rPr>
        <w:t xml:space="preserve"> per hour</w:t>
      </w:r>
      <w:r w:rsidR="001F6808">
        <w:rPr>
          <w:rStyle w:val="FootnoteReference"/>
          <w:szCs w:val="24"/>
        </w:rPr>
        <w:footnoteReference w:id="7"/>
      </w:r>
      <w:r w:rsidRPr="008A079C">
        <w:rPr>
          <w:szCs w:val="24"/>
        </w:rPr>
        <w:t xml:space="preserve">. We anticipate that this individual will work 100 hours, for a cost of </w:t>
      </w:r>
      <w:r w:rsidR="00CA37BC">
        <w:rPr>
          <w:szCs w:val="24"/>
        </w:rPr>
        <w:t>$</w:t>
      </w:r>
      <w:r w:rsidR="00FD0385">
        <w:rPr>
          <w:szCs w:val="24"/>
        </w:rPr>
        <w:t>7,828</w:t>
      </w:r>
      <w:r w:rsidRPr="008A079C">
        <w:rPr>
          <w:szCs w:val="24"/>
        </w:rPr>
        <w:t>. Federal employee pay rates are based on the General Schedule of the Office of Personnel Management for 201</w:t>
      </w:r>
      <w:r w:rsidR="007E30A2">
        <w:rPr>
          <w:szCs w:val="24"/>
        </w:rPr>
        <w:t>9</w:t>
      </w:r>
      <w:r w:rsidRPr="008A079C">
        <w:rPr>
          <w:szCs w:val="24"/>
        </w:rPr>
        <w:t xml:space="preserve"> for the Washington, DC locality, and, for one employee, for the Denver, Colorado locality.</w:t>
      </w:r>
    </w:p>
    <w:p w:rsidRPr="00FD1A51" w:rsidR="008A079C" w:rsidP="00FD1A51" w:rsidRDefault="008A079C" w14:paraId="353BE718" w14:textId="77777777">
      <w:pPr>
        <w:pStyle w:val="NoSpacing"/>
        <w:rPr>
          <w:b/>
          <w:bCs/>
          <w:color w:val="009CD3" w:themeColor="accent1"/>
        </w:rPr>
      </w:pPr>
      <w:bookmarkStart w:name="_Toc282506037" w:id="23"/>
      <w:bookmarkStart w:name="_Toc339621297" w:id="24"/>
      <w:r w:rsidRPr="00FD1A51">
        <w:rPr>
          <w:b/>
          <w:bCs/>
          <w:color w:val="009CD3" w:themeColor="accent1"/>
        </w:rPr>
        <w:t>A.15</w:t>
      </w:r>
      <w:r w:rsidRPr="00FD1A51">
        <w:rPr>
          <w:b/>
          <w:bCs/>
          <w:color w:val="009CD3" w:themeColor="accent1"/>
        </w:rPr>
        <w:tab/>
      </w:r>
      <w:bookmarkEnd w:id="23"/>
      <w:r w:rsidRPr="00FD1A51">
        <w:rPr>
          <w:b/>
          <w:bCs/>
          <w:color w:val="009CD3" w:themeColor="accent1"/>
        </w:rPr>
        <w:t>Explain the reasons for any program changes or adjustments reported in Items 13 or 14 of the OMB Form 83-1.</w:t>
      </w:r>
      <w:bookmarkEnd w:id="24"/>
    </w:p>
    <w:p w:rsidRPr="008A079C" w:rsidR="00FD1A51" w:rsidP="00FD1A51" w:rsidRDefault="00FD1A51" w14:paraId="561D5EC1" w14:textId="77777777">
      <w:pPr>
        <w:pStyle w:val="NoSpacing"/>
      </w:pPr>
    </w:p>
    <w:p w:rsidRPr="008A079C" w:rsidR="00E715A0" w:rsidP="008A079C" w:rsidRDefault="00E715A0" w14:paraId="0658606C" w14:textId="1BF1416F">
      <w:pPr>
        <w:autoSpaceDE w:val="0"/>
        <w:autoSpaceDN w:val="0"/>
        <w:adjustRightInd w:val="0"/>
        <w:rPr>
          <w:szCs w:val="24"/>
        </w:rPr>
      </w:pPr>
      <w:r w:rsidRPr="00E715A0">
        <w:rPr>
          <w:szCs w:val="24"/>
        </w:rPr>
        <w:t>This submission is a new information collection request as a result of pr</w:t>
      </w:r>
      <w:r>
        <w:rPr>
          <w:szCs w:val="24"/>
        </w:rPr>
        <w:t>ogram changes and will add 132</w:t>
      </w:r>
      <w:r w:rsidRPr="00E715A0">
        <w:rPr>
          <w:szCs w:val="24"/>
        </w:rPr>
        <w:t xml:space="preserve"> hours of burden to OMB’s inventory.</w:t>
      </w:r>
      <w:bookmarkStart w:name="_GoBack" w:id="25"/>
      <w:bookmarkEnd w:id="25"/>
    </w:p>
    <w:p w:rsidRPr="008B69F9" w:rsidR="008B69F9" w:rsidP="008B69F9" w:rsidRDefault="008B69F9" w14:paraId="1E0D3367" w14:textId="77777777">
      <w:pPr>
        <w:pStyle w:val="NoSpacing"/>
        <w:rPr>
          <w:b/>
          <w:bCs/>
          <w:color w:val="009CD3" w:themeColor="accent1"/>
        </w:rPr>
      </w:pPr>
      <w:r w:rsidRPr="008B69F9">
        <w:rPr>
          <w:b/>
          <w:bCs/>
          <w:color w:val="009CD3" w:themeColor="accent1"/>
        </w:rPr>
        <w:t xml:space="preserve">A.16 </w:t>
      </w:r>
      <w:r w:rsidRPr="008B69F9">
        <w:rPr>
          <w:b/>
          <w:bCs/>
          <w:color w:val="009CD3" w:themeColor="accent1"/>
        </w:rPr>
        <w:tab/>
        <w:t>For collections of information whose results are planned to be published, outline plans for tabulation and publication.</w:t>
      </w:r>
    </w:p>
    <w:p w:rsidRPr="008B69F9" w:rsidR="008B69F9" w:rsidP="008B69F9" w:rsidRDefault="008B69F9" w14:paraId="7B79CAA2" w14:textId="77777777">
      <w:pPr>
        <w:pStyle w:val="NoSpacing"/>
      </w:pPr>
    </w:p>
    <w:p w:rsidR="008A079C" w:rsidP="008B69F9" w:rsidRDefault="008B69F9" w14:paraId="0A5FAF5A" w14:textId="77777777">
      <w:pPr>
        <w:pStyle w:val="Caption"/>
      </w:pPr>
      <w:r w:rsidRPr="008B69F9">
        <w:t>Table A.4.</w:t>
      </w:r>
      <w:r>
        <w:t xml:space="preserve"> </w:t>
      </w:r>
      <w:r w:rsidRPr="008B69F9">
        <w:t>Data Collection Schedule, Post OMB Approval</w:t>
      </w:r>
    </w:p>
    <w:tbl>
      <w:tblPr>
        <w:tblStyle w:val="TableGrid"/>
        <w:tblW w:w="0" w:type="auto"/>
        <w:tblBorders>
          <w:top w:val="single" w:color="009CD3" w:themeColor="accent1" w:sz="4" w:space="0"/>
          <w:left w:val="none" w:color="auto" w:sz="0" w:space="0"/>
          <w:bottom w:val="single" w:color="009CD3" w:themeColor="accent1" w:sz="4" w:space="0"/>
          <w:right w:val="none" w:color="auto" w:sz="0" w:space="0"/>
          <w:insideH w:val="single" w:color="009CD3" w:themeColor="accent1" w:sz="4" w:space="0"/>
          <w:insideV w:val="none" w:color="auto" w:sz="0" w:space="0"/>
        </w:tblBorders>
        <w:tblLook w:val="04A0" w:firstRow="1" w:lastRow="0" w:firstColumn="1" w:lastColumn="0" w:noHBand="0" w:noVBand="1"/>
      </w:tblPr>
      <w:tblGrid>
        <w:gridCol w:w="4675"/>
        <w:gridCol w:w="4675"/>
      </w:tblGrid>
      <w:tr w:rsidRPr="0041450D" w:rsidR="0041450D" w:rsidTr="0041450D" w14:paraId="47F933CC" w14:textId="77777777">
        <w:tc>
          <w:tcPr>
            <w:tcW w:w="4675" w:type="dxa"/>
            <w:shd w:val="clear" w:color="auto" w:fill="009CD3" w:themeFill="accent1"/>
          </w:tcPr>
          <w:p w:rsidRPr="0041450D" w:rsidR="0041450D" w:rsidP="0041450D" w:rsidRDefault="0041450D" w14:paraId="13D6C4F9" w14:textId="77777777">
            <w:pPr>
              <w:spacing w:line="240" w:lineRule="auto"/>
              <w:rPr>
                <w:b/>
                <w:bCs/>
                <w:color w:val="FFFFFF" w:themeColor="background1"/>
                <w:sz w:val="22"/>
                <w:szCs w:val="20"/>
              </w:rPr>
            </w:pPr>
            <w:r w:rsidRPr="0041450D">
              <w:rPr>
                <w:b/>
                <w:bCs/>
                <w:color w:val="FFFFFF" w:themeColor="background1"/>
                <w:sz w:val="22"/>
                <w:szCs w:val="20"/>
              </w:rPr>
              <w:t>Project Activity</w:t>
            </w:r>
          </w:p>
        </w:tc>
        <w:tc>
          <w:tcPr>
            <w:tcW w:w="4675" w:type="dxa"/>
            <w:shd w:val="clear" w:color="auto" w:fill="009CD3" w:themeFill="accent1"/>
          </w:tcPr>
          <w:p w:rsidRPr="0041450D" w:rsidR="0041450D" w:rsidP="0041450D" w:rsidRDefault="0041450D" w14:paraId="314F3D8E" w14:textId="77777777">
            <w:pPr>
              <w:spacing w:line="240" w:lineRule="auto"/>
              <w:rPr>
                <w:b/>
                <w:bCs/>
                <w:color w:val="FFFFFF" w:themeColor="background1"/>
                <w:sz w:val="22"/>
                <w:szCs w:val="20"/>
              </w:rPr>
            </w:pPr>
            <w:r w:rsidRPr="0041450D">
              <w:rPr>
                <w:b/>
                <w:bCs/>
                <w:color w:val="FFFFFF" w:themeColor="background1"/>
                <w:sz w:val="22"/>
                <w:szCs w:val="20"/>
              </w:rPr>
              <w:t>Months after OMB Approval</w:t>
            </w:r>
          </w:p>
        </w:tc>
      </w:tr>
      <w:tr w:rsidRPr="0041450D" w:rsidR="0041450D" w:rsidTr="0041450D" w14:paraId="10013A7F" w14:textId="77777777">
        <w:tc>
          <w:tcPr>
            <w:tcW w:w="4675" w:type="dxa"/>
          </w:tcPr>
          <w:p w:rsidRPr="0041450D" w:rsidR="0041450D" w:rsidP="0041450D" w:rsidRDefault="0041450D" w14:paraId="3E44F054" w14:textId="77777777">
            <w:pPr>
              <w:spacing w:line="240" w:lineRule="auto"/>
              <w:rPr>
                <w:sz w:val="20"/>
                <w:szCs w:val="18"/>
              </w:rPr>
            </w:pPr>
            <w:r w:rsidRPr="0041450D">
              <w:rPr>
                <w:sz w:val="20"/>
                <w:szCs w:val="18"/>
              </w:rPr>
              <w:t>Conduct interviews with Industry Experts</w:t>
            </w:r>
          </w:p>
        </w:tc>
        <w:tc>
          <w:tcPr>
            <w:tcW w:w="4675" w:type="dxa"/>
          </w:tcPr>
          <w:p w:rsidRPr="0041450D" w:rsidR="0041450D" w:rsidP="0041450D" w:rsidRDefault="0041450D" w14:paraId="75C48A79" w14:textId="77777777">
            <w:pPr>
              <w:spacing w:line="240" w:lineRule="auto"/>
              <w:rPr>
                <w:sz w:val="20"/>
                <w:szCs w:val="18"/>
              </w:rPr>
            </w:pPr>
            <w:r w:rsidRPr="0041450D">
              <w:rPr>
                <w:sz w:val="20"/>
                <w:szCs w:val="18"/>
              </w:rPr>
              <w:t>1-3 months after OMB approval</w:t>
            </w:r>
          </w:p>
        </w:tc>
      </w:tr>
      <w:tr w:rsidRPr="0041450D" w:rsidR="0041450D" w:rsidTr="0041450D" w14:paraId="70570206" w14:textId="77777777">
        <w:tc>
          <w:tcPr>
            <w:tcW w:w="4675" w:type="dxa"/>
          </w:tcPr>
          <w:p w:rsidRPr="0041450D" w:rsidR="0041450D" w:rsidP="0041450D" w:rsidRDefault="0041450D" w14:paraId="1A2DDB67" w14:textId="77777777">
            <w:pPr>
              <w:spacing w:line="240" w:lineRule="auto"/>
              <w:rPr>
                <w:sz w:val="20"/>
                <w:szCs w:val="18"/>
              </w:rPr>
            </w:pPr>
            <w:r w:rsidRPr="0041450D">
              <w:rPr>
                <w:sz w:val="20"/>
                <w:szCs w:val="18"/>
              </w:rPr>
              <w:t xml:space="preserve">Conduct survey of SNAP State Agencies </w:t>
            </w:r>
          </w:p>
        </w:tc>
        <w:tc>
          <w:tcPr>
            <w:tcW w:w="4675" w:type="dxa"/>
          </w:tcPr>
          <w:p w:rsidRPr="0041450D" w:rsidR="0041450D" w:rsidP="0041450D" w:rsidRDefault="0041450D" w14:paraId="6C46B9E9" w14:textId="77777777">
            <w:pPr>
              <w:spacing w:line="240" w:lineRule="auto"/>
              <w:rPr>
                <w:sz w:val="20"/>
                <w:szCs w:val="18"/>
              </w:rPr>
            </w:pPr>
            <w:r w:rsidRPr="0041450D">
              <w:rPr>
                <w:sz w:val="20"/>
                <w:szCs w:val="18"/>
              </w:rPr>
              <w:t>1-4 months after OMB</w:t>
            </w:r>
          </w:p>
        </w:tc>
      </w:tr>
      <w:tr w:rsidRPr="0041450D" w:rsidR="0041450D" w:rsidTr="0041450D" w14:paraId="5241FBE6" w14:textId="77777777">
        <w:tc>
          <w:tcPr>
            <w:tcW w:w="4675" w:type="dxa"/>
          </w:tcPr>
          <w:p w:rsidRPr="0041450D" w:rsidR="0041450D" w:rsidP="0041450D" w:rsidRDefault="0041450D" w14:paraId="54F58D0D" w14:textId="77777777">
            <w:pPr>
              <w:spacing w:line="240" w:lineRule="auto"/>
              <w:rPr>
                <w:sz w:val="20"/>
                <w:szCs w:val="18"/>
              </w:rPr>
            </w:pPr>
            <w:r w:rsidRPr="0041450D">
              <w:rPr>
                <w:sz w:val="20"/>
                <w:szCs w:val="18"/>
              </w:rPr>
              <w:t>Conduct interviews with State Agency Leaders</w:t>
            </w:r>
          </w:p>
        </w:tc>
        <w:tc>
          <w:tcPr>
            <w:tcW w:w="4675" w:type="dxa"/>
          </w:tcPr>
          <w:p w:rsidRPr="0041450D" w:rsidR="0041450D" w:rsidP="0041450D" w:rsidRDefault="0041450D" w14:paraId="6B3102B6" w14:textId="77777777">
            <w:pPr>
              <w:spacing w:line="240" w:lineRule="auto"/>
              <w:rPr>
                <w:sz w:val="20"/>
                <w:szCs w:val="18"/>
              </w:rPr>
            </w:pPr>
            <w:r w:rsidRPr="0041450D">
              <w:rPr>
                <w:sz w:val="20"/>
                <w:szCs w:val="18"/>
              </w:rPr>
              <w:t>7-8 months after OMB</w:t>
            </w:r>
          </w:p>
        </w:tc>
      </w:tr>
      <w:tr w:rsidRPr="0041450D" w:rsidR="0041450D" w:rsidTr="0041450D" w14:paraId="5AB6D13D" w14:textId="77777777">
        <w:tc>
          <w:tcPr>
            <w:tcW w:w="4675" w:type="dxa"/>
          </w:tcPr>
          <w:p w:rsidRPr="0041450D" w:rsidR="0041450D" w:rsidP="0041450D" w:rsidRDefault="0041450D" w14:paraId="48698317" w14:textId="77777777">
            <w:pPr>
              <w:spacing w:line="240" w:lineRule="auto"/>
              <w:rPr>
                <w:sz w:val="20"/>
                <w:szCs w:val="18"/>
              </w:rPr>
            </w:pPr>
            <w:r w:rsidRPr="0041450D">
              <w:rPr>
                <w:sz w:val="20"/>
                <w:szCs w:val="18"/>
              </w:rPr>
              <w:t>Prepare Final Report</w:t>
            </w:r>
          </w:p>
        </w:tc>
        <w:tc>
          <w:tcPr>
            <w:tcW w:w="4675" w:type="dxa"/>
          </w:tcPr>
          <w:p w:rsidRPr="0041450D" w:rsidR="0041450D" w:rsidP="0041450D" w:rsidRDefault="0041450D" w14:paraId="12D6EFB6" w14:textId="77777777">
            <w:pPr>
              <w:spacing w:line="240" w:lineRule="auto"/>
              <w:rPr>
                <w:sz w:val="20"/>
                <w:szCs w:val="18"/>
              </w:rPr>
            </w:pPr>
            <w:r w:rsidRPr="0041450D">
              <w:rPr>
                <w:sz w:val="20"/>
                <w:szCs w:val="18"/>
              </w:rPr>
              <w:t>8-12 months after OMB</w:t>
            </w:r>
          </w:p>
        </w:tc>
      </w:tr>
    </w:tbl>
    <w:p w:rsidR="008B69F9" w:rsidP="00404414" w:rsidRDefault="008B69F9" w14:paraId="3285ECE0" w14:textId="77777777">
      <w:pPr>
        <w:pStyle w:val="NoSpacing"/>
      </w:pPr>
    </w:p>
    <w:p w:rsidRPr="0046529D" w:rsidR="00404414" w:rsidP="00404414" w:rsidRDefault="00404414" w14:paraId="56DD0D70" w14:textId="77777777">
      <w:pPr>
        <w:pStyle w:val="P1-StandPara"/>
        <w:spacing w:line="480" w:lineRule="auto"/>
        <w:ind w:firstLine="0"/>
        <w:rPr>
          <w:szCs w:val="24"/>
        </w:rPr>
      </w:pPr>
      <w:r w:rsidRPr="00B47388">
        <w:rPr>
          <w:b/>
          <w:i/>
          <w:iCs/>
        </w:rPr>
        <w:t>Plans for Tabulation of the Survey Data.</w:t>
      </w:r>
      <w:r>
        <w:rPr>
          <w:b/>
        </w:rPr>
        <w:t xml:space="preserve"> </w:t>
      </w:r>
      <w:r w:rsidRPr="0046529D">
        <w:rPr>
          <w:rFonts w:eastAsia="Calibri"/>
          <w:szCs w:val="24"/>
        </w:rPr>
        <w:t xml:space="preserve">The analysis of the </w:t>
      </w:r>
      <w:r>
        <w:rPr>
          <w:rFonts w:eastAsia="Calibri"/>
          <w:szCs w:val="24"/>
        </w:rPr>
        <w:t xml:space="preserve">national survey </w:t>
      </w:r>
      <w:r w:rsidRPr="0046529D">
        <w:rPr>
          <w:rFonts w:eastAsia="Calibri"/>
          <w:szCs w:val="24"/>
        </w:rPr>
        <w:t xml:space="preserve">data will </w:t>
      </w:r>
      <w:r>
        <w:t>document the practices used by SNAP SAs</w:t>
      </w:r>
      <w:r w:rsidRPr="0046529D">
        <w:rPr>
          <w:rFonts w:eastAsia="Calibri"/>
          <w:szCs w:val="24"/>
        </w:rPr>
        <w:t xml:space="preserve"> </w:t>
      </w:r>
      <w:r>
        <w:rPr>
          <w:rFonts w:eastAsia="Calibri"/>
          <w:szCs w:val="24"/>
        </w:rPr>
        <w:t>to safeguard the PII of SNAP participants</w:t>
      </w:r>
      <w:r w:rsidRPr="0046529D">
        <w:rPr>
          <w:rFonts w:eastAsia="Calibri"/>
          <w:szCs w:val="24"/>
        </w:rPr>
        <w:t xml:space="preserve">. </w:t>
      </w:r>
      <w:r>
        <w:rPr>
          <w:rFonts w:eastAsia="Calibri"/>
          <w:szCs w:val="24"/>
        </w:rPr>
        <w:t>Because the survey is a census of SNAP SAs, there is no sampling error. The study team will prepare d</w:t>
      </w:r>
      <w:r w:rsidRPr="0046529D">
        <w:rPr>
          <w:rFonts w:eastAsia="Calibri"/>
          <w:szCs w:val="24"/>
        </w:rPr>
        <w:t>escriptive statistics</w:t>
      </w:r>
      <w:r>
        <w:rPr>
          <w:rFonts w:eastAsia="Calibri"/>
          <w:szCs w:val="24"/>
        </w:rPr>
        <w:t>,</w:t>
      </w:r>
      <w:r w:rsidRPr="0046529D">
        <w:rPr>
          <w:rFonts w:eastAsia="Calibri"/>
          <w:szCs w:val="24"/>
        </w:rPr>
        <w:t xml:space="preserve"> including frequency distributions</w:t>
      </w:r>
      <w:r>
        <w:rPr>
          <w:rFonts w:eastAsia="Calibri"/>
          <w:szCs w:val="24"/>
        </w:rPr>
        <w:t xml:space="preserve">, means, standard deviations, and minimum and maximum values for all survey items. Bivariate analyses will be used to </w:t>
      </w:r>
      <w:r w:rsidRPr="00A64CA2">
        <w:t>estimate</w:t>
      </w:r>
      <w:r>
        <w:t xml:space="preserve"> </w:t>
      </w:r>
      <w:r w:rsidRPr="00A64CA2">
        <w:t>associations</w:t>
      </w:r>
      <w:r>
        <w:t xml:space="preserve"> </w:t>
      </w:r>
      <w:r w:rsidRPr="00A64CA2">
        <w:t>between</w:t>
      </w:r>
      <w:r>
        <w:t xml:space="preserve"> </w:t>
      </w:r>
      <w:r w:rsidRPr="00A64CA2">
        <w:t>the</w:t>
      </w:r>
      <w:r>
        <w:t xml:space="preserve"> </w:t>
      </w:r>
      <w:r w:rsidRPr="00A64CA2">
        <w:t>adoption</w:t>
      </w:r>
      <w:r>
        <w:t xml:space="preserve"> </w:t>
      </w:r>
      <w:r w:rsidRPr="00A64CA2">
        <w:t>of</w:t>
      </w:r>
      <w:r>
        <w:t xml:space="preserve"> </w:t>
      </w:r>
      <w:r w:rsidRPr="00A64CA2">
        <w:t>specific</w:t>
      </w:r>
      <w:r>
        <w:t xml:space="preserve"> </w:t>
      </w:r>
      <w:r w:rsidRPr="00A64CA2">
        <w:t>practices</w:t>
      </w:r>
      <w:r>
        <w:t xml:space="preserve"> </w:t>
      </w:r>
      <w:r w:rsidRPr="00A64CA2">
        <w:t>and</w:t>
      </w:r>
      <w:r>
        <w:t xml:space="preserve"> </w:t>
      </w:r>
      <w:r w:rsidRPr="00A64CA2">
        <w:t>features</w:t>
      </w:r>
      <w:r>
        <w:t xml:space="preserve"> </w:t>
      </w:r>
      <w:r w:rsidRPr="00A64CA2">
        <w:t>of</w:t>
      </w:r>
      <w:r>
        <w:t xml:space="preserve"> </w:t>
      </w:r>
      <w:r w:rsidRPr="00A64CA2">
        <w:t>the</w:t>
      </w:r>
      <w:r>
        <w:t xml:space="preserve"> SA, with analyses built around the study research questions.</w:t>
      </w:r>
      <w:r w:rsidRPr="0046529D" w:rsidDel="00900CE8">
        <w:rPr>
          <w:rFonts w:eastAsia="Calibri"/>
          <w:szCs w:val="24"/>
        </w:rPr>
        <w:t xml:space="preserve"> </w:t>
      </w:r>
      <w:r>
        <w:rPr>
          <w:rFonts w:eastAsia="Calibri"/>
          <w:szCs w:val="24"/>
        </w:rPr>
        <w:t>C</w:t>
      </w:r>
      <w:r w:rsidRPr="0046529D">
        <w:rPr>
          <w:rFonts w:eastAsia="Calibri"/>
          <w:szCs w:val="24"/>
        </w:rPr>
        <w:t>ross</w:t>
      </w:r>
      <w:r w:rsidRPr="0046529D" w:rsidDel="00F93C17">
        <w:rPr>
          <w:rFonts w:eastAsia="Calibri"/>
          <w:szCs w:val="24"/>
        </w:rPr>
        <w:t>-tabulations will be generated to address each research question</w:t>
      </w:r>
      <w:r>
        <w:rPr>
          <w:rFonts w:eastAsia="Calibri"/>
          <w:szCs w:val="24"/>
        </w:rPr>
        <w:t>. A</w:t>
      </w:r>
      <w:r w:rsidRPr="0046529D">
        <w:rPr>
          <w:rFonts w:eastAsia="Calibri"/>
          <w:szCs w:val="24"/>
        </w:rPr>
        <w:t>s</w:t>
      </w:r>
      <w:r w:rsidRPr="0046529D" w:rsidDel="00F93C17">
        <w:rPr>
          <w:rFonts w:eastAsia="Calibri"/>
          <w:szCs w:val="24"/>
        </w:rPr>
        <w:t xml:space="preserve"> appropriate for the research questions, analyses will be presented by </w:t>
      </w:r>
      <w:r>
        <w:rPr>
          <w:rFonts w:eastAsia="Calibri"/>
          <w:szCs w:val="24"/>
        </w:rPr>
        <w:t>State SNAP caseload</w:t>
      </w:r>
      <w:r w:rsidRPr="0046529D" w:rsidDel="00F93C17">
        <w:rPr>
          <w:rFonts w:eastAsia="Calibri"/>
          <w:szCs w:val="24"/>
        </w:rPr>
        <w:t xml:space="preserve"> size, poverty level, FNS Region, and other characteristics.</w:t>
      </w:r>
      <w:r w:rsidRPr="0046529D">
        <w:rPr>
          <w:szCs w:val="24"/>
        </w:rPr>
        <w:t xml:space="preserve"> </w:t>
      </w:r>
    </w:p>
    <w:p w:rsidRPr="0046529D" w:rsidR="00862687" w:rsidP="00862687" w:rsidRDefault="00404414" w14:paraId="79596723" w14:textId="77777777">
      <w:pPr>
        <w:pStyle w:val="P1-StandPara"/>
        <w:spacing w:line="480" w:lineRule="auto"/>
        <w:ind w:firstLine="0"/>
        <w:rPr>
          <w:szCs w:val="24"/>
        </w:rPr>
      </w:pPr>
      <w:r w:rsidRPr="00F83D51">
        <w:rPr>
          <w:b/>
          <w:bCs/>
          <w:i/>
          <w:iCs/>
        </w:rPr>
        <w:lastRenderedPageBreak/>
        <w:t>Plans for Presentation of the Interview Data.</w:t>
      </w:r>
      <w:r w:rsidRPr="00B7240E">
        <w:t xml:space="preserve"> The analyses of the interview data will document best practices in safeguarding PII implemented by industry experts and exemplary SAs, along with challenges they faced. We will use qualitative methods to analyze data, in which we will use a multistep procedure to code interviews. Two study team members will develop a coding scheme based on a sample of interview transcripts; code the interviews in accordance with the coding scheme; adjudicate coding disagreements through negotiated agreement and revise the coding scheme; independently code all interviews with the revised coding scheme; and calculate the overall level of intercoder agreement and the percentage of the initial coding disagreements that were subsequently reconciled. The findings from the qualitative analysis will be presented via a narrative discussion in which quotations and tables will be used to highlight key findings.</w:t>
      </w:r>
      <w:r w:rsidR="00862687">
        <w:t xml:space="preserve"> </w:t>
      </w:r>
      <w:r w:rsidR="00862687">
        <w:rPr>
          <w:szCs w:val="24"/>
        </w:rPr>
        <w:t>Graphical elements will be used to make the findings more readable.</w:t>
      </w:r>
    </w:p>
    <w:p w:rsidRPr="006B2819" w:rsidR="00404414" w:rsidP="00404414" w:rsidRDefault="00404414" w14:paraId="75D6A7AB" w14:textId="77777777">
      <w:pPr>
        <w:rPr>
          <w:b/>
          <w:szCs w:val="24"/>
        </w:rPr>
      </w:pPr>
      <w:r w:rsidRPr="00F83D51">
        <w:rPr>
          <w:b/>
          <w:i/>
          <w:iCs/>
          <w:szCs w:val="24"/>
        </w:rPr>
        <w:t>Plans for Publication.</w:t>
      </w:r>
      <w:r>
        <w:rPr>
          <w:b/>
          <w:szCs w:val="24"/>
        </w:rPr>
        <w:t xml:space="preserve"> </w:t>
      </w:r>
      <w:r>
        <w:rPr>
          <w:bCs/>
          <w:szCs w:val="24"/>
        </w:rPr>
        <w:t>Study findings will be synthesized and published in a final report, which</w:t>
      </w:r>
      <w:r w:rsidRPr="0046529D">
        <w:rPr>
          <w:bCs/>
          <w:szCs w:val="24"/>
        </w:rPr>
        <w:t xml:space="preserve"> will be </w:t>
      </w:r>
      <w:r>
        <w:rPr>
          <w:bCs/>
          <w:szCs w:val="24"/>
        </w:rPr>
        <w:t>posted</w:t>
      </w:r>
      <w:r w:rsidRPr="0046529D">
        <w:rPr>
          <w:bCs/>
          <w:szCs w:val="24"/>
        </w:rPr>
        <w:t xml:space="preserve"> on the FNS website.</w:t>
      </w:r>
    </w:p>
    <w:p w:rsidRPr="00F83D51" w:rsidR="00F83D51" w:rsidP="00F83D51" w:rsidRDefault="00F83D51" w14:paraId="46EB31FF" w14:textId="77777777">
      <w:pPr>
        <w:pStyle w:val="NoSpacing"/>
        <w:rPr>
          <w:b/>
          <w:bCs/>
        </w:rPr>
      </w:pPr>
      <w:bookmarkStart w:name="_Toc282506039" w:id="26"/>
      <w:bookmarkStart w:name="_Toc339621300" w:id="27"/>
      <w:r w:rsidRPr="00F83D51">
        <w:rPr>
          <w:b/>
          <w:bCs/>
          <w:color w:val="009CD3" w:themeColor="accent1"/>
        </w:rPr>
        <w:t>A.17</w:t>
      </w:r>
      <w:r w:rsidRPr="00F83D51">
        <w:rPr>
          <w:b/>
          <w:bCs/>
          <w:color w:val="009CD3" w:themeColor="accent1"/>
        </w:rPr>
        <w:tab/>
      </w:r>
      <w:bookmarkEnd w:id="26"/>
      <w:r w:rsidRPr="00F83D51">
        <w:rPr>
          <w:b/>
          <w:bCs/>
          <w:color w:val="009CD3" w:themeColor="accent1"/>
        </w:rPr>
        <w:t>If seeking approval to not display the expiration date for OMB approval of the information collection, explain the reasons that display would be inappropriate.</w:t>
      </w:r>
      <w:bookmarkEnd w:id="27"/>
    </w:p>
    <w:p w:rsidRPr="00F83D51" w:rsidR="00F83D51" w:rsidP="00F83D51" w:rsidRDefault="00F83D51" w14:paraId="47E9EC9C" w14:textId="77777777">
      <w:pPr>
        <w:pStyle w:val="NoSpacing"/>
      </w:pPr>
    </w:p>
    <w:p w:rsidRPr="00F83D51" w:rsidR="00F83D51" w:rsidP="00F83D51" w:rsidRDefault="00F83D51" w14:paraId="742708DE" w14:textId="77777777">
      <w:r w:rsidRPr="00F83D51">
        <w:rPr>
          <w:bCs/>
          <w:iCs/>
        </w:rPr>
        <w:t>FNS will display the OMB approval number and expiration date on all instruments.</w:t>
      </w:r>
    </w:p>
    <w:p w:rsidRPr="00F83D51" w:rsidR="00F83D51" w:rsidP="00F83D51" w:rsidRDefault="00F83D51" w14:paraId="188C1194" w14:textId="77777777">
      <w:pPr>
        <w:pStyle w:val="NoSpacing"/>
        <w:rPr>
          <w:b/>
          <w:bCs/>
          <w:color w:val="009CD3" w:themeColor="accent1"/>
        </w:rPr>
      </w:pPr>
      <w:bookmarkStart w:name="_Toc282506040" w:id="28"/>
      <w:bookmarkStart w:name="_Toc339621301" w:id="29"/>
      <w:r w:rsidRPr="00F83D51">
        <w:rPr>
          <w:b/>
          <w:bCs/>
          <w:color w:val="009CD3" w:themeColor="accent1"/>
        </w:rPr>
        <w:t>A.18</w:t>
      </w:r>
      <w:r w:rsidRPr="00F83D51">
        <w:rPr>
          <w:b/>
          <w:bCs/>
          <w:color w:val="009CD3" w:themeColor="accent1"/>
        </w:rPr>
        <w:tab/>
      </w:r>
      <w:bookmarkEnd w:id="28"/>
      <w:r w:rsidRPr="00F83D51">
        <w:rPr>
          <w:b/>
          <w:bCs/>
          <w:color w:val="009CD3" w:themeColor="accent1"/>
        </w:rPr>
        <w:t>Explain each exception to the certification statement identified in Item 19 "Certification for Paperwork Reduction Act."</w:t>
      </w:r>
      <w:bookmarkEnd w:id="29"/>
    </w:p>
    <w:p w:rsidRPr="00F83D51" w:rsidR="00F83D51" w:rsidP="00F83D51" w:rsidRDefault="00F83D51" w14:paraId="508B2804" w14:textId="77777777">
      <w:pPr>
        <w:pStyle w:val="NoSpacing"/>
      </w:pPr>
    </w:p>
    <w:p w:rsidRPr="00F83D51" w:rsidR="00F83D51" w:rsidP="00F83D51" w:rsidRDefault="00F83D51" w14:paraId="058B05B6" w14:textId="77777777">
      <w:pPr>
        <w:rPr>
          <w:bCs/>
        </w:rPr>
      </w:pPr>
      <w:r w:rsidRPr="00F83D51">
        <w:t xml:space="preserve">FNS is able to certify compliance with all provisions under Item 19 of OMB Form 83-I. </w:t>
      </w:r>
    </w:p>
    <w:p w:rsidRPr="00EA3469" w:rsidR="009F7EC8" w:rsidP="00EA3469" w:rsidRDefault="00975D70" w14:paraId="74208990" w14:textId="36CBC65E">
      <w:pPr>
        <w:pStyle w:val="OMBToCHdg"/>
        <w:rPr>
          <w:rFonts w:ascii="Calibri" w:hAnsi="Calibri" w:eastAsia="Calibri" w:cs="Arial"/>
          <w:sz w:val="22"/>
        </w:rPr>
      </w:pPr>
      <w:bookmarkStart w:name="_Toc19698126" w:id="30"/>
      <w:r>
        <w:t xml:space="preserve"> </w:t>
      </w:r>
      <w:bookmarkEnd w:id="30"/>
    </w:p>
    <w:sectPr w:rsidRPr="00EA3469" w:rsidR="009F7EC8" w:rsidSect="009F7EC8">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5650D" w14:textId="77777777" w:rsidR="00671891" w:rsidRDefault="00671891" w:rsidP="000F10D5">
      <w:r>
        <w:separator/>
      </w:r>
    </w:p>
  </w:endnote>
  <w:endnote w:type="continuationSeparator" w:id="0">
    <w:p w14:paraId="604F54BB" w14:textId="77777777" w:rsidR="00671891" w:rsidRDefault="00671891" w:rsidP="000F10D5">
      <w:r>
        <w:continuationSeparator/>
      </w:r>
    </w:p>
  </w:endnote>
  <w:endnote w:type="continuationNotice" w:id="1">
    <w:p w14:paraId="6675C892" w14:textId="77777777" w:rsidR="00671891" w:rsidRDefault="00671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6515" w14:textId="11D04D9C" w:rsidR="005206F1" w:rsidRPr="003064AF" w:rsidRDefault="00671891" w:rsidP="003064AF">
    <w:pPr>
      <w:pBdr>
        <w:top w:val="single" w:sz="4" w:space="1" w:color="404040" w:themeColor="text1" w:themeTint="BF"/>
      </w:pBdr>
      <w:jc w:val="right"/>
      <w:rPr>
        <w:sz w:val="18"/>
      </w:rPr>
    </w:pPr>
    <w:sdt>
      <w:sdtPr>
        <w:rPr>
          <w:sz w:val="18"/>
        </w:rPr>
        <w:alias w:val="Subject"/>
        <w:tag w:val=""/>
        <w:id w:val="1060135497"/>
        <w:dataBinding w:prefixMappings="xmlns:ns0='http://purl.org/dc/elements/1.1/' xmlns:ns1='http://schemas.openxmlformats.org/package/2006/metadata/core-properties' " w:xpath="/ns1:coreProperties[1]/ns0:subject[1]" w:storeItemID="{6C3C8BC8-F283-45AE-878A-BAB7291924A1}"/>
        <w:text/>
      </w:sdtPr>
      <w:sdtEndPr/>
      <w:sdtContent>
        <w:r w:rsidR="00B4291E">
          <w:rPr>
            <w:sz w:val="18"/>
          </w:rPr>
          <w:t>1231981BF</w:t>
        </w:r>
      </w:sdtContent>
    </w:sdt>
    <w:r w:rsidR="005206F1" w:rsidRPr="003064AF">
      <w:rPr>
        <w:sz w:val="18"/>
      </w:rPr>
      <w:t xml:space="preserve"> |</w:t>
    </w:r>
    <w:r w:rsidR="005206F1">
      <w:rPr>
        <w:sz w:val="18"/>
      </w:rPr>
      <w:t xml:space="preserve"> Supporting Statement Part A-</w:t>
    </w:r>
    <w:r w:rsidR="005206F1" w:rsidRPr="003064AF">
      <w:rPr>
        <w:b/>
        <w:color w:val="009CD3" w:themeColor="accent1"/>
        <w:sz w:val="18"/>
      </w:rPr>
      <w:fldChar w:fldCharType="begin"/>
    </w:r>
    <w:r w:rsidR="005206F1" w:rsidRPr="003064AF">
      <w:rPr>
        <w:b/>
        <w:color w:val="009CD3" w:themeColor="accent1"/>
        <w:sz w:val="18"/>
      </w:rPr>
      <w:instrText xml:space="preserve"> PAGE   \* MERGEFORMAT </w:instrText>
    </w:r>
    <w:r w:rsidR="005206F1" w:rsidRPr="003064AF">
      <w:rPr>
        <w:b/>
        <w:color w:val="009CD3" w:themeColor="accent1"/>
        <w:sz w:val="18"/>
      </w:rPr>
      <w:fldChar w:fldCharType="separate"/>
    </w:r>
    <w:r w:rsidR="00E715A0">
      <w:rPr>
        <w:b/>
        <w:noProof/>
        <w:color w:val="009CD3" w:themeColor="accent1"/>
        <w:sz w:val="18"/>
      </w:rPr>
      <w:t>13</w:t>
    </w:r>
    <w:r w:rsidR="005206F1" w:rsidRPr="003064AF">
      <w:rPr>
        <w:b/>
        <w:noProof/>
        <w:color w:val="009CD3" w:themeColor="accent1"/>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F1D8B" w14:textId="4299D0BA" w:rsidR="005206F1" w:rsidRPr="003064AF" w:rsidRDefault="00671891" w:rsidP="003064AF">
    <w:pPr>
      <w:pBdr>
        <w:top w:val="single" w:sz="4" w:space="1" w:color="404040" w:themeColor="text1" w:themeTint="BF"/>
      </w:pBdr>
      <w:jc w:val="right"/>
      <w:rPr>
        <w:sz w:val="18"/>
      </w:rPr>
    </w:pPr>
    <w:sdt>
      <w:sdtPr>
        <w:rPr>
          <w:sz w:val="18"/>
        </w:rPr>
        <w:alias w:val="Subject"/>
        <w:tag w:val=""/>
        <w:id w:val="-488868408"/>
        <w:dataBinding w:prefixMappings="xmlns:ns0='http://purl.org/dc/elements/1.1/' xmlns:ns1='http://schemas.openxmlformats.org/package/2006/metadata/core-properties' " w:xpath="/ns1:coreProperties[1]/ns0:subject[1]" w:storeItemID="{6C3C8BC8-F283-45AE-878A-BAB7291924A1}"/>
        <w:text/>
      </w:sdtPr>
      <w:sdtEndPr/>
      <w:sdtContent>
        <w:r w:rsidR="00B4291E">
          <w:rPr>
            <w:sz w:val="18"/>
          </w:rPr>
          <w:t>1231981BF</w:t>
        </w:r>
      </w:sdtContent>
    </w:sdt>
    <w:r w:rsidR="005206F1" w:rsidRPr="003064AF">
      <w:rPr>
        <w:sz w:val="18"/>
      </w:rPr>
      <w:t xml:space="preserve"> |</w:t>
    </w:r>
    <w:r w:rsidR="005206F1">
      <w:rPr>
        <w:sz w:val="18"/>
      </w:rPr>
      <w:t xml:space="preserve"> Supporting Statement Part A-</w:t>
    </w:r>
    <w:r w:rsidR="005206F1" w:rsidRPr="003064AF">
      <w:rPr>
        <w:b/>
        <w:color w:val="009CD3" w:themeColor="accent1"/>
        <w:sz w:val="18"/>
      </w:rPr>
      <w:fldChar w:fldCharType="begin"/>
    </w:r>
    <w:r w:rsidR="005206F1" w:rsidRPr="003064AF">
      <w:rPr>
        <w:b/>
        <w:color w:val="009CD3" w:themeColor="accent1"/>
        <w:sz w:val="18"/>
      </w:rPr>
      <w:instrText xml:space="preserve"> PAGE   \* MERGEFORMAT </w:instrText>
    </w:r>
    <w:r w:rsidR="005206F1" w:rsidRPr="003064AF">
      <w:rPr>
        <w:b/>
        <w:color w:val="009CD3" w:themeColor="accent1"/>
        <w:sz w:val="18"/>
      </w:rPr>
      <w:fldChar w:fldCharType="separate"/>
    </w:r>
    <w:r w:rsidR="00E715A0">
      <w:rPr>
        <w:b/>
        <w:noProof/>
        <w:color w:val="009CD3" w:themeColor="accent1"/>
        <w:sz w:val="18"/>
      </w:rPr>
      <w:t>16</w:t>
    </w:r>
    <w:r w:rsidR="005206F1" w:rsidRPr="003064AF">
      <w:rPr>
        <w:b/>
        <w:noProof/>
        <w:color w:val="009CD3" w:themeColor="accent1"/>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1DDE" w14:textId="783EC762" w:rsidR="005206F1" w:rsidRDefault="005206F1"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sidR="00B4291E">
          <w:rPr>
            <w:sz w:val="18"/>
          </w:rPr>
          <w:t>1231981BF</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E715A0">
      <w:rPr>
        <w:b/>
        <w:noProof/>
        <w:color w:val="009CD3" w:themeColor="accent1"/>
        <w:sz w:val="18"/>
      </w:rPr>
      <w:t>3</w:t>
    </w:r>
    <w:r w:rsidRPr="003064AF">
      <w:rPr>
        <w:b/>
        <w:noProof/>
        <w:color w:val="009CD3" w:themeColor="accent1"/>
        <w:sz w:val="18"/>
      </w:rPr>
      <w:fldChar w:fldCharType="end"/>
    </w:r>
  </w:p>
  <w:p w14:paraId="3525B593" w14:textId="77777777" w:rsidR="005206F1" w:rsidRPr="003064AF" w:rsidRDefault="005206F1"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B262E" w14:textId="77777777" w:rsidR="00671891" w:rsidRDefault="00671891" w:rsidP="00D933B8">
      <w:pPr>
        <w:spacing w:line="240" w:lineRule="auto"/>
      </w:pPr>
      <w:r>
        <w:separator/>
      </w:r>
    </w:p>
  </w:footnote>
  <w:footnote w:type="continuationSeparator" w:id="0">
    <w:p w14:paraId="150508F3" w14:textId="77777777" w:rsidR="00671891" w:rsidRDefault="00671891" w:rsidP="00D933B8">
      <w:pPr>
        <w:spacing w:line="240" w:lineRule="auto"/>
      </w:pPr>
      <w:r>
        <w:continuationSeparator/>
      </w:r>
    </w:p>
  </w:footnote>
  <w:footnote w:type="continuationNotice" w:id="1">
    <w:p w14:paraId="766F8BAE" w14:textId="77777777" w:rsidR="00671891" w:rsidRPr="00EB6CBB" w:rsidRDefault="00671891" w:rsidP="00D933B8">
      <w:pPr>
        <w:pStyle w:val="Footer"/>
        <w:spacing w:line="240" w:lineRule="auto"/>
        <w:rPr>
          <w:sz w:val="18"/>
          <w:szCs w:val="18"/>
        </w:rPr>
      </w:pPr>
    </w:p>
  </w:footnote>
  <w:footnote w:id="2">
    <w:p w14:paraId="7B12B366" w14:textId="06EE348C" w:rsidR="003E69E2" w:rsidRDefault="003E69E2" w:rsidP="00BB508C">
      <w:pPr>
        <w:pStyle w:val="FootnoteText"/>
        <w:spacing w:line="240" w:lineRule="auto"/>
      </w:pPr>
      <w:r>
        <w:rPr>
          <w:rStyle w:val="FootnoteReference"/>
        </w:rPr>
        <w:footnoteRef/>
      </w:r>
      <w:r>
        <w:t xml:space="preserve"> May 2018 data was used </w:t>
      </w:r>
      <w:r w:rsidR="00AC7C16">
        <w:t xml:space="preserve">as data for </w:t>
      </w:r>
      <w:r w:rsidR="00AC7C16" w:rsidRPr="00AC7C16">
        <w:t>General and Operations Managers, Occupation Code 11-1021</w:t>
      </w:r>
      <w:r w:rsidR="00AC7C16">
        <w:t xml:space="preserve"> was not provided </w:t>
      </w:r>
      <w:r w:rsidR="00BB508C">
        <w:t>in the</w:t>
      </w:r>
      <w:r w:rsidR="00AC7C16">
        <w:t xml:space="preserve"> May 2019 data</w:t>
      </w:r>
      <w:r w:rsidR="00BB508C">
        <w:t>set.</w:t>
      </w:r>
      <w:r w:rsidR="00AC7C16">
        <w:t xml:space="preserve"> </w:t>
      </w:r>
    </w:p>
  </w:footnote>
  <w:footnote w:id="3">
    <w:p w14:paraId="4C3D7451" w14:textId="77777777" w:rsidR="005206F1" w:rsidRPr="00CB272A" w:rsidRDefault="005206F1" w:rsidP="00D933B8">
      <w:pPr>
        <w:pStyle w:val="FootnoteText"/>
        <w:spacing w:line="240" w:lineRule="auto"/>
      </w:pPr>
      <w:r w:rsidRPr="00BD7447">
        <w:rPr>
          <w:rStyle w:val="FootnoteReference"/>
        </w:rPr>
        <w:footnoteRef/>
      </w:r>
      <w:r w:rsidRPr="00BD7447">
        <w:t xml:space="preserve"> Due to rounding, the estimates listed here differ slightly from those included in the burden table.</w:t>
      </w:r>
    </w:p>
  </w:footnote>
  <w:footnote w:id="4">
    <w:p w14:paraId="1DEDF00D" w14:textId="634D41C0" w:rsidR="007B30AF" w:rsidRDefault="007B30AF" w:rsidP="007B30AF">
      <w:pPr>
        <w:pStyle w:val="FootnoteText"/>
        <w:spacing w:line="240" w:lineRule="auto"/>
      </w:pPr>
      <w:r>
        <w:rPr>
          <w:rStyle w:val="FootnoteReference"/>
        </w:rPr>
        <w:footnoteRef/>
      </w:r>
      <w:r>
        <w:t xml:space="preserve"> </w:t>
      </w:r>
      <w:r w:rsidRPr="007B30AF">
        <w:t>Fully</w:t>
      </w:r>
      <w:r w:rsidR="00A37808">
        <w:t>-</w:t>
      </w:r>
      <w:r w:rsidRPr="007B30AF">
        <w:t xml:space="preserve">loaded wages were calculated by </w:t>
      </w:r>
      <w:r w:rsidR="00A77F41">
        <w:t xml:space="preserve">dividing the annual </w:t>
      </w:r>
      <w:r w:rsidR="002E4DAF">
        <w:t>salary rate</w:t>
      </w:r>
      <w:r w:rsidR="001E350D">
        <w:t xml:space="preserve"> by</w:t>
      </w:r>
      <w:r w:rsidR="002E4DAF">
        <w:t xml:space="preserve"> 2,080 hours per year</w:t>
      </w:r>
      <w:r w:rsidR="001E350D">
        <w:t xml:space="preserve"> and combining </w:t>
      </w:r>
      <w:r w:rsidRPr="007B30AF">
        <w:t xml:space="preserve">a rate of 33.0 percent of hourly wages to account for </w:t>
      </w:r>
      <w:r w:rsidR="001E350D">
        <w:t xml:space="preserve">the </w:t>
      </w:r>
      <w:r w:rsidR="0009137A">
        <w:t>fringe benefit</w:t>
      </w:r>
      <w:r w:rsidRPr="007B30AF">
        <w:t xml:space="preserve"> costs</w:t>
      </w:r>
      <w:r w:rsidR="00E1320D">
        <w:t xml:space="preserve"> </w:t>
      </w:r>
      <w:r w:rsidR="001E350D">
        <w:t>of federal government employees (per agency guidance)</w:t>
      </w:r>
      <w:r w:rsidRPr="007B30AF">
        <w:t>.</w:t>
      </w:r>
    </w:p>
  </w:footnote>
  <w:footnote w:id="5">
    <w:p w14:paraId="1EB703C4" w14:textId="1723C1DA" w:rsidR="00DA0C85" w:rsidRDefault="00DA0C85" w:rsidP="00DA0C85">
      <w:pPr>
        <w:pStyle w:val="FootnoteText"/>
        <w:spacing w:line="240" w:lineRule="auto"/>
      </w:pPr>
      <w:r>
        <w:rPr>
          <w:rStyle w:val="FootnoteReference"/>
        </w:rPr>
        <w:footnoteRef/>
      </w:r>
      <w:r>
        <w:t xml:space="preserve"> </w:t>
      </w:r>
      <w:r w:rsidRPr="007B30AF">
        <w:t>Fully</w:t>
      </w:r>
      <w:r w:rsidR="00A37808">
        <w:t>-</w:t>
      </w:r>
      <w:r w:rsidRPr="007B30AF">
        <w:t xml:space="preserve">loaded wages were calculated by </w:t>
      </w:r>
      <w:r>
        <w:t xml:space="preserve">dividing the annual salary rate by 2,080 hours per year and combining </w:t>
      </w:r>
      <w:r w:rsidRPr="007B30AF">
        <w:t xml:space="preserve">a rate of 33.0 percent of hourly wages to account for </w:t>
      </w:r>
      <w:r>
        <w:t xml:space="preserve">the </w:t>
      </w:r>
      <w:r w:rsidR="0009137A">
        <w:t>fringe benefit</w:t>
      </w:r>
      <w:r w:rsidRPr="007B30AF">
        <w:t xml:space="preserve"> costs</w:t>
      </w:r>
      <w:r>
        <w:t xml:space="preserve"> of federal government employees (per agency guidance)</w:t>
      </w:r>
      <w:r w:rsidRPr="007B30AF">
        <w:t>.</w:t>
      </w:r>
    </w:p>
  </w:footnote>
  <w:footnote w:id="6">
    <w:p w14:paraId="74CABFA1" w14:textId="69518004" w:rsidR="00A6680E" w:rsidRDefault="00A6680E" w:rsidP="00A6680E">
      <w:pPr>
        <w:pStyle w:val="FootnoteText"/>
        <w:spacing w:line="240" w:lineRule="auto"/>
      </w:pPr>
      <w:r>
        <w:rPr>
          <w:rStyle w:val="FootnoteReference"/>
        </w:rPr>
        <w:footnoteRef/>
      </w:r>
      <w:r>
        <w:t xml:space="preserve"> </w:t>
      </w:r>
      <w:r w:rsidRPr="00A6680E">
        <w:t>Fully</w:t>
      </w:r>
      <w:r w:rsidR="00A37808">
        <w:t>-</w:t>
      </w:r>
      <w:r w:rsidRPr="00A6680E">
        <w:t xml:space="preserve">loaded wages were calculated by dividing the annual salary rate by 2,080 hours per year and combining a rate of 33.0 percent of hourly wages to account for the </w:t>
      </w:r>
      <w:r w:rsidR="0009137A">
        <w:t>fringe benefit</w:t>
      </w:r>
      <w:r w:rsidRPr="00A6680E">
        <w:t xml:space="preserve"> costs of federal government employees (per agency guidance).</w:t>
      </w:r>
    </w:p>
  </w:footnote>
  <w:footnote w:id="7">
    <w:p w14:paraId="50D7D6F5" w14:textId="1A44E378" w:rsidR="001F6808" w:rsidRDefault="001F6808" w:rsidP="001F6808">
      <w:pPr>
        <w:pStyle w:val="FootnoteText"/>
        <w:spacing w:line="240" w:lineRule="auto"/>
      </w:pPr>
      <w:r>
        <w:rPr>
          <w:rStyle w:val="FootnoteReference"/>
        </w:rPr>
        <w:footnoteRef/>
      </w:r>
      <w:r>
        <w:t xml:space="preserve"> </w:t>
      </w:r>
      <w:r w:rsidRPr="00A6680E">
        <w:t>Fully</w:t>
      </w:r>
      <w:r w:rsidR="00A37808">
        <w:t>-</w:t>
      </w:r>
      <w:r w:rsidRPr="00A6680E">
        <w:t xml:space="preserve">loaded wages were calculated by dividing the annual salary rate by 2,080 hours per year and combining a rate of 33.0 percent of hourly wages to account for the </w:t>
      </w:r>
      <w:r w:rsidR="0009137A">
        <w:t>fringe benefit</w:t>
      </w:r>
      <w:r w:rsidRPr="00A6680E">
        <w:t xml:space="preserve"> costs of federal government employees (per agency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6340" w14:textId="0FF18FF6" w:rsidR="00B4291E" w:rsidRPr="00257011" w:rsidRDefault="00671891" w:rsidP="00657533">
    <w:pPr>
      <w:pStyle w:val="Header"/>
      <w:rPr>
        <w:b/>
        <w:color w:val="7F7F7F" w:themeColor="text1" w:themeTint="80"/>
        <w:sz w:val="16"/>
      </w:rPr>
    </w:pPr>
    <w:sdt>
      <w:sdtPr>
        <w:rPr>
          <w:b/>
          <w:color w:val="7F7F7F" w:themeColor="text1" w:themeTint="80"/>
          <w:sz w:val="16"/>
        </w:rPr>
        <w:alias w:val="Title"/>
        <w:tag w:val=""/>
        <w:id w:val="564688482"/>
        <w:dataBinding w:prefixMappings="xmlns:ns0='http://purl.org/dc/elements/1.1/' xmlns:ns1='http://schemas.openxmlformats.org/package/2006/metadata/core-properties' " w:xpath="/ns1:coreProperties[1]/ns0:title[1]" w:storeItemID="{6C3C8BC8-F283-45AE-878A-BAB7291924A1}"/>
        <w:text/>
      </w:sdtPr>
      <w:sdtEndPr/>
      <w:sdtContent>
        <w:r w:rsidR="00B4291E">
          <w:rPr>
            <w:b/>
            <w:color w:val="7F7F7F" w:themeColor="text1" w:themeTint="80"/>
            <w:sz w:val="16"/>
          </w:rPr>
          <w:t>SNAP PII: Office of Management and Budget Information Collection Review Package</w:t>
        </w:r>
      </w:sdtContent>
    </w:sdt>
    <w:r w:rsidR="00B4291E">
      <w:rPr>
        <w:noProof/>
      </w:rPr>
      <w:drawing>
        <wp:anchor distT="0" distB="0" distL="114300" distR="114300" simplePos="0" relativeHeight="251660289" behindDoc="0" locked="0" layoutInCell="1" allowOverlap="1" wp14:anchorId="1B310F31" wp14:editId="44207FA0">
          <wp:simplePos x="914400" y="584200"/>
          <wp:positionH relativeFrom="column">
            <wp:align>right</wp:align>
          </wp:positionH>
          <wp:positionV relativeFrom="line">
            <wp:align>center</wp:align>
          </wp:positionV>
          <wp:extent cx="301752" cy="265176"/>
          <wp:effectExtent l="0" t="0" r="317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 cy="265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7491" w14:textId="77777777" w:rsidR="005206F1" w:rsidRPr="00257011" w:rsidRDefault="00671891">
    <w:pPr>
      <w:pStyle w:val="Header"/>
      <w:rPr>
        <w:b/>
        <w:color w:val="7F7F7F" w:themeColor="text1" w:themeTint="80"/>
        <w:sz w:val="16"/>
      </w:rPr>
    </w:pPr>
    <w:sdt>
      <w:sdtPr>
        <w:rPr>
          <w:b/>
          <w:color w:val="7F7F7F" w:themeColor="text1" w:themeTint="80"/>
          <w:sz w:val="16"/>
        </w:rPr>
        <w:alias w:val="Title"/>
        <w:tag w:val=""/>
        <w:id w:val="-35502851"/>
        <w:dataBinding w:prefixMappings="xmlns:ns0='http://purl.org/dc/elements/1.1/' xmlns:ns1='http://schemas.openxmlformats.org/package/2006/metadata/core-properties' " w:xpath="/ns1:coreProperties[1]/ns0:title[1]" w:storeItemID="{6C3C8BC8-F283-45AE-878A-BAB7291924A1}"/>
        <w:text/>
      </w:sdtPr>
      <w:sdtEndPr/>
      <w:sdtContent>
        <w:r w:rsidR="005206F1">
          <w:rPr>
            <w:b/>
            <w:color w:val="7F7F7F" w:themeColor="text1" w:themeTint="80"/>
            <w:sz w:val="16"/>
          </w:rPr>
          <w:t>SNAP PII: Office of Management and Budget Information Collection Review Package</w:t>
        </w:r>
      </w:sdtContent>
    </w:sdt>
    <w:r w:rsidR="005206F1">
      <w:rPr>
        <w:noProof/>
      </w:rPr>
      <w:drawing>
        <wp:anchor distT="0" distB="0" distL="114300" distR="114300" simplePos="0" relativeHeight="251658241" behindDoc="0" locked="0" layoutInCell="1" allowOverlap="1" wp14:anchorId="2758295A" wp14:editId="7C37268D">
          <wp:simplePos x="914400" y="584200"/>
          <wp:positionH relativeFrom="column">
            <wp:align>right</wp:align>
          </wp:positionH>
          <wp:positionV relativeFrom="line">
            <wp:align>center</wp:align>
          </wp:positionV>
          <wp:extent cx="301752" cy="265176"/>
          <wp:effectExtent l="0" t="0" r="317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 cy="2651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23FE"/>
    <w:multiLevelType w:val="hybridMultilevel"/>
    <w:tmpl w:val="0694C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9"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4"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53"/>
  </w:num>
  <w:num w:numId="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40"/>
  </w:num>
  <w:num w:numId="7">
    <w:abstractNumId w:val="12"/>
  </w:num>
  <w:num w:numId="8">
    <w:abstractNumId w:val="1"/>
  </w:num>
  <w:num w:numId="9">
    <w:abstractNumId w:val="44"/>
  </w:num>
  <w:num w:numId="10">
    <w:abstractNumId w:val="57"/>
  </w:num>
  <w:num w:numId="11">
    <w:abstractNumId w:val="21"/>
  </w:num>
  <w:num w:numId="12">
    <w:abstractNumId w:val="24"/>
  </w:num>
  <w:num w:numId="13">
    <w:abstractNumId w:val="58"/>
  </w:num>
  <w:num w:numId="14">
    <w:abstractNumId w:val="4"/>
  </w:num>
  <w:num w:numId="15">
    <w:abstractNumId w:val="65"/>
  </w:num>
  <w:num w:numId="1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69"/>
  </w:num>
  <w:num w:numId="19">
    <w:abstractNumId w:val="66"/>
  </w:num>
  <w:num w:numId="20">
    <w:abstractNumId w:val="25"/>
  </w:num>
  <w:num w:numId="21">
    <w:abstractNumId w:val="38"/>
  </w:num>
  <w:num w:numId="22">
    <w:abstractNumId w:val="7"/>
  </w:num>
  <w:num w:numId="23">
    <w:abstractNumId w:val="48"/>
  </w:num>
  <w:num w:numId="24">
    <w:abstractNumId w:val="20"/>
  </w:num>
  <w:num w:numId="25">
    <w:abstractNumId w:val="60"/>
  </w:num>
  <w:num w:numId="26">
    <w:abstractNumId w:val="45"/>
  </w:num>
  <w:num w:numId="27">
    <w:abstractNumId w:val="47"/>
  </w:num>
  <w:num w:numId="28">
    <w:abstractNumId w:val="61"/>
  </w:num>
  <w:num w:numId="29">
    <w:abstractNumId w:val="6"/>
  </w:num>
  <w:num w:numId="30">
    <w:abstractNumId w:val="52"/>
  </w:num>
  <w:num w:numId="31">
    <w:abstractNumId w:val="18"/>
  </w:num>
  <w:num w:numId="32">
    <w:abstractNumId w:val="30"/>
  </w:num>
  <w:num w:numId="33">
    <w:abstractNumId w:val="29"/>
  </w:num>
  <w:num w:numId="34">
    <w:abstractNumId w:val="59"/>
  </w:num>
  <w:num w:numId="35">
    <w:abstractNumId w:val="34"/>
  </w:num>
  <w:num w:numId="36">
    <w:abstractNumId w:val="41"/>
  </w:num>
  <w:num w:numId="37">
    <w:abstractNumId w:val="55"/>
  </w:num>
  <w:num w:numId="38">
    <w:abstractNumId w:val="17"/>
  </w:num>
  <w:num w:numId="39">
    <w:abstractNumId w:val="63"/>
  </w:num>
  <w:num w:numId="40">
    <w:abstractNumId w:val="39"/>
  </w:num>
  <w:num w:numId="41">
    <w:abstractNumId w:val="2"/>
  </w:num>
  <w:num w:numId="42">
    <w:abstractNumId w:val="32"/>
  </w:num>
  <w:num w:numId="43">
    <w:abstractNumId w:val="31"/>
  </w:num>
  <w:num w:numId="44">
    <w:abstractNumId w:val="15"/>
  </w:num>
  <w:num w:numId="45">
    <w:abstractNumId w:val="64"/>
  </w:num>
  <w:num w:numId="46">
    <w:abstractNumId w:val="26"/>
  </w:num>
  <w:num w:numId="47">
    <w:abstractNumId w:val="23"/>
  </w:num>
  <w:num w:numId="48">
    <w:abstractNumId w:val="10"/>
  </w:num>
  <w:num w:numId="49">
    <w:abstractNumId w:val="27"/>
  </w:num>
  <w:num w:numId="50">
    <w:abstractNumId w:val="43"/>
  </w:num>
  <w:num w:numId="51">
    <w:abstractNumId w:val="68"/>
  </w:num>
  <w:num w:numId="52">
    <w:abstractNumId w:val="19"/>
  </w:num>
  <w:num w:numId="53">
    <w:abstractNumId w:val="67"/>
  </w:num>
  <w:num w:numId="54">
    <w:abstractNumId w:val="9"/>
  </w:num>
  <w:num w:numId="55">
    <w:abstractNumId w:val="62"/>
  </w:num>
  <w:num w:numId="56">
    <w:abstractNumId w:val="33"/>
  </w:num>
  <w:num w:numId="57">
    <w:abstractNumId w:val="13"/>
  </w:num>
  <w:num w:numId="58">
    <w:abstractNumId w:val="56"/>
  </w:num>
  <w:num w:numId="59">
    <w:abstractNumId w:val="49"/>
  </w:num>
  <w:num w:numId="60">
    <w:abstractNumId w:val="8"/>
  </w:num>
  <w:num w:numId="61">
    <w:abstractNumId w:val="22"/>
  </w:num>
  <w:num w:numId="62">
    <w:abstractNumId w:val="42"/>
  </w:num>
  <w:num w:numId="63">
    <w:abstractNumId w:val="37"/>
  </w:num>
  <w:num w:numId="64">
    <w:abstractNumId w:val="51"/>
  </w:num>
  <w:num w:numId="65">
    <w:abstractNumId w:val="35"/>
  </w:num>
  <w:num w:numId="66">
    <w:abstractNumId w:val="54"/>
  </w:num>
  <w:num w:numId="67">
    <w:abstractNumId w:val="16"/>
  </w:num>
  <w:num w:numId="68">
    <w:abstractNumId w:val="5"/>
  </w:num>
  <w:num w:numId="69">
    <w:abstractNumId w:val="46"/>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num>
  <w:num w:numId="72">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0NTY1NDE1NjC3NDBV0lEKTi0uzszPAymwqAUAF12xBS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3D41"/>
    <w:rsid w:val="00014875"/>
    <w:rsid w:val="0001511B"/>
    <w:rsid w:val="000152FF"/>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915"/>
    <w:rsid w:val="0003196B"/>
    <w:rsid w:val="00031B86"/>
    <w:rsid w:val="00031D8B"/>
    <w:rsid w:val="00032A48"/>
    <w:rsid w:val="000333D5"/>
    <w:rsid w:val="0003352B"/>
    <w:rsid w:val="00033E48"/>
    <w:rsid w:val="000342C9"/>
    <w:rsid w:val="0003442B"/>
    <w:rsid w:val="00034862"/>
    <w:rsid w:val="000352B6"/>
    <w:rsid w:val="000352D5"/>
    <w:rsid w:val="00035B68"/>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4E98"/>
    <w:rsid w:val="00057F7B"/>
    <w:rsid w:val="00057FDD"/>
    <w:rsid w:val="000618DC"/>
    <w:rsid w:val="00061C66"/>
    <w:rsid w:val="000624A3"/>
    <w:rsid w:val="0006399A"/>
    <w:rsid w:val="00063B4C"/>
    <w:rsid w:val="00063DB4"/>
    <w:rsid w:val="000643C2"/>
    <w:rsid w:val="00064C2A"/>
    <w:rsid w:val="00065513"/>
    <w:rsid w:val="000658E3"/>
    <w:rsid w:val="00065F27"/>
    <w:rsid w:val="00066388"/>
    <w:rsid w:val="00066816"/>
    <w:rsid w:val="00066A6D"/>
    <w:rsid w:val="00067076"/>
    <w:rsid w:val="000671F9"/>
    <w:rsid w:val="00071614"/>
    <w:rsid w:val="000734ED"/>
    <w:rsid w:val="00076DD4"/>
    <w:rsid w:val="00076E6E"/>
    <w:rsid w:val="00077F47"/>
    <w:rsid w:val="00077FA0"/>
    <w:rsid w:val="000803CC"/>
    <w:rsid w:val="00080515"/>
    <w:rsid w:val="0008122C"/>
    <w:rsid w:val="0008322B"/>
    <w:rsid w:val="00084087"/>
    <w:rsid w:val="00087078"/>
    <w:rsid w:val="0009050D"/>
    <w:rsid w:val="00090D49"/>
    <w:rsid w:val="0009137A"/>
    <w:rsid w:val="0009255C"/>
    <w:rsid w:val="000926BE"/>
    <w:rsid w:val="00093C6A"/>
    <w:rsid w:val="00094787"/>
    <w:rsid w:val="00095739"/>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7E7"/>
    <w:rsid w:val="000B2809"/>
    <w:rsid w:val="000B2B7E"/>
    <w:rsid w:val="000B3BEF"/>
    <w:rsid w:val="000B41CB"/>
    <w:rsid w:val="000B47A4"/>
    <w:rsid w:val="000B4D28"/>
    <w:rsid w:val="000B5CA9"/>
    <w:rsid w:val="000B708E"/>
    <w:rsid w:val="000C0318"/>
    <w:rsid w:val="000C46FB"/>
    <w:rsid w:val="000C4F78"/>
    <w:rsid w:val="000C5821"/>
    <w:rsid w:val="000C5C57"/>
    <w:rsid w:val="000C6653"/>
    <w:rsid w:val="000C70B9"/>
    <w:rsid w:val="000C77A4"/>
    <w:rsid w:val="000C7A60"/>
    <w:rsid w:val="000C7BCD"/>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3BAC"/>
    <w:rsid w:val="000E4ADF"/>
    <w:rsid w:val="000E5234"/>
    <w:rsid w:val="000E55F2"/>
    <w:rsid w:val="000E5CDF"/>
    <w:rsid w:val="000E5E28"/>
    <w:rsid w:val="000E61C4"/>
    <w:rsid w:val="000E65BB"/>
    <w:rsid w:val="000E7707"/>
    <w:rsid w:val="000E7F6E"/>
    <w:rsid w:val="000F03C0"/>
    <w:rsid w:val="000F0C5A"/>
    <w:rsid w:val="000F10D5"/>
    <w:rsid w:val="000F19EE"/>
    <w:rsid w:val="000F212C"/>
    <w:rsid w:val="000F26A8"/>
    <w:rsid w:val="000F337C"/>
    <w:rsid w:val="000F402A"/>
    <w:rsid w:val="000F42E5"/>
    <w:rsid w:val="000F48A6"/>
    <w:rsid w:val="000F4910"/>
    <w:rsid w:val="000F4CA6"/>
    <w:rsid w:val="000F61EE"/>
    <w:rsid w:val="000F6F32"/>
    <w:rsid w:val="000F715B"/>
    <w:rsid w:val="000F72BC"/>
    <w:rsid w:val="00100E77"/>
    <w:rsid w:val="001015F5"/>
    <w:rsid w:val="00101644"/>
    <w:rsid w:val="00104DB2"/>
    <w:rsid w:val="00104DB4"/>
    <w:rsid w:val="001053E2"/>
    <w:rsid w:val="001058BC"/>
    <w:rsid w:val="001062AE"/>
    <w:rsid w:val="001069C9"/>
    <w:rsid w:val="00106A98"/>
    <w:rsid w:val="00107027"/>
    <w:rsid w:val="0010724A"/>
    <w:rsid w:val="00110DDB"/>
    <w:rsid w:val="001113CB"/>
    <w:rsid w:val="001116E1"/>
    <w:rsid w:val="0011282C"/>
    <w:rsid w:val="00112AE4"/>
    <w:rsid w:val="00112E2B"/>
    <w:rsid w:val="001134C5"/>
    <w:rsid w:val="00113FAB"/>
    <w:rsid w:val="00114507"/>
    <w:rsid w:val="00115FFF"/>
    <w:rsid w:val="0011644B"/>
    <w:rsid w:val="00117EAA"/>
    <w:rsid w:val="00120014"/>
    <w:rsid w:val="00121AA2"/>
    <w:rsid w:val="00122F4A"/>
    <w:rsid w:val="0012388A"/>
    <w:rsid w:val="00123BCB"/>
    <w:rsid w:val="001246F6"/>
    <w:rsid w:val="00124BB1"/>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6F5D"/>
    <w:rsid w:val="0019792F"/>
    <w:rsid w:val="001A00C4"/>
    <w:rsid w:val="001A075B"/>
    <w:rsid w:val="001A0925"/>
    <w:rsid w:val="001A1730"/>
    <w:rsid w:val="001A2B49"/>
    <w:rsid w:val="001A36B7"/>
    <w:rsid w:val="001A39E5"/>
    <w:rsid w:val="001A47D7"/>
    <w:rsid w:val="001A4E70"/>
    <w:rsid w:val="001A5110"/>
    <w:rsid w:val="001A6711"/>
    <w:rsid w:val="001B05EE"/>
    <w:rsid w:val="001B0864"/>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2324"/>
    <w:rsid w:val="001C3A80"/>
    <w:rsid w:val="001C3DB8"/>
    <w:rsid w:val="001C3F25"/>
    <w:rsid w:val="001C4D55"/>
    <w:rsid w:val="001C58E6"/>
    <w:rsid w:val="001C7E4B"/>
    <w:rsid w:val="001D042A"/>
    <w:rsid w:val="001D2B2C"/>
    <w:rsid w:val="001D2F87"/>
    <w:rsid w:val="001D34EE"/>
    <w:rsid w:val="001D35D3"/>
    <w:rsid w:val="001D4120"/>
    <w:rsid w:val="001D41BE"/>
    <w:rsid w:val="001D4259"/>
    <w:rsid w:val="001D42BB"/>
    <w:rsid w:val="001D4628"/>
    <w:rsid w:val="001D4BF4"/>
    <w:rsid w:val="001D577D"/>
    <w:rsid w:val="001D655F"/>
    <w:rsid w:val="001D6E45"/>
    <w:rsid w:val="001E0186"/>
    <w:rsid w:val="001E0D6D"/>
    <w:rsid w:val="001E1701"/>
    <w:rsid w:val="001E18CD"/>
    <w:rsid w:val="001E1BDE"/>
    <w:rsid w:val="001E25ED"/>
    <w:rsid w:val="001E2754"/>
    <w:rsid w:val="001E2845"/>
    <w:rsid w:val="001E2FB2"/>
    <w:rsid w:val="001E3327"/>
    <w:rsid w:val="001E34C1"/>
    <w:rsid w:val="001E350D"/>
    <w:rsid w:val="001E38F5"/>
    <w:rsid w:val="001E6A93"/>
    <w:rsid w:val="001E704D"/>
    <w:rsid w:val="001E722C"/>
    <w:rsid w:val="001E7CC8"/>
    <w:rsid w:val="001F055E"/>
    <w:rsid w:val="001F0E87"/>
    <w:rsid w:val="001F1E2A"/>
    <w:rsid w:val="001F281B"/>
    <w:rsid w:val="001F2DF9"/>
    <w:rsid w:val="001F31B8"/>
    <w:rsid w:val="001F4B35"/>
    <w:rsid w:val="001F58F3"/>
    <w:rsid w:val="001F636F"/>
    <w:rsid w:val="001F6808"/>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809"/>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A0"/>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4DAF"/>
    <w:rsid w:val="002E559D"/>
    <w:rsid w:val="002E64C6"/>
    <w:rsid w:val="002E66FB"/>
    <w:rsid w:val="002E6701"/>
    <w:rsid w:val="002E71F2"/>
    <w:rsid w:val="002E749B"/>
    <w:rsid w:val="002E7F7C"/>
    <w:rsid w:val="002F055D"/>
    <w:rsid w:val="002F0DBA"/>
    <w:rsid w:val="002F0ED0"/>
    <w:rsid w:val="002F0FA1"/>
    <w:rsid w:val="002F2288"/>
    <w:rsid w:val="002F2D0D"/>
    <w:rsid w:val="002F3792"/>
    <w:rsid w:val="002F4038"/>
    <w:rsid w:val="002F4DAB"/>
    <w:rsid w:val="002F5AF4"/>
    <w:rsid w:val="002F6084"/>
    <w:rsid w:val="002F665A"/>
    <w:rsid w:val="002F7369"/>
    <w:rsid w:val="002F7EAC"/>
    <w:rsid w:val="00300B38"/>
    <w:rsid w:val="00301C81"/>
    <w:rsid w:val="00303594"/>
    <w:rsid w:val="003035D5"/>
    <w:rsid w:val="0030478C"/>
    <w:rsid w:val="00304AC4"/>
    <w:rsid w:val="00304D8F"/>
    <w:rsid w:val="00304FF2"/>
    <w:rsid w:val="003062D3"/>
    <w:rsid w:val="003064AF"/>
    <w:rsid w:val="00307011"/>
    <w:rsid w:val="00307E1C"/>
    <w:rsid w:val="003108B4"/>
    <w:rsid w:val="00310E9E"/>
    <w:rsid w:val="00310FCB"/>
    <w:rsid w:val="00313054"/>
    <w:rsid w:val="00313161"/>
    <w:rsid w:val="003145D8"/>
    <w:rsid w:val="00315188"/>
    <w:rsid w:val="00315364"/>
    <w:rsid w:val="003158BA"/>
    <w:rsid w:val="003163E3"/>
    <w:rsid w:val="00320632"/>
    <w:rsid w:val="00320FB0"/>
    <w:rsid w:val="003221F7"/>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4F38"/>
    <w:rsid w:val="0033529A"/>
    <w:rsid w:val="003356FD"/>
    <w:rsid w:val="00335DD0"/>
    <w:rsid w:val="003362FA"/>
    <w:rsid w:val="0033694F"/>
    <w:rsid w:val="0033696A"/>
    <w:rsid w:val="0033771D"/>
    <w:rsid w:val="00337B8E"/>
    <w:rsid w:val="00340622"/>
    <w:rsid w:val="003410A7"/>
    <w:rsid w:val="00341D22"/>
    <w:rsid w:val="00342365"/>
    <w:rsid w:val="00342DE1"/>
    <w:rsid w:val="003451E2"/>
    <w:rsid w:val="00345696"/>
    <w:rsid w:val="003459B4"/>
    <w:rsid w:val="0034761D"/>
    <w:rsid w:val="00350403"/>
    <w:rsid w:val="0035064F"/>
    <w:rsid w:val="00350F6A"/>
    <w:rsid w:val="003520F4"/>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994"/>
    <w:rsid w:val="00373DB8"/>
    <w:rsid w:val="003743DC"/>
    <w:rsid w:val="0037477B"/>
    <w:rsid w:val="00374F57"/>
    <w:rsid w:val="00375E31"/>
    <w:rsid w:val="0037663F"/>
    <w:rsid w:val="00376B73"/>
    <w:rsid w:val="003776C0"/>
    <w:rsid w:val="00377FBF"/>
    <w:rsid w:val="003804F4"/>
    <w:rsid w:val="00382552"/>
    <w:rsid w:val="0038272E"/>
    <w:rsid w:val="00382885"/>
    <w:rsid w:val="00384B58"/>
    <w:rsid w:val="003866A2"/>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2E93"/>
    <w:rsid w:val="003B328F"/>
    <w:rsid w:val="003B3627"/>
    <w:rsid w:val="003B368C"/>
    <w:rsid w:val="003B377A"/>
    <w:rsid w:val="003B4E5C"/>
    <w:rsid w:val="003B4F9C"/>
    <w:rsid w:val="003B52D9"/>
    <w:rsid w:val="003B6899"/>
    <w:rsid w:val="003B7B9B"/>
    <w:rsid w:val="003C0B15"/>
    <w:rsid w:val="003C131D"/>
    <w:rsid w:val="003C1D90"/>
    <w:rsid w:val="003C1E76"/>
    <w:rsid w:val="003C3031"/>
    <w:rsid w:val="003C325B"/>
    <w:rsid w:val="003C505B"/>
    <w:rsid w:val="003C56E7"/>
    <w:rsid w:val="003C6D44"/>
    <w:rsid w:val="003C7DE4"/>
    <w:rsid w:val="003D016B"/>
    <w:rsid w:val="003D161C"/>
    <w:rsid w:val="003D2EEF"/>
    <w:rsid w:val="003D366E"/>
    <w:rsid w:val="003D3FA1"/>
    <w:rsid w:val="003D4522"/>
    <w:rsid w:val="003D4E51"/>
    <w:rsid w:val="003D52CB"/>
    <w:rsid w:val="003D58AC"/>
    <w:rsid w:val="003D6CEA"/>
    <w:rsid w:val="003D76AB"/>
    <w:rsid w:val="003D76FE"/>
    <w:rsid w:val="003D7FB0"/>
    <w:rsid w:val="003E10DE"/>
    <w:rsid w:val="003E2026"/>
    <w:rsid w:val="003E30A0"/>
    <w:rsid w:val="003E3B2B"/>
    <w:rsid w:val="003E69E2"/>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0D13"/>
    <w:rsid w:val="00411895"/>
    <w:rsid w:val="0041210C"/>
    <w:rsid w:val="0041274C"/>
    <w:rsid w:val="00412F92"/>
    <w:rsid w:val="004137FD"/>
    <w:rsid w:val="0041450D"/>
    <w:rsid w:val="004146AC"/>
    <w:rsid w:val="004154CF"/>
    <w:rsid w:val="0041657E"/>
    <w:rsid w:val="00416605"/>
    <w:rsid w:val="0042089B"/>
    <w:rsid w:val="004210D9"/>
    <w:rsid w:val="0042150E"/>
    <w:rsid w:val="004220FC"/>
    <w:rsid w:val="004230BD"/>
    <w:rsid w:val="0042376E"/>
    <w:rsid w:val="0042500A"/>
    <w:rsid w:val="004253AE"/>
    <w:rsid w:val="004254C6"/>
    <w:rsid w:val="00426CED"/>
    <w:rsid w:val="00430112"/>
    <w:rsid w:val="00430B49"/>
    <w:rsid w:val="00430FD1"/>
    <w:rsid w:val="0043178E"/>
    <w:rsid w:val="00433255"/>
    <w:rsid w:val="00433587"/>
    <w:rsid w:val="00434487"/>
    <w:rsid w:val="004354C0"/>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8EE"/>
    <w:rsid w:val="00450D1A"/>
    <w:rsid w:val="00451460"/>
    <w:rsid w:val="004522A9"/>
    <w:rsid w:val="00452E78"/>
    <w:rsid w:val="0045416E"/>
    <w:rsid w:val="00457074"/>
    <w:rsid w:val="004614DF"/>
    <w:rsid w:val="00462924"/>
    <w:rsid w:val="00462D1E"/>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22C7"/>
    <w:rsid w:val="00493D54"/>
    <w:rsid w:val="00493D98"/>
    <w:rsid w:val="004947CD"/>
    <w:rsid w:val="00494B50"/>
    <w:rsid w:val="004952E6"/>
    <w:rsid w:val="00495458"/>
    <w:rsid w:val="004957A7"/>
    <w:rsid w:val="00495C77"/>
    <w:rsid w:val="00497086"/>
    <w:rsid w:val="00497873"/>
    <w:rsid w:val="004A04F3"/>
    <w:rsid w:val="004A2566"/>
    <w:rsid w:val="004A3268"/>
    <w:rsid w:val="004A3640"/>
    <w:rsid w:val="004A3A8A"/>
    <w:rsid w:val="004A4704"/>
    <w:rsid w:val="004A4936"/>
    <w:rsid w:val="004A6040"/>
    <w:rsid w:val="004B0339"/>
    <w:rsid w:val="004B0377"/>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05D1"/>
    <w:rsid w:val="004C529C"/>
    <w:rsid w:val="004C62A2"/>
    <w:rsid w:val="004C6D7B"/>
    <w:rsid w:val="004C7836"/>
    <w:rsid w:val="004D07A2"/>
    <w:rsid w:val="004D12BD"/>
    <w:rsid w:val="004D138B"/>
    <w:rsid w:val="004D2E14"/>
    <w:rsid w:val="004D3200"/>
    <w:rsid w:val="004D3375"/>
    <w:rsid w:val="004D3B2F"/>
    <w:rsid w:val="004D4BA7"/>
    <w:rsid w:val="004D5950"/>
    <w:rsid w:val="004D5E04"/>
    <w:rsid w:val="004D7852"/>
    <w:rsid w:val="004E1BFB"/>
    <w:rsid w:val="004E2013"/>
    <w:rsid w:val="004E2194"/>
    <w:rsid w:val="004E358D"/>
    <w:rsid w:val="004E39F0"/>
    <w:rsid w:val="004E4130"/>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0F"/>
    <w:rsid w:val="005004DA"/>
    <w:rsid w:val="00500984"/>
    <w:rsid w:val="00501338"/>
    <w:rsid w:val="005023AA"/>
    <w:rsid w:val="0050296E"/>
    <w:rsid w:val="005046D2"/>
    <w:rsid w:val="005049B6"/>
    <w:rsid w:val="0050512C"/>
    <w:rsid w:val="005051A6"/>
    <w:rsid w:val="005066C3"/>
    <w:rsid w:val="00506A55"/>
    <w:rsid w:val="00506AB2"/>
    <w:rsid w:val="00507C40"/>
    <w:rsid w:val="00507CCD"/>
    <w:rsid w:val="00510C5B"/>
    <w:rsid w:val="005118C4"/>
    <w:rsid w:val="00511F0B"/>
    <w:rsid w:val="00511F4C"/>
    <w:rsid w:val="00512062"/>
    <w:rsid w:val="005125A2"/>
    <w:rsid w:val="00513C87"/>
    <w:rsid w:val="00514BAB"/>
    <w:rsid w:val="00516036"/>
    <w:rsid w:val="005206F1"/>
    <w:rsid w:val="00521250"/>
    <w:rsid w:val="005232BA"/>
    <w:rsid w:val="0052571F"/>
    <w:rsid w:val="00525A5F"/>
    <w:rsid w:val="0052605C"/>
    <w:rsid w:val="005267D3"/>
    <w:rsid w:val="005270BD"/>
    <w:rsid w:val="005270D0"/>
    <w:rsid w:val="00530933"/>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77093"/>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CD5"/>
    <w:rsid w:val="00595B2D"/>
    <w:rsid w:val="00595CEE"/>
    <w:rsid w:val="005A0C95"/>
    <w:rsid w:val="005A11C7"/>
    <w:rsid w:val="005A2BBF"/>
    <w:rsid w:val="005A3339"/>
    <w:rsid w:val="005A4294"/>
    <w:rsid w:val="005A44DE"/>
    <w:rsid w:val="005A4F16"/>
    <w:rsid w:val="005A6571"/>
    <w:rsid w:val="005A69DA"/>
    <w:rsid w:val="005B12D7"/>
    <w:rsid w:val="005B145E"/>
    <w:rsid w:val="005B2826"/>
    <w:rsid w:val="005B41B9"/>
    <w:rsid w:val="005B523F"/>
    <w:rsid w:val="005B55C8"/>
    <w:rsid w:val="005B5DD5"/>
    <w:rsid w:val="005B5E5E"/>
    <w:rsid w:val="005B6044"/>
    <w:rsid w:val="005B615F"/>
    <w:rsid w:val="005B6EB2"/>
    <w:rsid w:val="005C05AB"/>
    <w:rsid w:val="005C148E"/>
    <w:rsid w:val="005C2150"/>
    <w:rsid w:val="005C2A3E"/>
    <w:rsid w:val="005C2A62"/>
    <w:rsid w:val="005C31D4"/>
    <w:rsid w:val="005C35C2"/>
    <w:rsid w:val="005C393F"/>
    <w:rsid w:val="005C6108"/>
    <w:rsid w:val="005C6F95"/>
    <w:rsid w:val="005C7E6A"/>
    <w:rsid w:val="005C7EDE"/>
    <w:rsid w:val="005D0150"/>
    <w:rsid w:val="005D1397"/>
    <w:rsid w:val="005D185F"/>
    <w:rsid w:val="005D1F01"/>
    <w:rsid w:val="005D35BD"/>
    <w:rsid w:val="005D4002"/>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E771B"/>
    <w:rsid w:val="005F1139"/>
    <w:rsid w:val="005F1174"/>
    <w:rsid w:val="005F1CFA"/>
    <w:rsid w:val="005F2BA2"/>
    <w:rsid w:val="005F3E4E"/>
    <w:rsid w:val="005F5ED8"/>
    <w:rsid w:val="005F6E8E"/>
    <w:rsid w:val="00600919"/>
    <w:rsid w:val="00600D6C"/>
    <w:rsid w:val="00601EC5"/>
    <w:rsid w:val="006022CC"/>
    <w:rsid w:val="00602F7B"/>
    <w:rsid w:val="00603096"/>
    <w:rsid w:val="00603A8E"/>
    <w:rsid w:val="00603BE8"/>
    <w:rsid w:val="00603CC5"/>
    <w:rsid w:val="00603CEE"/>
    <w:rsid w:val="00603F2F"/>
    <w:rsid w:val="00604CBD"/>
    <w:rsid w:val="00605CFC"/>
    <w:rsid w:val="006060B3"/>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27D71"/>
    <w:rsid w:val="00630464"/>
    <w:rsid w:val="006315EC"/>
    <w:rsid w:val="006317AB"/>
    <w:rsid w:val="00633556"/>
    <w:rsid w:val="006337EA"/>
    <w:rsid w:val="006342CF"/>
    <w:rsid w:val="00634F3C"/>
    <w:rsid w:val="006350EA"/>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284F"/>
    <w:rsid w:val="00663649"/>
    <w:rsid w:val="00663D03"/>
    <w:rsid w:val="00663E15"/>
    <w:rsid w:val="00664005"/>
    <w:rsid w:val="00664ADE"/>
    <w:rsid w:val="00664E91"/>
    <w:rsid w:val="00665138"/>
    <w:rsid w:val="00665C57"/>
    <w:rsid w:val="00666ECB"/>
    <w:rsid w:val="006670E5"/>
    <w:rsid w:val="006675C7"/>
    <w:rsid w:val="006676DE"/>
    <w:rsid w:val="00671140"/>
    <w:rsid w:val="00671891"/>
    <w:rsid w:val="00674814"/>
    <w:rsid w:val="00674C80"/>
    <w:rsid w:val="006757E2"/>
    <w:rsid w:val="006758A9"/>
    <w:rsid w:val="00675C87"/>
    <w:rsid w:val="00676E51"/>
    <w:rsid w:val="00677CDD"/>
    <w:rsid w:val="0068009C"/>
    <w:rsid w:val="00680458"/>
    <w:rsid w:val="006806DC"/>
    <w:rsid w:val="0068081C"/>
    <w:rsid w:val="00680FB9"/>
    <w:rsid w:val="00681039"/>
    <w:rsid w:val="00681E32"/>
    <w:rsid w:val="00683116"/>
    <w:rsid w:val="00683300"/>
    <w:rsid w:val="00683A16"/>
    <w:rsid w:val="00684460"/>
    <w:rsid w:val="00685499"/>
    <w:rsid w:val="006856D7"/>
    <w:rsid w:val="00686264"/>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2FF"/>
    <w:rsid w:val="006A3784"/>
    <w:rsid w:val="006A5F8A"/>
    <w:rsid w:val="006A678D"/>
    <w:rsid w:val="006A709C"/>
    <w:rsid w:val="006B05EC"/>
    <w:rsid w:val="006B07D6"/>
    <w:rsid w:val="006B1762"/>
    <w:rsid w:val="006B1D72"/>
    <w:rsid w:val="006B227B"/>
    <w:rsid w:val="006B2573"/>
    <w:rsid w:val="006B25FA"/>
    <w:rsid w:val="006B27B6"/>
    <w:rsid w:val="006B2F9B"/>
    <w:rsid w:val="006B45BF"/>
    <w:rsid w:val="006B4B1E"/>
    <w:rsid w:val="006B6800"/>
    <w:rsid w:val="006C0C10"/>
    <w:rsid w:val="006C0FBC"/>
    <w:rsid w:val="006C216D"/>
    <w:rsid w:val="006C2393"/>
    <w:rsid w:val="006C24BE"/>
    <w:rsid w:val="006C26C5"/>
    <w:rsid w:val="006C4AAE"/>
    <w:rsid w:val="006C528C"/>
    <w:rsid w:val="006C5293"/>
    <w:rsid w:val="006C5312"/>
    <w:rsid w:val="006C71CE"/>
    <w:rsid w:val="006C7516"/>
    <w:rsid w:val="006D0885"/>
    <w:rsid w:val="006D1125"/>
    <w:rsid w:val="006D12B2"/>
    <w:rsid w:val="006D1793"/>
    <w:rsid w:val="006D1D37"/>
    <w:rsid w:val="006D37A2"/>
    <w:rsid w:val="006D382A"/>
    <w:rsid w:val="006D3C20"/>
    <w:rsid w:val="006D49BC"/>
    <w:rsid w:val="006D4BF8"/>
    <w:rsid w:val="006D4E2E"/>
    <w:rsid w:val="006D537F"/>
    <w:rsid w:val="006D53AA"/>
    <w:rsid w:val="006D5DDF"/>
    <w:rsid w:val="006D641B"/>
    <w:rsid w:val="006D64E8"/>
    <w:rsid w:val="006E01D3"/>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181C"/>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7C8"/>
    <w:rsid w:val="00720F65"/>
    <w:rsid w:val="007218DD"/>
    <w:rsid w:val="00722058"/>
    <w:rsid w:val="007223EC"/>
    <w:rsid w:val="00722EA3"/>
    <w:rsid w:val="00723702"/>
    <w:rsid w:val="00723FEE"/>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AE8"/>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0FD9"/>
    <w:rsid w:val="00752AAE"/>
    <w:rsid w:val="00752AFA"/>
    <w:rsid w:val="00753021"/>
    <w:rsid w:val="007533A8"/>
    <w:rsid w:val="00753EE8"/>
    <w:rsid w:val="007543D2"/>
    <w:rsid w:val="007551AC"/>
    <w:rsid w:val="00755415"/>
    <w:rsid w:val="00755547"/>
    <w:rsid w:val="0075568B"/>
    <w:rsid w:val="00755886"/>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CC2"/>
    <w:rsid w:val="00770F06"/>
    <w:rsid w:val="00771429"/>
    <w:rsid w:val="007726C6"/>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46"/>
    <w:rsid w:val="0079468E"/>
    <w:rsid w:val="00794824"/>
    <w:rsid w:val="00795F6E"/>
    <w:rsid w:val="0079695D"/>
    <w:rsid w:val="007A124F"/>
    <w:rsid w:val="007A2879"/>
    <w:rsid w:val="007A2F6F"/>
    <w:rsid w:val="007A3225"/>
    <w:rsid w:val="007A3C30"/>
    <w:rsid w:val="007A3E45"/>
    <w:rsid w:val="007A4495"/>
    <w:rsid w:val="007A57FF"/>
    <w:rsid w:val="007A5B84"/>
    <w:rsid w:val="007A5FCB"/>
    <w:rsid w:val="007A7DB8"/>
    <w:rsid w:val="007B1689"/>
    <w:rsid w:val="007B16FD"/>
    <w:rsid w:val="007B228C"/>
    <w:rsid w:val="007B2ADF"/>
    <w:rsid w:val="007B30A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1AB"/>
    <w:rsid w:val="007D229A"/>
    <w:rsid w:val="007D30E7"/>
    <w:rsid w:val="007D3245"/>
    <w:rsid w:val="007D3AE5"/>
    <w:rsid w:val="007D43F1"/>
    <w:rsid w:val="007D56F9"/>
    <w:rsid w:val="007D6ABB"/>
    <w:rsid w:val="007D6AE7"/>
    <w:rsid w:val="007E0880"/>
    <w:rsid w:val="007E2AC9"/>
    <w:rsid w:val="007E2CD4"/>
    <w:rsid w:val="007E2D18"/>
    <w:rsid w:val="007E306A"/>
    <w:rsid w:val="007E30A2"/>
    <w:rsid w:val="007E3BD6"/>
    <w:rsid w:val="007E43F1"/>
    <w:rsid w:val="007E47B0"/>
    <w:rsid w:val="007E5C5B"/>
    <w:rsid w:val="007E6BE8"/>
    <w:rsid w:val="007E74F0"/>
    <w:rsid w:val="007E7E53"/>
    <w:rsid w:val="007F0352"/>
    <w:rsid w:val="007F09A3"/>
    <w:rsid w:val="007F0CB1"/>
    <w:rsid w:val="007F0CB4"/>
    <w:rsid w:val="007F18FE"/>
    <w:rsid w:val="007F21C2"/>
    <w:rsid w:val="007F27FD"/>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5B3E"/>
    <w:rsid w:val="00806088"/>
    <w:rsid w:val="00806562"/>
    <w:rsid w:val="00806823"/>
    <w:rsid w:val="0080737A"/>
    <w:rsid w:val="00807666"/>
    <w:rsid w:val="00807E5C"/>
    <w:rsid w:val="0081070C"/>
    <w:rsid w:val="00810E94"/>
    <w:rsid w:val="008111F9"/>
    <w:rsid w:val="008112C9"/>
    <w:rsid w:val="008116DB"/>
    <w:rsid w:val="0081198D"/>
    <w:rsid w:val="0081206A"/>
    <w:rsid w:val="008122A9"/>
    <w:rsid w:val="008140C4"/>
    <w:rsid w:val="008145E3"/>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81"/>
    <w:rsid w:val="008239BA"/>
    <w:rsid w:val="00824181"/>
    <w:rsid w:val="0082606C"/>
    <w:rsid w:val="00826117"/>
    <w:rsid w:val="00826681"/>
    <w:rsid w:val="0082695B"/>
    <w:rsid w:val="008271A7"/>
    <w:rsid w:val="00827938"/>
    <w:rsid w:val="00827BC8"/>
    <w:rsid w:val="00827CD3"/>
    <w:rsid w:val="008300C0"/>
    <w:rsid w:val="00831360"/>
    <w:rsid w:val="00832FAC"/>
    <w:rsid w:val="00833576"/>
    <w:rsid w:val="008342DE"/>
    <w:rsid w:val="0083466A"/>
    <w:rsid w:val="008346D5"/>
    <w:rsid w:val="00834A16"/>
    <w:rsid w:val="00834BBC"/>
    <w:rsid w:val="00837AD4"/>
    <w:rsid w:val="00837B9E"/>
    <w:rsid w:val="00837FFC"/>
    <w:rsid w:val="008403AA"/>
    <w:rsid w:val="00840E13"/>
    <w:rsid w:val="00841A17"/>
    <w:rsid w:val="00841BA2"/>
    <w:rsid w:val="008421A8"/>
    <w:rsid w:val="008424E3"/>
    <w:rsid w:val="00842AD2"/>
    <w:rsid w:val="00842BF5"/>
    <w:rsid w:val="00842D18"/>
    <w:rsid w:val="0084385B"/>
    <w:rsid w:val="008452D5"/>
    <w:rsid w:val="0084692A"/>
    <w:rsid w:val="0084728E"/>
    <w:rsid w:val="00850A0F"/>
    <w:rsid w:val="008514A5"/>
    <w:rsid w:val="008529FF"/>
    <w:rsid w:val="00853263"/>
    <w:rsid w:val="00853838"/>
    <w:rsid w:val="00854F09"/>
    <w:rsid w:val="0085532C"/>
    <w:rsid w:val="008553CA"/>
    <w:rsid w:val="00855613"/>
    <w:rsid w:val="008558A3"/>
    <w:rsid w:val="0085652B"/>
    <w:rsid w:val="008579F6"/>
    <w:rsid w:val="00857A0B"/>
    <w:rsid w:val="00860030"/>
    <w:rsid w:val="00860D48"/>
    <w:rsid w:val="00861882"/>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771"/>
    <w:rsid w:val="00876BBE"/>
    <w:rsid w:val="0088005E"/>
    <w:rsid w:val="0088047E"/>
    <w:rsid w:val="008804F7"/>
    <w:rsid w:val="008810E4"/>
    <w:rsid w:val="00881218"/>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0C27"/>
    <w:rsid w:val="008C1400"/>
    <w:rsid w:val="008C24F4"/>
    <w:rsid w:val="008C2762"/>
    <w:rsid w:val="008C41BD"/>
    <w:rsid w:val="008C44D5"/>
    <w:rsid w:val="008C559E"/>
    <w:rsid w:val="008C566D"/>
    <w:rsid w:val="008C5EA3"/>
    <w:rsid w:val="008C65C5"/>
    <w:rsid w:val="008C66A4"/>
    <w:rsid w:val="008C694D"/>
    <w:rsid w:val="008C737C"/>
    <w:rsid w:val="008C773B"/>
    <w:rsid w:val="008D02F5"/>
    <w:rsid w:val="008D0E42"/>
    <w:rsid w:val="008D0F26"/>
    <w:rsid w:val="008D1582"/>
    <w:rsid w:val="008D3577"/>
    <w:rsid w:val="008D4D5C"/>
    <w:rsid w:val="008D7EF5"/>
    <w:rsid w:val="008D7EFF"/>
    <w:rsid w:val="008E0048"/>
    <w:rsid w:val="008E067C"/>
    <w:rsid w:val="008E07CB"/>
    <w:rsid w:val="008E2763"/>
    <w:rsid w:val="008E2BE6"/>
    <w:rsid w:val="008E2EF0"/>
    <w:rsid w:val="008E471E"/>
    <w:rsid w:val="008E4876"/>
    <w:rsid w:val="008E4E1E"/>
    <w:rsid w:val="008E5750"/>
    <w:rsid w:val="008E6920"/>
    <w:rsid w:val="008E737B"/>
    <w:rsid w:val="008E7F95"/>
    <w:rsid w:val="008F06BE"/>
    <w:rsid w:val="008F25A5"/>
    <w:rsid w:val="008F286E"/>
    <w:rsid w:val="008F2BD2"/>
    <w:rsid w:val="008F3440"/>
    <w:rsid w:val="008F3B0B"/>
    <w:rsid w:val="008F3F38"/>
    <w:rsid w:val="008F41F8"/>
    <w:rsid w:val="008F426A"/>
    <w:rsid w:val="008F487E"/>
    <w:rsid w:val="008F501D"/>
    <w:rsid w:val="008F5A84"/>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AB5"/>
    <w:rsid w:val="00943CBD"/>
    <w:rsid w:val="0094400E"/>
    <w:rsid w:val="009447D0"/>
    <w:rsid w:val="00944AC2"/>
    <w:rsid w:val="00947ECA"/>
    <w:rsid w:val="009515AC"/>
    <w:rsid w:val="00951774"/>
    <w:rsid w:val="00951BA9"/>
    <w:rsid w:val="009549CA"/>
    <w:rsid w:val="00955D66"/>
    <w:rsid w:val="00957059"/>
    <w:rsid w:val="0095798C"/>
    <w:rsid w:val="00960A3E"/>
    <w:rsid w:val="00960E5C"/>
    <w:rsid w:val="00960EC7"/>
    <w:rsid w:val="00961BFB"/>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260"/>
    <w:rsid w:val="009A6BB9"/>
    <w:rsid w:val="009A7FCF"/>
    <w:rsid w:val="009B0A9F"/>
    <w:rsid w:val="009B1462"/>
    <w:rsid w:val="009B2C37"/>
    <w:rsid w:val="009B3068"/>
    <w:rsid w:val="009B3844"/>
    <w:rsid w:val="009B499F"/>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582"/>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0766B"/>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9AD"/>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37808"/>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136"/>
    <w:rsid w:val="00A52C6F"/>
    <w:rsid w:val="00A54C43"/>
    <w:rsid w:val="00A5511A"/>
    <w:rsid w:val="00A55258"/>
    <w:rsid w:val="00A5549A"/>
    <w:rsid w:val="00A55B23"/>
    <w:rsid w:val="00A56EFD"/>
    <w:rsid w:val="00A56FF1"/>
    <w:rsid w:val="00A63C8B"/>
    <w:rsid w:val="00A64844"/>
    <w:rsid w:val="00A64BDD"/>
    <w:rsid w:val="00A6680E"/>
    <w:rsid w:val="00A66D30"/>
    <w:rsid w:val="00A66D84"/>
    <w:rsid w:val="00A66FB3"/>
    <w:rsid w:val="00A6746D"/>
    <w:rsid w:val="00A67496"/>
    <w:rsid w:val="00A67D8B"/>
    <w:rsid w:val="00A70730"/>
    <w:rsid w:val="00A708E3"/>
    <w:rsid w:val="00A72035"/>
    <w:rsid w:val="00A72507"/>
    <w:rsid w:val="00A7351F"/>
    <w:rsid w:val="00A73529"/>
    <w:rsid w:val="00A7433E"/>
    <w:rsid w:val="00A75277"/>
    <w:rsid w:val="00A75D91"/>
    <w:rsid w:val="00A76579"/>
    <w:rsid w:val="00A76A6B"/>
    <w:rsid w:val="00A76D4D"/>
    <w:rsid w:val="00A76FB8"/>
    <w:rsid w:val="00A7758F"/>
    <w:rsid w:val="00A77F41"/>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08DA"/>
    <w:rsid w:val="00AA1EA7"/>
    <w:rsid w:val="00AA45A8"/>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C7C16"/>
    <w:rsid w:val="00AD00CD"/>
    <w:rsid w:val="00AD1F27"/>
    <w:rsid w:val="00AD2C1A"/>
    <w:rsid w:val="00AD3D47"/>
    <w:rsid w:val="00AD3F86"/>
    <w:rsid w:val="00AD48CC"/>
    <w:rsid w:val="00AD5282"/>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022"/>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291E"/>
    <w:rsid w:val="00B44243"/>
    <w:rsid w:val="00B45D9A"/>
    <w:rsid w:val="00B47388"/>
    <w:rsid w:val="00B47CFA"/>
    <w:rsid w:val="00B5016D"/>
    <w:rsid w:val="00B503F0"/>
    <w:rsid w:val="00B521D0"/>
    <w:rsid w:val="00B52702"/>
    <w:rsid w:val="00B530CD"/>
    <w:rsid w:val="00B538D3"/>
    <w:rsid w:val="00B54816"/>
    <w:rsid w:val="00B550D4"/>
    <w:rsid w:val="00B55228"/>
    <w:rsid w:val="00B5614C"/>
    <w:rsid w:val="00B56C03"/>
    <w:rsid w:val="00B57B93"/>
    <w:rsid w:val="00B60E73"/>
    <w:rsid w:val="00B60EF1"/>
    <w:rsid w:val="00B61A1F"/>
    <w:rsid w:val="00B6212A"/>
    <w:rsid w:val="00B62E01"/>
    <w:rsid w:val="00B62EEE"/>
    <w:rsid w:val="00B63DF1"/>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3750"/>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80E"/>
    <w:rsid w:val="00BA4BB0"/>
    <w:rsid w:val="00BA4BBF"/>
    <w:rsid w:val="00BA4BE0"/>
    <w:rsid w:val="00BA4E8B"/>
    <w:rsid w:val="00BA5727"/>
    <w:rsid w:val="00BA5735"/>
    <w:rsid w:val="00BA5845"/>
    <w:rsid w:val="00BA6961"/>
    <w:rsid w:val="00BA6D51"/>
    <w:rsid w:val="00BA7EC0"/>
    <w:rsid w:val="00BB09B8"/>
    <w:rsid w:val="00BB1212"/>
    <w:rsid w:val="00BB3054"/>
    <w:rsid w:val="00BB32EA"/>
    <w:rsid w:val="00BB489A"/>
    <w:rsid w:val="00BB508C"/>
    <w:rsid w:val="00BB51E8"/>
    <w:rsid w:val="00BB51F6"/>
    <w:rsid w:val="00BB583A"/>
    <w:rsid w:val="00BB5ADB"/>
    <w:rsid w:val="00BB6C53"/>
    <w:rsid w:val="00BB7CD1"/>
    <w:rsid w:val="00BC0A6C"/>
    <w:rsid w:val="00BC0CEB"/>
    <w:rsid w:val="00BC15C1"/>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E7E93"/>
    <w:rsid w:val="00BF075D"/>
    <w:rsid w:val="00BF0925"/>
    <w:rsid w:val="00BF1102"/>
    <w:rsid w:val="00BF21FE"/>
    <w:rsid w:val="00BF2731"/>
    <w:rsid w:val="00BF2DD1"/>
    <w:rsid w:val="00BF3140"/>
    <w:rsid w:val="00BF3933"/>
    <w:rsid w:val="00BF3F62"/>
    <w:rsid w:val="00BF502C"/>
    <w:rsid w:val="00BF5E5E"/>
    <w:rsid w:val="00BF61D4"/>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8F4"/>
    <w:rsid w:val="00C07BB4"/>
    <w:rsid w:val="00C1108B"/>
    <w:rsid w:val="00C118DE"/>
    <w:rsid w:val="00C11A41"/>
    <w:rsid w:val="00C11AE3"/>
    <w:rsid w:val="00C14BD2"/>
    <w:rsid w:val="00C16337"/>
    <w:rsid w:val="00C1640C"/>
    <w:rsid w:val="00C16CDA"/>
    <w:rsid w:val="00C178EC"/>
    <w:rsid w:val="00C17A8C"/>
    <w:rsid w:val="00C20D9F"/>
    <w:rsid w:val="00C21788"/>
    <w:rsid w:val="00C22517"/>
    <w:rsid w:val="00C2278D"/>
    <w:rsid w:val="00C264E5"/>
    <w:rsid w:val="00C26F71"/>
    <w:rsid w:val="00C274B7"/>
    <w:rsid w:val="00C27678"/>
    <w:rsid w:val="00C27D63"/>
    <w:rsid w:val="00C30A2C"/>
    <w:rsid w:val="00C30EF9"/>
    <w:rsid w:val="00C31503"/>
    <w:rsid w:val="00C3172C"/>
    <w:rsid w:val="00C31AE5"/>
    <w:rsid w:val="00C32A3A"/>
    <w:rsid w:val="00C33045"/>
    <w:rsid w:val="00C346C3"/>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4DA"/>
    <w:rsid w:val="00C57AA0"/>
    <w:rsid w:val="00C6079D"/>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393"/>
    <w:rsid w:val="00C7284F"/>
    <w:rsid w:val="00C731BF"/>
    <w:rsid w:val="00C73352"/>
    <w:rsid w:val="00C73530"/>
    <w:rsid w:val="00C73C4C"/>
    <w:rsid w:val="00C748A2"/>
    <w:rsid w:val="00C7528F"/>
    <w:rsid w:val="00C76139"/>
    <w:rsid w:val="00C76183"/>
    <w:rsid w:val="00C765B8"/>
    <w:rsid w:val="00C76968"/>
    <w:rsid w:val="00C76A1A"/>
    <w:rsid w:val="00C76C2F"/>
    <w:rsid w:val="00C77B51"/>
    <w:rsid w:val="00C8002D"/>
    <w:rsid w:val="00C80313"/>
    <w:rsid w:val="00C80713"/>
    <w:rsid w:val="00C8144A"/>
    <w:rsid w:val="00C8219D"/>
    <w:rsid w:val="00C83693"/>
    <w:rsid w:val="00C83F19"/>
    <w:rsid w:val="00C84599"/>
    <w:rsid w:val="00C85742"/>
    <w:rsid w:val="00C867D2"/>
    <w:rsid w:val="00C86CC5"/>
    <w:rsid w:val="00C87413"/>
    <w:rsid w:val="00C87C76"/>
    <w:rsid w:val="00C90DA2"/>
    <w:rsid w:val="00C9119F"/>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07C"/>
    <w:rsid w:val="00CA563C"/>
    <w:rsid w:val="00CA5A2A"/>
    <w:rsid w:val="00CA5C53"/>
    <w:rsid w:val="00CA5FF0"/>
    <w:rsid w:val="00CA640F"/>
    <w:rsid w:val="00CA6ACF"/>
    <w:rsid w:val="00CA6CD6"/>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5086"/>
    <w:rsid w:val="00CC727A"/>
    <w:rsid w:val="00CC776A"/>
    <w:rsid w:val="00CC7CE8"/>
    <w:rsid w:val="00CD0425"/>
    <w:rsid w:val="00CD0A20"/>
    <w:rsid w:val="00CD0E0B"/>
    <w:rsid w:val="00CD150B"/>
    <w:rsid w:val="00CD2112"/>
    <w:rsid w:val="00CD2AF7"/>
    <w:rsid w:val="00CD2D9B"/>
    <w:rsid w:val="00CD3209"/>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16BF"/>
    <w:rsid w:val="00D03440"/>
    <w:rsid w:val="00D035C9"/>
    <w:rsid w:val="00D03EE9"/>
    <w:rsid w:val="00D04F03"/>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345D"/>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605"/>
    <w:rsid w:val="00D46CA8"/>
    <w:rsid w:val="00D46E8C"/>
    <w:rsid w:val="00D47193"/>
    <w:rsid w:val="00D47711"/>
    <w:rsid w:val="00D47798"/>
    <w:rsid w:val="00D47C8E"/>
    <w:rsid w:val="00D5022D"/>
    <w:rsid w:val="00D50708"/>
    <w:rsid w:val="00D5140C"/>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939"/>
    <w:rsid w:val="00D80D7E"/>
    <w:rsid w:val="00D80E8C"/>
    <w:rsid w:val="00D8121D"/>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C85"/>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D7FE1"/>
    <w:rsid w:val="00DE0E60"/>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B74"/>
    <w:rsid w:val="00E10DB4"/>
    <w:rsid w:val="00E110F8"/>
    <w:rsid w:val="00E112D2"/>
    <w:rsid w:val="00E1249F"/>
    <w:rsid w:val="00E1282C"/>
    <w:rsid w:val="00E1320D"/>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854"/>
    <w:rsid w:val="00E25CDB"/>
    <w:rsid w:val="00E2606E"/>
    <w:rsid w:val="00E2625F"/>
    <w:rsid w:val="00E2655B"/>
    <w:rsid w:val="00E2776C"/>
    <w:rsid w:val="00E30243"/>
    <w:rsid w:val="00E3156A"/>
    <w:rsid w:val="00E31FE1"/>
    <w:rsid w:val="00E325B2"/>
    <w:rsid w:val="00E32935"/>
    <w:rsid w:val="00E33414"/>
    <w:rsid w:val="00E34361"/>
    <w:rsid w:val="00E3447E"/>
    <w:rsid w:val="00E34B1D"/>
    <w:rsid w:val="00E3727F"/>
    <w:rsid w:val="00E404BC"/>
    <w:rsid w:val="00E4080D"/>
    <w:rsid w:val="00E42898"/>
    <w:rsid w:val="00E42B0E"/>
    <w:rsid w:val="00E430C5"/>
    <w:rsid w:val="00E433E5"/>
    <w:rsid w:val="00E43F88"/>
    <w:rsid w:val="00E443E8"/>
    <w:rsid w:val="00E446D6"/>
    <w:rsid w:val="00E44846"/>
    <w:rsid w:val="00E4511B"/>
    <w:rsid w:val="00E45C47"/>
    <w:rsid w:val="00E46152"/>
    <w:rsid w:val="00E46AE1"/>
    <w:rsid w:val="00E46C67"/>
    <w:rsid w:val="00E4711F"/>
    <w:rsid w:val="00E47FEB"/>
    <w:rsid w:val="00E505B1"/>
    <w:rsid w:val="00E5127F"/>
    <w:rsid w:val="00E520E4"/>
    <w:rsid w:val="00E53027"/>
    <w:rsid w:val="00E531C2"/>
    <w:rsid w:val="00E538FC"/>
    <w:rsid w:val="00E54F86"/>
    <w:rsid w:val="00E56E09"/>
    <w:rsid w:val="00E57AB5"/>
    <w:rsid w:val="00E6036F"/>
    <w:rsid w:val="00E6039D"/>
    <w:rsid w:val="00E6064C"/>
    <w:rsid w:val="00E61726"/>
    <w:rsid w:val="00E61F60"/>
    <w:rsid w:val="00E62856"/>
    <w:rsid w:val="00E62EFC"/>
    <w:rsid w:val="00E63394"/>
    <w:rsid w:val="00E642B7"/>
    <w:rsid w:val="00E65113"/>
    <w:rsid w:val="00E66136"/>
    <w:rsid w:val="00E67AAE"/>
    <w:rsid w:val="00E70161"/>
    <w:rsid w:val="00E71225"/>
    <w:rsid w:val="00E715A0"/>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4EC7"/>
    <w:rsid w:val="00E956AE"/>
    <w:rsid w:val="00E9616E"/>
    <w:rsid w:val="00E9625A"/>
    <w:rsid w:val="00E963B6"/>
    <w:rsid w:val="00E975B2"/>
    <w:rsid w:val="00E97C2E"/>
    <w:rsid w:val="00E97CC4"/>
    <w:rsid w:val="00EA0973"/>
    <w:rsid w:val="00EA0C3C"/>
    <w:rsid w:val="00EA1598"/>
    <w:rsid w:val="00EA1BBF"/>
    <w:rsid w:val="00EA2B9D"/>
    <w:rsid w:val="00EA2E1C"/>
    <w:rsid w:val="00EA3469"/>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6C9B"/>
    <w:rsid w:val="00ED705F"/>
    <w:rsid w:val="00ED731D"/>
    <w:rsid w:val="00ED771E"/>
    <w:rsid w:val="00ED7D24"/>
    <w:rsid w:val="00EE1961"/>
    <w:rsid w:val="00EE1CBD"/>
    <w:rsid w:val="00EE274F"/>
    <w:rsid w:val="00EE2A0D"/>
    <w:rsid w:val="00EE334C"/>
    <w:rsid w:val="00EE390E"/>
    <w:rsid w:val="00EE4161"/>
    <w:rsid w:val="00EE431E"/>
    <w:rsid w:val="00EE59E5"/>
    <w:rsid w:val="00EE6DC5"/>
    <w:rsid w:val="00EE74FA"/>
    <w:rsid w:val="00EF02FF"/>
    <w:rsid w:val="00EF0BA5"/>
    <w:rsid w:val="00EF13C5"/>
    <w:rsid w:val="00EF1EE0"/>
    <w:rsid w:val="00EF231C"/>
    <w:rsid w:val="00EF29BE"/>
    <w:rsid w:val="00EF366B"/>
    <w:rsid w:val="00EF3A96"/>
    <w:rsid w:val="00EF4469"/>
    <w:rsid w:val="00EF5985"/>
    <w:rsid w:val="00EF5F20"/>
    <w:rsid w:val="00EF7352"/>
    <w:rsid w:val="00F0054E"/>
    <w:rsid w:val="00F01162"/>
    <w:rsid w:val="00F065D7"/>
    <w:rsid w:val="00F0675C"/>
    <w:rsid w:val="00F0680F"/>
    <w:rsid w:val="00F06A13"/>
    <w:rsid w:val="00F07735"/>
    <w:rsid w:val="00F07FEC"/>
    <w:rsid w:val="00F10579"/>
    <w:rsid w:val="00F124BA"/>
    <w:rsid w:val="00F12A0B"/>
    <w:rsid w:val="00F12EC9"/>
    <w:rsid w:val="00F13182"/>
    <w:rsid w:val="00F13529"/>
    <w:rsid w:val="00F13DAD"/>
    <w:rsid w:val="00F14878"/>
    <w:rsid w:val="00F14FAC"/>
    <w:rsid w:val="00F1561D"/>
    <w:rsid w:val="00F15ABF"/>
    <w:rsid w:val="00F15D53"/>
    <w:rsid w:val="00F16AE3"/>
    <w:rsid w:val="00F17627"/>
    <w:rsid w:val="00F20C2A"/>
    <w:rsid w:val="00F21E55"/>
    <w:rsid w:val="00F22452"/>
    <w:rsid w:val="00F23868"/>
    <w:rsid w:val="00F23F4B"/>
    <w:rsid w:val="00F241BC"/>
    <w:rsid w:val="00F25550"/>
    <w:rsid w:val="00F25902"/>
    <w:rsid w:val="00F25F4A"/>
    <w:rsid w:val="00F2625E"/>
    <w:rsid w:val="00F263BA"/>
    <w:rsid w:val="00F26FAF"/>
    <w:rsid w:val="00F271DD"/>
    <w:rsid w:val="00F3027B"/>
    <w:rsid w:val="00F30BC1"/>
    <w:rsid w:val="00F31D4E"/>
    <w:rsid w:val="00F3285D"/>
    <w:rsid w:val="00F33904"/>
    <w:rsid w:val="00F35275"/>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0ABE"/>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094"/>
    <w:rsid w:val="00F76FB0"/>
    <w:rsid w:val="00F7709C"/>
    <w:rsid w:val="00F7785A"/>
    <w:rsid w:val="00F8003B"/>
    <w:rsid w:val="00F80948"/>
    <w:rsid w:val="00F80BBB"/>
    <w:rsid w:val="00F813BF"/>
    <w:rsid w:val="00F81DFB"/>
    <w:rsid w:val="00F8223C"/>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25CA"/>
    <w:rsid w:val="00FA328D"/>
    <w:rsid w:val="00FA4D1B"/>
    <w:rsid w:val="00FA5F71"/>
    <w:rsid w:val="00FA6335"/>
    <w:rsid w:val="00FA6CA4"/>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6B"/>
    <w:rsid w:val="00FC5B92"/>
    <w:rsid w:val="00FC60E4"/>
    <w:rsid w:val="00FC7A9A"/>
    <w:rsid w:val="00FD0385"/>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character" w:customStyle="1" w:styleId="UnresolvedMention">
    <w:name w:val="Unresolved Mention"/>
    <w:basedOn w:val="DefaultParagraphFont"/>
    <w:uiPriority w:val="99"/>
    <w:semiHidden/>
    <w:unhideWhenUsed/>
    <w:rsid w:val="006A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81730946">
      <w:bodyDiv w:val="1"/>
      <w:marLeft w:val="0"/>
      <w:marRight w:val="0"/>
      <w:marTop w:val="0"/>
      <w:marBottom w:val="0"/>
      <w:divBdr>
        <w:top w:val="none" w:sz="0" w:space="0" w:color="auto"/>
        <w:left w:val="none" w:sz="0" w:space="0" w:color="auto"/>
        <w:bottom w:val="none" w:sz="0" w:space="0" w:color="auto"/>
        <w:right w:val="none" w:sz="0" w:space="0" w:color="auto"/>
      </w:divBdr>
    </w:div>
    <w:div w:id="128284303">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13312066">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5390602">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0174646">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ndrew.burns\AppData\Local\Microsoft\Windows\INetCache\Content.Outlook\5SD4XE3R\beth.schlein@nass.usda.gov" TargetMode="External"/><Relationship Id="rId18" Type="http://schemas.openxmlformats.org/officeDocument/2006/relationships/hyperlink" Target="mailto:Amcfromnyc@gmail.com" TargetMode="External"/><Relationship Id="rId26" Type="http://schemas.openxmlformats.org/officeDocument/2006/relationships/hyperlink" Target="https://www.bls.gov/oes/current/naics4_999200.htm" TargetMode="External"/><Relationship Id="rId3" Type="http://schemas.openxmlformats.org/officeDocument/2006/relationships/customXml" Target="../customXml/item3.xml"/><Relationship Id="rId21" Type="http://schemas.openxmlformats.org/officeDocument/2006/relationships/hyperlink" Target="mailto:jtownley@2mresearch.com" TargetMode="External"/><Relationship Id="rId7" Type="http://schemas.openxmlformats.org/officeDocument/2006/relationships/settings" Target="settings.xml"/><Relationship Id="rId12" Type="http://schemas.openxmlformats.org/officeDocument/2006/relationships/hyperlink" Target="http://www.fns.usda.gov/ops/research-and-analysis" TargetMode="External"/><Relationship Id="rId17" Type="http://schemas.openxmlformats.org/officeDocument/2006/relationships/hyperlink" Target="mailto:allison.davis@doh.nj.gov" TargetMode="External"/><Relationship Id="rId25" Type="http://schemas.openxmlformats.org/officeDocument/2006/relationships/hyperlink" Target="https://www.bls.gov/oes/2018/may/naics4_999200.htm" TargetMode="External"/><Relationship Id="rId2" Type="http://schemas.openxmlformats.org/officeDocument/2006/relationships/customXml" Target="../customXml/item2.xml"/><Relationship Id="rId16" Type="http://schemas.openxmlformats.org/officeDocument/2006/relationships/hyperlink" Target="file:///C:\Users\andrew.burns\AppData\Local\Microsoft\Windows\INetCache\Content.Outlook\5SD4XE3R\Michael.r.isaac@dshoha.state.or.us" TargetMode="External"/><Relationship Id="rId20" Type="http://schemas.openxmlformats.org/officeDocument/2006/relationships/hyperlink" Target="mailto:sgarasky@2mresearch.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andrew.burns\AppData\Local\Microsoft\Windows\INetCache\Content.Outlook\5SD4XE3R\Maurice.walker@dshoha.state.or.us" TargetMode="External"/><Relationship Id="rId23" Type="http://schemas.openxmlformats.org/officeDocument/2006/relationships/header" Target="header2.xml"/><Relationship Id="rId28" Type="http://schemas.openxmlformats.org/officeDocument/2006/relationships/hyperlink" Target="https://www.bls.gov/oes/current/oes113021.htm" TargetMode="External"/><Relationship Id="rId10" Type="http://schemas.openxmlformats.org/officeDocument/2006/relationships/endnotes" Target="endnotes.xml"/><Relationship Id="rId19" Type="http://schemas.openxmlformats.org/officeDocument/2006/relationships/hyperlink" Target="mailto:nbeyler@2mresearch.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olsbycl@gmail.com" TargetMode="External"/><Relationship Id="rId22" Type="http://schemas.openxmlformats.org/officeDocument/2006/relationships/footer" Target="footer1.xml"/><Relationship Id="rId27" Type="http://schemas.openxmlformats.org/officeDocument/2006/relationships/hyperlink" Target="https://www.bls.gov/oes/current/naics4_999200.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7B19F64D-74B3-41D5-BBAE-BF85FF73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Roman.dotx</Template>
  <TotalTime>1</TotalTime>
  <Pages>22</Pages>
  <Words>6700</Words>
  <Characters>38193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44804</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dc:subject>
  <dc:creator>Andrés Romualdo, MA</dc:creator>
  <cp:keywords/>
  <dc:description/>
  <cp:lastModifiedBy>Franklin, Jamia - FNS</cp:lastModifiedBy>
  <cp:revision>2</cp:revision>
  <dcterms:created xsi:type="dcterms:W3CDTF">2020-11-13T20:48:00Z</dcterms:created>
  <dcterms:modified xsi:type="dcterms:W3CDTF">2020-11-13T20:48:00Z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