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00" w:rsidP="00C35200" w:rsidRDefault="00927565">
      <w:pPr>
        <w:pStyle w:val="TT-TableTitle"/>
      </w:pPr>
      <w:bookmarkStart w:name="_Toc4169513" w:id="0"/>
      <w:r>
        <w:t>Appendix A</w:t>
      </w:r>
      <w:r w:rsidR="00E5282C">
        <w:t>3</w:t>
      </w:r>
      <w:bookmarkStart w:name="_GoBack" w:id="1"/>
      <w:bookmarkEnd w:id="1"/>
      <w:r w:rsidR="00C35200">
        <w:t>.</w:t>
      </w:r>
      <w:r w:rsidR="00C35200">
        <w:tab/>
      </w:r>
      <w:r>
        <w:t xml:space="preserve">WIC NATS Objectives and </w:t>
      </w:r>
      <w:r w:rsidR="00C35200">
        <w:t>Research Questions</w:t>
      </w:r>
      <w:bookmarkEnd w:id="0"/>
    </w:p>
    <w:tbl>
      <w:tblPr>
        <w:tblStyle w:val="TableGrid3"/>
        <w:tblW w:w="0" w:type="auto"/>
        <w:tblInd w:w="9" w:type="dxa"/>
        <w:tblLook w:val="04A0" w:firstRow="1" w:lastRow="0" w:firstColumn="1" w:lastColumn="0" w:noHBand="0" w:noVBand="1"/>
      </w:tblPr>
      <w:tblGrid>
        <w:gridCol w:w="9341"/>
      </w:tblGrid>
      <w:tr w:rsidRPr="00C10B49" w:rsidR="00C35200" w:rsidTr="007647CB">
        <w:tc>
          <w:tcPr>
            <w:tcW w:w="9341" w:type="dxa"/>
            <w:tcBorders>
              <w:left w:val="nil"/>
              <w:right w:val="nil"/>
            </w:tcBorders>
            <w:shd w:val="clear" w:color="auto" w:fill="6DA650"/>
            <w:vAlign w:val="center"/>
          </w:tcPr>
          <w:p w:rsidRPr="00542FBD" w:rsidR="00C35200" w:rsidP="007647CB" w:rsidRDefault="00C35200">
            <w:pPr>
              <w:spacing w:line="240" w:lineRule="auto"/>
              <w:rPr>
                <w:rFonts w:ascii="Franklin Gothic Medium" w:hAnsi="Franklin Gothic Medium"/>
                <w:color w:val="FFFFFF" w:themeColor="background1"/>
                <w:sz w:val="20"/>
              </w:rPr>
            </w:pPr>
            <w:r w:rsidRPr="00542FBD">
              <w:rPr>
                <w:rFonts w:ascii="Franklin Gothic Medium" w:hAnsi="Franklin Gothic Medium"/>
                <w:color w:val="FFFFFF" w:themeColor="background1"/>
                <w:sz w:val="20"/>
              </w:rPr>
              <w:t xml:space="preserve">Objective 1. Provide in-depth descriptive information on how a large, diverse sample of local WIC agencies perform the WIC nutrition risk assessment. Describe the nutrition risk assessment process (e.g., participant completes a nutrition/health assessment questionnaire, blood and anthropometric measurements are taken, etc.) as carried out in practice in a variety of WIC clinics. Gather detailed information on staff and client experiences associated with nutrition risk assessment. </w:t>
            </w:r>
          </w:p>
        </w:tc>
      </w:tr>
      <w:tr w:rsidRPr="00C10B49" w:rsidR="00C35200" w:rsidTr="007647CB">
        <w:tc>
          <w:tcPr>
            <w:tcW w:w="9341" w:type="dxa"/>
            <w:tcBorders>
              <w:left w:val="nil"/>
              <w:bottom w:val="single" w:color="auto" w:sz="4" w:space="0"/>
              <w:right w:val="nil"/>
            </w:tcBorders>
            <w:shd w:val="clear" w:color="auto" w:fill="DFECD8"/>
            <w:vAlign w:val="center"/>
          </w:tcPr>
          <w:p w:rsidRPr="00542FBD" w:rsidR="00C35200" w:rsidP="007647CB" w:rsidRDefault="00C35200">
            <w:pPr>
              <w:keepNext/>
              <w:keepLines/>
              <w:spacing w:line="240" w:lineRule="auto"/>
              <w:outlineLvl w:val="3"/>
              <w:rPr>
                <w:rFonts w:ascii="Franklin Gothic Medium" w:hAnsi="Franklin Gothic Medium"/>
                <w:bCs/>
                <w:i/>
                <w:iCs/>
                <w:color w:val="14487C"/>
                <w:sz w:val="20"/>
              </w:rPr>
            </w:pPr>
            <w:r w:rsidRPr="00542FBD">
              <w:rPr>
                <w:rFonts w:ascii="Franklin Gothic Medium" w:hAnsi="Franklin Gothic Medium"/>
                <w:bCs/>
                <w:i/>
                <w:iCs/>
                <w:color w:val="14487C"/>
                <w:sz w:val="20"/>
              </w:rPr>
              <w:t xml:space="preserve">Processes, Protocols, and Staff Training </w:t>
            </w:r>
          </w:p>
        </w:tc>
      </w:tr>
      <w:tr w:rsidRPr="005F5ACE" w:rsidR="00C35200" w:rsidTr="007647CB">
        <w:tc>
          <w:tcPr>
            <w:tcW w:w="9341" w:type="dxa"/>
            <w:tcBorders>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are the local agency nutrition risk assessment protocols? Describe the standard protocols as delineated in documentation and as observed in practice.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Which staff members typically perform nutrition risk assessment in local agencies? Does this vary by local agency characteristics?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do staff determine and document applicable nutrition risk criteria?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1"/>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Are all allowable nutrition risk criteria considered during the nutrition assessment?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1"/>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do staff ensure a comprehensive assessment is completed?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1"/>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During the nutrition assessment, how do staff clarify when relevant information from the participant is not clear?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To what extent is referral information from health care providers used in determining nutrition risk? What type of referral information is used?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training do staff receive related to carrying out the nutrition assessment, and how often is this training delivered (i.e., are there refresher trainings)?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Prior to the certification visit, what forms or information (e.g., nutrition assessment questionnaires, diet histories, etc.) does the participant provide to inform the nutrition assessment? What, if any, information does the site staff access prior to the certification visit? Prior to conducting the certification, if WIC staff provide participants with forms or surveys to complete at home or while in the participant waiting area, how long does it take for the participant and/or staff to complete this pre-visit information?  </w:t>
            </w:r>
          </w:p>
        </w:tc>
      </w:tr>
      <w:tr w:rsidRPr="005F5ACE" w:rsidR="00C35200" w:rsidTr="007647CB">
        <w:tc>
          <w:tcPr>
            <w:tcW w:w="9341" w:type="dxa"/>
            <w:tcBorders>
              <w:top w:val="nil"/>
              <w:left w:val="nil"/>
              <w:bottom w:val="single" w:color="auto" w:sz="4" w:space="0"/>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do local agencies ensure that the nutrition risk assessment is conducted in a culturally appropriate manner (e.g., in the participant’s spoken language, etc.)?  </w:t>
            </w:r>
          </w:p>
        </w:tc>
      </w:tr>
      <w:tr w:rsidRPr="00C10B49" w:rsidR="00C35200" w:rsidTr="007647CB">
        <w:tc>
          <w:tcPr>
            <w:tcW w:w="9341" w:type="dxa"/>
            <w:tcBorders>
              <w:left w:val="nil"/>
              <w:bottom w:val="single" w:color="auto" w:sz="4" w:space="0"/>
              <w:right w:val="nil"/>
            </w:tcBorders>
            <w:shd w:val="clear" w:color="auto" w:fill="DFECD8"/>
            <w:vAlign w:val="center"/>
          </w:tcPr>
          <w:p w:rsidRPr="00542FBD" w:rsidR="00C35200" w:rsidP="007647CB" w:rsidRDefault="00C35200">
            <w:pPr>
              <w:keepNext/>
              <w:keepLines/>
              <w:spacing w:line="240" w:lineRule="auto"/>
              <w:outlineLvl w:val="3"/>
              <w:rPr>
                <w:rFonts w:ascii="Franklin Gothic Medium" w:hAnsi="Franklin Gothic Medium"/>
                <w:bCs/>
                <w:i/>
                <w:iCs/>
                <w:color w:val="14487C"/>
                <w:sz w:val="20"/>
              </w:rPr>
            </w:pPr>
            <w:r w:rsidRPr="00542FBD">
              <w:rPr>
                <w:rFonts w:ascii="Franklin Gothic Medium" w:hAnsi="Franklin Gothic Medium"/>
                <w:bCs/>
                <w:i/>
                <w:iCs/>
                <w:color w:val="14487C"/>
                <w:sz w:val="20"/>
              </w:rPr>
              <w:t xml:space="preserve">Integration of Technology and Tools </w:t>
            </w:r>
          </w:p>
        </w:tc>
      </w:tr>
      <w:tr w:rsidRPr="005F5ACE" w:rsidR="00C35200" w:rsidTr="007647CB">
        <w:tc>
          <w:tcPr>
            <w:tcW w:w="9341" w:type="dxa"/>
            <w:tcBorders>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tools (nutrition/health questionnaire, review of medical information, diet history, etc.) are used when performing the nutrition assessment? (The Contractor shall collect and collate tools that are used.) </w:t>
            </w:r>
          </w:p>
        </w:tc>
      </w:tr>
      <w:tr w:rsidRPr="005F5ACE" w:rsidR="00C35200" w:rsidTr="007647CB">
        <w:tc>
          <w:tcPr>
            <w:tcW w:w="9341" w:type="dxa"/>
            <w:tcBorders>
              <w:top w:val="nil"/>
              <w:left w:val="nil"/>
              <w:bottom w:val="single" w:color="auto" w:sz="4" w:space="0"/>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does the WIC Management Information System (MIS) facilitate nutrition assessment and record or store related information? To what extent does the MIS retain information about identified nutrition risks for participants over time? In what ways does it support tracking changes in nutrition risk?  </w:t>
            </w:r>
          </w:p>
        </w:tc>
      </w:tr>
      <w:tr w:rsidRPr="00C10B49" w:rsidR="00C35200" w:rsidTr="007647CB">
        <w:tc>
          <w:tcPr>
            <w:tcW w:w="9341" w:type="dxa"/>
            <w:tcBorders>
              <w:left w:val="nil"/>
              <w:bottom w:val="single" w:color="auto" w:sz="4" w:space="0"/>
              <w:right w:val="nil"/>
            </w:tcBorders>
            <w:shd w:val="clear" w:color="auto" w:fill="DFECD8"/>
            <w:vAlign w:val="center"/>
          </w:tcPr>
          <w:p w:rsidRPr="00542FBD" w:rsidR="00C35200" w:rsidP="007647CB" w:rsidRDefault="00C35200">
            <w:pPr>
              <w:keepNext/>
              <w:keepLines/>
              <w:spacing w:line="240" w:lineRule="auto"/>
              <w:outlineLvl w:val="3"/>
              <w:rPr>
                <w:rFonts w:ascii="Franklin Gothic Medium" w:hAnsi="Franklin Gothic Medium"/>
                <w:bCs/>
                <w:i/>
                <w:iCs/>
                <w:color w:val="14487C"/>
                <w:sz w:val="20"/>
              </w:rPr>
            </w:pPr>
            <w:r w:rsidRPr="00542FBD">
              <w:rPr>
                <w:rFonts w:ascii="Franklin Gothic Medium" w:hAnsi="Franklin Gothic Medium"/>
                <w:bCs/>
                <w:i/>
                <w:iCs/>
                <w:color w:val="14487C"/>
                <w:sz w:val="20"/>
              </w:rPr>
              <w:t xml:space="preserve">Assessments of Breastfeeding and High Risk </w:t>
            </w:r>
          </w:p>
        </w:tc>
      </w:tr>
      <w:tr w:rsidRPr="005F5ACE" w:rsidR="00C35200" w:rsidTr="007647CB">
        <w:tc>
          <w:tcPr>
            <w:tcW w:w="9341" w:type="dxa"/>
            <w:tcBorders>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do staff conduct a breastfeeding assessment? Which staff are responsible for conducting a breastfeeding assessment, and what training do they receive?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do SA or local agencies determine which nutrition risk criteria are considered high risk?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do site staff determine if a participant is high risk? </w:t>
            </w:r>
          </w:p>
        </w:tc>
      </w:tr>
      <w:tr w:rsidRPr="005F5ACE" w:rsidR="00C35200" w:rsidTr="007647CB">
        <w:tc>
          <w:tcPr>
            <w:tcW w:w="9341" w:type="dxa"/>
            <w:tcBorders>
              <w:top w:val="nil"/>
              <w:left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are the protocols for providing nutrition education to high risk participants (e.g., do staff provide an individual care plan? Are participants referred to professional staff?)? </w:t>
            </w:r>
          </w:p>
        </w:tc>
      </w:tr>
    </w:tbl>
    <w:p w:rsidR="00C35200" w:rsidP="00C35200" w:rsidRDefault="00C35200">
      <w:r>
        <w:br w:type="page"/>
      </w:r>
    </w:p>
    <w:p w:rsidR="00C35200" w:rsidP="00C35200" w:rsidRDefault="00C35200">
      <w:pPr>
        <w:pStyle w:val="TT-TableTitle"/>
        <w:spacing w:after="0"/>
      </w:pPr>
      <w:bookmarkStart w:name="_Toc528578374" w:id="2"/>
      <w:bookmarkStart w:name="_Toc3495305" w:id="3"/>
      <w:bookmarkStart w:name="_Toc4169514" w:id="4"/>
      <w:r>
        <w:lastRenderedPageBreak/>
        <w:t>Research Questions (continued)</w:t>
      </w:r>
      <w:bookmarkEnd w:id="2"/>
      <w:bookmarkEnd w:id="3"/>
      <w:bookmarkEnd w:id="4"/>
    </w:p>
    <w:p w:rsidR="00C35200" w:rsidP="00C35200" w:rsidRDefault="00C35200">
      <w:pPr>
        <w:pStyle w:val="L1-FlLSp12"/>
      </w:pPr>
    </w:p>
    <w:tbl>
      <w:tblPr>
        <w:tblStyle w:val="TableGrid3"/>
        <w:tblW w:w="0" w:type="auto"/>
        <w:tblInd w:w="9" w:type="dxa"/>
        <w:tblLook w:val="04A0" w:firstRow="1" w:lastRow="0" w:firstColumn="1" w:lastColumn="0" w:noHBand="0" w:noVBand="1"/>
      </w:tblPr>
      <w:tblGrid>
        <w:gridCol w:w="9341"/>
      </w:tblGrid>
      <w:tr w:rsidRPr="00C10B49" w:rsidR="00C35200" w:rsidTr="007647CB">
        <w:tc>
          <w:tcPr>
            <w:tcW w:w="9341" w:type="dxa"/>
            <w:tcBorders>
              <w:left w:val="nil"/>
              <w:bottom w:val="single" w:color="auto" w:sz="4" w:space="0"/>
              <w:right w:val="nil"/>
            </w:tcBorders>
            <w:shd w:val="clear" w:color="auto" w:fill="DFECD8"/>
            <w:vAlign w:val="center"/>
          </w:tcPr>
          <w:p w:rsidRPr="00542FBD" w:rsidR="00C35200" w:rsidP="007647CB" w:rsidRDefault="00C35200">
            <w:pPr>
              <w:keepNext/>
              <w:keepLines/>
              <w:spacing w:line="240" w:lineRule="auto"/>
              <w:outlineLvl w:val="3"/>
              <w:rPr>
                <w:rFonts w:ascii="Franklin Gothic Medium" w:hAnsi="Franklin Gothic Medium"/>
                <w:bCs/>
                <w:i/>
                <w:iCs/>
                <w:color w:val="14487C"/>
                <w:sz w:val="20"/>
              </w:rPr>
            </w:pPr>
            <w:r w:rsidRPr="00542FBD">
              <w:rPr>
                <w:rFonts w:ascii="Franklin Gothic Medium" w:hAnsi="Franklin Gothic Medium"/>
                <w:bCs/>
                <w:i/>
                <w:iCs/>
                <w:color w:val="14487C"/>
                <w:sz w:val="20"/>
              </w:rPr>
              <w:t xml:space="preserve">Operationalization of VENA </w:t>
            </w:r>
          </w:p>
        </w:tc>
      </w:tr>
      <w:tr w:rsidRPr="005F5ACE" w:rsidR="00C35200" w:rsidTr="007647CB">
        <w:tc>
          <w:tcPr>
            <w:tcW w:w="9341" w:type="dxa"/>
            <w:tcBorders>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is VENA guidance operationalized in the nutrition assessment process observed at local WIC agencies?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In what ways do local agencies differ in their nutrition assessment processes? How does Value Enhanced Nutrition Assessment (VENA) implementation vary between agencies and how does it impact their nutrition assessment processes?  </w:t>
            </w:r>
          </w:p>
        </w:tc>
      </w:tr>
      <w:tr w:rsidRPr="005F5ACE" w:rsidR="00C35200" w:rsidTr="007647CB">
        <w:tc>
          <w:tcPr>
            <w:tcW w:w="9341" w:type="dxa"/>
            <w:tcBorders>
              <w:top w:val="nil"/>
              <w:left w:val="nil"/>
              <w:right w:val="nil"/>
            </w:tcBorders>
            <w:vAlign w:val="center"/>
          </w:tcPr>
          <w:p w:rsidRPr="005F5ACE" w:rsidR="00C35200" w:rsidP="00C35200" w:rsidRDefault="00C35200">
            <w:pPr>
              <w:numPr>
                <w:ilvl w:val="0"/>
                <w:numId w:val="20"/>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Identify and describe aspects of the nutrition assessment process that do not readily align with VENA guidance.  </w:t>
            </w:r>
          </w:p>
        </w:tc>
      </w:tr>
      <w:tr w:rsidRPr="00C10B49" w:rsidR="00C35200" w:rsidTr="007647CB">
        <w:tc>
          <w:tcPr>
            <w:tcW w:w="9341" w:type="dxa"/>
            <w:tcBorders>
              <w:left w:val="nil"/>
              <w:bottom w:val="single" w:color="auto" w:sz="4" w:space="0"/>
              <w:right w:val="nil"/>
            </w:tcBorders>
            <w:shd w:val="clear" w:color="auto" w:fill="6DA650"/>
            <w:vAlign w:val="center"/>
          </w:tcPr>
          <w:p w:rsidRPr="00542FBD" w:rsidR="00C35200" w:rsidP="007647CB" w:rsidRDefault="00C35200">
            <w:pPr>
              <w:spacing w:line="240" w:lineRule="auto"/>
              <w:rPr>
                <w:rFonts w:ascii="Franklin Gothic Medium" w:hAnsi="Franklin Gothic Medium"/>
                <w:color w:val="FFFFFF" w:themeColor="background1"/>
                <w:sz w:val="20"/>
              </w:rPr>
            </w:pPr>
            <w:r w:rsidRPr="00542FBD">
              <w:rPr>
                <w:rFonts w:ascii="Franklin Gothic Medium" w:hAnsi="Franklin Gothic Medium"/>
                <w:color w:val="FFFFFF" w:themeColor="background1"/>
                <w:sz w:val="20"/>
              </w:rPr>
              <w:t xml:space="preserve">Objective 2. Provide in-depth information to systematically describe how a national sample of diverse local WIC agencies use the collection of nutrition assessment information to tailor Program benefits, including: food packages, nutrition education, breastfeeding promotion and support, and referrals to health and social services. </w:t>
            </w:r>
          </w:p>
        </w:tc>
      </w:tr>
      <w:tr w:rsidRPr="005F5ACE" w:rsidR="00C35200" w:rsidTr="007647CB">
        <w:tc>
          <w:tcPr>
            <w:tcW w:w="9341" w:type="dxa"/>
            <w:tcBorders>
              <w:left w:val="nil"/>
              <w:bottom w:val="nil"/>
              <w:right w:val="nil"/>
            </w:tcBorders>
            <w:vAlign w:val="center"/>
          </w:tcPr>
          <w:p w:rsidRPr="005F5ACE" w:rsidR="00C35200" w:rsidP="00927565" w:rsidRDefault="00C35200">
            <w:pPr>
              <w:numPr>
                <w:ilvl w:val="0"/>
                <w:numId w:val="22"/>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do local agencies use the information obtained in the nutrition assessment to tailor </w:t>
            </w:r>
            <w:r w:rsidRPr="005F5ACE">
              <w:rPr>
                <w:rFonts w:ascii="Franklin Gothic Medium" w:hAnsi="Franklin Gothic Medium"/>
                <w:i/>
                <w:sz w:val="20"/>
              </w:rPr>
              <w:t>food packages</w:t>
            </w:r>
            <w:r w:rsidRPr="005F5ACE">
              <w:rPr>
                <w:rFonts w:ascii="Franklin Gothic Medium" w:hAnsi="Franklin Gothic Medium"/>
                <w:sz w:val="20"/>
              </w:rPr>
              <w:t xml:space="preserve">? How does the specified nutrition risk(s) impact the food packages prescribed to participants?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2"/>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do local agencies use the information obtained in the nutrition assessment to tailor </w:t>
            </w:r>
            <w:r w:rsidRPr="005F5ACE">
              <w:rPr>
                <w:rFonts w:ascii="Franklin Gothic Medium" w:hAnsi="Franklin Gothic Medium"/>
                <w:i/>
                <w:sz w:val="20"/>
              </w:rPr>
              <w:t>nutrition education</w:t>
            </w:r>
            <w:r w:rsidRPr="005F5ACE">
              <w:rPr>
                <w:rFonts w:ascii="Franklin Gothic Medium" w:hAnsi="Franklin Gothic Medium"/>
                <w:sz w:val="20"/>
              </w:rPr>
              <w:t>? What elements (content, counseling method, delivery medium, etc.</w:t>
            </w:r>
            <w:r w:rsidRPr="005F5ACE">
              <w:rPr>
                <w:rFonts w:ascii="Franklin Gothic Medium" w:hAnsi="Franklin Gothic Medium"/>
                <w:sz w:val="20"/>
                <w:vertAlign w:val="superscript"/>
              </w:rPr>
              <w:footnoteReference w:id="1"/>
            </w:r>
            <w:r w:rsidRPr="005F5ACE">
              <w:rPr>
                <w:rFonts w:ascii="Franklin Gothic Medium" w:hAnsi="Franklin Gothic Medium"/>
                <w:sz w:val="20"/>
              </w:rPr>
              <w:t xml:space="preserve">) of nutrition education are modified based on findings from the nutrition risk assessment?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1"/>
                <w:numId w:val="21"/>
              </w:numPr>
              <w:spacing w:after="120" w:line="240" w:lineRule="auto"/>
              <w:ind w:hanging="619"/>
              <w:rPr>
                <w:rFonts w:ascii="Franklin Gothic Medium" w:hAnsi="Franklin Gothic Medium"/>
                <w:sz w:val="20"/>
              </w:rPr>
            </w:pPr>
            <w:r w:rsidRPr="005F5ACE">
              <w:rPr>
                <w:rFonts w:ascii="Franklin Gothic Medium" w:hAnsi="Franklin Gothic Medium"/>
                <w:sz w:val="20"/>
              </w:rPr>
              <w:t xml:space="preserve">How are nutrition education topics informed by the nutrition assessment for each participant?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1"/>
                <w:numId w:val="21"/>
              </w:numPr>
              <w:spacing w:after="120" w:line="240" w:lineRule="auto"/>
              <w:ind w:hanging="619"/>
              <w:rPr>
                <w:rFonts w:ascii="Franklin Gothic Medium" w:hAnsi="Franklin Gothic Medium"/>
                <w:sz w:val="20"/>
              </w:rPr>
            </w:pPr>
            <w:r w:rsidRPr="005F5ACE">
              <w:rPr>
                <w:rFonts w:ascii="Franklin Gothic Medium" w:hAnsi="Franklin Gothic Medium"/>
                <w:sz w:val="20"/>
              </w:rPr>
              <w:t xml:space="preserve">When a participant has multiple nutrition risks, how are nutrition education topics prioritized?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1"/>
                <w:numId w:val="21"/>
              </w:numPr>
              <w:spacing w:after="120" w:line="240" w:lineRule="auto"/>
              <w:ind w:hanging="674"/>
              <w:rPr>
                <w:rFonts w:ascii="Franklin Gothic Medium" w:hAnsi="Franklin Gothic Medium"/>
                <w:sz w:val="20"/>
              </w:rPr>
            </w:pPr>
            <w:r w:rsidRPr="005F5ACE">
              <w:rPr>
                <w:rFonts w:ascii="Franklin Gothic Medium" w:hAnsi="Franklin Gothic Medium"/>
                <w:sz w:val="20"/>
              </w:rPr>
              <w:t xml:space="preserve">How many nutrition risks are typically discussed with a participant?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1"/>
                <w:numId w:val="21"/>
              </w:numPr>
              <w:spacing w:after="120" w:line="240" w:lineRule="auto"/>
              <w:ind w:hanging="674"/>
              <w:rPr>
                <w:rFonts w:ascii="Franklin Gothic Medium" w:hAnsi="Franklin Gothic Medium"/>
                <w:sz w:val="20"/>
              </w:rPr>
            </w:pPr>
            <w:r w:rsidRPr="005F5ACE">
              <w:rPr>
                <w:rFonts w:ascii="Franklin Gothic Medium" w:hAnsi="Franklin Gothic Medium"/>
                <w:sz w:val="20"/>
              </w:rPr>
              <w:t xml:space="preserve">How often are identified nutrition risks addressed or directly discussed during nutrition education sessions?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1"/>
                <w:numId w:val="21"/>
              </w:numPr>
              <w:spacing w:after="120" w:line="240" w:lineRule="auto"/>
              <w:ind w:hanging="674"/>
              <w:rPr>
                <w:rFonts w:ascii="Franklin Gothic Medium" w:hAnsi="Franklin Gothic Medium"/>
                <w:sz w:val="20"/>
              </w:rPr>
            </w:pPr>
            <w:r w:rsidRPr="005F5ACE">
              <w:rPr>
                <w:rFonts w:ascii="Franklin Gothic Medium" w:hAnsi="Franklin Gothic Medium"/>
                <w:sz w:val="20"/>
              </w:rPr>
              <w:t xml:space="preserve">How is the nutrition assessment information used to guide participants in establishing nutrition and health goals? </w:t>
            </w:r>
          </w:p>
        </w:tc>
      </w:tr>
      <w:tr w:rsidRPr="005F5ACE" w:rsidR="00C35200" w:rsidTr="007647CB">
        <w:tc>
          <w:tcPr>
            <w:tcW w:w="9341" w:type="dxa"/>
            <w:tcBorders>
              <w:top w:val="nil"/>
              <w:left w:val="nil"/>
              <w:bottom w:val="nil"/>
              <w:right w:val="nil"/>
            </w:tcBorders>
            <w:vAlign w:val="center"/>
          </w:tcPr>
          <w:p w:rsidRPr="005F5ACE" w:rsidR="00C35200" w:rsidP="00C35200" w:rsidRDefault="00C35200">
            <w:pPr>
              <w:numPr>
                <w:ilvl w:val="1"/>
                <w:numId w:val="21"/>
              </w:numPr>
              <w:spacing w:after="120" w:line="240" w:lineRule="auto"/>
              <w:ind w:hanging="674"/>
              <w:rPr>
                <w:rFonts w:ascii="Franklin Gothic Medium" w:hAnsi="Franklin Gothic Medium"/>
                <w:sz w:val="20"/>
              </w:rPr>
            </w:pPr>
            <w:r w:rsidRPr="005F5ACE">
              <w:rPr>
                <w:rFonts w:ascii="Franklin Gothic Medium" w:hAnsi="Franklin Gothic Medium"/>
                <w:sz w:val="20"/>
              </w:rPr>
              <w:t xml:space="preserve">Are secondary nutrition education contacts tailored to the participant’s nutrition risk(s)?  If so, how?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1"/>
                <w:numId w:val="21"/>
              </w:numPr>
              <w:spacing w:after="120" w:line="240" w:lineRule="auto"/>
              <w:ind w:left="1512" w:hanging="677"/>
              <w:rPr>
                <w:rFonts w:ascii="Franklin Gothic Medium" w:hAnsi="Franklin Gothic Medium"/>
                <w:sz w:val="20"/>
              </w:rPr>
            </w:pPr>
            <w:r w:rsidRPr="005F5ACE">
              <w:rPr>
                <w:rFonts w:ascii="Franklin Gothic Medium" w:hAnsi="Franklin Gothic Medium"/>
                <w:sz w:val="20"/>
              </w:rPr>
              <w:t xml:space="preserve">How do local agencies ensure that nutrition education is provided in a culturally appropriate manner (e.g., in the participant’s spoken language, etc.)?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2"/>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Describe the frequency and type of </w:t>
            </w:r>
            <w:r w:rsidRPr="005F5ACE">
              <w:rPr>
                <w:rFonts w:ascii="Franklin Gothic Medium" w:hAnsi="Franklin Gothic Medium"/>
                <w:i/>
                <w:sz w:val="20"/>
              </w:rPr>
              <w:t>referrals</w:t>
            </w:r>
            <w:r w:rsidRPr="005F5ACE">
              <w:rPr>
                <w:rFonts w:ascii="Franklin Gothic Medium" w:hAnsi="Franklin Gothic Medium"/>
                <w:sz w:val="20"/>
              </w:rPr>
              <w:t xml:space="preserve"> to internal (such as peer counselor or WIC Designated Breastfeeding Expert, or WIC Registered Dietitian) and external health or social services prompted by nutrition risk assessments?  </w:t>
            </w:r>
          </w:p>
        </w:tc>
      </w:tr>
      <w:tr w:rsidRPr="005F5ACE" w:rsidR="00C35200" w:rsidTr="007647CB">
        <w:tc>
          <w:tcPr>
            <w:tcW w:w="9341" w:type="dxa"/>
            <w:tcBorders>
              <w:top w:val="nil"/>
              <w:left w:val="nil"/>
              <w:bottom w:val="single" w:color="auto" w:sz="4" w:space="0"/>
              <w:right w:val="nil"/>
            </w:tcBorders>
            <w:vAlign w:val="center"/>
          </w:tcPr>
          <w:p w:rsidRPr="005F5ACE" w:rsidR="00C35200" w:rsidP="00927565" w:rsidRDefault="00C35200">
            <w:pPr>
              <w:numPr>
                <w:ilvl w:val="0"/>
                <w:numId w:val="22"/>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In what way does the MIS facilitate the tailoring of program benefits using information from the nutrition risk assessment?  </w:t>
            </w:r>
          </w:p>
        </w:tc>
      </w:tr>
    </w:tbl>
    <w:p w:rsidR="00C35200" w:rsidP="00C35200" w:rsidRDefault="00C35200">
      <w:r>
        <w:br w:type="page"/>
      </w:r>
    </w:p>
    <w:p w:rsidR="00C35200" w:rsidP="00C35200" w:rsidRDefault="00C35200">
      <w:pPr>
        <w:pStyle w:val="TT-TableTitle"/>
        <w:spacing w:after="0"/>
      </w:pPr>
      <w:bookmarkStart w:name="_Toc528578375" w:id="5"/>
      <w:bookmarkStart w:name="_Toc3495306" w:id="6"/>
      <w:bookmarkStart w:name="_Toc4169515" w:id="7"/>
      <w:r>
        <w:lastRenderedPageBreak/>
        <w:t>Research Questions (continued)</w:t>
      </w:r>
      <w:bookmarkEnd w:id="5"/>
      <w:bookmarkEnd w:id="6"/>
      <w:bookmarkEnd w:id="7"/>
    </w:p>
    <w:p w:rsidR="00C35200" w:rsidP="00C35200" w:rsidRDefault="00C35200">
      <w:pPr>
        <w:pStyle w:val="L1-FlLSp12"/>
      </w:pPr>
    </w:p>
    <w:tbl>
      <w:tblPr>
        <w:tblStyle w:val="TableGrid3"/>
        <w:tblW w:w="0" w:type="auto"/>
        <w:tblInd w:w="9" w:type="dxa"/>
        <w:tblLook w:val="04A0" w:firstRow="1" w:lastRow="0" w:firstColumn="1" w:lastColumn="0" w:noHBand="0" w:noVBand="1"/>
      </w:tblPr>
      <w:tblGrid>
        <w:gridCol w:w="9341"/>
      </w:tblGrid>
      <w:tr w:rsidRPr="005F5ACE" w:rsidR="00C35200" w:rsidTr="007647CB">
        <w:tc>
          <w:tcPr>
            <w:tcW w:w="9341" w:type="dxa"/>
            <w:tcBorders>
              <w:top w:val="single" w:color="auto" w:sz="4" w:space="0"/>
              <w:left w:val="nil"/>
              <w:bottom w:val="nil"/>
              <w:right w:val="nil"/>
            </w:tcBorders>
            <w:vAlign w:val="center"/>
          </w:tcPr>
          <w:p w:rsidRPr="005F5ACE" w:rsidR="00C35200" w:rsidP="00927565" w:rsidRDefault="00C35200">
            <w:pPr>
              <w:numPr>
                <w:ilvl w:val="0"/>
                <w:numId w:val="22"/>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At appointments following the initial assessment: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3"/>
              </w:numPr>
              <w:spacing w:after="120" w:line="240" w:lineRule="auto"/>
              <w:ind w:left="1512" w:hanging="677"/>
              <w:rPr>
                <w:rFonts w:ascii="Franklin Gothic Medium" w:hAnsi="Franklin Gothic Medium"/>
                <w:sz w:val="20"/>
              </w:rPr>
            </w:pPr>
            <w:r w:rsidRPr="005F5ACE">
              <w:rPr>
                <w:rFonts w:ascii="Franklin Gothic Medium" w:hAnsi="Franklin Gothic Medium"/>
                <w:sz w:val="20"/>
              </w:rPr>
              <w:t xml:space="preserve">Considering the nutrition goals set or referral services made during the initial nutrition assessment, how do staff follow-up on the identified nutrition risks in follow-up appointments?  In what situations do staff routinely follow-up on these goals and/or referrals? In what situations do staff not routinely follow-up on them?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3"/>
              </w:numPr>
              <w:spacing w:after="120" w:line="240" w:lineRule="auto"/>
              <w:ind w:left="1512" w:hanging="677"/>
              <w:rPr>
                <w:rFonts w:ascii="Franklin Gothic Medium" w:hAnsi="Franklin Gothic Medium"/>
                <w:sz w:val="20"/>
              </w:rPr>
            </w:pPr>
            <w:r w:rsidRPr="005F5ACE">
              <w:rPr>
                <w:rFonts w:ascii="Franklin Gothic Medium" w:hAnsi="Franklin Gothic Medium"/>
                <w:sz w:val="20"/>
              </w:rPr>
              <w:t xml:space="preserve">Are WIC program benefits adjusted based on changes noted with respect to identified risks?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3"/>
              </w:numPr>
              <w:spacing w:after="120" w:line="240" w:lineRule="auto"/>
              <w:ind w:left="1512" w:hanging="677"/>
              <w:rPr>
                <w:rFonts w:ascii="Franklin Gothic Medium" w:hAnsi="Franklin Gothic Medium"/>
                <w:sz w:val="20"/>
              </w:rPr>
            </w:pPr>
            <w:r w:rsidRPr="005F5ACE">
              <w:rPr>
                <w:rFonts w:ascii="Franklin Gothic Medium" w:hAnsi="Franklin Gothic Medium"/>
                <w:sz w:val="20"/>
              </w:rPr>
              <w:t xml:space="preserve">How is the provision of nutrition education or other program benefits adjusted based on nutrition risks (including those that not addressed in prior appointments during the certification period)?  </w:t>
            </w:r>
          </w:p>
        </w:tc>
      </w:tr>
      <w:tr w:rsidRPr="005F5ACE" w:rsidR="00C35200" w:rsidTr="007647CB">
        <w:tc>
          <w:tcPr>
            <w:tcW w:w="9341" w:type="dxa"/>
            <w:tcBorders>
              <w:top w:val="nil"/>
              <w:left w:val="nil"/>
              <w:right w:val="nil"/>
            </w:tcBorders>
            <w:vAlign w:val="center"/>
          </w:tcPr>
          <w:p w:rsidRPr="005F5ACE" w:rsidR="00C35200" w:rsidP="00927565" w:rsidRDefault="00C35200">
            <w:pPr>
              <w:numPr>
                <w:ilvl w:val="0"/>
                <w:numId w:val="22"/>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consistent are the tailoring practices within and across sites? Do identified risks consistently result in similarly tailored benefits? If not, what accounts for the variation observed? </w:t>
            </w:r>
          </w:p>
        </w:tc>
      </w:tr>
      <w:tr w:rsidRPr="00C10B49" w:rsidR="00C35200" w:rsidTr="007647CB">
        <w:tc>
          <w:tcPr>
            <w:tcW w:w="9341" w:type="dxa"/>
            <w:tcBorders>
              <w:left w:val="nil"/>
              <w:bottom w:val="single" w:color="auto" w:sz="4" w:space="0"/>
              <w:right w:val="nil"/>
            </w:tcBorders>
            <w:shd w:val="clear" w:color="auto" w:fill="6DA650"/>
            <w:vAlign w:val="center"/>
          </w:tcPr>
          <w:p w:rsidRPr="00F950F7" w:rsidR="00C35200" w:rsidP="007647CB" w:rsidRDefault="00C35200">
            <w:pPr>
              <w:spacing w:line="240" w:lineRule="auto"/>
              <w:rPr>
                <w:rFonts w:ascii="Franklin Gothic Medium" w:hAnsi="Franklin Gothic Medium"/>
                <w:color w:val="FFFFFF" w:themeColor="background1"/>
                <w:sz w:val="20"/>
              </w:rPr>
            </w:pPr>
            <w:r w:rsidRPr="00542FBD">
              <w:rPr>
                <w:rFonts w:ascii="Franklin Gothic Medium" w:hAnsi="Franklin Gothic Medium"/>
                <w:color w:val="FFFFFF" w:themeColor="background1"/>
                <w:sz w:val="20"/>
              </w:rPr>
              <w:t xml:space="preserve">Objective 3. Investigate relationships between WIC nutrition services processes (to include the nutrition risk assessment and the associated tailoring of program benefit delivery), and the clinic experience, participant and staff perceptions, and overall clinic flow and efficiency.  </w:t>
            </w:r>
          </w:p>
        </w:tc>
      </w:tr>
      <w:tr w:rsidRPr="005F5ACE" w:rsidR="00C35200" w:rsidTr="007647CB">
        <w:tc>
          <w:tcPr>
            <w:tcW w:w="9341" w:type="dxa"/>
            <w:tcBorders>
              <w:left w:val="nil"/>
              <w:bottom w:val="single" w:color="auto" w:sz="4" w:space="0"/>
              <w:right w:val="nil"/>
            </w:tcBorders>
            <w:vAlign w:val="center"/>
          </w:tcPr>
          <w:p w:rsidRPr="005F5ACE" w:rsidR="00C35200" w:rsidP="00927565" w:rsidRDefault="00C35200">
            <w:pPr>
              <w:numPr>
                <w:ilvl w:val="0"/>
                <w:numId w:val="25"/>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long does it take WIC staff to (1) conduct the nutrition assessment, and (2) provide tailored nutrition education and breastfeeding support, (3) food package prescriptions, and (4) referrals, based on the information gathered in the nutrition risk assessment? What is the total time a participant is at the clinic for a WIC visit, and then specifically, the time it takes for the nutrition assessment and providing benefits? In other words, describe the timing of clinic flow of the nutrition services process. </w:t>
            </w:r>
          </w:p>
        </w:tc>
      </w:tr>
      <w:tr w:rsidRPr="00C10B49" w:rsidR="00C35200" w:rsidTr="007647CB">
        <w:tc>
          <w:tcPr>
            <w:tcW w:w="9341" w:type="dxa"/>
            <w:tcBorders>
              <w:top w:val="single" w:color="auto" w:sz="4" w:space="0"/>
              <w:left w:val="nil"/>
              <w:bottom w:val="single" w:color="auto" w:sz="4" w:space="0"/>
              <w:right w:val="nil"/>
            </w:tcBorders>
            <w:shd w:val="clear" w:color="auto" w:fill="DFECD8"/>
            <w:vAlign w:val="center"/>
          </w:tcPr>
          <w:p w:rsidRPr="00542FBD" w:rsidR="00C35200" w:rsidP="007647CB" w:rsidRDefault="00C35200">
            <w:pPr>
              <w:keepNext/>
              <w:keepLines/>
              <w:spacing w:line="240" w:lineRule="auto"/>
              <w:outlineLvl w:val="3"/>
              <w:rPr>
                <w:rFonts w:ascii="Franklin Gothic Medium" w:hAnsi="Franklin Gothic Medium"/>
                <w:bCs/>
                <w:i/>
                <w:iCs/>
                <w:color w:val="14487C"/>
                <w:sz w:val="20"/>
              </w:rPr>
            </w:pPr>
            <w:r w:rsidRPr="00542FBD">
              <w:rPr>
                <w:rFonts w:ascii="Franklin Gothic Medium" w:hAnsi="Franklin Gothic Medium"/>
                <w:bCs/>
                <w:i/>
                <w:iCs/>
                <w:color w:val="14487C"/>
                <w:sz w:val="20"/>
              </w:rPr>
              <w:t xml:space="preserve">Staff Satisfaction and Suggestions for Improvement  </w:t>
            </w:r>
          </w:p>
        </w:tc>
      </w:tr>
      <w:tr w:rsidRPr="005F5ACE" w:rsidR="00C35200" w:rsidTr="007647CB">
        <w:tc>
          <w:tcPr>
            <w:tcW w:w="9341" w:type="dxa"/>
            <w:tcBorders>
              <w:top w:val="single" w:color="auto" w:sz="4" w:space="0"/>
              <w:left w:val="nil"/>
              <w:bottom w:val="nil"/>
              <w:right w:val="nil"/>
            </w:tcBorders>
            <w:vAlign w:val="center"/>
          </w:tcPr>
          <w:p w:rsidRPr="005F5ACE" w:rsidR="00C35200" w:rsidP="00927565" w:rsidRDefault="00C35200">
            <w:pPr>
              <w:numPr>
                <w:ilvl w:val="0"/>
                <w:numId w:val="25"/>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do staff perceive the nutrition assessment process? What are staff suggestions to improve the nutrition assessment process for tailoring program benefits?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5"/>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resources do staff utilize when conducting a nutrition risk assessment? Are there technical resources/assistance needed for staff to perform a nutrition assessment and tailor benefits beyond what they currently have available? </w:t>
            </w:r>
          </w:p>
        </w:tc>
      </w:tr>
      <w:tr w:rsidRPr="005F5ACE" w:rsidR="00C35200" w:rsidTr="007647CB">
        <w:tc>
          <w:tcPr>
            <w:tcW w:w="9341" w:type="dxa"/>
            <w:tcBorders>
              <w:top w:val="nil"/>
              <w:left w:val="nil"/>
              <w:bottom w:val="single" w:color="auto" w:sz="4" w:space="0"/>
              <w:right w:val="nil"/>
            </w:tcBorders>
            <w:vAlign w:val="center"/>
          </w:tcPr>
          <w:p w:rsidRPr="005F5ACE" w:rsidR="00C35200" w:rsidP="00927565" w:rsidRDefault="00C35200">
            <w:pPr>
              <w:numPr>
                <w:ilvl w:val="0"/>
                <w:numId w:val="25"/>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associations, if any, are identified between nutrition services processes and staff satisfaction? What associations are identified between nutrition services processes and clinic efficiency (as measured by participant time spent directly engaged with staff and participant time spent waiting to engage with staff)?  </w:t>
            </w:r>
          </w:p>
        </w:tc>
      </w:tr>
      <w:tr w:rsidRPr="00C10B49" w:rsidR="00C35200" w:rsidTr="007647CB">
        <w:tc>
          <w:tcPr>
            <w:tcW w:w="9341" w:type="dxa"/>
            <w:tcBorders>
              <w:top w:val="single" w:color="auto" w:sz="4" w:space="0"/>
              <w:left w:val="nil"/>
              <w:bottom w:val="single" w:color="auto" w:sz="4" w:space="0"/>
              <w:right w:val="nil"/>
            </w:tcBorders>
            <w:shd w:val="clear" w:color="auto" w:fill="DFECD8"/>
            <w:vAlign w:val="center"/>
          </w:tcPr>
          <w:p w:rsidRPr="00542FBD" w:rsidR="00C35200" w:rsidP="007647CB" w:rsidRDefault="00C35200">
            <w:pPr>
              <w:keepNext/>
              <w:keepLines/>
              <w:spacing w:line="240" w:lineRule="auto"/>
              <w:outlineLvl w:val="3"/>
              <w:rPr>
                <w:rFonts w:ascii="Franklin Gothic Medium" w:hAnsi="Franklin Gothic Medium"/>
                <w:bCs/>
                <w:i/>
                <w:iCs/>
                <w:color w:val="14487C"/>
                <w:sz w:val="20"/>
              </w:rPr>
            </w:pPr>
            <w:r w:rsidRPr="00542FBD">
              <w:rPr>
                <w:rFonts w:ascii="Franklin Gothic Medium" w:hAnsi="Franklin Gothic Medium"/>
                <w:bCs/>
                <w:i/>
                <w:iCs/>
                <w:color w:val="14487C"/>
                <w:sz w:val="20"/>
              </w:rPr>
              <w:t xml:space="preserve">Participant Satisfaction </w:t>
            </w:r>
          </w:p>
        </w:tc>
      </w:tr>
      <w:tr w:rsidRPr="005F5ACE" w:rsidR="00C35200" w:rsidTr="007647CB">
        <w:tc>
          <w:tcPr>
            <w:tcW w:w="9341" w:type="dxa"/>
            <w:tcBorders>
              <w:top w:val="single" w:color="auto" w:sz="4" w:space="0"/>
              <w:left w:val="nil"/>
              <w:bottom w:val="nil"/>
              <w:right w:val="nil"/>
            </w:tcBorders>
            <w:vAlign w:val="center"/>
          </w:tcPr>
          <w:p w:rsidRPr="005F5ACE" w:rsidR="00C35200" w:rsidP="00927565" w:rsidRDefault="00C35200">
            <w:pPr>
              <w:numPr>
                <w:ilvl w:val="0"/>
                <w:numId w:val="25"/>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Are participants satisfied with their nutrition services experience as a whole, and are they satisfied with each of the various components of nutrition services, including but not limited to satisfaction with nutrition risk assessment?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5"/>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How well do participants feel the services they receive reflect their specific needs and/or concerns?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5"/>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In what ways do participants view the nutrition services as valuable? What are their suggestions for improvement? </w:t>
            </w:r>
          </w:p>
        </w:tc>
      </w:tr>
      <w:tr w:rsidRPr="005F5ACE" w:rsidR="00C35200" w:rsidTr="007647CB">
        <w:tc>
          <w:tcPr>
            <w:tcW w:w="9341" w:type="dxa"/>
            <w:tcBorders>
              <w:top w:val="nil"/>
              <w:left w:val="nil"/>
              <w:right w:val="nil"/>
            </w:tcBorders>
            <w:vAlign w:val="center"/>
          </w:tcPr>
          <w:p w:rsidRPr="005F5ACE" w:rsidR="00C35200" w:rsidP="00927565" w:rsidRDefault="00C35200">
            <w:pPr>
              <w:numPr>
                <w:ilvl w:val="0"/>
                <w:numId w:val="25"/>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associations, if any, are identified between how local agencies conduct the nutrition services process and the clinic experience, including clinic flow and participant satisfaction? </w:t>
            </w:r>
          </w:p>
        </w:tc>
      </w:tr>
    </w:tbl>
    <w:p w:rsidR="00C35200" w:rsidP="00C35200" w:rsidRDefault="00C35200">
      <w:r>
        <w:br w:type="page"/>
      </w:r>
    </w:p>
    <w:p w:rsidR="00C35200" w:rsidP="00927565" w:rsidRDefault="00C35200">
      <w:pPr>
        <w:pStyle w:val="TT-TableTitle"/>
        <w:spacing w:after="0"/>
        <w:ind w:left="0" w:firstLine="0"/>
      </w:pPr>
      <w:bookmarkStart w:name="_Toc528578376" w:id="8"/>
      <w:bookmarkStart w:name="_Toc3495307" w:id="9"/>
      <w:bookmarkStart w:name="_Toc4169516" w:id="10"/>
      <w:r>
        <w:lastRenderedPageBreak/>
        <w:t>Research Questions (continued)</w:t>
      </w:r>
      <w:bookmarkEnd w:id="8"/>
      <w:bookmarkEnd w:id="9"/>
      <w:bookmarkEnd w:id="10"/>
    </w:p>
    <w:p w:rsidR="00C35200" w:rsidP="00C35200" w:rsidRDefault="00C35200">
      <w:pPr>
        <w:pStyle w:val="L1-FlLSp12"/>
      </w:pPr>
    </w:p>
    <w:tbl>
      <w:tblPr>
        <w:tblStyle w:val="TableGrid3"/>
        <w:tblW w:w="0" w:type="auto"/>
        <w:tblInd w:w="9" w:type="dxa"/>
        <w:tblLook w:val="04A0" w:firstRow="1" w:lastRow="0" w:firstColumn="1" w:lastColumn="0" w:noHBand="0" w:noVBand="1"/>
      </w:tblPr>
      <w:tblGrid>
        <w:gridCol w:w="9341"/>
      </w:tblGrid>
      <w:tr w:rsidRPr="00C10B49" w:rsidR="00C35200" w:rsidTr="007647CB">
        <w:tc>
          <w:tcPr>
            <w:tcW w:w="9341" w:type="dxa"/>
            <w:tcBorders>
              <w:left w:val="nil"/>
              <w:bottom w:val="single" w:color="auto" w:sz="4" w:space="0"/>
              <w:right w:val="nil"/>
            </w:tcBorders>
            <w:shd w:val="clear" w:color="auto" w:fill="6DA650"/>
            <w:vAlign w:val="center"/>
          </w:tcPr>
          <w:p w:rsidRPr="00F950F7" w:rsidR="00C35200" w:rsidP="007647CB" w:rsidRDefault="00C35200">
            <w:pPr>
              <w:spacing w:line="240" w:lineRule="auto"/>
              <w:rPr>
                <w:rFonts w:ascii="Franklin Gothic Medium" w:hAnsi="Franklin Gothic Medium"/>
                <w:color w:val="FFFFFF" w:themeColor="background1"/>
                <w:sz w:val="20"/>
              </w:rPr>
            </w:pPr>
            <w:r w:rsidRPr="00542FBD">
              <w:rPr>
                <w:rFonts w:ascii="Franklin Gothic Medium" w:hAnsi="Franklin Gothic Medium"/>
                <w:color w:val="FFFFFF" w:themeColor="background1"/>
                <w:sz w:val="20"/>
              </w:rPr>
              <w:t xml:space="preserve">Objective 4. Analyze study findings to identify specific practices or features of nutrition service processes that facilitate the use of nutrition assessment information for providing tailored Program benefits and are associated with participant and staff satisfaction. </w:t>
            </w:r>
          </w:p>
        </w:tc>
      </w:tr>
      <w:tr w:rsidRPr="005F5ACE" w:rsidR="00C35200" w:rsidTr="007647CB">
        <w:tc>
          <w:tcPr>
            <w:tcW w:w="9341" w:type="dxa"/>
            <w:tcBorders>
              <w:left w:val="nil"/>
              <w:bottom w:val="nil"/>
              <w:right w:val="nil"/>
            </w:tcBorders>
            <w:vAlign w:val="center"/>
          </w:tcPr>
          <w:p w:rsidRPr="005F5ACE" w:rsidR="00C35200" w:rsidP="00927565" w:rsidRDefault="00C35200">
            <w:pPr>
              <w:numPr>
                <w:ilvl w:val="0"/>
                <w:numId w:val="24"/>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practices, when used in the nutrition assessment process, facilitate a timely delivery of tailored Program benefits (including food packages, nutrition education (including breastfeeding promotion and support), referrals, and follow-ups)?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4"/>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are the benefits of MIS systems in facilitating nutrition assessment? What features of MIS systems are most effective in facilitating a comprehensive assessment and applying the information to tailored benefits?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4"/>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are promising practices for clinic flow and time savings involved in the nutrition services process?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4"/>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are staff and participant suggestions to improve clinic flow? </w:t>
            </w:r>
          </w:p>
        </w:tc>
      </w:tr>
      <w:tr w:rsidRPr="005F5ACE" w:rsidR="00C35200" w:rsidTr="007647CB">
        <w:tc>
          <w:tcPr>
            <w:tcW w:w="9341" w:type="dxa"/>
            <w:tcBorders>
              <w:top w:val="nil"/>
              <w:left w:val="nil"/>
              <w:bottom w:val="nil"/>
              <w:right w:val="nil"/>
            </w:tcBorders>
            <w:vAlign w:val="center"/>
          </w:tcPr>
          <w:p w:rsidRPr="005F5ACE" w:rsidR="00C35200" w:rsidP="00927565" w:rsidRDefault="00C35200">
            <w:pPr>
              <w:numPr>
                <w:ilvl w:val="0"/>
                <w:numId w:val="24"/>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are promising practices for participant experience, satisfaction, and minimizing participant burden involved in the nutrition services process? </w:t>
            </w:r>
          </w:p>
        </w:tc>
      </w:tr>
      <w:tr w:rsidRPr="005F5ACE" w:rsidR="00C35200" w:rsidTr="007647CB">
        <w:tc>
          <w:tcPr>
            <w:tcW w:w="9341" w:type="dxa"/>
            <w:tcBorders>
              <w:top w:val="nil"/>
              <w:left w:val="nil"/>
              <w:right w:val="nil"/>
            </w:tcBorders>
            <w:vAlign w:val="center"/>
          </w:tcPr>
          <w:p w:rsidRPr="005F5ACE" w:rsidR="00C35200" w:rsidP="00927565" w:rsidRDefault="00C35200">
            <w:pPr>
              <w:numPr>
                <w:ilvl w:val="0"/>
                <w:numId w:val="24"/>
              </w:numPr>
              <w:spacing w:after="120" w:line="240" w:lineRule="auto"/>
              <w:ind w:hanging="360"/>
              <w:rPr>
                <w:rFonts w:ascii="Franklin Gothic Medium" w:hAnsi="Franklin Gothic Medium"/>
                <w:sz w:val="20"/>
              </w:rPr>
            </w:pPr>
            <w:r w:rsidRPr="005F5ACE">
              <w:rPr>
                <w:rFonts w:ascii="Franklin Gothic Medium" w:hAnsi="Franklin Gothic Medium"/>
                <w:sz w:val="20"/>
              </w:rPr>
              <w:t xml:space="preserve">What are promising practices for staff satisfaction in the nutrition services process? Which of these practices also minimize staff burden? </w:t>
            </w:r>
          </w:p>
        </w:tc>
      </w:tr>
    </w:tbl>
    <w:p w:rsidRPr="005F5ACE" w:rsidR="00C35200" w:rsidP="00C35200" w:rsidRDefault="00C35200">
      <w:pPr>
        <w:pStyle w:val="L1-FlLSp12"/>
      </w:pPr>
    </w:p>
    <w:p w:rsidRPr="00C35200" w:rsidR="00C35200" w:rsidP="00C35200" w:rsidRDefault="00C35200"/>
    <w:sectPr w:rsidRPr="00C35200" w:rsidR="00C352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E4F" w:rsidRDefault="004D7E4F" w:rsidP="00C35200">
      <w:pPr>
        <w:spacing w:line="240" w:lineRule="auto"/>
      </w:pPr>
      <w:r>
        <w:separator/>
      </w:r>
    </w:p>
  </w:endnote>
  <w:endnote w:type="continuationSeparator" w:id="0">
    <w:p w:rsidR="004D7E4F" w:rsidRDefault="004D7E4F" w:rsidP="00C35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Lucida Sans">
    <w:panose1 w:val="020B0703040504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23688"/>
      <w:docPartObj>
        <w:docPartGallery w:val="Page Numbers (Bottom of Page)"/>
        <w:docPartUnique/>
      </w:docPartObj>
    </w:sdtPr>
    <w:sdtEndPr>
      <w:rPr>
        <w:noProof/>
      </w:rPr>
    </w:sdtEndPr>
    <w:sdtContent>
      <w:p w:rsidR="00927565" w:rsidRDefault="00927565">
        <w:pPr>
          <w:pStyle w:val="Footer"/>
          <w:jc w:val="center"/>
        </w:pPr>
        <w:r>
          <w:fldChar w:fldCharType="begin"/>
        </w:r>
        <w:r>
          <w:instrText xml:space="preserve"> PAGE   \* MERGEFORMAT </w:instrText>
        </w:r>
        <w:r>
          <w:fldChar w:fldCharType="separate"/>
        </w:r>
        <w:r w:rsidR="00E5282C">
          <w:rPr>
            <w:noProof/>
          </w:rPr>
          <w:t>4</w:t>
        </w:r>
        <w:r>
          <w:rPr>
            <w:noProof/>
          </w:rPr>
          <w:fldChar w:fldCharType="end"/>
        </w:r>
      </w:p>
    </w:sdtContent>
  </w:sdt>
  <w:p w:rsidR="00927565" w:rsidRDefault="00927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E4F" w:rsidRDefault="004D7E4F" w:rsidP="00C35200">
      <w:pPr>
        <w:spacing w:line="240" w:lineRule="auto"/>
      </w:pPr>
      <w:r>
        <w:separator/>
      </w:r>
    </w:p>
  </w:footnote>
  <w:footnote w:type="continuationSeparator" w:id="0">
    <w:p w:rsidR="004D7E4F" w:rsidRDefault="004D7E4F" w:rsidP="00C35200">
      <w:pPr>
        <w:spacing w:line="240" w:lineRule="auto"/>
      </w:pPr>
      <w:r>
        <w:continuationSeparator/>
      </w:r>
    </w:p>
  </w:footnote>
  <w:footnote w:id="1">
    <w:p w:rsidR="00C35200" w:rsidRDefault="00C35200" w:rsidP="00C35200">
      <w:pPr>
        <w:pStyle w:val="footnotedescription"/>
        <w:spacing w:line="259" w:lineRule="auto"/>
        <w:jc w:val="both"/>
      </w:pPr>
      <w:r>
        <w:rPr>
          <w:rStyle w:val="footnotemark"/>
        </w:rPr>
        <w:footnoteRef/>
      </w:r>
      <w:r>
        <w:t xml:space="preserve"> See nutrition education guidance, p.3</w:t>
      </w:r>
      <w:hyperlink r:id="rId1">
        <w:r>
          <w:t xml:space="preserve"> </w:t>
        </w:r>
      </w:hyperlink>
      <w:hyperlink r:id="rId2">
        <w:r>
          <w:rPr>
            <w:color w:val="0000FF"/>
            <w:u w:val="single" w:color="0000FF"/>
          </w:rPr>
          <w:t>https://wicworks.fns.usda.gov/wicworks/Learning_Center/ntredguidance.pdf</w:t>
        </w:r>
      </w:hyperlink>
      <w:hyperlink r:id="rId3">
        <w: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E4C9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FEFC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2C47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0A21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CA63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7C53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B841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F892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822E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3A76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F0E74"/>
    <w:multiLevelType w:val="hybridMultilevel"/>
    <w:tmpl w:val="4D36772A"/>
    <w:lvl w:ilvl="0" w:tplc="FB906646">
      <w:start w:val="1"/>
      <w:numFmt w:val="decimal"/>
      <w:pStyle w:val="ListParagraph"/>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D002F3"/>
    <w:multiLevelType w:val="hybridMultilevel"/>
    <w:tmpl w:val="7FD2116C"/>
    <w:lvl w:ilvl="0" w:tplc="C8842D2E">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305E4C"/>
    <w:multiLevelType w:val="hybridMultilevel"/>
    <w:tmpl w:val="FE94220A"/>
    <w:lvl w:ilvl="0" w:tplc="04090019">
      <w:start w:val="1"/>
      <w:numFmt w:val="lowerLetter"/>
      <w:lvlText w:val="%1."/>
      <w:lvlJc w:val="left"/>
      <w:pPr>
        <w:ind w:left="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145"/>
      </w:pPr>
      <w:rPr>
        <w:rFonts w:hint="default"/>
        <w:b w:val="0"/>
        <w:i w:val="0"/>
        <w:strike w:val="0"/>
        <w:dstrike w:val="0"/>
        <w:color w:val="000000"/>
        <w:sz w:val="20"/>
        <w:szCs w:val="20"/>
        <w:u w:val="none" w:color="000000"/>
        <w:bdr w:val="none" w:sz="0" w:space="0" w:color="auto"/>
        <w:shd w:val="clear" w:color="auto" w:fill="auto"/>
        <w:vertAlign w:val="baseline"/>
      </w:rPr>
    </w:lvl>
    <w:lvl w:ilvl="2" w:tplc="F2C63FBE">
      <w:start w:val="1"/>
      <w:numFmt w:val="lowerRoman"/>
      <w:lvlText w:val="%3"/>
      <w:lvlJc w:val="left"/>
      <w:pPr>
        <w:ind w:left="1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2B846">
      <w:start w:val="1"/>
      <w:numFmt w:val="decimal"/>
      <w:lvlText w:val="%4"/>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E777E">
      <w:start w:val="1"/>
      <w:numFmt w:val="lowerLetter"/>
      <w:lvlText w:val="%5"/>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83936">
      <w:start w:val="1"/>
      <w:numFmt w:val="lowerRoman"/>
      <w:lvlText w:val="%6"/>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E13E8">
      <w:start w:val="1"/>
      <w:numFmt w:val="decimal"/>
      <w:lvlText w:val="%7"/>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E5804">
      <w:start w:val="1"/>
      <w:numFmt w:val="lowerLetter"/>
      <w:lvlText w:val="%8"/>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0CCE8">
      <w:start w:val="1"/>
      <w:numFmt w:val="lowerRoman"/>
      <w:lvlText w:val="%9"/>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E90F85"/>
    <w:multiLevelType w:val="hybridMultilevel"/>
    <w:tmpl w:val="FE94220A"/>
    <w:lvl w:ilvl="0" w:tplc="04090019">
      <w:start w:val="1"/>
      <w:numFmt w:val="lowerLetter"/>
      <w:lvlText w:val="%1."/>
      <w:lvlJc w:val="left"/>
      <w:pPr>
        <w:ind w:left="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145"/>
      </w:pPr>
      <w:rPr>
        <w:rFonts w:hint="default"/>
        <w:b w:val="0"/>
        <w:i w:val="0"/>
        <w:strike w:val="0"/>
        <w:dstrike w:val="0"/>
        <w:color w:val="000000"/>
        <w:sz w:val="20"/>
        <w:szCs w:val="20"/>
        <w:u w:val="none" w:color="000000"/>
        <w:bdr w:val="none" w:sz="0" w:space="0" w:color="auto"/>
        <w:shd w:val="clear" w:color="auto" w:fill="auto"/>
        <w:vertAlign w:val="baseline"/>
      </w:rPr>
    </w:lvl>
    <w:lvl w:ilvl="2" w:tplc="F2C63FBE">
      <w:start w:val="1"/>
      <w:numFmt w:val="lowerRoman"/>
      <w:lvlText w:val="%3"/>
      <w:lvlJc w:val="left"/>
      <w:pPr>
        <w:ind w:left="1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2B846">
      <w:start w:val="1"/>
      <w:numFmt w:val="decimal"/>
      <w:lvlText w:val="%4"/>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E777E">
      <w:start w:val="1"/>
      <w:numFmt w:val="lowerLetter"/>
      <w:lvlText w:val="%5"/>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83936">
      <w:start w:val="1"/>
      <w:numFmt w:val="lowerRoman"/>
      <w:lvlText w:val="%6"/>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E13E8">
      <w:start w:val="1"/>
      <w:numFmt w:val="decimal"/>
      <w:lvlText w:val="%7"/>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E5804">
      <w:start w:val="1"/>
      <w:numFmt w:val="lowerLetter"/>
      <w:lvlText w:val="%8"/>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0CCE8">
      <w:start w:val="1"/>
      <w:numFmt w:val="lowerRoman"/>
      <w:lvlText w:val="%9"/>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480ACB"/>
    <w:multiLevelType w:val="hybridMultilevel"/>
    <w:tmpl w:val="61AC898C"/>
    <w:lvl w:ilvl="0" w:tplc="0409001B">
      <w:start w:val="1"/>
      <w:numFmt w:val="lowerRoman"/>
      <w:lvlText w:val="%1."/>
      <w:lvlJc w:val="righ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16" w15:restartNumberingAfterBreak="0">
    <w:nsid w:val="25862FC5"/>
    <w:multiLevelType w:val="hybridMultilevel"/>
    <w:tmpl w:val="623E3A48"/>
    <w:lvl w:ilvl="0" w:tplc="47D06A0A">
      <w:start w:val="1"/>
      <w:numFmt w:val="bullet"/>
      <w:lvlText w:val=""/>
      <w:lvlJc w:val="left"/>
      <w:pPr>
        <w:tabs>
          <w:tab w:val="num" w:pos="576"/>
        </w:tabs>
        <w:ind w:left="576" w:hanging="576"/>
      </w:pPr>
      <w:rPr>
        <w:rFonts w:ascii="Wingdings" w:hAnsi="Wingdings" w:cs="Times New Roman" w:hint="default"/>
        <w:b w:val="0"/>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7" w15:restartNumberingAfterBreak="0">
    <w:nsid w:val="25D222E4"/>
    <w:multiLevelType w:val="hybridMultilevel"/>
    <w:tmpl w:val="B5286C30"/>
    <w:lvl w:ilvl="0" w:tplc="4174785A">
      <w:start w:val="1"/>
      <w:numFmt w:val="decimal"/>
      <w:pStyle w:val="NL-1stNumberedBullet"/>
      <w:lvlText w:val="%1."/>
      <w:lvlJc w:val="left"/>
      <w:pPr>
        <w:ind w:left="936" w:hanging="360"/>
      </w:pPr>
      <w:rPr>
        <w:rFonts w:ascii="Garamond" w:hAnsi="Garamond" w:hint="default"/>
        <w:b w:val="0"/>
        <w:i w:val="0"/>
        <w:color w:val="auto"/>
        <w:sz w:val="24"/>
        <w:szCs w:val="24"/>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2FC26204"/>
    <w:multiLevelType w:val="hybridMultilevel"/>
    <w:tmpl w:val="05549FA0"/>
    <w:lvl w:ilvl="0" w:tplc="2F4837C6">
      <w:start w:val="1"/>
      <w:numFmt w:val="bullet"/>
      <w:pStyle w:val="N2-2nd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15:restartNumberingAfterBreak="0">
    <w:nsid w:val="324F3FF2"/>
    <w:multiLevelType w:val="hybridMultilevel"/>
    <w:tmpl w:val="FE94220A"/>
    <w:lvl w:ilvl="0" w:tplc="04090019">
      <w:start w:val="1"/>
      <w:numFmt w:val="lowerLetter"/>
      <w:lvlText w:val="%1."/>
      <w:lvlJc w:val="left"/>
      <w:pPr>
        <w:ind w:left="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145"/>
      </w:pPr>
      <w:rPr>
        <w:rFonts w:hint="default"/>
        <w:b w:val="0"/>
        <w:i w:val="0"/>
        <w:strike w:val="0"/>
        <w:dstrike w:val="0"/>
        <w:color w:val="000000"/>
        <w:sz w:val="20"/>
        <w:szCs w:val="20"/>
        <w:u w:val="none" w:color="000000"/>
        <w:bdr w:val="none" w:sz="0" w:space="0" w:color="auto"/>
        <w:shd w:val="clear" w:color="auto" w:fill="auto"/>
        <w:vertAlign w:val="baseline"/>
      </w:rPr>
    </w:lvl>
    <w:lvl w:ilvl="2" w:tplc="F2C63FBE">
      <w:start w:val="1"/>
      <w:numFmt w:val="lowerRoman"/>
      <w:lvlText w:val="%3"/>
      <w:lvlJc w:val="left"/>
      <w:pPr>
        <w:ind w:left="1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2B846">
      <w:start w:val="1"/>
      <w:numFmt w:val="decimal"/>
      <w:lvlText w:val="%4"/>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E777E">
      <w:start w:val="1"/>
      <w:numFmt w:val="lowerLetter"/>
      <w:lvlText w:val="%5"/>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83936">
      <w:start w:val="1"/>
      <w:numFmt w:val="lowerRoman"/>
      <w:lvlText w:val="%6"/>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E13E8">
      <w:start w:val="1"/>
      <w:numFmt w:val="decimal"/>
      <w:lvlText w:val="%7"/>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E5804">
      <w:start w:val="1"/>
      <w:numFmt w:val="lowerLetter"/>
      <w:lvlText w:val="%8"/>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0CCE8">
      <w:start w:val="1"/>
      <w:numFmt w:val="lowerRoman"/>
      <w:lvlText w:val="%9"/>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5B17E6"/>
    <w:multiLevelType w:val="hybridMultilevel"/>
    <w:tmpl w:val="19786140"/>
    <w:lvl w:ilvl="0" w:tplc="D2B2B84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B">
      <w:start w:val="1"/>
      <w:numFmt w:val="lowerRoman"/>
      <w:lvlText w:val="%2."/>
      <w:lvlJc w:val="right"/>
      <w:pPr>
        <w:ind w:left="1505"/>
      </w:pPr>
      <w:rPr>
        <w:rFonts w:hint="default"/>
        <w:b w:val="0"/>
        <w:i w:val="0"/>
        <w:strike w:val="0"/>
        <w:dstrike w:val="0"/>
        <w:color w:val="000000"/>
        <w:sz w:val="20"/>
        <w:szCs w:val="20"/>
        <w:u w:val="none" w:color="000000"/>
        <w:bdr w:val="none" w:sz="0" w:space="0" w:color="auto"/>
        <w:shd w:val="clear" w:color="auto" w:fill="auto"/>
        <w:vertAlign w:val="baseline"/>
      </w:rPr>
    </w:lvl>
    <w:lvl w:ilvl="2" w:tplc="ADE00C96">
      <w:start w:val="1"/>
      <w:numFmt w:val="lowerRoman"/>
      <w:lvlText w:val="%3"/>
      <w:lvlJc w:val="left"/>
      <w:pPr>
        <w:ind w:left="2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C2F66">
      <w:start w:val="1"/>
      <w:numFmt w:val="decimal"/>
      <w:lvlText w:val="%4"/>
      <w:lvlJc w:val="left"/>
      <w:pPr>
        <w:ind w:left="2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C25E">
      <w:start w:val="1"/>
      <w:numFmt w:val="lowerLetter"/>
      <w:lvlText w:val="%5"/>
      <w:lvlJc w:val="left"/>
      <w:pPr>
        <w:ind w:left="3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38F93A">
      <w:start w:val="1"/>
      <w:numFmt w:val="lowerRoman"/>
      <w:lvlText w:val="%6"/>
      <w:lvlJc w:val="left"/>
      <w:pPr>
        <w:ind w:left="4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AA00E">
      <w:start w:val="1"/>
      <w:numFmt w:val="decimal"/>
      <w:lvlText w:val="%7"/>
      <w:lvlJc w:val="left"/>
      <w:pPr>
        <w:ind w:left="4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48DB6">
      <w:start w:val="1"/>
      <w:numFmt w:val="lowerLetter"/>
      <w:lvlText w:val="%8"/>
      <w:lvlJc w:val="left"/>
      <w:pPr>
        <w:ind w:left="5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C642A">
      <w:start w:val="1"/>
      <w:numFmt w:val="lowerRoman"/>
      <w:lvlText w:val="%9"/>
      <w:lvlJc w:val="left"/>
      <w:pPr>
        <w:ind w:left="6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23F2B4C"/>
    <w:multiLevelType w:val="hybridMultilevel"/>
    <w:tmpl w:val="C9263912"/>
    <w:lvl w:ilvl="0" w:tplc="1CBA6F3C">
      <w:start w:val="1"/>
      <w:numFmt w:val="bullet"/>
      <w:pStyle w:val="41-1stLevelTableBullet"/>
      <w:lvlText w:val=""/>
      <w:lvlJc w:val="left"/>
      <w:pPr>
        <w:ind w:left="360" w:hanging="360"/>
      </w:pPr>
      <w:rPr>
        <w:rFonts w:ascii="Symbol" w:hAnsi="Symbol" w:hint="default"/>
        <w:color w:val="6DA65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B6D3A"/>
    <w:multiLevelType w:val="hybridMultilevel"/>
    <w:tmpl w:val="03368240"/>
    <w:lvl w:ilvl="0" w:tplc="6686ABFC">
      <w:start w:val="1"/>
      <w:numFmt w:val="bullet"/>
      <w:pStyle w:val="B2-2ndBoxBullet"/>
      <w:lvlText w:val="–"/>
      <w:lvlJc w:val="left"/>
      <w:pPr>
        <w:ind w:left="936" w:hanging="360"/>
      </w:pPr>
      <w:rPr>
        <w:rFonts w:ascii="Calibri" w:hAnsi="Calibri" w:hint="default"/>
        <w:color w:val="6DA650"/>
        <w:sz w:val="20"/>
        <w:szCs w:val="36"/>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3" w15:restartNumberingAfterBreak="0">
    <w:nsid w:val="5984653E"/>
    <w:multiLevelType w:val="hybridMultilevel"/>
    <w:tmpl w:val="FE94220A"/>
    <w:lvl w:ilvl="0" w:tplc="04090019">
      <w:start w:val="1"/>
      <w:numFmt w:val="lowerLetter"/>
      <w:lvlText w:val="%1."/>
      <w:lvlJc w:val="left"/>
      <w:pPr>
        <w:ind w:left="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145"/>
      </w:pPr>
      <w:rPr>
        <w:rFonts w:hint="default"/>
        <w:b w:val="0"/>
        <w:i w:val="0"/>
        <w:strike w:val="0"/>
        <w:dstrike w:val="0"/>
        <w:color w:val="000000"/>
        <w:sz w:val="20"/>
        <w:szCs w:val="20"/>
        <w:u w:val="none" w:color="000000"/>
        <w:bdr w:val="none" w:sz="0" w:space="0" w:color="auto"/>
        <w:shd w:val="clear" w:color="auto" w:fill="auto"/>
        <w:vertAlign w:val="baseline"/>
      </w:rPr>
    </w:lvl>
    <w:lvl w:ilvl="2" w:tplc="F2C63FBE">
      <w:start w:val="1"/>
      <w:numFmt w:val="lowerRoman"/>
      <w:lvlText w:val="%3"/>
      <w:lvlJc w:val="left"/>
      <w:pPr>
        <w:ind w:left="1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2B846">
      <w:start w:val="1"/>
      <w:numFmt w:val="decimal"/>
      <w:lvlText w:val="%4"/>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E777E">
      <w:start w:val="1"/>
      <w:numFmt w:val="lowerLetter"/>
      <w:lvlText w:val="%5"/>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83936">
      <w:start w:val="1"/>
      <w:numFmt w:val="lowerRoman"/>
      <w:lvlText w:val="%6"/>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E13E8">
      <w:start w:val="1"/>
      <w:numFmt w:val="decimal"/>
      <w:lvlText w:val="%7"/>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E5804">
      <w:start w:val="1"/>
      <w:numFmt w:val="lowerLetter"/>
      <w:lvlText w:val="%8"/>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0CCE8">
      <w:start w:val="1"/>
      <w:numFmt w:val="lowerRoman"/>
      <w:lvlText w:val="%9"/>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2"/>
  </w:num>
  <w:num w:numId="13">
    <w:abstractNumId w:val="10"/>
  </w:num>
  <w:num w:numId="14">
    <w:abstractNumId w:val="11"/>
  </w:num>
  <w:num w:numId="15">
    <w:abstractNumId w:val="18"/>
  </w:num>
  <w:num w:numId="16">
    <w:abstractNumId w:val="13"/>
  </w:num>
  <w:num w:numId="17">
    <w:abstractNumId w:val="17"/>
  </w:num>
  <w:num w:numId="18">
    <w:abstractNumId w:val="24"/>
  </w:num>
  <w:num w:numId="19">
    <w:abstractNumId w:val="16"/>
    <w:lvlOverride w:ilvl="0">
      <w:startOverride w:val="1"/>
    </w:lvlOverride>
  </w:num>
  <w:num w:numId="20">
    <w:abstractNumId w:val="23"/>
  </w:num>
  <w:num w:numId="21">
    <w:abstractNumId w:val="20"/>
  </w:num>
  <w:num w:numId="22">
    <w:abstractNumId w:val="19"/>
  </w:num>
  <w:num w:numId="23">
    <w:abstractNumId w:val="15"/>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00"/>
    <w:rsid w:val="0004631D"/>
    <w:rsid w:val="004D7E4F"/>
    <w:rsid w:val="007D3504"/>
    <w:rsid w:val="00927565"/>
    <w:rsid w:val="00C35200"/>
    <w:rsid w:val="00E5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C89B"/>
  <w15:chartTrackingRefBased/>
  <w15:docId w15:val="{95BD7942-952F-455A-ADB5-FA9E2A13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5200"/>
    <w:pPr>
      <w:spacing w:after="0" w:line="240" w:lineRule="atLeast"/>
    </w:pPr>
    <w:rPr>
      <w:rFonts w:ascii="Garamond" w:eastAsia="Times New Roman" w:hAnsi="Garamond" w:cs="Times New Roman"/>
      <w:sz w:val="24"/>
      <w:szCs w:val="20"/>
    </w:rPr>
  </w:style>
  <w:style w:type="paragraph" w:styleId="Heading1">
    <w:name w:val="heading 1"/>
    <w:aliases w:val="H1-Chap. Head,H1-Sec.Head"/>
    <w:basedOn w:val="Normal"/>
    <w:link w:val="Heading1Char"/>
    <w:qFormat/>
    <w:rsid w:val="00C3520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C35200"/>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C35200"/>
    <w:pPr>
      <w:spacing w:after="360"/>
      <w:ind w:left="1152" w:hanging="1152"/>
      <w:jc w:val="left"/>
      <w:outlineLvl w:val="2"/>
    </w:pPr>
    <w:rPr>
      <w:sz w:val="28"/>
    </w:rPr>
  </w:style>
  <w:style w:type="paragraph" w:styleId="Heading4">
    <w:name w:val="heading 4"/>
    <w:aliases w:val="H4-Sec. Head,H4 Sec.Heading"/>
    <w:basedOn w:val="Heading1"/>
    <w:next w:val="Normal"/>
    <w:link w:val="Heading4Char"/>
    <w:qFormat/>
    <w:rsid w:val="00C35200"/>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C35200"/>
    <w:pPr>
      <w:keepLines/>
      <w:spacing w:after="360"/>
      <w:ind w:left="1152" w:hanging="1152"/>
      <w:jc w:val="left"/>
      <w:outlineLvl w:val="4"/>
    </w:pPr>
    <w:rPr>
      <w:i/>
      <w:color w:val="auto"/>
      <w:sz w:val="24"/>
    </w:rPr>
  </w:style>
  <w:style w:type="paragraph" w:styleId="Heading6">
    <w:name w:val="heading 6"/>
    <w:basedOn w:val="Normal"/>
    <w:next w:val="Normal"/>
    <w:link w:val="Heading6Char"/>
    <w:rsid w:val="00C35200"/>
    <w:pPr>
      <w:keepNext/>
      <w:spacing w:before="240"/>
      <w:jc w:val="center"/>
      <w:outlineLvl w:val="5"/>
    </w:pPr>
    <w:rPr>
      <w:b/>
      <w:caps/>
    </w:rPr>
  </w:style>
  <w:style w:type="paragraph" w:styleId="Heading7">
    <w:name w:val="heading 7"/>
    <w:basedOn w:val="Normal"/>
    <w:next w:val="Normal"/>
    <w:link w:val="Heading7Char"/>
    <w:rsid w:val="00C3520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5200"/>
    <w:rPr>
      <w:sz w:val="16"/>
      <w:szCs w:val="16"/>
    </w:rPr>
  </w:style>
  <w:style w:type="paragraph" w:styleId="CommentText">
    <w:name w:val="annotation text"/>
    <w:basedOn w:val="Normal"/>
    <w:link w:val="CommentTextChar"/>
    <w:uiPriority w:val="99"/>
    <w:unhideWhenUsed/>
    <w:rsid w:val="00C35200"/>
    <w:pPr>
      <w:widowControl w:val="0"/>
      <w:spacing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C35200"/>
    <w:rPr>
      <w:sz w:val="20"/>
      <w:szCs w:val="20"/>
    </w:rPr>
  </w:style>
  <w:style w:type="paragraph" w:styleId="BalloonText">
    <w:name w:val="Balloon Text"/>
    <w:basedOn w:val="Normal"/>
    <w:link w:val="BalloonTextChar"/>
    <w:uiPriority w:val="99"/>
    <w:semiHidden/>
    <w:unhideWhenUsed/>
    <w:rsid w:val="00C352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200"/>
    <w:rPr>
      <w:rFonts w:ascii="Tahoma" w:eastAsia="Times New Roman" w:hAnsi="Tahoma" w:cs="Tahoma"/>
      <w:sz w:val="16"/>
      <w:szCs w:val="16"/>
    </w:rPr>
  </w:style>
  <w:style w:type="character" w:customStyle="1" w:styleId="Heading1Char">
    <w:name w:val="Heading 1 Char"/>
    <w:aliases w:val="H1-Chap. Head Char,H1-Sec.Head Char"/>
    <w:basedOn w:val="DefaultParagraphFont"/>
    <w:link w:val="Heading1"/>
    <w:rsid w:val="00C35200"/>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C35200"/>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C35200"/>
    <w:rPr>
      <w:rFonts w:ascii="Franklin Gothic Medium" w:eastAsia="Times New Roman" w:hAnsi="Franklin Gothic Medium" w:cs="Times New Roman"/>
      <w:b/>
      <w:color w:val="324162"/>
      <w:sz w:val="28"/>
      <w:szCs w:val="20"/>
    </w:rPr>
  </w:style>
  <w:style w:type="paragraph" w:customStyle="1" w:styleId="41-1stLevelTableBullet">
    <w:name w:val="41-1st Level Table Bullet"/>
    <w:basedOn w:val="Normal"/>
    <w:qFormat/>
    <w:rsid w:val="00C35200"/>
    <w:pPr>
      <w:numPr>
        <w:numId w:val="11"/>
      </w:numPr>
    </w:pPr>
    <w:rPr>
      <w:rFonts w:ascii="Times New Roman" w:hAnsi="Times New Roman"/>
      <w:color w:val="14487C"/>
      <w:sz w:val="20"/>
      <w:szCs w:val="24"/>
    </w:rPr>
  </w:style>
  <w:style w:type="paragraph" w:customStyle="1" w:styleId="B2-2ndBoxBullet">
    <w:name w:val="B2-2nd Box Bullet"/>
    <w:basedOn w:val="Normal"/>
    <w:qFormat/>
    <w:rsid w:val="00C35200"/>
    <w:pPr>
      <w:numPr>
        <w:numId w:val="12"/>
      </w:numPr>
    </w:pPr>
    <w:rPr>
      <w:rFonts w:ascii="Times New Roman" w:eastAsiaTheme="minorEastAsia" w:hAnsi="Times New Roman" w:cstheme="minorBidi"/>
      <w:color w:val="000000" w:themeColor="text1"/>
      <w:sz w:val="20"/>
      <w:szCs w:val="22"/>
      <w:lang w:eastAsia="ko-KR"/>
    </w:rPr>
  </w:style>
  <w:style w:type="paragraph" w:styleId="BodyText">
    <w:name w:val="Body Text"/>
    <w:basedOn w:val="Normal"/>
    <w:link w:val="BodyTextChar"/>
    <w:uiPriority w:val="1"/>
    <w:rsid w:val="00C35200"/>
    <w:pPr>
      <w:widowControl w:val="0"/>
      <w:spacing w:line="240" w:lineRule="auto"/>
      <w:ind w:left="120"/>
    </w:pPr>
    <w:rPr>
      <w:rFonts w:eastAsia="Garamond" w:cstheme="minorBidi"/>
      <w:szCs w:val="24"/>
    </w:rPr>
  </w:style>
  <w:style w:type="character" w:customStyle="1" w:styleId="BodyTextChar">
    <w:name w:val="Body Text Char"/>
    <w:basedOn w:val="DefaultParagraphFont"/>
    <w:link w:val="BodyText"/>
    <w:uiPriority w:val="1"/>
    <w:rsid w:val="00C35200"/>
    <w:rPr>
      <w:rFonts w:ascii="Garamond" w:eastAsia="Garamond" w:hAnsi="Garamond"/>
      <w:sz w:val="24"/>
      <w:szCs w:val="24"/>
    </w:rPr>
  </w:style>
  <w:style w:type="character" w:styleId="BookTitle">
    <w:name w:val="Book Title"/>
    <w:basedOn w:val="DefaultParagraphFont"/>
    <w:uiPriority w:val="33"/>
    <w:rsid w:val="00C35200"/>
    <w:rPr>
      <w:b/>
      <w:bCs/>
      <w:smallCaps/>
      <w:spacing w:val="5"/>
    </w:rPr>
  </w:style>
  <w:style w:type="paragraph" w:customStyle="1" w:styleId="C1-CtrBoldHd">
    <w:name w:val="C1-Ctr BoldHd"/>
    <w:rsid w:val="00C35200"/>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C35200"/>
    <w:pPr>
      <w:keepLines/>
      <w:jc w:val="center"/>
    </w:pPr>
  </w:style>
  <w:style w:type="paragraph" w:customStyle="1" w:styleId="C3-CtrSp12">
    <w:name w:val="C3-Ctr Sp&amp;1/2"/>
    <w:basedOn w:val="Normal"/>
    <w:rsid w:val="00C35200"/>
    <w:pPr>
      <w:keepLines/>
      <w:spacing w:line="360" w:lineRule="atLeast"/>
      <w:jc w:val="center"/>
    </w:pPr>
  </w:style>
  <w:style w:type="character" w:customStyle="1" w:styleId="cit-article-title">
    <w:name w:val="cit-article-title"/>
    <w:basedOn w:val="DefaultParagraphFont"/>
    <w:rsid w:val="00C35200"/>
  </w:style>
  <w:style w:type="character" w:customStyle="1" w:styleId="cit-auth2">
    <w:name w:val="cit-auth2"/>
    <w:basedOn w:val="DefaultParagraphFont"/>
    <w:rsid w:val="00C35200"/>
  </w:style>
  <w:style w:type="character" w:customStyle="1" w:styleId="cit-etal">
    <w:name w:val="cit-etal"/>
    <w:basedOn w:val="DefaultParagraphFont"/>
    <w:rsid w:val="00C35200"/>
  </w:style>
  <w:style w:type="character" w:customStyle="1" w:styleId="cit-fpage">
    <w:name w:val="cit-fpage"/>
    <w:basedOn w:val="DefaultParagraphFont"/>
    <w:rsid w:val="00C35200"/>
  </w:style>
  <w:style w:type="character" w:customStyle="1" w:styleId="cit-issue">
    <w:name w:val="cit-issue"/>
    <w:basedOn w:val="DefaultParagraphFont"/>
    <w:rsid w:val="00C35200"/>
  </w:style>
  <w:style w:type="character" w:customStyle="1" w:styleId="cit-lpage">
    <w:name w:val="cit-lpage"/>
    <w:basedOn w:val="DefaultParagraphFont"/>
    <w:rsid w:val="00C35200"/>
  </w:style>
  <w:style w:type="character" w:customStyle="1" w:styleId="cit-name-given-names">
    <w:name w:val="cit-name-given-names"/>
    <w:basedOn w:val="DefaultParagraphFont"/>
    <w:rsid w:val="00C35200"/>
  </w:style>
  <w:style w:type="character" w:customStyle="1" w:styleId="cit-name-surname">
    <w:name w:val="cit-name-surname"/>
    <w:basedOn w:val="DefaultParagraphFont"/>
    <w:rsid w:val="00C35200"/>
  </w:style>
  <w:style w:type="character" w:customStyle="1" w:styleId="cit-pub-date">
    <w:name w:val="cit-pub-date"/>
    <w:basedOn w:val="DefaultParagraphFont"/>
    <w:rsid w:val="00C35200"/>
  </w:style>
  <w:style w:type="character" w:customStyle="1" w:styleId="cit-vol5">
    <w:name w:val="cit-vol5"/>
    <w:basedOn w:val="DefaultParagraphFont"/>
    <w:rsid w:val="00C35200"/>
  </w:style>
  <w:style w:type="paragraph" w:styleId="CommentSubject">
    <w:name w:val="annotation subject"/>
    <w:basedOn w:val="CommentText"/>
    <w:next w:val="CommentText"/>
    <w:link w:val="CommentSubjectChar"/>
    <w:uiPriority w:val="99"/>
    <w:semiHidden/>
    <w:unhideWhenUsed/>
    <w:rsid w:val="00C35200"/>
    <w:rPr>
      <w:b/>
      <w:bCs/>
    </w:rPr>
  </w:style>
  <w:style w:type="character" w:customStyle="1" w:styleId="CommentSubjectChar">
    <w:name w:val="Comment Subject Char"/>
    <w:basedOn w:val="CommentTextChar"/>
    <w:link w:val="CommentSubject"/>
    <w:uiPriority w:val="99"/>
    <w:semiHidden/>
    <w:rsid w:val="00C35200"/>
    <w:rPr>
      <w:b/>
      <w:bCs/>
      <w:sz w:val="20"/>
      <w:szCs w:val="20"/>
    </w:rPr>
  </w:style>
  <w:style w:type="paragraph" w:customStyle="1" w:styleId="CoverPage-Date">
    <w:name w:val="CoverPage-Date"/>
    <w:basedOn w:val="Normal"/>
    <w:rsid w:val="00C35200"/>
    <w:rPr>
      <w:rFonts w:ascii="Franklin Gothic Medium" w:hAnsi="Franklin Gothic Medium"/>
      <w:b/>
      <w:color w:val="003C79"/>
      <w:sz w:val="28"/>
    </w:rPr>
  </w:style>
  <w:style w:type="paragraph" w:customStyle="1" w:styleId="CoverPage-Part">
    <w:name w:val="CoverPage-Part"/>
    <w:basedOn w:val="Normal"/>
    <w:rsid w:val="00C35200"/>
    <w:pPr>
      <w:ind w:left="1008" w:hanging="1008"/>
    </w:pPr>
    <w:rPr>
      <w:rFonts w:ascii="Franklin Gothic Medium" w:hAnsi="Franklin Gothic Medium"/>
      <w:b/>
      <w:color w:val="003C79"/>
      <w:sz w:val="32"/>
      <w:szCs w:val="28"/>
    </w:rPr>
  </w:style>
  <w:style w:type="paragraph" w:customStyle="1" w:styleId="CoverPage-RFP">
    <w:name w:val="CoverPage-RFP"/>
    <w:basedOn w:val="Normal"/>
    <w:rsid w:val="00C35200"/>
    <w:pPr>
      <w:spacing w:after="360"/>
    </w:pPr>
    <w:rPr>
      <w:rFonts w:ascii="Franklin Gothic Medium" w:hAnsi="Franklin Gothic Medium"/>
      <w:color w:val="003C79"/>
      <w:sz w:val="20"/>
      <w:szCs w:val="24"/>
    </w:rPr>
  </w:style>
  <w:style w:type="paragraph" w:customStyle="1" w:styleId="CoverPage-Submitted">
    <w:name w:val="CoverPage-Submitted"/>
    <w:basedOn w:val="Normal"/>
    <w:rsid w:val="00C35200"/>
    <w:pPr>
      <w:spacing w:line="260" w:lineRule="exact"/>
      <w:ind w:left="144" w:hanging="144"/>
    </w:pPr>
    <w:rPr>
      <w:rFonts w:ascii="Franklin Gothic Medium" w:hAnsi="Franklin Gothic Medium"/>
      <w:color w:val="003C79"/>
      <w:sz w:val="22"/>
    </w:rPr>
  </w:style>
  <w:style w:type="paragraph" w:customStyle="1" w:styleId="CoverPage-Title">
    <w:name w:val="CoverPage-Title"/>
    <w:basedOn w:val="Normal"/>
    <w:rsid w:val="00C35200"/>
    <w:pPr>
      <w:spacing w:line="480" w:lineRule="exact"/>
    </w:pPr>
    <w:rPr>
      <w:rFonts w:ascii="Franklin Gothic Medium" w:hAnsi="Franklin Gothic Medium"/>
      <w:b/>
      <w:color w:val="003C79"/>
      <w:sz w:val="44"/>
      <w:szCs w:val="40"/>
    </w:rPr>
  </w:style>
  <w:style w:type="paragraph" w:customStyle="1" w:styleId="CoverPage-WPN">
    <w:name w:val="CoverPage-WPN"/>
    <w:basedOn w:val="Normal"/>
    <w:rsid w:val="00C35200"/>
    <w:pPr>
      <w:spacing w:before="60"/>
      <w:ind w:left="-101" w:right="144"/>
    </w:pPr>
    <w:rPr>
      <w:rFonts w:ascii="Franklin Gothic Medium" w:hAnsi="Franklin Gothic Medium"/>
      <w:color w:val="003C79"/>
      <w:sz w:val="20"/>
    </w:rPr>
  </w:style>
  <w:style w:type="paragraph" w:customStyle="1" w:styleId="CT-ContractInformation">
    <w:name w:val="CT-Contract Information"/>
    <w:basedOn w:val="Normal"/>
    <w:rsid w:val="00C35200"/>
    <w:pPr>
      <w:tabs>
        <w:tab w:val="left" w:pos="2232"/>
      </w:tabs>
      <w:spacing w:line="240" w:lineRule="exact"/>
    </w:pPr>
  </w:style>
  <w:style w:type="paragraph" w:customStyle="1" w:styleId="Default">
    <w:name w:val="Default"/>
    <w:rsid w:val="00C35200"/>
    <w:pPr>
      <w:autoSpaceDE w:val="0"/>
      <w:autoSpaceDN w:val="0"/>
      <w:adjustRightInd w:val="0"/>
      <w:spacing w:after="0" w:line="240" w:lineRule="auto"/>
    </w:pPr>
    <w:rPr>
      <w:rFonts w:ascii="Arial" w:eastAsia="Calibri" w:hAnsi="Arial" w:cs="Arial"/>
      <w:color w:val="000000"/>
      <w:sz w:val="24"/>
      <w:szCs w:val="24"/>
    </w:rPr>
  </w:style>
  <w:style w:type="paragraph" w:customStyle="1" w:styleId="E1-Equation">
    <w:name w:val="E1-Equation"/>
    <w:basedOn w:val="Normal"/>
    <w:rsid w:val="00C35200"/>
    <w:pPr>
      <w:tabs>
        <w:tab w:val="center" w:pos="4680"/>
        <w:tab w:val="right" w:pos="9360"/>
      </w:tabs>
    </w:pPr>
  </w:style>
  <w:style w:type="paragraph" w:customStyle="1" w:styleId="E2-Equation">
    <w:name w:val="E2-Equation"/>
    <w:basedOn w:val="Normal"/>
    <w:rsid w:val="00C35200"/>
    <w:pPr>
      <w:tabs>
        <w:tab w:val="right" w:pos="1152"/>
        <w:tab w:val="center" w:pos="1440"/>
        <w:tab w:val="left" w:pos="1728"/>
      </w:tabs>
      <w:ind w:left="1728" w:hanging="1728"/>
    </w:pPr>
  </w:style>
  <w:style w:type="character" w:styleId="Emphasis">
    <w:name w:val="Emphasis"/>
    <w:basedOn w:val="DefaultParagraphFont"/>
    <w:uiPriority w:val="20"/>
    <w:rsid w:val="00C35200"/>
    <w:rPr>
      <w:b/>
      <w:bCs/>
      <w:i w:val="0"/>
      <w:iCs w:val="0"/>
    </w:rPr>
  </w:style>
  <w:style w:type="paragraph" w:customStyle="1" w:styleId="TT-TableTitle">
    <w:name w:val="TT-Table Title"/>
    <w:link w:val="TT-TableTitleChar"/>
    <w:qFormat/>
    <w:rsid w:val="00C35200"/>
    <w:pPr>
      <w:keepNext/>
      <w:tabs>
        <w:tab w:val="left" w:pos="1440"/>
      </w:tabs>
      <w:spacing w:after="120" w:line="240" w:lineRule="atLeast"/>
      <w:ind w:left="1440" w:hanging="1440"/>
    </w:pPr>
    <w:rPr>
      <w:rFonts w:ascii="Franklin Gothic Medium" w:hAnsi="Franklin Gothic Medium" w:cs="Times New Roman"/>
      <w:szCs w:val="20"/>
    </w:rPr>
  </w:style>
  <w:style w:type="character" w:customStyle="1" w:styleId="TT-TableTitleChar">
    <w:name w:val="TT-Table Title Char"/>
    <w:link w:val="TT-TableTitle"/>
    <w:rsid w:val="00C35200"/>
    <w:rPr>
      <w:rFonts w:ascii="Franklin Gothic Medium" w:hAnsi="Franklin Gothic Medium" w:cs="Times New Roman"/>
      <w:szCs w:val="20"/>
    </w:rPr>
  </w:style>
  <w:style w:type="paragraph" w:customStyle="1" w:styleId="FigTitle">
    <w:name w:val="FigTitle"/>
    <w:basedOn w:val="TT-TableTitle"/>
    <w:rsid w:val="00C35200"/>
  </w:style>
  <w:style w:type="character" w:styleId="FollowedHyperlink">
    <w:name w:val="FollowedHyperlink"/>
    <w:basedOn w:val="DefaultParagraphFont"/>
    <w:uiPriority w:val="99"/>
    <w:semiHidden/>
    <w:unhideWhenUsed/>
    <w:rsid w:val="00C35200"/>
    <w:rPr>
      <w:color w:val="954F72" w:themeColor="followedHyperlink"/>
      <w:u w:val="single"/>
    </w:rPr>
  </w:style>
  <w:style w:type="character" w:customStyle="1" w:styleId="FollowedHyperlink1">
    <w:name w:val="FollowedHyperlink1"/>
    <w:basedOn w:val="DefaultParagraphFont"/>
    <w:uiPriority w:val="99"/>
    <w:semiHidden/>
    <w:unhideWhenUsed/>
    <w:rsid w:val="00C35200"/>
    <w:rPr>
      <w:color w:val="800080"/>
      <w:u w:val="single"/>
    </w:rPr>
  </w:style>
  <w:style w:type="paragraph" w:styleId="Footer">
    <w:name w:val="footer"/>
    <w:basedOn w:val="Normal"/>
    <w:link w:val="FooterChar"/>
    <w:uiPriority w:val="99"/>
    <w:rsid w:val="00C35200"/>
  </w:style>
  <w:style w:type="character" w:customStyle="1" w:styleId="FooterChar">
    <w:name w:val="Footer Char"/>
    <w:basedOn w:val="DefaultParagraphFont"/>
    <w:link w:val="Footer"/>
    <w:uiPriority w:val="99"/>
    <w:rsid w:val="00C35200"/>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C35200"/>
    <w:rPr>
      <w:vertAlign w:val="superscript"/>
    </w:rPr>
  </w:style>
  <w:style w:type="paragraph" w:styleId="FootnoteText">
    <w:name w:val="footnote text"/>
    <w:aliases w:val="F1,Footnote Text Char1,F1 Char1,Footnote Text Char Char,F1 Char Char,Footnote Text2,F"/>
    <w:link w:val="FootnoteTextChar"/>
    <w:rsid w:val="00C35200"/>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Footnote Text Char1 Char,F1 Char1 Char,Footnote Text Char Char Char,F1 Char Char Char,Footnote Text2 Char,F Char"/>
    <w:basedOn w:val="DefaultParagraphFont"/>
    <w:link w:val="FootnoteText"/>
    <w:rsid w:val="00C35200"/>
    <w:rPr>
      <w:rFonts w:ascii="Garamond" w:eastAsia="Times New Roman" w:hAnsi="Garamond" w:cs="Times New Roman"/>
      <w:sz w:val="20"/>
      <w:szCs w:val="20"/>
    </w:rPr>
  </w:style>
  <w:style w:type="paragraph" w:customStyle="1" w:styleId="FtnteBody-IPR">
    <w:name w:val="FtnteBody-IPR"/>
    <w:link w:val="FtnteBody-IPRChar"/>
    <w:qFormat/>
    <w:rsid w:val="00C35200"/>
    <w:pPr>
      <w:spacing w:after="0" w:line="240" w:lineRule="auto"/>
    </w:pPr>
    <w:rPr>
      <w:rFonts w:ascii="Calibri" w:eastAsia="Times New Roman" w:hAnsi="Calibri" w:cs="Times New Roman"/>
      <w:sz w:val="18"/>
      <w:szCs w:val="20"/>
    </w:rPr>
  </w:style>
  <w:style w:type="character" w:customStyle="1" w:styleId="FtnteBody-IPRChar">
    <w:name w:val="FtnteBody-IPR Char"/>
    <w:basedOn w:val="FootnoteTextChar"/>
    <w:link w:val="FtnteBody-IPR"/>
    <w:rsid w:val="00C35200"/>
    <w:rPr>
      <w:rFonts w:ascii="Calibri" w:eastAsia="Times New Roman" w:hAnsi="Calibri" w:cs="Times New Roman"/>
      <w:sz w:val="18"/>
      <w:szCs w:val="20"/>
    </w:rPr>
  </w:style>
  <w:style w:type="table" w:styleId="GridTable6Colorful-Accent3">
    <w:name w:val="Grid Table 6 Colorful Accent 3"/>
    <w:basedOn w:val="TableNormal"/>
    <w:uiPriority w:val="51"/>
    <w:rsid w:val="00C35200"/>
    <w:pPr>
      <w:spacing w:after="0" w:line="240" w:lineRule="auto"/>
    </w:pPr>
    <w:rPr>
      <w:rFonts w:ascii="Times New Roman" w:eastAsia="Times New Roman" w:hAnsi="Times New Roman" w:cs="Times New Roman"/>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rsid w:val="00C35200"/>
    <w:rPr>
      <w:sz w:val="20"/>
    </w:rPr>
  </w:style>
  <w:style w:type="character" w:customStyle="1" w:styleId="HeaderChar">
    <w:name w:val="Header Char"/>
    <w:basedOn w:val="DefaultParagraphFont"/>
    <w:link w:val="Header"/>
    <w:rsid w:val="00C35200"/>
    <w:rPr>
      <w:rFonts w:ascii="Garamond" w:eastAsia="Times New Roman" w:hAnsi="Garamond" w:cs="Times New Roman"/>
      <w:sz w:val="20"/>
      <w:szCs w:val="20"/>
    </w:rPr>
  </w:style>
  <w:style w:type="paragraph" w:customStyle="1" w:styleId="Header-1">
    <w:name w:val="Header-1"/>
    <w:rsid w:val="00C35200"/>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Heading0">
    <w:name w:val="Heading 0"/>
    <w:aliases w:val="H0-Chap Head"/>
    <w:basedOn w:val="Heading1"/>
    <w:rsid w:val="00C35200"/>
    <w:pPr>
      <w:tabs>
        <w:tab w:val="clear" w:pos="1152"/>
      </w:tabs>
    </w:pPr>
  </w:style>
  <w:style w:type="character" w:customStyle="1" w:styleId="Heading4Char">
    <w:name w:val="Heading 4 Char"/>
    <w:aliases w:val="H4-Sec. Head Char,H4 Sec.Heading Char"/>
    <w:basedOn w:val="DefaultParagraphFont"/>
    <w:link w:val="Heading4"/>
    <w:rsid w:val="00C35200"/>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C35200"/>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C35200"/>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C35200"/>
    <w:rPr>
      <w:rFonts w:ascii="Garamond" w:eastAsia="Times New Roman" w:hAnsi="Garamond" w:cs="Times New Roman"/>
      <w:sz w:val="24"/>
      <w:szCs w:val="20"/>
    </w:rPr>
  </w:style>
  <w:style w:type="character" w:styleId="HTMLCite">
    <w:name w:val="HTML Cite"/>
    <w:basedOn w:val="DefaultParagraphFont"/>
    <w:uiPriority w:val="99"/>
    <w:semiHidden/>
    <w:unhideWhenUsed/>
    <w:rsid w:val="00C35200"/>
    <w:rPr>
      <w:i/>
      <w:iCs/>
    </w:rPr>
  </w:style>
  <w:style w:type="character" w:styleId="Hyperlink">
    <w:name w:val="Hyperlink"/>
    <w:basedOn w:val="DefaultParagraphFont"/>
    <w:uiPriority w:val="99"/>
    <w:unhideWhenUsed/>
    <w:rsid w:val="00C35200"/>
    <w:rPr>
      <w:color w:val="0563C1" w:themeColor="hyperlink"/>
      <w:u w:val="single"/>
    </w:rPr>
  </w:style>
  <w:style w:type="character" w:customStyle="1" w:styleId="Hyperlink1">
    <w:name w:val="Hyperlink1"/>
    <w:basedOn w:val="DefaultParagraphFont"/>
    <w:uiPriority w:val="99"/>
    <w:unhideWhenUsed/>
    <w:rsid w:val="00C35200"/>
    <w:rPr>
      <w:color w:val="0000FF"/>
      <w:u w:val="single"/>
    </w:rPr>
  </w:style>
  <w:style w:type="table" w:customStyle="1" w:styleId="InsightTable">
    <w:name w:val="Insight Table"/>
    <w:basedOn w:val="TableNormal"/>
    <w:uiPriority w:val="99"/>
    <w:rsid w:val="00C3520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L1-FlLSp12">
    <w:name w:val="L1-FlL Sp&amp;1/2"/>
    <w:basedOn w:val="Normal"/>
    <w:link w:val="L1-FlLSp12Char"/>
    <w:qFormat/>
    <w:rsid w:val="00C35200"/>
    <w:pPr>
      <w:tabs>
        <w:tab w:val="left" w:pos="1152"/>
      </w:tabs>
      <w:spacing w:line="360" w:lineRule="atLeast"/>
    </w:pPr>
  </w:style>
  <w:style w:type="character" w:customStyle="1" w:styleId="L1-FlLSp12Char">
    <w:name w:val="L1-FlL Sp&amp;1/2 Char"/>
    <w:link w:val="L1-FlLSp12"/>
    <w:locked/>
    <w:rsid w:val="00C35200"/>
    <w:rPr>
      <w:rFonts w:ascii="Garamond" w:eastAsia="Times New Roman" w:hAnsi="Garamond" w:cs="Times New Roman"/>
      <w:sz w:val="24"/>
      <w:szCs w:val="20"/>
    </w:rPr>
  </w:style>
  <w:style w:type="table" w:styleId="LightList-Accent1">
    <w:name w:val="Light List Accent 1"/>
    <w:basedOn w:val="TableNormal"/>
    <w:uiPriority w:val="61"/>
    <w:rsid w:val="00C35200"/>
    <w:pPr>
      <w:widowControl w:val="0"/>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11">
    <w:name w:val="Light List - Accent 11"/>
    <w:basedOn w:val="TableNormal"/>
    <w:next w:val="LightList-Accent1"/>
    <w:uiPriority w:val="61"/>
    <w:rsid w:val="00C35200"/>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LineNumber">
    <w:name w:val="line number"/>
    <w:basedOn w:val="DefaultParagraphFont"/>
    <w:uiPriority w:val="99"/>
    <w:semiHidden/>
    <w:unhideWhenUsed/>
    <w:rsid w:val="00C35200"/>
  </w:style>
  <w:style w:type="paragraph" w:styleId="ListParagraph">
    <w:name w:val="List Paragraph"/>
    <w:basedOn w:val="Normal"/>
    <w:uiPriority w:val="34"/>
    <w:qFormat/>
    <w:rsid w:val="00C35200"/>
    <w:pPr>
      <w:numPr>
        <w:numId w:val="13"/>
      </w:numPr>
      <w:spacing w:after="240" w:line="360" w:lineRule="atLeast"/>
    </w:pPr>
    <w:rPr>
      <w:szCs w:val="24"/>
    </w:rPr>
  </w:style>
  <w:style w:type="paragraph" w:customStyle="1" w:styleId="N0-FlLftBullet">
    <w:name w:val="N0-Fl Lft Bullet"/>
    <w:basedOn w:val="Normal"/>
    <w:qFormat/>
    <w:rsid w:val="00C35200"/>
    <w:pPr>
      <w:tabs>
        <w:tab w:val="left" w:pos="576"/>
      </w:tabs>
      <w:spacing w:after="240"/>
      <w:ind w:left="576" w:hanging="576"/>
    </w:pPr>
  </w:style>
  <w:style w:type="paragraph" w:customStyle="1" w:styleId="N1-1stBullet">
    <w:name w:val="N1-1st Bullet"/>
    <w:basedOn w:val="Normal"/>
    <w:link w:val="N1-1stBulletChar"/>
    <w:qFormat/>
    <w:rsid w:val="00C35200"/>
    <w:pPr>
      <w:numPr>
        <w:numId w:val="14"/>
      </w:numPr>
      <w:spacing w:after="120"/>
    </w:pPr>
  </w:style>
  <w:style w:type="character" w:customStyle="1" w:styleId="N1-1stBulletChar">
    <w:name w:val="N1-1st Bullet Char"/>
    <w:basedOn w:val="DefaultParagraphFont"/>
    <w:link w:val="N1-1stBullet"/>
    <w:locked/>
    <w:rsid w:val="00C35200"/>
    <w:rPr>
      <w:rFonts w:ascii="Garamond" w:eastAsia="Times New Roman" w:hAnsi="Garamond" w:cs="Times New Roman"/>
      <w:sz w:val="24"/>
      <w:szCs w:val="20"/>
    </w:rPr>
  </w:style>
  <w:style w:type="paragraph" w:customStyle="1" w:styleId="N2-2ndBullet">
    <w:name w:val="N2-2nd Bullet"/>
    <w:basedOn w:val="Normal"/>
    <w:qFormat/>
    <w:rsid w:val="00C35200"/>
    <w:pPr>
      <w:numPr>
        <w:numId w:val="15"/>
      </w:numPr>
      <w:spacing w:after="120"/>
    </w:pPr>
  </w:style>
  <w:style w:type="paragraph" w:customStyle="1" w:styleId="N3-3rdBullet">
    <w:name w:val="N3-3rd Bullet"/>
    <w:basedOn w:val="Normal"/>
    <w:rsid w:val="00C35200"/>
    <w:pPr>
      <w:spacing w:after="120"/>
      <w:ind w:left="1440" w:hanging="720"/>
    </w:pPr>
  </w:style>
  <w:style w:type="paragraph" w:customStyle="1" w:styleId="N4-4thBullet">
    <w:name w:val="N4-4th Bullet"/>
    <w:basedOn w:val="Normal"/>
    <w:rsid w:val="00C35200"/>
    <w:pPr>
      <w:numPr>
        <w:numId w:val="16"/>
      </w:numPr>
      <w:spacing w:after="240"/>
    </w:pPr>
  </w:style>
  <w:style w:type="paragraph" w:customStyle="1" w:styleId="N5-5thBullet">
    <w:name w:val="N5-5th Bullet"/>
    <w:basedOn w:val="Normal"/>
    <w:rsid w:val="00C35200"/>
    <w:pPr>
      <w:tabs>
        <w:tab w:val="left" w:pos="3456"/>
      </w:tabs>
      <w:spacing w:after="240"/>
      <w:ind w:left="3456" w:hanging="576"/>
    </w:pPr>
  </w:style>
  <w:style w:type="paragraph" w:customStyle="1" w:styleId="N6-DateInd">
    <w:name w:val="N6-Date Ind."/>
    <w:basedOn w:val="Normal"/>
    <w:rsid w:val="00C35200"/>
    <w:pPr>
      <w:tabs>
        <w:tab w:val="left" w:pos="4910"/>
      </w:tabs>
      <w:ind w:left="4910"/>
    </w:pPr>
  </w:style>
  <w:style w:type="paragraph" w:customStyle="1" w:styleId="N7-3Block">
    <w:name w:val="N7-3&quot; Block"/>
    <w:basedOn w:val="Normal"/>
    <w:rsid w:val="00C35200"/>
    <w:pPr>
      <w:tabs>
        <w:tab w:val="left" w:pos="1152"/>
      </w:tabs>
      <w:ind w:left="1152" w:right="1152"/>
    </w:pPr>
  </w:style>
  <w:style w:type="paragraph" w:customStyle="1" w:styleId="N8-QxQBlock">
    <w:name w:val="N8-QxQ Block"/>
    <w:basedOn w:val="Normal"/>
    <w:rsid w:val="00C35200"/>
    <w:pPr>
      <w:tabs>
        <w:tab w:val="left" w:pos="1152"/>
      </w:tabs>
      <w:spacing w:after="360" w:line="360" w:lineRule="atLeast"/>
      <w:ind w:left="1152" w:hanging="1152"/>
    </w:pPr>
  </w:style>
  <w:style w:type="paragraph" w:customStyle="1" w:styleId="NL-1stNumberedBullet">
    <w:name w:val="NL-1st Numbered Bullet"/>
    <w:basedOn w:val="Normal"/>
    <w:qFormat/>
    <w:rsid w:val="00C35200"/>
    <w:pPr>
      <w:numPr>
        <w:numId w:val="17"/>
      </w:numPr>
      <w:spacing w:after="120" w:line="276" w:lineRule="auto"/>
    </w:pPr>
    <w:rPr>
      <w:rFonts w:eastAsiaTheme="minorHAnsi"/>
      <w:noProof/>
      <w:snapToGrid w:val="0"/>
      <w:szCs w:val="22"/>
    </w:rPr>
  </w:style>
  <w:style w:type="numbering" w:customStyle="1" w:styleId="NoList1">
    <w:name w:val="No List1"/>
    <w:next w:val="NoList"/>
    <w:uiPriority w:val="99"/>
    <w:semiHidden/>
    <w:unhideWhenUsed/>
    <w:rsid w:val="00C35200"/>
  </w:style>
  <w:style w:type="paragraph" w:styleId="NormalWeb">
    <w:name w:val="Normal (Web)"/>
    <w:basedOn w:val="Normal"/>
    <w:uiPriority w:val="99"/>
    <w:semiHidden/>
    <w:unhideWhenUsed/>
    <w:rsid w:val="00C35200"/>
    <w:pPr>
      <w:spacing w:line="240" w:lineRule="auto"/>
    </w:pPr>
    <w:rPr>
      <w:rFonts w:ascii="Times New Roman" w:eastAsia="Calibri" w:hAnsi="Times New Roman"/>
      <w:szCs w:val="24"/>
    </w:rPr>
  </w:style>
  <w:style w:type="paragraph" w:customStyle="1" w:styleId="P1-StandPara">
    <w:name w:val="P1-Stand Para"/>
    <w:basedOn w:val="Normal"/>
    <w:link w:val="P1-StandParaChar"/>
    <w:rsid w:val="00C35200"/>
    <w:pPr>
      <w:spacing w:line="360" w:lineRule="atLeast"/>
      <w:ind w:firstLine="1152"/>
    </w:pPr>
  </w:style>
  <w:style w:type="character" w:customStyle="1" w:styleId="P1-StandParaChar">
    <w:name w:val="P1-Stand Para Char"/>
    <w:link w:val="P1-StandPara"/>
    <w:rsid w:val="00C35200"/>
    <w:rPr>
      <w:rFonts w:ascii="Garamond" w:eastAsia="Times New Roman" w:hAnsi="Garamond" w:cs="Times New Roman"/>
      <w:sz w:val="24"/>
      <w:szCs w:val="20"/>
    </w:rPr>
  </w:style>
  <w:style w:type="character" w:styleId="PageNumber">
    <w:name w:val="page number"/>
    <w:basedOn w:val="DefaultParagraphFont"/>
    <w:rsid w:val="00C35200"/>
  </w:style>
  <w:style w:type="table" w:styleId="PlainTable1">
    <w:name w:val="Plain Table 1"/>
    <w:basedOn w:val="TableNormal"/>
    <w:uiPriority w:val="41"/>
    <w:rsid w:val="00C3520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1-BestFinQ">
    <w:name w:val="Q1-Best/Fin Q"/>
    <w:rsid w:val="00C35200"/>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C35200"/>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link w:val="R1-ResParaChar"/>
    <w:rsid w:val="00C35200"/>
    <w:pPr>
      <w:spacing w:after="0" w:line="240" w:lineRule="atLeast"/>
      <w:ind w:left="288"/>
    </w:pPr>
    <w:rPr>
      <w:rFonts w:ascii="Garamond" w:eastAsia="Times New Roman" w:hAnsi="Garamond" w:cs="Times New Roman"/>
      <w:sz w:val="24"/>
      <w:szCs w:val="20"/>
    </w:rPr>
  </w:style>
  <w:style w:type="character" w:customStyle="1" w:styleId="R1-ResParaChar">
    <w:name w:val="R1-Res. Para Char"/>
    <w:link w:val="R1-ResPara"/>
    <w:locked/>
    <w:rsid w:val="00C35200"/>
    <w:rPr>
      <w:rFonts w:ascii="Garamond" w:eastAsia="Times New Roman" w:hAnsi="Garamond" w:cs="Times New Roman"/>
      <w:sz w:val="24"/>
      <w:szCs w:val="20"/>
    </w:rPr>
  </w:style>
  <w:style w:type="paragraph" w:customStyle="1" w:styleId="R2-ResBullet">
    <w:name w:val="R2-Res Bullet"/>
    <w:basedOn w:val="Normal"/>
    <w:rsid w:val="00C35200"/>
    <w:pPr>
      <w:tabs>
        <w:tab w:val="left" w:pos="720"/>
      </w:tabs>
      <w:ind w:left="720" w:hanging="432"/>
    </w:pPr>
  </w:style>
  <w:style w:type="paragraph" w:customStyle="1" w:styleId="ReportCover-AuthorName">
    <w:name w:val="ReportCover-AuthorName"/>
    <w:basedOn w:val="Normal"/>
    <w:rsid w:val="00C35200"/>
    <w:rPr>
      <w:rFonts w:ascii="Franklin Gothic Medium" w:hAnsi="Franklin Gothic Medium"/>
      <w:color w:val="003C79"/>
      <w:sz w:val="22"/>
      <w:szCs w:val="22"/>
    </w:rPr>
  </w:style>
  <w:style w:type="paragraph" w:customStyle="1" w:styleId="ReportCover-AuthorsHead">
    <w:name w:val="ReportCover-AuthorsHead"/>
    <w:basedOn w:val="Normal"/>
    <w:rsid w:val="00C35200"/>
    <w:rPr>
      <w:rFonts w:ascii="Franklin Gothic Medium" w:hAnsi="Franklin Gothic Medium"/>
      <w:b/>
      <w:color w:val="003C79"/>
      <w:szCs w:val="24"/>
    </w:rPr>
  </w:style>
  <w:style w:type="paragraph" w:customStyle="1" w:styleId="ReportCover-Date">
    <w:name w:val="ReportCover-Date"/>
    <w:basedOn w:val="Normal"/>
    <w:rsid w:val="00C35200"/>
    <w:rPr>
      <w:rFonts w:ascii="Franklin Gothic Medium" w:hAnsi="Franklin Gothic Medium"/>
      <w:b/>
      <w:color w:val="003C79"/>
      <w:sz w:val="28"/>
    </w:rPr>
  </w:style>
  <w:style w:type="paragraph" w:customStyle="1" w:styleId="ReportCover-Prepared">
    <w:name w:val="ReportCover-Prepared"/>
    <w:basedOn w:val="Normal"/>
    <w:rsid w:val="00C35200"/>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C35200"/>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C35200"/>
    <w:pPr>
      <w:spacing w:line="480" w:lineRule="exact"/>
    </w:pPr>
    <w:rPr>
      <w:rFonts w:ascii="Franklin Gothic Medium" w:hAnsi="Franklin Gothic Medium"/>
      <w:b/>
      <w:color w:val="003C79"/>
      <w:sz w:val="44"/>
      <w:szCs w:val="40"/>
    </w:rPr>
  </w:style>
  <w:style w:type="paragraph" w:customStyle="1" w:styleId="RF-Reference">
    <w:name w:val="RF-Reference"/>
    <w:basedOn w:val="Normal"/>
    <w:rsid w:val="00C35200"/>
    <w:pPr>
      <w:spacing w:line="240" w:lineRule="exact"/>
      <w:ind w:left="216" w:hanging="216"/>
    </w:pPr>
  </w:style>
  <w:style w:type="paragraph" w:customStyle="1" w:styleId="RH-SglSpHead">
    <w:name w:val="RH-Sgl Sp Head"/>
    <w:next w:val="Normal"/>
    <w:rsid w:val="00C35200"/>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C35200"/>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C35200"/>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C35200"/>
  </w:style>
  <w:style w:type="character" w:customStyle="1" w:styleId="slug-issue">
    <w:name w:val="slug-issue"/>
    <w:basedOn w:val="DefaultParagraphFont"/>
    <w:rsid w:val="00C35200"/>
  </w:style>
  <w:style w:type="character" w:customStyle="1" w:styleId="slug-pages3">
    <w:name w:val="slug-pages3"/>
    <w:basedOn w:val="DefaultParagraphFont"/>
    <w:rsid w:val="00C35200"/>
    <w:rPr>
      <w:b/>
      <w:bCs/>
    </w:rPr>
  </w:style>
  <w:style w:type="character" w:customStyle="1" w:styleId="slug-pub-date3">
    <w:name w:val="slug-pub-date3"/>
    <w:basedOn w:val="DefaultParagraphFont"/>
    <w:rsid w:val="00C35200"/>
    <w:rPr>
      <w:b/>
      <w:bCs/>
    </w:rPr>
  </w:style>
  <w:style w:type="character" w:customStyle="1" w:styleId="slug-vol">
    <w:name w:val="slug-vol"/>
    <w:basedOn w:val="DefaultParagraphFont"/>
    <w:rsid w:val="00C35200"/>
  </w:style>
  <w:style w:type="paragraph" w:customStyle="1" w:styleId="SP-SglSpPara">
    <w:name w:val="SP-Sgl Sp Para"/>
    <w:basedOn w:val="Normal"/>
    <w:rsid w:val="00C35200"/>
    <w:pPr>
      <w:tabs>
        <w:tab w:val="left" w:pos="576"/>
      </w:tabs>
      <w:ind w:firstLine="576"/>
    </w:pPr>
  </w:style>
  <w:style w:type="character" w:customStyle="1" w:styleId="st1">
    <w:name w:val="st1"/>
    <w:basedOn w:val="DefaultParagraphFont"/>
    <w:rsid w:val="00C35200"/>
  </w:style>
  <w:style w:type="character" w:styleId="Strong">
    <w:name w:val="Strong"/>
    <w:basedOn w:val="DefaultParagraphFont"/>
    <w:uiPriority w:val="22"/>
    <w:rsid w:val="00C35200"/>
    <w:rPr>
      <w:b/>
      <w:bCs/>
    </w:rPr>
  </w:style>
  <w:style w:type="paragraph" w:customStyle="1" w:styleId="SU-FlLftUndln">
    <w:name w:val="SU-Fl Lft Undln"/>
    <w:basedOn w:val="Normal"/>
    <w:rsid w:val="00C35200"/>
    <w:pPr>
      <w:keepNext/>
      <w:spacing w:line="240" w:lineRule="exact"/>
    </w:pPr>
    <w:rPr>
      <w:u w:val="single"/>
    </w:rPr>
  </w:style>
  <w:style w:type="paragraph" w:customStyle="1" w:styleId="T0-ChapPgHd">
    <w:name w:val="T0-Chap/Pg Hd"/>
    <w:basedOn w:val="Normal"/>
    <w:rsid w:val="00C35200"/>
    <w:pPr>
      <w:tabs>
        <w:tab w:val="left" w:pos="8640"/>
      </w:tabs>
    </w:pPr>
    <w:rPr>
      <w:rFonts w:ascii="Franklin Gothic Medium" w:hAnsi="Franklin Gothic Medium"/>
      <w:u w:val="words"/>
    </w:rPr>
  </w:style>
  <w:style w:type="table" w:styleId="TableGrid">
    <w:name w:val="Table Grid"/>
    <w:basedOn w:val="TableNormal"/>
    <w:uiPriority w:val="59"/>
    <w:rsid w:val="00C352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4-WPN18-523">
    <w:name w:val="Table 4-WPN 18-523"/>
    <w:basedOn w:val="TableGrid"/>
    <w:uiPriority w:val="99"/>
    <w:rsid w:val="00C35200"/>
    <w:pPr>
      <w:spacing w:line="240" w:lineRule="atLeast"/>
    </w:pPr>
    <w:rPr>
      <w:rFonts w:eastAsiaTheme="minorEastAsia" w:cstheme="minorBidi"/>
      <w:color w:val="14487C"/>
      <w:szCs w:val="22"/>
      <w:lang w:eastAsia="ko-KR"/>
    </w:rPr>
    <w:tblPr>
      <w:tblStyleRowBandSize w:val="1"/>
      <w:tblStyleColBandSize w:val="1"/>
      <w:tblBorders>
        <w:top w:val="none" w:sz="0" w:space="0" w:color="auto"/>
        <w:left w:val="none" w:sz="0" w:space="0" w:color="auto"/>
        <w:bottom w:val="single" w:sz="12" w:space="0" w:color="6DA650"/>
        <w:right w:val="none" w:sz="0" w:space="0" w:color="auto"/>
        <w:insideH w:val="single" w:sz="18" w:space="0" w:color="FFFFFF" w:themeColor="background1"/>
        <w:insideV w:val="single" w:sz="18" w:space="0" w:color="FFFFFF" w:themeColor="background1"/>
      </w:tblBorders>
      <w:tblCellMar>
        <w:top w:w="14" w:type="dxa"/>
        <w:left w:w="72" w:type="dxa"/>
        <w:bottom w:w="14" w:type="dxa"/>
        <w:right w:w="72" w:type="dxa"/>
      </w:tblCellMar>
    </w:tblPr>
    <w:tcPr>
      <w:shd w:val="clear" w:color="auto" w:fill="FFFFFF" w:themeFill="background1"/>
    </w:tcPr>
    <w:tblStylePr w:type="firstRow">
      <w:pPr>
        <w:wordWrap/>
        <w:spacing w:beforeLines="0" w:before="40" w:beforeAutospacing="0" w:afterLines="0" w:after="40" w:afterAutospacing="0"/>
        <w:jc w:val="center"/>
      </w:pPr>
      <w:rPr>
        <w:rFonts w:ascii="Times New Roman" w:hAnsi="Times New Roman"/>
        <w:b w:val="0"/>
        <w:color w:val="FFFFFF" w:themeColor="background1"/>
        <w:sz w:val="20"/>
      </w:rPr>
      <w:tblPr/>
      <w:tcPr>
        <w:tcBorders>
          <w:top w:val="single" w:sz="18" w:space="0" w:color="FFFFFF" w:themeColor="background1"/>
          <w:insideV w:val="single" w:sz="18" w:space="0" w:color="FFFFFF" w:themeColor="background1"/>
        </w:tcBorders>
        <w:shd w:val="clear" w:color="auto" w:fill="6DA650"/>
      </w:tcPr>
    </w:tblStylePr>
    <w:tblStylePr w:type="lastRow">
      <w:rPr>
        <w:rFonts w:ascii="Times New Roman" w:hAnsi="Times New Roman"/>
        <w:color w:val="14487C"/>
        <w:sz w:val="20"/>
      </w:rPr>
      <w:tblPr/>
      <w:tcPr>
        <w:shd w:val="clear" w:color="auto" w:fill="DFECD8"/>
      </w:tcPr>
    </w:tblStylePr>
    <w:tblStylePr w:type="firstCol">
      <w:pPr>
        <w:wordWrap/>
        <w:jc w:val="left"/>
      </w:pPr>
      <w:rPr>
        <w:rFonts w:ascii="Times New Roman" w:hAnsi="Times New Roman"/>
        <w:b w:val="0"/>
        <w:color w:val="FFFFFF" w:themeColor="background1"/>
        <w:sz w:val="20"/>
      </w:rPr>
      <w:tblPr/>
      <w:tcPr>
        <w:shd w:val="clear" w:color="auto" w:fill="6DA650"/>
      </w:tcPr>
    </w:tblStylePr>
    <w:tblStylePr w:type="band1Vert">
      <w:rPr>
        <w:color w:val="14487C"/>
      </w:rPr>
      <w:tblPr/>
      <w:tcPr>
        <w:tcBorders>
          <w:insideH w:val="single" w:sz="6" w:space="0" w:color="009CC2"/>
        </w:tcBorders>
      </w:tcPr>
    </w:tblStylePr>
    <w:tblStylePr w:type="band2Vert">
      <w:pPr>
        <w:wordWrap/>
        <w:jc w:val="left"/>
      </w:pPr>
      <w:rPr>
        <w:color w:val="14487C"/>
      </w:rPr>
    </w:tblStylePr>
    <w:tblStylePr w:type="band1Horz">
      <w:pPr>
        <w:jc w:val="left"/>
      </w:pPr>
      <w:rPr>
        <w:rFonts w:ascii="Times New Roman" w:hAnsi="Times New Roman"/>
        <w:color w:val="14487C"/>
        <w:sz w:val="20"/>
      </w:rPr>
      <w:tblPr/>
      <w:tcPr>
        <w:shd w:val="clear" w:color="auto" w:fill="DFECD8"/>
      </w:tcPr>
    </w:tblStylePr>
    <w:tblStylePr w:type="band2Horz">
      <w:pPr>
        <w:jc w:val="left"/>
      </w:pPr>
      <w:rPr>
        <w:color w:val="14487C"/>
      </w:rPr>
      <w:tblPr/>
      <w:tcPr>
        <w:shd w:val="clear" w:color="auto" w:fill="DFECD8"/>
      </w:tcPr>
    </w:tblStylePr>
  </w:style>
  <w:style w:type="table" w:customStyle="1" w:styleId="Table4-WPN18-523R">
    <w:name w:val="Table 4-WPN 18-523R"/>
    <w:basedOn w:val="TableGrid"/>
    <w:uiPriority w:val="99"/>
    <w:rsid w:val="00C35200"/>
    <w:pPr>
      <w:spacing w:line="240" w:lineRule="atLeast"/>
    </w:pPr>
    <w:rPr>
      <w:rFonts w:eastAsiaTheme="minorEastAsia" w:cstheme="minorBidi"/>
      <w:color w:val="14487C"/>
      <w:szCs w:val="22"/>
      <w:lang w:eastAsia="ko-KR"/>
    </w:rPr>
    <w:tblPr>
      <w:tblStyleRowBandSize w:val="1"/>
      <w:tblStyleColBandSize w:val="1"/>
      <w:tblBorders>
        <w:top w:val="none" w:sz="0" w:space="0" w:color="auto"/>
        <w:left w:val="none" w:sz="0" w:space="0" w:color="auto"/>
        <w:bottom w:val="single" w:sz="12" w:space="0" w:color="6DA650"/>
        <w:right w:val="none" w:sz="0" w:space="0" w:color="auto"/>
        <w:insideH w:val="single" w:sz="18" w:space="0" w:color="FFFFFF" w:themeColor="background1"/>
        <w:insideV w:val="single" w:sz="18" w:space="0" w:color="FFFFFF" w:themeColor="background1"/>
      </w:tblBorders>
      <w:tblCellMar>
        <w:top w:w="14" w:type="dxa"/>
        <w:left w:w="72" w:type="dxa"/>
        <w:bottom w:w="14" w:type="dxa"/>
        <w:right w:w="72" w:type="dxa"/>
      </w:tblCellMar>
    </w:tblPr>
    <w:tcPr>
      <w:shd w:val="clear" w:color="auto" w:fill="FFFFFF" w:themeFill="background1"/>
    </w:tcPr>
    <w:tblStylePr w:type="firstRow">
      <w:pPr>
        <w:wordWrap/>
        <w:spacing w:beforeLines="0" w:before="40" w:beforeAutospacing="0" w:afterLines="0" w:after="40" w:afterAutospacing="0"/>
        <w:jc w:val="center"/>
      </w:pPr>
      <w:rPr>
        <w:rFonts w:ascii="Times New Roman" w:hAnsi="Times New Roman"/>
        <w:b w:val="0"/>
        <w:color w:val="FFFFFF" w:themeColor="background1"/>
        <w:sz w:val="20"/>
      </w:rPr>
      <w:tblPr/>
      <w:tcPr>
        <w:tcBorders>
          <w:top w:val="single" w:sz="18" w:space="0" w:color="FFFFFF" w:themeColor="background1"/>
          <w:insideV w:val="single" w:sz="18" w:space="0" w:color="FFFFFF" w:themeColor="background1"/>
        </w:tcBorders>
        <w:shd w:val="clear" w:color="auto" w:fill="6DA650"/>
      </w:tcPr>
    </w:tblStylePr>
    <w:tblStylePr w:type="lastRow">
      <w:rPr>
        <w:rFonts w:ascii="Times New Roman" w:hAnsi="Times New Roman"/>
        <w:color w:val="14487C"/>
        <w:sz w:val="20"/>
      </w:rPr>
      <w:tblPr/>
      <w:tcPr>
        <w:shd w:val="clear" w:color="auto" w:fill="DFECD8"/>
      </w:tcPr>
    </w:tblStylePr>
    <w:tblStylePr w:type="firstCol">
      <w:pPr>
        <w:wordWrap/>
        <w:jc w:val="left"/>
      </w:pPr>
      <w:rPr>
        <w:rFonts w:ascii="Times New Roman" w:hAnsi="Times New Roman"/>
        <w:b w:val="0"/>
        <w:color w:val="FFFFFF" w:themeColor="background1"/>
        <w:sz w:val="20"/>
      </w:rPr>
      <w:tblPr/>
      <w:tcPr>
        <w:shd w:val="clear" w:color="auto" w:fill="6DA650"/>
      </w:tcPr>
    </w:tblStylePr>
    <w:tblStylePr w:type="band1Vert">
      <w:rPr>
        <w:color w:val="14487C"/>
      </w:rPr>
      <w:tblPr/>
      <w:tcPr>
        <w:tcBorders>
          <w:insideH w:val="single" w:sz="6" w:space="0" w:color="009CC2"/>
        </w:tcBorders>
      </w:tcPr>
    </w:tblStylePr>
    <w:tblStylePr w:type="band2Vert">
      <w:pPr>
        <w:wordWrap/>
        <w:jc w:val="left"/>
      </w:pPr>
      <w:rPr>
        <w:color w:val="14487C"/>
      </w:rPr>
    </w:tblStylePr>
    <w:tblStylePr w:type="band1Horz">
      <w:pPr>
        <w:jc w:val="left"/>
      </w:pPr>
      <w:rPr>
        <w:rFonts w:ascii="Times New Roman" w:hAnsi="Times New Roman"/>
        <w:color w:val="14487C"/>
        <w:sz w:val="20"/>
      </w:rPr>
      <w:tblPr/>
      <w:tcPr>
        <w:shd w:val="clear" w:color="auto" w:fill="DFECD8"/>
      </w:tcPr>
    </w:tblStylePr>
    <w:tblStylePr w:type="band2Horz">
      <w:pPr>
        <w:jc w:val="left"/>
      </w:pPr>
      <w:rPr>
        <w:color w:val="14487C"/>
      </w:rPr>
      <w:tblPr/>
      <w:tcPr>
        <w:shd w:val="clear" w:color="auto" w:fill="DFECD8"/>
      </w:tcPr>
    </w:tblStylePr>
  </w:style>
  <w:style w:type="table" w:customStyle="1" w:styleId="TableGrid1">
    <w:name w:val="Table Grid1"/>
    <w:basedOn w:val="TableNormal"/>
    <w:next w:val="TableGrid"/>
    <w:uiPriority w:val="59"/>
    <w:rsid w:val="00C35200"/>
    <w:pPr>
      <w:spacing w:after="0" w:line="240" w:lineRule="auto"/>
    </w:pPr>
    <w:rPr>
      <w:rFonts w:ascii="Calibri" w:eastAsia="Times New Roman" w:hAnsi="Calibri"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3520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35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5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35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C35200"/>
  </w:style>
  <w:style w:type="paragraph" w:customStyle="1" w:styleId="TableParagraph">
    <w:name w:val="Table Paragraph"/>
    <w:basedOn w:val="Normal"/>
    <w:uiPriority w:val="1"/>
    <w:qFormat/>
    <w:rsid w:val="00C35200"/>
    <w:pPr>
      <w:widowControl w:val="0"/>
      <w:spacing w:line="240" w:lineRule="auto"/>
    </w:pPr>
    <w:rPr>
      <w:rFonts w:asciiTheme="minorHAnsi" w:eastAsiaTheme="minorHAnsi" w:hAnsiTheme="minorHAnsi" w:cstheme="minorBidi"/>
      <w:sz w:val="22"/>
      <w:szCs w:val="22"/>
    </w:rPr>
  </w:style>
  <w:style w:type="table" w:customStyle="1" w:styleId="TableWestatStandardFormat">
    <w:name w:val="Table Westat Standard Format"/>
    <w:basedOn w:val="TableNormal"/>
    <w:rsid w:val="00C35200"/>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1">
    <w:name w:val="Table Westat Standard Format1"/>
    <w:basedOn w:val="TableNormal"/>
    <w:rsid w:val="00C35200"/>
    <w:pPr>
      <w:spacing w:after="0" w:line="240" w:lineRule="auto"/>
    </w:pPr>
    <w:rPr>
      <w:rFonts w:ascii="Franklin Gothic Medium" w:eastAsia="Times New Roman" w:hAnsi="Franklin Gothic Medium" w:cs="Times New Roman"/>
      <w:sz w:val="20"/>
      <w:szCs w:val="20"/>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uiPriority w:val="99"/>
    <w:rsid w:val="00C35200"/>
    <w:pPr>
      <w:spacing w:after="0" w:line="240" w:lineRule="auto"/>
    </w:pPr>
    <w:rPr>
      <w:rFonts w:ascii="Franklin Gothic Medium" w:eastAsia="Times New Roman" w:hAnsi="Franklin Gothic Medium" w:cs="Times New Roman"/>
      <w:sz w:val="20"/>
      <w:szCs w:val="20"/>
      <w:lang w:val="en-IN" w:eastAsia="en-IN"/>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ableHeaderRow-IPR">
    <w:name w:val="TableHeaderRow-IPR"/>
    <w:link w:val="TableHeaderRow-IPRChar"/>
    <w:qFormat/>
    <w:rsid w:val="00C3520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C35200"/>
    <w:rPr>
      <w:rFonts w:ascii="Lucida Sans" w:eastAsia="Times New Roman" w:hAnsi="Lucida Sans" w:cs="Lucida Sans Unicode"/>
      <w:b/>
      <w:sz w:val="18"/>
      <w:szCs w:val="24"/>
    </w:rPr>
  </w:style>
  <w:style w:type="paragraph" w:customStyle="1" w:styleId="TableText-IPR">
    <w:name w:val="TableText-IPR"/>
    <w:link w:val="TableText-IPRChar"/>
    <w:qFormat/>
    <w:rsid w:val="00C35200"/>
    <w:pPr>
      <w:spacing w:after="0" w:line="240" w:lineRule="auto"/>
    </w:pPr>
    <w:rPr>
      <w:rFonts w:ascii="Calibri" w:eastAsiaTheme="minorEastAsia" w:hAnsi="Calibri" w:cs="Times New Roman"/>
      <w:sz w:val="20"/>
      <w:szCs w:val="20"/>
    </w:rPr>
  </w:style>
  <w:style w:type="character" w:customStyle="1" w:styleId="TableText-IPRChar">
    <w:name w:val="TableText-IPR Char"/>
    <w:basedOn w:val="DefaultParagraphFont"/>
    <w:link w:val="TableText-IPR"/>
    <w:rsid w:val="00C35200"/>
    <w:rPr>
      <w:rFonts w:ascii="Calibri" w:eastAsiaTheme="minorEastAsia" w:hAnsi="Calibri" w:cs="Times New Roman"/>
      <w:sz w:val="20"/>
      <w:szCs w:val="20"/>
    </w:rPr>
  </w:style>
  <w:style w:type="paragraph" w:customStyle="1" w:styleId="TableTitle-IPR">
    <w:name w:val="TableTitle-IPR"/>
    <w:link w:val="TableTitle-IPRChar"/>
    <w:qFormat/>
    <w:rsid w:val="00C35200"/>
    <w:pPr>
      <w:keepNext/>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C35200"/>
    <w:rPr>
      <w:rFonts w:ascii="Calibri" w:eastAsia="Times New Roman" w:hAnsi="Calibri" w:cs="Times New Roman"/>
      <w:b/>
      <w:i/>
      <w:szCs w:val="24"/>
    </w:rPr>
  </w:style>
  <w:style w:type="paragraph" w:customStyle="1" w:styleId="TX-TableText">
    <w:name w:val="TX-Table Text"/>
    <w:basedOn w:val="Normal"/>
    <w:qFormat/>
    <w:rsid w:val="00C35200"/>
    <w:rPr>
      <w:rFonts w:ascii="Franklin Gothic Medium" w:hAnsi="Franklin Gothic Medium"/>
      <w:sz w:val="20"/>
    </w:rPr>
  </w:style>
  <w:style w:type="paragraph" w:customStyle="1" w:styleId="TB-TableBullet">
    <w:name w:val="TB-Table Bullet"/>
    <w:basedOn w:val="TX-TableText"/>
    <w:qFormat/>
    <w:rsid w:val="00C35200"/>
    <w:pPr>
      <w:numPr>
        <w:numId w:val="18"/>
      </w:numPr>
    </w:pPr>
  </w:style>
  <w:style w:type="paragraph" w:customStyle="1" w:styleId="TC-TableofContentsHeading">
    <w:name w:val="TC-Table of Contents Heading"/>
    <w:basedOn w:val="Heading1"/>
    <w:next w:val="T0-ChapPgHd"/>
    <w:rsid w:val="00C3520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C35200"/>
    <w:rPr>
      <w:rFonts w:ascii="Franklin Gothic Medium" w:hAnsi="Franklin Gothic Medium"/>
      <w:sz w:val="16"/>
    </w:rPr>
  </w:style>
  <w:style w:type="paragraph" w:customStyle="1" w:styleId="TH-TableHeading">
    <w:name w:val="TH-Table Heading"/>
    <w:qFormat/>
    <w:rsid w:val="00C35200"/>
    <w:pPr>
      <w:keepNext/>
      <w:spacing w:before="20" w:after="20" w:line="240" w:lineRule="atLeast"/>
      <w:jc w:val="center"/>
    </w:pPr>
    <w:rPr>
      <w:rFonts w:ascii="Franklin Gothic Medium" w:eastAsia="Times New Roman" w:hAnsi="Franklin Gothic Medium" w:cs="Times New Roman"/>
      <w:b/>
      <w:sz w:val="20"/>
      <w:szCs w:val="20"/>
    </w:rPr>
  </w:style>
  <w:style w:type="paragraph" w:styleId="TOC1">
    <w:name w:val="toc 1"/>
    <w:basedOn w:val="Normal"/>
    <w:uiPriority w:val="39"/>
    <w:rsid w:val="00C35200"/>
    <w:pPr>
      <w:tabs>
        <w:tab w:val="left" w:pos="1440"/>
        <w:tab w:val="right" w:leader="dot" w:pos="8208"/>
        <w:tab w:val="left" w:pos="8640"/>
      </w:tabs>
      <w:ind w:left="1440" w:right="1800" w:hanging="1152"/>
    </w:pPr>
  </w:style>
  <w:style w:type="paragraph" w:styleId="TOC2">
    <w:name w:val="toc 2"/>
    <w:basedOn w:val="Normal"/>
    <w:uiPriority w:val="39"/>
    <w:rsid w:val="00C35200"/>
    <w:pPr>
      <w:tabs>
        <w:tab w:val="left" w:pos="2160"/>
        <w:tab w:val="right" w:leader="dot" w:pos="8208"/>
        <w:tab w:val="left" w:pos="8640"/>
      </w:tabs>
      <w:ind w:left="2160" w:right="1800" w:hanging="720"/>
    </w:pPr>
    <w:rPr>
      <w:szCs w:val="22"/>
    </w:rPr>
  </w:style>
  <w:style w:type="paragraph" w:styleId="TOC3">
    <w:name w:val="toc 3"/>
    <w:basedOn w:val="Normal"/>
    <w:uiPriority w:val="39"/>
    <w:rsid w:val="00C35200"/>
    <w:pPr>
      <w:tabs>
        <w:tab w:val="left" w:pos="3024"/>
        <w:tab w:val="right" w:leader="dot" w:pos="8208"/>
        <w:tab w:val="left" w:pos="8640"/>
      </w:tabs>
      <w:ind w:left="3024" w:right="1800" w:hanging="864"/>
    </w:pPr>
  </w:style>
  <w:style w:type="paragraph" w:styleId="TOC4">
    <w:name w:val="toc 4"/>
    <w:basedOn w:val="Normal"/>
    <w:semiHidden/>
    <w:rsid w:val="00C35200"/>
    <w:pPr>
      <w:tabs>
        <w:tab w:val="left" w:pos="3888"/>
        <w:tab w:val="right" w:leader="dot" w:pos="8208"/>
        <w:tab w:val="left" w:pos="8640"/>
      </w:tabs>
      <w:ind w:left="3888" w:right="1800" w:hanging="864"/>
    </w:pPr>
  </w:style>
  <w:style w:type="paragraph" w:styleId="TOC5">
    <w:name w:val="toc 5"/>
    <w:basedOn w:val="Normal"/>
    <w:uiPriority w:val="39"/>
    <w:qFormat/>
    <w:rsid w:val="00C35200"/>
    <w:pPr>
      <w:tabs>
        <w:tab w:val="left" w:pos="1440"/>
        <w:tab w:val="right" w:leader="dot" w:pos="8208"/>
        <w:tab w:val="left" w:pos="8640"/>
      </w:tabs>
      <w:ind w:left="1440" w:right="1800" w:hanging="1152"/>
    </w:pPr>
  </w:style>
  <w:style w:type="paragraph" w:styleId="TOC6">
    <w:name w:val="toc 6"/>
    <w:semiHidden/>
    <w:rsid w:val="00C35200"/>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C35200"/>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C35200"/>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C35200"/>
    <w:pPr>
      <w:tabs>
        <w:tab w:val="right" w:leader="dot" w:pos="8208"/>
        <w:tab w:val="left" w:pos="8640"/>
      </w:tabs>
      <w:spacing w:after="0" w:line="240" w:lineRule="auto"/>
      <w:ind w:left="3024"/>
    </w:pPr>
    <w:rPr>
      <w:rFonts w:ascii="Garamond" w:eastAsia="Times New Roman" w:hAnsi="Garamond" w:cs="Times New Roman"/>
      <w:sz w:val="24"/>
    </w:rPr>
  </w:style>
  <w:style w:type="paragraph" w:styleId="TOCHeading">
    <w:name w:val="TOC Heading"/>
    <w:basedOn w:val="Heading1"/>
    <w:next w:val="Normal"/>
    <w:uiPriority w:val="39"/>
    <w:unhideWhenUsed/>
    <w:qFormat/>
    <w:rsid w:val="00C35200"/>
    <w:pPr>
      <w:keepLines/>
      <w:tabs>
        <w:tab w:val="clear" w:pos="1152"/>
      </w:tabs>
      <w:spacing w:before="480" w:line="276" w:lineRule="auto"/>
      <w:jc w:val="left"/>
      <w:outlineLvl w:val="9"/>
    </w:pPr>
    <w:rPr>
      <w:rFonts w:asciiTheme="majorHAnsi" w:eastAsiaTheme="majorEastAsia" w:hAnsiTheme="majorHAnsi" w:cstheme="majorBidi"/>
      <w:bCs/>
      <w:color w:val="2E74B5" w:themeColor="accent1" w:themeShade="BF"/>
      <w:sz w:val="28"/>
      <w:szCs w:val="28"/>
      <w:lang w:eastAsia="ja-JP"/>
    </w:rPr>
  </w:style>
  <w:style w:type="paragraph" w:customStyle="1" w:styleId="footnotedescription">
    <w:name w:val="footnote description"/>
    <w:next w:val="Normal"/>
    <w:link w:val="footnotedescriptionChar"/>
    <w:hidden/>
    <w:rsid w:val="00C35200"/>
    <w:pPr>
      <w:spacing w:after="0" w:line="257"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C35200"/>
    <w:rPr>
      <w:rFonts w:ascii="Times New Roman" w:eastAsia="Times New Roman" w:hAnsi="Times New Roman" w:cs="Times New Roman"/>
      <w:color w:val="000000"/>
      <w:sz w:val="20"/>
    </w:rPr>
  </w:style>
  <w:style w:type="character" w:customStyle="1" w:styleId="footnotemark">
    <w:name w:val="footnote mark"/>
    <w:hidden/>
    <w:rsid w:val="00C35200"/>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icworks.fns.usda.gov/wicworks/Learning_Center/ntredguidance.pdf" TargetMode="External"/><Relationship Id="rId2" Type="http://schemas.openxmlformats.org/officeDocument/2006/relationships/hyperlink" Target="https://wicworks.fns.usda.gov/wicworks/Learning_Center/ntredguidance.pdf" TargetMode="External"/><Relationship Id="rId1" Type="http://schemas.openxmlformats.org/officeDocument/2006/relationships/hyperlink" Target="https://wicworks.fns.usda.gov/wicworks/Learning_Center/ntred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Zimmerman</dc:creator>
  <cp:keywords/>
  <dc:description/>
  <cp:lastModifiedBy>Sandberg, Christina - FNS</cp:lastModifiedBy>
  <cp:revision>3</cp:revision>
  <dcterms:created xsi:type="dcterms:W3CDTF">2020-06-18T23:30:00Z</dcterms:created>
  <dcterms:modified xsi:type="dcterms:W3CDTF">2020-10-14T21:35:00Z</dcterms:modified>
</cp:coreProperties>
</file>