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45431" w:rsidR="00BA1A0C" w:rsidP="00CE5AA9" w:rsidRDefault="009B3794" w14:paraId="69C63861" w14:textId="77777777">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Supporting Statement </w:t>
      </w:r>
      <w:r w:rsidRPr="00C45431" w:rsidR="00BA1A0C">
        <w:rPr>
          <w:rFonts w:ascii="Arial" w:hAnsi="Arial" w:cs="Arial"/>
          <w:b/>
          <w:bCs/>
          <w:sz w:val="32"/>
          <w:szCs w:val="32"/>
        </w:rPr>
        <w:t>A</w:t>
      </w:r>
    </w:p>
    <w:p w:rsidRPr="00C45431" w:rsidR="00BA1A0C" w:rsidP="00CE5AA9" w:rsidRDefault="00BA1A0C" w14:paraId="69C63862" w14:textId="77777777">
      <w:pPr>
        <w:tabs>
          <w:tab w:val="center" w:pos="4680"/>
        </w:tabs>
        <w:spacing w:before="120"/>
        <w:jc w:val="center"/>
        <w:rPr>
          <w:rFonts w:ascii="Arial" w:hAnsi="Arial" w:cs="Arial"/>
          <w:b/>
          <w:bCs/>
          <w:sz w:val="32"/>
          <w:szCs w:val="32"/>
        </w:rPr>
      </w:pPr>
    </w:p>
    <w:p w:rsidRPr="00C45431" w:rsidR="00BA1A0C" w:rsidP="00CE5AA9" w:rsidRDefault="00E773C8" w14:paraId="69C63864" w14:textId="1754187A">
      <w:pPr>
        <w:tabs>
          <w:tab w:val="center" w:pos="4680"/>
        </w:tabs>
        <w:spacing w:before="120"/>
        <w:jc w:val="center"/>
        <w:rPr>
          <w:rFonts w:ascii="Arial" w:hAnsi="Arial" w:cs="Arial"/>
          <w:b/>
          <w:bCs/>
          <w:sz w:val="32"/>
          <w:szCs w:val="32"/>
        </w:rPr>
      </w:pPr>
      <w:r w:rsidRPr="00E773C8">
        <w:rPr>
          <w:rFonts w:ascii="Arial" w:hAnsi="Arial" w:cs="Arial"/>
          <w:b/>
          <w:bCs/>
          <w:sz w:val="32"/>
          <w:szCs w:val="32"/>
        </w:rPr>
        <w:t>Maternal Health Portfolio Evaluation</w:t>
      </w:r>
    </w:p>
    <w:p w:rsidRPr="00C45431" w:rsidR="00BA1A0C" w:rsidP="00CE5AA9" w:rsidRDefault="00BA1A0C" w14:paraId="69C63865" w14:textId="10E3E762">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OMB Control No. </w:t>
      </w:r>
      <w:r w:rsidRPr="005E618D">
        <w:rPr>
          <w:rFonts w:ascii="Arial" w:hAnsi="Arial" w:cs="Arial"/>
          <w:b/>
          <w:bCs/>
          <w:sz w:val="32"/>
          <w:szCs w:val="32"/>
        </w:rPr>
        <w:t>09</w:t>
      </w:r>
      <w:r w:rsidR="005E618D">
        <w:rPr>
          <w:rFonts w:ascii="Arial" w:hAnsi="Arial" w:cs="Arial"/>
          <w:b/>
          <w:bCs/>
          <w:sz w:val="32"/>
          <w:szCs w:val="32"/>
        </w:rPr>
        <w:t>06</w:t>
      </w:r>
      <w:r w:rsidRPr="005E618D">
        <w:rPr>
          <w:rFonts w:ascii="Arial" w:hAnsi="Arial" w:cs="Arial"/>
          <w:b/>
          <w:bCs/>
          <w:sz w:val="32"/>
          <w:szCs w:val="32"/>
        </w:rPr>
        <w:t>-XXXX</w:t>
      </w:r>
      <w:r w:rsidRPr="005E618D" w:rsidR="00B577CE">
        <w:rPr>
          <w:rFonts w:ascii="Arial" w:hAnsi="Arial" w:cs="Arial"/>
          <w:b/>
          <w:bCs/>
          <w:sz w:val="32"/>
          <w:szCs w:val="32"/>
        </w:rPr>
        <w:t>-New</w:t>
      </w:r>
    </w:p>
    <w:p w:rsidRPr="00C45431" w:rsidR="00BA1A0C" w:rsidP="00CE5AA9" w:rsidRDefault="00BA1A0C" w14:paraId="69C63866" w14:textId="77777777">
      <w:pPr>
        <w:tabs>
          <w:tab w:val="center" w:pos="4680"/>
        </w:tabs>
        <w:spacing w:before="120"/>
        <w:jc w:val="center"/>
        <w:rPr>
          <w:rFonts w:ascii="Arial" w:hAnsi="Arial" w:cs="Arial"/>
          <w:b/>
          <w:bCs/>
          <w:sz w:val="32"/>
          <w:szCs w:val="32"/>
        </w:rPr>
      </w:pPr>
    </w:p>
    <w:p w:rsidR="009B3794" w:rsidP="00CE5AA9" w:rsidRDefault="00DE3A45" w14:paraId="69C63868" w14:textId="3D5AF0DF">
      <w:pPr>
        <w:spacing w:before="120"/>
        <w:rPr>
          <w:rFonts w:ascii="Arial" w:hAnsi="Arial" w:cs="Arial"/>
          <w:sz w:val="24"/>
        </w:rPr>
      </w:pPr>
      <w:r w:rsidRPr="00C45431">
        <w:rPr>
          <w:rFonts w:ascii="Arial" w:hAnsi="Arial" w:cs="Arial"/>
          <w:b/>
          <w:sz w:val="24"/>
        </w:rPr>
        <w:t>Terms of Clearance</w:t>
      </w:r>
      <w:r w:rsidRPr="00C45431" w:rsidR="00BA1A0C">
        <w:rPr>
          <w:rFonts w:ascii="Arial" w:hAnsi="Arial" w:cs="Arial"/>
          <w:b/>
          <w:sz w:val="24"/>
        </w:rPr>
        <w:t>:</w:t>
      </w:r>
      <w:r w:rsidRPr="00C45431" w:rsidR="00BA1A0C">
        <w:rPr>
          <w:rFonts w:ascii="Arial" w:hAnsi="Arial" w:cs="Arial"/>
          <w:sz w:val="24"/>
        </w:rPr>
        <w:t xml:space="preserve">  </w:t>
      </w:r>
      <w:r w:rsidR="00E773C8">
        <w:rPr>
          <w:rFonts w:ascii="Arial" w:hAnsi="Arial" w:cs="Arial"/>
          <w:sz w:val="24"/>
        </w:rPr>
        <w:t xml:space="preserve">None. </w:t>
      </w:r>
    </w:p>
    <w:p w:rsidRPr="00C45431" w:rsidR="00E773C8" w:rsidP="00CE5AA9" w:rsidRDefault="00E773C8" w14:paraId="64D76B4C" w14:textId="77777777">
      <w:pPr>
        <w:spacing w:before="120"/>
        <w:rPr>
          <w:rFonts w:ascii="Arial" w:hAnsi="Arial" w:cs="Arial"/>
          <w:b/>
          <w:sz w:val="24"/>
        </w:rPr>
      </w:pPr>
    </w:p>
    <w:p w:rsidRPr="00C45431" w:rsidR="009B3794" w:rsidP="00CA3DA6" w:rsidRDefault="009B3794" w14:paraId="69C63869" w14:textId="77777777">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rsidRPr="00C45431" w:rsidR="009B3794" w:rsidP="00CA3DA6" w:rsidRDefault="009B3794" w14:paraId="69C6386A" w14:textId="77777777">
      <w:pPr>
        <w:numPr>
          <w:ilvl w:val="0"/>
          <w:numId w:val="2"/>
        </w:numPr>
        <w:tabs>
          <w:tab w:val="num" w:pos="36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rsidR="00CF714D" w:rsidP="00CA3DA6" w:rsidRDefault="00B44DF1" w14:paraId="6C20D768" w14:textId="5B26E945">
      <w:pPr>
        <w:spacing w:before="120"/>
        <w:rPr>
          <w:rFonts w:ascii="Arial" w:hAnsi="Arial" w:cs="Arial"/>
          <w:sz w:val="24"/>
        </w:rPr>
      </w:pPr>
      <w:r>
        <w:rPr>
          <w:rFonts w:ascii="Arial" w:hAnsi="Arial" w:cs="Arial"/>
          <w:sz w:val="24"/>
        </w:rPr>
        <w:t>This is a new Information Collection Request (</w:t>
      </w:r>
      <w:proofErr w:type="spellStart"/>
      <w:r>
        <w:rPr>
          <w:rFonts w:ascii="Arial" w:hAnsi="Arial" w:cs="Arial"/>
          <w:sz w:val="24"/>
        </w:rPr>
        <w:t>ICR</w:t>
      </w:r>
      <w:proofErr w:type="spellEnd"/>
      <w:r>
        <w:rPr>
          <w:rFonts w:ascii="Arial" w:hAnsi="Arial" w:cs="Arial"/>
          <w:sz w:val="24"/>
        </w:rPr>
        <w:t>) request</w:t>
      </w:r>
      <w:r w:rsidR="00B15C8E">
        <w:rPr>
          <w:rFonts w:ascii="Arial" w:hAnsi="Arial" w:cs="Arial"/>
          <w:sz w:val="24"/>
        </w:rPr>
        <w:t>ing</w:t>
      </w:r>
      <w:r>
        <w:rPr>
          <w:rFonts w:ascii="Arial" w:hAnsi="Arial" w:cs="Arial"/>
          <w:sz w:val="24"/>
        </w:rPr>
        <w:t xml:space="preserve"> approval t</w:t>
      </w:r>
      <w:r w:rsidR="00B15C8E">
        <w:rPr>
          <w:rFonts w:ascii="Arial" w:hAnsi="Arial" w:cs="Arial"/>
          <w:sz w:val="24"/>
        </w:rPr>
        <w:t xml:space="preserve">o collect data for a portfolio-wide evaluation of Maternal Health (MH) programs funded by the Health Resources and Services Administration. </w:t>
      </w:r>
    </w:p>
    <w:p w:rsidR="00CF714D" w:rsidP="00CF714D" w:rsidRDefault="00CF714D" w14:paraId="3BD10F79" w14:textId="1CB38676">
      <w:pPr>
        <w:spacing w:before="120"/>
        <w:rPr>
          <w:rFonts w:ascii="Arial" w:hAnsi="Arial" w:cs="Arial"/>
          <w:sz w:val="24"/>
        </w:rPr>
      </w:pPr>
      <w:r w:rsidRPr="00CF714D">
        <w:rPr>
          <w:rFonts w:ascii="Arial" w:hAnsi="Arial" w:cs="Arial"/>
          <w:sz w:val="24"/>
        </w:rPr>
        <w:t>Maternal mortality (MM) and severe maternal morbidity (</w:t>
      </w:r>
      <w:proofErr w:type="spellStart"/>
      <w:r w:rsidRPr="00CF714D">
        <w:rPr>
          <w:rFonts w:ascii="Arial" w:hAnsi="Arial" w:cs="Arial"/>
          <w:sz w:val="24"/>
        </w:rPr>
        <w:t>SMM</w:t>
      </w:r>
      <w:proofErr w:type="spellEnd"/>
      <w:r w:rsidRPr="00CF714D">
        <w:rPr>
          <w:rFonts w:ascii="Arial" w:hAnsi="Arial" w:cs="Arial"/>
          <w:sz w:val="24"/>
        </w:rPr>
        <w:t xml:space="preserve">) are significant public health issues in the United States. </w:t>
      </w:r>
      <w:r w:rsidR="007945A7">
        <w:rPr>
          <w:rFonts w:ascii="Arial" w:hAnsi="Arial" w:cs="Arial"/>
          <w:sz w:val="24"/>
        </w:rPr>
        <w:t xml:space="preserve"> A</w:t>
      </w:r>
      <w:r w:rsidRPr="00CF714D">
        <w:rPr>
          <w:rFonts w:ascii="Arial" w:hAnsi="Arial" w:cs="Arial"/>
          <w:sz w:val="24"/>
        </w:rPr>
        <w:t xml:space="preserve">ccording to the most recent CDC </w:t>
      </w:r>
      <w:proofErr w:type="spellStart"/>
      <w:r w:rsidRPr="00CF714D">
        <w:rPr>
          <w:rFonts w:ascii="Arial" w:hAnsi="Arial" w:cs="Arial"/>
          <w:sz w:val="24"/>
        </w:rPr>
        <w:t>MMWR</w:t>
      </w:r>
      <w:proofErr w:type="spellEnd"/>
      <w:r w:rsidRPr="00CF714D">
        <w:rPr>
          <w:rFonts w:ascii="Arial" w:hAnsi="Arial" w:cs="Arial"/>
          <w:sz w:val="24"/>
        </w:rPr>
        <w:t xml:space="preserve"> from 2019, 700 women die each year from p</w:t>
      </w:r>
      <w:r>
        <w:rPr>
          <w:rFonts w:ascii="Arial" w:hAnsi="Arial" w:cs="Arial"/>
          <w:sz w:val="24"/>
        </w:rPr>
        <w:t>regnancy-related complications,</w:t>
      </w:r>
      <w:r w:rsidRPr="00CF714D">
        <w:rPr>
          <w:rStyle w:val="FootnoteReference"/>
          <w:rFonts w:ascii="Arial" w:hAnsi="Arial" w:cs="Arial"/>
          <w:sz w:val="24"/>
          <w:vertAlign w:val="superscript"/>
        </w:rPr>
        <w:footnoteReference w:id="2"/>
      </w:r>
      <w:r w:rsidRPr="00CF714D">
        <w:rPr>
          <w:rFonts w:ascii="Arial" w:hAnsi="Arial" w:cs="Arial"/>
          <w:sz w:val="24"/>
        </w:rPr>
        <w:t xml:space="preserve"> and the rate of women dying from pregnancy-related complications has increased steadily during the past three decades.</w:t>
      </w:r>
      <w:r w:rsidRPr="00CF714D">
        <w:rPr>
          <w:rStyle w:val="FootnoteReference"/>
          <w:rFonts w:ascii="Arial" w:hAnsi="Arial" w:cs="Arial"/>
          <w:sz w:val="24"/>
          <w:vertAlign w:val="superscript"/>
        </w:rPr>
        <w:footnoteReference w:id="3"/>
      </w:r>
      <w:r w:rsidRPr="00CF714D">
        <w:rPr>
          <w:rFonts w:ascii="Arial" w:hAnsi="Arial" w:cs="Arial"/>
          <w:sz w:val="24"/>
        </w:rPr>
        <w:t xml:space="preserve"> </w:t>
      </w:r>
      <w:r w:rsidR="007945A7">
        <w:rPr>
          <w:rFonts w:ascii="Arial" w:hAnsi="Arial" w:cs="Arial"/>
          <w:sz w:val="24"/>
        </w:rPr>
        <w:t xml:space="preserve"> </w:t>
      </w:r>
      <w:r>
        <w:rPr>
          <w:rFonts w:ascii="Arial" w:hAnsi="Arial" w:cs="Arial"/>
          <w:sz w:val="24"/>
        </w:rPr>
        <w:t>Researchers cite the lack of standardized approach to emergency obstetric care and hospital quality of care as contributory factors.</w:t>
      </w:r>
      <w:r w:rsidRPr="00CF714D">
        <w:rPr>
          <w:rStyle w:val="FootnoteReference"/>
          <w:rFonts w:ascii="Arial" w:hAnsi="Arial" w:cs="Arial"/>
          <w:sz w:val="24"/>
          <w:vertAlign w:val="superscript"/>
        </w:rPr>
        <w:footnoteReference w:id="4"/>
      </w:r>
      <w:r>
        <w:rPr>
          <w:rFonts w:ascii="Arial" w:hAnsi="Arial" w:cs="Arial"/>
          <w:sz w:val="24"/>
        </w:rPr>
        <w:t xml:space="preserve"> </w:t>
      </w:r>
      <w:r w:rsidR="007945A7">
        <w:rPr>
          <w:rFonts w:ascii="Arial" w:hAnsi="Arial" w:cs="Arial"/>
          <w:sz w:val="24"/>
        </w:rPr>
        <w:t xml:space="preserve"> </w:t>
      </w:r>
      <w:r>
        <w:rPr>
          <w:rFonts w:ascii="Arial" w:hAnsi="Arial" w:cs="Arial"/>
          <w:sz w:val="24"/>
        </w:rPr>
        <w:t>Another factor is the closure of many obstetric un</w:t>
      </w:r>
      <w:r w:rsidR="00534716">
        <w:rPr>
          <w:rFonts w:ascii="Arial" w:hAnsi="Arial" w:cs="Arial"/>
          <w:sz w:val="24"/>
        </w:rPr>
        <w:t>its</w:t>
      </w:r>
      <w:r>
        <w:rPr>
          <w:rFonts w:ascii="Arial" w:hAnsi="Arial" w:cs="Arial"/>
          <w:sz w:val="24"/>
        </w:rPr>
        <w:t xml:space="preserve"> in rural counties in the United States, which can be a barrier to pregnant women receiving obstetric care.</w:t>
      </w:r>
      <w:r w:rsidRPr="00CF714D">
        <w:rPr>
          <w:rStyle w:val="FootnoteReference"/>
          <w:rFonts w:ascii="Arial" w:hAnsi="Arial" w:cs="Arial"/>
          <w:sz w:val="24"/>
          <w:vertAlign w:val="superscript"/>
        </w:rPr>
        <w:footnoteReference w:id="5"/>
      </w:r>
      <w:r>
        <w:rPr>
          <w:rFonts w:ascii="Arial" w:hAnsi="Arial" w:cs="Arial"/>
          <w:sz w:val="24"/>
        </w:rPr>
        <w:t xml:space="preserve"> </w:t>
      </w:r>
    </w:p>
    <w:p w:rsidR="00CF714D" w:rsidP="00CA3DA6" w:rsidRDefault="00CF714D" w14:paraId="553C9718" w14:textId="1AD99897">
      <w:pPr>
        <w:spacing w:before="120"/>
        <w:rPr>
          <w:rFonts w:ascii="Arial" w:hAnsi="Arial" w:cs="Arial"/>
          <w:sz w:val="24"/>
        </w:rPr>
      </w:pPr>
      <w:proofErr w:type="spellStart"/>
      <w:r w:rsidRPr="00CF714D">
        <w:rPr>
          <w:rFonts w:ascii="Arial" w:hAnsi="Arial" w:cs="Arial"/>
          <w:sz w:val="24"/>
        </w:rPr>
        <w:t>HRSA’s</w:t>
      </w:r>
      <w:proofErr w:type="spellEnd"/>
      <w:r w:rsidRPr="00CF714D">
        <w:rPr>
          <w:rFonts w:ascii="Arial" w:hAnsi="Arial" w:cs="Arial"/>
          <w:sz w:val="24"/>
        </w:rPr>
        <w:t xml:space="preserve"> Maternal Health Innovation Strategy aims to address MM and </w:t>
      </w:r>
      <w:proofErr w:type="spellStart"/>
      <w:r w:rsidRPr="00CF714D">
        <w:rPr>
          <w:rFonts w:ascii="Arial" w:hAnsi="Arial" w:cs="Arial"/>
          <w:sz w:val="24"/>
        </w:rPr>
        <w:t>SMM</w:t>
      </w:r>
      <w:proofErr w:type="spellEnd"/>
      <w:r w:rsidRPr="00CF714D">
        <w:rPr>
          <w:rFonts w:ascii="Arial" w:hAnsi="Arial" w:cs="Arial"/>
          <w:sz w:val="24"/>
        </w:rPr>
        <w:t xml:space="preserve"> through the </w:t>
      </w:r>
      <w:proofErr w:type="gramStart"/>
      <w:r w:rsidRPr="00CF714D">
        <w:rPr>
          <w:rFonts w:ascii="Arial" w:hAnsi="Arial" w:cs="Arial"/>
          <w:sz w:val="24"/>
        </w:rPr>
        <w:t>life</w:t>
      </w:r>
      <w:proofErr w:type="gramEnd"/>
      <w:r w:rsidRPr="00CF714D">
        <w:rPr>
          <w:rFonts w:ascii="Arial" w:hAnsi="Arial" w:cs="Arial"/>
          <w:sz w:val="24"/>
        </w:rPr>
        <w:t xml:space="preserve"> course perspective and the health equity perspective </w:t>
      </w:r>
      <w:r w:rsidR="00C64568">
        <w:rPr>
          <w:rFonts w:ascii="Arial" w:hAnsi="Arial" w:cs="Arial"/>
          <w:sz w:val="24"/>
        </w:rPr>
        <w:t xml:space="preserve">through </w:t>
      </w:r>
      <w:r w:rsidRPr="00CF714D">
        <w:rPr>
          <w:rFonts w:ascii="Arial" w:hAnsi="Arial" w:cs="Arial"/>
          <w:sz w:val="24"/>
        </w:rPr>
        <w:t>a suite of five maternal health programs (MH Programs).</w:t>
      </w:r>
      <w:r>
        <w:rPr>
          <w:rFonts w:ascii="Arial" w:hAnsi="Arial" w:cs="Arial"/>
          <w:sz w:val="24"/>
        </w:rPr>
        <w:t xml:space="preserve"> </w:t>
      </w:r>
      <w:r w:rsidR="007945A7">
        <w:rPr>
          <w:rFonts w:ascii="Arial" w:hAnsi="Arial" w:cs="Arial"/>
          <w:sz w:val="24"/>
        </w:rPr>
        <w:t xml:space="preserve"> </w:t>
      </w:r>
      <w:r w:rsidR="00B15C8E">
        <w:rPr>
          <w:rFonts w:ascii="Arial" w:hAnsi="Arial" w:cs="Arial"/>
          <w:sz w:val="24"/>
        </w:rPr>
        <w:t xml:space="preserve">The MH portfolio includes 15 </w:t>
      </w:r>
      <w:r w:rsidR="00CD40DE">
        <w:rPr>
          <w:rFonts w:ascii="Arial" w:hAnsi="Arial" w:cs="Arial"/>
          <w:sz w:val="24"/>
        </w:rPr>
        <w:t>awardees</w:t>
      </w:r>
      <w:r w:rsidR="00B15C8E">
        <w:rPr>
          <w:rFonts w:ascii="Arial" w:hAnsi="Arial" w:cs="Arial"/>
          <w:sz w:val="24"/>
        </w:rPr>
        <w:t xml:space="preserve"> across five programs: </w:t>
      </w:r>
      <w:r w:rsidRPr="00B44DF1" w:rsidR="00B15C8E">
        <w:rPr>
          <w:rFonts w:ascii="Arial" w:hAnsi="Arial" w:cs="Arial"/>
          <w:sz w:val="24"/>
        </w:rPr>
        <w:t xml:space="preserve">1) State Maternal Health Innovation Support and Implementation Program (Supporting </w:t>
      </w:r>
      <w:proofErr w:type="spellStart"/>
      <w:r w:rsidRPr="00B44DF1" w:rsidR="00B15C8E">
        <w:rPr>
          <w:rFonts w:ascii="Arial" w:hAnsi="Arial" w:cs="Arial"/>
          <w:sz w:val="24"/>
        </w:rPr>
        <w:t>MHI</w:t>
      </w:r>
      <w:proofErr w:type="spellEnd"/>
      <w:r w:rsidRPr="00B44DF1" w:rsidR="00B15C8E">
        <w:rPr>
          <w:rFonts w:ascii="Arial" w:hAnsi="Arial" w:cs="Arial"/>
          <w:sz w:val="24"/>
        </w:rPr>
        <w:t xml:space="preserve">); 2) State Maternal Health Innovation Program (State </w:t>
      </w:r>
      <w:proofErr w:type="spellStart"/>
      <w:r w:rsidRPr="00B44DF1" w:rsidR="00B15C8E">
        <w:rPr>
          <w:rFonts w:ascii="Arial" w:hAnsi="Arial" w:cs="Arial"/>
          <w:sz w:val="24"/>
        </w:rPr>
        <w:t>MHI</w:t>
      </w:r>
      <w:proofErr w:type="spellEnd"/>
      <w:r w:rsidRPr="00B44DF1" w:rsidR="00B15C8E">
        <w:rPr>
          <w:rFonts w:ascii="Arial" w:hAnsi="Arial" w:cs="Arial"/>
          <w:sz w:val="24"/>
        </w:rPr>
        <w:t>); 3) Alliance for Innovation on Maternal Health (AIM); 4) Alliance for Innovation on Maternal Health Community Care Initiative (AIM-CCI); and 5) Rural Maternity and Obstetrics Management Strategies Program (</w:t>
      </w:r>
      <w:proofErr w:type="spellStart"/>
      <w:r w:rsidRPr="00B44DF1" w:rsidR="00B15C8E">
        <w:rPr>
          <w:rFonts w:ascii="Arial" w:hAnsi="Arial" w:cs="Arial"/>
          <w:sz w:val="24"/>
        </w:rPr>
        <w:t>RMOMS</w:t>
      </w:r>
      <w:proofErr w:type="spellEnd"/>
      <w:r w:rsidRPr="00B44DF1" w:rsidR="00B15C8E">
        <w:rPr>
          <w:rFonts w:ascii="Arial" w:hAnsi="Arial" w:cs="Arial"/>
          <w:sz w:val="24"/>
        </w:rPr>
        <w:t xml:space="preserve">). </w:t>
      </w:r>
    </w:p>
    <w:p w:rsidR="007945A7" w:rsidP="00CA3DA6" w:rsidRDefault="00B15C8E" w14:paraId="16499BCE" w14:textId="77777777">
      <w:pPr>
        <w:spacing w:before="120"/>
        <w:rPr>
          <w:rFonts w:ascii="Arial" w:hAnsi="Arial" w:cs="Arial"/>
          <w:sz w:val="24"/>
        </w:rPr>
      </w:pPr>
      <w:r>
        <w:rPr>
          <w:rFonts w:ascii="Arial" w:hAnsi="Arial" w:cs="Arial"/>
          <w:sz w:val="24"/>
        </w:rPr>
        <w:t xml:space="preserve">The proposed evaluation will identify overarching strategies </w:t>
      </w:r>
      <w:r w:rsidRPr="00B15C8E">
        <w:rPr>
          <w:rFonts w:ascii="Arial" w:hAnsi="Arial" w:cs="Arial"/>
          <w:sz w:val="24"/>
        </w:rPr>
        <w:t>that are common across the grantees, collect primary and secondary data elements for each of these strategies, and conduct analyses using a mixed-methods approach.</w:t>
      </w:r>
      <w:r>
        <w:rPr>
          <w:rFonts w:ascii="Arial" w:hAnsi="Arial" w:cs="Arial"/>
          <w:sz w:val="24"/>
        </w:rPr>
        <w:t xml:space="preserve"> This will help the HRSA Maternal and Child Health Bureau </w:t>
      </w:r>
      <w:r w:rsidRPr="00B15C8E">
        <w:rPr>
          <w:rFonts w:ascii="Arial" w:hAnsi="Arial" w:cs="Arial"/>
          <w:sz w:val="24"/>
        </w:rPr>
        <w:t xml:space="preserve">identify individual and/or collective strategies, interrelated </w:t>
      </w:r>
    </w:p>
    <w:p w:rsidR="007945A7" w:rsidP="00CA3DA6" w:rsidRDefault="007945A7" w14:paraId="4FD95AE8" w14:textId="77777777">
      <w:pPr>
        <w:spacing w:before="120"/>
        <w:rPr>
          <w:rFonts w:ascii="Arial" w:hAnsi="Arial" w:cs="Arial"/>
          <w:sz w:val="24"/>
        </w:rPr>
      </w:pPr>
    </w:p>
    <w:p w:rsidR="00B44DF1" w:rsidP="00CA3DA6" w:rsidRDefault="00B15C8E" w14:paraId="5BFC1187" w14:textId="13FF9A91">
      <w:pPr>
        <w:spacing w:before="120"/>
        <w:rPr>
          <w:rFonts w:ascii="Arial" w:hAnsi="Arial" w:cs="Arial"/>
          <w:sz w:val="24"/>
        </w:rPr>
      </w:pPr>
      <w:proofErr w:type="gramStart"/>
      <w:r w:rsidRPr="00B15C8E">
        <w:rPr>
          <w:rFonts w:ascii="Arial" w:hAnsi="Arial" w:cs="Arial"/>
          <w:sz w:val="24"/>
        </w:rPr>
        <w:lastRenderedPageBreak/>
        <w:t>activities</w:t>
      </w:r>
      <w:proofErr w:type="gramEnd"/>
      <w:r w:rsidRPr="00B15C8E">
        <w:rPr>
          <w:rFonts w:ascii="Arial" w:hAnsi="Arial" w:cs="Arial"/>
          <w:sz w:val="24"/>
        </w:rPr>
        <w:t xml:space="preserve">, and common themes within and across the MH </w:t>
      </w:r>
      <w:r w:rsidR="00414006">
        <w:rPr>
          <w:rFonts w:ascii="Arial" w:hAnsi="Arial" w:cs="Arial"/>
          <w:sz w:val="24"/>
        </w:rPr>
        <w:t>p</w:t>
      </w:r>
      <w:r w:rsidRPr="00B15C8E">
        <w:rPr>
          <w:rFonts w:ascii="Arial" w:hAnsi="Arial" w:cs="Arial"/>
          <w:sz w:val="24"/>
        </w:rPr>
        <w:t>rograms that may be contributing to or driving improvements in key maternal health outcomes</w:t>
      </w:r>
      <w:r>
        <w:rPr>
          <w:rFonts w:ascii="Arial" w:hAnsi="Arial" w:cs="Arial"/>
          <w:sz w:val="24"/>
        </w:rPr>
        <w:t xml:space="preserve">. </w:t>
      </w:r>
    </w:p>
    <w:p w:rsidR="00A91193" w:rsidP="00A91193" w:rsidRDefault="00A62DFA" w14:paraId="4764EF57" w14:textId="183C196C">
      <w:pPr>
        <w:spacing w:before="120"/>
        <w:rPr>
          <w:rFonts w:ascii="Arial" w:hAnsi="Arial" w:cs="Arial"/>
          <w:sz w:val="24"/>
        </w:rPr>
      </w:pPr>
      <w:r>
        <w:rPr>
          <w:rFonts w:ascii="Arial" w:hAnsi="Arial" w:cs="Arial"/>
          <w:sz w:val="24"/>
        </w:rPr>
        <w:t xml:space="preserve">The MH evaluation will use a variety of primary and secondary data sources to answer each evaluation question. </w:t>
      </w:r>
      <w:r w:rsidR="007945A7">
        <w:rPr>
          <w:rFonts w:ascii="Arial" w:hAnsi="Arial" w:cs="Arial"/>
          <w:sz w:val="24"/>
        </w:rPr>
        <w:t xml:space="preserve"> </w:t>
      </w:r>
      <w:r w:rsidR="00A91193">
        <w:rPr>
          <w:rFonts w:ascii="Arial" w:hAnsi="Arial" w:cs="Arial"/>
          <w:sz w:val="24"/>
        </w:rPr>
        <w:t>The MH evaluation will include primary data collection through four primary data collection activities: 1) semi</w:t>
      </w:r>
      <w:r w:rsidRPr="00A62DFA" w:rsidR="00A91193">
        <w:rPr>
          <w:rFonts w:ascii="Arial" w:hAnsi="Arial" w:cs="Arial"/>
          <w:sz w:val="24"/>
        </w:rPr>
        <w:t xml:space="preserve">-structured interviews with grant </w:t>
      </w:r>
      <w:r w:rsidR="00A91193">
        <w:rPr>
          <w:rFonts w:ascii="Arial" w:hAnsi="Arial" w:cs="Arial"/>
          <w:sz w:val="24"/>
        </w:rPr>
        <w:t xml:space="preserve">staff, 2) semi-structured interviews with HRSA Project Officers, 3) quantitative data collection through tailored web-based data collection tools; and 4) a partnership survey administered to each grantee and their partners. </w:t>
      </w:r>
    </w:p>
    <w:p w:rsidR="00A91193" w:rsidP="00A91193" w:rsidRDefault="00A91193" w14:paraId="063EC908" w14:textId="3BA9A1A2">
      <w:pPr>
        <w:pStyle w:val="ListParagraph"/>
        <w:numPr>
          <w:ilvl w:val="0"/>
          <w:numId w:val="47"/>
        </w:numPr>
        <w:spacing w:before="120"/>
        <w:rPr>
          <w:rFonts w:ascii="Arial" w:hAnsi="Arial" w:cs="Arial"/>
          <w:sz w:val="24"/>
        </w:rPr>
      </w:pPr>
      <w:r>
        <w:rPr>
          <w:rFonts w:ascii="Arial" w:hAnsi="Arial" w:cs="Arial"/>
          <w:sz w:val="24"/>
          <w:u w:val="single"/>
        </w:rPr>
        <w:t xml:space="preserve">1. </w:t>
      </w:r>
      <w:r w:rsidRPr="00A91193">
        <w:rPr>
          <w:rFonts w:ascii="Arial" w:hAnsi="Arial" w:cs="Arial"/>
          <w:sz w:val="24"/>
          <w:u w:val="single"/>
        </w:rPr>
        <w:t>Annual semi-structured interviews with HRSA Project Officers</w:t>
      </w:r>
      <w:r>
        <w:rPr>
          <w:rFonts w:ascii="Arial" w:hAnsi="Arial" w:cs="Arial"/>
          <w:sz w:val="24"/>
        </w:rPr>
        <w:t xml:space="preserve">. </w:t>
      </w:r>
      <w:r w:rsidR="007945A7">
        <w:rPr>
          <w:rFonts w:ascii="Arial" w:hAnsi="Arial" w:cs="Arial"/>
          <w:sz w:val="24"/>
        </w:rPr>
        <w:t xml:space="preserve"> </w:t>
      </w:r>
      <w:r>
        <w:rPr>
          <w:rFonts w:ascii="Arial" w:hAnsi="Arial" w:cs="Arial"/>
          <w:sz w:val="24"/>
        </w:rPr>
        <w:t>These interviews will provide important context for the MH portfolio and document grantee progress, challenges, and successes. Because each of the project officers oversees multiple grantees, and the evaluators will gather information for all of their grantees on one call, these interviews will last approximately 90 minutes.</w:t>
      </w:r>
      <w:r w:rsidRPr="00A91193">
        <w:rPr>
          <w:rFonts w:ascii="Arial" w:hAnsi="Arial" w:cs="Arial"/>
          <w:sz w:val="24"/>
        </w:rPr>
        <w:t xml:space="preserve"> </w:t>
      </w:r>
      <w:r>
        <w:rPr>
          <w:rFonts w:ascii="Arial" w:hAnsi="Arial" w:cs="Arial"/>
          <w:sz w:val="24"/>
        </w:rPr>
        <w:t>Protocols for each ye</w:t>
      </w:r>
      <w:r w:rsidR="000C1F3B">
        <w:rPr>
          <w:rFonts w:ascii="Arial" w:hAnsi="Arial" w:cs="Arial"/>
          <w:sz w:val="24"/>
        </w:rPr>
        <w:t>ar can be found in Attachment B1</w:t>
      </w:r>
      <w:r>
        <w:rPr>
          <w:rFonts w:ascii="Arial" w:hAnsi="Arial" w:cs="Arial"/>
          <w:sz w:val="24"/>
        </w:rPr>
        <w:t>.</w:t>
      </w:r>
    </w:p>
    <w:p w:rsidR="00A91193" w:rsidP="00A91193" w:rsidRDefault="00A91193" w14:paraId="31B2E504" w14:textId="0883CFBF">
      <w:pPr>
        <w:pStyle w:val="ListParagraph"/>
        <w:numPr>
          <w:ilvl w:val="0"/>
          <w:numId w:val="47"/>
        </w:numPr>
        <w:spacing w:before="120"/>
        <w:rPr>
          <w:rFonts w:ascii="Arial" w:hAnsi="Arial" w:cs="Arial"/>
          <w:sz w:val="24"/>
        </w:rPr>
      </w:pPr>
      <w:r>
        <w:rPr>
          <w:rFonts w:ascii="Arial" w:hAnsi="Arial" w:cs="Arial"/>
          <w:sz w:val="24"/>
          <w:u w:val="single"/>
        </w:rPr>
        <w:t xml:space="preserve">2. </w:t>
      </w:r>
      <w:r w:rsidRPr="00A91193">
        <w:rPr>
          <w:rFonts w:ascii="Arial" w:hAnsi="Arial" w:cs="Arial"/>
          <w:sz w:val="24"/>
          <w:u w:val="single"/>
        </w:rPr>
        <w:t>Annual semi-structured interviews with grantee staff</w:t>
      </w:r>
      <w:r>
        <w:rPr>
          <w:rFonts w:ascii="Arial" w:hAnsi="Arial" w:cs="Arial"/>
          <w:sz w:val="24"/>
        </w:rPr>
        <w:t>.</w:t>
      </w:r>
      <w:r w:rsidR="007945A7">
        <w:rPr>
          <w:rFonts w:ascii="Arial" w:hAnsi="Arial" w:cs="Arial"/>
          <w:sz w:val="24"/>
        </w:rPr>
        <w:t xml:space="preserve"> </w:t>
      </w:r>
      <w:r>
        <w:rPr>
          <w:rFonts w:ascii="Arial" w:hAnsi="Arial" w:cs="Arial"/>
          <w:sz w:val="24"/>
        </w:rPr>
        <w:t xml:space="preserve"> These 60-minute interviews will address descriptive data elements (e.g., grantee activities, implementation processes, contextual information); barriers and facilitators; perceptions on the ability to scale and spread of strategies implemented by programs; and how the program addresses health equity. Protocols for each year can be found in Attachment B</w:t>
      </w:r>
      <w:r w:rsidR="000C1F3B">
        <w:rPr>
          <w:rFonts w:ascii="Arial" w:hAnsi="Arial" w:cs="Arial"/>
          <w:sz w:val="24"/>
        </w:rPr>
        <w:t>2</w:t>
      </w:r>
      <w:r>
        <w:rPr>
          <w:rFonts w:ascii="Arial" w:hAnsi="Arial" w:cs="Arial"/>
          <w:sz w:val="24"/>
        </w:rPr>
        <w:t>.</w:t>
      </w:r>
    </w:p>
    <w:p w:rsidR="00A91193" w:rsidP="00A91193" w:rsidRDefault="00A91193" w14:paraId="37088B44" w14:textId="70F07168">
      <w:pPr>
        <w:pStyle w:val="ListParagraph"/>
        <w:numPr>
          <w:ilvl w:val="0"/>
          <w:numId w:val="47"/>
        </w:numPr>
        <w:spacing w:before="120"/>
        <w:rPr>
          <w:rFonts w:ascii="Arial" w:hAnsi="Arial" w:cs="Arial"/>
          <w:sz w:val="24"/>
        </w:rPr>
      </w:pPr>
      <w:r>
        <w:rPr>
          <w:rFonts w:ascii="Arial" w:hAnsi="Arial" w:cs="Arial"/>
          <w:sz w:val="24"/>
          <w:u w:val="single"/>
        </w:rPr>
        <w:t>3. Tailored w</w:t>
      </w:r>
      <w:r w:rsidRPr="00A91193">
        <w:rPr>
          <w:rFonts w:ascii="Arial" w:hAnsi="Arial" w:cs="Arial"/>
          <w:sz w:val="24"/>
          <w:u w:val="single"/>
        </w:rPr>
        <w:t>eb-based data collection tool</w:t>
      </w:r>
      <w:r>
        <w:rPr>
          <w:rFonts w:ascii="Arial" w:hAnsi="Arial" w:cs="Arial"/>
          <w:sz w:val="24"/>
          <w:u w:val="single"/>
        </w:rPr>
        <w:t>s</w:t>
      </w:r>
      <w:r>
        <w:rPr>
          <w:rFonts w:ascii="Arial" w:hAnsi="Arial" w:cs="Arial"/>
          <w:sz w:val="24"/>
        </w:rPr>
        <w:t xml:space="preserve">. </w:t>
      </w:r>
      <w:r w:rsidR="007945A7">
        <w:rPr>
          <w:rFonts w:ascii="Arial" w:hAnsi="Arial" w:cs="Arial"/>
          <w:sz w:val="24"/>
        </w:rPr>
        <w:t xml:space="preserve"> </w:t>
      </w:r>
      <w:r>
        <w:rPr>
          <w:rFonts w:ascii="Arial" w:hAnsi="Arial" w:cs="Arial"/>
          <w:sz w:val="24"/>
        </w:rPr>
        <w:t>Data</w:t>
      </w:r>
      <w:r w:rsidRPr="00434808">
        <w:rPr>
          <w:rFonts w:ascii="Arial" w:hAnsi="Arial" w:cs="Arial"/>
          <w:sz w:val="24"/>
        </w:rPr>
        <w:t xml:space="preserve"> will be collected from grantees using a </w:t>
      </w:r>
      <w:r>
        <w:rPr>
          <w:rFonts w:ascii="Arial" w:hAnsi="Arial" w:cs="Arial"/>
          <w:sz w:val="24"/>
        </w:rPr>
        <w:t xml:space="preserve">30-minute web-based data collection tool. </w:t>
      </w:r>
      <w:r w:rsidR="007945A7">
        <w:rPr>
          <w:rFonts w:ascii="Arial" w:hAnsi="Arial" w:cs="Arial"/>
          <w:sz w:val="24"/>
        </w:rPr>
        <w:t xml:space="preserve"> </w:t>
      </w:r>
      <w:r w:rsidR="007D31FC">
        <w:rPr>
          <w:rFonts w:ascii="Arial" w:hAnsi="Arial" w:cs="Arial"/>
          <w:sz w:val="24"/>
        </w:rPr>
        <w:t>Because the programs are so diverse and are implementing a wide range of program activities, t</w:t>
      </w:r>
      <w:r>
        <w:rPr>
          <w:rFonts w:ascii="Arial" w:hAnsi="Arial" w:cs="Arial"/>
          <w:sz w:val="24"/>
        </w:rPr>
        <w:t>he tool will be tailored to each of the 15 grantee</w:t>
      </w:r>
      <w:r w:rsidR="007D31FC">
        <w:rPr>
          <w:rFonts w:ascii="Arial" w:hAnsi="Arial" w:cs="Arial"/>
          <w:sz w:val="24"/>
        </w:rPr>
        <w:t xml:space="preserve">s. </w:t>
      </w:r>
      <w:r w:rsidR="007945A7">
        <w:rPr>
          <w:rFonts w:ascii="Arial" w:hAnsi="Arial" w:cs="Arial"/>
          <w:sz w:val="24"/>
        </w:rPr>
        <w:t xml:space="preserve"> </w:t>
      </w:r>
      <w:r w:rsidR="007D31FC">
        <w:rPr>
          <w:rFonts w:ascii="Arial" w:hAnsi="Arial" w:cs="Arial"/>
          <w:sz w:val="24"/>
        </w:rPr>
        <w:t xml:space="preserve">This </w:t>
      </w:r>
      <w:r w:rsidR="00240A43">
        <w:rPr>
          <w:rFonts w:ascii="Arial" w:hAnsi="Arial" w:cs="Arial"/>
          <w:sz w:val="24"/>
        </w:rPr>
        <w:t xml:space="preserve">tailoring </w:t>
      </w:r>
      <w:r w:rsidR="007D31FC">
        <w:rPr>
          <w:rFonts w:ascii="Arial" w:hAnsi="Arial" w:cs="Arial"/>
          <w:sz w:val="24"/>
        </w:rPr>
        <w:t xml:space="preserve">approach ensures that </w:t>
      </w:r>
      <w:r w:rsidR="00240A43">
        <w:rPr>
          <w:rFonts w:ascii="Arial" w:hAnsi="Arial" w:cs="Arial"/>
          <w:sz w:val="24"/>
        </w:rPr>
        <w:t xml:space="preserve">the </w:t>
      </w:r>
      <w:r w:rsidR="007D31FC">
        <w:rPr>
          <w:rFonts w:ascii="Arial" w:hAnsi="Arial" w:cs="Arial"/>
          <w:sz w:val="24"/>
        </w:rPr>
        <w:t>data collected is relevant to the grantees</w:t>
      </w:r>
      <w:r w:rsidR="005D1961">
        <w:rPr>
          <w:rFonts w:ascii="Arial" w:hAnsi="Arial" w:cs="Arial"/>
          <w:sz w:val="24"/>
        </w:rPr>
        <w:t>’</w:t>
      </w:r>
      <w:r w:rsidR="007D31FC">
        <w:rPr>
          <w:rFonts w:ascii="Arial" w:hAnsi="Arial" w:cs="Arial"/>
          <w:sz w:val="24"/>
        </w:rPr>
        <w:t xml:space="preserve"> activities and m</w:t>
      </w:r>
      <w:r>
        <w:rPr>
          <w:rFonts w:ascii="Arial" w:hAnsi="Arial" w:cs="Arial"/>
          <w:sz w:val="24"/>
        </w:rPr>
        <w:t>inimize</w:t>
      </w:r>
      <w:r w:rsidR="007D31FC">
        <w:rPr>
          <w:rFonts w:ascii="Arial" w:hAnsi="Arial" w:cs="Arial"/>
          <w:sz w:val="24"/>
        </w:rPr>
        <w:t>s</w:t>
      </w:r>
      <w:r>
        <w:rPr>
          <w:rFonts w:ascii="Arial" w:hAnsi="Arial" w:cs="Arial"/>
          <w:sz w:val="24"/>
        </w:rPr>
        <w:t xml:space="preserve"> burden to the grantees. </w:t>
      </w:r>
      <w:r w:rsidR="007945A7">
        <w:rPr>
          <w:rFonts w:ascii="Arial" w:hAnsi="Arial" w:cs="Arial"/>
          <w:sz w:val="24"/>
        </w:rPr>
        <w:t xml:space="preserve"> </w:t>
      </w:r>
      <w:r>
        <w:rPr>
          <w:rFonts w:ascii="Arial" w:hAnsi="Arial" w:cs="Arial"/>
          <w:sz w:val="24"/>
        </w:rPr>
        <w:t xml:space="preserve">To tailor the tool, the evaluator will use the most recent program documents, and work in partnership with HRSA, to determine the grantees activities. </w:t>
      </w:r>
      <w:r w:rsidR="007945A7">
        <w:rPr>
          <w:rFonts w:ascii="Arial" w:hAnsi="Arial" w:cs="Arial"/>
          <w:sz w:val="24"/>
        </w:rPr>
        <w:t xml:space="preserve"> </w:t>
      </w:r>
      <w:r>
        <w:rPr>
          <w:rFonts w:ascii="Arial" w:hAnsi="Arial" w:cs="Arial"/>
          <w:sz w:val="24"/>
        </w:rPr>
        <w:t xml:space="preserve">Once the activities have been determined for each grantee, the evaluator will select data elements from the question pool that are relevant to the grantees’ activities. </w:t>
      </w:r>
      <w:r w:rsidR="007945A7">
        <w:rPr>
          <w:rFonts w:ascii="Arial" w:hAnsi="Arial" w:cs="Arial"/>
          <w:sz w:val="24"/>
        </w:rPr>
        <w:t xml:space="preserve"> </w:t>
      </w:r>
      <w:r w:rsidR="00EC5675">
        <w:rPr>
          <w:rFonts w:ascii="Arial" w:hAnsi="Arial" w:cs="Arial"/>
          <w:sz w:val="24"/>
        </w:rPr>
        <w:t xml:space="preserve">Only the relevant questions will be included on the tailored web-based tool for </w:t>
      </w:r>
      <w:r w:rsidR="007945A7">
        <w:rPr>
          <w:rFonts w:ascii="Arial" w:hAnsi="Arial" w:cs="Arial"/>
          <w:sz w:val="24"/>
        </w:rPr>
        <w:t xml:space="preserve">each grantee.  </w:t>
      </w:r>
      <w:r>
        <w:rPr>
          <w:rFonts w:ascii="Arial" w:hAnsi="Arial" w:cs="Arial"/>
          <w:sz w:val="24"/>
        </w:rPr>
        <w:t>The question pool that will be used to develop the 15 tailored web-based too</w:t>
      </w:r>
      <w:r w:rsidR="000C1F3B">
        <w:rPr>
          <w:rFonts w:ascii="Arial" w:hAnsi="Arial" w:cs="Arial"/>
          <w:sz w:val="24"/>
        </w:rPr>
        <w:t>ls can be found in Attachment B3</w:t>
      </w:r>
      <w:r>
        <w:rPr>
          <w:rFonts w:ascii="Arial" w:hAnsi="Arial" w:cs="Arial"/>
          <w:sz w:val="24"/>
        </w:rPr>
        <w:t>.</w:t>
      </w:r>
    </w:p>
    <w:p w:rsidRPr="00A62DFA" w:rsidR="00A91193" w:rsidP="00A91193" w:rsidRDefault="00A91193" w14:paraId="5DD38E1C" w14:textId="43DB2988">
      <w:pPr>
        <w:pStyle w:val="ListParagraph"/>
        <w:numPr>
          <w:ilvl w:val="0"/>
          <w:numId w:val="47"/>
        </w:numPr>
        <w:spacing w:before="120"/>
        <w:rPr>
          <w:rFonts w:ascii="Arial" w:hAnsi="Arial" w:cs="Arial"/>
          <w:sz w:val="24"/>
        </w:rPr>
      </w:pPr>
      <w:r>
        <w:rPr>
          <w:rFonts w:ascii="Arial" w:hAnsi="Arial" w:cs="Arial"/>
          <w:sz w:val="24"/>
          <w:u w:val="single"/>
        </w:rPr>
        <w:t xml:space="preserve">4. </w:t>
      </w:r>
      <w:r w:rsidRPr="00A91193">
        <w:rPr>
          <w:rFonts w:ascii="Arial" w:hAnsi="Arial" w:cs="Arial"/>
          <w:sz w:val="24"/>
          <w:u w:val="single"/>
        </w:rPr>
        <w:t>Partnership survey</w:t>
      </w:r>
      <w:r>
        <w:rPr>
          <w:rFonts w:ascii="Arial" w:hAnsi="Arial" w:cs="Arial"/>
          <w:sz w:val="24"/>
        </w:rPr>
        <w:t>.</w:t>
      </w:r>
      <w:r w:rsidR="007945A7">
        <w:rPr>
          <w:rFonts w:ascii="Arial" w:hAnsi="Arial" w:cs="Arial"/>
          <w:sz w:val="24"/>
        </w:rPr>
        <w:t xml:space="preserve"> </w:t>
      </w:r>
      <w:r>
        <w:rPr>
          <w:rFonts w:ascii="Arial" w:hAnsi="Arial" w:cs="Arial"/>
          <w:sz w:val="24"/>
        </w:rPr>
        <w:t xml:space="preserve"> A 15-minute survey will be administered to each grantee and their partners to assess the overall quality and effectiveness of each partnership. </w:t>
      </w:r>
      <w:r w:rsidR="007945A7">
        <w:rPr>
          <w:rFonts w:ascii="Arial" w:hAnsi="Arial" w:cs="Arial"/>
          <w:sz w:val="24"/>
        </w:rPr>
        <w:t xml:space="preserve"> </w:t>
      </w:r>
      <w:r w:rsidR="005D1961">
        <w:rPr>
          <w:rFonts w:ascii="Arial" w:hAnsi="Arial" w:cs="Arial"/>
          <w:sz w:val="24"/>
        </w:rPr>
        <w:t>The partnership survey questionnaire</w:t>
      </w:r>
      <w:r w:rsidR="000C1F3B">
        <w:rPr>
          <w:rFonts w:ascii="Arial" w:hAnsi="Arial" w:cs="Arial"/>
          <w:sz w:val="24"/>
        </w:rPr>
        <w:t xml:space="preserve"> can be found in Attachment B4</w:t>
      </w:r>
      <w:r>
        <w:rPr>
          <w:rFonts w:ascii="Arial" w:hAnsi="Arial" w:cs="Arial"/>
          <w:sz w:val="24"/>
        </w:rPr>
        <w:t>.</w:t>
      </w:r>
    </w:p>
    <w:p w:rsidR="00A62DFA" w:rsidP="00CA3DA6" w:rsidRDefault="003E5F63" w14:paraId="126660DF" w14:textId="6AB600B7">
      <w:pPr>
        <w:spacing w:before="120"/>
        <w:rPr>
          <w:rFonts w:ascii="Arial" w:hAnsi="Arial" w:cs="Arial"/>
          <w:sz w:val="24"/>
        </w:rPr>
      </w:pPr>
      <w:r>
        <w:rPr>
          <w:rFonts w:ascii="Arial" w:hAnsi="Arial" w:cs="Arial"/>
          <w:sz w:val="24"/>
        </w:rPr>
        <w:t>In order to minimize data collection burden for this evaluation, a large number of s</w:t>
      </w:r>
      <w:r w:rsidR="00A62DFA">
        <w:rPr>
          <w:rFonts w:ascii="Arial" w:hAnsi="Arial" w:cs="Arial"/>
          <w:sz w:val="24"/>
        </w:rPr>
        <w:t>econdary data sources</w:t>
      </w:r>
      <w:r>
        <w:rPr>
          <w:rFonts w:ascii="Arial" w:hAnsi="Arial" w:cs="Arial"/>
          <w:sz w:val="24"/>
        </w:rPr>
        <w:t xml:space="preserve"> will be utilized to gather information on the implementation and outcomes of the MH Programs. </w:t>
      </w:r>
      <w:r w:rsidR="007945A7">
        <w:rPr>
          <w:rFonts w:ascii="Arial" w:hAnsi="Arial" w:cs="Arial"/>
          <w:sz w:val="24"/>
        </w:rPr>
        <w:t xml:space="preserve"> </w:t>
      </w:r>
      <w:r>
        <w:rPr>
          <w:rFonts w:ascii="Arial" w:hAnsi="Arial" w:cs="Arial"/>
          <w:sz w:val="24"/>
        </w:rPr>
        <w:t>The secondary data sources</w:t>
      </w:r>
      <w:r w:rsidR="00A62DFA">
        <w:rPr>
          <w:rFonts w:ascii="Arial" w:hAnsi="Arial" w:cs="Arial"/>
          <w:sz w:val="24"/>
        </w:rPr>
        <w:t xml:space="preserve"> include:</w:t>
      </w:r>
    </w:p>
    <w:p w:rsidR="00A62DFA" w:rsidP="003D4BF7" w:rsidRDefault="00A62DFA" w14:paraId="1F2C7945" w14:textId="296CD493">
      <w:pPr>
        <w:pStyle w:val="ListParagraph"/>
        <w:numPr>
          <w:ilvl w:val="0"/>
          <w:numId w:val="46"/>
        </w:numPr>
        <w:spacing w:before="120"/>
        <w:rPr>
          <w:rFonts w:ascii="Arial" w:hAnsi="Arial" w:cs="Arial"/>
          <w:sz w:val="24"/>
        </w:rPr>
      </w:pPr>
      <w:r w:rsidRPr="003E5F63">
        <w:rPr>
          <w:rFonts w:ascii="Arial" w:hAnsi="Arial" w:cs="Arial"/>
          <w:sz w:val="24"/>
          <w:u w:val="single"/>
        </w:rPr>
        <w:t>HRSA Program Documents</w:t>
      </w:r>
      <w:r w:rsidRPr="00A62DFA">
        <w:rPr>
          <w:rFonts w:ascii="Arial" w:hAnsi="Arial" w:cs="Arial"/>
          <w:sz w:val="24"/>
        </w:rPr>
        <w:t>: Grantee Applications, Grantee Reports (HRSA Performance Measures), Grantee Evaluation Reports, and Grantee Program Call Templates</w:t>
      </w:r>
      <w:r>
        <w:rPr>
          <w:rFonts w:ascii="Arial" w:hAnsi="Arial" w:cs="Arial"/>
          <w:sz w:val="24"/>
        </w:rPr>
        <w:t>.</w:t>
      </w:r>
      <w:r w:rsidRPr="00A62DFA">
        <w:rPr>
          <w:rFonts w:ascii="Arial" w:hAnsi="Arial" w:cs="Arial"/>
          <w:sz w:val="24"/>
        </w:rPr>
        <w:t xml:space="preserve"> </w:t>
      </w:r>
    </w:p>
    <w:p w:rsidRPr="007945A7" w:rsidR="007945A7" w:rsidP="007945A7" w:rsidRDefault="007945A7" w14:paraId="7DDCBF02" w14:textId="77777777">
      <w:pPr>
        <w:pStyle w:val="ListParagraph"/>
        <w:spacing w:before="120"/>
        <w:rPr>
          <w:rFonts w:ascii="Arial" w:hAnsi="Arial" w:cs="Arial"/>
          <w:sz w:val="24"/>
        </w:rPr>
      </w:pPr>
    </w:p>
    <w:p w:rsidRPr="00A62DFA" w:rsidR="00A62DFA" w:rsidP="00A62DFA" w:rsidRDefault="00A62DFA" w14:paraId="3802B15C" w14:textId="19371017">
      <w:pPr>
        <w:pStyle w:val="ListParagraph"/>
        <w:numPr>
          <w:ilvl w:val="0"/>
          <w:numId w:val="46"/>
        </w:numPr>
        <w:spacing w:before="120"/>
        <w:rPr>
          <w:rFonts w:ascii="Arial" w:hAnsi="Arial" w:cs="Arial"/>
          <w:sz w:val="24"/>
        </w:rPr>
      </w:pPr>
      <w:r w:rsidRPr="003E5F63">
        <w:rPr>
          <w:rFonts w:ascii="Arial" w:hAnsi="Arial" w:cs="Arial"/>
          <w:sz w:val="24"/>
          <w:u w:val="single"/>
        </w:rPr>
        <w:lastRenderedPageBreak/>
        <w:t>AIM Data Center</w:t>
      </w:r>
      <w:r>
        <w:rPr>
          <w:rFonts w:ascii="Arial" w:hAnsi="Arial" w:cs="Arial"/>
          <w:sz w:val="24"/>
        </w:rPr>
        <w:t xml:space="preserve">: </w:t>
      </w:r>
      <w:r w:rsidR="007945A7">
        <w:rPr>
          <w:rFonts w:ascii="Arial" w:hAnsi="Arial" w:cs="Arial"/>
          <w:sz w:val="24"/>
        </w:rPr>
        <w:t xml:space="preserve"> </w:t>
      </w:r>
      <w:r>
        <w:rPr>
          <w:rFonts w:ascii="Arial" w:hAnsi="Arial" w:cs="Arial"/>
          <w:sz w:val="24"/>
        </w:rPr>
        <w:t xml:space="preserve">Contains data from AIM </w:t>
      </w:r>
      <w:proofErr w:type="spellStart"/>
      <w:r>
        <w:rPr>
          <w:rFonts w:ascii="Arial" w:hAnsi="Arial" w:cs="Arial"/>
          <w:sz w:val="24"/>
        </w:rPr>
        <w:t>subawardees</w:t>
      </w:r>
      <w:proofErr w:type="spellEnd"/>
      <w:r>
        <w:rPr>
          <w:rFonts w:ascii="Arial" w:hAnsi="Arial" w:cs="Arial"/>
          <w:sz w:val="24"/>
        </w:rPr>
        <w:t xml:space="preserve"> on several baseline, outcome, process</w:t>
      </w:r>
      <w:r w:rsidR="003E5F63">
        <w:rPr>
          <w:rFonts w:ascii="Arial" w:hAnsi="Arial" w:cs="Arial"/>
          <w:sz w:val="24"/>
        </w:rPr>
        <w:t>,</w:t>
      </w:r>
      <w:r>
        <w:rPr>
          <w:rFonts w:ascii="Arial" w:hAnsi="Arial" w:cs="Arial"/>
          <w:sz w:val="24"/>
        </w:rPr>
        <w:t xml:space="preserve"> and structure measures per each bundle type throughout the course of the program.</w:t>
      </w:r>
      <w:r w:rsidRPr="00A62DFA">
        <w:rPr>
          <w:rFonts w:ascii="Arial" w:hAnsi="Arial" w:cs="Arial"/>
          <w:sz w:val="24"/>
        </w:rPr>
        <w:t xml:space="preserve"> </w:t>
      </w:r>
    </w:p>
    <w:p w:rsidRPr="00A62DFA" w:rsidR="00A62DFA" w:rsidP="00A62DFA" w:rsidRDefault="00A62DFA" w14:paraId="69B81A70" w14:textId="1A1C7B0C">
      <w:pPr>
        <w:pStyle w:val="ListParagraph"/>
        <w:numPr>
          <w:ilvl w:val="0"/>
          <w:numId w:val="46"/>
        </w:numPr>
        <w:spacing w:before="120"/>
        <w:rPr>
          <w:rFonts w:ascii="Arial" w:hAnsi="Arial" w:cs="Arial"/>
          <w:sz w:val="24"/>
        </w:rPr>
      </w:pPr>
      <w:r w:rsidRPr="003E5F63">
        <w:rPr>
          <w:rFonts w:ascii="Arial" w:hAnsi="Arial" w:cs="Arial"/>
          <w:sz w:val="24"/>
          <w:u w:val="single"/>
        </w:rPr>
        <w:t>AIM-CCI Data Portal</w:t>
      </w:r>
      <w:r>
        <w:rPr>
          <w:rFonts w:ascii="Arial" w:hAnsi="Arial" w:cs="Arial"/>
          <w:sz w:val="24"/>
        </w:rPr>
        <w:t xml:space="preserve">: </w:t>
      </w:r>
      <w:r w:rsidR="007945A7">
        <w:rPr>
          <w:rFonts w:ascii="Arial" w:hAnsi="Arial" w:cs="Arial"/>
          <w:sz w:val="24"/>
        </w:rPr>
        <w:t xml:space="preserve"> </w:t>
      </w:r>
      <w:r>
        <w:rPr>
          <w:rFonts w:ascii="Arial" w:hAnsi="Arial" w:cs="Arial"/>
          <w:sz w:val="24"/>
        </w:rPr>
        <w:t>Contains data for</w:t>
      </w:r>
      <w:r w:rsidRPr="00A62DFA">
        <w:rPr>
          <w:rFonts w:ascii="Arial" w:hAnsi="Arial" w:cs="Arial"/>
          <w:sz w:val="24"/>
        </w:rPr>
        <w:t xml:space="preserve"> both of the existing patient bundles to assess implications for maternal safety through the continuum of care in the outpatient and community settings, as well as the soon-to-be developed non-hospital focused Maternal Safety Bundles (</w:t>
      </w:r>
      <w:proofErr w:type="spellStart"/>
      <w:r w:rsidRPr="00A62DFA">
        <w:rPr>
          <w:rFonts w:ascii="Arial" w:hAnsi="Arial" w:cs="Arial"/>
          <w:sz w:val="24"/>
        </w:rPr>
        <w:t>MSBs</w:t>
      </w:r>
      <w:proofErr w:type="spellEnd"/>
      <w:r w:rsidRPr="00A62DFA">
        <w:rPr>
          <w:rFonts w:ascii="Arial" w:hAnsi="Arial" w:cs="Arial"/>
          <w:sz w:val="24"/>
        </w:rPr>
        <w:t xml:space="preserve">). </w:t>
      </w:r>
    </w:p>
    <w:p w:rsidRPr="00A62DFA" w:rsidR="00A62DFA" w:rsidP="00A62DFA" w:rsidRDefault="00A62DFA" w14:paraId="30DCCC1E" w14:textId="79ED0D69">
      <w:pPr>
        <w:pStyle w:val="ListParagraph"/>
        <w:numPr>
          <w:ilvl w:val="0"/>
          <w:numId w:val="46"/>
        </w:numPr>
        <w:spacing w:before="120"/>
        <w:rPr>
          <w:rFonts w:ascii="Arial" w:hAnsi="Arial" w:cs="Arial"/>
          <w:sz w:val="24"/>
        </w:rPr>
      </w:pPr>
      <w:proofErr w:type="spellStart"/>
      <w:r w:rsidRPr="003E5F63">
        <w:rPr>
          <w:rFonts w:ascii="Arial" w:hAnsi="Arial" w:cs="Arial"/>
          <w:sz w:val="24"/>
          <w:u w:val="single"/>
        </w:rPr>
        <w:t>RMOMS</w:t>
      </w:r>
      <w:proofErr w:type="spellEnd"/>
      <w:r w:rsidRPr="003E5F63">
        <w:rPr>
          <w:rFonts w:ascii="Arial" w:hAnsi="Arial" w:cs="Arial"/>
          <w:sz w:val="24"/>
          <w:u w:val="single"/>
        </w:rPr>
        <w:t xml:space="preserve"> External Evaluation Report</w:t>
      </w:r>
      <w:r>
        <w:rPr>
          <w:rFonts w:ascii="Arial" w:hAnsi="Arial" w:cs="Arial"/>
          <w:sz w:val="24"/>
        </w:rPr>
        <w:t xml:space="preserve">: </w:t>
      </w:r>
      <w:r w:rsidR="007945A7">
        <w:rPr>
          <w:rFonts w:ascii="Arial" w:hAnsi="Arial" w:cs="Arial"/>
          <w:sz w:val="24"/>
        </w:rPr>
        <w:t xml:space="preserve"> </w:t>
      </w:r>
      <w:r>
        <w:rPr>
          <w:rFonts w:ascii="Arial" w:hAnsi="Arial" w:cs="Arial"/>
          <w:sz w:val="24"/>
        </w:rPr>
        <w:t xml:space="preserve">An external evaluation will be conducted to document the implementation of the </w:t>
      </w:r>
      <w:proofErr w:type="spellStart"/>
      <w:r>
        <w:rPr>
          <w:rFonts w:ascii="Arial" w:hAnsi="Arial" w:cs="Arial"/>
          <w:sz w:val="24"/>
        </w:rPr>
        <w:t>RMOMS</w:t>
      </w:r>
      <w:proofErr w:type="spellEnd"/>
      <w:r>
        <w:rPr>
          <w:rFonts w:ascii="Arial" w:hAnsi="Arial" w:cs="Arial"/>
          <w:sz w:val="24"/>
        </w:rPr>
        <w:t xml:space="preserve"> program, assess how many women and infants were served, and assess broader program impact. </w:t>
      </w:r>
      <w:r w:rsidR="007945A7">
        <w:rPr>
          <w:rFonts w:ascii="Arial" w:hAnsi="Arial" w:cs="Arial"/>
          <w:sz w:val="24"/>
        </w:rPr>
        <w:t xml:space="preserve"> </w:t>
      </w:r>
      <w:r>
        <w:rPr>
          <w:rFonts w:ascii="Arial" w:hAnsi="Arial" w:cs="Arial"/>
          <w:sz w:val="24"/>
        </w:rPr>
        <w:t xml:space="preserve">The MH evaluation will utilize findings from the </w:t>
      </w:r>
      <w:proofErr w:type="spellStart"/>
      <w:r>
        <w:rPr>
          <w:rFonts w:ascii="Arial" w:hAnsi="Arial" w:cs="Arial"/>
          <w:sz w:val="24"/>
        </w:rPr>
        <w:t>RMOMS</w:t>
      </w:r>
      <w:proofErr w:type="spellEnd"/>
      <w:r>
        <w:rPr>
          <w:rFonts w:ascii="Arial" w:hAnsi="Arial" w:cs="Arial"/>
          <w:sz w:val="24"/>
        </w:rPr>
        <w:t xml:space="preserve"> evaluation documented in the </w:t>
      </w:r>
      <w:proofErr w:type="spellStart"/>
      <w:r>
        <w:rPr>
          <w:rFonts w:ascii="Arial" w:hAnsi="Arial" w:cs="Arial"/>
          <w:sz w:val="24"/>
        </w:rPr>
        <w:t>RMOMS</w:t>
      </w:r>
      <w:proofErr w:type="spellEnd"/>
      <w:r>
        <w:rPr>
          <w:rFonts w:ascii="Arial" w:hAnsi="Arial" w:cs="Arial"/>
          <w:sz w:val="24"/>
        </w:rPr>
        <w:t xml:space="preserve"> final report. </w:t>
      </w:r>
      <w:r w:rsidRPr="00A62DFA">
        <w:rPr>
          <w:rFonts w:ascii="Arial" w:hAnsi="Arial" w:cs="Arial"/>
          <w:sz w:val="24"/>
        </w:rPr>
        <w:t xml:space="preserve"> </w:t>
      </w:r>
    </w:p>
    <w:p w:rsidRPr="00A62DFA" w:rsidR="00A62DFA" w:rsidP="00A62DFA" w:rsidRDefault="00A62DFA" w14:paraId="151FC39F" w14:textId="203509BA">
      <w:pPr>
        <w:pStyle w:val="ListParagraph"/>
        <w:numPr>
          <w:ilvl w:val="0"/>
          <w:numId w:val="46"/>
        </w:numPr>
        <w:spacing w:before="120"/>
        <w:rPr>
          <w:rFonts w:ascii="Arial" w:hAnsi="Arial" w:cs="Arial"/>
          <w:sz w:val="24"/>
        </w:rPr>
      </w:pPr>
      <w:r w:rsidRPr="003E5F63">
        <w:rPr>
          <w:rFonts w:ascii="Arial" w:hAnsi="Arial" w:cs="Arial"/>
          <w:sz w:val="24"/>
          <w:u w:val="single"/>
        </w:rPr>
        <w:t xml:space="preserve">State </w:t>
      </w:r>
      <w:proofErr w:type="spellStart"/>
      <w:r w:rsidRPr="003E5F63">
        <w:rPr>
          <w:rFonts w:ascii="Arial" w:hAnsi="Arial" w:cs="Arial"/>
          <w:sz w:val="24"/>
          <w:u w:val="single"/>
        </w:rPr>
        <w:t>MHI</w:t>
      </w:r>
      <w:proofErr w:type="spellEnd"/>
      <w:r w:rsidRPr="003E5F63">
        <w:rPr>
          <w:rFonts w:ascii="Arial" w:hAnsi="Arial" w:cs="Arial"/>
          <w:sz w:val="24"/>
          <w:u w:val="single"/>
        </w:rPr>
        <w:t xml:space="preserve"> Strategic Plans</w:t>
      </w:r>
      <w:r>
        <w:rPr>
          <w:rFonts w:ascii="Arial" w:hAnsi="Arial" w:cs="Arial"/>
          <w:sz w:val="24"/>
        </w:rPr>
        <w:t xml:space="preserve">: </w:t>
      </w:r>
      <w:r w:rsidR="007945A7">
        <w:rPr>
          <w:rFonts w:ascii="Arial" w:hAnsi="Arial" w:cs="Arial"/>
          <w:sz w:val="24"/>
        </w:rPr>
        <w:t xml:space="preserve"> </w:t>
      </w:r>
      <w:r w:rsidRPr="00A62DFA">
        <w:rPr>
          <w:rFonts w:ascii="Arial" w:hAnsi="Arial" w:cs="Arial"/>
          <w:sz w:val="24"/>
        </w:rPr>
        <w:t xml:space="preserve">Each State </w:t>
      </w:r>
      <w:proofErr w:type="spellStart"/>
      <w:r w:rsidRPr="00A62DFA">
        <w:rPr>
          <w:rFonts w:ascii="Arial" w:hAnsi="Arial" w:cs="Arial"/>
          <w:sz w:val="24"/>
        </w:rPr>
        <w:t>MHI</w:t>
      </w:r>
      <w:proofErr w:type="spellEnd"/>
      <w:r w:rsidRPr="00A62DFA">
        <w:rPr>
          <w:rFonts w:ascii="Arial" w:hAnsi="Arial" w:cs="Arial"/>
          <w:sz w:val="24"/>
        </w:rPr>
        <w:t xml:space="preserve"> Maternal Health Task Force will develop a state level strategic plan to address maternal mortality with specific recommendations and plans. </w:t>
      </w:r>
    </w:p>
    <w:p w:rsidRPr="00A62DFA" w:rsidR="00A62DFA" w:rsidP="00A62DFA" w:rsidRDefault="00A62DFA" w14:paraId="6D0F1081" w14:textId="4FDE380E">
      <w:pPr>
        <w:pStyle w:val="ListParagraph"/>
        <w:numPr>
          <w:ilvl w:val="0"/>
          <w:numId w:val="46"/>
        </w:numPr>
        <w:spacing w:before="120"/>
        <w:rPr>
          <w:rFonts w:ascii="Arial" w:hAnsi="Arial" w:cs="Arial"/>
          <w:sz w:val="24"/>
        </w:rPr>
      </w:pPr>
      <w:r w:rsidRPr="003E5F63">
        <w:rPr>
          <w:rFonts w:ascii="Arial" w:hAnsi="Arial" w:cs="Arial"/>
          <w:sz w:val="24"/>
          <w:u w:val="single"/>
        </w:rPr>
        <w:t>State policies related to maternal health</w:t>
      </w:r>
      <w:r>
        <w:rPr>
          <w:rFonts w:ascii="Arial" w:hAnsi="Arial" w:cs="Arial"/>
          <w:sz w:val="24"/>
        </w:rPr>
        <w:t xml:space="preserve">: </w:t>
      </w:r>
      <w:r w:rsidR="007945A7">
        <w:rPr>
          <w:rFonts w:ascii="Arial" w:hAnsi="Arial" w:cs="Arial"/>
          <w:sz w:val="24"/>
        </w:rPr>
        <w:t xml:space="preserve"> </w:t>
      </w:r>
      <w:r w:rsidRPr="00A62DFA">
        <w:rPr>
          <w:rFonts w:ascii="Arial" w:hAnsi="Arial" w:cs="Arial"/>
          <w:sz w:val="24"/>
        </w:rPr>
        <w:t xml:space="preserve">Supporting </w:t>
      </w:r>
      <w:proofErr w:type="spellStart"/>
      <w:r w:rsidRPr="00A62DFA">
        <w:rPr>
          <w:rFonts w:ascii="Arial" w:hAnsi="Arial" w:cs="Arial"/>
          <w:sz w:val="24"/>
        </w:rPr>
        <w:t>MHI</w:t>
      </w:r>
      <w:proofErr w:type="spellEnd"/>
      <w:r w:rsidRPr="00A62DFA">
        <w:rPr>
          <w:rFonts w:ascii="Arial" w:hAnsi="Arial" w:cs="Arial"/>
          <w:sz w:val="24"/>
        </w:rPr>
        <w:t xml:space="preserve"> plans to create a “policy database” on their website to identify and document the variety of policy interventions at the local, state, and national levels a</w:t>
      </w:r>
      <w:r>
        <w:rPr>
          <w:rFonts w:ascii="Arial" w:hAnsi="Arial" w:cs="Arial"/>
          <w:sz w:val="24"/>
        </w:rPr>
        <w:t xml:space="preserve">imed at reducing MM and </w:t>
      </w:r>
      <w:proofErr w:type="spellStart"/>
      <w:r>
        <w:rPr>
          <w:rFonts w:ascii="Arial" w:hAnsi="Arial" w:cs="Arial"/>
          <w:sz w:val="24"/>
        </w:rPr>
        <w:t>SMM</w:t>
      </w:r>
      <w:proofErr w:type="spellEnd"/>
      <w:r>
        <w:rPr>
          <w:rFonts w:ascii="Arial" w:hAnsi="Arial" w:cs="Arial"/>
          <w:sz w:val="24"/>
        </w:rPr>
        <w:t>.</w:t>
      </w:r>
    </w:p>
    <w:p w:rsidR="00A62DFA" w:rsidP="00A62DFA" w:rsidRDefault="00A62DFA" w14:paraId="110626F3" w14:textId="42268E4E">
      <w:pPr>
        <w:pStyle w:val="ListParagraph"/>
        <w:numPr>
          <w:ilvl w:val="0"/>
          <w:numId w:val="46"/>
        </w:numPr>
        <w:spacing w:before="120"/>
        <w:rPr>
          <w:rFonts w:ascii="Arial" w:hAnsi="Arial" w:cs="Arial"/>
          <w:sz w:val="24"/>
        </w:rPr>
      </w:pPr>
      <w:r w:rsidRPr="003E5F63">
        <w:rPr>
          <w:rFonts w:ascii="Arial" w:hAnsi="Arial" w:cs="Arial"/>
          <w:sz w:val="24"/>
          <w:u w:val="single"/>
        </w:rPr>
        <w:t>State-level maternal health data</w:t>
      </w:r>
      <w:r w:rsidRPr="00691946">
        <w:rPr>
          <w:rFonts w:ascii="Arial" w:hAnsi="Arial" w:cs="Arial"/>
          <w:sz w:val="24"/>
        </w:rPr>
        <w:t xml:space="preserve">: </w:t>
      </w:r>
      <w:r w:rsidR="007945A7">
        <w:rPr>
          <w:rFonts w:ascii="Arial" w:hAnsi="Arial" w:cs="Arial"/>
          <w:sz w:val="24"/>
        </w:rPr>
        <w:t xml:space="preserve"> </w:t>
      </w:r>
      <w:r w:rsidRPr="00691946">
        <w:rPr>
          <w:rFonts w:ascii="Arial" w:hAnsi="Arial" w:cs="Arial"/>
          <w:sz w:val="24"/>
        </w:rPr>
        <w:t xml:space="preserve">State </w:t>
      </w:r>
      <w:proofErr w:type="spellStart"/>
      <w:r w:rsidRPr="00691946">
        <w:rPr>
          <w:rFonts w:ascii="Arial" w:hAnsi="Arial" w:cs="Arial"/>
          <w:sz w:val="24"/>
        </w:rPr>
        <w:t>MHI</w:t>
      </w:r>
      <w:proofErr w:type="spellEnd"/>
      <w:r w:rsidRPr="00691946">
        <w:rPr>
          <w:rFonts w:ascii="Arial" w:hAnsi="Arial" w:cs="Arial"/>
          <w:sz w:val="24"/>
        </w:rPr>
        <w:t xml:space="preserve"> grantees will produce annual data reports on state maternal health </w:t>
      </w:r>
      <w:r w:rsidR="00691946">
        <w:rPr>
          <w:rFonts w:ascii="Arial" w:hAnsi="Arial" w:cs="Arial"/>
          <w:sz w:val="24"/>
        </w:rPr>
        <w:t>outcomes</w:t>
      </w:r>
      <w:r w:rsidRPr="00691946">
        <w:rPr>
          <w:rFonts w:ascii="Arial" w:hAnsi="Arial" w:cs="Arial"/>
          <w:sz w:val="24"/>
        </w:rPr>
        <w:t>.</w:t>
      </w:r>
    </w:p>
    <w:p w:rsidRPr="00C45431" w:rsidR="009B3794" w:rsidP="00CA3DA6" w:rsidRDefault="009B3794" w14:paraId="69C6386F" w14:textId="77777777">
      <w:pPr>
        <w:numPr>
          <w:ilvl w:val="0"/>
          <w:numId w:val="2"/>
        </w:numPr>
        <w:tabs>
          <w:tab w:val="num" w:pos="360"/>
        </w:tabs>
        <w:spacing w:before="240"/>
        <w:ind w:left="360"/>
        <w:rPr>
          <w:rFonts w:ascii="Arial" w:hAnsi="Arial" w:cs="Arial"/>
          <w:b/>
          <w:sz w:val="24"/>
        </w:rPr>
      </w:pPr>
      <w:r w:rsidRPr="00C45431">
        <w:rPr>
          <w:rFonts w:ascii="Arial" w:hAnsi="Arial" w:cs="Arial"/>
          <w:b/>
          <w:sz w:val="24"/>
          <w:u w:val="single"/>
        </w:rPr>
        <w:t>Purpose and Use of Information Collection</w:t>
      </w:r>
    </w:p>
    <w:p w:rsidR="00B15C8E" w:rsidP="00CA3DA6" w:rsidRDefault="00B44DF1" w14:paraId="698A27DC" w14:textId="1E45BB06">
      <w:pPr>
        <w:spacing w:before="120"/>
        <w:rPr>
          <w:rFonts w:ascii="Arial" w:hAnsi="Arial" w:cs="Arial"/>
          <w:sz w:val="24"/>
        </w:rPr>
      </w:pPr>
      <w:r>
        <w:rPr>
          <w:rFonts w:ascii="Arial" w:hAnsi="Arial" w:cs="Arial"/>
          <w:sz w:val="24"/>
        </w:rPr>
        <w:t xml:space="preserve">The purpose of this project is to </w:t>
      </w:r>
      <w:r w:rsidR="00414006">
        <w:rPr>
          <w:rFonts w:ascii="Arial" w:hAnsi="Arial" w:cs="Arial"/>
          <w:sz w:val="24"/>
        </w:rPr>
        <w:t>gather credible</w:t>
      </w:r>
      <w:r w:rsidRPr="00414006" w:rsidR="00414006">
        <w:rPr>
          <w:rFonts w:ascii="Arial" w:hAnsi="Arial" w:cs="Arial"/>
          <w:sz w:val="24"/>
        </w:rPr>
        <w:t xml:space="preserve"> evidence on the activities and impact of the </w:t>
      </w:r>
      <w:r w:rsidR="00414006">
        <w:rPr>
          <w:rFonts w:ascii="Arial" w:hAnsi="Arial" w:cs="Arial"/>
          <w:sz w:val="24"/>
        </w:rPr>
        <w:t xml:space="preserve">HRSA MH </w:t>
      </w:r>
      <w:r w:rsidR="005D0CCF">
        <w:rPr>
          <w:rFonts w:ascii="Arial" w:hAnsi="Arial" w:cs="Arial"/>
          <w:sz w:val="24"/>
        </w:rPr>
        <w:t>P</w:t>
      </w:r>
      <w:r w:rsidRPr="00414006" w:rsidR="005D0CCF">
        <w:rPr>
          <w:rFonts w:ascii="Arial" w:hAnsi="Arial" w:cs="Arial"/>
          <w:sz w:val="24"/>
        </w:rPr>
        <w:t>ortfolio</w:t>
      </w:r>
      <w:r w:rsidR="003E5F63">
        <w:rPr>
          <w:rFonts w:ascii="Arial" w:hAnsi="Arial" w:cs="Arial"/>
          <w:sz w:val="24"/>
        </w:rPr>
        <w:t xml:space="preserve">. </w:t>
      </w:r>
      <w:r w:rsidR="007945A7">
        <w:rPr>
          <w:rFonts w:ascii="Arial" w:hAnsi="Arial" w:cs="Arial"/>
          <w:sz w:val="24"/>
        </w:rPr>
        <w:t xml:space="preserve"> </w:t>
      </w:r>
      <w:r w:rsidR="003E5F63">
        <w:rPr>
          <w:rFonts w:ascii="Arial" w:hAnsi="Arial" w:cs="Arial"/>
          <w:sz w:val="24"/>
        </w:rPr>
        <w:t>This evidence can be used to assess</w:t>
      </w:r>
      <w:r w:rsidRPr="00414006" w:rsidR="00414006">
        <w:rPr>
          <w:rFonts w:ascii="Arial" w:hAnsi="Arial" w:cs="Arial"/>
          <w:sz w:val="24"/>
        </w:rPr>
        <w:t xml:space="preserve"> how programs were designed and implemented and </w:t>
      </w:r>
      <w:r w:rsidR="003E5F63">
        <w:rPr>
          <w:rFonts w:ascii="Arial" w:hAnsi="Arial" w:cs="Arial"/>
          <w:sz w:val="24"/>
        </w:rPr>
        <w:t xml:space="preserve">evaluate their associated outcomes. </w:t>
      </w:r>
      <w:r w:rsidR="007945A7">
        <w:rPr>
          <w:rFonts w:ascii="Arial" w:hAnsi="Arial" w:cs="Arial"/>
          <w:sz w:val="24"/>
        </w:rPr>
        <w:t xml:space="preserve"> </w:t>
      </w:r>
      <w:r w:rsidR="003E5F63">
        <w:rPr>
          <w:rFonts w:ascii="Arial" w:hAnsi="Arial" w:cs="Arial"/>
          <w:sz w:val="24"/>
        </w:rPr>
        <w:t>These findings will be used f</w:t>
      </w:r>
      <w:r w:rsidRPr="00414006" w:rsidR="00414006">
        <w:rPr>
          <w:rFonts w:ascii="Arial" w:hAnsi="Arial" w:cs="Arial"/>
          <w:sz w:val="24"/>
        </w:rPr>
        <w:t>or future decision</w:t>
      </w:r>
      <w:r w:rsidR="00414006">
        <w:rPr>
          <w:rFonts w:ascii="Arial" w:hAnsi="Arial" w:cs="Arial"/>
          <w:sz w:val="24"/>
        </w:rPr>
        <w:t xml:space="preserve"> making on efforts to address maternal mortality and severe maternal morbidity</w:t>
      </w:r>
      <w:r w:rsidRPr="00414006" w:rsidR="00414006">
        <w:rPr>
          <w:rFonts w:ascii="Arial" w:hAnsi="Arial" w:cs="Arial"/>
          <w:sz w:val="24"/>
        </w:rPr>
        <w:t xml:space="preserve">.     </w:t>
      </w:r>
    </w:p>
    <w:p w:rsidRPr="00B44DF1" w:rsidR="00B44DF1" w:rsidP="00B44DF1" w:rsidRDefault="00B44DF1" w14:paraId="3BDE7985" w14:textId="5E0D6B46">
      <w:pPr>
        <w:spacing w:before="120"/>
        <w:rPr>
          <w:rFonts w:ascii="Arial" w:hAnsi="Arial" w:cs="Arial"/>
          <w:sz w:val="24"/>
        </w:rPr>
      </w:pPr>
      <w:r w:rsidRPr="00B44DF1">
        <w:rPr>
          <w:rFonts w:ascii="Arial" w:hAnsi="Arial" w:cs="Arial"/>
          <w:sz w:val="24"/>
        </w:rPr>
        <w:t xml:space="preserve">The evaluation is guided by six overarching evaluation research questions that assess the effectiveness of grantees’ activities, barriers and facilitators to implementation, opportunities for scaling and spreading effective program interventions, the degree to which programs address the elements of the prevention framework, whether the programs address health equity, and the overall impact of the portfolio on maternal health outcomes. </w:t>
      </w:r>
      <w:r w:rsidR="007945A7">
        <w:rPr>
          <w:rFonts w:ascii="Arial" w:hAnsi="Arial" w:cs="Arial"/>
          <w:sz w:val="24"/>
        </w:rPr>
        <w:t xml:space="preserve"> </w:t>
      </w:r>
      <w:r w:rsidRPr="00B44DF1">
        <w:rPr>
          <w:rFonts w:ascii="Arial" w:hAnsi="Arial" w:cs="Arial"/>
          <w:sz w:val="24"/>
        </w:rPr>
        <w:t xml:space="preserve">The evaluation research questions are the following: </w:t>
      </w:r>
    </w:p>
    <w:p w:rsidRPr="00B44DF1" w:rsidR="00B44DF1" w:rsidP="00B44DF1" w:rsidRDefault="00B44DF1" w14:paraId="5804635D" w14:textId="2786AEF8">
      <w:pPr>
        <w:pStyle w:val="ListParagraph"/>
        <w:numPr>
          <w:ilvl w:val="0"/>
          <w:numId w:val="45"/>
        </w:numPr>
        <w:spacing w:before="120"/>
        <w:rPr>
          <w:rFonts w:ascii="Arial" w:hAnsi="Arial" w:cs="Arial"/>
          <w:sz w:val="24"/>
        </w:rPr>
      </w:pPr>
      <w:r w:rsidRPr="00B44DF1">
        <w:rPr>
          <w:rFonts w:ascii="Arial" w:hAnsi="Arial" w:cs="Arial"/>
          <w:sz w:val="24"/>
        </w:rPr>
        <w:t xml:space="preserve">What program components (strategies and activities) were effective in addressing relevant maternal health outcomes? Why or why not?  </w:t>
      </w:r>
    </w:p>
    <w:p w:rsidRPr="00B44DF1" w:rsidR="00B44DF1" w:rsidP="00B44DF1" w:rsidRDefault="00B44DF1" w14:paraId="234A0B48" w14:textId="04F82F78">
      <w:pPr>
        <w:pStyle w:val="ListParagraph"/>
        <w:numPr>
          <w:ilvl w:val="0"/>
          <w:numId w:val="45"/>
        </w:numPr>
        <w:spacing w:before="120"/>
        <w:rPr>
          <w:rFonts w:ascii="Arial" w:hAnsi="Arial" w:cs="Arial"/>
          <w:sz w:val="24"/>
        </w:rPr>
      </w:pPr>
      <w:r w:rsidRPr="00B44DF1">
        <w:rPr>
          <w:rFonts w:ascii="Arial" w:hAnsi="Arial" w:cs="Arial"/>
          <w:sz w:val="24"/>
        </w:rPr>
        <w:t xml:space="preserve">What are the barriers and facilitators of implementing the MH programs’ strategies?  </w:t>
      </w:r>
    </w:p>
    <w:p w:rsidRPr="00B44DF1" w:rsidR="00B44DF1" w:rsidP="00B44DF1" w:rsidRDefault="00B44DF1" w14:paraId="06B33F8A" w14:textId="2E529850">
      <w:pPr>
        <w:pStyle w:val="ListParagraph"/>
        <w:numPr>
          <w:ilvl w:val="0"/>
          <w:numId w:val="45"/>
        </w:numPr>
        <w:spacing w:before="120"/>
        <w:rPr>
          <w:rFonts w:ascii="Arial" w:hAnsi="Arial" w:cs="Arial"/>
          <w:sz w:val="24"/>
        </w:rPr>
      </w:pPr>
      <w:r w:rsidRPr="00B44DF1">
        <w:rPr>
          <w:rFonts w:ascii="Arial" w:hAnsi="Arial" w:cs="Arial"/>
          <w:sz w:val="24"/>
        </w:rPr>
        <w:t xml:space="preserve">What individual and/or collective strategies or activities of the MH programs are likely to succeed if elevated to the national level or replicated in different settings?  </w:t>
      </w:r>
    </w:p>
    <w:p w:rsidRPr="00B44DF1" w:rsidR="00B44DF1" w:rsidP="00B44DF1" w:rsidRDefault="00B44DF1" w14:paraId="0570D4C2" w14:textId="74C467B2">
      <w:pPr>
        <w:pStyle w:val="ListParagraph"/>
        <w:numPr>
          <w:ilvl w:val="0"/>
          <w:numId w:val="45"/>
        </w:numPr>
        <w:spacing w:before="120"/>
        <w:rPr>
          <w:rFonts w:ascii="Arial" w:hAnsi="Arial" w:cs="Arial"/>
          <w:sz w:val="24"/>
        </w:rPr>
      </w:pPr>
      <w:r w:rsidRPr="00B44DF1">
        <w:rPr>
          <w:rFonts w:ascii="Arial" w:hAnsi="Arial" w:cs="Arial"/>
          <w:sz w:val="24"/>
        </w:rPr>
        <w:lastRenderedPageBreak/>
        <w:t xml:space="preserve">To what extent did the MH programs address factors that have the greatest impact on maternal mortality outcomes based on the prevention framework? </w:t>
      </w:r>
    </w:p>
    <w:p w:rsidRPr="00B44DF1" w:rsidR="00B44DF1" w:rsidP="00B44DF1" w:rsidRDefault="00B44DF1" w14:paraId="6CE40E39" w14:textId="097384B0">
      <w:pPr>
        <w:pStyle w:val="ListParagraph"/>
        <w:numPr>
          <w:ilvl w:val="0"/>
          <w:numId w:val="45"/>
        </w:numPr>
        <w:spacing w:before="120"/>
        <w:rPr>
          <w:rFonts w:ascii="Arial" w:hAnsi="Arial" w:cs="Arial"/>
          <w:sz w:val="24"/>
        </w:rPr>
      </w:pPr>
      <w:r w:rsidRPr="00B44DF1">
        <w:rPr>
          <w:rFonts w:ascii="Arial" w:hAnsi="Arial" w:cs="Arial"/>
          <w:sz w:val="24"/>
        </w:rPr>
        <w:t xml:space="preserve">To what extent did the MH programs address health equity?  </w:t>
      </w:r>
    </w:p>
    <w:p w:rsidRPr="00B44DF1" w:rsidR="00B44DF1" w:rsidP="00B44DF1" w:rsidRDefault="00B44DF1" w14:paraId="37160E2A" w14:textId="730ABF77">
      <w:pPr>
        <w:pStyle w:val="ListParagraph"/>
        <w:numPr>
          <w:ilvl w:val="0"/>
          <w:numId w:val="45"/>
        </w:numPr>
        <w:spacing w:before="120"/>
        <w:rPr>
          <w:rFonts w:ascii="Arial" w:hAnsi="Arial" w:cs="Arial"/>
          <w:sz w:val="24"/>
        </w:rPr>
      </w:pPr>
      <w:r w:rsidRPr="00B44DF1">
        <w:rPr>
          <w:rFonts w:ascii="Arial" w:hAnsi="Arial" w:cs="Arial"/>
          <w:sz w:val="24"/>
        </w:rPr>
        <w:t xml:space="preserve">What is the overall impact of the MH portfolio?  </w:t>
      </w:r>
    </w:p>
    <w:p w:rsidR="00414006" w:rsidP="00CA3DA6" w:rsidRDefault="00414006" w14:paraId="5CAB78C7" w14:textId="6066B0AE">
      <w:pPr>
        <w:spacing w:before="120"/>
        <w:rPr>
          <w:rFonts w:ascii="Arial" w:hAnsi="Arial" w:cs="Arial"/>
          <w:sz w:val="24"/>
        </w:rPr>
      </w:pPr>
      <w:r>
        <w:rPr>
          <w:rFonts w:ascii="Arial" w:hAnsi="Arial" w:cs="Arial"/>
          <w:sz w:val="24"/>
        </w:rPr>
        <w:t xml:space="preserve">This information is critical for HRSA to understand </w:t>
      </w:r>
      <w:r w:rsidR="00D23B2D">
        <w:rPr>
          <w:rFonts w:ascii="Arial" w:hAnsi="Arial" w:cs="Arial"/>
          <w:sz w:val="24"/>
        </w:rPr>
        <w:t xml:space="preserve">the impact of these investments on maternal mortality and severe maternal morbidity. </w:t>
      </w:r>
      <w:r w:rsidR="007945A7">
        <w:rPr>
          <w:rFonts w:ascii="Arial" w:hAnsi="Arial" w:cs="Arial"/>
          <w:sz w:val="24"/>
        </w:rPr>
        <w:t xml:space="preserve"> </w:t>
      </w:r>
      <w:r w:rsidR="00D23B2D">
        <w:rPr>
          <w:rFonts w:ascii="Arial" w:hAnsi="Arial" w:cs="Arial"/>
          <w:sz w:val="24"/>
        </w:rPr>
        <w:t>The evaluation will also provide important insights into w</w:t>
      </w:r>
      <w:r>
        <w:rPr>
          <w:rFonts w:ascii="Arial" w:hAnsi="Arial" w:cs="Arial"/>
          <w:sz w:val="24"/>
        </w:rPr>
        <w:t xml:space="preserve">hich components of these programs </w:t>
      </w:r>
      <w:r w:rsidR="00A93570">
        <w:rPr>
          <w:rFonts w:ascii="Arial" w:hAnsi="Arial" w:cs="Arial"/>
          <w:sz w:val="24"/>
        </w:rPr>
        <w:t>should</w:t>
      </w:r>
      <w:r>
        <w:rPr>
          <w:rFonts w:ascii="Arial" w:hAnsi="Arial" w:cs="Arial"/>
          <w:sz w:val="24"/>
        </w:rPr>
        <w:t xml:space="preserve"> be </w:t>
      </w:r>
      <w:r w:rsidR="007312A6">
        <w:rPr>
          <w:rFonts w:ascii="Arial" w:hAnsi="Arial" w:cs="Arial"/>
          <w:sz w:val="24"/>
        </w:rPr>
        <w:t>elevated</w:t>
      </w:r>
      <w:r>
        <w:rPr>
          <w:rFonts w:ascii="Arial" w:hAnsi="Arial" w:cs="Arial"/>
          <w:sz w:val="24"/>
        </w:rPr>
        <w:t xml:space="preserve"> and r</w:t>
      </w:r>
      <w:r w:rsidR="001C7DA9">
        <w:rPr>
          <w:rFonts w:ascii="Arial" w:hAnsi="Arial" w:cs="Arial"/>
          <w:sz w:val="24"/>
        </w:rPr>
        <w:t xml:space="preserve">eplicated to the national level. </w:t>
      </w:r>
      <w:r w:rsidR="007945A7">
        <w:rPr>
          <w:rFonts w:ascii="Arial" w:hAnsi="Arial" w:cs="Arial"/>
          <w:sz w:val="24"/>
        </w:rPr>
        <w:t xml:space="preserve"> </w:t>
      </w:r>
      <w:r w:rsidR="00D23B2D">
        <w:rPr>
          <w:rFonts w:ascii="Arial" w:hAnsi="Arial" w:cs="Arial"/>
          <w:sz w:val="24"/>
        </w:rPr>
        <w:t xml:space="preserve">To that end, </w:t>
      </w:r>
      <w:r w:rsidRPr="001C7DA9" w:rsidR="00D23B2D">
        <w:rPr>
          <w:rFonts w:ascii="Arial" w:hAnsi="Arial" w:cs="Arial"/>
          <w:sz w:val="24"/>
        </w:rPr>
        <w:t>the data will provide actionable information for future HRSA investment strategies that address maternal outcomes.</w:t>
      </w:r>
      <w:r w:rsidR="00D23B2D">
        <w:rPr>
          <w:rFonts w:ascii="Arial" w:hAnsi="Arial" w:cs="Arial"/>
          <w:sz w:val="24"/>
        </w:rPr>
        <w:t xml:space="preserve"> </w:t>
      </w:r>
      <w:r w:rsidR="007945A7">
        <w:rPr>
          <w:rFonts w:ascii="Arial" w:hAnsi="Arial" w:cs="Arial"/>
          <w:sz w:val="24"/>
        </w:rPr>
        <w:t xml:space="preserve"> </w:t>
      </w:r>
      <w:r w:rsidR="001C7DA9">
        <w:rPr>
          <w:rFonts w:ascii="Arial" w:hAnsi="Arial" w:cs="Arial"/>
          <w:sz w:val="24"/>
        </w:rPr>
        <w:t xml:space="preserve">It will also be used by HRSA </w:t>
      </w:r>
      <w:r w:rsidRPr="001C7DA9" w:rsidR="001C7DA9">
        <w:rPr>
          <w:rFonts w:ascii="Arial" w:hAnsi="Arial" w:cs="Arial"/>
          <w:sz w:val="24"/>
        </w:rPr>
        <w:t xml:space="preserve">to assess program </w:t>
      </w:r>
      <w:r w:rsidR="001C7DA9">
        <w:rPr>
          <w:rFonts w:ascii="Arial" w:hAnsi="Arial" w:cs="Arial"/>
          <w:sz w:val="24"/>
        </w:rPr>
        <w:t xml:space="preserve">and evaluation </w:t>
      </w:r>
      <w:r w:rsidRPr="001C7DA9" w:rsidR="001C7DA9">
        <w:rPr>
          <w:rFonts w:ascii="Arial" w:hAnsi="Arial" w:cs="Arial"/>
          <w:sz w:val="24"/>
        </w:rPr>
        <w:t>progr</w:t>
      </w:r>
      <w:r w:rsidR="001C7DA9">
        <w:rPr>
          <w:rFonts w:ascii="Arial" w:hAnsi="Arial" w:cs="Arial"/>
          <w:sz w:val="24"/>
        </w:rPr>
        <w:t xml:space="preserve">ess across the portfolio, so that HRSA can make adjustments </w:t>
      </w:r>
      <w:r w:rsidR="008A005E">
        <w:rPr>
          <w:rFonts w:ascii="Arial" w:hAnsi="Arial" w:cs="Arial"/>
          <w:sz w:val="24"/>
        </w:rPr>
        <w:t>as needed</w:t>
      </w:r>
      <w:r w:rsidR="001C7DA9">
        <w:rPr>
          <w:rFonts w:ascii="Arial" w:hAnsi="Arial" w:cs="Arial"/>
          <w:sz w:val="24"/>
        </w:rPr>
        <w:t xml:space="preserve"> throughout the project period. </w:t>
      </w:r>
    </w:p>
    <w:p w:rsidRPr="00C45431" w:rsidR="009B3794" w:rsidP="00CA3DA6" w:rsidRDefault="009B3794" w14:paraId="69C63874" w14:textId="77777777">
      <w:pPr>
        <w:numPr>
          <w:ilvl w:val="0"/>
          <w:numId w:val="2"/>
        </w:numPr>
        <w:tabs>
          <w:tab w:val="num" w:pos="360"/>
        </w:tabs>
        <w:spacing w:before="240"/>
        <w:ind w:left="360"/>
        <w:rPr>
          <w:rFonts w:ascii="Arial" w:hAnsi="Arial" w:cs="Arial"/>
          <w:sz w:val="24"/>
        </w:rPr>
      </w:pPr>
      <w:r w:rsidRPr="00C45431">
        <w:rPr>
          <w:rFonts w:ascii="Arial" w:hAnsi="Arial" w:cs="Arial"/>
          <w:b/>
          <w:sz w:val="24"/>
          <w:u w:val="single"/>
        </w:rPr>
        <w:t>Use of Improved Information Technology and Burden Reduction</w:t>
      </w:r>
    </w:p>
    <w:p w:rsidR="00D97B22" w:rsidP="00152E3C" w:rsidRDefault="00D97B22" w14:paraId="63709947" w14:textId="557DF4B7">
      <w:pPr>
        <w:spacing w:before="120"/>
        <w:rPr>
          <w:rFonts w:ascii="Arial" w:hAnsi="Arial" w:cs="Arial"/>
          <w:sz w:val="24"/>
        </w:rPr>
      </w:pPr>
      <w:r>
        <w:rPr>
          <w:rFonts w:ascii="Arial" w:hAnsi="Arial" w:cs="Arial"/>
          <w:sz w:val="24"/>
        </w:rPr>
        <w:t>D</w:t>
      </w:r>
      <w:r w:rsidR="00152E3C">
        <w:rPr>
          <w:rFonts w:ascii="Arial" w:hAnsi="Arial" w:cs="Arial"/>
          <w:sz w:val="24"/>
        </w:rPr>
        <w:t xml:space="preserve">ata will be collected using web-based software. </w:t>
      </w:r>
      <w:r w:rsidR="007945A7">
        <w:rPr>
          <w:rFonts w:ascii="Arial" w:hAnsi="Arial" w:cs="Arial"/>
          <w:sz w:val="24"/>
        </w:rPr>
        <w:t xml:space="preserve"> </w:t>
      </w:r>
      <w:r w:rsidR="00152E3C">
        <w:rPr>
          <w:rFonts w:ascii="Arial" w:hAnsi="Arial" w:cs="Arial"/>
          <w:sz w:val="24"/>
        </w:rPr>
        <w:t xml:space="preserve">Grantees will complete the web-based data collection tool annually. Grantees and their partners will be asked to complete a one-time web-based partnership survey. </w:t>
      </w:r>
      <w:r w:rsidR="007945A7">
        <w:rPr>
          <w:rFonts w:ascii="Arial" w:hAnsi="Arial" w:cs="Arial"/>
          <w:sz w:val="24"/>
        </w:rPr>
        <w:t xml:space="preserve"> </w:t>
      </w:r>
      <w:r w:rsidR="00152E3C">
        <w:rPr>
          <w:rFonts w:ascii="Arial" w:hAnsi="Arial" w:cs="Arial"/>
          <w:sz w:val="24"/>
        </w:rPr>
        <w:t xml:space="preserve">The use of web-based surveys reduces respondent burden in numerous ways. </w:t>
      </w:r>
      <w:r w:rsidR="007945A7">
        <w:rPr>
          <w:rFonts w:ascii="Arial" w:hAnsi="Arial" w:cs="Arial"/>
          <w:sz w:val="24"/>
        </w:rPr>
        <w:t xml:space="preserve"> </w:t>
      </w:r>
      <w:r w:rsidR="00152E3C">
        <w:rPr>
          <w:rFonts w:ascii="Arial" w:hAnsi="Arial" w:cs="Arial"/>
          <w:sz w:val="24"/>
        </w:rPr>
        <w:t xml:space="preserve">The web tool will allow for the evaluator to minimize the number of questions that the grantee is asked by tailoring the tool to show questions that pertain to their unique program. </w:t>
      </w:r>
      <w:r w:rsidR="007945A7">
        <w:rPr>
          <w:rFonts w:ascii="Arial" w:hAnsi="Arial" w:cs="Arial"/>
          <w:sz w:val="24"/>
        </w:rPr>
        <w:t xml:space="preserve"> </w:t>
      </w:r>
      <w:r w:rsidR="00152E3C">
        <w:rPr>
          <w:rFonts w:ascii="Arial" w:hAnsi="Arial" w:cs="Arial"/>
          <w:sz w:val="24"/>
        </w:rPr>
        <w:t xml:space="preserve">The web tool will also allow for skip patterns to be implemented so that grantees will avoid seeing questions that are not relevant to them based on their answers to the previous questions. </w:t>
      </w:r>
      <w:r w:rsidR="007945A7">
        <w:rPr>
          <w:rFonts w:ascii="Arial" w:hAnsi="Arial" w:cs="Arial"/>
          <w:sz w:val="24"/>
        </w:rPr>
        <w:t xml:space="preserve"> </w:t>
      </w:r>
      <w:r w:rsidR="00152E3C">
        <w:rPr>
          <w:rFonts w:ascii="Arial" w:hAnsi="Arial" w:cs="Arial"/>
          <w:sz w:val="24"/>
        </w:rPr>
        <w:t xml:space="preserve">Survey respondents may </w:t>
      </w:r>
      <w:r w:rsidRPr="00F96653" w:rsidR="00152E3C">
        <w:rPr>
          <w:rFonts w:ascii="Arial" w:hAnsi="Arial" w:cs="Arial"/>
          <w:sz w:val="24"/>
        </w:rPr>
        <w:t>stop the survey if necessary and return to it</w:t>
      </w:r>
      <w:r w:rsidR="00152E3C">
        <w:rPr>
          <w:rFonts w:ascii="Arial" w:hAnsi="Arial" w:cs="Arial"/>
          <w:sz w:val="24"/>
        </w:rPr>
        <w:t xml:space="preserve">. </w:t>
      </w:r>
      <w:r w:rsidR="007945A7">
        <w:rPr>
          <w:rFonts w:ascii="Arial" w:hAnsi="Arial" w:cs="Arial"/>
          <w:sz w:val="24"/>
        </w:rPr>
        <w:t xml:space="preserve"> </w:t>
      </w:r>
      <w:r w:rsidR="00152E3C">
        <w:rPr>
          <w:rFonts w:ascii="Arial" w:hAnsi="Arial" w:cs="Arial"/>
          <w:sz w:val="24"/>
        </w:rPr>
        <w:t xml:space="preserve">To reduce burden when a respondent stops taking the survey, the survey will be programed so that the respondent does not have to start the survey from the beginning when they resume. This also reduces burden by </w:t>
      </w:r>
      <w:r w:rsidRPr="00F96653" w:rsidR="00152E3C">
        <w:rPr>
          <w:rFonts w:ascii="Arial" w:hAnsi="Arial" w:cs="Arial"/>
          <w:sz w:val="24"/>
        </w:rPr>
        <w:t>allowing them to divide the time needed to complete the survey into increments of their choosing.</w:t>
      </w:r>
    </w:p>
    <w:p w:rsidRPr="00C45431" w:rsidR="009B3794" w:rsidP="00CA3DA6" w:rsidRDefault="009B3794" w14:paraId="69C63879" w14:textId="77777777">
      <w:pPr>
        <w:numPr>
          <w:ilvl w:val="0"/>
          <w:numId w:val="2"/>
        </w:numPr>
        <w:tabs>
          <w:tab w:val="num" w:pos="360"/>
        </w:tabs>
        <w:spacing w:before="240"/>
        <w:ind w:left="360"/>
        <w:rPr>
          <w:rFonts w:ascii="Arial" w:hAnsi="Arial" w:cs="Arial"/>
          <w:b/>
          <w:sz w:val="24"/>
        </w:rPr>
      </w:pPr>
      <w:r w:rsidRPr="00C45431">
        <w:rPr>
          <w:rFonts w:ascii="Arial" w:hAnsi="Arial" w:cs="Arial"/>
          <w:b/>
          <w:sz w:val="24"/>
          <w:u w:val="single"/>
        </w:rPr>
        <w:t>Efforts to  Identify Duplication and Use of Similar Information</w:t>
      </w:r>
    </w:p>
    <w:p w:rsidR="00D97B22" w:rsidP="00CA3DA6" w:rsidRDefault="00BC1778" w14:paraId="393A9A7B" w14:textId="2E40A589">
      <w:pPr>
        <w:spacing w:before="120"/>
        <w:rPr>
          <w:rFonts w:ascii="Arial" w:hAnsi="Arial" w:cs="Arial"/>
          <w:sz w:val="24"/>
        </w:rPr>
      </w:pPr>
      <w:r>
        <w:rPr>
          <w:rFonts w:ascii="Arial" w:hAnsi="Arial" w:cs="Arial"/>
          <w:sz w:val="24"/>
        </w:rPr>
        <w:t xml:space="preserve">The purpose of the interviews, </w:t>
      </w:r>
      <w:r w:rsidR="00D97B22">
        <w:rPr>
          <w:rFonts w:ascii="Arial" w:hAnsi="Arial" w:cs="Arial"/>
          <w:sz w:val="24"/>
        </w:rPr>
        <w:t>web-based</w:t>
      </w:r>
      <w:r>
        <w:rPr>
          <w:rFonts w:ascii="Arial" w:hAnsi="Arial" w:cs="Arial"/>
          <w:sz w:val="24"/>
        </w:rPr>
        <w:t xml:space="preserve"> data collection tool, and partnership survey is to obtain information about MH grantee programs that is not available from any other source. </w:t>
      </w:r>
      <w:r w:rsidR="007945A7">
        <w:rPr>
          <w:rFonts w:ascii="Arial" w:hAnsi="Arial" w:cs="Arial"/>
          <w:sz w:val="24"/>
        </w:rPr>
        <w:t xml:space="preserve"> </w:t>
      </w:r>
      <w:r>
        <w:rPr>
          <w:rFonts w:ascii="Arial" w:hAnsi="Arial" w:cs="Arial"/>
          <w:sz w:val="24"/>
        </w:rPr>
        <w:t xml:space="preserve">The information collected will complement </w:t>
      </w:r>
      <w:r w:rsidR="00D97B22">
        <w:rPr>
          <w:rFonts w:ascii="Arial" w:hAnsi="Arial" w:cs="Arial"/>
          <w:sz w:val="24"/>
        </w:rPr>
        <w:t>the secondary</w:t>
      </w:r>
      <w:r>
        <w:rPr>
          <w:rFonts w:ascii="Arial" w:hAnsi="Arial" w:cs="Arial"/>
          <w:sz w:val="24"/>
        </w:rPr>
        <w:t xml:space="preserve"> data sources</w:t>
      </w:r>
      <w:r w:rsidR="00D97B22">
        <w:rPr>
          <w:rFonts w:ascii="Arial" w:hAnsi="Arial" w:cs="Arial"/>
          <w:sz w:val="24"/>
        </w:rPr>
        <w:t xml:space="preserve"> (discussed in item 1 above)</w:t>
      </w:r>
      <w:r>
        <w:rPr>
          <w:rFonts w:ascii="Arial" w:hAnsi="Arial" w:cs="Arial"/>
          <w:sz w:val="24"/>
        </w:rPr>
        <w:t xml:space="preserve">, not duplicate or replace them. </w:t>
      </w:r>
      <w:r w:rsidR="007945A7">
        <w:rPr>
          <w:rFonts w:ascii="Arial" w:hAnsi="Arial" w:cs="Arial"/>
          <w:sz w:val="24"/>
        </w:rPr>
        <w:t xml:space="preserve"> </w:t>
      </w:r>
      <w:r w:rsidR="00D97B22">
        <w:rPr>
          <w:rFonts w:ascii="Arial" w:hAnsi="Arial" w:cs="Arial"/>
          <w:sz w:val="24"/>
        </w:rPr>
        <w:t xml:space="preserve">A thorough review of these existing secondary data sources has been conducted and determined that there is no duplication in data collection efforts between the data collection tools (Attachments B1-B4) and the secondary data sources. </w:t>
      </w:r>
    </w:p>
    <w:p w:rsidRPr="00C45431" w:rsidR="009B3794" w:rsidP="00CA3DA6" w:rsidRDefault="009B3794" w14:paraId="69C6387B" w14:textId="77777777">
      <w:pPr>
        <w:numPr>
          <w:ilvl w:val="0"/>
          <w:numId w:val="2"/>
        </w:numPr>
        <w:tabs>
          <w:tab w:val="num" w:pos="36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rsidR="007945A7" w:rsidP="007945A7" w:rsidRDefault="00722CD1" w14:paraId="79C8CA9E" w14:textId="77777777">
      <w:pPr>
        <w:rPr>
          <w:rFonts w:ascii="Arial" w:hAnsi="Arial" w:cs="Arial"/>
          <w:sz w:val="24"/>
        </w:rPr>
      </w:pPr>
      <w:r>
        <w:rPr>
          <w:rFonts w:ascii="Arial" w:hAnsi="Arial" w:cs="Arial"/>
          <w:sz w:val="24"/>
        </w:rPr>
        <w:t>This study will have minimal impact on small organizations</w:t>
      </w:r>
      <w:r w:rsidR="00951E3E">
        <w:rPr>
          <w:rFonts w:ascii="Arial" w:hAnsi="Arial" w:cs="Arial"/>
          <w:sz w:val="24"/>
        </w:rPr>
        <w:t xml:space="preserve">. </w:t>
      </w:r>
      <w:r w:rsidR="007945A7">
        <w:rPr>
          <w:rFonts w:ascii="Arial" w:hAnsi="Arial" w:cs="Arial"/>
          <w:sz w:val="24"/>
        </w:rPr>
        <w:t xml:space="preserve"> </w:t>
      </w:r>
      <w:r w:rsidR="00951E3E">
        <w:rPr>
          <w:rFonts w:ascii="Arial" w:hAnsi="Arial" w:cs="Arial"/>
          <w:sz w:val="24"/>
        </w:rPr>
        <w:t>Grantee organizations include state governments, universities, associations, and healthcare systems</w:t>
      </w:r>
      <w:r w:rsidR="000A38D8">
        <w:rPr>
          <w:rFonts w:ascii="Arial" w:hAnsi="Arial" w:cs="Arial"/>
          <w:sz w:val="24"/>
        </w:rPr>
        <w:t xml:space="preserve"> and grantees are expected to participate in the evaluation activities</w:t>
      </w:r>
      <w:r w:rsidR="00A93570">
        <w:rPr>
          <w:rFonts w:ascii="Arial" w:hAnsi="Arial" w:cs="Arial"/>
          <w:sz w:val="24"/>
        </w:rPr>
        <w:t xml:space="preserve"> as part of their grant</w:t>
      </w:r>
      <w:r w:rsidR="000A38D8">
        <w:rPr>
          <w:rFonts w:ascii="Arial" w:hAnsi="Arial" w:cs="Arial"/>
          <w:sz w:val="24"/>
        </w:rPr>
        <w:t xml:space="preserve">. </w:t>
      </w:r>
    </w:p>
    <w:p w:rsidR="00951E3E" w:rsidP="007945A7" w:rsidRDefault="00951E3E" w14:paraId="2DE8B7E6" w14:textId="7D637121">
      <w:pPr>
        <w:rPr>
          <w:rFonts w:ascii="Arial" w:hAnsi="Arial" w:cs="Arial"/>
          <w:sz w:val="24"/>
        </w:rPr>
      </w:pPr>
      <w:r>
        <w:rPr>
          <w:rFonts w:ascii="Arial" w:hAnsi="Arial" w:cs="Arial"/>
          <w:sz w:val="24"/>
        </w:rPr>
        <w:t xml:space="preserve">It is possible small businesses or organizations may be included in data collection if they are one of the grantee partners </w:t>
      </w:r>
      <w:r w:rsidR="000A38D8">
        <w:rPr>
          <w:rFonts w:ascii="Arial" w:hAnsi="Arial" w:cs="Arial"/>
          <w:sz w:val="24"/>
        </w:rPr>
        <w:t>asked</w:t>
      </w:r>
      <w:r>
        <w:rPr>
          <w:rFonts w:ascii="Arial" w:hAnsi="Arial" w:cs="Arial"/>
          <w:sz w:val="24"/>
        </w:rPr>
        <w:t xml:space="preserve"> </w:t>
      </w:r>
      <w:r w:rsidR="000A38D8">
        <w:rPr>
          <w:rFonts w:ascii="Arial" w:hAnsi="Arial" w:cs="Arial"/>
          <w:sz w:val="24"/>
        </w:rPr>
        <w:t xml:space="preserve">to </w:t>
      </w:r>
      <w:r>
        <w:rPr>
          <w:rFonts w:ascii="Arial" w:hAnsi="Arial" w:cs="Arial"/>
          <w:sz w:val="24"/>
        </w:rPr>
        <w:t xml:space="preserve">complete the partnership survey. </w:t>
      </w:r>
      <w:r w:rsidR="007945A7">
        <w:rPr>
          <w:rFonts w:ascii="Arial" w:hAnsi="Arial" w:cs="Arial"/>
          <w:sz w:val="24"/>
        </w:rPr>
        <w:t xml:space="preserve"> </w:t>
      </w:r>
      <w:r>
        <w:rPr>
          <w:rFonts w:ascii="Arial" w:hAnsi="Arial" w:cs="Arial"/>
          <w:sz w:val="24"/>
        </w:rPr>
        <w:t xml:space="preserve">To limit burden, the partnership survey will only be administered once and takes 15 minutes to complete. </w:t>
      </w:r>
    </w:p>
    <w:p w:rsidRPr="00C45431" w:rsidR="009B3794" w:rsidP="00CA3DA6" w:rsidRDefault="009B3794" w14:paraId="69C63881" w14:textId="77777777">
      <w:pPr>
        <w:numPr>
          <w:ilvl w:val="0"/>
          <w:numId w:val="2"/>
        </w:numPr>
        <w:tabs>
          <w:tab w:val="num" w:pos="360"/>
        </w:tabs>
        <w:spacing w:before="240"/>
        <w:ind w:left="360"/>
        <w:rPr>
          <w:rFonts w:ascii="Arial" w:hAnsi="Arial" w:cs="Arial"/>
          <w:b/>
          <w:sz w:val="24"/>
        </w:rPr>
      </w:pPr>
      <w:r w:rsidRPr="00C45431">
        <w:rPr>
          <w:rFonts w:ascii="Arial" w:hAnsi="Arial" w:cs="Arial"/>
          <w:b/>
          <w:sz w:val="24"/>
          <w:u w:val="single"/>
        </w:rPr>
        <w:lastRenderedPageBreak/>
        <w:t>Consequences of Collecting the Information Less Frequent</w:t>
      </w:r>
      <w:r w:rsidRPr="00C45431" w:rsidR="001325B2">
        <w:rPr>
          <w:rFonts w:ascii="Arial" w:hAnsi="Arial" w:cs="Arial"/>
          <w:b/>
          <w:sz w:val="24"/>
          <w:u w:val="single"/>
        </w:rPr>
        <w:t>ly</w:t>
      </w:r>
    </w:p>
    <w:p w:rsidR="003E3DCD" w:rsidP="000A38D8" w:rsidRDefault="000A38D8" w14:paraId="4FC300CD" w14:textId="6B28E939">
      <w:pPr>
        <w:widowControl/>
        <w:autoSpaceDE/>
        <w:autoSpaceDN/>
        <w:adjustRightInd/>
        <w:spacing w:before="120"/>
        <w:rPr>
          <w:rFonts w:ascii="Arial" w:hAnsi="Arial" w:cs="Arial"/>
          <w:color w:val="000000"/>
          <w:sz w:val="24"/>
        </w:rPr>
      </w:pPr>
      <w:r>
        <w:rPr>
          <w:rFonts w:ascii="Arial" w:hAnsi="Arial" w:cs="Arial"/>
          <w:color w:val="000000"/>
          <w:sz w:val="24"/>
        </w:rPr>
        <w:t xml:space="preserve">The consequences of less frequent data collection would result in a lack of essential and timely information to inform HRSA activities. </w:t>
      </w:r>
      <w:r w:rsidR="007945A7">
        <w:rPr>
          <w:rFonts w:ascii="Arial" w:hAnsi="Arial" w:cs="Arial"/>
          <w:color w:val="000000"/>
          <w:sz w:val="24"/>
        </w:rPr>
        <w:t xml:space="preserve"> </w:t>
      </w:r>
      <w:r>
        <w:rPr>
          <w:rFonts w:ascii="Arial" w:hAnsi="Arial" w:cs="Arial"/>
          <w:color w:val="000000"/>
          <w:sz w:val="24"/>
        </w:rPr>
        <w:t xml:space="preserve">The study has been designed to minimize the frequency of data collection when possible </w:t>
      </w:r>
      <w:r w:rsidR="003E3DCD">
        <w:rPr>
          <w:rFonts w:ascii="Arial" w:hAnsi="Arial" w:cs="Arial"/>
          <w:color w:val="000000"/>
          <w:sz w:val="24"/>
        </w:rPr>
        <w:t xml:space="preserve">while </w:t>
      </w:r>
      <w:r>
        <w:rPr>
          <w:rFonts w:ascii="Arial" w:hAnsi="Arial" w:cs="Arial"/>
          <w:color w:val="000000"/>
          <w:sz w:val="24"/>
        </w:rPr>
        <w:t>ensur</w:t>
      </w:r>
      <w:r w:rsidR="003E3DCD">
        <w:rPr>
          <w:rFonts w:ascii="Arial" w:hAnsi="Arial" w:cs="Arial"/>
          <w:color w:val="000000"/>
          <w:sz w:val="24"/>
        </w:rPr>
        <w:t>ing</w:t>
      </w:r>
      <w:r>
        <w:rPr>
          <w:rFonts w:ascii="Arial" w:hAnsi="Arial" w:cs="Arial"/>
          <w:color w:val="000000"/>
          <w:sz w:val="24"/>
        </w:rPr>
        <w:t xml:space="preserve"> that sufficient data </w:t>
      </w:r>
      <w:r w:rsidR="003E3DCD">
        <w:rPr>
          <w:rFonts w:ascii="Arial" w:hAnsi="Arial" w:cs="Arial"/>
          <w:color w:val="000000"/>
          <w:sz w:val="24"/>
        </w:rPr>
        <w:t xml:space="preserve">will be </w:t>
      </w:r>
      <w:r>
        <w:rPr>
          <w:rFonts w:ascii="Arial" w:hAnsi="Arial" w:cs="Arial"/>
          <w:color w:val="000000"/>
          <w:sz w:val="24"/>
        </w:rPr>
        <w:t xml:space="preserve">collected to allow for the evaluation of the MH portfolio. </w:t>
      </w:r>
      <w:r w:rsidR="007945A7">
        <w:rPr>
          <w:rFonts w:ascii="Arial" w:hAnsi="Arial" w:cs="Arial"/>
          <w:color w:val="000000"/>
          <w:sz w:val="24"/>
        </w:rPr>
        <w:t xml:space="preserve"> </w:t>
      </w:r>
      <w:r w:rsidR="00E63B9A">
        <w:rPr>
          <w:rFonts w:ascii="Arial" w:hAnsi="Arial" w:cs="Arial"/>
          <w:color w:val="000000"/>
          <w:sz w:val="24"/>
        </w:rPr>
        <w:t xml:space="preserve">Interviews with grantee staff and HRSA Project Officers will occur annually. </w:t>
      </w:r>
      <w:r w:rsidR="007945A7">
        <w:rPr>
          <w:rFonts w:ascii="Arial" w:hAnsi="Arial" w:cs="Arial"/>
          <w:color w:val="000000"/>
          <w:sz w:val="24"/>
        </w:rPr>
        <w:t xml:space="preserve"> </w:t>
      </w:r>
      <w:r w:rsidR="00E63B9A">
        <w:rPr>
          <w:rFonts w:ascii="Arial" w:hAnsi="Arial" w:cs="Arial"/>
          <w:color w:val="000000"/>
          <w:sz w:val="24"/>
        </w:rPr>
        <w:t>Grantees will comp</w:t>
      </w:r>
      <w:r w:rsidR="0001500F">
        <w:rPr>
          <w:rFonts w:ascii="Arial" w:hAnsi="Arial" w:cs="Arial"/>
          <w:color w:val="000000"/>
          <w:sz w:val="24"/>
        </w:rPr>
        <w:t>l</w:t>
      </w:r>
      <w:r w:rsidR="00E63B9A">
        <w:rPr>
          <w:rFonts w:ascii="Arial" w:hAnsi="Arial" w:cs="Arial"/>
          <w:color w:val="000000"/>
          <w:sz w:val="24"/>
        </w:rPr>
        <w:t xml:space="preserve">ete the web-based data collection tool annually. </w:t>
      </w:r>
      <w:r w:rsidR="007945A7">
        <w:rPr>
          <w:rFonts w:ascii="Arial" w:hAnsi="Arial" w:cs="Arial"/>
          <w:color w:val="000000"/>
          <w:sz w:val="24"/>
        </w:rPr>
        <w:t xml:space="preserve"> </w:t>
      </w:r>
      <w:r w:rsidR="00E63B9A">
        <w:rPr>
          <w:rFonts w:ascii="Arial" w:hAnsi="Arial" w:cs="Arial"/>
          <w:color w:val="000000"/>
          <w:sz w:val="24"/>
        </w:rPr>
        <w:t xml:space="preserve">The partnership survey will be administered once during the study period. </w:t>
      </w:r>
      <w:r w:rsidR="007945A7">
        <w:rPr>
          <w:rFonts w:ascii="Arial" w:hAnsi="Arial" w:cs="Arial"/>
          <w:color w:val="000000"/>
          <w:sz w:val="24"/>
        </w:rPr>
        <w:t xml:space="preserve"> </w:t>
      </w:r>
      <w:r w:rsidR="003E5F63">
        <w:rPr>
          <w:rFonts w:ascii="Arial" w:hAnsi="Arial" w:cs="Arial"/>
          <w:color w:val="000000"/>
          <w:sz w:val="24"/>
        </w:rPr>
        <w:t xml:space="preserve">The use of </w:t>
      </w:r>
      <w:r w:rsidR="00EA615C">
        <w:rPr>
          <w:rFonts w:ascii="Arial" w:hAnsi="Arial" w:cs="Arial"/>
          <w:color w:val="000000"/>
          <w:sz w:val="24"/>
        </w:rPr>
        <w:t xml:space="preserve">secondary data </w:t>
      </w:r>
      <w:r w:rsidR="003E5F63">
        <w:rPr>
          <w:rFonts w:ascii="Arial" w:hAnsi="Arial" w:cs="Arial"/>
          <w:color w:val="000000"/>
          <w:sz w:val="24"/>
        </w:rPr>
        <w:t xml:space="preserve">also </w:t>
      </w:r>
      <w:r w:rsidR="00EA615C">
        <w:rPr>
          <w:rFonts w:ascii="Arial" w:hAnsi="Arial" w:cs="Arial"/>
          <w:color w:val="000000"/>
          <w:sz w:val="24"/>
        </w:rPr>
        <w:t>reduce</w:t>
      </w:r>
      <w:r w:rsidR="003E5F63">
        <w:rPr>
          <w:rFonts w:ascii="Arial" w:hAnsi="Arial" w:cs="Arial"/>
          <w:color w:val="000000"/>
          <w:sz w:val="24"/>
        </w:rPr>
        <w:t>s the frequency of primary data collection by reducing the overall amount of data that needs to be collected through primary data collection activities.</w:t>
      </w:r>
    </w:p>
    <w:p w:rsidRPr="000A38D8" w:rsidR="000A38D8" w:rsidP="000A38D8" w:rsidRDefault="003E3DCD" w14:paraId="3238B93E" w14:textId="3F18D801">
      <w:pPr>
        <w:widowControl/>
        <w:autoSpaceDE/>
        <w:autoSpaceDN/>
        <w:adjustRightInd/>
        <w:spacing w:before="120"/>
        <w:rPr>
          <w:rFonts w:ascii="Arial" w:hAnsi="Arial" w:cs="Arial"/>
          <w:color w:val="000000"/>
          <w:sz w:val="24"/>
        </w:rPr>
      </w:pPr>
      <w:r>
        <w:rPr>
          <w:rFonts w:ascii="Arial" w:hAnsi="Arial" w:cs="Arial"/>
          <w:color w:val="000000"/>
          <w:sz w:val="24"/>
        </w:rPr>
        <w:t>Collecting data l</w:t>
      </w:r>
      <w:r w:rsidR="000A38D8">
        <w:rPr>
          <w:rFonts w:ascii="Arial" w:hAnsi="Arial" w:cs="Arial"/>
          <w:color w:val="000000"/>
          <w:sz w:val="24"/>
        </w:rPr>
        <w:t>ess frequent</w:t>
      </w:r>
      <w:r>
        <w:rPr>
          <w:rFonts w:ascii="Arial" w:hAnsi="Arial" w:cs="Arial"/>
          <w:color w:val="000000"/>
          <w:sz w:val="24"/>
        </w:rPr>
        <w:t>ly</w:t>
      </w:r>
      <w:r w:rsidR="000A38D8">
        <w:rPr>
          <w:rFonts w:ascii="Arial" w:hAnsi="Arial" w:cs="Arial"/>
          <w:color w:val="000000"/>
          <w:sz w:val="24"/>
        </w:rPr>
        <w:t xml:space="preserve"> would result in insufficient data to</w:t>
      </w:r>
      <w:r w:rsidR="0029568A">
        <w:rPr>
          <w:rFonts w:ascii="Arial" w:hAnsi="Arial" w:cs="Arial"/>
          <w:color w:val="000000"/>
          <w:sz w:val="24"/>
        </w:rPr>
        <w:t xml:space="preserve"> </w:t>
      </w:r>
      <w:r w:rsidR="00EA615C">
        <w:rPr>
          <w:rFonts w:ascii="Arial" w:hAnsi="Arial" w:cs="Arial"/>
          <w:sz w:val="24"/>
        </w:rPr>
        <w:t>understand the</w:t>
      </w:r>
      <w:r>
        <w:rPr>
          <w:rFonts w:ascii="Arial" w:hAnsi="Arial" w:cs="Arial"/>
          <w:sz w:val="24"/>
        </w:rPr>
        <w:t xml:space="preserve"> progress of the programs that HRSA would like to use to make adjustments to the program </w:t>
      </w:r>
      <w:r w:rsidR="003E5F63">
        <w:rPr>
          <w:rFonts w:ascii="Arial" w:hAnsi="Arial" w:cs="Arial"/>
          <w:sz w:val="24"/>
        </w:rPr>
        <w:t xml:space="preserve">during the grant periods, </w:t>
      </w:r>
      <w:r>
        <w:rPr>
          <w:rFonts w:ascii="Arial" w:hAnsi="Arial" w:cs="Arial"/>
          <w:sz w:val="24"/>
        </w:rPr>
        <w:t xml:space="preserve">if necessary. </w:t>
      </w:r>
      <w:r w:rsidR="007945A7">
        <w:rPr>
          <w:rFonts w:ascii="Arial" w:hAnsi="Arial" w:cs="Arial"/>
          <w:sz w:val="24"/>
        </w:rPr>
        <w:t xml:space="preserve"> </w:t>
      </w:r>
      <w:r w:rsidR="00E63B9A">
        <w:rPr>
          <w:rFonts w:ascii="Arial" w:hAnsi="Arial" w:cs="Arial"/>
          <w:sz w:val="24"/>
        </w:rPr>
        <w:t xml:space="preserve">It would also impede </w:t>
      </w:r>
      <w:proofErr w:type="spellStart"/>
      <w:r w:rsidR="00E63B9A">
        <w:rPr>
          <w:rFonts w:ascii="Arial" w:hAnsi="Arial" w:cs="Arial"/>
          <w:sz w:val="24"/>
        </w:rPr>
        <w:t>HRSA’s</w:t>
      </w:r>
      <w:proofErr w:type="spellEnd"/>
      <w:r w:rsidR="00E63B9A">
        <w:rPr>
          <w:rFonts w:ascii="Arial" w:hAnsi="Arial" w:cs="Arial"/>
          <w:sz w:val="24"/>
        </w:rPr>
        <w:t xml:space="preserve"> </w:t>
      </w:r>
      <w:r>
        <w:rPr>
          <w:rFonts w:ascii="Arial" w:hAnsi="Arial" w:cs="Arial"/>
          <w:sz w:val="24"/>
        </w:rPr>
        <w:t xml:space="preserve">ability to assess the </w:t>
      </w:r>
      <w:r w:rsidR="00EA615C">
        <w:rPr>
          <w:rFonts w:ascii="Arial" w:hAnsi="Arial" w:cs="Arial"/>
          <w:sz w:val="24"/>
        </w:rPr>
        <w:t xml:space="preserve">impact of the programs, </w:t>
      </w:r>
      <w:r>
        <w:rPr>
          <w:rFonts w:ascii="Arial" w:hAnsi="Arial" w:cs="Arial"/>
          <w:sz w:val="24"/>
        </w:rPr>
        <w:t xml:space="preserve">such as </w:t>
      </w:r>
      <w:r w:rsidR="00E63B9A">
        <w:rPr>
          <w:rFonts w:ascii="Arial" w:hAnsi="Arial" w:cs="Arial"/>
          <w:sz w:val="24"/>
        </w:rPr>
        <w:t>gathering important annual data regarding the implementation of</w:t>
      </w:r>
      <w:r w:rsidR="00EA615C">
        <w:rPr>
          <w:rFonts w:ascii="Arial" w:hAnsi="Arial" w:cs="Arial"/>
          <w:sz w:val="24"/>
        </w:rPr>
        <w:t xml:space="preserve"> </w:t>
      </w:r>
      <w:r w:rsidR="00E63B9A">
        <w:rPr>
          <w:rFonts w:ascii="Arial" w:hAnsi="Arial" w:cs="Arial"/>
          <w:sz w:val="24"/>
        </w:rPr>
        <w:t xml:space="preserve">the </w:t>
      </w:r>
      <w:r w:rsidR="00EA615C">
        <w:rPr>
          <w:rFonts w:ascii="Arial" w:hAnsi="Arial" w:cs="Arial"/>
          <w:sz w:val="24"/>
        </w:rPr>
        <w:t xml:space="preserve">components of these programs </w:t>
      </w:r>
      <w:r w:rsidR="00E63B9A">
        <w:rPr>
          <w:rFonts w:ascii="Arial" w:hAnsi="Arial" w:cs="Arial"/>
          <w:sz w:val="24"/>
        </w:rPr>
        <w:t xml:space="preserve">that </w:t>
      </w:r>
      <w:r w:rsidR="00EA615C">
        <w:rPr>
          <w:rFonts w:ascii="Arial" w:hAnsi="Arial" w:cs="Arial"/>
          <w:sz w:val="24"/>
        </w:rPr>
        <w:t>should be elevated and replicated to the national level and to inform future investments in programs addressing maternal outcomes.</w:t>
      </w:r>
    </w:p>
    <w:p w:rsidRPr="00C45431" w:rsidR="009B3794" w:rsidP="00CA3DA6" w:rsidRDefault="009B3794" w14:paraId="69C63886" w14:textId="77777777">
      <w:pPr>
        <w:numPr>
          <w:ilvl w:val="0"/>
          <w:numId w:val="2"/>
        </w:numPr>
        <w:tabs>
          <w:tab w:val="num" w:pos="36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rsidR="00DB332A" w:rsidP="00DB332A" w:rsidRDefault="00DB332A" w14:paraId="00D7D27A" w14:textId="03BA4E38">
      <w:pPr>
        <w:spacing w:before="120"/>
        <w:rPr>
          <w:rFonts w:ascii="Arial" w:hAnsi="Arial" w:cs="Arial"/>
          <w:sz w:val="24"/>
        </w:rPr>
      </w:pPr>
      <w:r>
        <w:rPr>
          <w:rFonts w:ascii="Arial" w:hAnsi="Arial" w:cs="Arial"/>
          <w:sz w:val="24"/>
        </w:rPr>
        <w:t xml:space="preserve">The request fully complies with the regulation. </w:t>
      </w:r>
    </w:p>
    <w:p w:rsidRPr="00C45431" w:rsidR="009B3794" w:rsidP="00CA3DA6" w:rsidRDefault="009B3794" w14:paraId="69C63890" w14:textId="77777777">
      <w:pPr>
        <w:numPr>
          <w:ilvl w:val="0"/>
          <w:numId w:val="2"/>
        </w:numPr>
        <w:tabs>
          <w:tab w:val="num" w:pos="360"/>
        </w:tabs>
        <w:spacing w:before="240"/>
        <w:ind w:left="36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rsidRPr="00C45431" w:rsidR="00DE3A45" w:rsidP="00CA3DA6" w:rsidRDefault="00DE3A45" w14:paraId="69C63891" w14:textId="77777777">
      <w:pPr>
        <w:spacing w:before="120"/>
        <w:rPr>
          <w:rFonts w:ascii="Arial" w:hAnsi="Arial" w:cs="Arial"/>
          <w:b/>
          <w:sz w:val="28"/>
          <w:szCs w:val="28"/>
        </w:rPr>
      </w:pPr>
      <w:r w:rsidRPr="00C45431">
        <w:rPr>
          <w:rFonts w:ascii="Arial" w:hAnsi="Arial" w:cs="Arial"/>
          <w:b/>
          <w:sz w:val="28"/>
          <w:szCs w:val="28"/>
        </w:rPr>
        <w:t>Section 8A:</w:t>
      </w:r>
    </w:p>
    <w:p w:rsidRPr="0029568A" w:rsidR="009B3794" w:rsidP="0029568A" w:rsidRDefault="009B3794" w14:paraId="69C63894" w14:textId="5621F485">
      <w:pPr>
        <w:spacing w:before="120"/>
        <w:rPr>
          <w:rFonts w:ascii="Arial" w:hAnsi="Arial" w:cs="Arial"/>
          <w:sz w:val="24"/>
        </w:rPr>
      </w:pPr>
      <w:r w:rsidRPr="0029568A">
        <w:rPr>
          <w:rFonts w:ascii="Arial" w:hAnsi="Arial" w:cs="Arial"/>
          <w:sz w:val="24"/>
        </w:rPr>
        <w:t xml:space="preserve">A 60-day Federal Register Notice was published in the </w:t>
      </w:r>
      <w:r w:rsidRPr="0029568A">
        <w:rPr>
          <w:rFonts w:ascii="Arial" w:hAnsi="Arial" w:cs="Arial"/>
          <w:i/>
          <w:iCs/>
          <w:sz w:val="24"/>
        </w:rPr>
        <w:t xml:space="preserve">Federal Register </w:t>
      </w:r>
      <w:r w:rsidRPr="0029568A">
        <w:rPr>
          <w:rFonts w:ascii="Arial" w:hAnsi="Arial" w:cs="Arial"/>
          <w:sz w:val="24"/>
        </w:rPr>
        <w:t xml:space="preserve">on </w:t>
      </w:r>
      <w:r w:rsidR="005E618D">
        <w:rPr>
          <w:rFonts w:ascii="Arial" w:hAnsi="Arial" w:cs="Arial"/>
          <w:sz w:val="24"/>
        </w:rPr>
        <w:t>June</w:t>
      </w:r>
      <w:r w:rsidRPr="005E618D" w:rsidR="005E618D">
        <w:rPr>
          <w:rFonts w:ascii="Arial" w:hAnsi="Arial" w:cs="Arial"/>
          <w:sz w:val="24"/>
        </w:rPr>
        <w:t xml:space="preserve"> </w:t>
      </w:r>
      <w:r w:rsidR="005E618D">
        <w:rPr>
          <w:rFonts w:ascii="Arial" w:hAnsi="Arial" w:cs="Arial"/>
          <w:sz w:val="24"/>
        </w:rPr>
        <w:t>8</w:t>
      </w:r>
      <w:r w:rsidRPr="005E618D">
        <w:rPr>
          <w:rFonts w:ascii="Arial" w:hAnsi="Arial" w:cs="Arial"/>
          <w:sz w:val="24"/>
        </w:rPr>
        <w:t>, 2</w:t>
      </w:r>
      <w:r w:rsidRPr="005E618D" w:rsidR="00CE5AA9">
        <w:rPr>
          <w:rFonts w:ascii="Arial" w:hAnsi="Arial" w:cs="Arial"/>
          <w:sz w:val="24"/>
        </w:rPr>
        <w:t>0</w:t>
      </w:r>
      <w:r w:rsidR="005E618D">
        <w:rPr>
          <w:rFonts w:ascii="Arial" w:hAnsi="Arial" w:cs="Arial"/>
          <w:sz w:val="24"/>
        </w:rPr>
        <w:t>20</w:t>
      </w:r>
      <w:r w:rsidRPr="005E618D">
        <w:rPr>
          <w:rFonts w:ascii="Arial" w:hAnsi="Arial" w:cs="Arial"/>
          <w:sz w:val="24"/>
        </w:rPr>
        <w:t xml:space="preserve">, vol. </w:t>
      </w:r>
      <w:r w:rsidR="005E618D">
        <w:rPr>
          <w:rFonts w:ascii="Arial" w:hAnsi="Arial" w:cs="Arial"/>
          <w:sz w:val="24"/>
        </w:rPr>
        <w:t>85</w:t>
      </w:r>
      <w:r w:rsidRPr="005E618D">
        <w:rPr>
          <w:rFonts w:ascii="Arial" w:hAnsi="Arial" w:cs="Arial"/>
          <w:sz w:val="24"/>
        </w:rPr>
        <w:t>, No.</w:t>
      </w:r>
      <w:r w:rsidRPr="005E618D" w:rsidR="00CE5AA9">
        <w:rPr>
          <w:rFonts w:ascii="Arial" w:hAnsi="Arial" w:cs="Arial"/>
          <w:sz w:val="24"/>
        </w:rPr>
        <w:t xml:space="preserve"> </w:t>
      </w:r>
      <w:r w:rsidR="005E618D">
        <w:rPr>
          <w:rFonts w:ascii="Arial" w:hAnsi="Arial" w:cs="Arial"/>
          <w:sz w:val="24"/>
        </w:rPr>
        <w:t>110</w:t>
      </w:r>
      <w:r w:rsidRPr="005E618D">
        <w:rPr>
          <w:rFonts w:ascii="Arial" w:hAnsi="Arial" w:cs="Arial"/>
          <w:sz w:val="24"/>
        </w:rPr>
        <w:t xml:space="preserve">; pp. </w:t>
      </w:r>
      <w:r w:rsidR="005E618D">
        <w:rPr>
          <w:rFonts w:ascii="Arial" w:hAnsi="Arial" w:cs="Arial"/>
          <w:sz w:val="24"/>
        </w:rPr>
        <w:t>35099</w:t>
      </w:r>
      <w:r w:rsidRPr="005E618D">
        <w:rPr>
          <w:rFonts w:ascii="Arial" w:hAnsi="Arial" w:cs="Arial"/>
          <w:sz w:val="24"/>
        </w:rPr>
        <w:t>-</w:t>
      </w:r>
      <w:r w:rsidR="005E618D">
        <w:rPr>
          <w:rFonts w:ascii="Arial" w:hAnsi="Arial" w:cs="Arial"/>
          <w:sz w:val="24"/>
        </w:rPr>
        <w:t>35100</w:t>
      </w:r>
      <w:r w:rsidRPr="005E618D">
        <w:rPr>
          <w:rFonts w:ascii="Arial" w:hAnsi="Arial" w:cs="Arial"/>
          <w:sz w:val="24"/>
        </w:rPr>
        <w:t xml:space="preserve"> (see </w:t>
      </w:r>
      <w:r w:rsidRPr="005E618D" w:rsidR="004C257F">
        <w:rPr>
          <w:rFonts w:ascii="Arial" w:hAnsi="Arial" w:cs="Arial"/>
          <w:sz w:val="24"/>
        </w:rPr>
        <w:t>A</w:t>
      </w:r>
      <w:r w:rsidRPr="005E618D">
        <w:rPr>
          <w:rFonts w:ascii="Arial" w:hAnsi="Arial" w:cs="Arial"/>
          <w:sz w:val="24"/>
        </w:rPr>
        <w:t xml:space="preserve">ttachment </w:t>
      </w:r>
      <w:r w:rsidR="005E618D">
        <w:rPr>
          <w:rFonts w:ascii="Arial" w:hAnsi="Arial" w:cs="Arial"/>
          <w:sz w:val="24"/>
        </w:rPr>
        <w:t>A</w:t>
      </w:r>
      <w:r w:rsidRPr="005E618D">
        <w:rPr>
          <w:rFonts w:ascii="Arial" w:hAnsi="Arial" w:cs="Arial"/>
          <w:sz w:val="24"/>
        </w:rPr>
        <w:t>).</w:t>
      </w:r>
      <w:r w:rsidRPr="0029568A">
        <w:rPr>
          <w:rFonts w:ascii="Arial" w:hAnsi="Arial" w:cs="Arial"/>
          <w:sz w:val="24"/>
        </w:rPr>
        <w:t xml:space="preserve"> </w:t>
      </w:r>
      <w:r w:rsidR="007945A7">
        <w:rPr>
          <w:rFonts w:ascii="Arial" w:hAnsi="Arial" w:cs="Arial"/>
          <w:sz w:val="24"/>
        </w:rPr>
        <w:t xml:space="preserve"> </w:t>
      </w:r>
      <w:r w:rsidR="00804D31">
        <w:rPr>
          <w:rFonts w:ascii="Arial" w:hAnsi="Arial" w:cs="Arial"/>
          <w:sz w:val="24"/>
        </w:rPr>
        <w:t xml:space="preserve">There </w:t>
      </w:r>
      <w:r w:rsidRPr="00804D31">
        <w:rPr>
          <w:rFonts w:ascii="Arial" w:hAnsi="Arial" w:cs="Arial"/>
          <w:sz w:val="24"/>
        </w:rPr>
        <w:t>were no public comments.</w:t>
      </w:r>
    </w:p>
    <w:p w:rsidR="00DE3A45" w:rsidP="00CA3DA6" w:rsidRDefault="00DE3A45" w14:paraId="69C63895" w14:textId="77777777">
      <w:pPr>
        <w:spacing w:before="120"/>
        <w:rPr>
          <w:rFonts w:ascii="Arial" w:hAnsi="Arial" w:cs="Arial"/>
          <w:b/>
          <w:sz w:val="28"/>
          <w:szCs w:val="28"/>
        </w:rPr>
      </w:pPr>
      <w:r w:rsidRPr="00C45431">
        <w:rPr>
          <w:rFonts w:ascii="Arial" w:hAnsi="Arial" w:cs="Arial"/>
          <w:b/>
          <w:sz w:val="28"/>
          <w:szCs w:val="28"/>
        </w:rPr>
        <w:t>Section 8B:</w:t>
      </w:r>
    </w:p>
    <w:p w:rsidR="00541DAB" w:rsidP="00541DAB" w:rsidRDefault="00691B00" w14:paraId="4C3ACAF4" w14:textId="77777777">
      <w:pPr>
        <w:spacing w:before="120"/>
        <w:rPr>
          <w:rFonts w:ascii="Arial" w:hAnsi="Arial" w:cs="Arial"/>
          <w:sz w:val="24"/>
        </w:rPr>
      </w:pPr>
      <w:r>
        <w:rPr>
          <w:rFonts w:ascii="Arial" w:hAnsi="Arial" w:cs="Arial"/>
          <w:sz w:val="24"/>
        </w:rPr>
        <w:t xml:space="preserve">The study team consulted with Roy </w:t>
      </w:r>
      <w:proofErr w:type="spellStart"/>
      <w:r>
        <w:rPr>
          <w:rFonts w:ascii="Arial" w:hAnsi="Arial" w:cs="Arial"/>
          <w:sz w:val="24"/>
        </w:rPr>
        <w:t>Ahn</w:t>
      </w:r>
      <w:proofErr w:type="spellEnd"/>
      <w:r>
        <w:rPr>
          <w:rFonts w:ascii="Arial" w:hAnsi="Arial" w:cs="Arial"/>
          <w:sz w:val="24"/>
        </w:rPr>
        <w:t xml:space="preserve">, </w:t>
      </w:r>
      <w:r w:rsidRPr="00691B00">
        <w:rPr>
          <w:rFonts w:ascii="Arial" w:hAnsi="Arial" w:cs="Arial"/>
          <w:sz w:val="24"/>
        </w:rPr>
        <w:t>MPH, ScD</w:t>
      </w:r>
      <w:r>
        <w:rPr>
          <w:rFonts w:ascii="Arial" w:hAnsi="Arial" w:cs="Arial"/>
          <w:sz w:val="24"/>
        </w:rPr>
        <w:t xml:space="preserve">, </w:t>
      </w:r>
      <w:r w:rsidRPr="00691B00" w:rsidR="00B2439A">
        <w:rPr>
          <w:rFonts w:ascii="Arial" w:hAnsi="Arial" w:cs="Arial"/>
          <w:sz w:val="24"/>
        </w:rPr>
        <w:t>global maternal health researcher</w:t>
      </w:r>
      <w:r w:rsidR="00B2439A">
        <w:rPr>
          <w:rFonts w:ascii="Arial" w:hAnsi="Arial" w:cs="Arial"/>
          <w:sz w:val="24"/>
        </w:rPr>
        <w:t xml:space="preserve"> and </w:t>
      </w:r>
      <w:r>
        <w:rPr>
          <w:rFonts w:ascii="Arial" w:hAnsi="Arial" w:cs="Arial"/>
          <w:sz w:val="24"/>
        </w:rPr>
        <w:t xml:space="preserve">Vice President, Public Health Research at </w:t>
      </w:r>
      <w:proofErr w:type="spellStart"/>
      <w:r>
        <w:rPr>
          <w:rFonts w:ascii="Arial" w:hAnsi="Arial" w:cs="Arial"/>
          <w:sz w:val="24"/>
        </w:rPr>
        <w:t>NORC</w:t>
      </w:r>
      <w:proofErr w:type="spellEnd"/>
      <w:r>
        <w:rPr>
          <w:rFonts w:ascii="Arial" w:hAnsi="Arial" w:cs="Arial"/>
          <w:sz w:val="24"/>
        </w:rPr>
        <w:t xml:space="preserve"> at the University of Chicago. Contact information: </w:t>
      </w:r>
      <w:r w:rsidRPr="00691B00">
        <w:rPr>
          <w:rFonts w:ascii="Arial" w:hAnsi="Arial" w:cs="Arial"/>
          <w:sz w:val="24"/>
        </w:rPr>
        <w:t>(312) 759-4068</w:t>
      </w:r>
      <w:r>
        <w:rPr>
          <w:rFonts w:ascii="Arial" w:hAnsi="Arial" w:cs="Arial"/>
          <w:sz w:val="24"/>
        </w:rPr>
        <w:t xml:space="preserve">; </w:t>
      </w:r>
      <w:r w:rsidRPr="00691B00">
        <w:rPr>
          <w:rFonts w:ascii="Arial" w:hAnsi="Arial" w:cs="Arial"/>
          <w:sz w:val="24"/>
        </w:rPr>
        <w:t>ahn-roy@norc.org</w:t>
      </w:r>
      <w:r>
        <w:rPr>
          <w:rFonts w:ascii="Arial" w:hAnsi="Arial" w:cs="Arial"/>
          <w:sz w:val="24"/>
        </w:rPr>
        <w:t xml:space="preserve">. </w:t>
      </w:r>
      <w:r w:rsidR="007945A7">
        <w:rPr>
          <w:rFonts w:ascii="Arial" w:hAnsi="Arial" w:cs="Arial"/>
          <w:sz w:val="24"/>
        </w:rPr>
        <w:t xml:space="preserve"> </w:t>
      </w:r>
      <w:r w:rsidR="00B2439A">
        <w:rPr>
          <w:rFonts w:ascii="Arial" w:hAnsi="Arial" w:cs="Arial"/>
          <w:sz w:val="24"/>
        </w:rPr>
        <w:t xml:space="preserve">Additionally, the study team met with each MH grantee to assess their evaluation capabilities and early plans for program activities, data collection, and data storage, which informed the development of the evaluation design. </w:t>
      </w:r>
    </w:p>
    <w:p w:rsidRPr="00541DAB" w:rsidR="009B3794" w:rsidP="00541DAB" w:rsidRDefault="009B3794" w14:paraId="69C6389E" w14:textId="5104887F">
      <w:pPr>
        <w:pStyle w:val="ListParagraph"/>
        <w:numPr>
          <w:ilvl w:val="0"/>
          <w:numId w:val="2"/>
        </w:numPr>
        <w:spacing w:before="120"/>
        <w:ind w:left="630" w:hanging="630"/>
        <w:rPr>
          <w:rFonts w:ascii="Arial" w:hAnsi="Arial" w:cs="Arial"/>
          <w:sz w:val="24"/>
        </w:rPr>
      </w:pPr>
      <w:r w:rsidRPr="00541DAB">
        <w:rPr>
          <w:rFonts w:ascii="Arial" w:hAnsi="Arial" w:cs="Arial"/>
          <w:b/>
          <w:sz w:val="24"/>
          <w:u w:val="single"/>
        </w:rPr>
        <w:t>Explanation of any Payment/Gift to Respondents</w:t>
      </w:r>
    </w:p>
    <w:p w:rsidR="00660F05" w:rsidP="00660F05" w:rsidRDefault="00660F05" w14:paraId="3C72AB29" w14:textId="4ED94872">
      <w:pPr>
        <w:spacing w:before="120"/>
        <w:rPr>
          <w:rFonts w:ascii="Arial" w:hAnsi="Arial" w:cs="Arial"/>
          <w:sz w:val="24"/>
        </w:rPr>
      </w:pPr>
      <w:r w:rsidRPr="00660F05">
        <w:rPr>
          <w:rFonts w:ascii="Arial" w:hAnsi="Arial" w:cs="Arial"/>
          <w:sz w:val="24"/>
        </w:rPr>
        <w:t>Respondents will not receive any payments or gifts.</w:t>
      </w:r>
    </w:p>
    <w:p w:rsidRPr="00C45431" w:rsidR="009B3794" w:rsidP="00CA3DA6" w:rsidRDefault="00541DAB" w14:paraId="69C638A2" w14:textId="50181271">
      <w:pPr>
        <w:numPr>
          <w:ilvl w:val="0"/>
          <w:numId w:val="2"/>
        </w:numPr>
        <w:tabs>
          <w:tab w:val="num" w:pos="360"/>
        </w:tabs>
        <w:spacing w:before="240"/>
        <w:ind w:left="360"/>
        <w:rPr>
          <w:rFonts w:ascii="Arial" w:hAnsi="Arial" w:cs="Arial"/>
          <w:b/>
          <w:sz w:val="24"/>
        </w:rPr>
      </w:pPr>
      <w:r>
        <w:rPr>
          <w:rFonts w:ascii="Arial" w:hAnsi="Arial" w:cs="Arial"/>
          <w:sz w:val="24"/>
        </w:rPr>
        <w:t xml:space="preserve">  </w:t>
      </w:r>
      <w:r w:rsidRPr="00C45431" w:rsidR="009B3794">
        <w:rPr>
          <w:rFonts w:ascii="Arial" w:hAnsi="Arial" w:cs="Arial"/>
          <w:b/>
          <w:sz w:val="24"/>
          <w:u w:val="single"/>
        </w:rPr>
        <w:t>Assurance of Confidentiality Provided to Respondents</w:t>
      </w:r>
    </w:p>
    <w:p w:rsidR="0029568A" w:rsidP="00CA3DA6" w:rsidRDefault="0029568A" w14:paraId="3908FB6A" w14:textId="7BD07DD8">
      <w:pPr>
        <w:spacing w:before="120"/>
        <w:rPr>
          <w:rFonts w:ascii="Arial" w:hAnsi="Arial" w:cs="Arial"/>
          <w:sz w:val="24"/>
        </w:rPr>
      </w:pPr>
      <w:r w:rsidRPr="0029568A">
        <w:rPr>
          <w:rFonts w:ascii="Arial" w:hAnsi="Arial" w:cs="Arial"/>
          <w:sz w:val="24"/>
        </w:rPr>
        <w:t>Data will be kept private to the extent allowed by law</w:t>
      </w:r>
      <w:r>
        <w:rPr>
          <w:rFonts w:ascii="Arial" w:hAnsi="Arial" w:cs="Arial"/>
          <w:sz w:val="24"/>
        </w:rPr>
        <w:t>.</w:t>
      </w:r>
      <w:r w:rsidR="007945A7">
        <w:rPr>
          <w:rFonts w:ascii="Arial" w:hAnsi="Arial" w:cs="Arial"/>
          <w:sz w:val="24"/>
        </w:rPr>
        <w:t xml:space="preserve"> </w:t>
      </w:r>
      <w:r>
        <w:rPr>
          <w:rFonts w:ascii="Arial" w:hAnsi="Arial" w:cs="Arial"/>
          <w:sz w:val="24"/>
        </w:rPr>
        <w:t xml:space="preserve"> </w:t>
      </w:r>
      <w:r w:rsidRPr="0029568A">
        <w:rPr>
          <w:rFonts w:ascii="Arial" w:hAnsi="Arial" w:cs="Arial"/>
          <w:sz w:val="24"/>
        </w:rPr>
        <w:t>Respondents will be informed that their information will be kept private to the extent permitted by law.</w:t>
      </w:r>
      <w:r>
        <w:rPr>
          <w:rFonts w:ascii="Arial" w:hAnsi="Arial" w:cs="Arial"/>
          <w:sz w:val="24"/>
        </w:rPr>
        <w:t xml:space="preserve"> </w:t>
      </w:r>
      <w:r w:rsidR="007945A7">
        <w:rPr>
          <w:rFonts w:ascii="Arial" w:hAnsi="Arial" w:cs="Arial"/>
          <w:sz w:val="24"/>
        </w:rPr>
        <w:t xml:space="preserve"> </w:t>
      </w:r>
      <w:r w:rsidR="00D63250">
        <w:rPr>
          <w:rFonts w:ascii="Arial" w:hAnsi="Arial" w:cs="Arial"/>
          <w:sz w:val="24"/>
        </w:rPr>
        <w:t>They will be told that their na</w:t>
      </w:r>
      <w:r w:rsidR="00CA3F04">
        <w:rPr>
          <w:rFonts w:ascii="Arial" w:hAnsi="Arial" w:cs="Arial"/>
          <w:sz w:val="24"/>
        </w:rPr>
        <w:t>mes will not be used in reports</w:t>
      </w:r>
      <w:r w:rsidR="00D63250">
        <w:rPr>
          <w:rFonts w:ascii="Arial" w:hAnsi="Arial" w:cs="Arial"/>
          <w:sz w:val="24"/>
        </w:rPr>
        <w:t xml:space="preserve">. </w:t>
      </w:r>
      <w:r w:rsidR="007945A7">
        <w:rPr>
          <w:rFonts w:ascii="Arial" w:hAnsi="Arial" w:cs="Arial"/>
          <w:sz w:val="24"/>
        </w:rPr>
        <w:t xml:space="preserve"> </w:t>
      </w:r>
      <w:r w:rsidR="00EB108B">
        <w:rPr>
          <w:rFonts w:ascii="Arial" w:hAnsi="Arial" w:cs="Arial"/>
          <w:sz w:val="24"/>
        </w:rPr>
        <w:t xml:space="preserve">This information </w:t>
      </w:r>
      <w:r w:rsidRPr="00EB108B" w:rsidR="00EB108B">
        <w:rPr>
          <w:rFonts w:ascii="Arial" w:hAnsi="Arial" w:cs="Arial"/>
          <w:sz w:val="24"/>
        </w:rPr>
        <w:t>will be provided verbally to interview respondents and verbal consent will be requested.</w:t>
      </w:r>
      <w:r w:rsidR="00120CCA">
        <w:rPr>
          <w:rFonts w:ascii="Arial" w:hAnsi="Arial" w:cs="Arial"/>
          <w:sz w:val="24"/>
        </w:rPr>
        <w:t xml:space="preserve"> </w:t>
      </w:r>
      <w:r w:rsidR="007945A7">
        <w:rPr>
          <w:rFonts w:ascii="Arial" w:hAnsi="Arial" w:cs="Arial"/>
          <w:sz w:val="24"/>
        </w:rPr>
        <w:t xml:space="preserve"> </w:t>
      </w:r>
      <w:r w:rsidR="00120CCA">
        <w:rPr>
          <w:rFonts w:ascii="Arial" w:hAnsi="Arial" w:cs="Arial"/>
          <w:sz w:val="24"/>
        </w:rPr>
        <w:t xml:space="preserve">Partnership survey respondents will be provided a written statement at the beginning of the web survey with </w:t>
      </w:r>
      <w:r w:rsidR="00120CCA">
        <w:rPr>
          <w:rFonts w:ascii="Arial" w:hAnsi="Arial" w:cs="Arial"/>
          <w:sz w:val="24"/>
        </w:rPr>
        <w:lastRenderedPageBreak/>
        <w:t>this information</w:t>
      </w:r>
      <w:r w:rsidR="000C1F3B">
        <w:rPr>
          <w:rFonts w:ascii="Arial" w:hAnsi="Arial" w:cs="Arial"/>
          <w:sz w:val="24"/>
        </w:rPr>
        <w:t xml:space="preserve"> (Attachment B4</w:t>
      </w:r>
      <w:r w:rsidR="00CA3F04">
        <w:rPr>
          <w:rFonts w:ascii="Arial" w:hAnsi="Arial" w:cs="Arial"/>
          <w:sz w:val="24"/>
        </w:rPr>
        <w:t>)</w:t>
      </w:r>
      <w:r w:rsidR="00E63B9A">
        <w:rPr>
          <w:rFonts w:ascii="Arial" w:hAnsi="Arial" w:cs="Arial"/>
          <w:sz w:val="24"/>
        </w:rPr>
        <w:t xml:space="preserve">. </w:t>
      </w:r>
      <w:r w:rsidR="007945A7">
        <w:rPr>
          <w:rFonts w:ascii="Arial" w:hAnsi="Arial" w:cs="Arial"/>
          <w:sz w:val="24"/>
        </w:rPr>
        <w:t xml:space="preserve"> </w:t>
      </w:r>
      <w:r w:rsidRPr="00390440" w:rsidR="00390440">
        <w:rPr>
          <w:rFonts w:ascii="Arial" w:hAnsi="Arial" w:cs="Arial"/>
          <w:sz w:val="24"/>
        </w:rPr>
        <w:t xml:space="preserve">This study will be reviewed by the Institutional Review Board of the contractor selected to conduct this evaluation. </w:t>
      </w:r>
    </w:p>
    <w:p w:rsidRPr="00C45431" w:rsidR="009B3794" w:rsidP="00CA3DA6" w:rsidRDefault="009B3794" w14:paraId="69C638AA" w14:textId="77777777">
      <w:pPr>
        <w:numPr>
          <w:ilvl w:val="0"/>
          <w:numId w:val="2"/>
        </w:numPr>
        <w:tabs>
          <w:tab w:val="num" w:pos="360"/>
        </w:tabs>
        <w:spacing w:before="240"/>
        <w:ind w:left="360"/>
        <w:rPr>
          <w:rFonts w:ascii="Arial" w:hAnsi="Arial" w:cs="Arial"/>
          <w:b/>
          <w:sz w:val="24"/>
        </w:rPr>
      </w:pPr>
      <w:r w:rsidRPr="00C45431">
        <w:rPr>
          <w:rFonts w:ascii="Arial" w:hAnsi="Arial" w:cs="Arial"/>
          <w:b/>
          <w:sz w:val="24"/>
          <w:u w:val="single"/>
        </w:rPr>
        <w:t>Justification for Sensitive Questions</w:t>
      </w:r>
    </w:p>
    <w:p w:rsidR="00DB332A" w:rsidP="00DB332A" w:rsidRDefault="00DB332A" w14:paraId="7C9C2B57" w14:textId="37E88CE5">
      <w:pPr>
        <w:widowControl/>
        <w:spacing w:before="120"/>
        <w:rPr>
          <w:rFonts w:ascii="Arial" w:hAnsi="Arial" w:cs="Arial"/>
          <w:sz w:val="24"/>
        </w:rPr>
      </w:pPr>
      <w:r>
        <w:rPr>
          <w:rFonts w:ascii="Arial" w:hAnsi="Arial" w:cs="Arial"/>
          <w:sz w:val="24"/>
        </w:rPr>
        <w:t xml:space="preserve">The data collection instruments do not include any questions of a sensitive nature. </w:t>
      </w:r>
      <w:r w:rsidR="007945A7">
        <w:rPr>
          <w:rFonts w:ascii="Arial" w:hAnsi="Arial" w:cs="Arial"/>
          <w:sz w:val="24"/>
        </w:rPr>
        <w:t xml:space="preserve"> </w:t>
      </w:r>
      <w:r>
        <w:rPr>
          <w:rFonts w:ascii="Arial" w:hAnsi="Arial" w:cs="Arial"/>
          <w:sz w:val="24"/>
        </w:rPr>
        <w:t>No personally identifiable information will be collected from respondents.</w:t>
      </w:r>
      <w:r w:rsidR="007945A7">
        <w:rPr>
          <w:rFonts w:ascii="Arial" w:hAnsi="Arial" w:cs="Arial"/>
          <w:sz w:val="24"/>
        </w:rPr>
        <w:t xml:space="preserve"> </w:t>
      </w:r>
      <w:r>
        <w:rPr>
          <w:rFonts w:ascii="Arial" w:hAnsi="Arial" w:cs="Arial"/>
          <w:sz w:val="24"/>
        </w:rPr>
        <w:t xml:space="preserve"> </w:t>
      </w:r>
      <w:r w:rsidR="001713AA">
        <w:rPr>
          <w:rFonts w:ascii="Arial" w:hAnsi="Arial" w:cs="Arial"/>
          <w:sz w:val="24"/>
        </w:rPr>
        <w:t>Individual-level data will be not obtained from the grantees.</w:t>
      </w:r>
    </w:p>
    <w:p w:rsidRPr="00FB234C" w:rsidR="009B3794" w:rsidP="00CA3DA6" w:rsidRDefault="009B3794" w14:paraId="69C638B0" w14:textId="77777777">
      <w:pPr>
        <w:numPr>
          <w:ilvl w:val="0"/>
          <w:numId w:val="2"/>
        </w:numPr>
        <w:tabs>
          <w:tab w:val="num" w:pos="360"/>
        </w:tabs>
        <w:spacing w:before="240"/>
        <w:ind w:left="360"/>
        <w:rPr>
          <w:rFonts w:ascii="Arial" w:hAnsi="Arial" w:cs="Arial"/>
          <w:sz w:val="24"/>
        </w:rPr>
      </w:pPr>
      <w:r w:rsidRPr="00C45431">
        <w:rPr>
          <w:rFonts w:ascii="Arial" w:hAnsi="Arial" w:cs="Arial"/>
          <w:b/>
          <w:sz w:val="24"/>
          <w:u w:val="single"/>
        </w:rPr>
        <w:t xml:space="preserve">Estimates of Annualized Hour and Cost Burden  </w:t>
      </w:r>
    </w:p>
    <w:p w:rsidR="00FB234C" w:rsidP="00FB234C" w:rsidRDefault="00FB234C" w14:paraId="502F3235" w14:textId="026A545D">
      <w:pPr>
        <w:spacing w:before="120"/>
        <w:rPr>
          <w:rFonts w:ascii="Arial" w:hAnsi="Arial" w:cs="Arial"/>
          <w:sz w:val="24"/>
        </w:rPr>
      </w:pPr>
      <w:r w:rsidRPr="00FB234C">
        <w:rPr>
          <w:rFonts w:ascii="Arial" w:hAnsi="Arial" w:cs="Arial"/>
          <w:sz w:val="24"/>
        </w:rPr>
        <w:t>Estimates of annualized burden are below.</w:t>
      </w:r>
      <w:r w:rsidR="007945A7">
        <w:rPr>
          <w:rFonts w:ascii="Arial" w:hAnsi="Arial" w:cs="Arial"/>
          <w:sz w:val="24"/>
        </w:rPr>
        <w:t xml:space="preserve"> </w:t>
      </w:r>
      <w:r w:rsidRPr="00FB234C">
        <w:rPr>
          <w:rFonts w:ascii="Arial" w:hAnsi="Arial" w:cs="Arial"/>
          <w:sz w:val="24"/>
        </w:rPr>
        <w:t xml:space="preserve"> The total number of estimated respondents is 387 and the total number of burden hours is 165.5. </w:t>
      </w:r>
    </w:p>
    <w:p w:rsidRPr="00C45431" w:rsidR="00FB234C" w:rsidP="00FB234C" w:rsidRDefault="00FB234C" w14:paraId="639400B1" w14:textId="77777777">
      <w:pPr>
        <w:spacing w:before="120"/>
        <w:rPr>
          <w:rFonts w:ascii="Arial" w:hAnsi="Arial" w:cs="Arial"/>
          <w:sz w:val="24"/>
        </w:rPr>
      </w:pPr>
    </w:p>
    <w:p w:rsidRPr="00C45431" w:rsidR="009B3794" w:rsidP="00CA3DA6" w:rsidRDefault="009B3794" w14:paraId="69C638B3" w14:textId="77777777">
      <w:pPr>
        <w:widowControl/>
        <w:tabs>
          <w:tab w:val="num" w:pos="720"/>
        </w:tabs>
        <w:spacing w:before="120"/>
        <w:rPr>
          <w:rFonts w:ascii="Arial" w:hAnsi="Arial" w:cs="Arial"/>
          <w:sz w:val="24"/>
        </w:rPr>
      </w:pPr>
      <w:r w:rsidRPr="00C45431">
        <w:rPr>
          <w:rFonts w:ascii="Arial" w:hAnsi="Arial" w:cs="Arial"/>
          <w:b/>
          <w:sz w:val="28"/>
          <w:szCs w:val="28"/>
        </w:rPr>
        <w:t>12A.</w:t>
      </w:r>
      <w:r w:rsidRPr="00C45431">
        <w:rPr>
          <w:rFonts w:ascii="Arial" w:hAnsi="Arial" w:cs="Arial"/>
          <w:sz w:val="24"/>
        </w:rPr>
        <w:t xml:space="preserve">        </w:t>
      </w:r>
      <w:r w:rsidRPr="00C45431">
        <w:rPr>
          <w:rFonts w:ascii="Arial" w:hAnsi="Arial" w:cs="Arial"/>
          <w:b/>
          <w:sz w:val="24"/>
        </w:rPr>
        <w:t>Estimated Annualized Burden Hours</w:t>
      </w:r>
    </w:p>
    <w:tbl>
      <w:tblPr>
        <w:tblpPr w:leftFromText="180" w:rightFromText="180" w:vertAnchor="text" w:horzAnchor="margin" w:tblpXSpec="center" w:tblpY="3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03"/>
        <w:gridCol w:w="1785"/>
        <w:gridCol w:w="1737"/>
        <w:gridCol w:w="1606"/>
        <w:gridCol w:w="1364"/>
        <w:gridCol w:w="1170"/>
      </w:tblGrid>
      <w:tr w:rsidRPr="00C45431" w:rsidR="00CA3DA6" w:rsidTr="007945A7" w14:paraId="69C638C5" w14:textId="77777777">
        <w:trPr>
          <w:trHeight w:val="800"/>
        </w:trPr>
        <w:tc>
          <w:tcPr>
            <w:tcW w:w="1603" w:type="dxa"/>
            <w:vAlign w:val="bottom"/>
          </w:tcPr>
          <w:p w:rsidRPr="00C45431" w:rsidR="00CA3DA6" w:rsidP="007945A7" w:rsidRDefault="00CA3DA6" w14:paraId="69C638B4" w14:textId="77777777">
            <w:pPr>
              <w:widowControl/>
              <w:tabs>
                <w:tab w:val="num" w:pos="1080"/>
              </w:tabs>
              <w:jc w:val="center"/>
              <w:rPr>
                <w:rFonts w:ascii="Arial" w:hAnsi="Arial" w:cs="Arial"/>
                <w:b/>
                <w:bCs/>
                <w:sz w:val="24"/>
              </w:rPr>
            </w:pPr>
            <w:r w:rsidRPr="00C45431">
              <w:rPr>
                <w:rFonts w:ascii="Arial" w:hAnsi="Arial" w:cs="Arial"/>
                <w:b/>
                <w:bCs/>
                <w:sz w:val="24"/>
              </w:rPr>
              <w:t>Type of</w:t>
            </w:r>
          </w:p>
          <w:p w:rsidRPr="00C45431" w:rsidR="00CA3DA6" w:rsidP="007945A7" w:rsidRDefault="00CA3DA6" w14:paraId="69C638B5" w14:textId="77777777">
            <w:pPr>
              <w:widowControl/>
              <w:tabs>
                <w:tab w:val="num" w:pos="1080"/>
              </w:tabs>
              <w:jc w:val="center"/>
              <w:rPr>
                <w:rFonts w:ascii="Arial" w:hAnsi="Arial" w:cs="Arial"/>
                <w:b/>
                <w:bCs/>
                <w:sz w:val="24"/>
              </w:rPr>
            </w:pPr>
            <w:r w:rsidRPr="00C45431">
              <w:rPr>
                <w:rFonts w:ascii="Arial" w:hAnsi="Arial" w:cs="Arial"/>
                <w:b/>
                <w:bCs/>
                <w:sz w:val="24"/>
              </w:rPr>
              <w:t>Respondent</w:t>
            </w:r>
          </w:p>
          <w:p w:rsidRPr="00C45431" w:rsidR="00CA3DA6" w:rsidP="007945A7" w:rsidRDefault="00CA3DA6" w14:paraId="69C638B6" w14:textId="77777777">
            <w:pPr>
              <w:widowControl/>
              <w:tabs>
                <w:tab w:val="num" w:pos="1080"/>
              </w:tabs>
              <w:jc w:val="center"/>
              <w:rPr>
                <w:rFonts w:ascii="Arial" w:hAnsi="Arial" w:cs="Arial"/>
                <w:b/>
                <w:bCs/>
                <w:sz w:val="24"/>
              </w:rPr>
            </w:pPr>
          </w:p>
        </w:tc>
        <w:tc>
          <w:tcPr>
            <w:tcW w:w="1785" w:type="dxa"/>
            <w:vAlign w:val="bottom"/>
          </w:tcPr>
          <w:p w:rsidRPr="00C45431" w:rsidR="00CA3DA6" w:rsidP="007945A7" w:rsidRDefault="00CA3DA6" w14:paraId="69C638B7" w14:textId="77777777">
            <w:pPr>
              <w:widowControl/>
              <w:tabs>
                <w:tab w:val="num" w:pos="1080"/>
              </w:tabs>
              <w:jc w:val="center"/>
              <w:rPr>
                <w:rFonts w:ascii="Arial" w:hAnsi="Arial" w:cs="Arial"/>
                <w:b/>
                <w:bCs/>
                <w:sz w:val="24"/>
              </w:rPr>
            </w:pPr>
            <w:r w:rsidRPr="00C45431">
              <w:rPr>
                <w:rFonts w:ascii="Arial" w:hAnsi="Arial" w:cs="Arial"/>
                <w:b/>
                <w:bCs/>
                <w:sz w:val="24"/>
              </w:rPr>
              <w:t>Form</w:t>
            </w:r>
          </w:p>
          <w:p w:rsidRPr="00C45431" w:rsidR="00CA3DA6" w:rsidP="007945A7" w:rsidRDefault="00CA3DA6" w14:paraId="69C638B8" w14:textId="77777777">
            <w:pPr>
              <w:widowControl/>
              <w:tabs>
                <w:tab w:val="num" w:pos="1080"/>
              </w:tabs>
              <w:jc w:val="center"/>
              <w:rPr>
                <w:rFonts w:ascii="Arial" w:hAnsi="Arial" w:cs="Arial"/>
                <w:b/>
                <w:bCs/>
                <w:sz w:val="24"/>
              </w:rPr>
            </w:pPr>
            <w:r w:rsidRPr="00C45431">
              <w:rPr>
                <w:rFonts w:ascii="Arial" w:hAnsi="Arial" w:cs="Arial"/>
                <w:b/>
                <w:bCs/>
                <w:sz w:val="24"/>
              </w:rPr>
              <w:t>Name</w:t>
            </w:r>
          </w:p>
          <w:p w:rsidRPr="00C45431" w:rsidR="00CA3DA6" w:rsidP="007945A7" w:rsidRDefault="00CA3DA6" w14:paraId="69C638B9" w14:textId="77777777">
            <w:pPr>
              <w:widowControl/>
              <w:tabs>
                <w:tab w:val="num" w:pos="1080"/>
              </w:tabs>
              <w:jc w:val="center"/>
              <w:rPr>
                <w:rFonts w:ascii="Arial" w:hAnsi="Arial" w:cs="Arial"/>
                <w:b/>
                <w:bCs/>
                <w:sz w:val="24"/>
              </w:rPr>
            </w:pPr>
          </w:p>
        </w:tc>
        <w:tc>
          <w:tcPr>
            <w:tcW w:w="1737" w:type="dxa"/>
            <w:vAlign w:val="bottom"/>
          </w:tcPr>
          <w:p w:rsidRPr="00C45431" w:rsidR="00CA3DA6" w:rsidP="007945A7" w:rsidRDefault="00CA3DA6" w14:paraId="69C638BA" w14:textId="77777777">
            <w:pPr>
              <w:widowControl/>
              <w:tabs>
                <w:tab w:val="num" w:pos="1080"/>
              </w:tabs>
              <w:jc w:val="center"/>
              <w:rPr>
                <w:rFonts w:ascii="Arial" w:hAnsi="Arial" w:cs="Arial"/>
                <w:b/>
                <w:bCs/>
                <w:sz w:val="24"/>
              </w:rPr>
            </w:pPr>
            <w:r w:rsidRPr="00C45431">
              <w:rPr>
                <w:rFonts w:ascii="Arial" w:hAnsi="Arial" w:cs="Arial"/>
                <w:b/>
                <w:bCs/>
                <w:sz w:val="24"/>
              </w:rPr>
              <w:t>No. of</w:t>
            </w:r>
          </w:p>
          <w:p w:rsidRPr="00C45431" w:rsidR="00CA3DA6" w:rsidP="007945A7" w:rsidRDefault="00CA3DA6" w14:paraId="69C638BB" w14:textId="77777777">
            <w:pPr>
              <w:widowControl/>
              <w:tabs>
                <w:tab w:val="num" w:pos="1080"/>
              </w:tabs>
              <w:jc w:val="center"/>
              <w:rPr>
                <w:rFonts w:ascii="Arial" w:hAnsi="Arial" w:cs="Arial"/>
                <w:b/>
                <w:bCs/>
                <w:sz w:val="24"/>
              </w:rPr>
            </w:pPr>
            <w:r w:rsidRPr="00C45431">
              <w:rPr>
                <w:rFonts w:ascii="Arial" w:hAnsi="Arial" w:cs="Arial"/>
                <w:b/>
                <w:bCs/>
                <w:sz w:val="24"/>
              </w:rPr>
              <w:t>Respondents</w:t>
            </w:r>
          </w:p>
        </w:tc>
        <w:tc>
          <w:tcPr>
            <w:tcW w:w="1606" w:type="dxa"/>
            <w:vAlign w:val="bottom"/>
          </w:tcPr>
          <w:p w:rsidRPr="00C45431" w:rsidR="00CA3DA6" w:rsidP="007945A7" w:rsidRDefault="00CA3DA6" w14:paraId="69C638BC" w14:textId="77777777">
            <w:pPr>
              <w:widowControl/>
              <w:tabs>
                <w:tab w:val="num" w:pos="1080"/>
              </w:tabs>
              <w:jc w:val="center"/>
              <w:rPr>
                <w:rFonts w:ascii="Arial" w:hAnsi="Arial" w:cs="Arial"/>
                <w:b/>
                <w:bCs/>
                <w:sz w:val="24"/>
              </w:rPr>
            </w:pPr>
            <w:r w:rsidRPr="00C45431">
              <w:rPr>
                <w:rFonts w:ascii="Arial" w:hAnsi="Arial" w:cs="Arial"/>
                <w:b/>
                <w:bCs/>
                <w:sz w:val="24"/>
              </w:rPr>
              <w:t>No.</w:t>
            </w:r>
          </w:p>
          <w:p w:rsidRPr="00C45431" w:rsidR="00CA3DA6" w:rsidP="007945A7" w:rsidRDefault="00CA3DA6" w14:paraId="69C638BD" w14:textId="77777777">
            <w:pPr>
              <w:widowControl/>
              <w:tabs>
                <w:tab w:val="num" w:pos="1080"/>
              </w:tabs>
              <w:jc w:val="center"/>
              <w:rPr>
                <w:rFonts w:ascii="Arial" w:hAnsi="Arial" w:cs="Arial"/>
                <w:b/>
                <w:bCs/>
                <w:sz w:val="24"/>
              </w:rPr>
            </w:pPr>
            <w:r w:rsidRPr="00C45431">
              <w:rPr>
                <w:rFonts w:ascii="Arial" w:hAnsi="Arial" w:cs="Arial"/>
                <w:b/>
                <w:bCs/>
                <w:sz w:val="24"/>
              </w:rPr>
              <w:t>Responses</w:t>
            </w:r>
          </w:p>
          <w:p w:rsidRPr="00C45431" w:rsidR="00CA3DA6" w:rsidP="007945A7" w:rsidRDefault="00CA3DA6" w14:paraId="69C638BE" w14:textId="77777777">
            <w:pPr>
              <w:widowControl/>
              <w:tabs>
                <w:tab w:val="num" w:pos="1080"/>
              </w:tabs>
              <w:jc w:val="center"/>
              <w:rPr>
                <w:rFonts w:ascii="Arial" w:hAnsi="Arial" w:cs="Arial"/>
                <w:b/>
                <w:bCs/>
                <w:sz w:val="24"/>
              </w:rPr>
            </w:pPr>
            <w:r w:rsidRPr="00C45431">
              <w:rPr>
                <w:rFonts w:ascii="Arial" w:hAnsi="Arial" w:cs="Arial"/>
                <w:b/>
                <w:bCs/>
                <w:sz w:val="24"/>
              </w:rPr>
              <w:t>per</w:t>
            </w:r>
          </w:p>
          <w:p w:rsidRPr="00C45431" w:rsidR="00CA3DA6" w:rsidP="007945A7" w:rsidRDefault="00CA3DA6" w14:paraId="69C638BF" w14:textId="77777777">
            <w:pPr>
              <w:widowControl/>
              <w:tabs>
                <w:tab w:val="num" w:pos="1080"/>
              </w:tabs>
              <w:jc w:val="center"/>
              <w:rPr>
                <w:rFonts w:ascii="Arial" w:hAnsi="Arial" w:cs="Arial"/>
                <w:b/>
                <w:bCs/>
                <w:sz w:val="24"/>
              </w:rPr>
            </w:pPr>
            <w:r w:rsidRPr="00C45431">
              <w:rPr>
                <w:rFonts w:ascii="Arial" w:hAnsi="Arial" w:cs="Arial"/>
                <w:b/>
                <w:bCs/>
                <w:sz w:val="24"/>
              </w:rPr>
              <w:t>Respondent</w:t>
            </w:r>
          </w:p>
        </w:tc>
        <w:tc>
          <w:tcPr>
            <w:tcW w:w="1364" w:type="dxa"/>
            <w:vAlign w:val="bottom"/>
          </w:tcPr>
          <w:p w:rsidRPr="00C45431" w:rsidR="00CA3DA6" w:rsidP="007945A7" w:rsidRDefault="00CA3DA6" w14:paraId="69C638C0" w14:textId="77777777">
            <w:pPr>
              <w:widowControl/>
              <w:tabs>
                <w:tab w:val="num" w:pos="1080"/>
              </w:tabs>
              <w:jc w:val="center"/>
              <w:rPr>
                <w:rFonts w:ascii="Arial" w:hAnsi="Arial" w:cs="Arial"/>
                <w:b/>
                <w:bCs/>
                <w:sz w:val="24"/>
              </w:rPr>
            </w:pPr>
            <w:r w:rsidRPr="00C45431">
              <w:rPr>
                <w:rFonts w:ascii="Arial" w:hAnsi="Arial" w:cs="Arial"/>
                <w:b/>
                <w:bCs/>
                <w:sz w:val="24"/>
              </w:rPr>
              <w:t>Average</w:t>
            </w:r>
          </w:p>
          <w:p w:rsidRPr="00C45431" w:rsidR="00CA3DA6" w:rsidP="007945A7" w:rsidRDefault="00CA3DA6" w14:paraId="69C638C1" w14:textId="77777777">
            <w:pPr>
              <w:widowControl/>
              <w:tabs>
                <w:tab w:val="num" w:pos="1080"/>
              </w:tabs>
              <w:jc w:val="center"/>
              <w:rPr>
                <w:rFonts w:ascii="Arial" w:hAnsi="Arial" w:cs="Arial"/>
                <w:b/>
                <w:bCs/>
                <w:sz w:val="24"/>
              </w:rPr>
            </w:pPr>
            <w:r w:rsidRPr="00C45431">
              <w:rPr>
                <w:rFonts w:ascii="Arial" w:hAnsi="Arial" w:cs="Arial"/>
                <w:b/>
                <w:bCs/>
                <w:sz w:val="24"/>
              </w:rPr>
              <w:t>Burden per</w:t>
            </w:r>
          </w:p>
          <w:p w:rsidRPr="00C45431" w:rsidR="00CA3DA6" w:rsidP="007945A7" w:rsidRDefault="00CA3DA6" w14:paraId="69C638C2" w14:textId="77777777">
            <w:pPr>
              <w:widowControl/>
              <w:tabs>
                <w:tab w:val="num" w:pos="1080"/>
              </w:tabs>
              <w:jc w:val="center"/>
              <w:rPr>
                <w:rFonts w:ascii="Arial" w:hAnsi="Arial" w:cs="Arial"/>
                <w:b/>
                <w:bCs/>
                <w:sz w:val="24"/>
              </w:rPr>
            </w:pPr>
            <w:r w:rsidRPr="00C45431">
              <w:rPr>
                <w:rFonts w:ascii="Arial" w:hAnsi="Arial" w:cs="Arial"/>
                <w:b/>
                <w:bCs/>
                <w:sz w:val="24"/>
              </w:rPr>
              <w:t>Response</w:t>
            </w:r>
          </w:p>
          <w:p w:rsidRPr="00C45431" w:rsidR="00CA3DA6" w:rsidP="007945A7" w:rsidRDefault="00CA3DA6" w14:paraId="69C638C3" w14:textId="77777777">
            <w:pPr>
              <w:widowControl/>
              <w:tabs>
                <w:tab w:val="num" w:pos="1080"/>
              </w:tabs>
              <w:jc w:val="center"/>
              <w:rPr>
                <w:rFonts w:ascii="Arial" w:hAnsi="Arial" w:cs="Arial"/>
                <w:b/>
                <w:bCs/>
                <w:sz w:val="24"/>
              </w:rPr>
            </w:pPr>
            <w:r w:rsidRPr="00C45431">
              <w:rPr>
                <w:rFonts w:ascii="Arial" w:hAnsi="Arial" w:cs="Arial"/>
                <w:b/>
                <w:bCs/>
                <w:sz w:val="24"/>
              </w:rPr>
              <w:t>(in hours)</w:t>
            </w:r>
          </w:p>
        </w:tc>
        <w:tc>
          <w:tcPr>
            <w:tcW w:w="1170" w:type="dxa"/>
            <w:vAlign w:val="bottom"/>
          </w:tcPr>
          <w:p w:rsidRPr="00C45431" w:rsidR="00CA3DA6" w:rsidP="007945A7" w:rsidRDefault="00CA3DA6" w14:paraId="69C638C4" w14:textId="77777777">
            <w:pPr>
              <w:widowControl/>
              <w:tabs>
                <w:tab w:val="num" w:pos="1080"/>
              </w:tabs>
              <w:jc w:val="center"/>
              <w:rPr>
                <w:rFonts w:ascii="Arial" w:hAnsi="Arial" w:cs="Arial"/>
                <w:b/>
                <w:bCs/>
                <w:sz w:val="24"/>
              </w:rPr>
            </w:pPr>
            <w:r w:rsidRPr="00C45431">
              <w:rPr>
                <w:rFonts w:ascii="Arial" w:hAnsi="Arial" w:cs="Arial"/>
                <w:b/>
                <w:bCs/>
                <w:sz w:val="24"/>
              </w:rPr>
              <w:t>Total Burden Hours</w:t>
            </w:r>
          </w:p>
        </w:tc>
      </w:tr>
      <w:tr w:rsidRPr="00C45431" w:rsidR="00CA3DA6" w:rsidTr="007945A7" w14:paraId="69C638CC" w14:textId="77777777">
        <w:trPr>
          <w:trHeight w:val="679"/>
        </w:trPr>
        <w:tc>
          <w:tcPr>
            <w:tcW w:w="1603" w:type="dxa"/>
          </w:tcPr>
          <w:p w:rsidRPr="00B46224" w:rsidR="00CA3DA6" w:rsidP="00CA3DA6" w:rsidRDefault="00B46224" w14:paraId="69C638C6" w14:textId="29CAE71D">
            <w:pPr>
              <w:widowControl/>
              <w:tabs>
                <w:tab w:val="num" w:pos="1080"/>
              </w:tabs>
              <w:spacing w:before="120"/>
              <w:rPr>
                <w:rFonts w:ascii="Arial" w:hAnsi="Arial" w:cs="Arial"/>
                <w:bCs/>
                <w:sz w:val="24"/>
              </w:rPr>
            </w:pPr>
            <w:r w:rsidRPr="00B46224">
              <w:rPr>
                <w:rFonts w:ascii="Arial" w:hAnsi="Arial" w:cs="Arial"/>
                <w:bCs/>
                <w:sz w:val="24"/>
              </w:rPr>
              <w:t xml:space="preserve">Grantee Staff </w:t>
            </w:r>
          </w:p>
        </w:tc>
        <w:tc>
          <w:tcPr>
            <w:tcW w:w="1785" w:type="dxa"/>
          </w:tcPr>
          <w:p w:rsidRPr="00B46224" w:rsidR="00CA3DA6" w:rsidP="00CA3DA6" w:rsidRDefault="00B46224" w14:paraId="69C638C7" w14:textId="66896752">
            <w:pPr>
              <w:widowControl/>
              <w:tabs>
                <w:tab w:val="num" w:pos="1080"/>
              </w:tabs>
              <w:spacing w:before="120"/>
              <w:rPr>
                <w:rFonts w:ascii="Arial" w:hAnsi="Arial" w:cs="Arial"/>
                <w:bCs/>
                <w:sz w:val="24"/>
              </w:rPr>
            </w:pPr>
            <w:r w:rsidRPr="00B46224">
              <w:rPr>
                <w:rFonts w:ascii="Arial" w:hAnsi="Arial" w:cs="Arial"/>
                <w:sz w:val="24"/>
              </w:rPr>
              <w:t>Instrument 1: Interview guide for grantee staff</w:t>
            </w:r>
          </w:p>
        </w:tc>
        <w:tc>
          <w:tcPr>
            <w:tcW w:w="1737" w:type="dxa"/>
            <w:vAlign w:val="center"/>
          </w:tcPr>
          <w:p w:rsidRPr="00B46224" w:rsidR="00CA3DA6" w:rsidP="007945A7" w:rsidRDefault="00B46224" w14:paraId="69C638C8" w14:textId="5C955DB1">
            <w:pPr>
              <w:widowControl/>
              <w:tabs>
                <w:tab w:val="num" w:pos="1080"/>
              </w:tabs>
              <w:spacing w:before="120"/>
              <w:jc w:val="right"/>
              <w:rPr>
                <w:rFonts w:ascii="Arial" w:hAnsi="Arial" w:cs="Arial"/>
                <w:bCs/>
                <w:sz w:val="24"/>
              </w:rPr>
            </w:pPr>
            <w:r w:rsidRPr="00B46224">
              <w:rPr>
                <w:rFonts w:ascii="Arial" w:hAnsi="Arial" w:cs="Arial"/>
                <w:sz w:val="24"/>
              </w:rPr>
              <w:t>75</w:t>
            </w:r>
            <w:r w:rsidRPr="00B46224" w:rsidR="00CA3DA6">
              <w:rPr>
                <w:rFonts w:ascii="Arial" w:hAnsi="Arial" w:cs="Arial"/>
                <w:sz w:val="24"/>
              </w:rPr>
              <w:t xml:space="preserve"> </w:t>
            </w:r>
          </w:p>
        </w:tc>
        <w:tc>
          <w:tcPr>
            <w:tcW w:w="1606" w:type="dxa"/>
            <w:vAlign w:val="center"/>
          </w:tcPr>
          <w:p w:rsidRPr="00B46224" w:rsidR="00CA3DA6" w:rsidP="007945A7" w:rsidRDefault="00B46224" w14:paraId="69C638C9" w14:textId="0F427B77">
            <w:pPr>
              <w:widowControl/>
              <w:tabs>
                <w:tab w:val="num" w:pos="1080"/>
              </w:tabs>
              <w:spacing w:before="120"/>
              <w:jc w:val="right"/>
              <w:rPr>
                <w:rFonts w:ascii="Arial" w:hAnsi="Arial" w:cs="Arial"/>
                <w:bCs/>
                <w:sz w:val="24"/>
              </w:rPr>
            </w:pPr>
            <w:r w:rsidRPr="00B46224">
              <w:rPr>
                <w:rFonts w:ascii="Arial" w:hAnsi="Arial" w:cs="Arial"/>
                <w:bCs/>
                <w:sz w:val="24"/>
              </w:rPr>
              <w:t>1</w:t>
            </w:r>
          </w:p>
        </w:tc>
        <w:tc>
          <w:tcPr>
            <w:tcW w:w="1364" w:type="dxa"/>
            <w:vAlign w:val="center"/>
          </w:tcPr>
          <w:p w:rsidRPr="00B46224" w:rsidR="00CA3DA6" w:rsidP="007945A7" w:rsidRDefault="00B46224" w14:paraId="69C638CA" w14:textId="048742E0">
            <w:pPr>
              <w:widowControl/>
              <w:tabs>
                <w:tab w:val="num" w:pos="1080"/>
              </w:tabs>
              <w:spacing w:before="120"/>
              <w:jc w:val="right"/>
              <w:rPr>
                <w:rFonts w:ascii="Arial" w:hAnsi="Arial" w:cs="Arial"/>
                <w:bCs/>
                <w:sz w:val="24"/>
              </w:rPr>
            </w:pPr>
            <w:r w:rsidRPr="00B46224">
              <w:rPr>
                <w:rFonts w:ascii="Arial" w:hAnsi="Arial" w:cs="Arial"/>
                <w:bCs/>
                <w:sz w:val="24"/>
              </w:rPr>
              <w:t>1</w:t>
            </w:r>
          </w:p>
        </w:tc>
        <w:tc>
          <w:tcPr>
            <w:tcW w:w="1170" w:type="dxa"/>
            <w:vAlign w:val="center"/>
          </w:tcPr>
          <w:p w:rsidRPr="00B46224" w:rsidR="00CA3DA6" w:rsidP="007945A7" w:rsidRDefault="00B46224" w14:paraId="69C638CB" w14:textId="5EDFF673">
            <w:pPr>
              <w:widowControl/>
              <w:tabs>
                <w:tab w:val="num" w:pos="1080"/>
              </w:tabs>
              <w:spacing w:before="120"/>
              <w:jc w:val="right"/>
              <w:rPr>
                <w:rFonts w:ascii="Arial" w:hAnsi="Arial" w:cs="Arial"/>
                <w:bCs/>
                <w:sz w:val="24"/>
              </w:rPr>
            </w:pPr>
            <w:r w:rsidRPr="00B46224">
              <w:rPr>
                <w:rFonts w:ascii="Arial" w:hAnsi="Arial" w:cs="Arial"/>
                <w:bCs/>
                <w:sz w:val="24"/>
              </w:rPr>
              <w:t>75</w:t>
            </w:r>
          </w:p>
        </w:tc>
      </w:tr>
      <w:tr w:rsidRPr="00C45431" w:rsidR="00CA3DA6" w:rsidTr="007945A7" w14:paraId="69C638D4" w14:textId="77777777">
        <w:trPr>
          <w:trHeight w:val="800"/>
        </w:trPr>
        <w:tc>
          <w:tcPr>
            <w:tcW w:w="1603" w:type="dxa"/>
          </w:tcPr>
          <w:p w:rsidRPr="00B46224" w:rsidR="00CA3DA6" w:rsidP="00CA3DA6" w:rsidRDefault="00B46224" w14:paraId="69C638CD" w14:textId="14287A10">
            <w:pPr>
              <w:widowControl/>
              <w:tabs>
                <w:tab w:val="num" w:pos="1080"/>
              </w:tabs>
              <w:spacing w:before="120"/>
              <w:rPr>
                <w:rFonts w:ascii="Arial" w:hAnsi="Arial" w:cs="Arial"/>
                <w:bCs/>
                <w:sz w:val="24"/>
              </w:rPr>
            </w:pPr>
            <w:r w:rsidRPr="00B46224">
              <w:rPr>
                <w:rFonts w:ascii="Arial" w:hAnsi="Arial" w:cs="Arial"/>
                <w:bCs/>
                <w:sz w:val="24"/>
              </w:rPr>
              <w:t>Federal Project Officers</w:t>
            </w:r>
          </w:p>
        </w:tc>
        <w:tc>
          <w:tcPr>
            <w:tcW w:w="1785" w:type="dxa"/>
          </w:tcPr>
          <w:p w:rsidRPr="00B46224" w:rsidR="00CA3DA6" w:rsidP="00CA3DA6" w:rsidRDefault="00B46224" w14:paraId="69C638CE" w14:textId="16E0E3BF">
            <w:pPr>
              <w:widowControl/>
              <w:tabs>
                <w:tab w:val="num" w:pos="1080"/>
              </w:tabs>
              <w:spacing w:before="120"/>
              <w:rPr>
                <w:rFonts w:ascii="Arial" w:hAnsi="Arial" w:cs="Arial"/>
                <w:bCs/>
                <w:sz w:val="24"/>
              </w:rPr>
            </w:pPr>
            <w:r w:rsidRPr="00B46224">
              <w:rPr>
                <w:rFonts w:ascii="Arial" w:hAnsi="Arial" w:cs="Arial"/>
                <w:bCs/>
                <w:sz w:val="24"/>
              </w:rPr>
              <w:t>Instrument 2: Interview guide for HRSA POs</w:t>
            </w:r>
          </w:p>
        </w:tc>
        <w:tc>
          <w:tcPr>
            <w:tcW w:w="1737" w:type="dxa"/>
            <w:vAlign w:val="center"/>
          </w:tcPr>
          <w:p w:rsidRPr="00B46224" w:rsidR="00CA3DA6" w:rsidP="007945A7" w:rsidRDefault="00B46224" w14:paraId="69C638CF" w14:textId="3454BC09">
            <w:pPr>
              <w:widowControl/>
              <w:tabs>
                <w:tab w:val="num" w:pos="1080"/>
              </w:tabs>
              <w:spacing w:before="120"/>
              <w:jc w:val="right"/>
              <w:rPr>
                <w:rFonts w:ascii="Arial" w:hAnsi="Arial" w:cs="Arial"/>
                <w:bCs/>
                <w:sz w:val="24"/>
              </w:rPr>
            </w:pPr>
            <w:r w:rsidRPr="00B46224">
              <w:rPr>
                <w:rFonts w:ascii="Arial" w:hAnsi="Arial" w:cs="Arial"/>
                <w:bCs/>
                <w:sz w:val="24"/>
              </w:rPr>
              <w:t>7</w:t>
            </w:r>
          </w:p>
        </w:tc>
        <w:tc>
          <w:tcPr>
            <w:tcW w:w="1606" w:type="dxa"/>
            <w:vAlign w:val="center"/>
          </w:tcPr>
          <w:p w:rsidRPr="00B46224" w:rsidR="00CA3DA6" w:rsidP="007945A7" w:rsidRDefault="00B46224" w14:paraId="69C638D0" w14:textId="0DDDC104">
            <w:pPr>
              <w:widowControl/>
              <w:tabs>
                <w:tab w:val="num" w:pos="1080"/>
              </w:tabs>
              <w:spacing w:before="120"/>
              <w:jc w:val="right"/>
              <w:rPr>
                <w:rFonts w:ascii="Arial" w:hAnsi="Arial" w:cs="Arial"/>
                <w:bCs/>
                <w:sz w:val="24"/>
              </w:rPr>
            </w:pPr>
            <w:r w:rsidRPr="00B46224">
              <w:rPr>
                <w:rFonts w:ascii="Arial" w:hAnsi="Arial" w:cs="Arial"/>
                <w:bCs/>
                <w:sz w:val="24"/>
              </w:rPr>
              <w:t>1</w:t>
            </w:r>
          </w:p>
        </w:tc>
        <w:tc>
          <w:tcPr>
            <w:tcW w:w="1364" w:type="dxa"/>
            <w:vAlign w:val="center"/>
          </w:tcPr>
          <w:p w:rsidRPr="00B46224" w:rsidR="00CA3DA6" w:rsidP="007945A7" w:rsidRDefault="00B46224" w14:paraId="69C638D1" w14:textId="541D3928">
            <w:pPr>
              <w:widowControl/>
              <w:tabs>
                <w:tab w:val="num" w:pos="1080"/>
              </w:tabs>
              <w:spacing w:before="120"/>
              <w:jc w:val="right"/>
              <w:rPr>
                <w:rFonts w:ascii="Arial" w:hAnsi="Arial" w:cs="Arial"/>
                <w:bCs/>
                <w:sz w:val="24"/>
              </w:rPr>
            </w:pPr>
            <w:r w:rsidRPr="00B46224">
              <w:rPr>
                <w:rFonts w:ascii="Arial" w:hAnsi="Arial" w:cs="Arial"/>
                <w:bCs/>
                <w:sz w:val="24"/>
              </w:rPr>
              <w:t>1.5</w:t>
            </w:r>
          </w:p>
        </w:tc>
        <w:tc>
          <w:tcPr>
            <w:tcW w:w="1170" w:type="dxa"/>
            <w:vAlign w:val="center"/>
          </w:tcPr>
          <w:p w:rsidRPr="00B46224" w:rsidR="00CA3DA6" w:rsidP="007945A7" w:rsidRDefault="00B46224" w14:paraId="69C638D3" w14:textId="50FE7304">
            <w:pPr>
              <w:widowControl/>
              <w:tabs>
                <w:tab w:val="num" w:pos="1080"/>
              </w:tabs>
              <w:spacing w:before="120"/>
              <w:jc w:val="right"/>
              <w:rPr>
                <w:rFonts w:ascii="Arial" w:hAnsi="Arial" w:cs="Arial"/>
                <w:bCs/>
                <w:sz w:val="24"/>
              </w:rPr>
            </w:pPr>
            <w:r w:rsidRPr="00B46224">
              <w:rPr>
                <w:rFonts w:ascii="Arial" w:hAnsi="Arial" w:cs="Arial"/>
                <w:bCs/>
                <w:sz w:val="24"/>
              </w:rPr>
              <w:t>10.5</w:t>
            </w:r>
          </w:p>
        </w:tc>
      </w:tr>
      <w:tr w:rsidRPr="00C45431" w:rsidR="00B46224" w:rsidTr="007945A7" w14:paraId="47027587" w14:textId="77777777">
        <w:trPr>
          <w:trHeight w:val="800"/>
        </w:trPr>
        <w:tc>
          <w:tcPr>
            <w:tcW w:w="1603" w:type="dxa"/>
          </w:tcPr>
          <w:p w:rsidRPr="00B46224" w:rsidR="00B46224" w:rsidP="00CA3DA6" w:rsidRDefault="00B46224" w14:paraId="13811122" w14:textId="7A2B1182">
            <w:pPr>
              <w:widowControl/>
              <w:tabs>
                <w:tab w:val="num" w:pos="1080"/>
              </w:tabs>
              <w:spacing w:before="120"/>
              <w:rPr>
                <w:rFonts w:ascii="Arial" w:hAnsi="Arial" w:cs="Arial"/>
                <w:bCs/>
                <w:sz w:val="24"/>
              </w:rPr>
            </w:pPr>
            <w:r w:rsidRPr="00B46224">
              <w:rPr>
                <w:rFonts w:ascii="Arial" w:hAnsi="Arial" w:cs="Arial"/>
                <w:bCs/>
                <w:sz w:val="24"/>
              </w:rPr>
              <w:t>Grantee Partners</w:t>
            </w:r>
          </w:p>
        </w:tc>
        <w:tc>
          <w:tcPr>
            <w:tcW w:w="1785" w:type="dxa"/>
          </w:tcPr>
          <w:p w:rsidRPr="00B46224" w:rsidR="00B46224" w:rsidP="00CA3DA6" w:rsidRDefault="00B46224" w14:paraId="597AFBD3" w14:textId="739A26B6">
            <w:pPr>
              <w:widowControl/>
              <w:tabs>
                <w:tab w:val="num" w:pos="1080"/>
              </w:tabs>
              <w:spacing w:before="120"/>
              <w:rPr>
                <w:rFonts w:ascii="Arial" w:hAnsi="Arial" w:cs="Arial"/>
                <w:bCs/>
                <w:sz w:val="24"/>
              </w:rPr>
            </w:pPr>
            <w:r w:rsidRPr="00B46224">
              <w:rPr>
                <w:rFonts w:ascii="Arial" w:hAnsi="Arial" w:cs="Arial"/>
                <w:bCs/>
                <w:sz w:val="24"/>
              </w:rPr>
              <w:t>Instrument 3: Partnership Survey</w:t>
            </w:r>
          </w:p>
        </w:tc>
        <w:tc>
          <w:tcPr>
            <w:tcW w:w="1737" w:type="dxa"/>
            <w:vAlign w:val="center"/>
          </w:tcPr>
          <w:p w:rsidRPr="00B46224" w:rsidR="00B46224" w:rsidP="007945A7" w:rsidRDefault="00B46224" w14:paraId="5E1BA983" w14:textId="31BE6842">
            <w:pPr>
              <w:widowControl/>
              <w:tabs>
                <w:tab w:val="num" w:pos="1080"/>
              </w:tabs>
              <w:spacing w:before="120"/>
              <w:jc w:val="right"/>
              <w:rPr>
                <w:rFonts w:ascii="Arial" w:hAnsi="Arial" w:cs="Arial"/>
                <w:bCs/>
                <w:sz w:val="24"/>
              </w:rPr>
            </w:pPr>
            <w:r w:rsidRPr="00B46224">
              <w:rPr>
                <w:rFonts w:ascii="Arial" w:hAnsi="Arial" w:cs="Arial"/>
                <w:bCs/>
                <w:sz w:val="24"/>
              </w:rPr>
              <w:t>290</w:t>
            </w:r>
          </w:p>
        </w:tc>
        <w:tc>
          <w:tcPr>
            <w:tcW w:w="1606" w:type="dxa"/>
            <w:vAlign w:val="center"/>
          </w:tcPr>
          <w:p w:rsidRPr="00B46224" w:rsidR="00B46224" w:rsidP="007945A7" w:rsidRDefault="00B46224" w14:paraId="6642FAF4" w14:textId="485C094E">
            <w:pPr>
              <w:widowControl/>
              <w:tabs>
                <w:tab w:val="num" w:pos="1080"/>
              </w:tabs>
              <w:spacing w:before="120"/>
              <w:jc w:val="right"/>
              <w:rPr>
                <w:rFonts w:ascii="Arial" w:hAnsi="Arial" w:cs="Arial"/>
                <w:bCs/>
                <w:sz w:val="24"/>
              </w:rPr>
            </w:pPr>
            <w:r w:rsidRPr="00B46224">
              <w:rPr>
                <w:rFonts w:ascii="Arial" w:hAnsi="Arial" w:cs="Arial"/>
                <w:bCs/>
                <w:sz w:val="24"/>
              </w:rPr>
              <w:t>1</w:t>
            </w:r>
          </w:p>
        </w:tc>
        <w:tc>
          <w:tcPr>
            <w:tcW w:w="1364" w:type="dxa"/>
            <w:vAlign w:val="center"/>
          </w:tcPr>
          <w:p w:rsidRPr="00B46224" w:rsidR="00B46224" w:rsidP="007945A7" w:rsidRDefault="007945A7" w14:paraId="32A23FDA" w14:textId="1A688BEC">
            <w:pPr>
              <w:widowControl/>
              <w:tabs>
                <w:tab w:val="num" w:pos="1080"/>
              </w:tabs>
              <w:spacing w:before="120"/>
              <w:jc w:val="right"/>
              <w:rPr>
                <w:rFonts w:ascii="Arial" w:hAnsi="Arial" w:cs="Arial"/>
                <w:bCs/>
                <w:sz w:val="24"/>
              </w:rPr>
            </w:pPr>
            <w:r>
              <w:rPr>
                <w:rFonts w:ascii="Arial" w:hAnsi="Arial" w:cs="Arial"/>
                <w:bCs/>
                <w:sz w:val="24"/>
              </w:rPr>
              <w:t>.25</w:t>
            </w:r>
          </w:p>
        </w:tc>
        <w:tc>
          <w:tcPr>
            <w:tcW w:w="1170" w:type="dxa"/>
            <w:vAlign w:val="center"/>
          </w:tcPr>
          <w:p w:rsidRPr="00B46224" w:rsidR="00B46224" w:rsidP="007945A7" w:rsidRDefault="00B46224" w14:paraId="1578668A" w14:textId="4C8F471B">
            <w:pPr>
              <w:widowControl/>
              <w:tabs>
                <w:tab w:val="num" w:pos="1080"/>
              </w:tabs>
              <w:spacing w:before="120"/>
              <w:jc w:val="right"/>
              <w:rPr>
                <w:rFonts w:ascii="Arial" w:hAnsi="Arial" w:cs="Arial"/>
                <w:bCs/>
                <w:sz w:val="24"/>
              </w:rPr>
            </w:pPr>
            <w:r w:rsidRPr="00B46224">
              <w:rPr>
                <w:rFonts w:ascii="Arial" w:hAnsi="Arial" w:cs="Arial"/>
                <w:bCs/>
                <w:sz w:val="24"/>
              </w:rPr>
              <w:t>72.5</w:t>
            </w:r>
          </w:p>
        </w:tc>
      </w:tr>
      <w:tr w:rsidRPr="00C45431" w:rsidR="00B46224" w:rsidTr="007945A7" w14:paraId="3F1094D9" w14:textId="77777777">
        <w:trPr>
          <w:trHeight w:val="800"/>
        </w:trPr>
        <w:tc>
          <w:tcPr>
            <w:tcW w:w="1603" w:type="dxa"/>
          </w:tcPr>
          <w:p w:rsidRPr="00B46224" w:rsidR="00B46224" w:rsidP="00CA3DA6" w:rsidRDefault="00934D50" w14:paraId="3DF7B569" w14:textId="07C89B35">
            <w:pPr>
              <w:widowControl/>
              <w:tabs>
                <w:tab w:val="num" w:pos="1080"/>
              </w:tabs>
              <w:spacing w:before="120"/>
              <w:rPr>
                <w:rFonts w:ascii="Arial" w:hAnsi="Arial" w:cs="Arial"/>
                <w:bCs/>
                <w:sz w:val="24"/>
              </w:rPr>
            </w:pPr>
            <w:r>
              <w:rPr>
                <w:rFonts w:ascii="Arial" w:hAnsi="Arial" w:cs="Arial"/>
                <w:bCs/>
                <w:sz w:val="24"/>
              </w:rPr>
              <w:t>Grantee S</w:t>
            </w:r>
            <w:r w:rsidRPr="00B46224" w:rsidR="00B46224">
              <w:rPr>
                <w:rFonts w:ascii="Arial" w:hAnsi="Arial" w:cs="Arial"/>
                <w:bCs/>
                <w:sz w:val="24"/>
              </w:rPr>
              <w:t>taff</w:t>
            </w:r>
          </w:p>
        </w:tc>
        <w:tc>
          <w:tcPr>
            <w:tcW w:w="1785" w:type="dxa"/>
          </w:tcPr>
          <w:p w:rsidRPr="00B46224" w:rsidR="00B46224" w:rsidP="00CA3DA6" w:rsidRDefault="00B46224" w14:paraId="62F75C27" w14:textId="57E62CE2">
            <w:pPr>
              <w:widowControl/>
              <w:tabs>
                <w:tab w:val="num" w:pos="1080"/>
              </w:tabs>
              <w:spacing w:before="120"/>
              <w:rPr>
                <w:rFonts w:ascii="Arial" w:hAnsi="Arial" w:cs="Arial"/>
                <w:bCs/>
                <w:sz w:val="24"/>
              </w:rPr>
            </w:pPr>
            <w:r w:rsidRPr="00B46224">
              <w:rPr>
                <w:rFonts w:ascii="Arial" w:hAnsi="Arial" w:cs="Arial"/>
                <w:bCs/>
                <w:sz w:val="24"/>
              </w:rPr>
              <w:t>Instrument 4: Web-based data collection tool</w:t>
            </w:r>
          </w:p>
        </w:tc>
        <w:tc>
          <w:tcPr>
            <w:tcW w:w="1737" w:type="dxa"/>
            <w:vAlign w:val="center"/>
          </w:tcPr>
          <w:p w:rsidRPr="00B46224" w:rsidR="00B46224" w:rsidP="007945A7" w:rsidRDefault="00B46224" w14:paraId="46972A4C" w14:textId="70B26E49">
            <w:pPr>
              <w:widowControl/>
              <w:tabs>
                <w:tab w:val="num" w:pos="1080"/>
              </w:tabs>
              <w:spacing w:before="120"/>
              <w:jc w:val="right"/>
              <w:rPr>
                <w:rFonts w:ascii="Arial" w:hAnsi="Arial" w:cs="Arial"/>
                <w:bCs/>
                <w:sz w:val="24"/>
              </w:rPr>
            </w:pPr>
            <w:r w:rsidRPr="00B46224">
              <w:rPr>
                <w:rFonts w:ascii="Arial" w:hAnsi="Arial" w:cs="Arial"/>
                <w:bCs/>
                <w:sz w:val="24"/>
              </w:rPr>
              <w:t>15</w:t>
            </w:r>
          </w:p>
        </w:tc>
        <w:tc>
          <w:tcPr>
            <w:tcW w:w="1606" w:type="dxa"/>
            <w:vAlign w:val="center"/>
          </w:tcPr>
          <w:p w:rsidRPr="00B46224" w:rsidR="00B46224" w:rsidP="007945A7" w:rsidRDefault="00B46224" w14:paraId="303E6F31" w14:textId="083DDD36">
            <w:pPr>
              <w:widowControl/>
              <w:tabs>
                <w:tab w:val="num" w:pos="1080"/>
              </w:tabs>
              <w:spacing w:before="120"/>
              <w:jc w:val="right"/>
              <w:rPr>
                <w:rFonts w:ascii="Arial" w:hAnsi="Arial" w:cs="Arial"/>
                <w:bCs/>
                <w:sz w:val="24"/>
              </w:rPr>
            </w:pPr>
            <w:r w:rsidRPr="00B46224">
              <w:rPr>
                <w:rFonts w:ascii="Arial" w:hAnsi="Arial" w:cs="Arial"/>
                <w:bCs/>
                <w:sz w:val="24"/>
              </w:rPr>
              <w:t>1</w:t>
            </w:r>
          </w:p>
        </w:tc>
        <w:tc>
          <w:tcPr>
            <w:tcW w:w="1364" w:type="dxa"/>
            <w:vAlign w:val="center"/>
          </w:tcPr>
          <w:p w:rsidRPr="00B46224" w:rsidR="00B46224" w:rsidP="007945A7" w:rsidRDefault="007945A7" w14:paraId="663C6C83" w14:textId="4C879B71">
            <w:pPr>
              <w:widowControl/>
              <w:tabs>
                <w:tab w:val="num" w:pos="1080"/>
              </w:tabs>
              <w:spacing w:before="120"/>
              <w:jc w:val="right"/>
              <w:rPr>
                <w:rFonts w:ascii="Arial" w:hAnsi="Arial" w:cs="Arial"/>
                <w:bCs/>
                <w:sz w:val="24"/>
              </w:rPr>
            </w:pPr>
            <w:r>
              <w:rPr>
                <w:rFonts w:ascii="Arial" w:hAnsi="Arial" w:cs="Arial"/>
                <w:bCs/>
                <w:sz w:val="24"/>
              </w:rPr>
              <w:t>.50</w:t>
            </w:r>
          </w:p>
        </w:tc>
        <w:tc>
          <w:tcPr>
            <w:tcW w:w="1170" w:type="dxa"/>
            <w:vAlign w:val="center"/>
          </w:tcPr>
          <w:p w:rsidRPr="00B46224" w:rsidR="00B46224" w:rsidP="007945A7" w:rsidRDefault="00B46224" w14:paraId="371BC2E5" w14:textId="2FA7AACE">
            <w:pPr>
              <w:widowControl/>
              <w:tabs>
                <w:tab w:val="num" w:pos="1080"/>
              </w:tabs>
              <w:spacing w:before="120"/>
              <w:jc w:val="right"/>
              <w:rPr>
                <w:rFonts w:ascii="Arial" w:hAnsi="Arial" w:cs="Arial"/>
                <w:bCs/>
                <w:sz w:val="24"/>
              </w:rPr>
            </w:pPr>
            <w:r w:rsidRPr="00B46224">
              <w:rPr>
                <w:rFonts w:ascii="Arial" w:hAnsi="Arial" w:cs="Arial"/>
                <w:bCs/>
                <w:sz w:val="24"/>
              </w:rPr>
              <w:t>7.5</w:t>
            </w:r>
          </w:p>
        </w:tc>
      </w:tr>
      <w:tr w:rsidRPr="00C45431" w:rsidR="00CA3DA6" w:rsidTr="00541DAB" w14:paraId="69C638DC" w14:textId="77777777">
        <w:trPr>
          <w:trHeight w:val="70"/>
        </w:trPr>
        <w:tc>
          <w:tcPr>
            <w:tcW w:w="1603" w:type="dxa"/>
            <w:vAlign w:val="center"/>
          </w:tcPr>
          <w:p w:rsidRPr="00C45431" w:rsidR="00CA3DA6" w:rsidP="007945A7" w:rsidRDefault="00CA3DA6" w14:paraId="69C638D5" w14:textId="77777777">
            <w:pPr>
              <w:widowControl/>
              <w:tabs>
                <w:tab w:val="num" w:pos="1080"/>
              </w:tabs>
              <w:spacing w:before="120"/>
              <w:rPr>
                <w:rFonts w:ascii="Arial" w:hAnsi="Arial" w:cs="Arial"/>
                <w:b/>
                <w:bCs/>
                <w:sz w:val="24"/>
              </w:rPr>
            </w:pPr>
            <w:r w:rsidRPr="00C45431">
              <w:rPr>
                <w:rFonts w:ascii="Arial" w:hAnsi="Arial" w:cs="Arial"/>
                <w:b/>
                <w:bCs/>
                <w:sz w:val="24"/>
              </w:rPr>
              <w:t>Total</w:t>
            </w:r>
          </w:p>
        </w:tc>
        <w:tc>
          <w:tcPr>
            <w:tcW w:w="1785" w:type="dxa"/>
          </w:tcPr>
          <w:p w:rsidRPr="00C45431" w:rsidR="00CA3DA6" w:rsidP="00CA3DA6" w:rsidRDefault="00CA3DA6" w14:paraId="69C638D6" w14:textId="77777777">
            <w:pPr>
              <w:widowControl/>
              <w:tabs>
                <w:tab w:val="num" w:pos="1080"/>
              </w:tabs>
              <w:spacing w:before="120"/>
              <w:rPr>
                <w:rFonts w:ascii="Arial" w:hAnsi="Arial" w:cs="Arial"/>
                <w:sz w:val="24"/>
              </w:rPr>
            </w:pPr>
          </w:p>
        </w:tc>
        <w:tc>
          <w:tcPr>
            <w:tcW w:w="1737" w:type="dxa"/>
            <w:vAlign w:val="center"/>
          </w:tcPr>
          <w:p w:rsidRPr="00C45431" w:rsidR="00CA3DA6" w:rsidP="007945A7" w:rsidRDefault="00677A6B" w14:paraId="69C638D7" w14:textId="2C448966">
            <w:pPr>
              <w:widowControl/>
              <w:tabs>
                <w:tab w:val="num" w:pos="1080"/>
              </w:tabs>
              <w:spacing w:before="120"/>
              <w:jc w:val="right"/>
              <w:rPr>
                <w:rFonts w:ascii="Arial" w:hAnsi="Arial" w:cs="Arial"/>
                <w:sz w:val="24"/>
              </w:rPr>
            </w:pPr>
            <w:r>
              <w:rPr>
                <w:rFonts w:ascii="Arial" w:hAnsi="Arial" w:cs="Arial"/>
                <w:sz w:val="24"/>
              </w:rPr>
              <w:t>387</w:t>
            </w:r>
          </w:p>
        </w:tc>
        <w:tc>
          <w:tcPr>
            <w:tcW w:w="1606" w:type="dxa"/>
            <w:vAlign w:val="center"/>
          </w:tcPr>
          <w:p w:rsidRPr="00C45431" w:rsidR="00CA3DA6" w:rsidP="007945A7" w:rsidRDefault="00CA3DA6" w14:paraId="69C638D8" w14:textId="77777777">
            <w:pPr>
              <w:widowControl/>
              <w:tabs>
                <w:tab w:val="num" w:pos="1080"/>
              </w:tabs>
              <w:spacing w:before="120"/>
              <w:jc w:val="right"/>
              <w:rPr>
                <w:rFonts w:ascii="Arial" w:hAnsi="Arial" w:cs="Arial"/>
                <w:sz w:val="24"/>
              </w:rPr>
            </w:pPr>
          </w:p>
        </w:tc>
        <w:tc>
          <w:tcPr>
            <w:tcW w:w="1364" w:type="dxa"/>
            <w:vAlign w:val="center"/>
          </w:tcPr>
          <w:p w:rsidRPr="00C45431" w:rsidR="00CA3DA6" w:rsidP="007945A7" w:rsidRDefault="00CA3DA6" w14:paraId="69C638D9" w14:textId="77777777">
            <w:pPr>
              <w:widowControl/>
              <w:tabs>
                <w:tab w:val="num" w:pos="1080"/>
              </w:tabs>
              <w:spacing w:before="120"/>
              <w:jc w:val="right"/>
              <w:rPr>
                <w:rFonts w:ascii="Arial" w:hAnsi="Arial" w:cs="Arial"/>
                <w:sz w:val="24"/>
              </w:rPr>
            </w:pPr>
          </w:p>
        </w:tc>
        <w:tc>
          <w:tcPr>
            <w:tcW w:w="1170" w:type="dxa"/>
            <w:vAlign w:val="center"/>
          </w:tcPr>
          <w:p w:rsidRPr="00AE13DD" w:rsidR="00CA3DA6" w:rsidP="007945A7" w:rsidRDefault="00677A6B" w14:paraId="69C638DB" w14:textId="2474BB39">
            <w:pPr>
              <w:widowControl/>
              <w:tabs>
                <w:tab w:val="num" w:pos="1080"/>
              </w:tabs>
              <w:spacing w:before="120"/>
              <w:jc w:val="right"/>
              <w:rPr>
                <w:rFonts w:ascii="Arial" w:hAnsi="Arial" w:cs="Arial"/>
                <w:b/>
                <w:sz w:val="24"/>
              </w:rPr>
            </w:pPr>
            <w:r w:rsidRPr="00AE13DD">
              <w:rPr>
                <w:rFonts w:ascii="Arial" w:hAnsi="Arial" w:cs="Arial"/>
                <w:b/>
                <w:sz w:val="24"/>
              </w:rPr>
              <w:t>165.5</w:t>
            </w:r>
          </w:p>
        </w:tc>
      </w:tr>
    </w:tbl>
    <w:p w:rsidRPr="00C45431" w:rsidR="009B3794" w:rsidP="00CA3DA6" w:rsidRDefault="009B3794" w14:paraId="69C638DD" w14:textId="77777777">
      <w:pPr>
        <w:widowControl/>
        <w:tabs>
          <w:tab w:val="num" w:pos="1080"/>
        </w:tabs>
        <w:spacing w:before="120"/>
        <w:rPr>
          <w:rFonts w:ascii="Arial" w:hAnsi="Arial" w:cs="Arial"/>
          <w:b/>
          <w:bCs/>
          <w:sz w:val="24"/>
        </w:rPr>
      </w:pPr>
    </w:p>
    <w:p w:rsidRPr="00C45431" w:rsidR="00D92E1D" w:rsidP="00CA3DA6" w:rsidRDefault="009B3794" w14:paraId="69C638E6" w14:textId="77777777">
      <w:pPr>
        <w:widowControl/>
        <w:spacing w:before="120"/>
        <w:rPr>
          <w:rFonts w:ascii="Arial" w:hAnsi="Arial" w:cs="Arial"/>
          <w:sz w:val="28"/>
          <w:szCs w:val="28"/>
        </w:rPr>
      </w:pPr>
      <w:r w:rsidRPr="00C45431">
        <w:rPr>
          <w:rFonts w:ascii="Arial" w:hAnsi="Arial" w:cs="Arial"/>
          <w:b/>
          <w:sz w:val="28"/>
          <w:szCs w:val="28"/>
        </w:rPr>
        <w:t>12B</w:t>
      </w:r>
      <w:r w:rsidRPr="00C45431">
        <w:rPr>
          <w:rFonts w:ascii="Arial" w:hAnsi="Arial" w:cs="Arial"/>
          <w:sz w:val="28"/>
          <w:szCs w:val="28"/>
        </w:rPr>
        <w:t xml:space="preserve">.  </w:t>
      </w:r>
    </w:p>
    <w:p w:rsidR="00934D50" w:rsidP="00934D50" w:rsidRDefault="00934D50" w14:paraId="218407D1" w14:textId="2C33C0B0">
      <w:pPr>
        <w:widowControl/>
        <w:spacing w:before="120"/>
        <w:rPr>
          <w:rFonts w:ascii="Arial" w:hAnsi="Arial" w:cs="Arial"/>
          <w:sz w:val="24"/>
        </w:rPr>
      </w:pPr>
      <w:r>
        <w:rPr>
          <w:rFonts w:ascii="Arial" w:hAnsi="Arial" w:cs="Arial"/>
          <w:sz w:val="24"/>
        </w:rPr>
        <w:t>Hourly wage rates were determined using the Department of La</w:t>
      </w:r>
      <w:r w:rsidR="00041359">
        <w:rPr>
          <w:rFonts w:ascii="Arial" w:hAnsi="Arial" w:cs="Arial"/>
          <w:sz w:val="24"/>
        </w:rPr>
        <w:t xml:space="preserve">bor website. </w:t>
      </w:r>
      <w:r w:rsidR="001D1885">
        <w:rPr>
          <w:rFonts w:ascii="Arial" w:hAnsi="Arial" w:cs="Arial"/>
          <w:sz w:val="24"/>
        </w:rPr>
        <w:t xml:space="preserve"> </w:t>
      </w:r>
      <w:r w:rsidR="00041359">
        <w:rPr>
          <w:rFonts w:ascii="Arial" w:hAnsi="Arial" w:cs="Arial"/>
          <w:sz w:val="24"/>
        </w:rPr>
        <w:t>For grantee interviews</w:t>
      </w:r>
      <w:r w:rsidR="00284CE2">
        <w:rPr>
          <w:rFonts w:ascii="Arial" w:hAnsi="Arial" w:cs="Arial"/>
          <w:sz w:val="24"/>
        </w:rPr>
        <w:t xml:space="preserve"> and partnership interview respondents</w:t>
      </w:r>
      <w:r w:rsidR="00041359">
        <w:rPr>
          <w:rFonts w:ascii="Arial" w:hAnsi="Arial" w:cs="Arial"/>
          <w:sz w:val="24"/>
        </w:rPr>
        <w:t xml:space="preserve">, we use the mean hourly age </w:t>
      </w:r>
      <w:r w:rsidR="00041359">
        <w:rPr>
          <w:rFonts w:ascii="Arial" w:hAnsi="Arial" w:cs="Arial"/>
          <w:sz w:val="24"/>
        </w:rPr>
        <w:lastRenderedPageBreak/>
        <w:t>of Medical and Health Services Man</w:t>
      </w:r>
      <w:r w:rsidR="00294C92">
        <w:rPr>
          <w:rFonts w:ascii="Arial" w:hAnsi="Arial" w:cs="Arial"/>
          <w:sz w:val="24"/>
        </w:rPr>
        <w:t>a</w:t>
      </w:r>
      <w:r w:rsidR="00041359">
        <w:rPr>
          <w:rFonts w:ascii="Arial" w:hAnsi="Arial" w:cs="Arial"/>
          <w:sz w:val="24"/>
        </w:rPr>
        <w:t>gers.</w:t>
      </w:r>
      <w:r w:rsidRPr="00596091" w:rsidR="00041359">
        <w:rPr>
          <w:rStyle w:val="FootnoteReference"/>
          <w:rFonts w:ascii="Arial" w:hAnsi="Arial" w:cs="Arial"/>
          <w:sz w:val="24"/>
          <w:vertAlign w:val="superscript"/>
        </w:rPr>
        <w:footnoteReference w:id="6"/>
      </w:r>
      <w:r w:rsidR="00041359">
        <w:rPr>
          <w:rFonts w:ascii="Arial" w:hAnsi="Arial" w:cs="Arial"/>
          <w:sz w:val="24"/>
        </w:rPr>
        <w:t xml:space="preserve"> </w:t>
      </w:r>
      <w:r w:rsidR="00541DAB">
        <w:rPr>
          <w:rFonts w:ascii="Arial" w:hAnsi="Arial" w:cs="Arial"/>
          <w:sz w:val="24"/>
        </w:rPr>
        <w:t xml:space="preserve"> </w:t>
      </w:r>
      <w:r w:rsidR="00284CE2">
        <w:rPr>
          <w:rFonts w:ascii="Arial" w:hAnsi="Arial" w:cs="Arial"/>
          <w:sz w:val="24"/>
        </w:rPr>
        <w:t xml:space="preserve">For the web-based data collection tool, we use the mean hourly wage of </w:t>
      </w:r>
      <w:r w:rsidRPr="00284CE2" w:rsidR="00284CE2">
        <w:rPr>
          <w:rFonts w:ascii="Arial" w:hAnsi="Arial" w:cs="Arial"/>
          <w:sz w:val="24"/>
        </w:rPr>
        <w:t>Social and Community Service Managers</w:t>
      </w:r>
      <w:r w:rsidR="00284CE2">
        <w:rPr>
          <w:rFonts w:ascii="Arial" w:hAnsi="Arial" w:cs="Arial"/>
          <w:sz w:val="24"/>
        </w:rPr>
        <w:t>.</w:t>
      </w:r>
      <w:r w:rsidRPr="00284CE2" w:rsidR="00284CE2">
        <w:rPr>
          <w:rStyle w:val="FootnoteReference"/>
          <w:rFonts w:ascii="Arial" w:hAnsi="Arial" w:cs="Arial"/>
          <w:sz w:val="24"/>
          <w:vertAlign w:val="superscript"/>
        </w:rPr>
        <w:footnoteReference w:id="7"/>
      </w:r>
      <w:r w:rsidR="00284CE2">
        <w:rPr>
          <w:rFonts w:ascii="Arial" w:hAnsi="Arial" w:cs="Arial"/>
          <w:sz w:val="24"/>
        </w:rPr>
        <w:t xml:space="preserve"> </w:t>
      </w:r>
    </w:p>
    <w:p w:rsidR="00804D31" w:rsidP="00804D31" w:rsidRDefault="00FB234C" w14:paraId="3A2224B4" w14:textId="77777777">
      <w:pPr>
        <w:widowControl/>
        <w:spacing w:before="120"/>
        <w:rPr>
          <w:rFonts w:ascii="Arial" w:hAnsi="Arial" w:cs="Arial"/>
          <w:sz w:val="24"/>
        </w:rPr>
      </w:pPr>
      <w:r>
        <w:rPr>
          <w:rFonts w:ascii="Arial" w:hAnsi="Arial" w:cs="Arial"/>
          <w:sz w:val="24"/>
        </w:rPr>
        <w:t>For federal project officers, we used the hourly rate for a GS-13 employee in the Washington, DC, area.</w:t>
      </w:r>
      <w:r w:rsidRPr="00FB234C">
        <w:rPr>
          <w:rStyle w:val="FootnoteReference"/>
          <w:rFonts w:ascii="Arial" w:hAnsi="Arial" w:cs="Arial"/>
          <w:sz w:val="24"/>
          <w:vertAlign w:val="superscript"/>
        </w:rPr>
        <w:footnoteReference w:id="8"/>
      </w:r>
      <w:r>
        <w:rPr>
          <w:rFonts w:ascii="Arial" w:hAnsi="Arial" w:cs="Arial"/>
          <w:sz w:val="24"/>
        </w:rPr>
        <w:t xml:space="preserve"> </w:t>
      </w:r>
    </w:p>
    <w:p w:rsidR="00804D31" w:rsidP="00804D31" w:rsidRDefault="00804D31" w14:paraId="67C5E269" w14:textId="77777777">
      <w:pPr>
        <w:widowControl/>
        <w:spacing w:before="120"/>
        <w:rPr>
          <w:rFonts w:ascii="Arial" w:hAnsi="Arial" w:cs="Arial"/>
          <w:sz w:val="24"/>
        </w:rPr>
      </w:pPr>
    </w:p>
    <w:p w:rsidR="009B3794" w:rsidP="00804D31" w:rsidRDefault="009B3794" w14:paraId="69C638E8" w14:textId="04AA7AE7">
      <w:pPr>
        <w:widowControl/>
        <w:spacing w:before="120"/>
        <w:rPr>
          <w:rFonts w:ascii="Arial" w:hAnsi="Arial" w:cs="Arial"/>
          <w:b/>
          <w:sz w:val="24"/>
        </w:rPr>
      </w:pPr>
      <w:r w:rsidRPr="00C45431">
        <w:rPr>
          <w:rFonts w:ascii="Arial" w:hAnsi="Arial" w:cs="Arial"/>
          <w:b/>
          <w:sz w:val="24"/>
        </w:rPr>
        <w:t>Estimated Annualized Burden Costs</w:t>
      </w:r>
    </w:p>
    <w:p w:rsidRPr="00C45431" w:rsidR="001D1885" w:rsidP="00804D31" w:rsidRDefault="001D1885" w14:paraId="1B39A6B1" w14:textId="77777777">
      <w:pPr>
        <w:widowControl/>
        <w:spacing w:before="120"/>
        <w:rPr>
          <w:rFonts w:ascii="Arial" w:hAnsi="Arial" w:cs="Arial"/>
          <w:b/>
          <w:sz w:val="24"/>
        </w:rPr>
      </w:pPr>
    </w:p>
    <w:tbl>
      <w:tblPr>
        <w:tblW w:w="5965" w:type="dxa"/>
        <w:tblInd w:w="18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03"/>
        <w:gridCol w:w="1277"/>
        <w:gridCol w:w="1342"/>
        <w:gridCol w:w="1743"/>
      </w:tblGrid>
      <w:tr w:rsidRPr="00C45431" w:rsidR="009B3794" w:rsidTr="001D1885" w14:paraId="69C638F4" w14:textId="77777777">
        <w:trPr>
          <w:trHeight w:val="278"/>
        </w:trPr>
        <w:tc>
          <w:tcPr>
            <w:tcW w:w="1430" w:type="dxa"/>
            <w:vAlign w:val="bottom"/>
          </w:tcPr>
          <w:p w:rsidRPr="00C45431" w:rsidR="009B3794" w:rsidP="001D1885" w:rsidRDefault="009B3794" w14:paraId="69C638E9" w14:textId="77777777">
            <w:pPr>
              <w:widowControl/>
              <w:jc w:val="center"/>
              <w:rPr>
                <w:rFonts w:ascii="Arial" w:hAnsi="Arial" w:cs="Arial"/>
                <w:b/>
                <w:bCs/>
                <w:sz w:val="24"/>
              </w:rPr>
            </w:pPr>
            <w:r w:rsidRPr="00C45431">
              <w:rPr>
                <w:rFonts w:ascii="Arial" w:hAnsi="Arial" w:cs="Arial"/>
                <w:b/>
                <w:bCs/>
                <w:sz w:val="24"/>
              </w:rPr>
              <w:t>Type of</w:t>
            </w:r>
          </w:p>
          <w:p w:rsidRPr="00C45431" w:rsidR="009B3794" w:rsidP="001D1885" w:rsidRDefault="009B3794" w14:paraId="69C638EB" w14:textId="5406F705">
            <w:pPr>
              <w:widowControl/>
              <w:jc w:val="center"/>
              <w:rPr>
                <w:rFonts w:ascii="Arial" w:hAnsi="Arial" w:cs="Arial"/>
                <w:b/>
                <w:bCs/>
                <w:sz w:val="24"/>
              </w:rPr>
            </w:pPr>
            <w:r w:rsidRPr="00C45431">
              <w:rPr>
                <w:rFonts w:ascii="Arial" w:hAnsi="Arial" w:cs="Arial"/>
                <w:b/>
                <w:bCs/>
                <w:sz w:val="24"/>
              </w:rPr>
              <w:t>Respondent</w:t>
            </w:r>
          </w:p>
        </w:tc>
        <w:tc>
          <w:tcPr>
            <w:tcW w:w="1330" w:type="dxa"/>
            <w:vAlign w:val="bottom"/>
          </w:tcPr>
          <w:p w:rsidRPr="00C45431" w:rsidR="009B3794" w:rsidP="001D1885" w:rsidRDefault="009B3794" w14:paraId="69C638EC" w14:textId="77777777">
            <w:pPr>
              <w:widowControl/>
              <w:jc w:val="center"/>
              <w:rPr>
                <w:rFonts w:ascii="Arial" w:hAnsi="Arial" w:cs="Arial"/>
                <w:b/>
                <w:bCs/>
                <w:sz w:val="24"/>
              </w:rPr>
            </w:pPr>
            <w:r w:rsidRPr="00C45431">
              <w:rPr>
                <w:rFonts w:ascii="Arial" w:hAnsi="Arial" w:cs="Arial"/>
                <w:b/>
                <w:bCs/>
                <w:sz w:val="24"/>
              </w:rPr>
              <w:t>Total Burden</w:t>
            </w:r>
          </w:p>
          <w:p w:rsidRPr="00C45431" w:rsidR="009B3794" w:rsidP="001D1885" w:rsidRDefault="009B3794" w14:paraId="69C638EE" w14:textId="4F14B82B">
            <w:pPr>
              <w:widowControl/>
              <w:jc w:val="center"/>
              <w:rPr>
                <w:rFonts w:ascii="Arial" w:hAnsi="Arial" w:cs="Arial"/>
                <w:b/>
                <w:bCs/>
                <w:sz w:val="24"/>
              </w:rPr>
            </w:pPr>
            <w:r w:rsidRPr="00C45431">
              <w:rPr>
                <w:rFonts w:ascii="Arial" w:hAnsi="Arial" w:cs="Arial"/>
                <w:b/>
                <w:bCs/>
                <w:sz w:val="24"/>
              </w:rPr>
              <w:t>Hours</w:t>
            </w:r>
          </w:p>
        </w:tc>
        <w:tc>
          <w:tcPr>
            <w:tcW w:w="1429" w:type="dxa"/>
            <w:vAlign w:val="bottom"/>
          </w:tcPr>
          <w:p w:rsidRPr="00C45431" w:rsidR="009B3794" w:rsidP="001D1885" w:rsidRDefault="009B3794" w14:paraId="69C638EF" w14:textId="77777777">
            <w:pPr>
              <w:widowControl/>
              <w:jc w:val="center"/>
              <w:rPr>
                <w:rFonts w:ascii="Arial" w:hAnsi="Arial" w:cs="Arial"/>
                <w:b/>
                <w:bCs/>
                <w:sz w:val="24"/>
              </w:rPr>
            </w:pPr>
            <w:r w:rsidRPr="00C45431">
              <w:rPr>
                <w:rFonts w:ascii="Arial" w:hAnsi="Arial" w:cs="Arial"/>
                <w:b/>
                <w:bCs/>
                <w:sz w:val="24"/>
              </w:rPr>
              <w:t>Hourly</w:t>
            </w:r>
          </w:p>
          <w:p w:rsidRPr="00C45431" w:rsidR="009B3794" w:rsidP="001D1885" w:rsidRDefault="009B3794" w14:paraId="69C638F1" w14:textId="4D0F78A6">
            <w:pPr>
              <w:widowControl/>
              <w:jc w:val="center"/>
              <w:rPr>
                <w:rFonts w:ascii="Arial" w:hAnsi="Arial" w:cs="Arial"/>
                <w:b/>
                <w:bCs/>
                <w:sz w:val="24"/>
              </w:rPr>
            </w:pPr>
            <w:r w:rsidRPr="00C45431">
              <w:rPr>
                <w:rFonts w:ascii="Arial" w:hAnsi="Arial" w:cs="Arial"/>
                <w:b/>
                <w:bCs/>
                <w:sz w:val="24"/>
              </w:rPr>
              <w:t>Wage Rate</w:t>
            </w:r>
          </w:p>
        </w:tc>
        <w:tc>
          <w:tcPr>
            <w:tcW w:w="1776" w:type="dxa"/>
            <w:vAlign w:val="bottom"/>
          </w:tcPr>
          <w:p w:rsidRPr="00C45431" w:rsidR="009B3794" w:rsidP="001D1885" w:rsidRDefault="009B3794" w14:paraId="69C638F3" w14:textId="47786B09">
            <w:pPr>
              <w:widowControl/>
              <w:jc w:val="center"/>
              <w:rPr>
                <w:rFonts w:ascii="Arial" w:hAnsi="Arial" w:cs="Arial"/>
                <w:b/>
                <w:bCs/>
                <w:sz w:val="24"/>
              </w:rPr>
            </w:pPr>
            <w:r w:rsidRPr="00C45431">
              <w:rPr>
                <w:rFonts w:ascii="Arial" w:hAnsi="Arial" w:cs="Arial"/>
                <w:b/>
                <w:bCs/>
                <w:sz w:val="24"/>
              </w:rPr>
              <w:t>Total Respondent Costs</w:t>
            </w:r>
          </w:p>
        </w:tc>
      </w:tr>
      <w:tr w:rsidRPr="00C45431" w:rsidR="009B3794" w:rsidTr="001D1885" w14:paraId="69C638F9" w14:textId="77777777">
        <w:tc>
          <w:tcPr>
            <w:tcW w:w="1430" w:type="dxa"/>
          </w:tcPr>
          <w:p w:rsidRPr="00C45431" w:rsidR="009B3794" w:rsidP="00CE5AA9" w:rsidRDefault="00934D50" w14:paraId="69C638F5" w14:textId="613340BC">
            <w:pPr>
              <w:spacing w:before="120"/>
              <w:rPr>
                <w:rFonts w:ascii="Arial" w:hAnsi="Arial" w:cs="Arial"/>
                <w:sz w:val="24"/>
              </w:rPr>
            </w:pPr>
            <w:r>
              <w:rPr>
                <w:rFonts w:ascii="Arial" w:hAnsi="Arial" w:cs="Arial"/>
                <w:sz w:val="24"/>
              </w:rPr>
              <w:t>Grantee Staff</w:t>
            </w:r>
            <w:r w:rsidRPr="00C45431" w:rsidR="009B3794">
              <w:rPr>
                <w:rFonts w:ascii="Arial" w:hAnsi="Arial" w:cs="Arial"/>
                <w:sz w:val="24"/>
              </w:rPr>
              <w:t xml:space="preserve"> </w:t>
            </w:r>
          </w:p>
        </w:tc>
        <w:tc>
          <w:tcPr>
            <w:tcW w:w="1330" w:type="dxa"/>
            <w:vAlign w:val="center"/>
          </w:tcPr>
          <w:p w:rsidRPr="00C45431" w:rsidR="009B3794" w:rsidP="001D1885" w:rsidRDefault="00934D50" w14:paraId="69C638F6" w14:textId="064757D3">
            <w:pPr>
              <w:spacing w:before="120"/>
              <w:jc w:val="right"/>
              <w:rPr>
                <w:rFonts w:ascii="Arial" w:hAnsi="Arial" w:cs="Arial"/>
                <w:sz w:val="24"/>
              </w:rPr>
            </w:pPr>
            <w:r>
              <w:rPr>
                <w:rFonts w:ascii="Arial" w:hAnsi="Arial" w:cs="Arial"/>
                <w:sz w:val="24"/>
              </w:rPr>
              <w:t>7</w:t>
            </w:r>
            <w:r w:rsidRPr="00C45431" w:rsidR="009B3794">
              <w:rPr>
                <w:rFonts w:ascii="Arial" w:hAnsi="Arial" w:cs="Arial"/>
                <w:sz w:val="24"/>
              </w:rPr>
              <w:t xml:space="preserve">5 </w:t>
            </w:r>
          </w:p>
        </w:tc>
        <w:tc>
          <w:tcPr>
            <w:tcW w:w="1429" w:type="dxa"/>
            <w:vAlign w:val="center"/>
          </w:tcPr>
          <w:p w:rsidRPr="00C45431" w:rsidR="009B3794" w:rsidP="001D1885" w:rsidRDefault="00041359" w14:paraId="69C638F7" w14:textId="7CF5D179">
            <w:pPr>
              <w:spacing w:before="120"/>
              <w:jc w:val="right"/>
              <w:rPr>
                <w:rFonts w:ascii="Arial" w:hAnsi="Arial" w:cs="Arial"/>
                <w:sz w:val="24"/>
              </w:rPr>
            </w:pPr>
            <w:r>
              <w:rPr>
                <w:rFonts w:ascii="Arial" w:hAnsi="Arial" w:cs="Arial"/>
                <w:sz w:val="24"/>
              </w:rPr>
              <w:t>$54.68</w:t>
            </w:r>
          </w:p>
        </w:tc>
        <w:tc>
          <w:tcPr>
            <w:tcW w:w="1776" w:type="dxa"/>
            <w:vAlign w:val="center"/>
          </w:tcPr>
          <w:p w:rsidRPr="00C45431" w:rsidR="009B3794" w:rsidP="001D1885" w:rsidRDefault="00284CE2" w14:paraId="69C638F8" w14:textId="508F68EA">
            <w:pPr>
              <w:spacing w:before="120"/>
              <w:jc w:val="right"/>
              <w:rPr>
                <w:rFonts w:ascii="Arial" w:hAnsi="Arial" w:cs="Arial"/>
                <w:sz w:val="24"/>
              </w:rPr>
            </w:pPr>
            <w:r>
              <w:rPr>
                <w:rFonts w:ascii="Arial" w:hAnsi="Arial" w:cs="Arial"/>
                <w:sz w:val="24"/>
              </w:rPr>
              <w:t>$4,101.00</w:t>
            </w:r>
          </w:p>
        </w:tc>
      </w:tr>
      <w:tr w:rsidRPr="00C45431" w:rsidR="009B3794" w:rsidTr="001D1885" w14:paraId="69C638FE" w14:textId="77777777">
        <w:tc>
          <w:tcPr>
            <w:tcW w:w="1430" w:type="dxa"/>
          </w:tcPr>
          <w:p w:rsidRPr="00C45431" w:rsidR="009B3794" w:rsidP="00CE5AA9" w:rsidRDefault="00934D50" w14:paraId="69C638FA" w14:textId="402FAF38">
            <w:pPr>
              <w:spacing w:before="120"/>
              <w:rPr>
                <w:rFonts w:ascii="Arial" w:hAnsi="Arial" w:cs="Arial"/>
                <w:sz w:val="24"/>
              </w:rPr>
            </w:pPr>
            <w:r>
              <w:rPr>
                <w:rFonts w:ascii="Arial" w:hAnsi="Arial" w:cs="Arial"/>
                <w:sz w:val="24"/>
              </w:rPr>
              <w:t>Federal Project Officers</w:t>
            </w:r>
            <w:r w:rsidRPr="00C45431" w:rsidR="009B3794">
              <w:rPr>
                <w:rFonts w:ascii="Arial" w:hAnsi="Arial" w:cs="Arial"/>
                <w:sz w:val="24"/>
              </w:rPr>
              <w:t xml:space="preserve"> </w:t>
            </w:r>
          </w:p>
        </w:tc>
        <w:tc>
          <w:tcPr>
            <w:tcW w:w="1330" w:type="dxa"/>
            <w:vAlign w:val="center"/>
          </w:tcPr>
          <w:p w:rsidRPr="00C45431" w:rsidR="009B3794" w:rsidP="001D1885" w:rsidRDefault="00934D50" w14:paraId="69C638FB" w14:textId="0E99138E">
            <w:pPr>
              <w:spacing w:before="120"/>
              <w:jc w:val="right"/>
              <w:rPr>
                <w:rFonts w:ascii="Arial" w:hAnsi="Arial" w:cs="Arial"/>
                <w:sz w:val="24"/>
              </w:rPr>
            </w:pPr>
            <w:r>
              <w:rPr>
                <w:rFonts w:ascii="Arial" w:hAnsi="Arial" w:cs="Arial"/>
                <w:sz w:val="24"/>
              </w:rPr>
              <w:t>10.5</w:t>
            </w:r>
            <w:r w:rsidRPr="00C45431" w:rsidR="009B3794">
              <w:rPr>
                <w:rFonts w:ascii="Arial" w:hAnsi="Arial" w:cs="Arial"/>
                <w:sz w:val="24"/>
              </w:rPr>
              <w:t xml:space="preserve"> </w:t>
            </w:r>
          </w:p>
        </w:tc>
        <w:tc>
          <w:tcPr>
            <w:tcW w:w="1429" w:type="dxa"/>
            <w:vAlign w:val="center"/>
          </w:tcPr>
          <w:p w:rsidRPr="00C45431" w:rsidR="009B3794" w:rsidP="001D1885" w:rsidRDefault="00FB234C" w14:paraId="69C638FC" w14:textId="55A7E259">
            <w:pPr>
              <w:spacing w:before="120"/>
              <w:jc w:val="right"/>
              <w:rPr>
                <w:rFonts w:ascii="Arial" w:hAnsi="Arial" w:cs="Arial"/>
                <w:sz w:val="24"/>
              </w:rPr>
            </w:pPr>
            <w:r>
              <w:rPr>
                <w:rFonts w:ascii="Arial" w:hAnsi="Arial" w:cs="Arial"/>
                <w:sz w:val="24"/>
              </w:rPr>
              <w:t>$49.19</w:t>
            </w:r>
          </w:p>
        </w:tc>
        <w:tc>
          <w:tcPr>
            <w:tcW w:w="1776" w:type="dxa"/>
            <w:vAlign w:val="center"/>
          </w:tcPr>
          <w:p w:rsidRPr="00C45431" w:rsidR="009B3794" w:rsidP="001D1885" w:rsidRDefault="00FB234C" w14:paraId="69C638FD" w14:textId="4EDA95B6">
            <w:pPr>
              <w:spacing w:before="120"/>
              <w:jc w:val="right"/>
              <w:rPr>
                <w:rFonts w:ascii="Arial" w:hAnsi="Arial" w:cs="Arial"/>
                <w:sz w:val="24"/>
              </w:rPr>
            </w:pPr>
            <w:r>
              <w:rPr>
                <w:rFonts w:ascii="Arial" w:hAnsi="Arial" w:cs="Arial"/>
                <w:sz w:val="24"/>
              </w:rPr>
              <w:t>$51</w:t>
            </w:r>
            <w:r w:rsidR="00284CE2">
              <w:rPr>
                <w:rFonts w:ascii="Arial" w:hAnsi="Arial" w:cs="Arial"/>
                <w:sz w:val="24"/>
              </w:rPr>
              <w:t>6.50</w:t>
            </w:r>
          </w:p>
        </w:tc>
      </w:tr>
      <w:tr w:rsidRPr="00C45431" w:rsidR="00934D50" w:rsidTr="001D1885" w14:paraId="5CEAFCC4" w14:textId="77777777">
        <w:tc>
          <w:tcPr>
            <w:tcW w:w="1430" w:type="dxa"/>
          </w:tcPr>
          <w:p w:rsidR="00934D50" w:rsidP="00CE5AA9" w:rsidRDefault="00934D50" w14:paraId="31C7E9BC" w14:textId="25587E26">
            <w:pPr>
              <w:spacing w:before="120"/>
              <w:rPr>
                <w:rFonts w:ascii="Arial" w:hAnsi="Arial" w:cs="Arial"/>
                <w:sz w:val="24"/>
              </w:rPr>
            </w:pPr>
            <w:r>
              <w:rPr>
                <w:rFonts w:ascii="Arial" w:hAnsi="Arial" w:cs="Arial"/>
                <w:sz w:val="24"/>
              </w:rPr>
              <w:t>Grantee Partners</w:t>
            </w:r>
          </w:p>
        </w:tc>
        <w:tc>
          <w:tcPr>
            <w:tcW w:w="1330" w:type="dxa"/>
            <w:vAlign w:val="center"/>
          </w:tcPr>
          <w:p w:rsidR="00934D50" w:rsidP="001D1885" w:rsidRDefault="00934D50" w14:paraId="5D5EA717" w14:textId="7651B963">
            <w:pPr>
              <w:spacing w:before="120"/>
              <w:jc w:val="right"/>
              <w:rPr>
                <w:rFonts w:ascii="Arial" w:hAnsi="Arial" w:cs="Arial"/>
                <w:sz w:val="24"/>
              </w:rPr>
            </w:pPr>
            <w:r>
              <w:rPr>
                <w:rFonts w:ascii="Arial" w:hAnsi="Arial" w:cs="Arial"/>
                <w:sz w:val="24"/>
              </w:rPr>
              <w:t>72.5</w:t>
            </w:r>
          </w:p>
        </w:tc>
        <w:tc>
          <w:tcPr>
            <w:tcW w:w="1429" w:type="dxa"/>
            <w:vAlign w:val="center"/>
          </w:tcPr>
          <w:p w:rsidRPr="00C45431" w:rsidR="00934D50" w:rsidP="001D1885" w:rsidRDefault="00284CE2" w14:paraId="133D0D60" w14:textId="27127556">
            <w:pPr>
              <w:spacing w:before="120"/>
              <w:jc w:val="right"/>
              <w:rPr>
                <w:rFonts w:ascii="Arial" w:hAnsi="Arial" w:cs="Arial"/>
                <w:sz w:val="24"/>
              </w:rPr>
            </w:pPr>
            <w:r w:rsidRPr="00284CE2">
              <w:rPr>
                <w:rFonts w:ascii="Arial" w:hAnsi="Arial" w:cs="Arial"/>
                <w:sz w:val="24"/>
              </w:rPr>
              <w:t>$49.19</w:t>
            </w:r>
          </w:p>
        </w:tc>
        <w:tc>
          <w:tcPr>
            <w:tcW w:w="1776" w:type="dxa"/>
            <w:vAlign w:val="center"/>
          </w:tcPr>
          <w:p w:rsidRPr="00C45431" w:rsidR="00934D50" w:rsidP="001D1885" w:rsidRDefault="00284CE2" w14:paraId="2836E48F" w14:textId="488161FB">
            <w:pPr>
              <w:spacing w:before="120"/>
              <w:jc w:val="right"/>
              <w:rPr>
                <w:rFonts w:ascii="Arial" w:hAnsi="Arial" w:cs="Arial"/>
                <w:sz w:val="24"/>
              </w:rPr>
            </w:pPr>
            <w:r>
              <w:rPr>
                <w:rFonts w:ascii="Arial" w:hAnsi="Arial" w:cs="Arial"/>
                <w:sz w:val="24"/>
              </w:rPr>
              <w:t>$3,566.28</w:t>
            </w:r>
          </w:p>
        </w:tc>
      </w:tr>
      <w:tr w:rsidRPr="00C45431" w:rsidR="00934D50" w:rsidTr="001D1885" w14:paraId="2B24297E" w14:textId="77777777">
        <w:tc>
          <w:tcPr>
            <w:tcW w:w="1430" w:type="dxa"/>
          </w:tcPr>
          <w:p w:rsidR="00934D50" w:rsidP="00CE5AA9" w:rsidRDefault="00934D50" w14:paraId="2358D3C0" w14:textId="384200AE">
            <w:pPr>
              <w:spacing w:before="120"/>
              <w:rPr>
                <w:rFonts w:ascii="Arial" w:hAnsi="Arial" w:cs="Arial"/>
                <w:sz w:val="24"/>
              </w:rPr>
            </w:pPr>
            <w:r>
              <w:rPr>
                <w:rFonts w:ascii="Arial" w:hAnsi="Arial" w:cs="Arial"/>
                <w:sz w:val="24"/>
              </w:rPr>
              <w:t>Grantee Staff</w:t>
            </w:r>
          </w:p>
        </w:tc>
        <w:tc>
          <w:tcPr>
            <w:tcW w:w="1330" w:type="dxa"/>
            <w:vAlign w:val="center"/>
          </w:tcPr>
          <w:p w:rsidR="00934D50" w:rsidP="001D1885" w:rsidRDefault="00934D50" w14:paraId="21C01F07" w14:textId="5720D479">
            <w:pPr>
              <w:spacing w:before="120"/>
              <w:jc w:val="right"/>
              <w:rPr>
                <w:rFonts w:ascii="Arial" w:hAnsi="Arial" w:cs="Arial"/>
                <w:sz w:val="24"/>
              </w:rPr>
            </w:pPr>
            <w:r>
              <w:rPr>
                <w:rFonts w:ascii="Arial" w:hAnsi="Arial" w:cs="Arial"/>
                <w:sz w:val="24"/>
              </w:rPr>
              <w:t>7.5</w:t>
            </w:r>
          </w:p>
        </w:tc>
        <w:tc>
          <w:tcPr>
            <w:tcW w:w="1429" w:type="dxa"/>
            <w:vAlign w:val="center"/>
          </w:tcPr>
          <w:p w:rsidRPr="00C45431" w:rsidR="00934D50" w:rsidP="001D1885" w:rsidRDefault="00284CE2" w14:paraId="627324CF" w14:textId="2633CB77">
            <w:pPr>
              <w:spacing w:before="120"/>
              <w:jc w:val="right"/>
              <w:rPr>
                <w:rFonts w:ascii="Arial" w:hAnsi="Arial" w:cs="Arial"/>
                <w:sz w:val="24"/>
              </w:rPr>
            </w:pPr>
            <w:r w:rsidRPr="00284CE2">
              <w:rPr>
                <w:rFonts w:ascii="Arial" w:hAnsi="Arial" w:cs="Arial"/>
                <w:sz w:val="24"/>
              </w:rPr>
              <w:t>$34.46</w:t>
            </w:r>
          </w:p>
        </w:tc>
        <w:tc>
          <w:tcPr>
            <w:tcW w:w="1776" w:type="dxa"/>
            <w:vAlign w:val="center"/>
          </w:tcPr>
          <w:p w:rsidRPr="00C45431" w:rsidR="00934D50" w:rsidP="001D1885" w:rsidRDefault="00284CE2" w14:paraId="76580E29" w14:textId="6579E095">
            <w:pPr>
              <w:spacing w:before="120"/>
              <w:jc w:val="right"/>
              <w:rPr>
                <w:rFonts w:ascii="Arial" w:hAnsi="Arial" w:cs="Arial"/>
                <w:sz w:val="24"/>
              </w:rPr>
            </w:pPr>
            <w:r>
              <w:rPr>
                <w:rFonts w:ascii="Arial" w:hAnsi="Arial" w:cs="Arial"/>
                <w:sz w:val="24"/>
              </w:rPr>
              <w:t>$258.45</w:t>
            </w:r>
          </w:p>
        </w:tc>
      </w:tr>
      <w:tr w:rsidRPr="00C45431" w:rsidR="009B3794" w:rsidTr="001D1885" w14:paraId="69C63903" w14:textId="77777777">
        <w:trPr>
          <w:trHeight w:val="440"/>
        </w:trPr>
        <w:tc>
          <w:tcPr>
            <w:tcW w:w="1430" w:type="dxa"/>
          </w:tcPr>
          <w:p w:rsidRPr="00D67E54" w:rsidR="009B3794" w:rsidP="00CE5AA9" w:rsidRDefault="009B3794" w14:paraId="69C638FF" w14:textId="77777777">
            <w:pPr>
              <w:widowControl/>
              <w:spacing w:before="120"/>
              <w:rPr>
                <w:rFonts w:ascii="Arial" w:hAnsi="Arial" w:cs="Arial"/>
                <w:sz w:val="24"/>
              </w:rPr>
            </w:pPr>
            <w:r w:rsidRPr="00D67E54">
              <w:rPr>
                <w:rFonts w:ascii="Arial" w:hAnsi="Arial" w:cs="Arial"/>
                <w:sz w:val="24"/>
              </w:rPr>
              <w:t>Total</w:t>
            </w:r>
          </w:p>
        </w:tc>
        <w:tc>
          <w:tcPr>
            <w:tcW w:w="1330" w:type="dxa"/>
            <w:vAlign w:val="center"/>
          </w:tcPr>
          <w:p w:rsidRPr="00D67E54" w:rsidR="009B3794" w:rsidP="001D1885" w:rsidRDefault="009B3794" w14:paraId="69C63900" w14:textId="77777777">
            <w:pPr>
              <w:widowControl/>
              <w:spacing w:before="120"/>
              <w:jc w:val="right"/>
              <w:rPr>
                <w:rFonts w:ascii="Arial" w:hAnsi="Arial" w:cs="Arial"/>
                <w:sz w:val="24"/>
              </w:rPr>
            </w:pPr>
          </w:p>
        </w:tc>
        <w:tc>
          <w:tcPr>
            <w:tcW w:w="1429" w:type="dxa"/>
            <w:vAlign w:val="center"/>
          </w:tcPr>
          <w:p w:rsidRPr="00D67E54" w:rsidR="009B3794" w:rsidP="001D1885" w:rsidRDefault="009B3794" w14:paraId="69C63901" w14:textId="77777777">
            <w:pPr>
              <w:widowControl/>
              <w:spacing w:before="120"/>
              <w:jc w:val="right"/>
              <w:rPr>
                <w:rFonts w:ascii="Arial" w:hAnsi="Arial" w:cs="Arial"/>
                <w:sz w:val="24"/>
              </w:rPr>
            </w:pPr>
          </w:p>
        </w:tc>
        <w:tc>
          <w:tcPr>
            <w:tcW w:w="1776" w:type="dxa"/>
            <w:vAlign w:val="center"/>
          </w:tcPr>
          <w:p w:rsidRPr="00C45431" w:rsidR="009B3794" w:rsidP="001D1885" w:rsidRDefault="00284CE2" w14:paraId="69C63902" w14:textId="0FA9A859">
            <w:pPr>
              <w:widowControl/>
              <w:spacing w:before="120"/>
              <w:jc w:val="right"/>
              <w:rPr>
                <w:rFonts w:ascii="Arial" w:hAnsi="Arial" w:cs="Arial"/>
                <w:sz w:val="24"/>
              </w:rPr>
            </w:pPr>
            <w:r w:rsidRPr="00D67E54">
              <w:rPr>
                <w:rFonts w:ascii="Arial" w:hAnsi="Arial" w:cs="Arial"/>
                <w:sz w:val="24"/>
              </w:rPr>
              <w:t>$8,442.23</w:t>
            </w:r>
            <w:bookmarkStart w:name="_GoBack" w:id="0"/>
            <w:bookmarkEnd w:id="0"/>
          </w:p>
        </w:tc>
      </w:tr>
    </w:tbl>
    <w:p w:rsidRPr="00E6329E" w:rsidR="00E6329E" w:rsidP="00E6329E" w:rsidRDefault="00541DAB" w14:paraId="4220B7A0" w14:textId="22B5BA66">
      <w:pPr>
        <w:numPr>
          <w:ilvl w:val="0"/>
          <w:numId w:val="2"/>
        </w:numPr>
        <w:tabs>
          <w:tab w:val="num" w:pos="360"/>
        </w:tabs>
        <w:spacing w:before="240"/>
        <w:ind w:left="360"/>
        <w:rPr>
          <w:rFonts w:ascii="Arial" w:hAnsi="Arial" w:cs="Arial"/>
          <w:b/>
          <w:sz w:val="24"/>
        </w:rPr>
      </w:pPr>
      <w:r w:rsidRPr="00D67E54">
        <w:rPr>
          <w:rFonts w:ascii="Arial" w:hAnsi="Arial" w:cs="Arial"/>
          <w:b/>
          <w:sz w:val="24"/>
          <w:u w:val="single"/>
        </w:rPr>
        <w:t xml:space="preserve">Estimates of other Total Annual Cost Burden to Respondents or </w:t>
      </w:r>
      <w:proofErr w:type="spellStart"/>
      <w:r w:rsidRPr="00D67E54">
        <w:rPr>
          <w:rFonts w:ascii="Arial" w:hAnsi="Arial" w:cs="Arial"/>
          <w:b/>
          <w:sz w:val="24"/>
          <w:u w:val="single"/>
        </w:rPr>
        <w:t>Recordkeepers</w:t>
      </w:r>
      <w:proofErr w:type="spellEnd"/>
      <w:r w:rsidRPr="00D67E54">
        <w:rPr>
          <w:rFonts w:ascii="Arial" w:hAnsi="Arial" w:cs="Arial"/>
          <w:b/>
          <w:sz w:val="24"/>
          <w:u w:val="single"/>
        </w:rPr>
        <w:t>/Capital Costs</w:t>
      </w:r>
    </w:p>
    <w:p w:rsidR="002E4598" w:rsidP="00720885" w:rsidRDefault="002E4598" w14:paraId="31217797" w14:textId="77777777">
      <w:pPr>
        <w:rPr>
          <w:rFonts w:ascii="Arial" w:hAnsi="Arial" w:cs="Arial"/>
          <w:sz w:val="24"/>
        </w:rPr>
      </w:pPr>
    </w:p>
    <w:p w:rsidR="00720885" w:rsidP="002E4598" w:rsidRDefault="00720885" w14:paraId="5E0865D2" w14:textId="56915C0D">
      <w:pPr>
        <w:ind w:left="360"/>
        <w:rPr>
          <w:rFonts w:ascii="Arial" w:hAnsi="Arial" w:cs="Arial"/>
          <w:sz w:val="24"/>
        </w:rPr>
      </w:pPr>
      <w:r w:rsidRPr="00A54446">
        <w:rPr>
          <w:rFonts w:ascii="Arial" w:hAnsi="Arial" w:cs="Arial"/>
          <w:sz w:val="24"/>
        </w:rPr>
        <w:t>There are no capital and start-up costs to respondents associated with this data collection.</w:t>
      </w:r>
      <w:r w:rsidRPr="00720885">
        <w:rPr>
          <w:rFonts w:ascii="Arial" w:hAnsi="Arial" w:cs="Arial"/>
          <w:sz w:val="24"/>
        </w:rPr>
        <w:t xml:space="preserve"> </w:t>
      </w:r>
    </w:p>
    <w:p w:rsidRPr="00720885" w:rsidR="00A54446" w:rsidP="002E4598" w:rsidRDefault="00A54446" w14:paraId="218537AA" w14:textId="77777777">
      <w:pPr>
        <w:ind w:left="360"/>
        <w:rPr>
          <w:rFonts w:ascii="Arial" w:hAnsi="Arial" w:cs="Arial"/>
          <w:sz w:val="24"/>
        </w:rPr>
      </w:pPr>
    </w:p>
    <w:p w:rsidRPr="00804D31" w:rsidR="008479BB" w:rsidP="008479BB" w:rsidRDefault="00541DAB" w14:paraId="468D9877" w14:textId="3701795D">
      <w:pPr>
        <w:numPr>
          <w:ilvl w:val="0"/>
          <w:numId w:val="2"/>
        </w:numPr>
        <w:tabs>
          <w:tab w:val="num" w:pos="360"/>
        </w:tabs>
        <w:spacing w:before="240"/>
        <w:ind w:left="360"/>
        <w:rPr>
          <w:rFonts w:ascii="Arial" w:hAnsi="Arial" w:cs="Arial"/>
          <w:b/>
          <w:sz w:val="24"/>
        </w:rPr>
      </w:pPr>
      <w:r>
        <w:rPr>
          <w:rFonts w:ascii="Arial" w:hAnsi="Arial" w:cs="Arial"/>
          <w:sz w:val="24"/>
        </w:rPr>
        <w:t xml:space="preserve">  </w:t>
      </w:r>
      <w:r w:rsidRPr="00804D31" w:rsidR="008479BB">
        <w:rPr>
          <w:rFonts w:ascii="Arial" w:hAnsi="Arial" w:cs="Arial"/>
          <w:b/>
          <w:sz w:val="24"/>
          <w:u w:val="single"/>
        </w:rPr>
        <w:t>Annualized Cost to Federal Government</w:t>
      </w:r>
    </w:p>
    <w:p w:rsidRPr="00C02ABF" w:rsidR="002B0EA8" w:rsidP="00C02ABF" w:rsidRDefault="002B0EA8" w14:paraId="0BB9412B" w14:textId="156D8030">
      <w:pPr>
        <w:spacing w:before="120"/>
        <w:rPr>
          <w:rFonts w:ascii="Arial" w:hAnsi="Arial" w:cs="Arial"/>
          <w:sz w:val="24"/>
        </w:rPr>
      </w:pPr>
      <w:r w:rsidRPr="00C02ABF">
        <w:rPr>
          <w:rFonts w:ascii="Arial" w:hAnsi="Arial" w:cs="Arial"/>
          <w:sz w:val="24"/>
        </w:rPr>
        <w:t>The cost to the Federal Government for this 5-year project is $</w:t>
      </w:r>
      <w:r w:rsidRPr="00C02ABF" w:rsidR="006B0B91">
        <w:rPr>
          <w:rFonts w:ascii="Arial" w:hAnsi="Arial" w:cs="Arial"/>
          <w:sz w:val="24"/>
        </w:rPr>
        <w:t>4,876,103</w:t>
      </w:r>
      <w:r w:rsidRPr="00C02ABF">
        <w:rPr>
          <w:rFonts w:ascii="Arial" w:hAnsi="Arial" w:cs="Arial"/>
          <w:sz w:val="24"/>
        </w:rPr>
        <w:t>, or $</w:t>
      </w:r>
      <w:r w:rsidRPr="00C02ABF" w:rsidR="006B0B91">
        <w:rPr>
          <w:rFonts w:ascii="Arial" w:hAnsi="Arial" w:cs="Arial"/>
          <w:sz w:val="24"/>
        </w:rPr>
        <w:t xml:space="preserve">975,221 </w:t>
      </w:r>
      <w:r w:rsidRPr="00C02ABF">
        <w:rPr>
          <w:rFonts w:ascii="Arial" w:hAnsi="Arial" w:cs="Arial"/>
          <w:sz w:val="24"/>
        </w:rPr>
        <w:t xml:space="preserve">per year on average. These costs cover all aspects of </w:t>
      </w:r>
      <w:r w:rsidRPr="00C02ABF" w:rsidR="006B0B91">
        <w:rPr>
          <w:rFonts w:ascii="Arial" w:hAnsi="Arial" w:cs="Arial"/>
          <w:sz w:val="24"/>
        </w:rPr>
        <w:t>database development, testing, data collection,</w:t>
      </w:r>
      <w:r w:rsidRPr="00C02ABF">
        <w:rPr>
          <w:rFonts w:ascii="Arial" w:hAnsi="Arial" w:cs="Arial"/>
          <w:sz w:val="24"/>
        </w:rPr>
        <w:t xml:space="preserve"> analysis</w:t>
      </w:r>
      <w:r w:rsidRPr="00C02ABF" w:rsidR="004053E2">
        <w:rPr>
          <w:rFonts w:ascii="Arial" w:hAnsi="Arial" w:cs="Arial"/>
          <w:sz w:val="24"/>
        </w:rPr>
        <w:t>, results</w:t>
      </w:r>
      <w:r w:rsidRPr="00C02ABF" w:rsidR="006B0B91">
        <w:rPr>
          <w:rFonts w:ascii="Arial" w:hAnsi="Arial" w:cs="Arial"/>
          <w:sz w:val="24"/>
        </w:rPr>
        <w:t xml:space="preserve"> interpretation</w:t>
      </w:r>
      <w:r w:rsidRPr="00C02ABF" w:rsidR="004053E2">
        <w:rPr>
          <w:rFonts w:ascii="Arial" w:hAnsi="Arial" w:cs="Arial"/>
          <w:sz w:val="24"/>
        </w:rPr>
        <w:t>, as well as providing technical assistance to all grantees</w:t>
      </w:r>
      <w:r w:rsidRPr="00C02ABF">
        <w:rPr>
          <w:rFonts w:ascii="Arial" w:hAnsi="Arial" w:cs="Arial"/>
          <w:sz w:val="24"/>
        </w:rPr>
        <w:t xml:space="preserve">. The method used to estimate the cost includes preparation of a detailed line-item budget that specifies all staff/consultant rates and labor hours by task, along with operational and other direct costs (e.g., telephone calls, reproduction). </w:t>
      </w:r>
    </w:p>
    <w:p w:rsidRPr="00C02ABF" w:rsidR="002B0EA8" w:rsidP="00C02ABF" w:rsidRDefault="002B0EA8" w14:paraId="3FD497B0" w14:textId="115690AE">
      <w:pPr>
        <w:spacing w:before="120"/>
        <w:rPr>
          <w:rFonts w:ascii="Arial" w:hAnsi="Arial" w:cs="Arial"/>
          <w:sz w:val="24"/>
        </w:rPr>
      </w:pPr>
      <w:r w:rsidRPr="00C02ABF">
        <w:rPr>
          <w:rFonts w:ascii="Arial" w:hAnsi="Arial" w:cs="Arial"/>
          <w:sz w:val="24"/>
        </w:rPr>
        <w:t>In addition, it is estimated that</w:t>
      </w:r>
      <w:r w:rsidRPr="00C02ABF" w:rsidR="004053E2">
        <w:rPr>
          <w:rFonts w:ascii="Arial" w:hAnsi="Arial" w:cs="Arial"/>
          <w:sz w:val="24"/>
        </w:rPr>
        <w:t xml:space="preserve"> two</w:t>
      </w:r>
      <w:r w:rsidRPr="00C02ABF">
        <w:rPr>
          <w:rFonts w:ascii="Arial" w:hAnsi="Arial" w:cs="Arial"/>
          <w:sz w:val="24"/>
        </w:rPr>
        <w:t xml:space="preserve"> full-time equiva</w:t>
      </w:r>
      <w:r w:rsidRPr="00C02ABF" w:rsidR="004053E2">
        <w:rPr>
          <w:rFonts w:ascii="Arial" w:hAnsi="Arial" w:cs="Arial"/>
          <w:sz w:val="24"/>
        </w:rPr>
        <w:t>lent HRSA staff member (Grade 12</w:t>
      </w:r>
      <w:r w:rsidRPr="00C02ABF">
        <w:rPr>
          <w:rFonts w:ascii="Arial" w:hAnsi="Arial" w:cs="Arial"/>
          <w:sz w:val="24"/>
        </w:rPr>
        <w:t xml:space="preserve">, </w:t>
      </w:r>
      <w:r w:rsidRPr="00C02ABF">
        <w:rPr>
          <w:rFonts w:ascii="Arial" w:hAnsi="Arial" w:cs="Arial"/>
          <w:sz w:val="24"/>
        </w:rPr>
        <w:lastRenderedPageBreak/>
        <w:t xml:space="preserve">Step </w:t>
      </w:r>
      <w:r w:rsidRPr="00C02ABF" w:rsidR="004053E2">
        <w:rPr>
          <w:rFonts w:ascii="Arial" w:hAnsi="Arial" w:cs="Arial"/>
          <w:sz w:val="24"/>
        </w:rPr>
        <w:t>10; and 04/SG 12</w:t>
      </w:r>
      <w:r w:rsidRPr="00C02ABF">
        <w:rPr>
          <w:rFonts w:ascii="Arial" w:hAnsi="Arial" w:cs="Arial"/>
          <w:sz w:val="24"/>
        </w:rPr>
        <w:t xml:space="preserve">) will spend </w:t>
      </w:r>
      <w:r w:rsidRPr="00C02ABF" w:rsidR="004053E2">
        <w:rPr>
          <w:rFonts w:ascii="Arial" w:hAnsi="Arial" w:cs="Arial"/>
          <w:sz w:val="24"/>
        </w:rPr>
        <w:t>3</w:t>
      </w:r>
      <w:r w:rsidRPr="00C02ABF">
        <w:rPr>
          <w:rFonts w:ascii="Arial" w:hAnsi="Arial" w:cs="Arial"/>
          <w:sz w:val="24"/>
        </w:rPr>
        <w:t>0% of her time to manage</w:t>
      </w:r>
      <w:r w:rsidRPr="00C02ABF" w:rsidR="0007676F">
        <w:rPr>
          <w:rFonts w:ascii="Arial" w:hAnsi="Arial" w:cs="Arial"/>
          <w:sz w:val="24"/>
        </w:rPr>
        <w:t>, provide subject matter expertise,</w:t>
      </w:r>
      <w:r w:rsidRPr="00C02ABF">
        <w:rPr>
          <w:rFonts w:ascii="Arial" w:hAnsi="Arial" w:cs="Arial"/>
          <w:sz w:val="24"/>
        </w:rPr>
        <w:t xml:space="preserve"> and administer the project. Assuming an annual salary of $</w:t>
      </w:r>
      <w:r w:rsidRPr="00C02ABF" w:rsidR="0007676F">
        <w:rPr>
          <w:rFonts w:ascii="Arial" w:hAnsi="Arial" w:cs="Arial"/>
          <w:sz w:val="24"/>
        </w:rPr>
        <w:t>112,240 and $93,000 respectively</w:t>
      </w:r>
      <w:r w:rsidRPr="00C02ABF">
        <w:rPr>
          <w:rFonts w:ascii="Arial" w:hAnsi="Arial" w:cs="Arial"/>
          <w:sz w:val="24"/>
        </w:rPr>
        <w:t>, government personnel costs will be $</w:t>
      </w:r>
      <w:r w:rsidRPr="00C02ABF" w:rsidR="0007676F">
        <w:rPr>
          <w:rFonts w:ascii="Arial" w:hAnsi="Arial" w:cs="Arial"/>
          <w:sz w:val="24"/>
        </w:rPr>
        <w:t>61,572</w:t>
      </w:r>
      <w:r w:rsidRPr="00C02ABF">
        <w:rPr>
          <w:rFonts w:ascii="Arial" w:hAnsi="Arial" w:cs="Arial"/>
          <w:sz w:val="24"/>
        </w:rPr>
        <w:t xml:space="preserve"> </w:t>
      </w:r>
      <w:r w:rsidRPr="00C02ABF" w:rsidR="0007676F">
        <w:rPr>
          <w:rFonts w:ascii="Arial" w:hAnsi="Arial" w:cs="Arial"/>
          <w:sz w:val="24"/>
        </w:rPr>
        <w:t>annually</w:t>
      </w:r>
      <w:r w:rsidRPr="00C02ABF">
        <w:rPr>
          <w:rFonts w:ascii="Arial" w:hAnsi="Arial" w:cs="Arial"/>
          <w:sz w:val="24"/>
        </w:rPr>
        <w:t>.</w:t>
      </w:r>
    </w:p>
    <w:p w:rsidRPr="00C02ABF" w:rsidR="002B0EA8" w:rsidP="00C02ABF" w:rsidRDefault="002B0EA8" w14:paraId="59CC0A6F" w14:textId="5724D45D">
      <w:pPr>
        <w:spacing w:before="120"/>
        <w:rPr>
          <w:rFonts w:ascii="Arial" w:hAnsi="Arial" w:cs="Arial"/>
          <w:sz w:val="24"/>
        </w:rPr>
      </w:pPr>
      <w:r w:rsidRPr="00C02ABF">
        <w:rPr>
          <w:rFonts w:ascii="Arial" w:hAnsi="Arial" w:cs="Arial"/>
          <w:sz w:val="24"/>
        </w:rPr>
        <w:t>Total costs to the Federal Government are, therefore, $</w:t>
      </w:r>
      <w:r w:rsidRPr="00C02ABF" w:rsidR="0007676F">
        <w:rPr>
          <w:rFonts w:ascii="Arial" w:hAnsi="Arial" w:cs="Arial"/>
          <w:sz w:val="24"/>
        </w:rPr>
        <w:t xml:space="preserve">975,221 </w:t>
      </w:r>
      <w:r w:rsidRPr="00C02ABF">
        <w:rPr>
          <w:rFonts w:ascii="Arial" w:hAnsi="Arial" w:cs="Arial"/>
          <w:sz w:val="24"/>
        </w:rPr>
        <w:t>annually.</w:t>
      </w:r>
    </w:p>
    <w:p w:rsidRPr="00804D31" w:rsidR="00804D31" w:rsidP="00804D31" w:rsidRDefault="00804D31" w14:paraId="6456AE6F" w14:textId="77777777">
      <w:pPr>
        <w:pStyle w:val="NormalSS"/>
        <w:spacing w:after="0"/>
        <w:ind w:left="720" w:firstLine="0"/>
      </w:pPr>
    </w:p>
    <w:p w:rsidRPr="00804D31" w:rsidR="00804D31" w:rsidP="00804D31" w:rsidRDefault="00804D31" w14:paraId="6C6EC412" w14:textId="59E9E6C6">
      <w:pPr>
        <w:rPr>
          <w:b/>
          <w:sz w:val="24"/>
        </w:rPr>
      </w:pPr>
      <w:r w:rsidRPr="00804D31">
        <w:rPr>
          <w:b/>
          <w:sz w:val="24"/>
        </w:rPr>
        <w:t xml:space="preserve"> Estimates of annualized cost to the Federal Government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52"/>
        <w:gridCol w:w="2433"/>
        <w:gridCol w:w="1366"/>
        <w:gridCol w:w="2299"/>
      </w:tblGrid>
      <w:tr w:rsidRPr="00804D31" w:rsidR="00766E86" w:rsidTr="00114A56" w14:paraId="2D831AD6" w14:textId="77777777">
        <w:tc>
          <w:tcPr>
            <w:tcW w:w="3252" w:type="dxa"/>
            <w:shd w:val="clear" w:color="auto" w:fill="auto"/>
          </w:tcPr>
          <w:p w:rsidRPr="00804D31" w:rsidR="00804D31" w:rsidP="000B28A3" w:rsidRDefault="00804D31" w14:paraId="7064C805" w14:textId="77777777">
            <w:pPr>
              <w:widowControl/>
              <w:jc w:val="center"/>
              <w:rPr>
                <w:rFonts w:eastAsia="Calibri"/>
                <w:b/>
                <w:sz w:val="24"/>
              </w:rPr>
            </w:pPr>
            <w:r w:rsidRPr="00804D31">
              <w:rPr>
                <w:rFonts w:eastAsia="Calibri"/>
                <w:b/>
                <w:sz w:val="24"/>
              </w:rPr>
              <w:t>Item</w:t>
            </w:r>
          </w:p>
        </w:tc>
        <w:tc>
          <w:tcPr>
            <w:tcW w:w="2433" w:type="dxa"/>
            <w:shd w:val="clear" w:color="auto" w:fill="auto"/>
          </w:tcPr>
          <w:p w:rsidRPr="00804D31" w:rsidR="00804D31" w:rsidP="000B28A3" w:rsidRDefault="00804D31" w14:paraId="655A4DCB" w14:textId="77777777">
            <w:pPr>
              <w:widowControl/>
              <w:jc w:val="center"/>
              <w:rPr>
                <w:rFonts w:eastAsia="Calibri"/>
                <w:b/>
                <w:sz w:val="24"/>
              </w:rPr>
            </w:pPr>
            <w:r w:rsidRPr="00804D31">
              <w:rPr>
                <w:rFonts w:eastAsia="Calibri"/>
                <w:b/>
                <w:sz w:val="24"/>
              </w:rPr>
              <w:t>Grade/Salary</w:t>
            </w:r>
          </w:p>
          <w:p w:rsidRPr="00804D31" w:rsidR="00804D31" w:rsidP="000B28A3" w:rsidRDefault="00804D31" w14:paraId="546746D4" w14:textId="77777777">
            <w:pPr>
              <w:widowControl/>
              <w:jc w:val="center"/>
              <w:rPr>
                <w:rFonts w:eastAsia="Calibri"/>
                <w:b/>
                <w:sz w:val="24"/>
              </w:rPr>
            </w:pPr>
          </w:p>
        </w:tc>
        <w:tc>
          <w:tcPr>
            <w:tcW w:w="1366" w:type="dxa"/>
            <w:shd w:val="clear" w:color="auto" w:fill="auto"/>
          </w:tcPr>
          <w:p w:rsidRPr="00804D31" w:rsidR="00804D31" w:rsidP="000B28A3" w:rsidRDefault="00804D31" w14:paraId="191503F1" w14:textId="77777777">
            <w:pPr>
              <w:widowControl/>
              <w:jc w:val="center"/>
              <w:rPr>
                <w:rFonts w:eastAsia="Calibri"/>
                <w:b/>
                <w:sz w:val="24"/>
              </w:rPr>
            </w:pPr>
            <w:r w:rsidRPr="00804D31">
              <w:rPr>
                <w:rFonts w:eastAsia="Calibri"/>
                <w:b/>
                <w:sz w:val="24"/>
              </w:rPr>
              <w:t>Percent Effort</w:t>
            </w:r>
          </w:p>
        </w:tc>
        <w:tc>
          <w:tcPr>
            <w:tcW w:w="2299" w:type="dxa"/>
            <w:shd w:val="clear" w:color="auto" w:fill="auto"/>
          </w:tcPr>
          <w:p w:rsidRPr="00804D31" w:rsidR="00804D31" w:rsidP="000B28A3" w:rsidRDefault="00804D31" w14:paraId="5644EE9F" w14:textId="77777777">
            <w:pPr>
              <w:widowControl/>
              <w:jc w:val="center"/>
              <w:rPr>
                <w:rFonts w:eastAsia="Calibri"/>
                <w:b/>
                <w:sz w:val="24"/>
              </w:rPr>
            </w:pPr>
            <w:r w:rsidRPr="00804D31">
              <w:rPr>
                <w:rFonts w:eastAsia="Calibri"/>
                <w:b/>
                <w:sz w:val="24"/>
              </w:rPr>
              <w:t>Annualized Cost</w:t>
            </w:r>
          </w:p>
        </w:tc>
      </w:tr>
      <w:tr w:rsidRPr="00804D31" w:rsidR="00766E86" w:rsidTr="00114A56" w14:paraId="03D86E86" w14:textId="77777777">
        <w:tc>
          <w:tcPr>
            <w:tcW w:w="3252" w:type="dxa"/>
            <w:shd w:val="clear" w:color="auto" w:fill="auto"/>
          </w:tcPr>
          <w:p w:rsidRPr="00804D31" w:rsidR="00804D31" w:rsidP="000B28A3" w:rsidRDefault="00804D31" w14:paraId="19A94BC0" w14:textId="481ACFC6">
            <w:pPr>
              <w:widowControl/>
              <w:rPr>
                <w:rFonts w:eastAsia="Calibri"/>
                <w:sz w:val="24"/>
              </w:rPr>
            </w:pPr>
            <w:r>
              <w:rPr>
                <w:rFonts w:eastAsia="Calibri"/>
                <w:sz w:val="24"/>
              </w:rPr>
              <w:t>HRSA/MCHB/</w:t>
            </w:r>
            <w:proofErr w:type="spellStart"/>
            <w:r>
              <w:rPr>
                <w:rFonts w:eastAsia="Calibri"/>
                <w:sz w:val="24"/>
              </w:rPr>
              <w:t>DHSPS</w:t>
            </w:r>
            <w:proofErr w:type="spellEnd"/>
            <w:r>
              <w:rPr>
                <w:rFonts w:eastAsia="Calibri"/>
                <w:sz w:val="24"/>
              </w:rPr>
              <w:t>/</w:t>
            </w:r>
            <w:r w:rsidRPr="00804D31">
              <w:rPr>
                <w:rFonts w:eastAsia="Calibri"/>
                <w:sz w:val="24"/>
              </w:rPr>
              <w:t>Project Staff/</w:t>
            </w:r>
            <w:r w:rsidR="00766E86">
              <w:rPr>
                <w:rFonts w:eastAsia="Calibri"/>
                <w:sz w:val="24"/>
              </w:rPr>
              <w:t>SME/</w:t>
            </w:r>
            <w:r w:rsidRPr="00804D31">
              <w:rPr>
                <w:rFonts w:eastAsia="Calibri"/>
                <w:sz w:val="24"/>
              </w:rPr>
              <w:t>Oversight</w:t>
            </w:r>
          </w:p>
        </w:tc>
        <w:tc>
          <w:tcPr>
            <w:tcW w:w="2433" w:type="dxa"/>
            <w:shd w:val="clear" w:color="auto" w:fill="auto"/>
          </w:tcPr>
          <w:p w:rsidRPr="00804D31" w:rsidR="00804D31" w:rsidP="000B28A3" w:rsidRDefault="00804D31" w14:paraId="0ECBCD95" w14:textId="04ABF9B9">
            <w:pPr>
              <w:widowControl/>
              <w:jc w:val="center"/>
              <w:rPr>
                <w:rFonts w:eastAsia="Calibri"/>
                <w:sz w:val="24"/>
              </w:rPr>
            </w:pPr>
            <w:r>
              <w:rPr>
                <w:rFonts w:eastAsia="Calibri"/>
                <w:sz w:val="24"/>
              </w:rPr>
              <w:t>GS-12</w:t>
            </w:r>
            <w:r w:rsidRPr="00804D31">
              <w:rPr>
                <w:rFonts w:eastAsia="Calibri"/>
                <w:sz w:val="24"/>
              </w:rPr>
              <w:t>-</w:t>
            </w:r>
            <w:r>
              <w:rPr>
                <w:rFonts w:eastAsia="Calibri"/>
                <w:sz w:val="24"/>
              </w:rPr>
              <w:t>10</w:t>
            </w:r>
            <w:r w:rsidRPr="00804D31">
              <w:rPr>
                <w:rFonts w:eastAsia="Calibri"/>
                <w:sz w:val="24"/>
              </w:rPr>
              <w:t xml:space="preserve"> ($1</w:t>
            </w:r>
            <w:r w:rsidR="00766E86">
              <w:rPr>
                <w:rFonts w:eastAsia="Calibri"/>
                <w:sz w:val="24"/>
              </w:rPr>
              <w:t>12,240</w:t>
            </w:r>
            <w:r w:rsidRPr="00804D31">
              <w:rPr>
                <w:rFonts w:eastAsia="Calibri"/>
                <w:sz w:val="24"/>
              </w:rPr>
              <w:t>)</w:t>
            </w:r>
          </w:p>
        </w:tc>
        <w:tc>
          <w:tcPr>
            <w:tcW w:w="1366" w:type="dxa"/>
            <w:shd w:val="clear" w:color="auto" w:fill="auto"/>
          </w:tcPr>
          <w:p w:rsidRPr="00804D31" w:rsidR="00804D31" w:rsidP="000B28A3" w:rsidRDefault="00766E86" w14:paraId="3B9A95E3" w14:textId="648F99D0">
            <w:pPr>
              <w:widowControl/>
              <w:jc w:val="center"/>
              <w:rPr>
                <w:rFonts w:eastAsia="Calibri"/>
                <w:sz w:val="24"/>
              </w:rPr>
            </w:pPr>
            <w:r>
              <w:rPr>
                <w:rFonts w:eastAsia="Calibri"/>
                <w:sz w:val="24"/>
              </w:rPr>
              <w:t>3</w:t>
            </w:r>
            <w:r w:rsidRPr="00804D31" w:rsidR="00804D31">
              <w:rPr>
                <w:rFonts w:eastAsia="Calibri"/>
                <w:sz w:val="24"/>
              </w:rPr>
              <w:t>0%</w:t>
            </w:r>
          </w:p>
        </w:tc>
        <w:tc>
          <w:tcPr>
            <w:tcW w:w="2299" w:type="dxa"/>
            <w:shd w:val="clear" w:color="auto" w:fill="auto"/>
          </w:tcPr>
          <w:p w:rsidRPr="00804D31" w:rsidR="00804D31" w:rsidP="000B28A3" w:rsidRDefault="00766E86" w14:paraId="3474E741" w14:textId="7DEFA609">
            <w:pPr>
              <w:widowControl/>
              <w:jc w:val="center"/>
              <w:rPr>
                <w:rFonts w:eastAsia="Calibri"/>
                <w:sz w:val="24"/>
              </w:rPr>
            </w:pPr>
            <w:r>
              <w:rPr>
                <w:rFonts w:eastAsia="Calibri"/>
                <w:sz w:val="24"/>
              </w:rPr>
              <w:t>$33,672</w:t>
            </w:r>
          </w:p>
        </w:tc>
      </w:tr>
      <w:tr w:rsidRPr="00804D31" w:rsidR="00766E86" w:rsidTr="00114A56" w14:paraId="51306548" w14:textId="77777777">
        <w:tc>
          <w:tcPr>
            <w:tcW w:w="3252" w:type="dxa"/>
            <w:shd w:val="clear" w:color="auto" w:fill="auto"/>
          </w:tcPr>
          <w:p w:rsidRPr="00804D31" w:rsidR="00804D31" w:rsidP="000B28A3" w:rsidRDefault="00766E86" w14:paraId="2114D037" w14:textId="683EA781">
            <w:pPr>
              <w:widowControl/>
              <w:rPr>
                <w:rFonts w:eastAsia="Calibri"/>
                <w:sz w:val="24"/>
              </w:rPr>
            </w:pPr>
            <w:r>
              <w:rPr>
                <w:rFonts w:eastAsia="Calibri"/>
                <w:sz w:val="24"/>
              </w:rPr>
              <w:t>HRSA/MCHB/</w:t>
            </w:r>
            <w:proofErr w:type="spellStart"/>
            <w:r>
              <w:rPr>
                <w:rFonts w:eastAsia="Calibri"/>
                <w:sz w:val="24"/>
              </w:rPr>
              <w:t>DHSPS</w:t>
            </w:r>
            <w:proofErr w:type="spellEnd"/>
            <w:r>
              <w:rPr>
                <w:rFonts w:eastAsia="Calibri"/>
                <w:sz w:val="24"/>
              </w:rPr>
              <w:t>/Project Staff/</w:t>
            </w:r>
            <w:proofErr w:type="spellStart"/>
            <w:r>
              <w:rPr>
                <w:rFonts w:eastAsia="Calibri"/>
                <w:sz w:val="24"/>
              </w:rPr>
              <w:t>COR</w:t>
            </w:r>
            <w:proofErr w:type="spellEnd"/>
            <w:r>
              <w:rPr>
                <w:rFonts w:eastAsia="Calibri"/>
                <w:sz w:val="24"/>
              </w:rPr>
              <w:t>/Oversight</w:t>
            </w:r>
          </w:p>
        </w:tc>
        <w:tc>
          <w:tcPr>
            <w:tcW w:w="2433" w:type="dxa"/>
            <w:shd w:val="clear" w:color="auto" w:fill="auto"/>
          </w:tcPr>
          <w:p w:rsidRPr="00804D31" w:rsidR="00804D31" w:rsidP="00114A56" w:rsidRDefault="00114A56" w14:paraId="36849709" w14:textId="4F1DFCE9">
            <w:pPr>
              <w:widowControl/>
              <w:jc w:val="center"/>
              <w:rPr>
                <w:rFonts w:eastAsia="Calibri"/>
                <w:sz w:val="24"/>
              </w:rPr>
            </w:pPr>
            <w:r>
              <w:rPr>
                <w:rFonts w:eastAsia="Calibri"/>
                <w:sz w:val="24"/>
              </w:rPr>
              <w:t>O4/SG-12</w:t>
            </w:r>
            <w:r w:rsidRPr="00804D31" w:rsidR="00804D31">
              <w:rPr>
                <w:rFonts w:eastAsia="Calibri"/>
                <w:sz w:val="24"/>
              </w:rPr>
              <w:t xml:space="preserve"> ($</w:t>
            </w:r>
            <w:r>
              <w:rPr>
                <w:rFonts w:eastAsia="Calibri"/>
                <w:sz w:val="24"/>
              </w:rPr>
              <w:t>93,000</w:t>
            </w:r>
            <w:r w:rsidRPr="00804D31" w:rsidR="00804D31">
              <w:rPr>
                <w:rFonts w:eastAsia="Calibri"/>
                <w:sz w:val="24"/>
              </w:rPr>
              <w:t>)</w:t>
            </w:r>
          </w:p>
        </w:tc>
        <w:tc>
          <w:tcPr>
            <w:tcW w:w="1366" w:type="dxa"/>
            <w:shd w:val="clear" w:color="auto" w:fill="auto"/>
          </w:tcPr>
          <w:p w:rsidRPr="00804D31" w:rsidR="00804D31" w:rsidP="000B28A3" w:rsidRDefault="00114A56" w14:paraId="17A311EF" w14:textId="1199F6CB">
            <w:pPr>
              <w:widowControl/>
              <w:jc w:val="center"/>
              <w:rPr>
                <w:rFonts w:eastAsia="Calibri"/>
                <w:sz w:val="24"/>
              </w:rPr>
            </w:pPr>
            <w:r>
              <w:rPr>
                <w:rFonts w:eastAsia="Calibri"/>
                <w:sz w:val="24"/>
              </w:rPr>
              <w:t>3</w:t>
            </w:r>
            <w:r w:rsidRPr="00804D31" w:rsidR="00804D31">
              <w:rPr>
                <w:rFonts w:eastAsia="Calibri"/>
                <w:sz w:val="24"/>
              </w:rPr>
              <w:t>0%</w:t>
            </w:r>
          </w:p>
        </w:tc>
        <w:tc>
          <w:tcPr>
            <w:tcW w:w="2299" w:type="dxa"/>
            <w:shd w:val="clear" w:color="auto" w:fill="auto"/>
          </w:tcPr>
          <w:p w:rsidR="00804D31" w:rsidP="000B28A3" w:rsidRDefault="00804D31" w14:paraId="0B72154E" w14:textId="77777777">
            <w:pPr>
              <w:widowControl/>
              <w:jc w:val="center"/>
              <w:rPr>
                <w:rFonts w:eastAsia="Calibri"/>
                <w:sz w:val="24"/>
              </w:rPr>
            </w:pPr>
            <w:r w:rsidRPr="00804D31">
              <w:rPr>
                <w:rFonts w:eastAsia="Calibri"/>
                <w:sz w:val="24"/>
              </w:rPr>
              <w:t>$</w:t>
            </w:r>
            <w:r w:rsidR="00114A56">
              <w:rPr>
                <w:rFonts w:eastAsia="Calibri"/>
                <w:sz w:val="24"/>
              </w:rPr>
              <w:t>27,900</w:t>
            </w:r>
          </w:p>
          <w:p w:rsidRPr="00804D31" w:rsidR="00F95176" w:rsidP="000B28A3" w:rsidRDefault="00F95176" w14:paraId="65F3B33F" w14:textId="0398794C">
            <w:pPr>
              <w:widowControl/>
              <w:jc w:val="center"/>
              <w:rPr>
                <w:rFonts w:eastAsia="Calibri"/>
                <w:sz w:val="24"/>
              </w:rPr>
            </w:pPr>
          </w:p>
        </w:tc>
      </w:tr>
      <w:tr w:rsidRPr="00804D31" w:rsidR="00766E86" w:rsidTr="00114A56" w14:paraId="3F4CDDEA" w14:textId="77777777">
        <w:tc>
          <w:tcPr>
            <w:tcW w:w="3252" w:type="dxa"/>
            <w:shd w:val="clear" w:color="auto" w:fill="auto"/>
          </w:tcPr>
          <w:p w:rsidRPr="00804D31" w:rsidR="00804D31" w:rsidP="000B28A3" w:rsidRDefault="00F95176" w14:paraId="4CB37F77" w14:textId="415339E3">
            <w:pPr>
              <w:widowControl/>
              <w:rPr>
                <w:rFonts w:eastAsia="Calibri"/>
                <w:b/>
                <w:sz w:val="24"/>
              </w:rPr>
            </w:pPr>
            <w:r>
              <w:rPr>
                <w:rFonts w:eastAsia="Calibri"/>
                <w:b/>
                <w:sz w:val="24"/>
              </w:rPr>
              <w:t>Contract cost</w:t>
            </w:r>
          </w:p>
        </w:tc>
        <w:tc>
          <w:tcPr>
            <w:tcW w:w="2433" w:type="dxa"/>
            <w:shd w:val="clear" w:color="auto" w:fill="auto"/>
          </w:tcPr>
          <w:p w:rsidRPr="00804D31" w:rsidR="00804D31" w:rsidP="000B28A3" w:rsidRDefault="00804D31" w14:paraId="1D2DE6C1" w14:textId="77777777">
            <w:pPr>
              <w:widowControl/>
              <w:jc w:val="center"/>
              <w:rPr>
                <w:rFonts w:eastAsia="Calibri"/>
                <w:sz w:val="24"/>
              </w:rPr>
            </w:pPr>
          </w:p>
        </w:tc>
        <w:tc>
          <w:tcPr>
            <w:tcW w:w="1366" w:type="dxa"/>
            <w:shd w:val="clear" w:color="auto" w:fill="auto"/>
          </w:tcPr>
          <w:p w:rsidRPr="00804D31" w:rsidR="00804D31" w:rsidP="000B28A3" w:rsidRDefault="00804D31" w14:paraId="04FA2A85" w14:textId="77777777">
            <w:pPr>
              <w:widowControl/>
              <w:jc w:val="center"/>
              <w:rPr>
                <w:rFonts w:eastAsia="Calibri"/>
                <w:sz w:val="24"/>
              </w:rPr>
            </w:pPr>
          </w:p>
        </w:tc>
        <w:tc>
          <w:tcPr>
            <w:tcW w:w="2299" w:type="dxa"/>
            <w:shd w:val="clear" w:color="auto" w:fill="auto"/>
          </w:tcPr>
          <w:p w:rsidRPr="00804D31" w:rsidR="00804D31" w:rsidP="000B28A3" w:rsidRDefault="00F95176" w14:paraId="0C3DF0D5" w14:textId="71377E66">
            <w:pPr>
              <w:widowControl/>
              <w:jc w:val="center"/>
              <w:rPr>
                <w:rFonts w:eastAsia="Calibri"/>
                <w:b/>
                <w:sz w:val="24"/>
              </w:rPr>
            </w:pPr>
            <w:r>
              <w:rPr>
                <w:rFonts w:eastAsia="Calibri"/>
                <w:b/>
                <w:sz w:val="24"/>
              </w:rPr>
              <w:t>$913,649</w:t>
            </w:r>
          </w:p>
        </w:tc>
      </w:tr>
      <w:tr w:rsidRPr="00804D31" w:rsidR="00F95176" w:rsidTr="00114A56" w14:paraId="7BCF3892" w14:textId="77777777">
        <w:tc>
          <w:tcPr>
            <w:tcW w:w="3252" w:type="dxa"/>
            <w:shd w:val="clear" w:color="auto" w:fill="auto"/>
          </w:tcPr>
          <w:p w:rsidRPr="00804D31" w:rsidR="00F95176" w:rsidP="00F95176" w:rsidRDefault="00F95176" w14:paraId="640639B9" w14:textId="61ED6A66">
            <w:pPr>
              <w:widowControl/>
              <w:rPr>
                <w:rFonts w:eastAsia="Calibri"/>
                <w:b/>
                <w:sz w:val="24"/>
              </w:rPr>
            </w:pPr>
            <w:r w:rsidRPr="00804D31">
              <w:rPr>
                <w:rFonts w:eastAsia="Calibri"/>
                <w:b/>
                <w:sz w:val="24"/>
              </w:rPr>
              <w:t>Total</w:t>
            </w:r>
          </w:p>
        </w:tc>
        <w:tc>
          <w:tcPr>
            <w:tcW w:w="2433" w:type="dxa"/>
            <w:shd w:val="clear" w:color="auto" w:fill="auto"/>
          </w:tcPr>
          <w:p w:rsidRPr="00804D31" w:rsidR="00F95176" w:rsidP="00F95176" w:rsidRDefault="00F95176" w14:paraId="5DE16172" w14:textId="77777777">
            <w:pPr>
              <w:widowControl/>
              <w:jc w:val="center"/>
              <w:rPr>
                <w:rFonts w:eastAsia="Calibri"/>
                <w:sz w:val="24"/>
              </w:rPr>
            </w:pPr>
          </w:p>
        </w:tc>
        <w:tc>
          <w:tcPr>
            <w:tcW w:w="1366" w:type="dxa"/>
            <w:shd w:val="clear" w:color="auto" w:fill="auto"/>
          </w:tcPr>
          <w:p w:rsidRPr="00804D31" w:rsidR="00F95176" w:rsidP="00F95176" w:rsidRDefault="00F95176" w14:paraId="2A643A31" w14:textId="77777777">
            <w:pPr>
              <w:widowControl/>
              <w:jc w:val="center"/>
              <w:rPr>
                <w:rFonts w:eastAsia="Calibri"/>
                <w:sz w:val="24"/>
              </w:rPr>
            </w:pPr>
          </w:p>
        </w:tc>
        <w:tc>
          <w:tcPr>
            <w:tcW w:w="2299" w:type="dxa"/>
            <w:shd w:val="clear" w:color="auto" w:fill="auto"/>
          </w:tcPr>
          <w:p w:rsidRPr="00804D31" w:rsidR="00F95176" w:rsidP="00F95176" w:rsidRDefault="00F95176" w14:paraId="6219333B" w14:textId="7266B9A7">
            <w:pPr>
              <w:widowControl/>
              <w:jc w:val="center"/>
              <w:rPr>
                <w:rFonts w:eastAsia="Calibri"/>
                <w:b/>
                <w:sz w:val="24"/>
              </w:rPr>
            </w:pPr>
            <w:r w:rsidRPr="00804D31">
              <w:rPr>
                <w:rFonts w:eastAsia="Calibri"/>
                <w:b/>
                <w:sz w:val="24"/>
              </w:rPr>
              <w:t>$</w:t>
            </w:r>
            <w:r>
              <w:rPr>
                <w:rFonts w:eastAsia="Calibri"/>
                <w:b/>
                <w:sz w:val="24"/>
              </w:rPr>
              <w:t>975,221</w:t>
            </w:r>
          </w:p>
        </w:tc>
      </w:tr>
    </w:tbl>
    <w:p w:rsidRPr="00C45431" w:rsidR="009B3794" w:rsidP="00CA3DA6" w:rsidRDefault="00E6329E" w14:paraId="69C6390C" w14:textId="5F0B801D">
      <w:pPr>
        <w:numPr>
          <w:ilvl w:val="0"/>
          <w:numId w:val="2"/>
        </w:numPr>
        <w:tabs>
          <w:tab w:val="num" w:pos="360"/>
        </w:tabs>
        <w:spacing w:before="240"/>
        <w:ind w:left="360"/>
        <w:rPr>
          <w:rFonts w:ascii="Arial" w:hAnsi="Arial" w:cs="Arial"/>
          <w:b/>
          <w:sz w:val="24"/>
        </w:rPr>
      </w:pPr>
      <w:r>
        <w:rPr>
          <w:rFonts w:ascii="Arial" w:hAnsi="Arial" w:cs="Arial"/>
          <w:sz w:val="24"/>
        </w:rPr>
        <w:t xml:space="preserve">  </w:t>
      </w:r>
      <w:r w:rsidRPr="00C45431" w:rsidR="009B3794">
        <w:rPr>
          <w:rFonts w:ascii="Arial" w:hAnsi="Arial" w:cs="Arial"/>
          <w:b/>
          <w:sz w:val="24"/>
          <w:u w:val="single"/>
        </w:rPr>
        <w:t>Explanation for Program Changes or Adjustments</w:t>
      </w:r>
    </w:p>
    <w:p w:rsidRPr="00C45431" w:rsidR="009B3794" w:rsidP="00CA3DA6" w:rsidRDefault="009B3794" w14:paraId="69C63912" w14:textId="4A5A16B1">
      <w:pPr>
        <w:pStyle w:val="BodyTextIndent"/>
        <w:spacing w:before="120"/>
        <w:ind w:left="360"/>
        <w:rPr>
          <w:rFonts w:ascii="Arial" w:hAnsi="Arial" w:cs="Arial"/>
          <w:b/>
        </w:rPr>
      </w:pPr>
      <w:r w:rsidRPr="00C45431">
        <w:rPr>
          <w:rFonts w:ascii="Arial" w:hAnsi="Arial" w:cs="Arial"/>
        </w:rPr>
        <w:t xml:space="preserve">This is a new </w:t>
      </w:r>
      <w:r w:rsidRPr="00C45431" w:rsidR="00FE6C30">
        <w:rPr>
          <w:rFonts w:ascii="Arial" w:hAnsi="Arial" w:cs="Arial"/>
        </w:rPr>
        <w:t>information</w:t>
      </w:r>
      <w:r w:rsidRPr="00C45431">
        <w:rPr>
          <w:rFonts w:ascii="Arial" w:hAnsi="Arial" w:cs="Arial"/>
        </w:rPr>
        <w:t xml:space="preserve"> collection.</w:t>
      </w:r>
    </w:p>
    <w:p w:rsidRPr="00C45431" w:rsidR="009B3794" w:rsidP="00CA3DA6" w:rsidRDefault="00E6329E" w14:paraId="69C63914" w14:textId="0ABCA717">
      <w:pPr>
        <w:numPr>
          <w:ilvl w:val="0"/>
          <w:numId w:val="2"/>
        </w:numPr>
        <w:tabs>
          <w:tab w:val="num" w:pos="360"/>
        </w:tabs>
        <w:spacing w:before="240"/>
        <w:ind w:left="360"/>
        <w:rPr>
          <w:rFonts w:ascii="Arial" w:hAnsi="Arial" w:cs="Arial"/>
          <w:b/>
          <w:sz w:val="24"/>
        </w:rPr>
      </w:pPr>
      <w:r>
        <w:rPr>
          <w:rFonts w:ascii="Arial" w:hAnsi="Arial" w:cs="Arial"/>
          <w:sz w:val="24"/>
        </w:rPr>
        <w:t xml:space="preserve">  </w:t>
      </w:r>
      <w:r w:rsidRPr="00C45431" w:rsidR="009B3794">
        <w:rPr>
          <w:rFonts w:ascii="Arial" w:hAnsi="Arial" w:cs="Arial"/>
          <w:b/>
          <w:sz w:val="24"/>
          <w:u w:val="single"/>
        </w:rPr>
        <w:t>Plans for Tabulation</w:t>
      </w:r>
      <w:r w:rsidRPr="00C45431" w:rsidR="002118B4">
        <w:rPr>
          <w:rFonts w:ascii="Arial" w:hAnsi="Arial" w:cs="Arial"/>
          <w:b/>
          <w:sz w:val="24"/>
          <w:u w:val="single"/>
        </w:rPr>
        <w:t xml:space="preserve">, </w:t>
      </w:r>
      <w:r w:rsidRPr="00C45431" w:rsidR="009B3794">
        <w:rPr>
          <w:rFonts w:ascii="Arial" w:hAnsi="Arial" w:cs="Arial"/>
          <w:b/>
          <w:sz w:val="24"/>
          <w:u w:val="single"/>
        </w:rPr>
        <w:t>Publication</w:t>
      </w:r>
      <w:r w:rsidRPr="00C45431" w:rsidR="002118B4">
        <w:rPr>
          <w:rFonts w:ascii="Arial" w:hAnsi="Arial" w:cs="Arial"/>
          <w:b/>
          <w:sz w:val="24"/>
          <w:u w:val="single"/>
        </w:rPr>
        <w:t>,</w:t>
      </w:r>
      <w:r w:rsidRPr="00C45431" w:rsidR="009B3794">
        <w:rPr>
          <w:rFonts w:ascii="Arial" w:hAnsi="Arial" w:cs="Arial"/>
          <w:b/>
          <w:sz w:val="24"/>
          <w:u w:val="single"/>
        </w:rPr>
        <w:t xml:space="preserve"> and Project Time Schedule</w:t>
      </w:r>
    </w:p>
    <w:p w:rsidR="004647DC" w:rsidP="00CA3DA6" w:rsidRDefault="005F677C" w14:paraId="42E45D7B" w14:textId="7528316B">
      <w:pPr>
        <w:spacing w:before="120"/>
        <w:ind w:left="360"/>
        <w:rPr>
          <w:rFonts w:ascii="Arial" w:hAnsi="Arial" w:cs="Arial"/>
          <w:sz w:val="24"/>
        </w:rPr>
      </w:pPr>
      <w:r w:rsidRPr="005F677C">
        <w:rPr>
          <w:rFonts w:ascii="Arial" w:hAnsi="Arial" w:cs="Arial"/>
          <w:b/>
          <w:sz w:val="24"/>
        </w:rPr>
        <w:t>Plans for Tabulation:</w:t>
      </w:r>
      <w:r w:rsidR="00E6329E">
        <w:rPr>
          <w:rFonts w:ascii="Arial" w:hAnsi="Arial" w:cs="Arial"/>
          <w:b/>
          <w:sz w:val="24"/>
        </w:rPr>
        <w:t xml:space="preserve"> </w:t>
      </w:r>
      <w:r w:rsidRPr="005F677C">
        <w:rPr>
          <w:rFonts w:ascii="Arial" w:hAnsi="Arial" w:cs="Arial"/>
          <w:b/>
          <w:sz w:val="24"/>
        </w:rPr>
        <w:t xml:space="preserve"> </w:t>
      </w:r>
      <w:r w:rsidRPr="004647DC" w:rsidR="004647DC">
        <w:rPr>
          <w:rFonts w:ascii="Arial" w:hAnsi="Arial" w:cs="Arial"/>
          <w:sz w:val="24"/>
        </w:rPr>
        <w:t xml:space="preserve">Analyses will be conducted at the </w:t>
      </w:r>
      <w:r w:rsidR="00240A43">
        <w:rPr>
          <w:rFonts w:ascii="Arial" w:hAnsi="Arial" w:cs="Arial"/>
          <w:sz w:val="24"/>
        </w:rPr>
        <w:t>activity- and strategy-l</w:t>
      </w:r>
      <w:r w:rsidRPr="004647DC" w:rsidR="004647DC">
        <w:rPr>
          <w:rFonts w:ascii="Arial" w:hAnsi="Arial" w:cs="Arial"/>
          <w:sz w:val="24"/>
        </w:rPr>
        <w:t>evel</w:t>
      </w:r>
      <w:r w:rsidR="00240A43">
        <w:rPr>
          <w:rFonts w:ascii="Arial" w:hAnsi="Arial" w:cs="Arial"/>
          <w:sz w:val="24"/>
        </w:rPr>
        <w:t>s</w:t>
      </w:r>
      <w:r w:rsidRPr="004647DC" w:rsidR="004647DC">
        <w:rPr>
          <w:rFonts w:ascii="Arial" w:hAnsi="Arial" w:cs="Arial"/>
          <w:sz w:val="24"/>
        </w:rPr>
        <w:t xml:space="preserve"> in order to draw conclusions regarding implementation and outcomes of </w:t>
      </w:r>
      <w:r w:rsidR="00240A43">
        <w:rPr>
          <w:rFonts w:ascii="Arial" w:hAnsi="Arial" w:cs="Arial"/>
          <w:sz w:val="24"/>
        </w:rPr>
        <w:t xml:space="preserve">activities and </w:t>
      </w:r>
      <w:r w:rsidRPr="004647DC" w:rsidR="004647DC">
        <w:rPr>
          <w:rFonts w:ascii="Arial" w:hAnsi="Arial" w:cs="Arial"/>
          <w:sz w:val="24"/>
        </w:rPr>
        <w:t>strategies. Analysis will also be conducted at the grantee-level and the portfolio-level in order to develop findings across the various strategies and grantees. Descriptive statistics will be used to analyze quantitative data and content analysis will be used to analyze qualitative data. A mixed-methods analysis will incorporate the quantitative and qualitative data. A gap analysis, contribution analysis, trend analysis, and social net</w:t>
      </w:r>
      <w:r w:rsidR="004647DC">
        <w:rPr>
          <w:rFonts w:ascii="Arial" w:hAnsi="Arial" w:cs="Arial"/>
          <w:sz w:val="24"/>
        </w:rPr>
        <w:t>work analysis are also planned.</w:t>
      </w:r>
    </w:p>
    <w:p w:rsidR="004647DC" w:rsidP="00CA3DA6" w:rsidRDefault="005F677C" w14:paraId="1716D048" w14:textId="391FE7A3">
      <w:pPr>
        <w:spacing w:before="120"/>
        <w:ind w:left="360"/>
        <w:rPr>
          <w:rFonts w:ascii="Arial" w:hAnsi="Arial" w:cs="Arial"/>
          <w:sz w:val="24"/>
        </w:rPr>
      </w:pPr>
      <w:r w:rsidRPr="005F677C">
        <w:rPr>
          <w:rFonts w:ascii="Arial" w:hAnsi="Arial" w:cs="Arial"/>
          <w:b/>
          <w:sz w:val="24"/>
        </w:rPr>
        <w:t>Reports</w:t>
      </w:r>
      <w:r>
        <w:rPr>
          <w:rFonts w:ascii="Arial" w:hAnsi="Arial" w:cs="Arial"/>
          <w:b/>
          <w:sz w:val="24"/>
        </w:rPr>
        <w:t xml:space="preserve"> and Publication</w:t>
      </w:r>
      <w:r w:rsidRPr="005F677C">
        <w:rPr>
          <w:rFonts w:ascii="Arial" w:hAnsi="Arial" w:cs="Arial"/>
          <w:b/>
          <w:sz w:val="24"/>
        </w:rPr>
        <w:t>:</w:t>
      </w:r>
      <w:r w:rsidR="00E6329E">
        <w:rPr>
          <w:rFonts w:ascii="Arial" w:hAnsi="Arial" w:cs="Arial"/>
          <w:b/>
          <w:sz w:val="24"/>
        </w:rPr>
        <w:t xml:space="preserve"> </w:t>
      </w:r>
      <w:r w:rsidRPr="005F677C">
        <w:rPr>
          <w:rFonts w:ascii="Arial" w:hAnsi="Arial" w:cs="Arial"/>
          <w:b/>
          <w:sz w:val="24"/>
        </w:rPr>
        <w:t xml:space="preserve"> </w:t>
      </w:r>
      <w:r w:rsidR="004647DC">
        <w:rPr>
          <w:rFonts w:ascii="Arial" w:hAnsi="Arial" w:cs="Arial"/>
          <w:sz w:val="24"/>
        </w:rPr>
        <w:t xml:space="preserve">Annual reports will be produced that will </w:t>
      </w:r>
      <w:r w:rsidRPr="004647DC" w:rsidR="004647DC">
        <w:rPr>
          <w:rFonts w:ascii="Arial" w:hAnsi="Arial" w:cs="Arial"/>
          <w:sz w:val="24"/>
        </w:rPr>
        <w:t>describe data collection methods, preliminary results for each research question, and any limitations to results.</w:t>
      </w:r>
      <w:r w:rsidR="004647DC">
        <w:rPr>
          <w:rFonts w:ascii="Arial" w:hAnsi="Arial" w:cs="Arial"/>
          <w:sz w:val="24"/>
        </w:rPr>
        <w:t xml:space="preserve"> A final report will be produced that will discuss final results from data collection as well as the results of the gap analysis, contribution analysis, trend analysis, and social network analysis. </w:t>
      </w:r>
      <w:r w:rsidR="00520616">
        <w:rPr>
          <w:rFonts w:ascii="Arial" w:hAnsi="Arial" w:cs="Arial"/>
          <w:sz w:val="24"/>
        </w:rPr>
        <w:t xml:space="preserve">The evaluator will also submit abstracts for presentation at national conferences </w:t>
      </w:r>
      <w:r w:rsidR="00D17181">
        <w:rPr>
          <w:rFonts w:ascii="Arial" w:hAnsi="Arial" w:cs="Arial"/>
          <w:sz w:val="24"/>
        </w:rPr>
        <w:t xml:space="preserve">of </w:t>
      </w:r>
      <w:r w:rsidRPr="00520616" w:rsidR="00520616">
        <w:rPr>
          <w:rFonts w:ascii="Arial" w:hAnsi="Arial" w:cs="Arial"/>
          <w:sz w:val="24"/>
        </w:rPr>
        <w:t>prominent associations such as the American Public Health Association, American Evaluation Association, A</w:t>
      </w:r>
      <w:r w:rsidR="00294C92">
        <w:rPr>
          <w:rFonts w:ascii="Arial" w:hAnsi="Arial" w:cs="Arial"/>
          <w:sz w:val="24"/>
        </w:rPr>
        <w:t xml:space="preserve">merican </w:t>
      </w:r>
      <w:r w:rsidRPr="00520616" w:rsidR="00520616">
        <w:rPr>
          <w:rFonts w:ascii="Arial" w:hAnsi="Arial" w:cs="Arial"/>
          <w:sz w:val="24"/>
        </w:rPr>
        <w:t>C</w:t>
      </w:r>
      <w:r w:rsidR="00294C92">
        <w:rPr>
          <w:rFonts w:ascii="Arial" w:hAnsi="Arial" w:cs="Arial"/>
          <w:sz w:val="24"/>
        </w:rPr>
        <w:t xml:space="preserve">ollege of </w:t>
      </w:r>
      <w:r w:rsidRPr="00520616" w:rsidR="00520616">
        <w:rPr>
          <w:rFonts w:ascii="Arial" w:hAnsi="Arial" w:cs="Arial"/>
          <w:sz w:val="24"/>
        </w:rPr>
        <w:t>O</w:t>
      </w:r>
      <w:r w:rsidR="00294C92">
        <w:rPr>
          <w:rFonts w:ascii="Arial" w:hAnsi="Arial" w:cs="Arial"/>
          <w:sz w:val="24"/>
        </w:rPr>
        <w:t xml:space="preserve">bstetrics and </w:t>
      </w:r>
      <w:r w:rsidRPr="00520616" w:rsidR="00520616">
        <w:rPr>
          <w:rFonts w:ascii="Arial" w:hAnsi="Arial" w:cs="Arial"/>
          <w:sz w:val="24"/>
        </w:rPr>
        <w:t>G</w:t>
      </w:r>
      <w:r w:rsidR="00294C92">
        <w:rPr>
          <w:rFonts w:ascii="Arial" w:hAnsi="Arial" w:cs="Arial"/>
          <w:sz w:val="24"/>
        </w:rPr>
        <w:t>ynecology</w:t>
      </w:r>
      <w:r w:rsidRPr="00520616" w:rsidR="00520616">
        <w:rPr>
          <w:rFonts w:ascii="Arial" w:hAnsi="Arial" w:cs="Arial"/>
          <w:sz w:val="24"/>
        </w:rPr>
        <w:t>, and Association of Maternal and Child Health Programs.</w:t>
      </w:r>
      <w:r w:rsidR="00520616">
        <w:rPr>
          <w:rFonts w:ascii="Arial" w:hAnsi="Arial" w:cs="Arial"/>
          <w:sz w:val="24"/>
        </w:rPr>
        <w:t xml:space="preserve"> Additionally, the evaluator can </w:t>
      </w:r>
      <w:r w:rsidRPr="00520616" w:rsidR="00520616">
        <w:rPr>
          <w:rFonts w:ascii="Arial" w:hAnsi="Arial" w:cs="Arial"/>
          <w:sz w:val="24"/>
        </w:rPr>
        <w:t>develop special topic papers for state and national policy makers, practitioners, and the general public.</w:t>
      </w:r>
    </w:p>
    <w:p w:rsidR="004647DC" w:rsidP="004647DC" w:rsidRDefault="005F677C" w14:paraId="0EB694B8" w14:textId="3891DB12">
      <w:pPr>
        <w:spacing w:before="120"/>
        <w:ind w:left="360"/>
        <w:rPr>
          <w:rFonts w:ascii="Arial" w:hAnsi="Arial" w:cs="Arial"/>
          <w:sz w:val="24"/>
        </w:rPr>
      </w:pPr>
      <w:r w:rsidRPr="005F677C">
        <w:rPr>
          <w:rFonts w:ascii="Arial" w:hAnsi="Arial" w:cs="Arial"/>
          <w:b/>
          <w:sz w:val="24"/>
        </w:rPr>
        <w:t xml:space="preserve">Project Timeline: </w:t>
      </w:r>
      <w:r w:rsidR="00E6329E">
        <w:rPr>
          <w:rFonts w:ascii="Arial" w:hAnsi="Arial" w:cs="Arial"/>
          <w:b/>
          <w:sz w:val="24"/>
        </w:rPr>
        <w:t xml:space="preserve"> </w:t>
      </w:r>
      <w:r w:rsidRPr="004647DC" w:rsidR="004647DC">
        <w:rPr>
          <w:rFonts w:ascii="Arial" w:hAnsi="Arial" w:cs="Arial"/>
          <w:sz w:val="24"/>
        </w:rPr>
        <w:t>The majority of data collection and reporting is designed to occur on annual cycles with some data elements expected to be collected towards the beginning and end of program implementation. Since the evaluation will begin 1-2 years after the start of implementation, data collection is scheduled to occur very soon after the start of the evaluation period of performance</w:t>
      </w:r>
      <w:r w:rsidR="000B5FBA">
        <w:rPr>
          <w:rFonts w:ascii="Arial" w:hAnsi="Arial" w:cs="Arial"/>
          <w:sz w:val="24"/>
        </w:rPr>
        <w:t xml:space="preserve"> (</w:t>
      </w:r>
      <w:r w:rsidR="002072B9">
        <w:rPr>
          <w:rFonts w:ascii="Arial" w:hAnsi="Arial" w:cs="Arial"/>
          <w:sz w:val="24"/>
        </w:rPr>
        <w:t>2021</w:t>
      </w:r>
      <w:r w:rsidR="000B5FBA">
        <w:rPr>
          <w:rFonts w:ascii="Arial" w:hAnsi="Arial" w:cs="Arial"/>
          <w:sz w:val="24"/>
        </w:rPr>
        <w:t>)</w:t>
      </w:r>
      <w:r w:rsidRPr="004647DC" w:rsidR="004647DC">
        <w:rPr>
          <w:rFonts w:ascii="Arial" w:hAnsi="Arial" w:cs="Arial"/>
          <w:sz w:val="24"/>
        </w:rPr>
        <w:t xml:space="preserve">. The evaluation is proposed to continue one year after all grantees’ period of performance in order to account for time for final data to be submitted by grantees, reviewed and analyzed </w:t>
      </w:r>
      <w:r w:rsidRPr="004647DC" w:rsidR="004647DC">
        <w:rPr>
          <w:rFonts w:ascii="Arial" w:hAnsi="Arial" w:cs="Arial"/>
          <w:sz w:val="24"/>
        </w:rPr>
        <w:lastRenderedPageBreak/>
        <w:t xml:space="preserve">by the contracted evaluator. </w:t>
      </w:r>
      <w:r w:rsidR="000B5FBA">
        <w:rPr>
          <w:rFonts w:ascii="Arial" w:hAnsi="Arial" w:cs="Arial"/>
          <w:sz w:val="24"/>
        </w:rPr>
        <w:t xml:space="preserve">The table below </w:t>
      </w:r>
      <w:r w:rsidRPr="004647DC" w:rsidR="004647DC">
        <w:rPr>
          <w:rFonts w:ascii="Arial" w:hAnsi="Arial" w:cs="Arial"/>
          <w:sz w:val="24"/>
        </w:rPr>
        <w:t>outlines the anticipated evaluation timeline, including data collection and reporting, for each year of the proposed evaluation</w:t>
      </w:r>
      <w:r w:rsidR="000B5FBA">
        <w:rPr>
          <w:rFonts w:ascii="Arial" w:hAnsi="Arial" w:cs="Arial"/>
          <w:sz w:val="24"/>
        </w:rPr>
        <w:t xml:space="preserve">. </w:t>
      </w:r>
    </w:p>
    <w:p w:rsidR="000B5FBA" w:rsidP="004647DC" w:rsidRDefault="000B5FBA" w14:paraId="154143FB" w14:textId="77777777">
      <w:pPr>
        <w:spacing w:before="120"/>
        <w:ind w:left="360"/>
        <w:rPr>
          <w:rFonts w:ascii="Arial" w:hAnsi="Arial" w:cs="Arial"/>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4815"/>
        <w:gridCol w:w="4535"/>
      </w:tblGrid>
      <w:tr w:rsidR="000B5FBA" w:rsidTr="000B5FBA" w14:paraId="64026E07" w14:textId="77777777">
        <w:trPr>
          <w:tblHeader/>
        </w:trPr>
        <w:tc>
          <w:tcPr>
            <w:tcW w:w="4815" w:type="dxa"/>
            <w:tcBorders>
              <w:top w:val="single" w:color="000000" w:sz="4" w:space="0"/>
              <w:left w:val="single" w:color="000000" w:sz="4" w:space="0"/>
              <w:bottom w:val="single" w:color="000000" w:sz="4" w:space="0"/>
              <w:right w:val="single" w:color="000000" w:sz="4" w:space="0"/>
            </w:tcBorders>
            <w:shd w:val="clear" w:color="auto" w:fill="365F91" w:themeFill="accent1" w:themeFillShade="BF"/>
            <w:hideMark/>
          </w:tcPr>
          <w:p w:rsidRPr="000B5FBA" w:rsidR="000B5FBA" w:rsidRDefault="000B5FBA" w14:paraId="42B48B4B" w14:textId="77777777">
            <w:pPr>
              <w:jc w:val="center"/>
              <w:rPr>
                <w:rFonts w:ascii="Arial Narrow" w:hAnsi="Arial Narrow"/>
                <w:b/>
                <w:color w:val="FFFFFF" w:themeColor="background1"/>
                <w:szCs w:val="22"/>
              </w:rPr>
            </w:pPr>
            <w:r w:rsidRPr="000B5FBA">
              <w:rPr>
                <w:rFonts w:ascii="Arial Narrow" w:hAnsi="Arial Narrow"/>
                <w:b/>
                <w:color w:val="FFFFFF" w:themeColor="background1"/>
                <w:szCs w:val="22"/>
              </w:rPr>
              <w:t>Task</w:t>
            </w:r>
          </w:p>
        </w:tc>
        <w:tc>
          <w:tcPr>
            <w:tcW w:w="4535" w:type="dxa"/>
            <w:tcBorders>
              <w:top w:val="single" w:color="000000" w:sz="4" w:space="0"/>
              <w:left w:val="single" w:color="000000" w:sz="4" w:space="0"/>
              <w:bottom w:val="single" w:color="000000" w:sz="4" w:space="0"/>
              <w:right w:val="single" w:color="000000" w:sz="4" w:space="0"/>
            </w:tcBorders>
            <w:shd w:val="clear" w:color="auto" w:fill="365F91" w:themeFill="accent1" w:themeFillShade="BF"/>
            <w:hideMark/>
          </w:tcPr>
          <w:p w:rsidRPr="000B5FBA" w:rsidR="000B5FBA" w:rsidRDefault="000B5FBA" w14:paraId="23508B73" w14:textId="77777777">
            <w:pPr>
              <w:jc w:val="center"/>
              <w:rPr>
                <w:rFonts w:ascii="Arial Narrow" w:hAnsi="Arial Narrow"/>
                <w:b/>
                <w:color w:val="FFFFFF" w:themeColor="background1"/>
                <w:szCs w:val="22"/>
              </w:rPr>
            </w:pPr>
            <w:r w:rsidRPr="000B5FBA">
              <w:rPr>
                <w:rFonts w:ascii="Arial Narrow" w:hAnsi="Arial Narrow"/>
                <w:b/>
                <w:color w:val="FFFFFF" w:themeColor="background1"/>
                <w:szCs w:val="22"/>
              </w:rPr>
              <w:t>Timing</w:t>
            </w:r>
          </w:p>
        </w:tc>
      </w:tr>
      <w:tr w:rsidR="000B5FBA" w:rsidTr="000B5FBA" w14:paraId="548EFA76" w14:textId="77777777">
        <w:tc>
          <w:tcPr>
            <w:tcW w:w="4815" w:type="dxa"/>
            <w:tcBorders>
              <w:top w:val="single" w:color="000000" w:sz="4" w:space="0"/>
              <w:left w:val="single" w:color="000000" w:sz="4" w:space="0"/>
              <w:bottom w:val="single" w:color="000000" w:sz="4" w:space="0"/>
              <w:right w:val="single" w:color="000000" w:sz="4" w:space="0"/>
            </w:tcBorders>
          </w:tcPr>
          <w:p w:rsidR="000B5FBA" w:rsidRDefault="000B5FBA" w14:paraId="120A3A44" w14:textId="65E9F91D">
            <w:pPr>
              <w:rPr>
                <w:rFonts w:ascii="Arial Narrow" w:hAnsi="Arial Narrow"/>
                <w:szCs w:val="22"/>
              </w:rPr>
            </w:pPr>
            <w:r>
              <w:rPr>
                <w:rFonts w:ascii="Arial Narrow" w:hAnsi="Arial Narrow"/>
                <w:szCs w:val="22"/>
              </w:rPr>
              <w:t>Collect and analyze HRSA Program Documents (grantee applications, reports, program call templates)</w:t>
            </w:r>
          </w:p>
        </w:tc>
        <w:tc>
          <w:tcPr>
            <w:tcW w:w="4535" w:type="dxa"/>
            <w:tcBorders>
              <w:top w:val="single" w:color="000000" w:sz="4" w:space="0"/>
              <w:left w:val="single" w:color="000000" w:sz="4" w:space="0"/>
              <w:bottom w:val="single" w:color="000000" w:sz="4" w:space="0"/>
              <w:right w:val="single" w:color="000000" w:sz="4" w:space="0"/>
            </w:tcBorders>
          </w:tcPr>
          <w:p w:rsidR="000B5FBA" w:rsidP="002072B9" w:rsidRDefault="002072B9" w14:paraId="2D69F2A9" w14:textId="162C0297">
            <w:pPr>
              <w:jc w:val="center"/>
              <w:rPr>
                <w:rFonts w:ascii="Arial Narrow" w:hAnsi="Arial Narrow"/>
                <w:szCs w:val="22"/>
              </w:rPr>
            </w:pPr>
            <w:r>
              <w:rPr>
                <w:rFonts w:ascii="Arial Narrow" w:hAnsi="Arial Narrow"/>
                <w:szCs w:val="22"/>
              </w:rPr>
              <w:t>January</w:t>
            </w:r>
            <w:r w:rsidR="000B5FBA">
              <w:rPr>
                <w:rFonts w:ascii="Arial Narrow" w:hAnsi="Arial Narrow"/>
                <w:szCs w:val="22"/>
              </w:rPr>
              <w:t xml:space="preserve"> 202</w:t>
            </w:r>
            <w:r>
              <w:rPr>
                <w:rFonts w:ascii="Arial Narrow" w:hAnsi="Arial Narrow"/>
                <w:szCs w:val="22"/>
              </w:rPr>
              <w:t>1</w:t>
            </w:r>
            <w:r w:rsidR="000B5FBA">
              <w:rPr>
                <w:rFonts w:ascii="Arial Narrow" w:hAnsi="Arial Narrow"/>
                <w:szCs w:val="22"/>
              </w:rPr>
              <w:t>- August 2024</w:t>
            </w:r>
          </w:p>
        </w:tc>
      </w:tr>
      <w:tr w:rsidR="000B5FBA" w:rsidTr="000B5FBA" w14:paraId="4B1B41E9" w14:textId="77777777">
        <w:tc>
          <w:tcPr>
            <w:tcW w:w="4815" w:type="dxa"/>
            <w:tcBorders>
              <w:top w:val="single" w:color="000000" w:sz="4" w:space="0"/>
              <w:left w:val="single" w:color="000000" w:sz="4" w:space="0"/>
              <w:bottom w:val="single" w:color="000000" w:sz="4" w:space="0"/>
              <w:right w:val="single" w:color="000000" w:sz="4" w:space="0"/>
            </w:tcBorders>
          </w:tcPr>
          <w:p w:rsidR="000B5FBA" w:rsidRDefault="000B5FBA" w14:paraId="0C2B5C22" w14:textId="150CB524">
            <w:pPr>
              <w:rPr>
                <w:rFonts w:ascii="Arial Narrow" w:hAnsi="Arial Narrow"/>
                <w:szCs w:val="22"/>
              </w:rPr>
            </w:pPr>
            <w:r>
              <w:rPr>
                <w:rFonts w:ascii="Arial Narrow" w:hAnsi="Arial Narrow"/>
                <w:szCs w:val="22"/>
              </w:rPr>
              <w:t xml:space="preserve">Collect and analyze additional secondary data sources (AIM Data Center, AIM-CCI Portal, </w:t>
            </w:r>
            <w:proofErr w:type="spellStart"/>
            <w:r>
              <w:rPr>
                <w:rFonts w:ascii="Arial Narrow" w:hAnsi="Arial Narrow"/>
                <w:szCs w:val="22"/>
              </w:rPr>
              <w:t>RMOMS</w:t>
            </w:r>
            <w:proofErr w:type="spellEnd"/>
            <w:r>
              <w:rPr>
                <w:rFonts w:ascii="Arial Narrow" w:hAnsi="Arial Narrow"/>
                <w:szCs w:val="22"/>
              </w:rPr>
              <w:t xml:space="preserve"> report, State </w:t>
            </w:r>
            <w:proofErr w:type="spellStart"/>
            <w:r>
              <w:rPr>
                <w:rFonts w:ascii="Arial Narrow" w:hAnsi="Arial Narrow"/>
                <w:szCs w:val="22"/>
              </w:rPr>
              <w:t>MHI</w:t>
            </w:r>
            <w:proofErr w:type="spellEnd"/>
            <w:r>
              <w:rPr>
                <w:rFonts w:ascii="Arial Narrow" w:hAnsi="Arial Narrow"/>
                <w:szCs w:val="22"/>
              </w:rPr>
              <w:t xml:space="preserve"> plans and other polices and data)</w:t>
            </w:r>
          </w:p>
        </w:tc>
        <w:tc>
          <w:tcPr>
            <w:tcW w:w="4535" w:type="dxa"/>
            <w:tcBorders>
              <w:top w:val="single" w:color="000000" w:sz="4" w:space="0"/>
              <w:left w:val="single" w:color="000000" w:sz="4" w:space="0"/>
              <w:bottom w:val="single" w:color="000000" w:sz="4" w:space="0"/>
              <w:right w:val="single" w:color="000000" w:sz="4" w:space="0"/>
            </w:tcBorders>
          </w:tcPr>
          <w:p w:rsidR="000B5FBA" w:rsidRDefault="002072B9" w14:paraId="428B1183" w14:textId="54A3404D">
            <w:pPr>
              <w:jc w:val="center"/>
              <w:rPr>
                <w:rFonts w:ascii="Arial Narrow" w:hAnsi="Arial Narrow"/>
                <w:szCs w:val="22"/>
              </w:rPr>
            </w:pPr>
            <w:r>
              <w:rPr>
                <w:rFonts w:ascii="Arial Narrow" w:hAnsi="Arial Narrow"/>
                <w:szCs w:val="22"/>
              </w:rPr>
              <w:t>January 2021– November 2021</w:t>
            </w:r>
          </w:p>
          <w:p w:rsidR="000B5FBA" w:rsidP="000B5FBA" w:rsidRDefault="000B5FBA" w14:paraId="16D1E143" w14:textId="472AEF34">
            <w:pPr>
              <w:jc w:val="center"/>
              <w:rPr>
                <w:rFonts w:ascii="Arial Narrow" w:hAnsi="Arial Narrow"/>
                <w:szCs w:val="22"/>
              </w:rPr>
            </w:pPr>
            <w:r>
              <w:rPr>
                <w:rFonts w:ascii="Arial Narrow" w:hAnsi="Arial Narrow"/>
                <w:szCs w:val="22"/>
              </w:rPr>
              <w:t>September 2021 – November 2021</w:t>
            </w:r>
          </w:p>
          <w:p w:rsidR="000B5FBA" w:rsidP="000B5FBA" w:rsidRDefault="000B5FBA" w14:paraId="0CBB9724" w14:textId="1C7D27CE">
            <w:pPr>
              <w:jc w:val="center"/>
              <w:rPr>
                <w:rFonts w:ascii="Arial Narrow" w:hAnsi="Arial Narrow"/>
                <w:szCs w:val="22"/>
              </w:rPr>
            </w:pPr>
            <w:r>
              <w:rPr>
                <w:rFonts w:ascii="Arial Narrow" w:hAnsi="Arial Narrow"/>
                <w:szCs w:val="22"/>
              </w:rPr>
              <w:t>September 2022 – November 2022</w:t>
            </w:r>
          </w:p>
          <w:p w:rsidR="000B5FBA" w:rsidP="000B5FBA" w:rsidRDefault="000B5FBA" w14:paraId="13A204B7" w14:textId="64E0296D">
            <w:pPr>
              <w:jc w:val="center"/>
              <w:rPr>
                <w:rFonts w:ascii="Arial Narrow" w:hAnsi="Arial Narrow"/>
                <w:szCs w:val="22"/>
              </w:rPr>
            </w:pPr>
            <w:r>
              <w:rPr>
                <w:rFonts w:ascii="Arial Narrow" w:hAnsi="Arial Narrow"/>
                <w:szCs w:val="22"/>
              </w:rPr>
              <w:t>September 2023 – November 2023</w:t>
            </w:r>
          </w:p>
          <w:p w:rsidR="000B5FBA" w:rsidRDefault="000B5FBA" w14:paraId="767A40F7" w14:textId="25CBCF06">
            <w:pPr>
              <w:jc w:val="center"/>
              <w:rPr>
                <w:rFonts w:ascii="Arial Narrow" w:hAnsi="Arial Narrow"/>
                <w:szCs w:val="22"/>
              </w:rPr>
            </w:pPr>
          </w:p>
        </w:tc>
      </w:tr>
      <w:tr w:rsidR="000B5FBA" w:rsidTr="000B5FBA" w14:paraId="73B8D1F1" w14:textId="77777777">
        <w:tc>
          <w:tcPr>
            <w:tcW w:w="4815" w:type="dxa"/>
            <w:tcBorders>
              <w:top w:val="single" w:color="000000" w:sz="4" w:space="0"/>
              <w:left w:val="single" w:color="000000" w:sz="4" w:space="0"/>
              <w:bottom w:val="single" w:color="000000" w:sz="4" w:space="0"/>
              <w:right w:val="single" w:color="000000" w:sz="4" w:space="0"/>
            </w:tcBorders>
          </w:tcPr>
          <w:p w:rsidR="000B5FBA" w:rsidRDefault="000B5FBA" w14:paraId="6FBC5CFC" w14:textId="5BECA2CB">
            <w:pPr>
              <w:rPr>
                <w:rFonts w:ascii="Arial Narrow" w:hAnsi="Arial Narrow"/>
                <w:szCs w:val="22"/>
              </w:rPr>
            </w:pPr>
            <w:r>
              <w:rPr>
                <w:rFonts w:ascii="Arial Narrow" w:hAnsi="Arial Narrow"/>
                <w:szCs w:val="22"/>
              </w:rPr>
              <w:t xml:space="preserve">Interviews </w:t>
            </w:r>
            <w:r w:rsidR="00F45424">
              <w:rPr>
                <w:rFonts w:ascii="Arial Narrow" w:hAnsi="Arial Narrow"/>
                <w:szCs w:val="22"/>
              </w:rPr>
              <w:t xml:space="preserve">with program staff and HRSA Project Officers </w:t>
            </w:r>
          </w:p>
        </w:tc>
        <w:tc>
          <w:tcPr>
            <w:tcW w:w="4535" w:type="dxa"/>
            <w:tcBorders>
              <w:top w:val="single" w:color="000000" w:sz="4" w:space="0"/>
              <w:left w:val="single" w:color="000000" w:sz="4" w:space="0"/>
              <w:bottom w:val="single" w:color="000000" w:sz="4" w:space="0"/>
              <w:right w:val="single" w:color="000000" w:sz="4" w:space="0"/>
            </w:tcBorders>
          </w:tcPr>
          <w:p w:rsidR="000B5FBA" w:rsidRDefault="002072B9" w14:paraId="1E12E62F" w14:textId="538B389C">
            <w:pPr>
              <w:jc w:val="center"/>
              <w:rPr>
                <w:rFonts w:ascii="Arial Narrow" w:hAnsi="Arial Narrow"/>
                <w:szCs w:val="22"/>
              </w:rPr>
            </w:pPr>
            <w:r>
              <w:rPr>
                <w:rFonts w:ascii="Arial Narrow" w:hAnsi="Arial Narrow"/>
                <w:szCs w:val="22"/>
              </w:rPr>
              <w:t>January 2021</w:t>
            </w:r>
            <w:r w:rsidR="00F45424">
              <w:rPr>
                <w:rFonts w:ascii="Arial Narrow" w:hAnsi="Arial Narrow"/>
                <w:szCs w:val="22"/>
              </w:rPr>
              <w:t>-May 202</w:t>
            </w:r>
            <w:r>
              <w:rPr>
                <w:rFonts w:ascii="Arial Narrow" w:hAnsi="Arial Narrow"/>
                <w:szCs w:val="22"/>
              </w:rPr>
              <w:t>1</w:t>
            </w:r>
          </w:p>
          <w:p w:rsidR="00F45424" w:rsidP="00F45424" w:rsidRDefault="00F45424" w14:paraId="54503604" w14:textId="1441787B">
            <w:pPr>
              <w:jc w:val="center"/>
              <w:rPr>
                <w:rFonts w:ascii="Arial Narrow" w:hAnsi="Arial Narrow"/>
                <w:szCs w:val="22"/>
              </w:rPr>
            </w:pPr>
            <w:r>
              <w:rPr>
                <w:rFonts w:ascii="Arial Narrow" w:hAnsi="Arial Narrow"/>
                <w:szCs w:val="22"/>
              </w:rPr>
              <w:t>October 2021-May 2021</w:t>
            </w:r>
          </w:p>
          <w:p w:rsidR="00F45424" w:rsidP="00F45424" w:rsidRDefault="00F45424" w14:paraId="24351D95" w14:textId="58D24F8C">
            <w:pPr>
              <w:jc w:val="center"/>
              <w:rPr>
                <w:rFonts w:ascii="Arial Narrow" w:hAnsi="Arial Narrow"/>
                <w:szCs w:val="22"/>
              </w:rPr>
            </w:pPr>
            <w:r>
              <w:rPr>
                <w:rFonts w:ascii="Arial Narrow" w:hAnsi="Arial Narrow"/>
                <w:szCs w:val="22"/>
              </w:rPr>
              <w:t>October 2022-May 2022</w:t>
            </w:r>
          </w:p>
          <w:p w:rsidR="00F45424" w:rsidP="00F45424" w:rsidRDefault="00F45424" w14:paraId="28482B7B" w14:textId="72E5FB73">
            <w:pPr>
              <w:jc w:val="center"/>
              <w:rPr>
                <w:rFonts w:ascii="Arial Narrow" w:hAnsi="Arial Narrow"/>
                <w:szCs w:val="22"/>
              </w:rPr>
            </w:pPr>
            <w:r>
              <w:rPr>
                <w:rFonts w:ascii="Arial Narrow" w:hAnsi="Arial Narrow"/>
                <w:szCs w:val="22"/>
              </w:rPr>
              <w:t>October 2023-May 2023</w:t>
            </w:r>
          </w:p>
        </w:tc>
      </w:tr>
      <w:tr w:rsidR="000B5FBA" w:rsidTr="000B5FBA" w14:paraId="7347F68F" w14:textId="77777777">
        <w:tc>
          <w:tcPr>
            <w:tcW w:w="4815" w:type="dxa"/>
            <w:tcBorders>
              <w:top w:val="single" w:color="000000" w:sz="4" w:space="0"/>
              <w:left w:val="single" w:color="000000" w:sz="4" w:space="0"/>
              <w:bottom w:val="single" w:color="000000" w:sz="4" w:space="0"/>
              <w:right w:val="single" w:color="000000" w:sz="4" w:space="0"/>
            </w:tcBorders>
          </w:tcPr>
          <w:p w:rsidR="000B5FBA" w:rsidRDefault="00F45424" w14:paraId="145AF69A" w14:textId="7BEC5B3E">
            <w:pPr>
              <w:rPr>
                <w:rFonts w:ascii="Arial Narrow" w:hAnsi="Arial Narrow"/>
                <w:szCs w:val="22"/>
              </w:rPr>
            </w:pPr>
            <w:r>
              <w:rPr>
                <w:rFonts w:ascii="Arial Narrow" w:hAnsi="Arial Narrow"/>
                <w:szCs w:val="22"/>
              </w:rPr>
              <w:t>Web-based Data Collection Tool</w:t>
            </w:r>
          </w:p>
        </w:tc>
        <w:tc>
          <w:tcPr>
            <w:tcW w:w="4535" w:type="dxa"/>
            <w:tcBorders>
              <w:top w:val="single" w:color="000000" w:sz="4" w:space="0"/>
              <w:left w:val="single" w:color="000000" w:sz="4" w:space="0"/>
              <w:bottom w:val="single" w:color="000000" w:sz="4" w:space="0"/>
              <w:right w:val="single" w:color="000000" w:sz="4" w:space="0"/>
            </w:tcBorders>
          </w:tcPr>
          <w:p w:rsidR="00F45424" w:rsidRDefault="00F45424" w14:paraId="5E934C13" w14:textId="1C98EA14">
            <w:pPr>
              <w:jc w:val="center"/>
              <w:rPr>
                <w:rFonts w:ascii="Arial Narrow" w:hAnsi="Arial Narrow"/>
                <w:szCs w:val="22"/>
              </w:rPr>
            </w:pPr>
            <w:r>
              <w:rPr>
                <w:rFonts w:ascii="Arial Narrow" w:hAnsi="Arial Narrow"/>
                <w:szCs w:val="22"/>
              </w:rPr>
              <w:t>April 2021-May 2021</w:t>
            </w:r>
          </w:p>
          <w:p w:rsidR="00F45424" w:rsidRDefault="00F45424" w14:paraId="7CD1753D" w14:textId="48D9A750">
            <w:pPr>
              <w:jc w:val="center"/>
              <w:rPr>
                <w:rFonts w:ascii="Arial Narrow" w:hAnsi="Arial Narrow"/>
                <w:szCs w:val="22"/>
              </w:rPr>
            </w:pPr>
            <w:r>
              <w:rPr>
                <w:rFonts w:ascii="Arial Narrow" w:hAnsi="Arial Narrow"/>
                <w:szCs w:val="22"/>
              </w:rPr>
              <w:t>April 2022-May 2022</w:t>
            </w:r>
          </w:p>
          <w:p w:rsidR="00F45424" w:rsidP="00F45424" w:rsidRDefault="00F45424" w14:paraId="24FDB4CC" w14:textId="77777777">
            <w:pPr>
              <w:jc w:val="center"/>
              <w:rPr>
                <w:rFonts w:ascii="Arial Narrow" w:hAnsi="Arial Narrow"/>
                <w:szCs w:val="22"/>
              </w:rPr>
            </w:pPr>
            <w:r>
              <w:rPr>
                <w:rFonts w:ascii="Arial Narrow" w:hAnsi="Arial Narrow"/>
                <w:szCs w:val="22"/>
              </w:rPr>
              <w:t>April 2023-May 2023</w:t>
            </w:r>
          </w:p>
          <w:p w:rsidR="00F45424" w:rsidP="00F45424" w:rsidRDefault="00F45424" w14:paraId="00B322BA" w14:textId="340DCE14">
            <w:pPr>
              <w:jc w:val="center"/>
              <w:rPr>
                <w:rFonts w:ascii="Arial Narrow" w:hAnsi="Arial Narrow"/>
                <w:szCs w:val="22"/>
              </w:rPr>
            </w:pPr>
            <w:r>
              <w:rPr>
                <w:rFonts w:ascii="Arial Narrow" w:hAnsi="Arial Narrow"/>
                <w:szCs w:val="22"/>
              </w:rPr>
              <w:t>April 2024-May 2024</w:t>
            </w:r>
          </w:p>
        </w:tc>
      </w:tr>
      <w:tr w:rsidR="00F45424" w:rsidTr="000B5FBA" w14:paraId="3FC74497" w14:textId="77777777">
        <w:tc>
          <w:tcPr>
            <w:tcW w:w="4815" w:type="dxa"/>
            <w:tcBorders>
              <w:top w:val="single" w:color="000000" w:sz="4" w:space="0"/>
              <w:left w:val="single" w:color="000000" w:sz="4" w:space="0"/>
              <w:bottom w:val="single" w:color="000000" w:sz="4" w:space="0"/>
              <w:right w:val="single" w:color="000000" w:sz="4" w:space="0"/>
            </w:tcBorders>
          </w:tcPr>
          <w:p w:rsidR="00F45424" w:rsidRDefault="00F45424" w14:paraId="19567D29" w14:textId="079FE267">
            <w:pPr>
              <w:rPr>
                <w:rFonts w:ascii="Arial Narrow" w:hAnsi="Arial Narrow"/>
                <w:szCs w:val="22"/>
              </w:rPr>
            </w:pPr>
            <w:r>
              <w:rPr>
                <w:rFonts w:ascii="Arial Narrow" w:hAnsi="Arial Narrow"/>
                <w:szCs w:val="22"/>
              </w:rPr>
              <w:t>Partnership Survey</w:t>
            </w:r>
          </w:p>
        </w:tc>
        <w:tc>
          <w:tcPr>
            <w:tcW w:w="4535" w:type="dxa"/>
            <w:tcBorders>
              <w:top w:val="single" w:color="000000" w:sz="4" w:space="0"/>
              <w:left w:val="single" w:color="000000" w:sz="4" w:space="0"/>
              <w:bottom w:val="single" w:color="000000" w:sz="4" w:space="0"/>
              <w:right w:val="single" w:color="000000" w:sz="4" w:space="0"/>
            </w:tcBorders>
          </w:tcPr>
          <w:p w:rsidR="00F45424" w:rsidRDefault="00F45424" w14:paraId="260C4532" w14:textId="1BBD4E48">
            <w:pPr>
              <w:jc w:val="center"/>
              <w:rPr>
                <w:rFonts w:ascii="Arial Narrow" w:hAnsi="Arial Narrow"/>
                <w:szCs w:val="22"/>
              </w:rPr>
            </w:pPr>
            <w:r>
              <w:rPr>
                <w:rFonts w:ascii="Arial Narrow" w:hAnsi="Arial Narrow"/>
                <w:szCs w:val="22"/>
              </w:rPr>
              <w:t>November 2023-February 2024</w:t>
            </w:r>
          </w:p>
        </w:tc>
      </w:tr>
      <w:tr w:rsidR="00F45424" w:rsidTr="000B5FBA" w14:paraId="2998234E" w14:textId="77777777">
        <w:tc>
          <w:tcPr>
            <w:tcW w:w="4815" w:type="dxa"/>
            <w:tcBorders>
              <w:top w:val="single" w:color="000000" w:sz="4" w:space="0"/>
              <w:left w:val="single" w:color="000000" w:sz="4" w:space="0"/>
              <w:bottom w:val="single" w:color="000000" w:sz="4" w:space="0"/>
              <w:right w:val="single" w:color="000000" w:sz="4" w:space="0"/>
            </w:tcBorders>
          </w:tcPr>
          <w:p w:rsidR="00F45424" w:rsidRDefault="00F45424" w14:paraId="225A031E" w14:textId="74C71BDC">
            <w:pPr>
              <w:rPr>
                <w:rFonts w:ascii="Arial Narrow" w:hAnsi="Arial Narrow"/>
                <w:szCs w:val="22"/>
              </w:rPr>
            </w:pPr>
            <w:r>
              <w:rPr>
                <w:rFonts w:ascii="Arial Narrow" w:hAnsi="Arial Narrow"/>
                <w:szCs w:val="22"/>
              </w:rPr>
              <w:t>Annual Reports</w:t>
            </w:r>
          </w:p>
        </w:tc>
        <w:tc>
          <w:tcPr>
            <w:tcW w:w="4535" w:type="dxa"/>
            <w:tcBorders>
              <w:top w:val="single" w:color="000000" w:sz="4" w:space="0"/>
              <w:left w:val="single" w:color="000000" w:sz="4" w:space="0"/>
              <w:bottom w:val="single" w:color="000000" w:sz="4" w:space="0"/>
              <w:right w:val="single" w:color="000000" w:sz="4" w:space="0"/>
            </w:tcBorders>
          </w:tcPr>
          <w:p w:rsidR="00F45424" w:rsidRDefault="00F45424" w14:paraId="72365642" w14:textId="74E148EE">
            <w:pPr>
              <w:jc w:val="center"/>
              <w:rPr>
                <w:rFonts w:ascii="Arial Narrow" w:hAnsi="Arial Narrow"/>
                <w:szCs w:val="22"/>
              </w:rPr>
            </w:pPr>
            <w:r>
              <w:rPr>
                <w:rFonts w:ascii="Arial Narrow" w:hAnsi="Arial Narrow"/>
                <w:szCs w:val="22"/>
              </w:rPr>
              <w:t>September 2020- August 2024</w:t>
            </w:r>
          </w:p>
        </w:tc>
      </w:tr>
      <w:tr w:rsidR="00F45424" w:rsidTr="000B5FBA" w14:paraId="574EE10E" w14:textId="77777777">
        <w:tc>
          <w:tcPr>
            <w:tcW w:w="4815" w:type="dxa"/>
            <w:tcBorders>
              <w:top w:val="single" w:color="000000" w:sz="4" w:space="0"/>
              <w:left w:val="single" w:color="000000" w:sz="4" w:space="0"/>
              <w:bottom w:val="single" w:color="000000" w:sz="4" w:space="0"/>
              <w:right w:val="single" w:color="000000" w:sz="4" w:space="0"/>
            </w:tcBorders>
          </w:tcPr>
          <w:p w:rsidR="00F45424" w:rsidRDefault="00F45424" w14:paraId="7848ED80" w14:textId="081CAF8E">
            <w:pPr>
              <w:rPr>
                <w:rFonts w:ascii="Arial Narrow" w:hAnsi="Arial Narrow"/>
                <w:szCs w:val="22"/>
              </w:rPr>
            </w:pPr>
            <w:r>
              <w:rPr>
                <w:rFonts w:ascii="Arial Narrow" w:hAnsi="Arial Narrow"/>
                <w:szCs w:val="22"/>
              </w:rPr>
              <w:t>Final Report</w:t>
            </w:r>
          </w:p>
        </w:tc>
        <w:tc>
          <w:tcPr>
            <w:tcW w:w="4535" w:type="dxa"/>
            <w:tcBorders>
              <w:top w:val="single" w:color="000000" w:sz="4" w:space="0"/>
              <w:left w:val="single" w:color="000000" w:sz="4" w:space="0"/>
              <w:bottom w:val="single" w:color="000000" w:sz="4" w:space="0"/>
              <w:right w:val="single" w:color="000000" w:sz="4" w:space="0"/>
            </w:tcBorders>
          </w:tcPr>
          <w:p w:rsidR="00F45424" w:rsidP="00F45424" w:rsidRDefault="00F45424" w14:paraId="20CC43B9" w14:textId="204FC55D">
            <w:pPr>
              <w:jc w:val="center"/>
              <w:rPr>
                <w:rFonts w:ascii="Arial Narrow" w:hAnsi="Arial Narrow"/>
                <w:szCs w:val="22"/>
              </w:rPr>
            </w:pPr>
            <w:r>
              <w:rPr>
                <w:rFonts w:ascii="Arial Narrow" w:hAnsi="Arial Narrow"/>
                <w:szCs w:val="22"/>
              </w:rPr>
              <w:t>November 2024-August 2025</w:t>
            </w:r>
          </w:p>
        </w:tc>
      </w:tr>
      <w:tr w:rsidR="00520616" w:rsidTr="000B5FBA" w14:paraId="2C5A2007" w14:textId="77777777">
        <w:tc>
          <w:tcPr>
            <w:tcW w:w="4815" w:type="dxa"/>
            <w:tcBorders>
              <w:top w:val="single" w:color="000000" w:sz="4" w:space="0"/>
              <w:left w:val="single" w:color="000000" w:sz="4" w:space="0"/>
              <w:bottom w:val="single" w:color="000000" w:sz="4" w:space="0"/>
              <w:right w:val="single" w:color="000000" w:sz="4" w:space="0"/>
            </w:tcBorders>
          </w:tcPr>
          <w:p w:rsidR="00520616" w:rsidRDefault="00520616" w14:paraId="2ECE2793" w14:textId="083E8524">
            <w:pPr>
              <w:rPr>
                <w:rFonts w:ascii="Arial Narrow" w:hAnsi="Arial Narrow"/>
                <w:szCs w:val="22"/>
              </w:rPr>
            </w:pPr>
            <w:r>
              <w:rPr>
                <w:rFonts w:ascii="Arial Narrow" w:hAnsi="Arial Narrow"/>
                <w:szCs w:val="22"/>
              </w:rPr>
              <w:t>Conferences and Special Topics Papers</w:t>
            </w:r>
          </w:p>
        </w:tc>
        <w:tc>
          <w:tcPr>
            <w:tcW w:w="4535" w:type="dxa"/>
            <w:tcBorders>
              <w:top w:val="single" w:color="000000" w:sz="4" w:space="0"/>
              <w:left w:val="single" w:color="000000" w:sz="4" w:space="0"/>
              <w:bottom w:val="single" w:color="000000" w:sz="4" w:space="0"/>
              <w:right w:val="single" w:color="000000" w:sz="4" w:space="0"/>
            </w:tcBorders>
          </w:tcPr>
          <w:p w:rsidR="00520616" w:rsidP="00F45424" w:rsidRDefault="00520616" w14:paraId="35D0F52A" w14:textId="2588972D">
            <w:pPr>
              <w:jc w:val="center"/>
              <w:rPr>
                <w:rFonts w:ascii="Arial Narrow" w:hAnsi="Arial Narrow"/>
                <w:szCs w:val="22"/>
              </w:rPr>
            </w:pPr>
            <w:r>
              <w:rPr>
                <w:rFonts w:ascii="Arial Narrow" w:hAnsi="Arial Narrow"/>
                <w:szCs w:val="22"/>
              </w:rPr>
              <w:t>November 2024-August 2025</w:t>
            </w:r>
          </w:p>
        </w:tc>
      </w:tr>
    </w:tbl>
    <w:p w:rsidRPr="00C45431" w:rsidR="009B3794" w:rsidP="00CA3DA6" w:rsidRDefault="00E6329E" w14:paraId="69C63917" w14:textId="40AE743A">
      <w:pPr>
        <w:numPr>
          <w:ilvl w:val="0"/>
          <w:numId w:val="2"/>
        </w:numPr>
        <w:tabs>
          <w:tab w:val="num" w:pos="360"/>
        </w:tabs>
        <w:spacing w:before="240"/>
        <w:ind w:left="360"/>
        <w:rPr>
          <w:rFonts w:ascii="Arial" w:hAnsi="Arial" w:cs="Arial"/>
          <w:b/>
          <w:sz w:val="24"/>
        </w:rPr>
      </w:pPr>
      <w:r>
        <w:rPr>
          <w:rFonts w:ascii="Arial" w:hAnsi="Arial" w:cs="Arial"/>
          <w:sz w:val="24"/>
        </w:rPr>
        <w:t xml:space="preserve">  </w:t>
      </w:r>
      <w:r w:rsidRPr="00C45431" w:rsidR="009B3794">
        <w:rPr>
          <w:rFonts w:ascii="Arial" w:hAnsi="Arial" w:cs="Arial"/>
          <w:b/>
          <w:sz w:val="24"/>
          <w:u w:val="single"/>
        </w:rPr>
        <w:t>Reason(s) Display of OMB Expiration Date is Inappropriate</w:t>
      </w:r>
    </w:p>
    <w:p w:rsidR="00E773C8" w:rsidP="00CA3DA6" w:rsidRDefault="00E773C8" w14:paraId="26907C92" w14:textId="7B7C2657">
      <w:pPr>
        <w:pStyle w:val="BodyTextIndent"/>
        <w:spacing w:before="120"/>
        <w:ind w:left="360"/>
        <w:rPr>
          <w:rFonts w:ascii="Arial" w:hAnsi="Arial" w:cs="Arial"/>
        </w:rPr>
      </w:pPr>
      <w:r w:rsidRPr="00E773C8">
        <w:rPr>
          <w:rFonts w:ascii="Arial" w:hAnsi="Arial" w:cs="Arial"/>
        </w:rPr>
        <w:t>The OMB number and Expiration date will be displayed on every</w:t>
      </w:r>
      <w:r>
        <w:rPr>
          <w:rFonts w:ascii="Arial" w:hAnsi="Arial" w:cs="Arial"/>
        </w:rPr>
        <w:t xml:space="preserve"> page of every form/instrument.</w:t>
      </w:r>
    </w:p>
    <w:p w:rsidRPr="00C45431" w:rsidR="009B3794" w:rsidP="00CA3DA6" w:rsidRDefault="00E6329E" w14:paraId="69C63919" w14:textId="06869C23">
      <w:pPr>
        <w:numPr>
          <w:ilvl w:val="0"/>
          <w:numId w:val="2"/>
        </w:numPr>
        <w:tabs>
          <w:tab w:val="num" w:pos="360"/>
        </w:tabs>
        <w:spacing w:before="240"/>
        <w:ind w:left="360"/>
        <w:rPr>
          <w:rFonts w:ascii="Arial" w:hAnsi="Arial" w:cs="Arial"/>
          <w:b/>
          <w:sz w:val="24"/>
        </w:rPr>
      </w:pPr>
      <w:r>
        <w:rPr>
          <w:rFonts w:ascii="Arial" w:hAnsi="Arial" w:cs="Arial"/>
          <w:sz w:val="24"/>
        </w:rPr>
        <w:t xml:space="preserve">  </w:t>
      </w:r>
      <w:r w:rsidRPr="00C45431" w:rsidR="009B3794">
        <w:rPr>
          <w:rFonts w:ascii="Arial" w:hAnsi="Arial" w:cs="Arial"/>
          <w:b/>
          <w:sz w:val="24"/>
          <w:u w:val="single"/>
        </w:rPr>
        <w:t>Exceptions to Certification for Paperwork Reduction Act Submissions</w:t>
      </w:r>
    </w:p>
    <w:p w:rsidR="00E773C8" w:rsidP="00CA3DA6" w:rsidRDefault="00E773C8" w14:paraId="3A144C3B" w14:textId="77777777">
      <w:pPr>
        <w:pStyle w:val="BodyTextIndent"/>
        <w:spacing w:before="120"/>
        <w:ind w:left="360"/>
        <w:rPr>
          <w:rFonts w:ascii="Arial" w:hAnsi="Arial" w:cs="Arial"/>
        </w:rPr>
      </w:pPr>
      <w:r w:rsidRPr="00E773C8">
        <w:rPr>
          <w:rFonts w:ascii="Arial" w:hAnsi="Arial" w:cs="Arial"/>
        </w:rPr>
        <w:t>There are no e</w:t>
      </w:r>
      <w:r>
        <w:rPr>
          <w:rFonts w:ascii="Arial" w:hAnsi="Arial" w:cs="Arial"/>
        </w:rPr>
        <w:t>xceptions to the certification.</w:t>
      </w:r>
    </w:p>
    <w:p w:rsidR="00554C12" w:rsidP="00554C12" w:rsidRDefault="00554C12" w14:paraId="5396F29D" w14:textId="77777777">
      <w:pPr>
        <w:pStyle w:val="BodyTextIndent"/>
        <w:spacing w:before="120"/>
        <w:ind w:left="0"/>
        <w:rPr>
          <w:rFonts w:ascii="Arial" w:hAnsi="Arial" w:cs="Arial"/>
        </w:rPr>
      </w:pPr>
    </w:p>
    <w:p w:rsidR="00554C12" w:rsidRDefault="00554C12" w14:paraId="7F4EB3F9" w14:textId="77777777">
      <w:pPr>
        <w:widowControl/>
        <w:autoSpaceDE/>
        <w:autoSpaceDN/>
        <w:adjustRightInd/>
        <w:rPr>
          <w:rFonts w:ascii="Arial" w:hAnsi="Arial" w:cs="Arial"/>
          <w:sz w:val="24"/>
        </w:rPr>
      </w:pPr>
      <w:r>
        <w:rPr>
          <w:rFonts w:ascii="Arial" w:hAnsi="Arial" w:cs="Arial"/>
        </w:rPr>
        <w:br w:type="page"/>
      </w:r>
    </w:p>
    <w:p w:rsidRPr="000C1F3B" w:rsidR="00554C12" w:rsidP="00554C12" w:rsidRDefault="00554C12" w14:paraId="531E9F77" w14:textId="77777777">
      <w:pPr>
        <w:pStyle w:val="BodyTextIndent"/>
        <w:spacing w:before="120"/>
        <w:ind w:left="0"/>
        <w:rPr>
          <w:rFonts w:ascii="Arial" w:hAnsi="Arial" w:cs="Arial"/>
          <w:b/>
          <w:u w:val="single"/>
        </w:rPr>
      </w:pPr>
      <w:r w:rsidRPr="000C1F3B">
        <w:rPr>
          <w:rFonts w:ascii="Arial" w:hAnsi="Arial" w:cs="Arial"/>
          <w:b/>
          <w:u w:val="single"/>
        </w:rPr>
        <w:lastRenderedPageBreak/>
        <w:t>Attachments</w:t>
      </w:r>
    </w:p>
    <w:p w:rsidR="00554C12" w:rsidP="00554C12" w:rsidRDefault="00554C12" w14:paraId="58D8773D" w14:textId="77777777">
      <w:pPr>
        <w:rPr>
          <w:highlight w:val="yellow"/>
        </w:rPr>
      </w:pPr>
    </w:p>
    <w:p w:rsidRPr="00D16D97" w:rsidR="00554C12" w:rsidP="00554C12" w:rsidRDefault="00554C12" w14:paraId="0363454B" w14:textId="77777777">
      <w:pPr>
        <w:spacing w:line="360" w:lineRule="auto"/>
        <w:rPr>
          <w:rFonts w:asciiTheme="minorHAnsi" w:hAnsiTheme="minorHAnsi" w:cstheme="minorHAnsi"/>
          <w:b/>
          <w:i/>
          <w:sz w:val="22"/>
          <w:szCs w:val="22"/>
        </w:rPr>
      </w:pPr>
      <w:r w:rsidRPr="00D16D97">
        <w:rPr>
          <w:rFonts w:asciiTheme="minorHAnsi" w:hAnsiTheme="minorHAnsi" w:cstheme="minorHAnsi"/>
          <w:b/>
          <w:i/>
          <w:sz w:val="22"/>
          <w:szCs w:val="22"/>
        </w:rPr>
        <w:t>Federal Registrar Notice</w:t>
      </w:r>
    </w:p>
    <w:p w:rsidRPr="006C0ACF" w:rsidR="00554C12" w:rsidP="00554C12" w:rsidRDefault="00554C12" w14:paraId="1265F177" w14:textId="05188FC9">
      <w:pPr>
        <w:spacing w:line="360" w:lineRule="auto"/>
        <w:rPr>
          <w:rFonts w:asciiTheme="minorHAnsi" w:hAnsiTheme="minorHAnsi" w:cstheme="minorHAnsi"/>
          <w:sz w:val="22"/>
          <w:szCs w:val="22"/>
        </w:rPr>
      </w:pPr>
      <w:r w:rsidRPr="00D16D97">
        <w:rPr>
          <w:rFonts w:asciiTheme="minorHAnsi" w:hAnsiTheme="minorHAnsi" w:cstheme="minorHAnsi"/>
          <w:sz w:val="22"/>
          <w:szCs w:val="22"/>
        </w:rPr>
        <w:t xml:space="preserve">Attachment A:  </w:t>
      </w:r>
      <w:r w:rsidRPr="006C0ACF" w:rsidR="006C0ACF">
        <w:rPr>
          <w:rFonts w:asciiTheme="minorHAnsi" w:hAnsiTheme="minorHAnsi" w:cstheme="minorHAnsi"/>
          <w:sz w:val="22"/>
          <w:szCs w:val="22"/>
        </w:rPr>
        <w:t>A 60-day Federal Register Notice was published in the Federal Register on June 8, 2020, vol. 85, No. 110; pp. 35099-35100</w:t>
      </w:r>
    </w:p>
    <w:p w:rsidR="00554C12" w:rsidP="00554C12" w:rsidRDefault="00554C12" w14:paraId="6BED23F1" w14:textId="77777777">
      <w:pPr>
        <w:spacing w:line="360" w:lineRule="auto"/>
        <w:rPr>
          <w:rFonts w:asciiTheme="minorHAnsi" w:hAnsiTheme="minorHAnsi" w:cstheme="minorHAnsi"/>
          <w:sz w:val="22"/>
          <w:szCs w:val="22"/>
          <w:highlight w:val="yellow"/>
        </w:rPr>
      </w:pPr>
    </w:p>
    <w:p w:rsidRPr="000C1F3B" w:rsidR="00554C12" w:rsidP="00554C12" w:rsidRDefault="000C1F3B" w14:paraId="0388B9DC" w14:textId="55AA823A">
      <w:pPr>
        <w:spacing w:line="360" w:lineRule="auto"/>
        <w:rPr>
          <w:rFonts w:asciiTheme="minorHAnsi" w:hAnsiTheme="minorHAnsi" w:cstheme="minorHAnsi"/>
          <w:b/>
          <w:i/>
          <w:sz w:val="22"/>
          <w:szCs w:val="22"/>
        </w:rPr>
      </w:pPr>
      <w:r>
        <w:rPr>
          <w:rFonts w:asciiTheme="minorHAnsi" w:hAnsiTheme="minorHAnsi" w:cstheme="minorHAnsi"/>
          <w:b/>
          <w:i/>
          <w:sz w:val="22"/>
          <w:szCs w:val="22"/>
        </w:rPr>
        <w:t>Data Collection</w:t>
      </w:r>
      <w:r w:rsidRPr="000C1F3B" w:rsidR="00554C12">
        <w:rPr>
          <w:rFonts w:asciiTheme="minorHAnsi" w:hAnsiTheme="minorHAnsi" w:cstheme="minorHAnsi"/>
          <w:b/>
          <w:i/>
          <w:sz w:val="22"/>
          <w:szCs w:val="22"/>
        </w:rPr>
        <w:t xml:space="preserve"> Instruments</w:t>
      </w:r>
    </w:p>
    <w:p w:rsidRPr="000C1F3B" w:rsidR="00554C12" w:rsidP="00554C12" w:rsidRDefault="00554C12" w14:paraId="59BE955A" w14:textId="79E15321">
      <w:pPr>
        <w:spacing w:line="360" w:lineRule="auto"/>
        <w:rPr>
          <w:rFonts w:asciiTheme="minorHAnsi" w:hAnsiTheme="minorHAnsi" w:cstheme="minorHAnsi"/>
          <w:sz w:val="22"/>
          <w:szCs w:val="22"/>
        </w:rPr>
      </w:pPr>
      <w:r w:rsidRPr="000C1F3B">
        <w:rPr>
          <w:rFonts w:asciiTheme="minorHAnsi" w:hAnsiTheme="minorHAnsi" w:cstheme="minorHAnsi"/>
          <w:sz w:val="22"/>
          <w:szCs w:val="22"/>
        </w:rPr>
        <w:t xml:space="preserve">Attachment B1: </w:t>
      </w:r>
      <w:r w:rsidRPr="000C1F3B" w:rsidR="000C1F3B">
        <w:rPr>
          <w:rFonts w:asciiTheme="minorHAnsi" w:hAnsiTheme="minorHAnsi" w:cstheme="minorHAnsi"/>
          <w:sz w:val="22"/>
          <w:szCs w:val="22"/>
        </w:rPr>
        <w:t>Interview Protocol for HRSA Project Officers</w:t>
      </w:r>
    </w:p>
    <w:p w:rsidRPr="000C1F3B" w:rsidR="00554C12" w:rsidP="00554C12" w:rsidRDefault="00554C12" w14:paraId="7D9696A8" w14:textId="61BA6A95">
      <w:pPr>
        <w:spacing w:line="360" w:lineRule="auto"/>
        <w:rPr>
          <w:rFonts w:asciiTheme="minorHAnsi" w:hAnsiTheme="minorHAnsi" w:cstheme="minorHAnsi"/>
          <w:sz w:val="22"/>
          <w:szCs w:val="22"/>
        </w:rPr>
      </w:pPr>
      <w:r w:rsidRPr="000C1F3B">
        <w:rPr>
          <w:rFonts w:asciiTheme="minorHAnsi" w:hAnsiTheme="minorHAnsi" w:cstheme="minorHAnsi"/>
          <w:sz w:val="22"/>
          <w:szCs w:val="22"/>
        </w:rPr>
        <w:t xml:space="preserve">Attachment B2: </w:t>
      </w:r>
      <w:r w:rsidRPr="000C1F3B" w:rsidR="000C1F3B">
        <w:rPr>
          <w:rFonts w:asciiTheme="minorHAnsi" w:hAnsiTheme="minorHAnsi" w:cstheme="minorHAnsi"/>
          <w:sz w:val="22"/>
          <w:szCs w:val="22"/>
        </w:rPr>
        <w:t>Interview Protocol for MH Portfolio Grantees</w:t>
      </w:r>
    </w:p>
    <w:p w:rsidRPr="000C1F3B" w:rsidR="00554C12" w:rsidP="00554C12" w:rsidRDefault="00554C12" w14:paraId="151EB294" w14:textId="5FEC1285">
      <w:pPr>
        <w:spacing w:line="360" w:lineRule="auto"/>
        <w:rPr>
          <w:rFonts w:asciiTheme="minorHAnsi" w:hAnsiTheme="minorHAnsi" w:cstheme="minorHAnsi"/>
          <w:sz w:val="22"/>
          <w:szCs w:val="22"/>
        </w:rPr>
      </w:pPr>
      <w:r w:rsidRPr="000C1F3B">
        <w:rPr>
          <w:rFonts w:asciiTheme="minorHAnsi" w:hAnsiTheme="minorHAnsi" w:cstheme="minorHAnsi"/>
          <w:sz w:val="22"/>
          <w:szCs w:val="22"/>
        </w:rPr>
        <w:t xml:space="preserve">Attachment B3: </w:t>
      </w:r>
      <w:r w:rsidRPr="000C1F3B" w:rsidR="000C1F3B">
        <w:rPr>
          <w:rFonts w:asciiTheme="minorHAnsi" w:hAnsiTheme="minorHAnsi" w:cstheme="minorHAnsi"/>
          <w:sz w:val="22"/>
          <w:szCs w:val="22"/>
        </w:rPr>
        <w:t>Web-based data collection tool</w:t>
      </w:r>
    </w:p>
    <w:p w:rsidRPr="000C1F3B" w:rsidR="00554C12" w:rsidP="00554C12" w:rsidRDefault="00554C12" w14:paraId="55B5A1DE" w14:textId="7E8F573F">
      <w:pPr>
        <w:spacing w:line="360" w:lineRule="auto"/>
        <w:rPr>
          <w:rFonts w:asciiTheme="minorHAnsi" w:hAnsiTheme="minorHAnsi" w:cstheme="minorHAnsi"/>
          <w:sz w:val="22"/>
          <w:szCs w:val="22"/>
        </w:rPr>
      </w:pPr>
      <w:r w:rsidRPr="000C1F3B">
        <w:rPr>
          <w:rFonts w:asciiTheme="minorHAnsi" w:hAnsiTheme="minorHAnsi" w:cstheme="minorHAnsi"/>
          <w:sz w:val="22"/>
          <w:szCs w:val="22"/>
        </w:rPr>
        <w:t xml:space="preserve">Attachment B4: </w:t>
      </w:r>
      <w:r w:rsidRPr="000C1F3B" w:rsidR="000C1F3B">
        <w:rPr>
          <w:rFonts w:asciiTheme="minorHAnsi" w:hAnsiTheme="minorHAnsi" w:cstheme="minorHAnsi"/>
          <w:sz w:val="22"/>
          <w:szCs w:val="22"/>
        </w:rPr>
        <w:t>Partnership Survey</w:t>
      </w:r>
    </w:p>
    <w:p w:rsidR="00554C12" w:rsidP="00554C12" w:rsidRDefault="00554C12" w14:paraId="2AD8BD83" w14:textId="61D0D66B">
      <w:pPr>
        <w:spacing w:line="360" w:lineRule="auto"/>
        <w:rPr>
          <w:rFonts w:asciiTheme="minorHAnsi" w:hAnsiTheme="minorHAnsi" w:cstheme="minorHAnsi"/>
          <w:sz w:val="22"/>
          <w:szCs w:val="22"/>
          <w:highlight w:val="yellow"/>
        </w:rPr>
      </w:pPr>
    </w:p>
    <w:p w:rsidRPr="00B44DC7" w:rsidR="00E858D9" w:rsidP="00554C12" w:rsidRDefault="00E858D9" w14:paraId="509326C1" w14:textId="263B2D20">
      <w:pPr>
        <w:spacing w:line="360" w:lineRule="auto"/>
        <w:rPr>
          <w:rFonts w:asciiTheme="minorHAnsi" w:hAnsiTheme="minorHAnsi" w:cstheme="minorHAnsi"/>
          <w:b/>
          <w:i/>
          <w:sz w:val="22"/>
          <w:szCs w:val="22"/>
        </w:rPr>
      </w:pPr>
      <w:r w:rsidRPr="00B44DC7">
        <w:rPr>
          <w:rFonts w:asciiTheme="minorHAnsi" w:hAnsiTheme="minorHAnsi" w:cstheme="minorHAnsi"/>
          <w:b/>
          <w:i/>
          <w:sz w:val="22"/>
          <w:szCs w:val="22"/>
        </w:rPr>
        <w:t xml:space="preserve">Recruitment </w:t>
      </w:r>
      <w:r w:rsidRPr="00B44DC7" w:rsidR="00B44DC7">
        <w:rPr>
          <w:rFonts w:asciiTheme="minorHAnsi" w:hAnsiTheme="minorHAnsi" w:cstheme="minorHAnsi"/>
          <w:b/>
          <w:i/>
          <w:sz w:val="22"/>
          <w:szCs w:val="22"/>
        </w:rPr>
        <w:t>Materials</w:t>
      </w:r>
    </w:p>
    <w:p w:rsidR="00E858D9" w:rsidP="00E858D9" w:rsidRDefault="00E858D9" w14:paraId="1B202C9B" w14:textId="2AAA21E2">
      <w:pPr>
        <w:spacing w:line="360" w:lineRule="auto"/>
        <w:rPr>
          <w:rFonts w:asciiTheme="minorHAnsi" w:hAnsiTheme="minorHAnsi" w:cstheme="minorHAnsi"/>
          <w:sz w:val="22"/>
          <w:szCs w:val="22"/>
        </w:rPr>
      </w:pPr>
      <w:r>
        <w:rPr>
          <w:rFonts w:asciiTheme="minorHAnsi" w:hAnsiTheme="minorHAnsi" w:cstheme="minorHAnsi"/>
          <w:sz w:val="22"/>
          <w:szCs w:val="22"/>
        </w:rPr>
        <w:t>Attachment C</w:t>
      </w:r>
      <w:r w:rsidRPr="000C1F3B">
        <w:rPr>
          <w:rFonts w:asciiTheme="minorHAnsi" w:hAnsiTheme="minorHAnsi" w:cstheme="minorHAnsi"/>
          <w:sz w:val="22"/>
          <w:szCs w:val="22"/>
        </w:rPr>
        <w:t xml:space="preserve">1: </w:t>
      </w:r>
      <w:r>
        <w:rPr>
          <w:rFonts w:asciiTheme="minorHAnsi" w:hAnsiTheme="minorHAnsi" w:cstheme="minorHAnsi"/>
          <w:sz w:val="22"/>
          <w:szCs w:val="22"/>
        </w:rPr>
        <w:t>Project Officer Interview Recruitment Letter</w:t>
      </w:r>
    </w:p>
    <w:p w:rsidR="00E858D9" w:rsidP="00E858D9" w:rsidRDefault="00E858D9" w14:paraId="44B03DBA" w14:textId="419D3093">
      <w:pPr>
        <w:spacing w:line="360" w:lineRule="auto"/>
        <w:rPr>
          <w:rFonts w:asciiTheme="minorHAnsi" w:hAnsiTheme="minorHAnsi" w:cstheme="minorHAnsi"/>
          <w:sz w:val="22"/>
          <w:szCs w:val="22"/>
        </w:rPr>
      </w:pPr>
      <w:r>
        <w:rPr>
          <w:rFonts w:asciiTheme="minorHAnsi" w:hAnsiTheme="minorHAnsi" w:cstheme="minorHAnsi"/>
          <w:sz w:val="22"/>
          <w:szCs w:val="22"/>
        </w:rPr>
        <w:t>Attachment C2</w:t>
      </w:r>
      <w:r w:rsidRPr="000C1F3B">
        <w:rPr>
          <w:rFonts w:asciiTheme="minorHAnsi" w:hAnsiTheme="minorHAnsi" w:cstheme="minorHAnsi"/>
          <w:sz w:val="22"/>
          <w:szCs w:val="22"/>
        </w:rPr>
        <w:t xml:space="preserve">: </w:t>
      </w:r>
      <w:r>
        <w:rPr>
          <w:rFonts w:asciiTheme="minorHAnsi" w:hAnsiTheme="minorHAnsi" w:cstheme="minorHAnsi"/>
          <w:sz w:val="22"/>
          <w:szCs w:val="22"/>
        </w:rPr>
        <w:t>Grantee Interview Recruitment Letter</w:t>
      </w:r>
    </w:p>
    <w:p w:rsidRPr="000C1F3B" w:rsidR="00E858D9" w:rsidP="00E858D9" w:rsidRDefault="00E858D9" w14:paraId="25A6E3E1" w14:textId="5D56F127">
      <w:pPr>
        <w:spacing w:line="360" w:lineRule="auto"/>
        <w:rPr>
          <w:rFonts w:asciiTheme="minorHAnsi" w:hAnsiTheme="minorHAnsi" w:cstheme="minorHAnsi"/>
          <w:sz w:val="22"/>
          <w:szCs w:val="22"/>
        </w:rPr>
      </w:pPr>
      <w:r>
        <w:rPr>
          <w:rFonts w:asciiTheme="minorHAnsi" w:hAnsiTheme="minorHAnsi" w:cstheme="minorHAnsi"/>
          <w:sz w:val="22"/>
          <w:szCs w:val="22"/>
        </w:rPr>
        <w:t>Attachment C</w:t>
      </w:r>
      <w:r w:rsidRPr="000C1F3B">
        <w:rPr>
          <w:rFonts w:asciiTheme="minorHAnsi" w:hAnsiTheme="minorHAnsi" w:cstheme="minorHAnsi"/>
          <w:sz w:val="22"/>
          <w:szCs w:val="22"/>
        </w:rPr>
        <w:t xml:space="preserve">3: </w:t>
      </w:r>
      <w:r>
        <w:rPr>
          <w:rFonts w:asciiTheme="minorHAnsi" w:hAnsiTheme="minorHAnsi" w:cstheme="minorHAnsi"/>
          <w:sz w:val="22"/>
          <w:szCs w:val="22"/>
        </w:rPr>
        <w:t xml:space="preserve">Grantee </w:t>
      </w:r>
      <w:r w:rsidRPr="000C1F3B">
        <w:rPr>
          <w:rFonts w:asciiTheme="minorHAnsi" w:hAnsiTheme="minorHAnsi" w:cstheme="minorHAnsi"/>
          <w:sz w:val="22"/>
          <w:szCs w:val="22"/>
        </w:rPr>
        <w:t xml:space="preserve">Web-based </w:t>
      </w:r>
      <w:r>
        <w:rPr>
          <w:rFonts w:asciiTheme="minorHAnsi" w:hAnsiTheme="minorHAnsi" w:cstheme="minorHAnsi"/>
          <w:sz w:val="22"/>
          <w:szCs w:val="22"/>
        </w:rPr>
        <w:t>Data C</w:t>
      </w:r>
      <w:r w:rsidRPr="000C1F3B">
        <w:rPr>
          <w:rFonts w:asciiTheme="minorHAnsi" w:hAnsiTheme="minorHAnsi" w:cstheme="minorHAnsi"/>
          <w:sz w:val="22"/>
          <w:szCs w:val="22"/>
        </w:rPr>
        <w:t xml:space="preserve">ollection </w:t>
      </w:r>
      <w:r>
        <w:rPr>
          <w:rFonts w:asciiTheme="minorHAnsi" w:hAnsiTheme="minorHAnsi" w:cstheme="minorHAnsi"/>
          <w:sz w:val="22"/>
          <w:szCs w:val="22"/>
        </w:rPr>
        <w:t>Recruitment Letter</w:t>
      </w:r>
    </w:p>
    <w:p w:rsidRPr="000C1F3B" w:rsidR="00E858D9" w:rsidP="00E858D9" w:rsidRDefault="00E858D9" w14:paraId="0045D7F6" w14:textId="14136F87">
      <w:pPr>
        <w:spacing w:line="360" w:lineRule="auto"/>
        <w:rPr>
          <w:rFonts w:asciiTheme="minorHAnsi" w:hAnsiTheme="minorHAnsi" w:cstheme="minorHAnsi"/>
          <w:sz w:val="22"/>
          <w:szCs w:val="22"/>
        </w:rPr>
      </w:pPr>
      <w:r>
        <w:rPr>
          <w:rFonts w:asciiTheme="minorHAnsi" w:hAnsiTheme="minorHAnsi" w:cstheme="minorHAnsi"/>
          <w:sz w:val="22"/>
          <w:szCs w:val="22"/>
        </w:rPr>
        <w:t>Attachment C</w:t>
      </w:r>
      <w:r w:rsidRPr="000C1F3B">
        <w:rPr>
          <w:rFonts w:asciiTheme="minorHAnsi" w:hAnsiTheme="minorHAnsi" w:cstheme="minorHAnsi"/>
          <w:sz w:val="22"/>
          <w:szCs w:val="22"/>
        </w:rPr>
        <w:t>4: Partnership Survey</w:t>
      </w:r>
      <w:r>
        <w:rPr>
          <w:rFonts w:asciiTheme="minorHAnsi" w:hAnsiTheme="minorHAnsi" w:cstheme="minorHAnsi"/>
          <w:sz w:val="22"/>
          <w:szCs w:val="22"/>
        </w:rPr>
        <w:t xml:space="preserve"> Recruitment Letter</w:t>
      </w:r>
    </w:p>
    <w:p w:rsidRPr="000C1F3B" w:rsidR="00E858D9" w:rsidP="00E858D9" w:rsidRDefault="00E858D9" w14:paraId="0A639DD1" w14:textId="77777777">
      <w:pPr>
        <w:spacing w:line="360" w:lineRule="auto"/>
        <w:rPr>
          <w:rFonts w:asciiTheme="minorHAnsi" w:hAnsiTheme="minorHAnsi" w:cstheme="minorHAnsi"/>
          <w:sz w:val="22"/>
          <w:szCs w:val="22"/>
        </w:rPr>
      </w:pPr>
    </w:p>
    <w:p w:rsidR="00554C12" w:rsidP="00554C12" w:rsidRDefault="00554C12" w14:paraId="167CF78F" w14:textId="60E654C3">
      <w:pPr>
        <w:pStyle w:val="BodyTextIndent"/>
        <w:spacing w:before="120"/>
        <w:ind w:left="0"/>
        <w:rPr>
          <w:rFonts w:ascii="Arial" w:hAnsi="Arial" w:cs="Arial"/>
        </w:rPr>
      </w:pPr>
    </w:p>
    <w:sectPr w:rsidR="00554C12" w:rsidSect="007945A7">
      <w:footerReference w:type="default" r:id="rId12"/>
      <w:endnotePr>
        <w:numFmt w:val="decimal"/>
      </w:endnotePr>
      <w:type w:val="continuous"/>
      <w:pgSz w:w="12240" w:h="15840"/>
      <w:pgMar w:top="1440" w:right="1440" w:bottom="1440" w:left="1440" w:header="1440"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0B610" w14:textId="77777777" w:rsidR="00A4590F" w:rsidRDefault="00A4590F">
      <w:r>
        <w:separator/>
      </w:r>
    </w:p>
  </w:endnote>
  <w:endnote w:type="continuationSeparator" w:id="0">
    <w:p w14:paraId="2A975FEF" w14:textId="77777777" w:rsidR="00A4590F" w:rsidRDefault="00A4590F">
      <w:r>
        <w:continuationSeparator/>
      </w:r>
    </w:p>
  </w:endnote>
  <w:endnote w:type="continuationNotice" w:id="1">
    <w:p w14:paraId="47EFE5B9" w14:textId="77777777" w:rsidR="00A4590F" w:rsidRDefault="00A459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6391F" w14:textId="77777777" w:rsidR="00B577CE" w:rsidRDefault="00B577CE">
    <w:pPr>
      <w:spacing w:line="240" w:lineRule="exact"/>
    </w:pPr>
  </w:p>
  <w:p w14:paraId="69C63920" w14:textId="7EE23E96" w:rsidR="00B577CE" w:rsidRPr="007945A7" w:rsidRDefault="00B577CE">
    <w:pPr>
      <w:framePr w:w="9361" w:wrap="notBeside" w:vAnchor="text" w:hAnchor="text" w:x="1" w:y="1"/>
      <w:jc w:val="center"/>
      <w:rPr>
        <w:rFonts w:ascii="Arial" w:hAnsi="Arial" w:cs="Arial"/>
        <w:szCs w:val="20"/>
      </w:rPr>
    </w:pPr>
    <w:r w:rsidRPr="007945A7">
      <w:rPr>
        <w:rFonts w:ascii="Arial" w:hAnsi="Arial" w:cs="Arial"/>
        <w:szCs w:val="20"/>
      </w:rPr>
      <w:fldChar w:fldCharType="begin"/>
    </w:r>
    <w:r w:rsidRPr="007945A7">
      <w:rPr>
        <w:rFonts w:ascii="Arial" w:hAnsi="Arial" w:cs="Arial"/>
        <w:szCs w:val="20"/>
      </w:rPr>
      <w:instrText xml:space="preserve">PAGE </w:instrText>
    </w:r>
    <w:r w:rsidRPr="007945A7">
      <w:rPr>
        <w:rFonts w:ascii="Arial" w:hAnsi="Arial" w:cs="Arial"/>
        <w:szCs w:val="20"/>
      </w:rPr>
      <w:fldChar w:fldCharType="separate"/>
    </w:r>
    <w:r w:rsidR="00D67E54">
      <w:rPr>
        <w:rFonts w:ascii="Arial" w:hAnsi="Arial" w:cs="Arial"/>
        <w:noProof/>
        <w:szCs w:val="20"/>
      </w:rPr>
      <w:t>10</w:t>
    </w:r>
    <w:r w:rsidRPr="007945A7">
      <w:rPr>
        <w:rFonts w:ascii="Arial" w:hAnsi="Arial" w:cs="Arial"/>
        <w:szCs w:val="20"/>
      </w:rPr>
      <w:fldChar w:fldCharType="end"/>
    </w:r>
  </w:p>
  <w:p w14:paraId="69C63921" w14:textId="77777777" w:rsidR="00B577CE" w:rsidRDefault="00B577CE">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08769" w14:textId="77777777" w:rsidR="00A4590F" w:rsidRDefault="00A4590F">
      <w:r>
        <w:separator/>
      </w:r>
    </w:p>
  </w:footnote>
  <w:footnote w:type="continuationSeparator" w:id="0">
    <w:p w14:paraId="0443C5E4" w14:textId="77777777" w:rsidR="00A4590F" w:rsidRDefault="00A4590F">
      <w:r>
        <w:continuationSeparator/>
      </w:r>
    </w:p>
  </w:footnote>
  <w:footnote w:type="continuationNotice" w:id="1">
    <w:p w14:paraId="4AD6EABC" w14:textId="77777777" w:rsidR="00A4590F" w:rsidRDefault="00A4590F"/>
  </w:footnote>
  <w:footnote w:id="2">
    <w:p w14:paraId="4354CE24" w14:textId="1427C382" w:rsidR="00B577CE" w:rsidRPr="007945A7" w:rsidRDefault="00B577CE">
      <w:pPr>
        <w:pStyle w:val="FootnoteText"/>
        <w:rPr>
          <w:rFonts w:ascii="Arial" w:hAnsi="Arial" w:cs="Arial"/>
          <w:sz w:val="16"/>
          <w:szCs w:val="16"/>
        </w:rPr>
      </w:pPr>
      <w:r w:rsidRPr="007945A7">
        <w:rPr>
          <w:rStyle w:val="FootnoteReference"/>
          <w:rFonts w:ascii="Arial" w:hAnsi="Arial" w:cs="Arial"/>
          <w:sz w:val="16"/>
          <w:szCs w:val="16"/>
        </w:rPr>
        <w:footnoteRef/>
      </w:r>
      <w:r w:rsidRPr="007945A7">
        <w:rPr>
          <w:rFonts w:ascii="Arial" w:hAnsi="Arial" w:cs="Arial"/>
          <w:sz w:val="16"/>
          <w:szCs w:val="16"/>
        </w:rPr>
        <w:t xml:space="preserve"> Petersen EE, Davis NL, Goodman D, Cox S, Mayes N, Johnston E, et al. Vital signs: Pregnancy-related deaths, United States, 2011-2015, and strategies for prevention, 13 States, 2013-2017. </w:t>
      </w:r>
      <w:proofErr w:type="spellStart"/>
      <w:r w:rsidRPr="007945A7">
        <w:rPr>
          <w:rFonts w:ascii="Arial" w:hAnsi="Arial" w:cs="Arial"/>
          <w:sz w:val="16"/>
          <w:szCs w:val="16"/>
        </w:rPr>
        <w:t>MMWR</w:t>
      </w:r>
      <w:proofErr w:type="spellEnd"/>
      <w:r w:rsidRPr="007945A7">
        <w:rPr>
          <w:rFonts w:ascii="Arial" w:hAnsi="Arial" w:cs="Arial"/>
          <w:sz w:val="16"/>
          <w:szCs w:val="16"/>
        </w:rPr>
        <w:t xml:space="preserve"> </w:t>
      </w:r>
      <w:proofErr w:type="spellStart"/>
      <w:r w:rsidRPr="007945A7">
        <w:rPr>
          <w:rFonts w:ascii="Arial" w:hAnsi="Arial" w:cs="Arial"/>
          <w:sz w:val="16"/>
          <w:szCs w:val="16"/>
        </w:rPr>
        <w:t>Morb</w:t>
      </w:r>
      <w:proofErr w:type="spellEnd"/>
      <w:r w:rsidRPr="007945A7">
        <w:rPr>
          <w:rFonts w:ascii="Arial" w:hAnsi="Arial" w:cs="Arial"/>
          <w:sz w:val="16"/>
          <w:szCs w:val="16"/>
        </w:rPr>
        <w:t xml:space="preserve"> Mortal </w:t>
      </w:r>
      <w:proofErr w:type="spellStart"/>
      <w:r w:rsidRPr="007945A7">
        <w:rPr>
          <w:rFonts w:ascii="Arial" w:hAnsi="Arial" w:cs="Arial"/>
          <w:sz w:val="16"/>
          <w:szCs w:val="16"/>
        </w:rPr>
        <w:t>Wkly</w:t>
      </w:r>
      <w:proofErr w:type="spellEnd"/>
      <w:r w:rsidRPr="007945A7">
        <w:rPr>
          <w:rFonts w:ascii="Arial" w:hAnsi="Arial" w:cs="Arial"/>
          <w:sz w:val="16"/>
          <w:szCs w:val="16"/>
        </w:rPr>
        <w:t xml:space="preserve"> Rep. 2019 May 10</w:t>
      </w:r>
      <w:proofErr w:type="gramStart"/>
      <w:r w:rsidRPr="007945A7">
        <w:rPr>
          <w:rFonts w:ascii="Arial" w:hAnsi="Arial" w:cs="Arial"/>
          <w:sz w:val="16"/>
          <w:szCs w:val="16"/>
        </w:rPr>
        <w:t>;68</w:t>
      </w:r>
      <w:proofErr w:type="gramEnd"/>
      <w:r w:rsidRPr="007945A7">
        <w:rPr>
          <w:rFonts w:ascii="Arial" w:hAnsi="Arial" w:cs="Arial"/>
          <w:sz w:val="16"/>
          <w:szCs w:val="16"/>
        </w:rPr>
        <w:t xml:space="preserve">(18):423-9.  </w:t>
      </w:r>
    </w:p>
  </w:footnote>
  <w:footnote w:id="3">
    <w:p w14:paraId="2A1E93F0" w14:textId="0AF1CC81" w:rsidR="00B577CE" w:rsidRPr="007945A7" w:rsidRDefault="00B577CE">
      <w:pPr>
        <w:pStyle w:val="FootnoteText"/>
        <w:rPr>
          <w:rFonts w:ascii="Arial" w:hAnsi="Arial" w:cs="Arial"/>
          <w:sz w:val="16"/>
          <w:szCs w:val="16"/>
        </w:rPr>
      </w:pPr>
      <w:r w:rsidRPr="007945A7">
        <w:rPr>
          <w:rStyle w:val="FootnoteReference"/>
          <w:rFonts w:ascii="Arial" w:hAnsi="Arial" w:cs="Arial"/>
          <w:sz w:val="16"/>
          <w:szCs w:val="16"/>
        </w:rPr>
        <w:footnoteRef/>
      </w:r>
      <w:r w:rsidRPr="007945A7">
        <w:rPr>
          <w:rFonts w:ascii="Arial" w:hAnsi="Arial" w:cs="Arial"/>
          <w:sz w:val="16"/>
          <w:szCs w:val="16"/>
        </w:rPr>
        <w:t xml:space="preserve"> https://www.cdc.gov/reproductivehealth/maternalinfanthealth/pregnancy-mortality-surveillancesystem.htm</w:t>
      </w:r>
    </w:p>
  </w:footnote>
  <w:footnote w:id="4">
    <w:p w14:paraId="7D1744BB" w14:textId="404AA6E7" w:rsidR="00B577CE" w:rsidRPr="007945A7" w:rsidRDefault="00B577CE">
      <w:pPr>
        <w:pStyle w:val="FootnoteText"/>
        <w:rPr>
          <w:rFonts w:ascii="Arial" w:hAnsi="Arial" w:cs="Arial"/>
          <w:sz w:val="16"/>
          <w:szCs w:val="16"/>
        </w:rPr>
      </w:pPr>
      <w:r w:rsidRPr="007945A7">
        <w:rPr>
          <w:rStyle w:val="FootnoteReference"/>
          <w:rFonts w:ascii="Arial" w:hAnsi="Arial" w:cs="Arial"/>
          <w:sz w:val="16"/>
          <w:szCs w:val="16"/>
        </w:rPr>
        <w:footnoteRef/>
      </w:r>
      <w:r w:rsidRPr="007945A7">
        <w:rPr>
          <w:rFonts w:ascii="Arial" w:hAnsi="Arial" w:cs="Arial"/>
          <w:sz w:val="16"/>
          <w:szCs w:val="16"/>
        </w:rPr>
        <w:t xml:space="preserve"> Howell, E. A., </w:t>
      </w:r>
      <w:proofErr w:type="spellStart"/>
      <w:r w:rsidRPr="007945A7">
        <w:rPr>
          <w:rFonts w:ascii="Arial" w:hAnsi="Arial" w:cs="Arial"/>
          <w:sz w:val="16"/>
          <w:szCs w:val="16"/>
        </w:rPr>
        <w:t>Egorova</w:t>
      </w:r>
      <w:proofErr w:type="spellEnd"/>
      <w:r w:rsidRPr="007945A7">
        <w:rPr>
          <w:rFonts w:ascii="Arial" w:hAnsi="Arial" w:cs="Arial"/>
          <w:sz w:val="16"/>
          <w:szCs w:val="16"/>
        </w:rPr>
        <w:t xml:space="preserve">, N., </w:t>
      </w:r>
      <w:proofErr w:type="spellStart"/>
      <w:r w:rsidRPr="007945A7">
        <w:rPr>
          <w:rFonts w:ascii="Arial" w:hAnsi="Arial" w:cs="Arial"/>
          <w:sz w:val="16"/>
          <w:szCs w:val="16"/>
        </w:rPr>
        <w:t>Balbierz</w:t>
      </w:r>
      <w:proofErr w:type="spellEnd"/>
      <w:r w:rsidRPr="007945A7">
        <w:rPr>
          <w:rFonts w:ascii="Arial" w:hAnsi="Arial" w:cs="Arial"/>
          <w:sz w:val="16"/>
          <w:szCs w:val="16"/>
        </w:rPr>
        <w:t>, A., Zeitlin, J., &amp; Hebert, P. L. (2016). Black-white differences in severe maternal morbidity and site of care. American journal of obstetrics and gynecology, 214(1), 122-e1.</w:t>
      </w:r>
    </w:p>
  </w:footnote>
  <w:footnote w:id="5">
    <w:p w14:paraId="37CB7ACF" w14:textId="3CB2140C" w:rsidR="00B577CE" w:rsidRDefault="00B577CE">
      <w:pPr>
        <w:pStyle w:val="FootnoteText"/>
      </w:pPr>
      <w:r w:rsidRPr="007945A7">
        <w:rPr>
          <w:rStyle w:val="FootnoteReference"/>
          <w:rFonts w:ascii="Arial" w:hAnsi="Arial" w:cs="Arial"/>
          <w:sz w:val="16"/>
          <w:szCs w:val="16"/>
        </w:rPr>
        <w:footnoteRef/>
      </w:r>
      <w:r w:rsidRPr="007945A7">
        <w:rPr>
          <w:rFonts w:ascii="Arial" w:hAnsi="Arial" w:cs="Arial"/>
          <w:sz w:val="16"/>
          <w:szCs w:val="16"/>
        </w:rPr>
        <w:t xml:space="preserve"> Hung P., Henning-Smith </w:t>
      </w:r>
      <w:proofErr w:type="spellStart"/>
      <w:r w:rsidRPr="007945A7">
        <w:rPr>
          <w:rFonts w:ascii="Arial" w:hAnsi="Arial" w:cs="Arial"/>
          <w:sz w:val="16"/>
          <w:szCs w:val="16"/>
        </w:rPr>
        <w:t>C.E</w:t>
      </w:r>
      <w:proofErr w:type="spellEnd"/>
      <w:r w:rsidRPr="007945A7">
        <w:rPr>
          <w:rFonts w:ascii="Arial" w:hAnsi="Arial" w:cs="Arial"/>
          <w:sz w:val="16"/>
          <w:szCs w:val="16"/>
        </w:rPr>
        <w:t xml:space="preserve">., Casey M.M., &amp; </w:t>
      </w:r>
      <w:proofErr w:type="spellStart"/>
      <w:r w:rsidRPr="007945A7">
        <w:rPr>
          <w:rFonts w:ascii="Arial" w:hAnsi="Arial" w:cs="Arial"/>
          <w:sz w:val="16"/>
          <w:szCs w:val="16"/>
        </w:rPr>
        <w:t>Kozhimannil</w:t>
      </w:r>
      <w:proofErr w:type="spellEnd"/>
      <w:r w:rsidRPr="007945A7">
        <w:rPr>
          <w:rFonts w:ascii="Arial" w:hAnsi="Arial" w:cs="Arial"/>
          <w:sz w:val="16"/>
          <w:szCs w:val="16"/>
        </w:rPr>
        <w:t xml:space="preserve"> </w:t>
      </w:r>
      <w:proofErr w:type="spellStart"/>
      <w:r w:rsidRPr="007945A7">
        <w:rPr>
          <w:rFonts w:ascii="Arial" w:hAnsi="Arial" w:cs="Arial"/>
          <w:sz w:val="16"/>
          <w:szCs w:val="16"/>
        </w:rPr>
        <w:t>K.B</w:t>
      </w:r>
      <w:proofErr w:type="spellEnd"/>
      <w:r w:rsidRPr="007945A7">
        <w:rPr>
          <w:rFonts w:ascii="Arial" w:hAnsi="Arial" w:cs="Arial"/>
          <w:sz w:val="16"/>
          <w:szCs w:val="16"/>
        </w:rPr>
        <w:t>. (2017) Access to obstetric services in rural counties still declining, with 9 percent losing services, 2004-14. Health Affairs, 36(9), 1663-1671.</w:t>
      </w:r>
    </w:p>
  </w:footnote>
  <w:footnote w:id="6">
    <w:p w14:paraId="6DAB7BEB" w14:textId="2C922081" w:rsidR="00B577CE" w:rsidRDefault="00B577CE">
      <w:pPr>
        <w:pStyle w:val="FootnoteText"/>
      </w:pPr>
      <w:r>
        <w:rPr>
          <w:rStyle w:val="FootnoteReference"/>
        </w:rPr>
        <w:footnoteRef/>
      </w:r>
      <w:r>
        <w:t xml:space="preserve"> </w:t>
      </w:r>
      <w:r w:rsidRPr="00041359">
        <w:t>Occupational Employment and Wages, May 2018</w:t>
      </w:r>
      <w:r>
        <w:t xml:space="preserve">, </w:t>
      </w:r>
      <w:r w:rsidRPr="00041359">
        <w:t>11-9111 Medical and Health Services Managers</w:t>
      </w:r>
      <w:r>
        <w:t xml:space="preserve">. Bureau of Labor Statistics. </w:t>
      </w:r>
      <w:hyperlink r:id="rId1" w:history="1">
        <w:r w:rsidRPr="00AD6141">
          <w:rPr>
            <w:rStyle w:val="Hyperlink"/>
          </w:rPr>
          <w:t>https://www.bls.gov/oes/current/oes119111.htm</w:t>
        </w:r>
      </w:hyperlink>
      <w:r>
        <w:t xml:space="preserve">. </w:t>
      </w:r>
    </w:p>
  </w:footnote>
  <w:footnote w:id="7">
    <w:p w14:paraId="3406173C" w14:textId="44486EB2" w:rsidR="00B577CE" w:rsidRDefault="00B577CE">
      <w:pPr>
        <w:pStyle w:val="FootnoteText"/>
      </w:pPr>
      <w:r>
        <w:rPr>
          <w:rStyle w:val="FootnoteReference"/>
        </w:rPr>
        <w:footnoteRef/>
      </w:r>
      <w:r>
        <w:t xml:space="preserve"> </w:t>
      </w:r>
      <w:r w:rsidRPr="00041359">
        <w:t>Occupational Employment and Wages, May 2018</w:t>
      </w:r>
      <w:r>
        <w:t xml:space="preserve">, </w:t>
      </w:r>
      <w:r w:rsidRPr="00284CE2">
        <w:t>11-9151 Social and Community Service Managers</w:t>
      </w:r>
      <w:r>
        <w:t xml:space="preserve">. </w:t>
      </w:r>
      <w:r w:rsidRPr="00284CE2">
        <w:t>Bureau of Labor Statistics</w:t>
      </w:r>
      <w:r>
        <w:t xml:space="preserve">. </w:t>
      </w:r>
      <w:hyperlink r:id="rId2" w:history="1">
        <w:r w:rsidRPr="002931E1">
          <w:rPr>
            <w:rStyle w:val="Hyperlink"/>
          </w:rPr>
          <w:t>https://www.bls.gov/oes/2018/may/oes119151.htm</w:t>
        </w:r>
      </w:hyperlink>
      <w:r>
        <w:t xml:space="preserve">. </w:t>
      </w:r>
    </w:p>
  </w:footnote>
  <w:footnote w:id="8">
    <w:p w14:paraId="7EC9E616" w14:textId="76D371B9" w:rsidR="00B577CE" w:rsidRDefault="00B577CE">
      <w:pPr>
        <w:pStyle w:val="FootnoteText"/>
      </w:pPr>
      <w:r>
        <w:rPr>
          <w:rStyle w:val="FootnoteReference"/>
        </w:rPr>
        <w:footnoteRef/>
      </w:r>
      <w:r>
        <w:t xml:space="preserve"> S</w:t>
      </w:r>
      <w:r w:rsidRPr="00FB234C">
        <w:t>alary table 2020-</w:t>
      </w:r>
      <w:r>
        <w:t xml:space="preserve">DCB. </w:t>
      </w:r>
      <w:r w:rsidRPr="00FB234C">
        <w:t>U.S. Office of Personnel Management (</w:t>
      </w:r>
      <w:proofErr w:type="spellStart"/>
      <w:r w:rsidRPr="00FB234C">
        <w:t>OPM</w:t>
      </w:r>
      <w:proofErr w:type="spellEnd"/>
      <w:r w:rsidRPr="00FB234C">
        <w:t>)</w:t>
      </w:r>
      <w:r>
        <w:t>.</w:t>
      </w:r>
      <w:r w:rsidRPr="00FB234C">
        <w:t xml:space="preserve"> </w:t>
      </w:r>
      <w:hyperlink r:id="rId3" w:history="1">
        <w:r w:rsidRPr="00AD6141">
          <w:rPr>
            <w:rStyle w:val="Hyperlink"/>
          </w:rPr>
          <w:t>https://www.opm.gov/policy-data-oversight/pay-leave/salaries-wages/salary-tables/pdf/2020/DCB.pdf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13BF"/>
    <w:multiLevelType w:val="hybridMultilevel"/>
    <w:tmpl w:val="44EEC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15:restartNumberingAfterBreak="0">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15:restartNumberingAfterBreak="0">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2C113560"/>
    <w:multiLevelType w:val="hybridMultilevel"/>
    <w:tmpl w:val="B68E0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8" w15:restartNumberingAfterBreak="0">
    <w:nsid w:val="379E5448"/>
    <w:multiLevelType w:val="hybridMultilevel"/>
    <w:tmpl w:val="30743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15:restartNumberingAfterBreak="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1D7109"/>
    <w:multiLevelType w:val="hybridMultilevel"/>
    <w:tmpl w:val="462ED118"/>
    <w:lvl w:ilvl="0" w:tplc="17BC0AFE">
      <w:start w:val="1"/>
      <w:numFmt w:val="decimal"/>
      <w:lvlText w:val="%1."/>
      <w:lvlJc w:val="left"/>
      <w:pPr>
        <w:tabs>
          <w:tab w:val="num" w:pos="2340"/>
        </w:tabs>
        <w:ind w:left="234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9"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7" w15:restartNumberingAfterBreak="0">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8"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6F9908A1"/>
    <w:multiLevelType w:val="hybridMultilevel"/>
    <w:tmpl w:val="7D72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15:restartNumberingAfterBreak="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4F2311B"/>
    <w:multiLevelType w:val="hybridMultilevel"/>
    <w:tmpl w:val="BDBC6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15:restartNumberingAfterBreak="0">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6" w15:restartNumberingAfterBreak="0">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7" w15:restartNumberingAfterBreak="0">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7"/>
  </w:num>
  <w:num w:numId="2">
    <w:abstractNumId w:val="24"/>
  </w:num>
  <w:num w:numId="3">
    <w:abstractNumId w:val="15"/>
  </w:num>
  <w:num w:numId="4">
    <w:abstractNumId w:val="43"/>
  </w:num>
  <w:num w:numId="5">
    <w:abstractNumId w:val="46"/>
  </w:num>
  <w:num w:numId="6">
    <w:abstractNumId w:val="10"/>
  </w:num>
  <w:num w:numId="7">
    <w:abstractNumId w:val="37"/>
  </w:num>
  <w:num w:numId="8">
    <w:abstractNumId w:val="20"/>
  </w:num>
  <w:num w:numId="9">
    <w:abstractNumId w:val="28"/>
  </w:num>
  <w:num w:numId="10">
    <w:abstractNumId w:val="22"/>
  </w:num>
  <w:num w:numId="11">
    <w:abstractNumId w:val="9"/>
  </w:num>
  <w:num w:numId="12">
    <w:abstractNumId w:val="27"/>
  </w:num>
  <w:num w:numId="13">
    <w:abstractNumId w:val="23"/>
  </w:num>
  <w:num w:numId="14">
    <w:abstractNumId w:val="25"/>
  </w:num>
  <w:num w:numId="15">
    <w:abstractNumId w:val="8"/>
  </w:num>
  <w:num w:numId="16">
    <w:abstractNumId w:val="1"/>
  </w:num>
  <w:num w:numId="17">
    <w:abstractNumId w:val="2"/>
  </w:num>
  <w:num w:numId="18">
    <w:abstractNumId w:val="17"/>
  </w:num>
  <w:num w:numId="19">
    <w:abstractNumId w:val="36"/>
  </w:num>
  <w:num w:numId="20">
    <w:abstractNumId w:val="34"/>
  </w:num>
  <w:num w:numId="21">
    <w:abstractNumId w:val="21"/>
  </w:num>
  <w:num w:numId="22">
    <w:abstractNumId w:val="41"/>
  </w:num>
  <w:num w:numId="23">
    <w:abstractNumId w:val="32"/>
  </w:num>
  <w:num w:numId="24">
    <w:abstractNumId w:val="33"/>
  </w:num>
  <w:num w:numId="25">
    <w:abstractNumId w:val="45"/>
  </w:num>
  <w:num w:numId="26">
    <w:abstractNumId w:val="40"/>
  </w:num>
  <w:num w:numId="27">
    <w:abstractNumId w:val="4"/>
  </w:num>
  <w:num w:numId="28">
    <w:abstractNumId w:val="19"/>
  </w:num>
  <w:num w:numId="29">
    <w:abstractNumId w:val="44"/>
  </w:num>
  <w:num w:numId="30">
    <w:abstractNumId w:val="38"/>
  </w:num>
  <w:num w:numId="31">
    <w:abstractNumId w:val="35"/>
  </w:num>
  <w:num w:numId="32">
    <w:abstractNumId w:val="11"/>
  </w:num>
  <w:num w:numId="33">
    <w:abstractNumId w:val="3"/>
  </w:num>
  <w:num w:numId="34">
    <w:abstractNumId w:val="29"/>
  </w:num>
  <w:num w:numId="35">
    <w:abstractNumId w:val="13"/>
  </w:num>
  <w:num w:numId="36">
    <w:abstractNumId w:val="12"/>
  </w:num>
  <w:num w:numId="37">
    <w:abstractNumId w:val="14"/>
  </w:num>
  <w:num w:numId="38">
    <w:abstractNumId w:val="5"/>
  </w:num>
  <w:num w:numId="39">
    <w:abstractNumId w:val="31"/>
  </w:num>
  <w:num w:numId="40">
    <w:abstractNumId w:val="7"/>
  </w:num>
  <w:num w:numId="41">
    <w:abstractNumId w:val="30"/>
  </w:num>
  <w:num w:numId="42">
    <w:abstractNumId w:val="26"/>
  </w:num>
  <w:num w:numId="43">
    <w:abstractNumId w:val="6"/>
  </w:num>
  <w:num w:numId="44">
    <w:abstractNumId w:val="18"/>
  </w:num>
  <w:num w:numId="45">
    <w:abstractNumId w:val="42"/>
  </w:num>
  <w:num w:numId="46">
    <w:abstractNumId w:val="39"/>
  </w:num>
  <w:num w:numId="47">
    <w:abstractNumId w:val="16"/>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1500F"/>
    <w:rsid w:val="00015505"/>
    <w:rsid w:val="00041359"/>
    <w:rsid w:val="0007676F"/>
    <w:rsid w:val="000A38D8"/>
    <w:rsid w:val="000A3B25"/>
    <w:rsid w:val="000A5308"/>
    <w:rsid w:val="000B0284"/>
    <w:rsid w:val="000B5FBA"/>
    <w:rsid w:val="000C1F3B"/>
    <w:rsid w:val="000E2CED"/>
    <w:rsid w:val="00114A56"/>
    <w:rsid w:val="00120CCA"/>
    <w:rsid w:val="001325B2"/>
    <w:rsid w:val="001427F2"/>
    <w:rsid w:val="00152E3C"/>
    <w:rsid w:val="001713AA"/>
    <w:rsid w:val="00186ECF"/>
    <w:rsid w:val="001920C3"/>
    <w:rsid w:val="001C7DA9"/>
    <w:rsid w:val="001D1885"/>
    <w:rsid w:val="001D4856"/>
    <w:rsid w:val="00206E57"/>
    <w:rsid w:val="002072B9"/>
    <w:rsid w:val="002078CD"/>
    <w:rsid w:val="002118B4"/>
    <w:rsid w:val="00227BF4"/>
    <w:rsid w:val="00240A43"/>
    <w:rsid w:val="00242B86"/>
    <w:rsid w:val="002640E7"/>
    <w:rsid w:val="00281870"/>
    <w:rsid w:val="00283AF0"/>
    <w:rsid w:val="00284CE2"/>
    <w:rsid w:val="00294C92"/>
    <w:rsid w:val="0029568A"/>
    <w:rsid w:val="002B0EA8"/>
    <w:rsid w:val="002B51BB"/>
    <w:rsid w:val="002B6AA7"/>
    <w:rsid w:val="002C2AB5"/>
    <w:rsid w:val="002D69D6"/>
    <w:rsid w:val="002E4598"/>
    <w:rsid w:val="00317384"/>
    <w:rsid w:val="00322313"/>
    <w:rsid w:val="00331CB4"/>
    <w:rsid w:val="00357646"/>
    <w:rsid w:val="00390440"/>
    <w:rsid w:val="00391E16"/>
    <w:rsid w:val="003A1EE6"/>
    <w:rsid w:val="003B5D80"/>
    <w:rsid w:val="003D23B1"/>
    <w:rsid w:val="003D4BF7"/>
    <w:rsid w:val="003E3DCD"/>
    <w:rsid w:val="003E470C"/>
    <w:rsid w:val="003E5F63"/>
    <w:rsid w:val="004053E2"/>
    <w:rsid w:val="00414006"/>
    <w:rsid w:val="00434808"/>
    <w:rsid w:val="00435E78"/>
    <w:rsid w:val="004647DC"/>
    <w:rsid w:val="00472847"/>
    <w:rsid w:val="004746CA"/>
    <w:rsid w:val="00476A30"/>
    <w:rsid w:val="00490720"/>
    <w:rsid w:val="004C257F"/>
    <w:rsid w:val="004C40D2"/>
    <w:rsid w:val="004E687D"/>
    <w:rsid w:val="004F3347"/>
    <w:rsid w:val="00503BAB"/>
    <w:rsid w:val="00520616"/>
    <w:rsid w:val="00534716"/>
    <w:rsid w:val="00535409"/>
    <w:rsid w:val="00541DAB"/>
    <w:rsid w:val="00543EC1"/>
    <w:rsid w:val="00547886"/>
    <w:rsid w:val="00554C12"/>
    <w:rsid w:val="005921BB"/>
    <w:rsid w:val="00596091"/>
    <w:rsid w:val="005B027C"/>
    <w:rsid w:val="005B25E4"/>
    <w:rsid w:val="005D0CCF"/>
    <w:rsid w:val="005D1961"/>
    <w:rsid w:val="005D7625"/>
    <w:rsid w:val="005E1765"/>
    <w:rsid w:val="005E618D"/>
    <w:rsid w:val="005F1FD4"/>
    <w:rsid w:val="005F677C"/>
    <w:rsid w:val="00624019"/>
    <w:rsid w:val="00627FFD"/>
    <w:rsid w:val="00652B7E"/>
    <w:rsid w:val="00660F05"/>
    <w:rsid w:val="00677A6B"/>
    <w:rsid w:val="00680D76"/>
    <w:rsid w:val="00691946"/>
    <w:rsid w:val="00691B00"/>
    <w:rsid w:val="00694826"/>
    <w:rsid w:val="006B0B91"/>
    <w:rsid w:val="006B267E"/>
    <w:rsid w:val="006C0ACF"/>
    <w:rsid w:val="0070327A"/>
    <w:rsid w:val="00720885"/>
    <w:rsid w:val="00722CD1"/>
    <w:rsid w:val="00730975"/>
    <w:rsid w:val="0073114C"/>
    <w:rsid w:val="007312A6"/>
    <w:rsid w:val="00737F4C"/>
    <w:rsid w:val="00752571"/>
    <w:rsid w:val="00764728"/>
    <w:rsid w:val="00766E86"/>
    <w:rsid w:val="007945A7"/>
    <w:rsid w:val="007A17E9"/>
    <w:rsid w:val="007D31FC"/>
    <w:rsid w:val="007E48BA"/>
    <w:rsid w:val="007F047A"/>
    <w:rsid w:val="008002AB"/>
    <w:rsid w:val="00804D31"/>
    <w:rsid w:val="0083121E"/>
    <w:rsid w:val="00835DFE"/>
    <w:rsid w:val="00842749"/>
    <w:rsid w:val="008479BB"/>
    <w:rsid w:val="00891661"/>
    <w:rsid w:val="008A005E"/>
    <w:rsid w:val="008A721A"/>
    <w:rsid w:val="008B04CA"/>
    <w:rsid w:val="008D182D"/>
    <w:rsid w:val="008D2727"/>
    <w:rsid w:val="008D2D67"/>
    <w:rsid w:val="008E44CA"/>
    <w:rsid w:val="008F7111"/>
    <w:rsid w:val="00910591"/>
    <w:rsid w:val="00934D50"/>
    <w:rsid w:val="00935BF4"/>
    <w:rsid w:val="00935E77"/>
    <w:rsid w:val="00940045"/>
    <w:rsid w:val="00942A50"/>
    <w:rsid w:val="00951E3E"/>
    <w:rsid w:val="0099458A"/>
    <w:rsid w:val="0099491B"/>
    <w:rsid w:val="00996FC2"/>
    <w:rsid w:val="009B072B"/>
    <w:rsid w:val="009B3794"/>
    <w:rsid w:val="009B7E4D"/>
    <w:rsid w:val="00A0331A"/>
    <w:rsid w:val="00A1688A"/>
    <w:rsid w:val="00A4590F"/>
    <w:rsid w:val="00A54446"/>
    <w:rsid w:val="00A57D26"/>
    <w:rsid w:val="00A62DFA"/>
    <w:rsid w:val="00A7425C"/>
    <w:rsid w:val="00A7497D"/>
    <w:rsid w:val="00A91193"/>
    <w:rsid w:val="00A92CAB"/>
    <w:rsid w:val="00A93570"/>
    <w:rsid w:val="00AE13DD"/>
    <w:rsid w:val="00AE7154"/>
    <w:rsid w:val="00B15C8E"/>
    <w:rsid w:val="00B2439A"/>
    <w:rsid w:val="00B25DDE"/>
    <w:rsid w:val="00B44DC7"/>
    <w:rsid w:val="00B44DF1"/>
    <w:rsid w:val="00B46224"/>
    <w:rsid w:val="00B51CE9"/>
    <w:rsid w:val="00B577CE"/>
    <w:rsid w:val="00B655C6"/>
    <w:rsid w:val="00B733B6"/>
    <w:rsid w:val="00BA1A0C"/>
    <w:rsid w:val="00BA571F"/>
    <w:rsid w:val="00BC1778"/>
    <w:rsid w:val="00BD5FCE"/>
    <w:rsid w:val="00BE4C76"/>
    <w:rsid w:val="00BF6BC8"/>
    <w:rsid w:val="00C02ABF"/>
    <w:rsid w:val="00C43FF3"/>
    <w:rsid w:val="00C45431"/>
    <w:rsid w:val="00C45F7C"/>
    <w:rsid w:val="00C46BA3"/>
    <w:rsid w:val="00C64568"/>
    <w:rsid w:val="00C74B86"/>
    <w:rsid w:val="00C85103"/>
    <w:rsid w:val="00CA3DA6"/>
    <w:rsid w:val="00CA3F04"/>
    <w:rsid w:val="00CD36E7"/>
    <w:rsid w:val="00CD40DE"/>
    <w:rsid w:val="00CE5AA9"/>
    <w:rsid w:val="00CF3E1B"/>
    <w:rsid w:val="00CF714D"/>
    <w:rsid w:val="00CF723D"/>
    <w:rsid w:val="00D11CA3"/>
    <w:rsid w:val="00D1649D"/>
    <w:rsid w:val="00D16D97"/>
    <w:rsid w:val="00D17181"/>
    <w:rsid w:val="00D23B2D"/>
    <w:rsid w:val="00D46313"/>
    <w:rsid w:val="00D56CC2"/>
    <w:rsid w:val="00D63250"/>
    <w:rsid w:val="00D67E54"/>
    <w:rsid w:val="00D74B86"/>
    <w:rsid w:val="00D80988"/>
    <w:rsid w:val="00D91CF0"/>
    <w:rsid w:val="00D92E1D"/>
    <w:rsid w:val="00D97B22"/>
    <w:rsid w:val="00DB332A"/>
    <w:rsid w:val="00DD3D4D"/>
    <w:rsid w:val="00DE3A45"/>
    <w:rsid w:val="00E00CEE"/>
    <w:rsid w:val="00E203FA"/>
    <w:rsid w:val="00E25B32"/>
    <w:rsid w:val="00E2646F"/>
    <w:rsid w:val="00E34A1F"/>
    <w:rsid w:val="00E37370"/>
    <w:rsid w:val="00E52D91"/>
    <w:rsid w:val="00E6329E"/>
    <w:rsid w:val="00E63B9A"/>
    <w:rsid w:val="00E715DE"/>
    <w:rsid w:val="00E773C8"/>
    <w:rsid w:val="00E858D9"/>
    <w:rsid w:val="00E87554"/>
    <w:rsid w:val="00E962DB"/>
    <w:rsid w:val="00EA615C"/>
    <w:rsid w:val="00EB108B"/>
    <w:rsid w:val="00EC38CD"/>
    <w:rsid w:val="00EC5675"/>
    <w:rsid w:val="00ED07B8"/>
    <w:rsid w:val="00ED18EA"/>
    <w:rsid w:val="00EE529C"/>
    <w:rsid w:val="00EF53AC"/>
    <w:rsid w:val="00F024E9"/>
    <w:rsid w:val="00F4221E"/>
    <w:rsid w:val="00F45424"/>
    <w:rsid w:val="00F8550D"/>
    <w:rsid w:val="00F921AC"/>
    <w:rsid w:val="00F95176"/>
    <w:rsid w:val="00F9608A"/>
    <w:rsid w:val="00F96653"/>
    <w:rsid w:val="00FB234C"/>
    <w:rsid w:val="00FB5226"/>
    <w:rsid w:val="00FC67AF"/>
    <w:rsid w:val="00FE6C30"/>
    <w:rsid w:val="00FF4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63855"/>
  <w15:docId w15:val="{8B5F260B-D204-4C77-9E09-6E7F0417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uiPriority w:val="5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unhideWhenUsed/>
    <w:rsid w:val="00E773C8"/>
    <w:rPr>
      <w:sz w:val="16"/>
      <w:szCs w:val="16"/>
    </w:rPr>
  </w:style>
  <w:style w:type="paragraph" w:styleId="CommentText">
    <w:name w:val="annotation text"/>
    <w:basedOn w:val="Normal"/>
    <w:link w:val="CommentTextChar"/>
    <w:unhideWhenUsed/>
    <w:rsid w:val="00E773C8"/>
    <w:rPr>
      <w:szCs w:val="20"/>
    </w:rPr>
  </w:style>
  <w:style w:type="character" w:customStyle="1" w:styleId="CommentTextChar">
    <w:name w:val="Comment Text Char"/>
    <w:basedOn w:val="DefaultParagraphFont"/>
    <w:link w:val="CommentText"/>
    <w:rsid w:val="00E773C8"/>
  </w:style>
  <w:style w:type="paragraph" w:styleId="CommentSubject">
    <w:name w:val="annotation subject"/>
    <w:basedOn w:val="CommentText"/>
    <w:next w:val="CommentText"/>
    <w:link w:val="CommentSubjectChar"/>
    <w:uiPriority w:val="99"/>
    <w:semiHidden/>
    <w:unhideWhenUsed/>
    <w:rsid w:val="00E773C8"/>
    <w:rPr>
      <w:b/>
      <w:bCs/>
    </w:rPr>
  </w:style>
  <w:style w:type="character" w:customStyle="1" w:styleId="CommentSubjectChar">
    <w:name w:val="Comment Subject Char"/>
    <w:basedOn w:val="CommentTextChar"/>
    <w:link w:val="CommentSubject"/>
    <w:uiPriority w:val="99"/>
    <w:semiHidden/>
    <w:rsid w:val="00E773C8"/>
    <w:rPr>
      <w:b/>
      <w:bCs/>
    </w:rPr>
  </w:style>
  <w:style w:type="paragraph" w:styleId="Revision">
    <w:name w:val="Revision"/>
    <w:hidden/>
    <w:uiPriority w:val="99"/>
    <w:semiHidden/>
    <w:rsid w:val="00390440"/>
    <w:rPr>
      <w:szCs w:val="24"/>
    </w:rPr>
  </w:style>
  <w:style w:type="character" w:styleId="FollowedHyperlink">
    <w:name w:val="FollowedHyperlink"/>
    <w:basedOn w:val="DefaultParagraphFont"/>
    <w:semiHidden/>
    <w:unhideWhenUsed/>
    <w:rsid w:val="00934D50"/>
    <w:rPr>
      <w:color w:val="800080" w:themeColor="followedHyperlink"/>
      <w:u w:val="single"/>
    </w:rPr>
  </w:style>
  <w:style w:type="paragraph" w:customStyle="1" w:styleId="NORCTableBodyLeft">
    <w:name w:val="NORC Table Body Left"/>
    <w:qFormat/>
    <w:rsid w:val="000B5FBA"/>
    <w:pPr>
      <w:spacing w:before="20" w:after="20"/>
    </w:pPr>
    <w:rPr>
      <w:rFonts w:ascii="Arial" w:eastAsiaTheme="minorEastAsia" w:hAnsi="Arial"/>
      <w:color w:val="000000" w:themeColor="text1"/>
      <w:sz w:val="18"/>
      <w:szCs w:val="22"/>
    </w:rPr>
  </w:style>
  <w:style w:type="paragraph" w:customStyle="1" w:styleId="NORCTableHeader2">
    <w:name w:val="NORC Table Header 2"/>
    <w:qFormat/>
    <w:rsid w:val="000B5FBA"/>
    <w:pPr>
      <w:spacing w:before="40" w:after="40"/>
    </w:pPr>
    <w:rPr>
      <w:rFonts w:ascii="Arial" w:eastAsia="MS Mincho" w:hAnsi="Arial" w:cs="Arial"/>
      <w:b/>
      <w:sz w:val="18"/>
      <w:szCs w:val="22"/>
    </w:rPr>
  </w:style>
  <w:style w:type="paragraph" w:customStyle="1" w:styleId="NORCTableBodyCenter">
    <w:name w:val="NORC Table Body Center"/>
    <w:basedOn w:val="NORCTableBodyLeft"/>
    <w:qFormat/>
    <w:rsid w:val="000B5FBA"/>
    <w:pPr>
      <w:jc w:val="center"/>
    </w:pPr>
  </w:style>
  <w:style w:type="paragraph" w:customStyle="1" w:styleId="NORCTableHeader1">
    <w:name w:val="NORC Table Header 1"/>
    <w:basedOn w:val="Normal"/>
    <w:qFormat/>
    <w:rsid w:val="000B5FBA"/>
    <w:pPr>
      <w:keepNext/>
      <w:keepLines/>
      <w:widowControl/>
      <w:autoSpaceDE/>
      <w:autoSpaceDN/>
      <w:adjustRightInd/>
      <w:spacing w:before="10" w:after="10"/>
      <w:jc w:val="center"/>
    </w:pPr>
    <w:rPr>
      <w:rFonts w:ascii="Arial" w:eastAsia="Calibri" w:hAnsi="Arial" w:cs="Arial"/>
      <w:b/>
      <w:sz w:val="18"/>
      <w:szCs w:val="20"/>
    </w:rPr>
  </w:style>
  <w:style w:type="paragraph" w:customStyle="1" w:styleId="NORCTableFootnote">
    <w:name w:val="NORC Table Footnote"/>
    <w:basedOn w:val="Normal"/>
    <w:qFormat/>
    <w:rsid w:val="000B5FBA"/>
    <w:pPr>
      <w:widowControl/>
      <w:autoSpaceDE/>
      <w:autoSpaceDN/>
      <w:adjustRightInd/>
      <w:spacing w:before="60"/>
    </w:pPr>
    <w:rPr>
      <w:rFonts w:asciiTheme="majorHAnsi" w:eastAsiaTheme="minorHAnsi" w:hAnsiTheme="majorHAnsi" w:cstheme="majorHAnsi"/>
      <w:sz w:val="18"/>
      <w:szCs w:val="23"/>
    </w:rPr>
  </w:style>
  <w:style w:type="paragraph" w:styleId="FootnoteText">
    <w:name w:val="footnote text"/>
    <w:basedOn w:val="Normal"/>
    <w:link w:val="FootnoteTextChar"/>
    <w:semiHidden/>
    <w:unhideWhenUsed/>
    <w:rsid w:val="00FB234C"/>
    <w:rPr>
      <w:szCs w:val="20"/>
    </w:rPr>
  </w:style>
  <w:style w:type="character" w:customStyle="1" w:styleId="FootnoteTextChar">
    <w:name w:val="Footnote Text Char"/>
    <w:basedOn w:val="DefaultParagraphFont"/>
    <w:link w:val="FootnoteText"/>
    <w:semiHidden/>
    <w:rsid w:val="00FB234C"/>
  </w:style>
  <w:style w:type="paragraph" w:styleId="Header">
    <w:name w:val="header"/>
    <w:basedOn w:val="Normal"/>
    <w:link w:val="HeaderChar"/>
    <w:unhideWhenUsed/>
    <w:rsid w:val="00D1649D"/>
    <w:pPr>
      <w:tabs>
        <w:tab w:val="center" w:pos="4680"/>
        <w:tab w:val="right" w:pos="9360"/>
      </w:tabs>
    </w:pPr>
  </w:style>
  <w:style w:type="character" w:customStyle="1" w:styleId="HeaderChar">
    <w:name w:val="Header Char"/>
    <w:basedOn w:val="DefaultParagraphFont"/>
    <w:link w:val="Header"/>
    <w:rsid w:val="00D1649D"/>
    <w:rPr>
      <w:szCs w:val="24"/>
    </w:rPr>
  </w:style>
  <w:style w:type="paragraph" w:styleId="Footer">
    <w:name w:val="footer"/>
    <w:basedOn w:val="Normal"/>
    <w:link w:val="FooterChar"/>
    <w:unhideWhenUsed/>
    <w:rsid w:val="00D1649D"/>
    <w:pPr>
      <w:tabs>
        <w:tab w:val="center" w:pos="4680"/>
        <w:tab w:val="right" w:pos="9360"/>
      </w:tabs>
    </w:pPr>
  </w:style>
  <w:style w:type="character" w:customStyle="1" w:styleId="FooterChar">
    <w:name w:val="Footer Char"/>
    <w:basedOn w:val="DefaultParagraphFont"/>
    <w:link w:val="Footer"/>
    <w:rsid w:val="00D1649D"/>
    <w:rPr>
      <w:szCs w:val="24"/>
    </w:rPr>
  </w:style>
  <w:style w:type="character" w:customStyle="1" w:styleId="BodyTextIndentChar">
    <w:name w:val="Body Text Indent Char"/>
    <w:basedOn w:val="DefaultParagraphFont"/>
    <w:link w:val="BodyTextIndent"/>
    <w:rsid w:val="00554C12"/>
    <w:rPr>
      <w:rFonts w:ascii="Baskerville Old Face" w:hAnsi="Baskerville Old Face"/>
      <w:sz w:val="24"/>
      <w:szCs w:val="24"/>
    </w:rPr>
  </w:style>
  <w:style w:type="paragraph" w:customStyle="1" w:styleId="NormalSS">
    <w:name w:val="NormalSS"/>
    <w:basedOn w:val="Normal"/>
    <w:link w:val="NormalSSChar"/>
    <w:qFormat/>
    <w:rsid w:val="00804D31"/>
    <w:pPr>
      <w:widowControl/>
      <w:tabs>
        <w:tab w:val="left" w:pos="432"/>
      </w:tabs>
      <w:autoSpaceDE/>
      <w:autoSpaceDN/>
      <w:adjustRightInd/>
      <w:spacing w:after="240"/>
      <w:ind w:firstLine="432"/>
    </w:pPr>
    <w:rPr>
      <w:sz w:val="24"/>
    </w:rPr>
  </w:style>
  <w:style w:type="character" w:customStyle="1" w:styleId="NormalSSChar">
    <w:name w:val="NormalSS Char"/>
    <w:link w:val="NormalSS"/>
    <w:locked/>
    <w:rsid w:val="00804D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12596">
      <w:bodyDiv w:val="1"/>
      <w:marLeft w:val="0"/>
      <w:marRight w:val="0"/>
      <w:marTop w:val="0"/>
      <w:marBottom w:val="0"/>
      <w:divBdr>
        <w:top w:val="none" w:sz="0" w:space="0" w:color="auto"/>
        <w:left w:val="none" w:sz="0" w:space="0" w:color="auto"/>
        <w:bottom w:val="none" w:sz="0" w:space="0" w:color="auto"/>
        <w:right w:val="none" w:sz="0" w:space="0" w:color="auto"/>
      </w:divBdr>
    </w:div>
    <w:div w:id="269433457">
      <w:bodyDiv w:val="1"/>
      <w:marLeft w:val="0"/>
      <w:marRight w:val="0"/>
      <w:marTop w:val="0"/>
      <w:marBottom w:val="0"/>
      <w:divBdr>
        <w:top w:val="none" w:sz="0" w:space="0" w:color="auto"/>
        <w:left w:val="none" w:sz="0" w:space="0" w:color="auto"/>
        <w:bottom w:val="none" w:sz="0" w:space="0" w:color="auto"/>
        <w:right w:val="none" w:sz="0" w:space="0" w:color="auto"/>
      </w:divBdr>
    </w:div>
    <w:div w:id="528836773">
      <w:bodyDiv w:val="1"/>
      <w:marLeft w:val="0"/>
      <w:marRight w:val="0"/>
      <w:marTop w:val="0"/>
      <w:marBottom w:val="0"/>
      <w:divBdr>
        <w:top w:val="none" w:sz="0" w:space="0" w:color="auto"/>
        <w:left w:val="none" w:sz="0" w:space="0" w:color="auto"/>
        <w:bottom w:val="none" w:sz="0" w:space="0" w:color="auto"/>
        <w:right w:val="none" w:sz="0" w:space="0" w:color="auto"/>
      </w:divBdr>
    </w:div>
    <w:div w:id="819686418">
      <w:bodyDiv w:val="1"/>
      <w:marLeft w:val="0"/>
      <w:marRight w:val="0"/>
      <w:marTop w:val="0"/>
      <w:marBottom w:val="0"/>
      <w:divBdr>
        <w:top w:val="none" w:sz="0" w:space="0" w:color="auto"/>
        <w:left w:val="none" w:sz="0" w:space="0" w:color="auto"/>
        <w:bottom w:val="none" w:sz="0" w:space="0" w:color="auto"/>
        <w:right w:val="none" w:sz="0" w:space="0" w:color="auto"/>
      </w:divBdr>
    </w:div>
    <w:div w:id="154921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pay-leave/salaries-wages/salary-tables/pdf/2020/DCB.pdf" TargetMode="External"/><Relationship Id="rId2" Type="http://schemas.openxmlformats.org/officeDocument/2006/relationships/hyperlink" Target="https://www.bls.gov/oes/2018/may/oes119151.htm" TargetMode="External"/><Relationship Id="rId1" Type="http://schemas.openxmlformats.org/officeDocument/2006/relationships/hyperlink" Target="https://www.bls.gov/oes/current/oes1191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B39D3A5F69D34B9B5659B81F57CF7D" ma:contentTypeVersion="0" ma:contentTypeDescription="Create a new document." ma:contentTypeScope="" ma:versionID="7e33ea0f0c84781c1ef6447684e6c531">
  <xsd:schema xmlns:xsd="http://www.w3.org/2001/XMLSchema" xmlns:xs="http://www.w3.org/2001/XMLSchema" xmlns:p="http://schemas.microsoft.com/office/2006/metadata/properties" xmlns:ns1="http://schemas.microsoft.com/sharepoint/v3" xmlns:ns2="2499937d-34f2-4984-8519-b47ecdf1611e" targetNamespace="http://schemas.microsoft.com/office/2006/metadata/properties" ma:root="true" ma:fieldsID="f22ebaad0775b495eebf0e81ae3ab593" ns1:_="" ns2:_="">
    <xsd:import namespace="http://schemas.microsoft.com/sharepoint/v3"/>
    <xsd:import namespace="2499937d-34f2-4984-8519-b47ecdf1611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99937d-34f2-4984-8519-b47ecdf161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E1DA4-FCA7-4317-B5DF-43C182250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99937d-34f2-4984-8519-b47ecdf1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3.xml><?xml version="1.0" encoding="utf-8"?>
<ds:datastoreItem xmlns:ds="http://schemas.openxmlformats.org/officeDocument/2006/customXml" ds:itemID="{D26A2751-3264-4D35-BE94-796D830805E4}">
  <ds:schemaRefs>
    <ds:schemaRef ds:uri="http://schemas.microsoft.com/sharepoint/events"/>
  </ds:schemaRefs>
</ds:datastoreItem>
</file>

<file path=customXml/itemProps4.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C90D13C2-C398-4B7A-B3AB-0A9B9A7F8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3095</Words>
  <Characters>17967</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21020</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subject/>
  <dc:creator>Jodi.Duckhorn</dc:creator>
  <cp:keywords/>
  <cp:lastModifiedBy>Elyana N.  Bowman</cp:lastModifiedBy>
  <cp:revision>2</cp:revision>
  <cp:lastPrinted>2010-10-14T13:41:00Z</cp:lastPrinted>
  <dcterms:created xsi:type="dcterms:W3CDTF">2020-10-21T18:53:00Z</dcterms:created>
  <dcterms:modified xsi:type="dcterms:W3CDTF">2020-10-21T18:53:00Z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0x010100EAB39D3A5F69D34B9B5659B81F57CF7D</vt:lpwstr>
  </property>
</Properties>
</file>