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46ED" w:rsidR="00BA1A0C" w:rsidP="00BD59DC" w:rsidRDefault="009B3794" w14:paraId="1F7558E1" w14:textId="77777777">
      <w:pPr>
        <w:tabs>
          <w:tab w:val="center" w:pos="4680"/>
        </w:tabs>
        <w:jc w:val="center"/>
        <w:rPr>
          <w:b/>
          <w:bCs/>
          <w:sz w:val="28"/>
        </w:rPr>
      </w:pPr>
      <w:r w:rsidRPr="000346ED">
        <w:rPr>
          <w:b/>
          <w:bCs/>
          <w:sz w:val="28"/>
        </w:rPr>
        <w:t xml:space="preserve">Supporting Statement </w:t>
      </w:r>
      <w:r w:rsidRPr="000346ED" w:rsidR="00BA1A0C">
        <w:rPr>
          <w:b/>
          <w:bCs/>
          <w:sz w:val="28"/>
        </w:rPr>
        <w:t>A</w:t>
      </w:r>
    </w:p>
    <w:p w:rsidRPr="000346ED" w:rsidR="00BD6BF1" w:rsidP="00BD59DC" w:rsidRDefault="00BD6BF1" w14:paraId="28FD1371" w14:textId="2F2692B3">
      <w:pPr>
        <w:tabs>
          <w:tab w:val="center" w:pos="4680"/>
        </w:tabs>
        <w:jc w:val="center"/>
        <w:rPr>
          <w:bCs/>
          <w:sz w:val="28"/>
        </w:rPr>
      </w:pPr>
      <w:r w:rsidRPr="000346ED">
        <w:rPr>
          <w:bCs/>
          <w:sz w:val="28"/>
        </w:rPr>
        <w:t>Enhancing Linkage of STI and HIV Surveillance Data in the Ryan White HIV/AIDS Program</w:t>
      </w:r>
    </w:p>
    <w:p w:rsidR="00055B81" w:rsidP="00BD59DC" w:rsidRDefault="00BA1A0C" w14:paraId="53A80392" w14:textId="77777777">
      <w:pPr>
        <w:tabs>
          <w:tab w:val="center" w:pos="4680"/>
        </w:tabs>
        <w:jc w:val="center"/>
        <w:rPr>
          <w:bCs/>
          <w:sz w:val="28"/>
        </w:rPr>
      </w:pPr>
      <w:r w:rsidRPr="000346ED">
        <w:rPr>
          <w:bCs/>
          <w:sz w:val="28"/>
        </w:rPr>
        <w:t>OMB Control No. 09</w:t>
      </w:r>
      <w:r w:rsidR="00055B81">
        <w:rPr>
          <w:bCs/>
          <w:sz w:val="28"/>
        </w:rPr>
        <w:t>06</w:t>
      </w:r>
      <w:r w:rsidRPr="000346ED">
        <w:rPr>
          <w:bCs/>
          <w:sz w:val="28"/>
        </w:rPr>
        <w:t>-XXXX</w:t>
      </w:r>
    </w:p>
    <w:p w:rsidR="00BA1A0C" w:rsidP="00BD59DC" w:rsidRDefault="00BD59DC" w14:paraId="30ADC64B" w14:textId="5902925A">
      <w:pPr>
        <w:tabs>
          <w:tab w:val="center" w:pos="4680"/>
        </w:tabs>
        <w:jc w:val="center"/>
        <w:rPr>
          <w:bCs/>
          <w:sz w:val="28"/>
        </w:rPr>
      </w:pPr>
      <w:r w:rsidRPr="000346ED">
        <w:rPr>
          <w:bCs/>
          <w:sz w:val="28"/>
        </w:rPr>
        <w:t>New</w:t>
      </w:r>
      <w:r w:rsidR="00055B81">
        <w:rPr>
          <w:bCs/>
          <w:sz w:val="28"/>
        </w:rPr>
        <w:t xml:space="preserve"> Information Collection Request</w:t>
      </w:r>
    </w:p>
    <w:p w:rsidRPr="000346ED" w:rsidR="00055B81" w:rsidP="00BD59DC" w:rsidRDefault="00055B81" w14:paraId="52B56E78" w14:textId="77777777">
      <w:pPr>
        <w:tabs>
          <w:tab w:val="center" w:pos="4680"/>
        </w:tabs>
        <w:jc w:val="center"/>
        <w:rPr>
          <w:bCs/>
          <w:sz w:val="28"/>
        </w:rPr>
      </w:pPr>
    </w:p>
    <w:p w:rsidR="00BD6BF1" w:rsidP="001D6BF4" w:rsidRDefault="00DE3A45" w14:paraId="65AAFEEE" w14:textId="77777777">
      <w:pPr>
        <w:spacing w:before="120" w:after="240"/>
        <w:rPr>
          <w:sz w:val="24"/>
        </w:rPr>
      </w:pPr>
      <w:r w:rsidRPr="00545B2E">
        <w:rPr>
          <w:b/>
          <w:sz w:val="24"/>
        </w:rPr>
        <w:t>Terms of Clearance</w:t>
      </w:r>
      <w:r w:rsidRPr="00545B2E" w:rsidR="00BA1A0C">
        <w:rPr>
          <w:b/>
          <w:sz w:val="24"/>
        </w:rPr>
        <w:t>:</w:t>
      </w:r>
      <w:r w:rsidRPr="00545B2E" w:rsidR="00BA1A0C">
        <w:rPr>
          <w:sz w:val="24"/>
        </w:rPr>
        <w:t xml:space="preserve">  </w:t>
      </w:r>
      <w:r w:rsidR="00BD6BF1">
        <w:rPr>
          <w:sz w:val="24"/>
        </w:rPr>
        <w:t>None.</w:t>
      </w:r>
    </w:p>
    <w:p w:rsidRPr="00545B2E" w:rsidR="009B3794" w:rsidP="001D6BF4" w:rsidRDefault="00BA1A0C" w14:paraId="789305B3" w14:textId="45B0346D">
      <w:pPr>
        <w:spacing w:before="120" w:after="240"/>
        <w:rPr>
          <w:b/>
          <w:bCs/>
          <w:sz w:val="24"/>
        </w:rPr>
      </w:pPr>
      <w:r w:rsidRPr="00545B2E">
        <w:rPr>
          <w:b/>
          <w:sz w:val="24"/>
        </w:rPr>
        <w:t xml:space="preserve"> </w:t>
      </w:r>
      <w:r w:rsidRPr="00545B2E" w:rsidR="009B3794">
        <w:rPr>
          <w:b/>
          <w:bCs/>
          <w:sz w:val="24"/>
        </w:rPr>
        <w:t>A.</w:t>
      </w:r>
      <w:r w:rsidRPr="00545B2E" w:rsidR="009B3794">
        <w:rPr>
          <w:b/>
          <w:bCs/>
          <w:sz w:val="24"/>
        </w:rPr>
        <w:tab/>
        <w:t>Justification</w:t>
      </w:r>
    </w:p>
    <w:p w:rsidRPr="00DB7177" w:rsidR="00DB7177" w:rsidP="00024782" w:rsidRDefault="00DB7177" w14:paraId="780442E6" w14:textId="77777777">
      <w:pPr>
        <w:numPr>
          <w:ilvl w:val="0"/>
          <w:numId w:val="1"/>
        </w:numPr>
        <w:spacing w:before="240"/>
        <w:rPr>
          <w:b/>
          <w:sz w:val="24"/>
        </w:rPr>
      </w:pPr>
      <w:r w:rsidRPr="00DB7177">
        <w:rPr>
          <w:b/>
          <w:sz w:val="24"/>
          <w:u w:val="single"/>
        </w:rPr>
        <w:t>Circumstances Making the Collection of Information Necessary</w:t>
      </w:r>
    </w:p>
    <w:p w:rsidR="007B2A08" w:rsidP="00DB7177" w:rsidRDefault="007B2A08" w14:paraId="211B1267" w14:textId="77777777">
      <w:pPr>
        <w:pStyle w:val="BodyText"/>
        <w:rPr>
          <w:sz w:val="24"/>
        </w:rPr>
      </w:pPr>
    </w:p>
    <w:p w:rsidRPr="001624BB" w:rsidR="00D26EF7" w:rsidP="00D26EF7" w:rsidRDefault="00D26EF7" w14:paraId="773E4DB4" w14:textId="288B4E20">
      <w:pPr>
        <w:rPr>
          <w:sz w:val="24"/>
          <w:lang w:eastAsia="ja-JP"/>
        </w:rPr>
      </w:pPr>
      <w:r w:rsidRPr="001624BB">
        <w:rPr>
          <w:rStyle w:val="BodyTextFi"/>
          <w:sz w:val="24"/>
        </w:rPr>
        <w:t>The Health Resources and Services Administration (HRSA) is requesting approval from the Office of Management and Budget (OMB) for a</w:t>
      </w:r>
      <w:r w:rsidRPr="001624BB">
        <w:rPr>
          <w:sz w:val="24"/>
          <w:lang w:val="en"/>
        </w:rPr>
        <w:t xml:space="preserve"> new information collection titled “</w:t>
      </w:r>
      <w:r w:rsidRPr="00D26EF7">
        <w:rPr>
          <w:sz w:val="24"/>
          <w:lang w:val="en"/>
        </w:rPr>
        <w:t xml:space="preserve">Enhancing Linkage of STI and HIV Surveillance Data in the </w:t>
      </w:r>
      <w:r w:rsidR="00C267E1">
        <w:rPr>
          <w:sz w:val="24"/>
          <w:lang w:val="en"/>
        </w:rPr>
        <w:t>Ryan White HIV/AIDS Program (</w:t>
      </w:r>
      <w:r w:rsidRPr="00D26EF7">
        <w:rPr>
          <w:sz w:val="24"/>
          <w:lang w:val="en"/>
        </w:rPr>
        <w:t>RWHAP</w:t>
      </w:r>
      <w:r w:rsidR="00C267E1">
        <w:rPr>
          <w:sz w:val="24"/>
          <w:lang w:val="en"/>
        </w:rPr>
        <w:t>)</w:t>
      </w:r>
      <w:r w:rsidR="00B17735">
        <w:rPr>
          <w:sz w:val="24"/>
          <w:lang w:val="en"/>
        </w:rPr>
        <w:t xml:space="preserve"> Evaluation.</w:t>
      </w:r>
      <w:r w:rsidRPr="001624BB">
        <w:rPr>
          <w:sz w:val="24"/>
          <w:lang w:val="en"/>
        </w:rPr>
        <w:t xml:space="preserve">”  HRSA will </w:t>
      </w:r>
      <w:r w:rsidRPr="00D26EF7">
        <w:rPr>
          <w:sz w:val="24"/>
          <w:lang w:val="en"/>
        </w:rPr>
        <w:t xml:space="preserve">complete a </w:t>
      </w:r>
      <w:r w:rsidR="00925841">
        <w:rPr>
          <w:sz w:val="24"/>
          <w:lang w:val="en"/>
        </w:rPr>
        <w:t xml:space="preserve">mixed-methods evaluation of this </w:t>
      </w:r>
      <w:r w:rsidR="0097510A">
        <w:rPr>
          <w:sz w:val="24"/>
          <w:lang w:val="en"/>
        </w:rPr>
        <w:t xml:space="preserve">RWHAP </w:t>
      </w:r>
      <w:r w:rsidR="00DC7D2C">
        <w:rPr>
          <w:sz w:val="24"/>
          <w:lang w:val="en"/>
        </w:rPr>
        <w:t xml:space="preserve">Special Projects of National Significance (SPNS) </w:t>
      </w:r>
      <w:r>
        <w:rPr>
          <w:sz w:val="24"/>
          <w:lang w:val="en"/>
        </w:rPr>
        <w:t xml:space="preserve">demonstration project </w:t>
      </w:r>
      <w:r w:rsidR="00B17735">
        <w:rPr>
          <w:sz w:val="24"/>
          <w:lang w:val="en"/>
        </w:rPr>
        <w:t>using</w:t>
      </w:r>
      <w:r w:rsidR="009F64D4">
        <w:rPr>
          <w:sz w:val="24"/>
          <w:lang w:val="en"/>
        </w:rPr>
        <w:t xml:space="preserve"> quantitative and qualitative data obtained from </w:t>
      </w:r>
      <w:r w:rsidR="00F13750">
        <w:rPr>
          <w:sz w:val="24"/>
          <w:lang w:val="en"/>
        </w:rPr>
        <w:t>approximately 41</w:t>
      </w:r>
      <w:r w:rsidR="00B87D8B">
        <w:rPr>
          <w:sz w:val="24"/>
          <w:lang w:val="en"/>
        </w:rPr>
        <w:t xml:space="preserve"> representatives associated with</w:t>
      </w:r>
      <w:r w:rsidR="00F13750">
        <w:rPr>
          <w:sz w:val="24"/>
          <w:lang w:val="en"/>
        </w:rPr>
        <w:t xml:space="preserve"> each of the </w:t>
      </w:r>
      <w:r w:rsidR="009F64D4">
        <w:rPr>
          <w:sz w:val="24"/>
          <w:lang w:val="en"/>
        </w:rPr>
        <w:t xml:space="preserve">four participating RWHAP Part B recipients </w:t>
      </w:r>
      <w:r w:rsidR="00DC7D2C">
        <w:rPr>
          <w:sz w:val="24"/>
          <w:lang w:val="en"/>
        </w:rPr>
        <w:t xml:space="preserve">(state health departments) </w:t>
      </w:r>
      <w:r w:rsidR="009F64D4">
        <w:rPr>
          <w:sz w:val="24"/>
          <w:lang w:val="en"/>
        </w:rPr>
        <w:t xml:space="preserve">and </w:t>
      </w:r>
      <w:r w:rsidR="00F13750">
        <w:rPr>
          <w:sz w:val="24"/>
          <w:lang w:val="en"/>
        </w:rPr>
        <w:t>three representat</w:t>
      </w:r>
      <w:r w:rsidR="00B87D8B">
        <w:rPr>
          <w:sz w:val="24"/>
          <w:lang w:val="en"/>
        </w:rPr>
        <w:t>ives associated with</w:t>
      </w:r>
      <w:r w:rsidR="00F13750">
        <w:rPr>
          <w:sz w:val="24"/>
          <w:lang w:val="en"/>
        </w:rPr>
        <w:t xml:space="preserve"> </w:t>
      </w:r>
      <w:r w:rsidR="009F64D4">
        <w:rPr>
          <w:sz w:val="24"/>
          <w:lang w:val="en"/>
        </w:rPr>
        <w:t xml:space="preserve">one </w:t>
      </w:r>
      <w:r w:rsidR="00604FEA">
        <w:rPr>
          <w:sz w:val="24"/>
          <w:lang w:val="en"/>
        </w:rPr>
        <w:t xml:space="preserve">RWHAP </w:t>
      </w:r>
      <w:r w:rsidR="009F64D4">
        <w:rPr>
          <w:sz w:val="24"/>
          <w:lang w:val="en"/>
        </w:rPr>
        <w:t xml:space="preserve">Part F recipient </w:t>
      </w:r>
      <w:r w:rsidR="00DC7D2C">
        <w:rPr>
          <w:sz w:val="24"/>
          <w:lang w:val="en"/>
        </w:rPr>
        <w:t xml:space="preserve">(academic institution) </w:t>
      </w:r>
      <w:r w:rsidR="009F64D4">
        <w:rPr>
          <w:sz w:val="24"/>
          <w:lang w:val="en"/>
        </w:rPr>
        <w:t xml:space="preserve">serving as a </w:t>
      </w:r>
      <w:r w:rsidRPr="009F64D4" w:rsidR="009F64D4">
        <w:rPr>
          <w:sz w:val="24"/>
          <w:lang w:val="en"/>
        </w:rPr>
        <w:t>Technical Assistance Provider (TAP)</w:t>
      </w:r>
      <w:r w:rsidR="009F64D4">
        <w:rPr>
          <w:sz w:val="24"/>
          <w:lang w:val="en"/>
        </w:rPr>
        <w:t xml:space="preserve"> to the </w:t>
      </w:r>
      <w:proofErr w:type="spellStart"/>
      <w:r w:rsidR="00604FEA">
        <w:rPr>
          <w:sz w:val="24"/>
          <w:lang w:val="en"/>
        </w:rPr>
        <w:t>RWHAP</w:t>
      </w:r>
      <w:proofErr w:type="spellEnd"/>
      <w:r w:rsidR="00604FEA">
        <w:rPr>
          <w:sz w:val="24"/>
          <w:lang w:val="en"/>
        </w:rPr>
        <w:t xml:space="preserve"> </w:t>
      </w:r>
      <w:r w:rsidR="00F53884">
        <w:rPr>
          <w:sz w:val="24"/>
          <w:lang w:val="en"/>
        </w:rPr>
        <w:t xml:space="preserve">Part B recipients.  </w:t>
      </w:r>
      <w:proofErr w:type="spellStart"/>
      <w:r w:rsidR="009F64D4">
        <w:rPr>
          <w:sz w:val="24"/>
          <w:lang w:val="en"/>
        </w:rPr>
        <w:t>T</w:t>
      </w:r>
      <w:r w:rsidRPr="001624BB">
        <w:rPr>
          <w:sz w:val="24"/>
        </w:rPr>
        <w:t>he</w:t>
      </w:r>
      <w:proofErr w:type="spellEnd"/>
      <w:r w:rsidRPr="001624BB">
        <w:rPr>
          <w:sz w:val="24"/>
        </w:rPr>
        <w:t xml:space="preserve"> </w:t>
      </w:r>
      <w:proofErr w:type="spellStart"/>
      <w:r w:rsidRPr="001624BB">
        <w:rPr>
          <w:sz w:val="24"/>
          <w:lang w:eastAsia="ja-JP"/>
        </w:rPr>
        <w:t>RWHAP</w:t>
      </w:r>
      <w:proofErr w:type="spellEnd"/>
      <w:r w:rsidRPr="001624BB">
        <w:rPr>
          <w:sz w:val="24"/>
          <w:lang w:eastAsia="ja-JP"/>
        </w:rPr>
        <w:t>,</w:t>
      </w:r>
      <w:r w:rsidRPr="001624BB">
        <w:rPr>
          <w:sz w:val="24"/>
        </w:rPr>
        <w:t xml:space="preserve"> authorized under Title XXVI of the Public Health Service Act, as amended by the Ryan White HIV/AIDS Treatment Extension Act of 2009, funds and coordinates with cities, states, and local clinics/community-based organizations to deliver efficient and effective HIV care, treatment, and support to low-income people with HIV. </w:t>
      </w:r>
      <w:r w:rsidR="00055B81">
        <w:rPr>
          <w:sz w:val="24"/>
          <w:lang w:eastAsia="ja-JP"/>
        </w:rPr>
        <w:t xml:space="preserve"> </w:t>
      </w:r>
      <w:r w:rsidRPr="001624BB">
        <w:rPr>
          <w:sz w:val="24"/>
          <w:lang w:eastAsia="ja-JP"/>
        </w:rPr>
        <w:t>The Department of Health and Human Services (HHS) HRSA administers funds for the RWHAP.</w:t>
      </w:r>
    </w:p>
    <w:p w:rsidR="001D1016" w:rsidP="000B3A0B" w:rsidRDefault="001D1016" w14:paraId="6463A9D2" w14:textId="52F35CF8">
      <w:pPr>
        <w:pStyle w:val="BodyText"/>
        <w:spacing w:after="0"/>
        <w:rPr>
          <w:sz w:val="24"/>
        </w:rPr>
      </w:pPr>
    </w:p>
    <w:p w:rsidRPr="001624BB" w:rsidR="001D1016" w:rsidP="001D1016" w:rsidRDefault="001D1016" w14:paraId="5A3EF32D" w14:textId="5034E75A">
      <w:pPr>
        <w:rPr>
          <w:sz w:val="24"/>
        </w:rPr>
      </w:pPr>
      <w:r w:rsidRPr="001624BB">
        <w:rPr>
          <w:sz w:val="24"/>
        </w:rPr>
        <w:t>The HRSA RWHAP supports a comprehensive system of direct health care and support services for over half a million people with HIV</w:t>
      </w:r>
      <w:r w:rsidRPr="001624BB">
        <w:rPr>
          <w:sz w:val="24"/>
          <w:vertAlign w:val="superscript"/>
        </w:rPr>
        <w:footnoteReference w:id="1"/>
      </w:r>
      <w:r w:rsidRPr="001624BB">
        <w:rPr>
          <w:sz w:val="24"/>
        </w:rPr>
        <w:t xml:space="preserve">. </w:t>
      </w:r>
      <w:r w:rsidR="00F53884">
        <w:rPr>
          <w:sz w:val="24"/>
        </w:rPr>
        <w:t xml:space="preserve"> </w:t>
      </w:r>
      <w:r w:rsidRPr="001624BB">
        <w:rPr>
          <w:sz w:val="24"/>
        </w:rPr>
        <w:t xml:space="preserve">The HRSA RWHAP makes financial assistance available for the development, organization, coordination, and operation of more effective and cost-efficient systems for the delivery of essential core medical and support services to </w:t>
      </w:r>
      <w:r w:rsidR="00C267E1">
        <w:rPr>
          <w:sz w:val="24"/>
        </w:rPr>
        <w:t>people</w:t>
      </w:r>
      <w:r w:rsidRPr="001624BB" w:rsidR="00C267E1">
        <w:rPr>
          <w:sz w:val="24"/>
        </w:rPr>
        <w:t xml:space="preserve"> </w:t>
      </w:r>
      <w:r w:rsidRPr="001624BB">
        <w:rPr>
          <w:sz w:val="24"/>
        </w:rPr>
        <w:t xml:space="preserve">with HIV. </w:t>
      </w:r>
      <w:r w:rsidR="00F53884">
        <w:rPr>
          <w:sz w:val="24"/>
        </w:rPr>
        <w:t xml:space="preserve"> </w:t>
      </w:r>
      <w:r w:rsidRPr="001624BB">
        <w:rPr>
          <w:sz w:val="24"/>
        </w:rPr>
        <w:t xml:space="preserve">Funding priorities are determined by stakeholders at local and state levels, resulting in uniquely structured programs that address their jurisdictions’ critical gaps and needs.  HRSA also works in partnership with RWHAP recipients at state and local levels to use innovative approaches for community engagement, needs assessment, planning processes, policy development, service delivery, clinical quality improvement, and workforce development activities that are needed to support a robust system of HIV care, support and treatment. </w:t>
      </w:r>
    </w:p>
    <w:p w:rsidR="00B17735" w:rsidP="000B3A0B" w:rsidRDefault="00B17735" w14:paraId="5DAD8ABD" w14:textId="77777777">
      <w:pPr>
        <w:pStyle w:val="BodyText"/>
        <w:spacing w:after="0"/>
        <w:rPr>
          <w:sz w:val="24"/>
        </w:rPr>
      </w:pPr>
    </w:p>
    <w:p w:rsidR="00EB0ED7" w:rsidP="000B3A0B" w:rsidRDefault="00B17735" w14:paraId="66DC8FBF" w14:textId="08CBCA8A">
      <w:pPr>
        <w:pStyle w:val="BodyText"/>
        <w:spacing w:after="0"/>
        <w:rPr>
          <w:sz w:val="24"/>
        </w:rPr>
      </w:pPr>
      <w:r w:rsidRPr="00B17735">
        <w:rPr>
          <w:sz w:val="24"/>
        </w:rPr>
        <w:t xml:space="preserve">The U.S. Congress mandated that client-level data be collected under the Ryan White HIV/AIDS Treatment Modernization Act of 2006 and requires the submission of Annual Reports by the </w:t>
      </w:r>
      <w:r w:rsidRPr="00B17735">
        <w:rPr>
          <w:sz w:val="24"/>
        </w:rPr>
        <w:lastRenderedPageBreak/>
        <w:t xml:space="preserve">Secretary of Health and Human Services to the appropriate committees of Congress.  Funded service providers are permitted to collect client level information and report de-identified data to HRSA HAB, as a public health authority, </w:t>
      </w:r>
      <w:r w:rsidR="00F53884">
        <w:rPr>
          <w:sz w:val="24"/>
        </w:rPr>
        <w:t xml:space="preserve">pursuant to 45 CFR 164.512(b).  </w:t>
      </w:r>
      <w:r w:rsidRPr="00B17735">
        <w:rPr>
          <w:sz w:val="24"/>
        </w:rPr>
        <w:t xml:space="preserve">HRSA </w:t>
      </w:r>
      <w:proofErr w:type="spellStart"/>
      <w:r w:rsidRPr="00B17735">
        <w:rPr>
          <w:sz w:val="24"/>
        </w:rPr>
        <w:t>HAB</w:t>
      </w:r>
      <w:proofErr w:type="spellEnd"/>
      <w:r w:rsidRPr="00B17735">
        <w:rPr>
          <w:sz w:val="24"/>
        </w:rPr>
        <w:t xml:space="preserve"> is authorized by law to receive such information for the purpose of preventing or controlling disease, and the conduct of public health interventions.  These data provide information about the grant recipients’ organization and staffing, the number of clients served, services provided, client demographics, clinical data of clients served and costs of providing services.</w:t>
      </w:r>
      <w:r w:rsidR="00EB0ED7">
        <w:rPr>
          <w:sz w:val="24"/>
        </w:rPr>
        <w:t xml:space="preserve">  </w:t>
      </w:r>
      <w:r w:rsidR="00CE67F2">
        <w:rPr>
          <w:sz w:val="24"/>
        </w:rPr>
        <w:t xml:space="preserve">However, </w:t>
      </w:r>
      <w:r w:rsidR="00EB0ED7">
        <w:rPr>
          <w:sz w:val="24"/>
        </w:rPr>
        <w:t xml:space="preserve">the data needed to evaluate the effectiveness of the </w:t>
      </w:r>
      <w:r w:rsidRPr="00FD4CAC" w:rsidR="00EB0ED7">
        <w:rPr>
          <w:i/>
          <w:sz w:val="24"/>
        </w:rPr>
        <w:t xml:space="preserve">Enhancing </w:t>
      </w:r>
      <w:r w:rsidRPr="00FD4CAC" w:rsidR="00060185">
        <w:rPr>
          <w:i/>
          <w:sz w:val="24"/>
        </w:rPr>
        <w:t xml:space="preserve">STI </w:t>
      </w:r>
      <w:r w:rsidRPr="00FD4CAC" w:rsidR="00EB0ED7">
        <w:rPr>
          <w:i/>
          <w:sz w:val="24"/>
        </w:rPr>
        <w:t>Linkage</w:t>
      </w:r>
      <w:r w:rsidR="00EB0ED7">
        <w:rPr>
          <w:sz w:val="24"/>
        </w:rPr>
        <w:t xml:space="preserve"> </w:t>
      </w:r>
      <w:r w:rsidR="00334340">
        <w:rPr>
          <w:sz w:val="24"/>
        </w:rPr>
        <w:t xml:space="preserve">RWHAP </w:t>
      </w:r>
      <w:r w:rsidR="009836FA">
        <w:rPr>
          <w:sz w:val="24"/>
        </w:rPr>
        <w:t xml:space="preserve">SPNS </w:t>
      </w:r>
      <w:r w:rsidR="00EB0ED7">
        <w:rPr>
          <w:sz w:val="24"/>
        </w:rPr>
        <w:t xml:space="preserve">demonstration project is not available through existing HRSA HAB collection.  </w:t>
      </w:r>
    </w:p>
    <w:p w:rsidR="00EB0ED7" w:rsidP="000B3A0B" w:rsidRDefault="00EB0ED7" w14:paraId="3DF179EF" w14:textId="77777777">
      <w:pPr>
        <w:pStyle w:val="BodyText"/>
        <w:spacing w:after="0"/>
        <w:rPr>
          <w:sz w:val="24"/>
        </w:rPr>
      </w:pPr>
    </w:p>
    <w:p w:rsidR="000B3A0B" w:rsidP="000B3A0B" w:rsidRDefault="00EB0ED7" w14:paraId="76D8FB06" w14:textId="7B894D22">
      <w:pPr>
        <w:pStyle w:val="BodyText"/>
        <w:spacing w:after="0"/>
        <w:rPr>
          <w:sz w:val="24"/>
        </w:rPr>
      </w:pPr>
      <w:r>
        <w:rPr>
          <w:sz w:val="24"/>
        </w:rPr>
        <w:t>A</w:t>
      </w:r>
      <w:r w:rsidRPr="00D603C8" w:rsidR="00DB7177">
        <w:rPr>
          <w:sz w:val="24"/>
        </w:rPr>
        <w:t xml:space="preserve"> persistent barrier to addressing HIV and STI infections simultaneously and jointly is the lack of data systems linking HIV and STI surveillance data. </w:t>
      </w:r>
      <w:r w:rsidR="00F53884">
        <w:rPr>
          <w:sz w:val="24"/>
        </w:rPr>
        <w:t xml:space="preserve"> </w:t>
      </w:r>
      <w:r w:rsidRPr="00D603C8" w:rsidR="00DB7177">
        <w:rPr>
          <w:sz w:val="24"/>
        </w:rPr>
        <w:t>Aside from helping to address problems around coinfection, there are substantial opportunities</w:t>
      </w:r>
      <w:r w:rsidR="00F53884">
        <w:rPr>
          <w:sz w:val="24"/>
        </w:rPr>
        <w:t xml:space="preserve"> - </w:t>
      </w:r>
      <w:r w:rsidRPr="00D603C8" w:rsidR="00DB7177">
        <w:rPr>
          <w:sz w:val="24"/>
        </w:rPr>
        <w:t xml:space="preserve">particularly for </w:t>
      </w:r>
      <w:r w:rsidR="002E4F82">
        <w:rPr>
          <w:sz w:val="24"/>
        </w:rPr>
        <w:t xml:space="preserve">the </w:t>
      </w:r>
      <w:proofErr w:type="spellStart"/>
      <w:r w:rsidRPr="00D603C8" w:rsidR="00DB7177">
        <w:rPr>
          <w:sz w:val="24"/>
        </w:rPr>
        <w:t>RWHAP</w:t>
      </w:r>
      <w:proofErr w:type="spellEnd"/>
      <w:r w:rsidR="00F53884">
        <w:rPr>
          <w:sz w:val="24"/>
        </w:rPr>
        <w:t xml:space="preserve"> - </w:t>
      </w:r>
      <w:r w:rsidRPr="00D603C8" w:rsidR="00DB7177">
        <w:rPr>
          <w:sz w:val="24"/>
        </w:rPr>
        <w:t>associated with linking HIV and STI surveillance data, including</w:t>
      </w:r>
      <w:r w:rsidR="003F748A">
        <w:rPr>
          <w:sz w:val="24"/>
        </w:rPr>
        <w:t>,</w:t>
      </w:r>
      <w:r w:rsidRPr="00D603C8" w:rsidR="00DB7177">
        <w:rPr>
          <w:sz w:val="24"/>
        </w:rPr>
        <w:t xml:space="preserve"> but not limited to</w:t>
      </w:r>
      <w:r w:rsidR="003F748A">
        <w:rPr>
          <w:sz w:val="24"/>
        </w:rPr>
        <w:t>,</w:t>
      </w:r>
      <w:r w:rsidRPr="00D603C8" w:rsidR="00DB7177">
        <w:rPr>
          <w:sz w:val="24"/>
        </w:rPr>
        <w:t xml:space="preserve"> identifying people with HIV currently out of care and identifying people with STIs who could be tested for HIV and promptly linked to care.</w:t>
      </w:r>
      <w:r w:rsidR="000B3A0B">
        <w:rPr>
          <w:sz w:val="24"/>
        </w:rPr>
        <w:t xml:space="preserve"> </w:t>
      </w:r>
      <w:r w:rsidR="00F53884">
        <w:rPr>
          <w:sz w:val="24"/>
        </w:rPr>
        <w:t xml:space="preserve"> </w:t>
      </w:r>
      <w:r w:rsidRPr="00D41142" w:rsidR="00AA4C41">
        <w:rPr>
          <w:bCs/>
          <w:sz w:val="24"/>
        </w:rPr>
        <w:t>This matched STI/HIV surveillance data will subsequently be used to improve RWHAP clinic capacity to prioritize resources for linking and re-engaging people with HIV into care.</w:t>
      </w:r>
      <w:r w:rsidR="00AA4C41">
        <w:rPr>
          <w:bCs/>
          <w:sz w:val="24"/>
        </w:rPr>
        <w:t xml:space="preserve"> </w:t>
      </w:r>
      <w:r w:rsidR="00F53884">
        <w:rPr>
          <w:bCs/>
          <w:sz w:val="24"/>
        </w:rPr>
        <w:t xml:space="preserve"> </w:t>
      </w:r>
      <w:r w:rsidRPr="00D603C8" w:rsidR="00AA4C41">
        <w:rPr>
          <w:sz w:val="24"/>
        </w:rPr>
        <w:t>Improving information systems tracking coinfection is essential to the HRSA</w:t>
      </w:r>
      <w:r w:rsidR="00AA4C41">
        <w:rPr>
          <w:sz w:val="24"/>
        </w:rPr>
        <w:t xml:space="preserve"> </w:t>
      </w:r>
      <w:r w:rsidRPr="00D603C8" w:rsidR="00AA4C41">
        <w:rPr>
          <w:sz w:val="24"/>
        </w:rPr>
        <w:t>HAB, jurisdictions’, and clinics’ efforts to end the HIV epidemic by 2030.</w:t>
      </w:r>
    </w:p>
    <w:p w:rsidR="000B3A0B" w:rsidP="000B3A0B" w:rsidRDefault="000B3A0B" w14:paraId="4579A80A" w14:textId="77777777">
      <w:pPr>
        <w:pStyle w:val="BodyText"/>
        <w:spacing w:after="0"/>
        <w:rPr>
          <w:sz w:val="24"/>
        </w:rPr>
      </w:pPr>
    </w:p>
    <w:p w:rsidRPr="00545B2E" w:rsidR="009D1C89" w:rsidP="00024782" w:rsidRDefault="009B3794" w14:paraId="0C2FE678" w14:textId="28125E22">
      <w:pPr>
        <w:numPr>
          <w:ilvl w:val="0"/>
          <w:numId w:val="1"/>
        </w:numPr>
        <w:spacing w:before="240"/>
        <w:rPr>
          <w:b/>
          <w:sz w:val="24"/>
        </w:rPr>
      </w:pPr>
      <w:r w:rsidRPr="00545B2E">
        <w:rPr>
          <w:b/>
          <w:sz w:val="24"/>
          <w:u w:val="single"/>
        </w:rPr>
        <w:t>Purpose and Use of Information Collection</w:t>
      </w:r>
    </w:p>
    <w:p w:rsidR="007B2A08" w:rsidP="007D65A5" w:rsidRDefault="007B2A08" w14:paraId="0D237AA8" w14:textId="77777777">
      <w:pPr>
        <w:pStyle w:val="BodyText"/>
        <w:rPr>
          <w:sz w:val="24"/>
        </w:rPr>
      </w:pPr>
    </w:p>
    <w:p w:rsidR="00F53884" w:rsidP="00F53884" w:rsidRDefault="00C35AC4" w14:paraId="3B71FA04" w14:textId="77777777">
      <w:pPr>
        <w:pStyle w:val="BodyText"/>
        <w:spacing w:after="0"/>
        <w:rPr>
          <w:sz w:val="24"/>
        </w:rPr>
      </w:pPr>
      <w:r w:rsidRPr="00C35AC4">
        <w:rPr>
          <w:sz w:val="24"/>
        </w:rPr>
        <w:t xml:space="preserve">HRSA is required </w:t>
      </w:r>
      <w:r w:rsidR="00C267E1">
        <w:rPr>
          <w:sz w:val="24"/>
        </w:rPr>
        <w:t xml:space="preserve">by statute </w:t>
      </w:r>
      <w:r w:rsidRPr="00C35AC4">
        <w:rPr>
          <w:sz w:val="24"/>
        </w:rPr>
        <w:t xml:space="preserve">to assess the quality of care provided by RWHAP recipients. </w:t>
      </w:r>
      <w:r w:rsidR="00F53884">
        <w:rPr>
          <w:sz w:val="24"/>
        </w:rPr>
        <w:t xml:space="preserve"> </w:t>
      </w:r>
    </w:p>
    <w:p w:rsidRPr="00545B2E" w:rsidR="007D65A5" w:rsidP="00F53884" w:rsidRDefault="00C267E1" w14:paraId="244C31FF" w14:textId="071887B9">
      <w:pPr>
        <w:pStyle w:val="BodyText"/>
        <w:spacing w:after="0"/>
        <w:rPr>
          <w:sz w:val="24"/>
        </w:rPr>
      </w:pPr>
      <w:r>
        <w:rPr>
          <w:sz w:val="24"/>
        </w:rPr>
        <w:t xml:space="preserve">The </w:t>
      </w:r>
      <w:r w:rsidRPr="00C35AC4" w:rsidR="00C35AC4">
        <w:rPr>
          <w:sz w:val="24"/>
        </w:rPr>
        <w:t xml:space="preserve">HHS </w:t>
      </w:r>
      <w:r>
        <w:rPr>
          <w:sz w:val="24"/>
        </w:rPr>
        <w:t xml:space="preserve">HIV </w:t>
      </w:r>
      <w:r w:rsidRPr="00C35AC4" w:rsidR="00C35AC4">
        <w:rPr>
          <w:sz w:val="24"/>
        </w:rPr>
        <w:t>care and treatment guidelines (e.g., Guidelines for the Use of Antiretroviral Agents in Adults and Adolescents Living with HIV; Guidelines for the Prevention and Treatment of Opportunistic Infections in HIV- Infected Adults and Adolescents; and Sexually Transmitted Diseases Treatment Guidelines, 2015) and U.S. Preventative Services Task Force (USPSTF) guidelines serve as the basis for assessing the quality of care within the RWHAP.</w:t>
      </w:r>
      <w:r w:rsidR="00C35AC4">
        <w:rPr>
          <w:sz w:val="24"/>
        </w:rPr>
        <w:t xml:space="preserve">  </w:t>
      </w:r>
      <w:r w:rsidR="00AF23C9">
        <w:rPr>
          <w:sz w:val="24"/>
        </w:rPr>
        <w:t xml:space="preserve">Under the </w:t>
      </w:r>
      <w:r w:rsidRPr="00AF23C9" w:rsidR="00AF23C9">
        <w:rPr>
          <w:sz w:val="24"/>
        </w:rPr>
        <w:t>Ryan White HIV/AIDS Treatment Extension Act of 2009 (Public Law 111–87)</w:t>
      </w:r>
      <w:r w:rsidR="00AF23C9">
        <w:rPr>
          <w:sz w:val="24"/>
        </w:rPr>
        <w:t xml:space="preserve"> </w:t>
      </w:r>
      <w:r>
        <w:rPr>
          <w:sz w:val="24"/>
        </w:rPr>
        <w:t>the RWHAP</w:t>
      </w:r>
      <w:r w:rsidRPr="00AF23C9" w:rsidR="00AF23C9">
        <w:rPr>
          <w:sz w:val="24"/>
        </w:rPr>
        <w:t xml:space="preserve"> Special Projects of National Significance</w:t>
      </w:r>
      <w:r w:rsidR="00AF23C9">
        <w:rPr>
          <w:sz w:val="24"/>
        </w:rPr>
        <w:t xml:space="preserve"> (SPNS) Program is required to </w:t>
      </w:r>
      <w:r w:rsidRPr="00AF23C9" w:rsidR="00AF23C9">
        <w:rPr>
          <w:sz w:val="24"/>
        </w:rPr>
        <w:t>support</w:t>
      </w:r>
      <w:r w:rsidR="00AF23C9">
        <w:rPr>
          <w:sz w:val="24"/>
        </w:rPr>
        <w:t xml:space="preserve"> </w:t>
      </w:r>
      <w:r w:rsidRPr="00AF23C9" w:rsidR="00AF23C9">
        <w:rPr>
          <w:sz w:val="24"/>
        </w:rPr>
        <w:t>the development of innovative models of</w:t>
      </w:r>
      <w:r w:rsidR="00AF23C9">
        <w:rPr>
          <w:sz w:val="24"/>
        </w:rPr>
        <w:t xml:space="preserve"> </w:t>
      </w:r>
      <w:r w:rsidRPr="00AF23C9" w:rsidR="00AF23C9">
        <w:rPr>
          <w:sz w:val="24"/>
        </w:rPr>
        <w:t xml:space="preserve">HIV care and treatment to quickly respond to the emerging needs of clients served by the RWHAP. </w:t>
      </w:r>
      <w:r w:rsidR="00F53884">
        <w:rPr>
          <w:sz w:val="24"/>
        </w:rPr>
        <w:t xml:space="preserve"> </w:t>
      </w:r>
      <w:proofErr w:type="spellStart"/>
      <w:r w:rsidR="0097510A">
        <w:rPr>
          <w:sz w:val="24"/>
        </w:rPr>
        <w:t>RWHAP</w:t>
      </w:r>
      <w:proofErr w:type="spellEnd"/>
      <w:r w:rsidR="0097510A">
        <w:rPr>
          <w:sz w:val="24"/>
        </w:rPr>
        <w:t xml:space="preserve"> </w:t>
      </w:r>
      <w:r w:rsidRPr="00AF23C9" w:rsidR="00AF23C9">
        <w:rPr>
          <w:sz w:val="24"/>
        </w:rPr>
        <w:t>SPNS advances knowledge and</w:t>
      </w:r>
      <w:r w:rsidR="00AF23C9">
        <w:rPr>
          <w:sz w:val="24"/>
        </w:rPr>
        <w:t xml:space="preserve"> </w:t>
      </w:r>
      <w:r w:rsidRPr="00AF23C9" w:rsidR="00AF23C9">
        <w:rPr>
          <w:sz w:val="24"/>
        </w:rPr>
        <w:t xml:space="preserve">skills in the delivery of health care and support services to underserved populations with HIV. </w:t>
      </w:r>
      <w:r w:rsidR="00F53884">
        <w:rPr>
          <w:sz w:val="24"/>
        </w:rPr>
        <w:t xml:space="preserve"> </w:t>
      </w:r>
      <w:r w:rsidRPr="00AF23C9" w:rsidR="00AF23C9">
        <w:rPr>
          <w:sz w:val="24"/>
        </w:rPr>
        <w:t>Through its demonstration projects,</w:t>
      </w:r>
      <w:r w:rsidR="00AF23C9">
        <w:rPr>
          <w:sz w:val="24"/>
        </w:rPr>
        <w:t xml:space="preserve"> </w:t>
      </w:r>
      <w:r w:rsidR="0097510A">
        <w:rPr>
          <w:sz w:val="24"/>
        </w:rPr>
        <w:t xml:space="preserve">RWHAP </w:t>
      </w:r>
      <w:r w:rsidRPr="00AF23C9" w:rsidR="00AF23C9">
        <w:rPr>
          <w:sz w:val="24"/>
        </w:rPr>
        <w:t>SPNS evaluates the design, implementation, utilization, cost, and health-related outcomes of treatment models and promotes the</w:t>
      </w:r>
      <w:r w:rsidR="00AF23C9">
        <w:rPr>
          <w:sz w:val="24"/>
        </w:rPr>
        <w:t xml:space="preserve"> </w:t>
      </w:r>
      <w:r w:rsidRPr="00AF23C9" w:rsidR="00AF23C9">
        <w:rPr>
          <w:sz w:val="24"/>
        </w:rPr>
        <w:t>dissemination and replica</w:t>
      </w:r>
      <w:r w:rsidR="0023019D">
        <w:rPr>
          <w:sz w:val="24"/>
        </w:rPr>
        <w:t>tion of successful intervention</w:t>
      </w:r>
      <w:r w:rsidRPr="00545B2E" w:rsidR="00F77B17">
        <w:rPr>
          <w:sz w:val="24"/>
        </w:rPr>
        <w:t>s</w:t>
      </w:r>
      <w:r w:rsidRPr="00545B2E" w:rsidR="007D65A5">
        <w:rPr>
          <w:sz w:val="24"/>
        </w:rPr>
        <w:t>.</w:t>
      </w:r>
      <w:r w:rsidRPr="00545B2E" w:rsidR="00F77B17">
        <w:rPr>
          <w:rStyle w:val="FootnoteReference"/>
          <w:sz w:val="24"/>
          <w:vertAlign w:val="superscript"/>
        </w:rPr>
        <w:footnoteReference w:id="2"/>
      </w:r>
      <w:r w:rsidRPr="00545B2E" w:rsidR="007D65A5">
        <w:rPr>
          <w:sz w:val="24"/>
        </w:rPr>
        <w:t xml:space="preserve"> </w:t>
      </w:r>
      <w:r w:rsidR="00F53884">
        <w:rPr>
          <w:sz w:val="24"/>
        </w:rPr>
        <w:t xml:space="preserve"> </w:t>
      </w:r>
      <w:r w:rsidR="000F53A0">
        <w:rPr>
          <w:sz w:val="24"/>
        </w:rPr>
        <w:t>I</w:t>
      </w:r>
      <w:r w:rsidRPr="00545B2E" w:rsidR="00F77B17">
        <w:rPr>
          <w:sz w:val="24"/>
        </w:rPr>
        <w:t>nform</w:t>
      </w:r>
      <w:r w:rsidRPr="00545B2E" w:rsidR="003119ED">
        <w:rPr>
          <w:sz w:val="24"/>
        </w:rPr>
        <w:t xml:space="preserve">ation gleaned from the </w:t>
      </w:r>
      <w:r w:rsidR="00334340">
        <w:rPr>
          <w:sz w:val="24"/>
        </w:rPr>
        <w:t xml:space="preserve">RWHAP </w:t>
      </w:r>
      <w:r w:rsidRPr="00545B2E" w:rsidR="003119ED">
        <w:rPr>
          <w:sz w:val="24"/>
        </w:rPr>
        <w:t xml:space="preserve">SPNS </w:t>
      </w:r>
      <w:r w:rsidRPr="00545B2E" w:rsidR="003119ED">
        <w:rPr>
          <w:i/>
          <w:sz w:val="24"/>
        </w:rPr>
        <w:t xml:space="preserve">Enhancing </w:t>
      </w:r>
      <w:r w:rsidR="00F71FB6">
        <w:rPr>
          <w:i/>
          <w:sz w:val="24"/>
        </w:rPr>
        <w:t xml:space="preserve">STI </w:t>
      </w:r>
      <w:r w:rsidRPr="00545B2E" w:rsidR="003119ED">
        <w:rPr>
          <w:i/>
          <w:sz w:val="24"/>
        </w:rPr>
        <w:t>Linkage</w:t>
      </w:r>
      <w:r w:rsidRPr="00545B2E" w:rsidR="00F77B17">
        <w:rPr>
          <w:sz w:val="24"/>
        </w:rPr>
        <w:t xml:space="preserve"> evaluation </w:t>
      </w:r>
      <w:r w:rsidRPr="00545B2E" w:rsidR="003119ED">
        <w:rPr>
          <w:sz w:val="24"/>
        </w:rPr>
        <w:t>can</w:t>
      </w:r>
      <w:r w:rsidRPr="00545B2E" w:rsidR="00F77B17">
        <w:rPr>
          <w:sz w:val="24"/>
        </w:rPr>
        <w:t xml:space="preserve"> be used to</w:t>
      </w:r>
      <w:r w:rsidRPr="00545B2E" w:rsidR="003119ED">
        <w:rPr>
          <w:sz w:val="24"/>
        </w:rPr>
        <w:t xml:space="preserve"> enhance</w:t>
      </w:r>
      <w:r w:rsidRPr="00545B2E" w:rsidR="007D65A5">
        <w:rPr>
          <w:sz w:val="24"/>
        </w:rPr>
        <w:t xml:space="preserve"> and coordinate </w:t>
      </w:r>
      <w:r w:rsidRPr="00545B2E" w:rsidR="003119ED">
        <w:rPr>
          <w:sz w:val="24"/>
        </w:rPr>
        <w:t xml:space="preserve">health departments’ </w:t>
      </w:r>
      <w:r w:rsidRPr="00545B2E" w:rsidR="007D65A5">
        <w:rPr>
          <w:sz w:val="24"/>
        </w:rPr>
        <w:t>responses to</w:t>
      </w:r>
      <w:r w:rsidRPr="00545B2E" w:rsidR="003119ED">
        <w:rPr>
          <w:sz w:val="24"/>
        </w:rPr>
        <w:t xml:space="preserve"> HIV and STI epidemics and </w:t>
      </w:r>
      <w:r w:rsidRPr="00545B2E" w:rsidR="00211D80">
        <w:rPr>
          <w:sz w:val="24"/>
        </w:rPr>
        <w:t>affect change in HIV care continuum outcomes</w:t>
      </w:r>
      <w:r w:rsidRPr="00545B2E" w:rsidR="007D65A5">
        <w:rPr>
          <w:sz w:val="24"/>
        </w:rPr>
        <w:t>.</w:t>
      </w:r>
    </w:p>
    <w:p w:rsidR="007D65A5" w:rsidP="00F63967" w:rsidRDefault="00211D80" w14:paraId="3932B9EC" w14:textId="534B9B44">
      <w:pPr>
        <w:pStyle w:val="BodyText"/>
        <w:rPr>
          <w:sz w:val="24"/>
        </w:rPr>
      </w:pPr>
      <w:r w:rsidRPr="00545B2E">
        <w:rPr>
          <w:sz w:val="24"/>
        </w:rPr>
        <w:t>Specifically</w:t>
      </w:r>
      <w:r w:rsidR="00F63967">
        <w:rPr>
          <w:sz w:val="24"/>
        </w:rPr>
        <w:t xml:space="preserve">, </w:t>
      </w:r>
      <w:r w:rsidRPr="00545B2E" w:rsidR="007D65A5">
        <w:rPr>
          <w:sz w:val="24"/>
        </w:rPr>
        <w:t>information gathered thr</w:t>
      </w:r>
      <w:r w:rsidRPr="00545B2E">
        <w:rPr>
          <w:sz w:val="24"/>
        </w:rPr>
        <w:t>ough this evaluation will</w:t>
      </w:r>
      <w:r w:rsidRPr="00545B2E" w:rsidR="007D65A5">
        <w:rPr>
          <w:sz w:val="24"/>
        </w:rPr>
        <w:t xml:space="preserve"> </w:t>
      </w:r>
      <w:r w:rsidRPr="00545B2E" w:rsidR="00560C1D">
        <w:rPr>
          <w:sz w:val="24"/>
        </w:rPr>
        <w:t>provide</w:t>
      </w:r>
      <w:r w:rsidRPr="00545B2E">
        <w:rPr>
          <w:sz w:val="24"/>
        </w:rPr>
        <w:t xml:space="preserve"> </w:t>
      </w:r>
      <w:r w:rsidRPr="00545B2E" w:rsidR="007D65A5">
        <w:rPr>
          <w:sz w:val="24"/>
        </w:rPr>
        <w:t xml:space="preserve">HRSA with </w:t>
      </w:r>
      <w:r w:rsidRPr="00545B2E" w:rsidR="00560C1D">
        <w:rPr>
          <w:sz w:val="24"/>
        </w:rPr>
        <w:t xml:space="preserve">an </w:t>
      </w:r>
      <w:r w:rsidRPr="00545B2E" w:rsidR="007D65A5">
        <w:rPr>
          <w:sz w:val="24"/>
        </w:rPr>
        <w:t>un</w:t>
      </w:r>
      <w:r w:rsidRPr="00545B2E">
        <w:rPr>
          <w:sz w:val="24"/>
        </w:rPr>
        <w:t xml:space="preserve">derstanding </w:t>
      </w:r>
      <w:r w:rsidRPr="00545B2E" w:rsidR="00560C1D">
        <w:rPr>
          <w:sz w:val="24"/>
        </w:rPr>
        <w:t xml:space="preserve">of </w:t>
      </w:r>
      <w:r w:rsidRPr="00545B2E">
        <w:rPr>
          <w:sz w:val="24"/>
        </w:rPr>
        <w:t xml:space="preserve">the extent and impact of the </w:t>
      </w:r>
      <w:r w:rsidR="00F63967">
        <w:rPr>
          <w:sz w:val="24"/>
        </w:rPr>
        <w:t>TA</w:t>
      </w:r>
      <w:r w:rsidRPr="00545B2E" w:rsidR="00560C1D">
        <w:rPr>
          <w:sz w:val="24"/>
        </w:rPr>
        <w:t xml:space="preserve"> provided by the TAP, barriers and facilitators RWHAP</w:t>
      </w:r>
      <w:r w:rsidRPr="00545B2E" w:rsidR="007D65A5">
        <w:rPr>
          <w:sz w:val="24"/>
        </w:rPr>
        <w:t xml:space="preserve"> jurisdictions face whe</w:t>
      </w:r>
      <w:r w:rsidRPr="00545B2E" w:rsidR="00560C1D">
        <w:rPr>
          <w:sz w:val="24"/>
        </w:rPr>
        <w:t>n doing this work, and opportunities for improvement and</w:t>
      </w:r>
      <w:r w:rsidRPr="00545B2E" w:rsidR="007D65A5">
        <w:rPr>
          <w:sz w:val="24"/>
        </w:rPr>
        <w:t xml:space="preserve"> lessons </w:t>
      </w:r>
      <w:r w:rsidRPr="00545B2E" w:rsidR="007D65A5">
        <w:rPr>
          <w:sz w:val="24"/>
        </w:rPr>
        <w:lastRenderedPageBreak/>
        <w:t>learned.</w:t>
      </w:r>
      <w:r w:rsidRPr="00545B2E" w:rsidR="00560C1D">
        <w:rPr>
          <w:sz w:val="24"/>
        </w:rPr>
        <w:t xml:space="preserve"> HRSA will use tha</w:t>
      </w:r>
      <w:r w:rsidR="00B95525">
        <w:rPr>
          <w:sz w:val="24"/>
        </w:rPr>
        <w:t>t information to guide decision-</w:t>
      </w:r>
      <w:r w:rsidRPr="00545B2E" w:rsidR="00560C1D">
        <w:rPr>
          <w:sz w:val="24"/>
        </w:rPr>
        <w:t>making and improve uptake of effective programs and practices among RWHAP jurisdictions.</w:t>
      </w:r>
    </w:p>
    <w:p w:rsidRPr="00545B2E" w:rsidR="00436EAC" w:rsidP="00F63967" w:rsidRDefault="00436EAC" w14:paraId="16905127" w14:textId="77777777">
      <w:pPr>
        <w:pStyle w:val="BodyText"/>
        <w:rPr>
          <w:sz w:val="24"/>
        </w:rPr>
      </w:pPr>
    </w:p>
    <w:p w:rsidRPr="00545B2E" w:rsidR="00FC380A" w:rsidP="00FC380A" w:rsidRDefault="00FC380A" w14:paraId="1121C63D" w14:textId="43618BC0">
      <w:pPr>
        <w:pStyle w:val="BodyText"/>
        <w:rPr>
          <w:sz w:val="24"/>
        </w:rPr>
      </w:pPr>
      <w:r w:rsidRPr="00545B2E">
        <w:rPr>
          <w:sz w:val="24"/>
        </w:rPr>
        <w:t xml:space="preserve">The </w:t>
      </w:r>
      <w:r w:rsidR="00864491">
        <w:rPr>
          <w:sz w:val="24"/>
        </w:rPr>
        <w:t>o</w:t>
      </w:r>
      <w:r w:rsidRPr="00545B2E" w:rsidR="00864491">
        <w:rPr>
          <w:sz w:val="24"/>
        </w:rPr>
        <w:t xml:space="preserve">verarching aims of </w:t>
      </w:r>
      <w:r w:rsidRPr="00545B2E">
        <w:rPr>
          <w:sz w:val="24"/>
        </w:rPr>
        <w:t xml:space="preserve">the </w:t>
      </w:r>
      <w:r w:rsidRPr="00545B2E">
        <w:rPr>
          <w:i/>
          <w:sz w:val="24"/>
        </w:rPr>
        <w:t>Enhancing</w:t>
      </w:r>
      <w:r w:rsidR="00F71FB6">
        <w:rPr>
          <w:i/>
          <w:sz w:val="24"/>
        </w:rPr>
        <w:t xml:space="preserve"> STI</w:t>
      </w:r>
      <w:r w:rsidRPr="00545B2E">
        <w:rPr>
          <w:i/>
          <w:sz w:val="24"/>
        </w:rPr>
        <w:t xml:space="preserve"> Linkage</w:t>
      </w:r>
      <w:r w:rsidRPr="00545B2E">
        <w:rPr>
          <w:sz w:val="24"/>
        </w:rPr>
        <w:t xml:space="preserve"> evaluation </w:t>
      </w:r>
      <w:r w:rsidR="00F63967">
        <w:rPr>
          <w:sz w:val="24"/>
        </w:rPr>
        <w:t xml:space="preserve">are to: </w:t>
      </w:r>
      <w:r w:rsidRPr="00545B2E">
        <w:rPr>
          <w:sz w:val="24"/>
        </w:rPr>
        <w:t xml:space="preserve"> </w:t>
      </w:r>
    </w:p>
    <w:p w:rsidRPr="00545B2E" w:rsidR="00FC380A" w:rsidP="00024782" w:rsidRDefault="00FC380A" w14:paraId="57BEC0C4" w14:textId="103B13BA">
      <w:pPr>
        <w:pStyle w:val="ListParagraph"/>
        <w:widowControl/>
        <w:numPr>
          <w:ilvl w:val="0"/>
          <w:numId w:val="18"/>
        </w:numPr>
        <w:autoSpaceDE/>
        <w:autoSpaceDN/>
        <w:adjustRightInd/>
        <w:spacing w:after="120"/>
        <w:rPr>
          <w:sz w:val="24"/>
        </w:rPr>
      </w:pPr>
      <w:r w:rsidRPr="00545B2E">
        <w:rPr>
          <w:sz w:val="24"/>
        </w:rPr>
        <w:t>Des</w:t>
      </w:r>
      <w:r w:rsidRPr="00545B2E" w:rsidR="00560C1D">
        <w:rPr>
          <w:sz w:val="24"/>
        </w:rPr>
        <w:t>cribe the TA</w:t>
      </w:r>
      <w:r w:rsidRPr="00545B2E">
        <w:rPr>
          <w:sz w:val="24"/>
        </w:rPr>
        <w:t xml:space="preserve"> provided by the TAP under the </w:t>
      </w:r>
      <w:r w:rsidRPr="00545B2E" w:rsidR="00560C1D">
        <w:rPr>
          <w:i/>
          <w:sz w:val="24"/>
        </w:rPr>
        <w:t xml:space="preserve">Enhancing </w:t>
      </w:r>
      <w:r w:rsidR="00F71FB6">
        <w:rPr>
          <w:i/>
          <w:sz w:val="24"/>
        </w:rPr>
        <w:t xml:space="preserve">STI </w:t>
      </w:r>
      <w:r w:rsidRPr="00545B2E" w:rsidR="00560C1D">
        <w:rPr>
          <w:i/>
          <w:sz w:val="24"/>
        </w:rPr>
        <w:t>Linkage</w:t>
      </w:r>
      <w:r w:rsidRPr="00545B2E" w:rsidR="00560C1D">
        <w:rPr>
          <w:sz w:val="24"/>
        </w:rPr>
        <w:t xml:space="preserve"> </w:t>
      </w:r>
      <w:r w:rsidRPr="00545B2E">
        <w:rPr>
          <w:sz w:val="24"/>
        </w:rPr>
        <w:t>demonstration project, and assess the extent to which TA was provided as planned and met jurisdictions' needs.</w:t>
      </w:r>
    </w:p>
    <w:p w:rsidRPr="00545B2E" w:rsidR="00FC380A" w:rsidP="00024782" w:rsidRDefault="00FC380A" w14:paraId="4BF5F84B" w14:textId="43840E5B">
      <w:pPr>
        <w:pStyle w:val="ListParagraph"/>
        <w:widowControl/>
        <w:numPr>
          <w:ilvl w:val="0"/>
          <w:numId w:val="18"/>
        </w:numPr>
        <w:autoSpaceDE/>
        <w:autoSpaceDN/>
        <w:adjustRightInd/>
        <w:spacing w:after="120"/>
        <w:rPr>
          <w:sz w:val="24"/>
        </w:rPr>
      </w:pPr>
      <w:r w:rsidRPr="00545B2E">
        <w:rPr>
          <w:sz w:val="24"/>
        </w:rPr>
        <w:t xml:space="preserve">Assess to what extent the </w:t>
      </w:r>
      <w:r w:rsidRPr="00545B2E" w:rsidR="00560C1D">
        <w:rPr>
          <w:i/>
          <w:sz w:val="24"/>
        </w:rPr>
        <w:t xml:space="preserve">Enhancing </w:t>
      </w:r>
      <w:r w:rsidR="00F71FB6">
        <w:rPr>
          <w:i/>
          <w:sz w:val="24"/>
        </w:rPr>
        <w:t xml:space="preserve">STI </w:t>
      </w:r>
      <w:r w:rsidRPr="00545B2E" w:rsidR="00560C1D">
        <w:rPr>
          <w:i/>
          <w:sz w:val="24"/>
        </w:rPr>
        <w:t>Linkage</w:t>
      </w:r>
      <w:r w:rsidRPr="00545B2E" w:rsidR="00560C1D">
        <w:rPr>
          <w:sz w:val="24"/>
        </w:rPr>
        <w:t xml:space="preserve"> </w:t>
      </w:r>
      <w:r w:rsidRPr="00545B2E">
        <w:rPr>
          <w:sz w:val="24"/>
        </w:rPr>
        <w:t xml:space="preserve">demonstration project </w:t>
      </w:r>
      <w:r w:rsidRPr="00545B2E" w:rsidR="00D5130B">
        <w:rPr>
          <w:sz w:val="24"/>
        </w:rPr>
        <w:t>affected</w:t>
      </w:r>
      <w:r w:rsidRPr="00545B2E">
        <w:rPr>
          <w:sz w:val="24"/>
        </w:rPr>
        <w:t xml:space="preserve"> the data linking </w:t>
      </w:r>
      <w:r w:rsidRPr="00545B2E">
        <w:rPr>
          <w:i/>
          <w:sz w:val="24"/>
          <w:u w:val="single"/>
        </w:rPr>
        <w:t>processes</w:t>
      </w:r>
      <w:r w:rsidRPr="00545B2E">
        <w:rPr>
          <w:sz w:val="24"/>
        </w:rPr>
        <w:t xml:space="preserve"> within participating jurisdictions, i.e. </w:t>
      </w:r>
      <w:r w:rsidRPr="00545B2E">
        <w:rPr>
          <w:b/>
          <w:sz w:val="24"/>
        </w:rPr>
        <w:t>organizational</w:t>
      </w:r>
      <w:r w:rsidRPr="00545B2E">
        <w:rPr>
          <w:sz w:val="24"/>
        </w:rPr>
        <w:t xml:space="preserve"> processes (staffing, data sharing agreements (DSAs), memoranda of understanding (MOUs), standard operating procedures (SOPs)) and </w:t>
      </w:r>
      <w:r w:rsidRPr="00545B2E">
        <w:rPr>
          <w:b/>
          <w:sz w:val="24"/>
        </w:rPr>
        <w:t>technical</w:t>
      </w:r>
      <w:r w:rsidRPr="00545B2E">
        <w:rPr>
          <w:sz w:val="24"/>
        </w:rPr>
        <w:t xml:space="preserve"> pr</w:t>
      </w:r>
      <w:r w:rsidRPr="00545B2E" w:rsidR="00F51B7F">
        <w:rPr>
          <w:sz w:val="24"/>
        </w:rPr>
        <w:t>ocesses</w:t>
      </w:r>
      <w:r w:rsidRPr="00545B2E">
        <w:rPr>
          <w:sz w:val="24"/>
        </w:rPr>
        <w:t>.</w:t>
      </w:r>
    </w:p>
    <w:p w:rsidRPr="00545B2E" w:rsidR="00FC380A" w:rsidP="00024782" w:rsidRDefault="00FC380A" w14:paraId="36432DF6" w14:textId="099C124A">
      <w:pPr>
        <w:pStyle w:val="ListParagraph"/>
        <w:widowControl/>
        <w:numPr>
          <w:ilvl w:val="0"/>
          <w:numId w:val="18"/>
        </w:numPr>
        <w:autoSpaceDE/>
        <w:autoSpaceDN/>
        <w:adjustRightInd/>
        <w:spacing w:after="120"/>
        <w:rPr>
          <w:sz w:val="24"/>
        </w:rPr>
      </w:pPr>
      <w:r w:rsidRPr="00545B2E">
        <w:rPr>
          <w:sz w:val="24"/>
        </w:rPr>
        <w:t xml:space="preserve">Assess to what extent the </w:t>
      </w:r>
      <w:r w:rsidRPr="00545B2E" w:rsidR="00560C1D">
        <w:rPr>
          <w:i/>
          <w:sz w:val="24"/>
        </w:rPr>
        <w:t xml:space="preserve">Enhancing </w:t>
      </w:r>
      <w:r w:rsidR="00F71FB6">
        <w:rPr>
          <w:i/>
          <w:sz w:val="24"/>
        </w:rPr>
        <w:t xml:space="preserve">STI </w:t>
      </w:r>
      <w:r w:rsidRPr="00545B2E" w:rsidR="00560C1D">
        <w:rPr>
          <w:i/>
          <w:sz w:val="24"/>
        </w:rPr>
        <w:t>Linkage</w:t>
      </w:r>
      <w:r w:rsidRPr="00545B2E" w:rsidR="00560C1D">
        <w:rPr>
          <w:sz w:val="24"/>
        </w:rPr>
        <w:t xml:space="preserve"> </w:t>
      </w:r>
      <w:r w:rsidRPr="00545B2E">
        <w:rPr>
          <w:sz w:val="24"/>
        </w:rPr>
        <w:t xml:space="preserve">demonstration project had the intended </w:t>
      </w:r>
      <w:r w:rsidRPr="00545B2E">
        <w:rPr>
          <w:i/>
          <w:sz w:val="24"/>
          <w:u w:val="single"/>
        </w:rPr>
        <w:t>impact</w:t>
      </w:r>
      <w:r w:rsidRPr="00545B2E">
        <w:rPr>
          <w:sz w:val="24"/>
        </w:rPr>
        <w:t xml:space="preserve"> on client and policy outcomes, i.e. use of linked HIV and STI surveillance data by health department staff and/or clinicians and policy stakeholders, enhancement of data-to-care procedures and activities, and HIV outcomes (linkage to and re-engagement in care).</w:t>
      </w:r>
    </w:p>
    <w:p w:rsidRPr="00545B2E" w:rsidR="00FC380A" w:rsidP="00024782" w:rsidRDefault="00FC380A" w14:paraId="4A47129B" w14:textId="77777777">
      <w:pPr>
        <w:pStyle w:val="ListParagraph"/>
        <w:widowControl/>
        <w:numPr>
          <w:ilvl w:val="0"/>
          <w:numId w:val="18"/>
        </w:numPr>
        <w:autoSpaceDE/>
        <w:autoSpaceDN/>
        <w:adjustRightInd/>
        <w:spacing w:after="120"/>
        <w:rPr>
          <w:sz w:val="24"/>
        </w:rPr>
      </w:pPr>
      <w:r w:rsidRPr="00545B2E">
        <w:rPr>
          <w:sz w:val="24"/>
        </w:rPr>
        <w:t>Conduct a cost analysis among participating jurisdictions of linking HIV and STI surveillance data and using those linked data.</w:t>
      </w:r>
    </w:p>
    <w:p w:rsidR="00C91FFB" w:rsidP="00024782" w:rsidRDefault="00FC380A" w14:paraId="0A2011A4" w14:textId="09964BD0">
      <w:pPr>
        <w:pStyle w:val="ListParagraph"/>
        <w:widowControl/>
        <w:numPr>
          <w:ilvl w:val="0"/>
          <w:numId w:val="18"/>
        </w:numPr>
        <w:autoSpaceDE/>
        <w:autoSpaceDN/>
        <w:adjustRightInd/>
        <w:spacing w:after="180"/>
        <w:rPr>
          <w:sz w:val="24"/>
        </w:rPr>
      </w:pPr>
      <w:r w:rsidRPr="00545B2E">
        <w:rPr>
          <w:sz w:val="24"/>
        </w:rPr>
        <w:t xml:space="preserve">Disseminate key findings to </w:t>
      </w:r>
      <w:r w:rsidR="00B95525">
        <w:rPr>
          <w:sz w:val="24"/>
        </w:rPr>
        <w:t>HRSA and TAP to inform decision-</w:t>
      </w:r>
      <w:r w:rsidRPr="00545B2E">
        <w:rPr>
          <w:sz w:val="24"/>
        </w:rPr>
        <w:t>making.</w:t>
      </w:r>
    </w:p>
    <w:p w:rsidRPr="00545B2E" w:rsidR="00436EAC" w:rsidP="00436EAC" w:rsidRDefault="00436EAC" w14:paraId="65E71485" w14:textId="321F6B7A">
      <w:pPr>
        <w:pStyle w:val="ListParagraph"/>
        <w:widowControl/>
        <w:autoSpaceDE/>
        <w:autoSpaceDN/>
        <w:adjustRightInd/>
        <w:spacing w:after="180"/>
        <w:rPr>
          <w:sz w:val="24"/>
        </w:rPr>
      </w:pPr>
    </w:p>
    <w:p w:rsidR="00F53884" w:rsidP="00821AC9" w:rsidRDefault="0075517D" w14:paraId="175638A4" w14:textId="77777777">
      <w:pPr>
        <w:pStyle w:val="BulletsLast"/>
        <w:numPr>
          <w:ilvl w:val="0"/>
          <w:numId w:val="0"/>
        </w:numPr>
        <w:spacing w:after="0"/>
        <w:rPr>
          <w:sz w:val="24"/>
        </w:rPr>
      </w:pPr>
      <w:r>
        <w:rPr>
          <w:sz w:val="24"/>
        </w:rPr>
        <w:t>A</w:t>
      </w:r>
      <w:r w:rsidRPr="00545B2E" w:rsidR="00FC380A">
        <w:rPr>
          <w:sz w:val="24"/>
        </w:rPr>
        <w:t xml:space="preserve"> mixed-methods evaluation</w:t>
      </w:r>
      <w:r w:rsidR="00A224EC">
        <w:rPr>
          <w:sz w:val="24"/>
        </w:rPr>
        <w:t xml:space="preserve"> will be conducted</w:t>
      </w:r>
      <w:r w:rsidRPr="00545B2E" w:rsidR="00FC380A">
        <w:rPr>
          <w:sz w:val="24"/>
        </w:rPr>
        <w:t xml:space="preserve"> to address t</w:t>
      </w:r>
      <w:r w:rsidRPr="00545B2E" w:rsidR="009D1C89">
        <w:rPr>
          <w:sz w:val="24"/>
        </w:rPr>
        <w:t xml:space="preserve">hese aims. </w:t>
      </w:r>
      <w:r w:rsidR="00F53884">
        <w:rPr>
          <w:sz w:val="24"/>
        </w:rPr>
        <w:t xml:space="preserve"> </w:t>
      </w:r>
      <w:r w:rsidRPr="00545B2E" w:rsidR="009D1C89">
        <w:rPr>
          <w:sz w:val="24"/>
        </w:rPr>
        <w:t>Evaluation data collection components will include</w:t>
      </w:r>
      <w:r w:rsidRPr="00545B2E" w:rsidR="00FC380A">
        <w:rPr>
          <w:sz w:val="24"/>
        </w:rPr>
        <w:t>:</w:t>
      </w:r>
      <w:r w:rsidRPr="00545B2E" w:rsidR="009D1C89">
        <w:rPr>
          <w:sz w:val="24"/>
        </w:rPr>
        <w:t xml:space="preserve"> s</w:t>
      </w:r>
      <w:r w:rsidRPr="00545B2E" w:rsidR="00FC380A">
        <w:rPr>
          <w:sz w:val="24"/>
        </w:rPr>
        <w:t>emi-structured interviews</w:t>
      </w:r>
      <w:r w:rsidRPr="00545B2E" w:rsidR="009D1C89">
        <w:rPr>
          <w:sz w:val="24"/>
        </w:rPr>
        <w:t>, d</w:t>
      </w:r>
      <w:r w:rsidRPr="00545B2E" w:rsidR="00FC380A">
        <w:rPr>
          <w:sz w:val="24"/>
        </w:rPr>
        <w:t>ata end-user survey</w:t>
      </w:r>
      <w:r w:rsidRPr="00545B2E" w:rsidR="009D1C89">
        <w:rPr>
          <w:sz w:val="24"/>
        </w:rPr>
        <w:t>, d</w:t>
      </w:r>
      <w:r w:rsidRPr="00545B2E" w:rsidR="00047976">
        <w:rPr>
          <w:sz w:val="24"/>
        </w:rPr>
        <w:t>ocument review</w:t>
      </w:r>
      <w:r w:rsidRPr="00545B2E" w:rsidR="009D1C89">
        <w:rPr>
          <w:sz w:val="24"/>
        </w:rPr>
        <w:t>, a</w:t>
      </w:r>
      <w:r w:rsidRPr="00545B2E" w:rsidR="00FC380A">
        <w:rPr>
          <w:sz w:val="24"/>
        </w:rPr>
        <w:t>ggregate statistics</w:t>
      </w:r>
      <w:r w:rsidR="00D6193D">
        <w:rPr>
          <w:sz w:val="24"/>
        </w:rPr>
        <w:t>,</w:t>
      </w:r>
      <w:r w:rsidRPr="00545B2E" w:rsidR="00FC380A">
        <w:rPr>
          <w:sz w:val="24"/>
        </w:rPr>
        <w:t xml:space="preserve"> and </w:t>
      </w:r>
      <w:r w:rsidR="00713B7C">
        <w:rPr>
          <w:sz w:val="24"/>
        </w:rPr>
        <w:t>personnel time reporting</w:t>
      </w:r>
      <w:r w:rsidRPr="00545B2E" w:rsidR="00713B7C">
        <w:rPr>
          <w:sz w:val="24"/>
        </w:rPr>
        <w:t xml:space="preserve"> </w:t>
      </w:r>
      <w:r w:rsidRPr="00545B2E" w:rsidR="00FC380A">
        <w:rPr>
          <w:sz w:val="24"/>
        </w:rPr>
        <w:t>data compiled from jurisdictions</w:t>
      </w:r>
      <w:r w:rsidRPr="00545B2E" w:rsidR="009D1C89">
        <w:rPr>
          <w:sz w:val="24"/>
        </w:rPr>
        <w:t>.</w:t>
      </w:r>
      <w:r w:rsidR="00713B7C">
        <w:rPr>
          <w:sz w:val="24"/>
        </w:rPr>
        <w:t xml:space="preserve"> </w:t>
      </w:r>
      <w:bookmarkStart w:name="_Toc30602646" w:id="0"/>
      <w:r w:rsidR="00F53884">
        <w:rPr>
          <w:sz w:val="24"/>
        </w:rPr>
        <w:t xml:space="preserve"> </w:t>
      </w:r>
      <w:r w:rsidRPr="00A224EC" w:rsidR="00713B7C">
        <w:rPr>
          <w:sz w:val="24"/>
        </w:rPr>
        <w:t>Not all data collection activities will exceed the thres</w:t>
      </w:r>
      <w:r w:rsidRPr="00A224EC" w:rsidR="00821AC9">
        <w:rPr>
          <w:sz w:val="24"/>
        </w:rPr>
        <w:t>hold of respondents that necessitate OMB approval, therefore, t</w:t>
      </w:r>
      <w:r w:rsidRPr="00A224EC" w:rsidR="00713B7C">
        <w:rPr>
          <w:sz w:val="24"/>
        </w:rPr>
        <w:t>his application is seeking approval for the semi-structured interviews</w:t>
      </w:r>
      <w:r w:rsidRPr="00A224EC" w:rsidR="00821AC9">
        <w:rPr>
          <w:sz w:val="24"/>
        </w:rPr>
        <w:t xml:space="preserve"> with both the jurisdiction TA recipients (n=12 respondents) and the policy stakeholders (n=12 respondents)</w:t>
      </w:r>
      <w:r w:rsidRPr="00A224EC" w:rsidR="009701EC">
        <w:rPr>
          <w:sz w:val="24"/>
        </w:rPr>
        <w:t xml:space="preserve">, </w:t>
      </w:r>
    </w:p>
    <w:p w:rsidR="000C286C" w:rsidP="00821AC9" w:rsidRDefault="009701EC" w14:paraId="1103ABD0" w14:textId="1C5C2DD0">
      <w:pPr>
        <w:pStyle w:val="BulletsLast"/>
        <w:numPr>
          <w:ilvl w:val="0"/>
          <w:numId w:val="0"/>
        </w:numPr>
        <w:spacing w:after="0"/>
        <w:rPr>
          <w:sz w:val="24"/>
        </w:rPr>
      </w:pPr>
      <w:proofErr w:type="gramStart"/>
      <w:r w:rsidRPr="00A224EC">
        <w:rPr>
          <w:sz w:val="24"/>
        </w:rPr>
        <w:t>as</w:t>
      </w:r>
      <w:proofErr w:type="gramEnd"/>
      <w:r w:rsidRPr="00A224EC">
        <w:rPr>
          <w:sz w:val="24"/>
        </w:rPr>
        <w:t xml:space="preserve"> well as the data end-user survey (n=105 respondents)</w:t>
      </w:r>
      <w:r w:rsidRPr="00A224EC" w:rsidR="00821AC9">
        <w:rPr>
          <w:sz w:val="24"/>
        </w:rPr>
        <w:t>.</w:t>
      </w:r>
      <w:r w:rsidRPr="00A224EC" w:rsidR="00821AC9">
        <w:rPr>
          <w:b/>
          <w:sz w:val="24"/>
        </w:rPr>
        <w:t xml:space="preserve"> </w:t>
      </w:r>
      <w:r w:rsidRPr="00821AC9" w:rsidR="00821AC9">
        <w:rPr>
          <w:sz w:val="24"/>
        </w:rPr>
        <w:t xml:space="preserve">OMB approval for the semi-structured interviews with the TAP (n=3 respondents), </w:t>
      </w:r>
      <w:r w:rsidRPr="00821AC9" w:rsidR="00713B7C">
        <w:rPr>
          <w:sz w:val="24"/>
        </w:rPr>
        <w:t>aggregate statistics</w:t>
      </w:r>
      <w:r w:rsidRPr="00821AC9" w:rsidR="00821AC9">
        <w:rPr>
          <w:sz w:val="24"/>
        </w:rPr>
        <w:t xml:space="preserve"> (n=4 respondents)</w:t>
      </w:r>
      <w:r w:rsidRPr="00821AC9" w:rsidR="00713B7C">
        <w:rPr>
          <w:sz w:val="24"/>
        </w:rPr>
        <w:t>, personnel time reporting</w:t>
      </w:r>
      <w:r w:rsidRPr="00821AC9" w:rsidR="00821AC9">
        <w:rPr>
          <w:sz w:val="24"/>
        </w:rPr>
        <w:t xml:space="preserve"> (n=4 respondents), </w:t>
      </w:r>
      <w:r w:rsidRPr="00821AC9" w:rsidR="00713B7C">
        <w:rPr>
          <w:sz w:val="24"/>
        </w:rPr>
        <w:t>and document</w:t>
      </w:r>
      <w:r w:rsidRPr="00821AC9" w:rsidR="00821AC9">
        <w:rPr>
          <w:sz w:val="24"/>
        </w:rPr>
        <w:t xml:space="preserve"> review data (n=4 respondents) is not being requested due to the number of respondents that will participate in those data collection. </w:t>
      </w:r>
      <w:r w:rsidRPr="005A7518" w:rsidR="005A7518">
        <w:rPr>
          <w:sz w:val="24"/>
        </w:rPr>
        <w:t>Although data are not being collected from more than nine respondents for the other data collection methods (i.e., TAP semi-structured interviews, aggregate statistics, personnel time reporting data, and document review), descriptions of these methods are provided to describe the entire scope of the project.</w:t>
      </w:r>
    </w:p>
    <w:p w:rsidR="003162F4" w:rsidP="00821AC9" w:rsidRDefault="003162F4" w14:paraId="30F80289" w14:textId="77777777">
      <w:pPr>
        <w:pStyle w:val="BulletsLast"/>
        <w:numPr>
          <w:ilvl w:val="0"/>
          <w:numId w:val="0"/>
        </w:numPr>
        <w:spacing w:after="0"/>
        <w:rPr>
          <w:sz w:val="24"/>
        </w:rPr>
      </w:pPr>
    </w:p>
    <w:p w:rsidR="00436EAC" w:rsidP="003162F4" w:rsidRDefault="00436EAC" w14:paraId="3855F148" w14:textId="77777777">
      <w:pPr>
        <w:widowControl/>
        <w:tabs>
          <w:tab w:val="left" w:pos="12079"/>
        </w:tabs>
        <w:autoSpaceDE/>
        <w:autoSpaceDN/>
        <w:adjustRightInd/>
        <w:rPr>
          <w:b/>
          <w:i/>
          <w:sz w:val="24"/>
        </w:rPr>
      </w:pPr>
    </w:p>
    <w:p w:rsidR="00436EAC" w:rsidP="003162F4" w:rsidRDefault="00436EAC" w14:paraId="46C01E40" w14:textId="77777777">
      <w:pPr>
        <w:widowControl/>
        <w:tabs>
          <w:tab w:val="left" w:pos="12079"/>
        </w:tabs>
        <w:autoSpaceDE/>
        <w:autoSpaceDN/>
        <w:adjustRightInd/>
        <w:rPr>
          <w:b/>
          <w:i/>
          <w:sz w:val="24"/>
        </w:rPr>
      </w:pPr>
    </w:p>
    <w:p w:rsidR="00436EAC" w:rsidP="003162F4" w:rsidRDefault="00436EAC" w14:paraId="5B3C7C1D" w14:textId="77777777">
      <w:pPr>
        <w:widowControl/>
        <w:tabs>
          <w:tab w:val="left" w:pos="12079"/>
        </w:tabs>
        <w:autoSpaceDE/>
        <w:autoSpaceDN/>
        <w:adjustRightInd/>
        <w:rPr>
          <w:b/>
          <w:i/>
          <w:sz w:val="24"/>
        </w:rPr>
      </w:pPr>
    </w:p>
    <w:p w:rsidR="00436EAC" w:rsidP="003162F4" w:rsidRDefault="00436EAC" w14:paraId="498EFF14" w14:textId="77777777">
      <w:pPr>
        <w:widowControl/>
        <w:tabs>
          <w:tab w:val="left" w:pos="12079"/>
        </w:tabs>
        <w:autoSpaceDE/>
        <w:autoSpaceDN/>
        <w:adjustRightInd/>
        <w:rPr>
          <w:b/>
          <w:i/>
          <w:sz w:val="24"/>
        </w:rPr>
      </w:pPr>
    </w:p>
    <w:p w:rsidR="00436EAC" w:rsidP="003162F4" w:rsidRDefault="00436EAC" w14:paraId="2D14038B" w14:textId="77777777">
      <w:pPr>
        <w:widowControl/>
        <w:tabs>
          <w:tab w:val="left" w:pos="12079"/>
        </w:tabs>
        <w:autoSpaceDE/>
        <w:autoSpaceDN/>
        <w:adjustRightInd/>
        <w:rPr>
          <w:b/>
          <w:i/>
          <w:sz w:val="24"/>
        </w:rPr>
      </w:pPr>
    </w:p>
    <w:p w:rsidR="00436EAC" w:rsidP="003162F4" w:rsidRDefault="00436EAC" w14:paraId="25D45093" w14:textId="77777777">
      <w:pPr>
        <w:widowControl/>
        <w:tabs>
          <w:tab w:val="left" w:pos="12079"/>
        </w:tabs>
        <w:autoSpaceDE/>
        <w:autoSpaceDN/>
        <w:adjustRightInd/>
        <w:rPr>
          <w:b/>
          <w:i/>
          <w:sz w:val="24"/>
        </w:rPr>
      </w:pPr>
    </w:p>
    <w:p w:rsidRPr="00E50884" w:rsidR="003162F4" w:rsidP="003162F4" w:rsidRDefault="003162F4" w14:paraId="39829BFD" w14:textId="797443ED">
      <w:pPr>
        <w:widowControl/>
        <w:tabs>
          <w:tab w:val="left" w:pos="12079"/>
        </w:tabs>
        <w:autoSpaceDE/>
        <w:autoSpaceDN/>
        <w:adjustRightInd/>
        <w:rPr>
          <w:b/>
          <w:i/>
          <w:sz w:val="24"/>
        </w:rPr>
      </w:pPr>
      <w:r>
        <w:rPr>
          <w:b/>
          <w:i/>
          <w:sz w:val="24"/>
        </w:rPr>
        <w:t>Exhibit 1</w:t>
      </w:r>
      <w:r w:rsidRPr="00E50884">
        <w:rPr>
          <w:b/>
          <w:i/>
          <w:sz w:val="24"/>
        </w:rPr>
        <w:t xml:space="preserve">. </w:t>
      </w:r>
      <w:r>
        <w:rPr>
          <w:b/>
          <w:i/>
          <w:sz w:val="24"/>
        </w:rPr>
        <w:t>Data Collection Overview</w:t>
      </w:r>
      <w:r w:rsidR="00777361">
        <w:rPr>
          <w:b/>
          <w:i/>
          <w:sz w:val="24"/>
        </w:rPr>
        <w:t xml:space="preserve"> for Activities Requiring OMB Approval</w:t>
      </w:r>
    </w:p>
    <w:p w:rsidR="00427D66" w:rsidP="00821AC9" w:rsidRDefault="00427D66" w14:paraId="6103A041" w14:textId="0C3FC705">
      <w:pPr>
        <w:pStyle w:val="BulletsLast"/>
        <w:numPr>
          <w:ilvl w:val="0"/>
          <w:numId w:val="0"/>
        </w:numPr>
        <w:spacing w:after="0"/>
        <w:rPr>
          <w:sz w:val="24"/>
        </w:rPr>
      </w:pPr>
    </w:p>
    <w:tbl>
      <w:tblPr>
        <w:tblStyle w:val="TableGrid"/>
        <w:tblW w:w="9546" w:type="dxa"/>
        <w:tblLook w:val="04A0" w:firstRow="1" w:lastRow="0" w:firstColumn="1" w:lastColumn="0" w:noHBand="0" w:noVBand="1"/>
      </w:tblPr>
      <w:tblGrid>
        <w:gridCol w:w="2212"/>
        <w:gridCol w:w="1961"/>
        <w:gridCol w:w="1791"/>
        <w:gridCol w:w="1791"/>
        <w:gridCol w:w="1791"/>
      </w:tblGrid>
      <w:tr w:rsidRPr="00777361" w:rsidR="00485665" w:rsidTr="00485665" w14:paraId="13A326D6" w14:textId="63BA9998">
        <w:trPr>
          <w:trHeight w:val="808"/>
        </w:trPr>
        <w:tc>
          <w:tcPr>
            <w:tcW w:w="2212" w:type="dxa"/>
            <w:shd w:val="clear" w:color="auto" w:fill="92CDDC" w:themeFill="accent5" w:themeFillTint="99"/>
          </w:tcPr>
          <w:p w:rsidRPr="0097510A" w:rsidR="00485665" w:rsidP="00777361" w:rsidRDefault="00485665" w14:paraId="63404237" w14:textId="77777777">
            <w:pPr>
              <w:pStyle w:val="BulletsLast"/>
              <w:numPr>
                <w:ilvl w:val="0"/>
                <w:numId w:val="0"/>
              </w:numPr>
              <w:spacing w:after="0"/>
              <w:rPr>
                <w:rFonts w:ascii="Arial Narrow" w:hAnsi="Arial Narrow" w:cs="Arial"/>
              </w:rPr>
            </w:pPr>
          </w:p>
        </w:tc>
        <w:tc>
          <w:tcPr>
            <w:tcW w:w="1961" w:type="dxa"/>
            <w:shd w:val="clear" w:color="auto" w:fill="92CDDC" w:themeFill="accent5" w:themeFillTint="99"/>
            <w:vAlign w:val="center"/>
          </w:tcPr>
          <w:p w:rsidRPr="00AA6F5D" w:rsidR="00485665" w:rsidP="00AA6F5D" w:rsidRDefault="00485665" w14:paraId="333919D7" w14:textId="124438E4">
            <w:pPr>
              <w:pStyle w:val="BulletsLast"/>
              <w:numPr>
                <w:ilvl w:val="0"/>
                <w:numId w:val="0"/>
              </w:numPr>
              <w:spacing w:after="0"/>
              <w:jc w:val="center"/>
              <w:rPr>
                <w:rFonts w:ascii="Arial Narrow" w:hAnsi="Arial Narrow" w:cs="Arial"/>
                <w:b/>
              </w:rPr>
            </w:pPr>
            <w:r w:rsidRPr="00AA6F5D">
              <w:rPr>
                <w:rFonts w:ascii="Arial Narrow" w:hAnsi="Arial Narrow" w:cs="Arial"/>
                <w:b/>
              </w:rPr>
              <w:t>Jurisdiction TA Recipient SSI</w:t>
            </w:r>
            <w:r>
              <w:rPr>
                <w:rFonts w:ascii="Arial Narrow" w:hAnsi="Arial Narrow" w:cs="Arial"/>
                <w:b/>
              </w:rPr>
              <w:t xml:space="preserve"> Respondents</w:t>
            </w:r>
          </w:p>
        </w:tc>
        <w:tc>
          <w:tcPr>
            <w:tcW w:w="1791" w:type="dxa"/>
            <w:shd w:val="clear" w:color="auto" w:fill="92CDDC" w:themeFill="accent5" w:themeFillTint="99"/>
            <w:vAlign w:val="center"/>
          </w:tcPr>
          <w:p w:rsidR="00485665" w:rsidP="00AA6F5D" w:rsidRDefault="00485665" w14:paraId="1125E6B7" w14:textId="77777777">
            <w:pPr>
              <w:pStyle w:val="BulletsLast"/>
              <w:numPr>
                <w:ilvl w:val="0"/>
                <w:numId w:val="0"/>
              </w:numPr>
              <w:spacing w:after="0"/>
              <w:jc w:val="center"/>
              <w:rPr>
                <w:rFonts w:ascii="Arial Narrow" w:hAnsi="Arial Narrow" w:cs="Arial"/>
                <w:b/>
              </w:rPr>
            </w:pPr>
            <w:r w:rsidRPr="00AA6F5D">
              <w:rPr>
                <w:rFonts w:ascii="Arial Narrow" w:hAnsi="Arial Narrow" w:cs="Arial"/>
                <w:b/>
              </w:rPr>
              <w:t xml:space="preserve">Policy Stakeholder </w:t>
            </w:r>
          </w:p>
          <w:p w:rsidRPr="00AA6F5D" w:rsidR="00485665" w:rsidP="00AA6F5D" w:rsidRDefault="00485665" w14:paraId="30A12021" w14:textId="7610B43F">
            <w:pPr>
              <w:pStyle w:val="BulletsLast"/>
              <w:numPr>
                <w:ilvl w:val="0"/>
                <w:numId w:val="0"/>
              </w:numPr>
              <w:spacing w:after="0"/>
              <w:jc w:val="center"/>
              <w:rPr>
                <w:rFonts w:ascii="Arial Narrow" w:hAnsi="Arial Narrow" w:cs="Arial"/>
                <w:b/>
              </w:rPr>
            </w:pPr>
            <w:r w:rsidRPr="00AA6F5D">
              <w:rPr>
                <w:rFonts w:ascii="Arial Narrow" w:hAnsi="Arial Narrow" w:cs="Arial"/>
                <w:b/>
              </w:rPr>
              <w:t>SSI</w:t>
            </w:r>
            <w:r>
              <w:rPr>
                <w:rFonts w:ascii="Arial Narrow" w:hAnsi="Arial Narrow" w:cs="Arial"/>
                <w:b/>
              </w:rPr>
              <w:t xml:space="preserve"> Respondents</w:t>
            </w:r>
          </w:p>
        </w:tc>
        <w:tc>
          <w:tcPr>
            <w:tcW w:w="1791" w:type="dxa"/>
            <w:shd w:val="clear" w:color="auto" w:fill="92CDDC" w:themeFill="accent5" w:themeFillTint="99"/>
            <w:vAlign w:val="center"/>
          </w:tcPr>
          <w:p w:rsidRPr="00AA6F5D" w:rsidR="00485665" w:rsidP="00AA6F5D" w:rsidRDefault="00485665" w14:paraId="1B7FAC74" w14:textId="1B40C235">
            <w:pPr>
              <w:pStyle w:val="BulletsLast"/>
              <w:numPr>
                <w:ilvl w:val="0"/>
                <w:numId w:val="0"/>
              </w:numPr>
              <w:spacing w:after="0"/>
              <w:jc w:val="center"/>
              <w:rPr>
                <w:rFonts w:ascii="Arial Narrow" w:hAnsi="Arial Narrow" w:cs="Arial"/>
                <w:b/>
              </w:rPr>
            </w:pPr>
            <w:r w:rsidRPr="00AA6F5D">
              <w:rPr>
                <w:rFonts w:ascii="Arial Narrow" w:hAnsi="Arial Narrow" w:cs="Arial"/>
                <w:b/>
              </w:rPr>
              <w:t>Data End-User Survey</w:t>
            </w:r>
            <w:r>
              <w:rPr>
                <w:rFonts w:ascii="Arial Narrow" w:hAnsi="Arial Narrow" w:cs="Arial"/>
                <w:b/>
              </w:rPr>
              <w:t xml:space="preserve"> Respondents</w:t>
            </w:r>
          </w:p>
        </w:tc>
        <w:tc>
          <w:tcPr>
            <w:tcW w:w="1791" w:type="dxa"/>
            <w:shd w:val="clear" w:color="auto" w:fill="92CDDC" w:themeFill="accent5" w:themeFillTint="99"/>
          </w:tcPr>
          <w:p w:rsidRPr="00AA6F5D" w:rsidR="00485665" w:rsidP="00AA6F5D" w:rsidRDefault="00485665" w14:paraId="08A349B1" w14:textId="2940B2B7">
            <w:pPr>
              <w:pStyle w:val="BulletsLast"/>
              <w:numPr>
                <w:ilvl w:val="0"/>
                <w:numId w:val="0"/>
              </w:numPr>
              <w:spacing w:after="0"/>
              <w:jc w:val="center"/>
              <w:rPr>
                <w:rFonts w:ascii="Arial Narrow" w:hAnsi="Arial Narrow" w:cs="Arial"/>
                <w:b/>
              </w:rPr>
            </w:pPr>
            <w:r>
              <w:rPr>
                <w:rFonts w:ascii="Arial Narrow" w:hAnsi="Arial Narrow" w:cs="Arial"/>
                <w:b/>
              </w:rPr>
              <w:t>Total Respondents per Demonstration Site</w:t>
            </w:r>
          </w:p>
        </w:tc>
      </w:tr>
      <w:tr w:rsidRPr="00777361" w:rsidR="00485665" w:rsidTr="00485665" w14:paraId="1E9A9542" w14:textId="7B4ECD3C">
        <w:trPr>
          <w:trHeight w:val="402"/>
        </w:trPr>
        <w:tc>
          <w:tcPr>
            <w:tcW w:w="2212" w:type="dxa"/>
          </w:tcPr>
          <w:p w:rsidRPr="00777361" w:rsidR="00485665" w:rsidP="007F2388" w:rsidRDefault="00485665" w14:paraId="75158BDF" w14:textId="5D4BFE9B">
            <w:pPr>
              <w:pStyle w:val="BulletsLast"/>
              <w:numPr>
                <w:ilvl w:val="0"/>
                <w:numId w:val="0"/>
              </w:numPr>
              <w:spacing w:after="0"/>
              <w:rPr>
                <w:rFonts w:ascii="Arial Narrow" w:hAnsi="Arial Narrow" w:cs="Arial"/>
                <w:b/>
              </w:rPr>
            </w:pPr>
            <w:r w:rsidRPr="00777361">
              <w:rPr>
                <w:rFonts w:ascii="Arial Narrow" w:hAnsi="Arial Narrow" w:cs="Arial"/>
                <w:b/>
              </w:rPr>
              <w:t>Demonstration Site A</w:t>
            </w:r>
          </w:p>
        </w:tc>
        <w:tc>
          <w:tcPr>
            <w:tcW w:w="1961" w:type="dxa"/>
          </w:tcPr>
          <w:p w:rsidRPr="00777361" w:rsidR="00485665" w:rsidP="007F2388" w:rsidRDefault="00485665" w14:paraId="56A3E9B0" w14:textId="19E81D98">
            <w:pPr>
              <w:pStyle w:val="BulletsLast"/>
              <w:numPr>
                <w:ilvl w:val="0"/>
                <w:numId w:val="0"/>
              </w:numPr>
              <w:spacing w:after="0"/>
              <w:jc w:val="center"/>
              <w:rPr>
                <w:rFonts w:ascii="Arial Narrow" w:hAnsi="Arial Narrow" w:cs="Arial"/>
              </w:rPr>
            </w:pPr>
            <w:r>
              <w:rPr>
                <w:rFonts w:ascii="Arial Narrow" w:hAnsi="Arial Narrow" w:cs="Arial"/>
              </w:rPr>
              <w:t>3</w:t>
            </w:r>
          </w:p>
        </w:tc>
        <w:tc>
          <w:tcPr>
            <w:tcW w:w="1791" w:type="dxa"/>
          </w:tcPr>
          <w:p w:rsidRPr="00777361" w:rsidR="00485665" w:rsidP="007F2388" w:rsidRDefault="00485665" w14:paraId="6948F28E" w14:textId="776568ED">
            <w:pPr>
              <w:pStyle w:val="BulletsLast"/>
              <w:numPr>
                <w:ilvl w:val="0"/>
                <w:numId w:val="0"/>
              </w:numPr>
              <w:spacing w:after="0"/>
              <w:jc w:val="center"/>
              <w:rPr>
                <w:rFonts w:ascii="Arial Narrow" w:hAnsi="Arial Narrow" w:cs="Arial"/>
              </w:rPr>
            </w:pPr>
            <w:r>
              <w:rPr>
                <w:rFonts w:ascii="Arial Narrow" w:hAnsi="Arial Narrow" w:cs="Arial"/>
              </w:rPr>
              <w:t>3</w:t>
            </w:r>
          </w:p>
        </w:tc>
        <w:tc>
          <w:tcPr>
            <w:tcW w:w="1791" w:type="dxa"/>
          </w:tcPr>
          <w:p w:rsidRPr="00777361" w:rsidR="00485665" w:rsidP="007F2388" w:rsidRDefault="00485665" w14:paraId="1A336305" w14:textId="3FD4F41C">
            <w:pPr>
              <w:pStyle w:val="BulletsLast"/>
              <w:numPr>
                <w:ilvl w:val="0"/>
                <w:numId w:val="0"/>
              </w:numPr>
              <w:spacing w:after="0"/>
              <w:jc w:val="center"/>
              <w:rPr>
                <w:rFonts w:ascii="Arial Narrow" w:hAnsi="Arial Narrow" w:cs="Arial"/>
              </w:rPr>
            </w:pPr>
            <w:r>
              <w:rPr>
                <w:rFonts w:ascii="Arial Narrow" w:hAnsi="Arial Narrow" w:cs="Arial"/>
              </w:rPr>
              <w:t>35</w:t>
            </w:r>
          </w:p>
        </w:tc>
        <w:tc>
          <w:tcPr>
            <w:tcW w:w="1791" w:type="dxa"/>
          </w:tcPr>
          <w:p w:rsidR="00485665" w:rsidP="007F2388" w:rsidRDefault="00485665" w14:paraId="19247102" w14:textId="1454A0C5">
            <w:pPr>
              <w:pStyle w:val="BulletsLast"/>
              <w:numPr>
                <w:ilvl w:val="0"/>
                <w:numId w:val="0"/>
              </w:numPr>
              <w:spacing w:after="0"/>
              <w:jc w:val="center"/>
              <w:rPr>
                <w:rFonts w:ascii="Arial Narrow" w:hAnsi="Arial Narrow" w:cs="Arial"/>
              </w:rPr>
            </w:pPr>
            <w:r>
              <w:rPr>
                <w:rFonts w:ascii="Arial Narrow" w:hAnsi="Arial Narrow" w:cs="Arial"/>
              </w:rPr>
              <w:t>41</w:t>
            </w:r>
          </w:p>
        </w:tc>
      </w:tr>
      <w:tr w:rsidRPr="00777361" w:rsidR="00485665" w:rsidTr="00485665" w14:paraId="3F33D888" w14:textId="26101718">
        <w:trPr>
          <w:trHeight w:val="385"/>
        </w:trPr>
        <w:tc>
          <w:tcPr>
            <w:tcW w:w="2212" w:type="dxa"/>
          </w:tcPr>
          <w:p w:rsidRPr="00777361" w:rsidR="00485665" w:rsidP="007F2388" w:rsidRDefault="00485665" w14:paraId="085B2742" w14:textId="73584564">
            <w:pPr>
              <w:pStyle w:val="BulletsLast"/>
              <w:numPr>
                <w:ilvl w:val="0"/>
                <w:numId w:val="0"/>
              </w:numPr>
              <w:spacing w:after="0"/>
              <w:rPr>
                <w:rFonts w:ascii="Arial Narrow" w:hAnsi="Arial Narrow" w:cs="Arial"/>
                <w:b/>
              </w:rPr>
            </w:pPr>
            <w:r w:rsidRPr="00777361">
              <w:rPr>
                <w:rFonts w:ascii="Arial Narrow" w:hAnsi="Arial Narrow" w:cs="Arial"/>
                <w:b/>
              </w:rPr>
              <w:t>Demonstration Site B</w:t>
            </w:r>
          </w:p>
        </w:tc>
        <w:tc>
          <w:tcPr>
            <w:tcW w:w="1961" w:type="dxa"/>
          </w:tcPr>
          <w:p w:rsidRPr="00565D0C" w:rsidR="00485665" w:rsidP="007F2388" w:rsidRDefault="00485665" w14:paraId="2BFDD470" w14:textId="264D72D5">
            <w:pPr>
              <w:pStyle w:val="BulletsLast"/>
              <w:numPr>
                <w:ilvl w:val="0"/>
                <w:numId w:val="0"/>
              </w:numPr>
              <w:spacing w:after="0"/>
              <w:jc w:val="center"/>
              <w:rPr>
                <w:rFonts w:ascii="Arial Narrow" w:hAnsi="Arial Narrow" w:cs="Arial"/>
              </w:rPr>
            </w:pPr>
            <w:r>
              <w:rPr>
                <w:rFonts w:ascii="Arial Narrow" w:hAnsi="Arial Narrow" w:cs="Arial"/>
              </w:rPr>
              <w:t>3</w:t>
            </w:r>
          </w:p>
        </w:tc>
        <w:tc>
          <w:tcPr>
            <w:tcW w:w="1791" w:type="dxa"/>
          </w:tcPr>
          <w:p w:rsidRPr="00777361" w:rsidR="00485665" w:rsidP="007F2388" w:rsidRDefault="00485665" w14:paraId="43CB8EC6" w14:textId="64FEA8F9">
            <w:pPr>
              <w:pStyle w:val="BulletsLast"/>
              <w:numPr>
                <w:ilvl w:val="0"/>
                <w:numId w:val="0"/>
              </w:numPr>
              <w:spacing w:after="0"/>
              <w:jc w:val="center"/>
              <w:rPr>
                <w:rFonts w:ascii="Arial Narrow" w:hAnsi="Arial Narrow" w:cs="Arial"/>
              </w:rPr>
            </w:pPr>
            <w:r>
              <w:rPr>
                <w:rFonts w:ascii="Arial Narrow" w:hAnsi="Arial Narrow" w:cs="Arial"/>
              </w:rPr>
              <w:t>3</w:t>
            </w:r>
          </w:p>
        </w:tc>
        <w:tc>
          <w:tcPr>
            <w:tcW w:w="1791" w:type="dxa"/>
          </w:tcPr>
          <w:p w:rsidRPr="00777361" w:rsidR="00485665" w:rsidP="007F2388" w:rsidRDefault="00485665" w14:paraId="502E71E1" w14:textId="4601EAD6">
            <w:pPr>
              <w:pStyle w:val="BulletsLast"/>
              <w:numPr>
                <w:ilvl w:val="0"/>
                <w:numId w:val="0"/>
              </w:numPr>
              <w:spacing w:after="0"/>
              <w:jc w:val="center"/>
              <w:rPr>
                <w:rFonts w:ascii="Arial Narrow" w:hAnsi="Arial Narrow" w:cs="Arial"/>
              </w:rPr>
            </w:pPr>
            <w:r w:rsidRPr="00056621">
              <w:rPr>
                <w:rFonts w:ascii="Arial Narrow" w:hAnsi="Arial Narrow" w:cs="Arial"/>
              </w:rPr>
              <w:t>35</w:t>
            </w:r>
          </w:p>
        </w:tc>
        <w:tc>
          <w:tcPr>
            <w:tcW w:w="1791" w:type="dxa"/>
          </w:tcPr>
          <w:p w:rsidRPr="00056621" w:rsidR="00485665" w:rsidP="007F2388" w:rsidRDefault="00485665" w14:paraId="5252C47E" w14:textId="11E504B6">
            <w:pPr>
              <w:pStyle w:val="BulletsLast"/>
              <w:numPr>
                <w:ilvl w:val="0"/>
                <w:numId w:val="0"/>
              </w:numPr>
              <w:spacing w:after="0"/>
              <w:jc w:val="center"/>
              <w:rPr>
                <w:rFonts w:ascii="Arial Narrow" w:hAnsi="Arial Narrow" w:cs="Arial"/>
              </w:rPr>
            </w:pPr>
            <w:r>
              <w:rPr>
                <w:rFonts w:ascii="Arial Narrow" w:hAnsi="Arial Narrow" w:cs="Arial"/>
              </w:rPr>
              <w:t>41</w:t>
            </w:r>
          </w:p>
        </w:tc>
      </w:tr>
      <w:tr w:rsidRPr="00777361" w:rsidR="00485665" w:rsidTr="00485665" w14:paraId="16B1F2C5" w14:textId="4C48E845">
        <w:trPr>
          <w:trHeight w:val="402"/>
        </w:trPr>
        <w:tc>
          <w:tcPr>
            <w:tcW w:w="2212" w:type="dxa"/>
          </w:tcPr>
          <w:p w:rsidRPr="00777361" w:rsidR="00485665" w:rsidP="007F2388" w:rsidRDefault="00485665" w14:paraId="32223ECE" w14:textId="2116C60D">
            <w:pPr>
              <w:pStyle w:val="BulletsLast"/>
              <w:numPr>
                <w:ilvl w:val="0"/>
                <w:numId w:val="0"/>
              </w:numPr>
              <w:spacing w:after="0"/>
              <w:rPr>
                <w:rFonts w:ascii="Arial Narrow" w:hAnsi="Arial Narrow" w:cs="Arial"/>
                <w:b/>
              </w:rPr>
            </w:pPr>
            <w:r w:rsidRPr="00777361">
              <w:rPr>
                <w:rFonts w:ascii="Arial Narrow" w:hAnsi="Arial Narrow" w:cs="Arial"/>
                <w:b/>
              </w:rPr>
              <w:t>Demonstration Site C</w:t>
            </w:r>
          </w:p>
        </w:tc>
        <w:tc>
          <w:tcPr>
            <w:tcW w:w="1961" w:type="dxa"/>
          </w:tcPr>
          <w:p w:rsidRPr="00565D0C" w:rsidR="00485665" w:rsidP="007F2388" w:rsidRDefault="00485665" w14:paraId="66D02340" w14:textId="2980870A">
            <w:pPr>
              <w:pStyle w:val="BulletsLast"/>
              <w:numPr>
                <w:ilvl w:val="0"/>
                <w:numId w:val="0"/>
              </w:numPr>
              <w:spacing w:after="0"/>
              <w:jc w:val="center"/>
              <w:rPr>
                <w:rFonts w:ascii="Arial Narrow" w:hAnsi="Arial Narrow" w:cs="Arial"/>
              </w:rPr>
            </w:pPr>
            <w:r>
              <w:rPr>
                <w:rFonts w:ascii="Arial Narrow" w:hAnsi="Arial Narrow" w:cs="Arial"/>
              </w:rPr>
              <w:t>3</w:t>
            </w:r>
          </w:p>
        </w:tc>
        <w:tc>
          <w:tcPr>
            <w:tcW w:w="1791" w:type="dxa"/>
          </w:tcPr>
          <w:p w:rsidRPr="00777361" w:rsidR="00485665" w:rsidP="007F2388" w:rsidRDefault="00485665" w14:paraId="59E533DA" w14:textId="19D7021D">
            <w:pPr>
              <w:pStyle w:val="BulletsLast"/>
              <w:numPr>
                <w:ilvl w:val="0"/>
                <w:numId w:val="0"/>
              </w:numPr>
              <w:spacing w:after="0"/>
              <w:jc w:val="center"/>
              <w:rPr>
                <w:rFonts w:ascii="Arial Narrow" w:hAnsi="Arial Narrow" w:cs="Arial"/>
              </w:rPr>
            </w:pPr>
            <w:r>
              <w:rPr>
                <w:rFonts w:ascii="Arial Narrow" w:hAnsi="Arial Narrow" w:cs="Arial"/>
              </w:rPr>
              <w:t>3</w:t>
            </w:r>
          </w:p>
        </w:tc>
        <w:tc>
          <w:tcPr>
            <w:tcW w:w="1791" w:type="dxa"/>
          </w:tcPr>
          <w:p w:rsidRPr="00777361" w:rsidR="00485665" w:rsidP="007F2388" w:rsidRDefault="00485665" w14:paraId="72A817BA" w14:textId="1C0C6524">
            <w:pPr>
              <w:pStyle w:val="BulletsLast"/>
              <w:numPr>
                <w:ilvl w:val="0"/>
                <w:numId w:val="0"/>
              </w:numPr>
              <w:spacing w:after="0"/>
              <w:jc w:val="center"/>
              <w:rPr>
                <w:rFonts w:ascii="Arial Narrow" w:hAnsi="Arial Narrow" w:cs="Arial"/>
              </w:rPr>
            </w:pPr>
            <w:r w:rsidRPr="00056621">
              <w:rPr>
                <w:rFonts w:ascii="Arial Narrow" w:hAnsi="Arial Narrow" w:cs="Arial"/>
              </w:rPr>
              <w:t>35</w:t>
            </w:r>
          </w:p>
        </w:tc>
        <w:tc>
          <w:tcPr>
            <w:tcW w:w="1791" w:type="dxa"/>
          </w:tcPr>
          <w:p w:rsidRPr="00056621" w:rsidR="00485665" w:rsidP="007F2388" w:rsidRDefault="00485665" w14:paraId="24037862" w14:textId="19F265BA">
            <w:pPr>
              <w:pStyle w:val="BulletsLast"/>
              <w:numPr>
                <w:ilvl w:val="0"/>
                <w:numId w:val="0"/>
              </w:numPr>
              <w:spacing w:after="0"/>
              <w:jc w:val="center"/>
              <w:rPr>
                <w:rFonts w:ascii="Arial Narrow" w:hAnsi="Arial Narrow" w:cs="Arial"/>
              </w:rPr>
            </w:pPr>
            <w:r>
              <w:rPr>
                <w:rFonts w:ascii="Arial Narrow" w:hAnsi="Arial Narrow" w:cs="Arial"/>
              </w:rPr>
              <w:t>41</w:t>
            </w:r>
          </w:p>
        </w:tc>
      </w:tr>
      <w:tr w:rsidRPr="00777361" w:rsidR="00485665" w:rsidTr="00485665" w14:paraId="24543082" w14:textId="342E0EDC">
        <w:trPr>
          <w:trHeight w:val="402"/>
        </w:trPr>
        <w:tc>
          <w:tcPr>
            <w:tcW w:w="2212" w:type="dxa"/>
          </w:tcPr>
          <w:p w:rsidRPr="00777361" w:rsidR="00485665" w:rsidP="007F2388" w:rsidRDefault="00485665" w14:paraId="2B5CC305" w14:textId="2F9DA28B">
            <w:pPr>
              <w:pStyle w:val="BulletsLast"/>
              <w:numPr>
                <w:ilvl w:val="0"/>
                <w:numId w:val="0"/>
              </w:numPr>
              <w:spacing w:after="0"/>
              <w:rPr>
                <w:rFonts w:ascii="Arial Narrow" w:hAnsi="Arial Narrow" w:cs="Arial"/>
                <w:b/>
              </w:rPr>
            </w:pPr>
            <w:r w:rsidRPr="00777361">
              <w:rPr>
                <w:rFonts w:ascii="Arial Narrow" w:hAnsi="Arial Narrow" w:cs="Arial"/>
                <w:b/>
              </w:rPr>
              <w:t>Demonstration Site D</w:t>
            </w:r>
          </w:p>
        </w:tc>
        <w:tc>
          <w:tcPr>
            <w:tcW w:w="1961" w:type="dxa"/>
          </w:tcPr>
          <w:p w:rsidRPr="00565D0C" w:rsidR="00485665" w:rsidP="007F2388" w:rsidRDefault="00485665" w14:paraId="20B25994" w14:textId="0C3C03D5">
            <w:pPr>
              <w:pStyle w:val="BulletsLast"/>
              <w:numPr>
                <w:ilvl w:val="0"/>
                <w:numId w:val="0"/>
              </w:numPr>
              <w:spacing w:after="0"/>
              <w:jc w:val="center"/>
              <w:rPr>
                <w:rFonts w:ascii="Arial Narrow" w:hAnsi="Arial Narrow" w:cs="Arial"/>
              </w:rPr>
            </w:pPr>
            <w:r>
              <w:rPr>
                <w:rFonts w:ascii="Arial Narrow" w:hAnsi="Arial Narrow" w:cs="Arial"/>
              </w:rPr>
              <w:t>3</w:t>
            </w:r>
          </w:p>
        </w:tc>
        <w:tc>
          <w:tcPr>
            <w:tcW w:w="1791" w:type="dxa"/>
          </w:tcPr>
          <w:p w:rsidRPr="00777361" w:rsidR="00485665" w:rsidP="007F2388" w:rsidRDefault="00485665" w14:paraId="75235688" w14:textId="7D56C6FD">
            <w:pPr>
              <w:pStyle w:val="BulletsLast"/>
              <w:numPr>
                <w:ilvl w:val="0"/>
                <w:numId w:val="0"/>
              </w:numPr>
              <w:spacing w:after="0"/>
              <w:jc w:val="center"/>
              <w:rPr>
                <w:rFonts w:ascii="Arial Narrow" w:hAnsi="Arial Narrow" w:cs="Arial"/>
              </w:rPr>
            </w:pPr>
            <w:r>
              <w:rPr>
                <w:rFonts w:ascii="Arial Narrow" w:hAnsi="Arial Narrow" w:cs="Arial"/>
              </w:rPr>
              <w:t>3</w:t>
            </w:r>
          </w:p>
        </w:tc>
        <w:tc>
          <w:tcPr>
            <w:tcW w:w="1791" w:type="dxa"/>
          </w:tcPr>
          <w:p w:rsidRPr="00777361" w:rsidR="00485665" w:rsidP="007F2388" w:rsidRDefault="00485665" w14:paraId="4FC82A0F" w14:textId="2903ED94">
            <w:pPr>
              <w:pStyle w:val="BulletsLast"/>
              <w:numPr>
                <w:ilvl w:val="0"/>
                <w:numId w:val="0"/>
              </w:numPr>
              <w:spacing w:after="0"/>
              <w:jc w:val="center"/>
              <w:rPr>
                <w:rFonts w:ascii="Arial Narrow" w:hAnsi="Arial Narrow" w:cs="Arial"/>
              </w:rPr>
            </w:pPr>
            <w:r w:rsidRPr="00056621">
              <w:rPr>
                <w:rFonts w:ascii="Arial Narrow" w:hAnsi="Arial Narrow" w:cs="Arial"/>
              </w:rPr>
              <w:t>35</w:t>
            </w:r>
          </w:p>
        </w:tc>
        <w:tc>
          <w:tcPr>
            <w:tcW w:w="1791" w:type="dxa"/>
          </w:tcPr>
          <w:p w:rsidRPr="00056621" w:rsidR="00485665" w:rsidP="007F2388" w:rsidRDefault="00485665" w14:paraId="65FCDDCB" w14:textId="03355F79">
            <w:pPr>
              <w:pStyle w:val="BulletsLast"/>
              <w:numPr>
                <w:ilvl w:val="0"/>
                <w:numId w:val="0"/>
              </w:numPr>
              <w:spacing w:after="0"/>
              <w:jc w:val="center"/>
              <w:rPr>
                <w:rFonts w:ascii="Arial Narrow" w:hAnsi="Arial Narrow" w:cs="Arial"/>
              </w:rPr>
            </w:pPr>
            <w:r>
              <w:rPr>
                <w:rFonts w:ascii="Arial Narrow" w:hAnsi="Arial Narrow" w:cs="Arial"/>
              </w:rPr>
              <w:t>41</w:t>
            </w:r>
          </w:p>
        </w:tc>
      </w:tr>
    </w:tbl>
    <w:p w:rsidR="003162F4" w:rsidP="00821AC9" w:rsidRDefault="003162F4" w14:paraId="0F6932BC" w14:textId="77777777">
      <w:pPr>
        <w:pStyle w:val="BulletsLast"/>
        <w:numPr>
          <w:ilvl w:val="0"/>
          <w:numId w:val="0"/>
        </w:numPr>
        <w:spacing w:after="0"/>
        <w:rPr>
          <w:sz w:val="24"/>
        </w:rPr>
      </w:pPr>
    </w:p>
    <w:p w:rsidR="003162F4" w:rsidP="00821AC9" w:rsidRDefault="003162F4" w14:paraId="1FF8307F" w14:textId="77777777">
      <w:pPr>
        <w:pStyle w:val="BulletsLast"/>
        <w:numPr>
          <w:ilvl w:val="0"/>
          <w:numId w:val="0"/>
        </w:numPr>
        <w:spacing w:after="0"/>
        <w:rPr>
          <w:sz w:val="24"/>
        </w:rPr>
      </w:pPr>
    </w:p>
    <w:p w:rsidR="00D4304F" w:rsidP="00D4304F" w:rsidRDefault="00D4304F" w14:paraId="05ABE21F" w14:textId="39A574E4">
      <w:pPr>
        <w:pStyle w:val="BodyText"/>
        <w:rPr>
          <w:sz w:val="24"/>
        </w:rPr>
      </w:pPr>
      <w:r w:rsidRPr="001C7794">
        <w:rPr>
          <w:sz w:val="24"/>
        </w:rPr>
        <w:t xml:space="preserve">The </w:t>
      </w:r>
      <w:r w:rsidRPr="001C7794">
        <w:rPr>
          <w:i/>
          <w:sz w:val="24"/>
        </w:rPr>
        <w:t>Enhancing</w:t>
      </w:r>
      <w:r>
        <w:rPr>
          <w:i/>
          <w:sz w:val="24"/>
        </w:rPr>
        <w:t xml:space="preserve"> STI</w:t>
      </w:r>
      <w:r w:rsidRPr="001C7794">
        <w:rPr>
          <w:i/>
          <w:sz w:val="24"/>
        </w:rPr>
        <w:t xml:space="preserve"> Linkage</w:t>
      </w:r>
      <w:r w:rsidRPr="001C7794">
        <w:rPr>
          <w:sz w:val="24"/>
        </w:rPr>
        <w:t xml:space="preserve"> evaluation will assist HRSA to better understand the achievement and effectiveness of the </w:t>
      </w:r>
      <w:r w:rsidRPr="0010135F">
        <w:rPr>
          <w:i/>
          <w:sz w:val="24"/>
        </w:rPr>
        <w:t xml:space="preserve">Enhancing </w:t>
      </w:r>
      <w:r>
        <w:rPr>
          <w:i/>
          <w:sz w:val="24"/>
        </w:rPr>
        <w:t xml:space="preserve">STI </w:t>
      </w:r>
      <w:r w:rsidRPr="0010135F">
        <w:rPr>
          <w:i/>
          <w:sz w:val="24"/>
        </w:rPr>
        <w:t>Linkage</w:t>
      </w:r>
      <w:r w:rsidRPr="001C7794">
        <w:rPr>
          <w:sz w:val="24"/>
        </w:rPr>
        <w:t xml:space="preserve"> demonstration project. </w:t>
      </w:r>
      <w:r w:rsidR="00F53884">
        <w:rPr>
          <w:sz w:val="24"/>
        </w:rPr>
        <w:t xml:space="preserve"> </w:t>
      </w:r>
      <w:r w:rsidRPr="001C7794">
        <w:rPr>
          <w:sz w:val="24"/>
        </w:rPr>
        <w:t xml:space="preserve">The tools included in this package allow researchers to collect process and outcome data to better understand the program. </w:t>
      </w:r>
      <w:r w:rsidR="00F53884">
        <w:rPr>
          <w:sz w:val="24"/>
        </w:rPr>
        <w:t xml:space="preserve"> </w:t>
      </w:r>
      <w:r w:rsidRPr="001C7794">
        <w:rPr>
          <w:sz w:val="24"/>
        </w:rPr>
        <w:t>This is a mixed methods evaluation that will collect data over a 3-year period from the TAP</w:t>
      </w:r>
      <w:r>
        <w:rPr>
          <w:sz w:val="24"/>
        </w:rPr>
        <w:t xml:space="preserve"> and </w:t>
      </w:r>
      <w:r w:rsidRPr="001C7794">
        <w:rPr>
          <w:sz w:val="24"/>
        </w:rPr>
        <w:t>participating jurisdictions.</w:t>
      </w:r>
      <w:r w:rsidR="00F53884">
        <w:rPr>
          <w:sz w:val="24"/>
        </w:rPr>
        <w:t xml:space="preserve"> </w:t>
      </w:r>
      <w:r w:rsidRPr="001C7794">
        <w:rPr>
          <w:sz w:val="24"/>
        </w:rPr>
        <w:t xml:space="preserve"> This is an observational study with no comparison group.  </w:t>
      </w:r>
      <w:r w:rsidRPr="001C7794">
        <w:rPr>
          <w:b/>
          <w:i/>
          <w:sz w:val="24"/>
        </w:rPr>
        <w:t xml:space="preserve">Exhibit </w:t>
      </w:r>
      <w:r w:rsidR="004865BE">
        <w:rPr>
          <w:b/>
          <w:i/>
          <w:sz w:val="24"/>
        </w:rPr>
        <w:t>2</w:t>
      </w:r>
      <w:r w:rsidRPr="001C7794">
        <w:rPr>
          <w:sz w:val="24"/>
        </w:rPr>
        <w:t xml:space="preserve"> outlines the evaluation </w:t>
      </w:r>
      <w:r>
        <w:rPr>
          <w:sz w:val="24"/>
        </w:rPr>
        <w:t xml:space="preserve">aims and </w:t>
      </w:r>
      <w:r w:rsidRPr="001C7794">
        <w:rPr>
          <w:sz w:val="24"/>
        </w:rPr>
        <w:t>question</w:t>
      </w:r>
      <w:r>
        <w:rPr>
          <w:sz w:val="24"/>
        </w:rPr>
        <w:t>s</w:t>
      </w:r>
      <w:r w:rsidRPr="001C7794">
        <w:rPr>
          <w:sz w:val="24"/>
        </w:rPr>
        <w:t xml:space="preserve"> that support </w:t>
      </w:r>
      <w:r>
        <w:rPr>
          <w:sz w:val="24"/>
        </w:rPr>
        <w:t>the</w:t>
      </w:r>
      <w:r w:rsidRPr="001C7794">
        <w:rPr>
          <w:sz w:val="24"/>
        </w:rPr>
        <w:t xml:space="preserve"> evaluation approach</w:t>
      </w:r>
      <w:r>
        <w:rPr>
          <w:sz w:val="24"/>
        </w:rPr>
        <w:t>,</w:t>
      </w:r>
      <w:r w:rsidRPr="001C7794">
        <w:rPr>
          <w:sz w:val="24"/>
        </w:rPr>
        <w:t xml:space="preserve"> and serves as the backbone of this evaluation. </w:t>
      </w:r>
      <w:r w:rsidR="00F53884">
        <w:rPr>
          <w:sz w:val="24"/>
        </w:rPr>
        <w:t xml:space="preserve"> </w:t>
      </w:r>
      <w:r w:rsidRPr="001C7794">
        <w:rPr>
          <w:sz w:val="24"/>
        </w:rPr>
        <w:t xml:space="preserve">The data sources and collection method </w:t>
      </w:r>
      <w:r>
        <w:rPr>
          <w:sz w:val="24"/>
        </w:rPr>
        <w:t xml:space="preserve">are listed in the third </w:t>
      </w:r>
      <w:r w:rsidRPr="001C7794">
        <w:rPr>
          <w:sz w:val="24"/>
        </w:rPr>
        <w:t>column</w:t>
      </w:r>
      <w:r>
        <w:rPr>
          <w:sz w:val="24"/>
        </w:rPr>
        <w:t>.</w:t>
      </w:r>
      <w:r w:rsidRPr="001C7794">
        <w:rPr>
          <w:sz w:val="24"/>
        </w:rPr>
        <w:t xml:space="preserve"> </w:t>
      </w:r>
      <w:r>
        <w:rPr>
          <w:sz w:val="24"/>
        </w:rPr>
        <w:t>Listed</w:t>
      </w:r>
      <w:r w:rsidRPr="001C7794">
        <w:rPr>
          <w:sz w:val="24"/>
        </w:rPr>
        <w:t xml:space="preserve"> in parentheses </w:t>
      </w:r>
      <w:r>
        <w:rPr>
          <w:sz w:val="24"/>
        </w:rPr>
        <w:t xml:space="preserve">in this column is </w:t>
      </w:r>
      <w:r w:rsidRPr="001C7794">
        <w:rPr>
          <w:sz w:val="24"/>
        </w:rPr>
        <w:t>the party from which the data will be generated – i.e. the Evaluator (E), Technical Assistance Provider (T), and/or Jurisdiction (J). Data collection activities will include: semi-structured interviews, document review, data end-user survey, aggregate statistics</w:t>
      </w:r>
      <w:r>
        <w:rPr>
          <w:sz w:val="24"/>
        </w:rPr>
        <w:t>,</w:t>
      </w:r>
      <w:r w:rsidRPr="001C7794">
        <w:rPr>
          <w:sz w:val="24"/>
        </w:rPr>
        <w:t xml:space="preserve"> and cost data compiled from jurisdictions. </w:t>
      </w:r>
    </w:p>
    <w:p w:rsidR="00855A98" w:rsidP="00D4304F" w:rsidRDefault="00855A98" w14:paraId="457C617E" w14:textId="77777777">
      <w:pPr>
        <w:pStyle w:val="BodyText"/>
        <w:rPr>
          <w:sz w:val="24"/>
        </w:rPr>
        <w:sectPr w:rsidR="00855A98" w:rsidSect="00855A98">
          <w:headerReference w:type="default" r:id="rId11"/>
          <w:footerReference w:type="default" r:id="rId12"/>
          <w:endnotePr>
            <w:numFmt w:val="decimal"/>
          </w:endnotePr>
          <w:pgSz w:w="12240" w:h="15840" w:code="1"/>
          <w:pgMar w:top="1440" w:right="1440" w:bottom="1440" w:left="1440" w:header="1440" w:footer="1440" w:gutter="0"/>
          <w:cols w:space="720"/>
          <w:noEndnote/>
          <w:docGrid w:linePitch="272"/>
        </w:sectPr>
      </w:pPr>
    </w:p>
    <w:p w:rsidR="00855A98" w:rsidP="00D4304F" w:rsidRDefault="00855A98" w14:paraId="792299E7" w14:textId="3DECEE3D">
      <w:pPr>
        <w:pStyle w:val="BodyText"/>
        <w:rPr>
          <w:sz w:val="24"/>
        </w:rPr>
      </w:pPr>
    </w:p>
    <w:p w:rsidRPr="00E50884" w:rsidR="00855A98" w:rsidP="00C27D8F" w:rsidRDefault="00855A98" w14:paraId="26B3EDCC" w14:textId="28AE2BD5">
      <w:pPr>
        <w:widowControl/>
        <w:tabs>
          <w:tab w:val="left" w:pos="12079"/>
        </w:tabs>
        <w:autoSpaceDE/>
        <w:autoSpaceDN/>
        <w:adjustRightInd/>
        <w:rPr>
          <w:b/>
          <w:i/>
          <w:sz w:val="24"/>
        </w:rPr>
      </w:pPr>
      <w:r>
        <w:rPr>
          <w:b/>
          <w:i/>
          <w:sz w:val="24"/>
        </w:rPr>
        <w:t>Exhibit</w:t>
      </w:r>
      <w:r w:rsidRPr="00E50884">
        <w:rPr>
          <w:b/>
          <w:i/>
          <w:sz w:val="24"/>
        </w:rPr>
        <w:t xml:space="preserve"> </w:t>
      </w:r>
      <w:r w:rsidR="00485665">
        <w:rPr>
          <w:b/>
          <w:i/>
          <w:sz w:val="24"/>
        </w:rPr>
        <w:t>2</w:t>
      </w:r>
      <w:r w:rsidRPr="00E50884">
        <w:rPr>
          <w:b/>
          <w:i/>
          <w:sz w:val="24"/>
        </w:rPr>
        <w:t xml:space="preserve">. Enhancing </w:t>
      </w:r>
      <w:r>
        <w:rPr>
          <w:b/>
          <w:i/>
          <w:sz w:val="24"/>
        </w:rPr>
        <w:t xml:space="preserve">STI </w:t>
      </w:r>
      <w:r w:rsidRPr="00E50884">
        <w:rPr>
          <w:b/>
          <w:i/>
          <w:sz w:val="24"/>
        </w:rPr>
        <w:t>Linkage Evaluation Questions</w:t>
      </w:r>
    </w:p>
    <w:p w:rsidR="00855A98" w:rsidP="00855A98" w:rsidRDefault="00855A98" w14:paraId="1DE6C632" w14:textId="77777777">
      <w:pPr>
        <w:pStyle w:val="BodyText"/>
        <w:spacing w:after="0"/>
        <w:rPr>
          <w:sz w:val="24"/>
        </w:rPr>
      </w:pPr>
    </w:p>
    <w:tbl>
      <w:tblPr>
        <w:tblW w:w="135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72"/>
        <w:gridCol w:w="1502"/>
        <w:gridCol w:w="6464"/>
      </w:tblGrid>
      <w:tr w:rsidRPr="00590953" w:rsidR="00855A98" w:rsidTr="00B95525" w14:paraId="2B41BF9B" w14:textId="77777777">
        <w:trPr>
          <w:trHeight w:val="206"/>
          <w:tblHeader/>
        </w:trPr>
        <w:tc>
          <w:tcPr>
            <w:tcW w:w="5572" w:type="dxa"/>
            <w:shd w:val="clear" w:color="auto" w:fill="48A9C5"/>
            <w:vAlign w:val="center"/>
            <w:hideMark/>
          </w:tcPr>
          <w:p w:rsidRPr="00590953" w:rsidR="00855A98" w:rsidP="00B95525" w:rsidRDefault="00855A98" w14:paraId="394E3D16" w14:textId="77777777">
            <w:pPr>
              <w:pStyle w:val="TableColumnHeader"/>
            </w:pPr>
            <w:r w:rsidRPr="00590953">
              <w:t>Evaluation Questions</w:t>
            </w:r>
          </w:p>
        </w:tc>
        <w:tc>
          <w:tcPr>
            <w:tcW w:w="1502" w:type="dxa"/>
            <w:shd w:val="clear" w:color="auto" w:fill="48A9C5"/>
            <w:vAlign w:val="center"/>
            <w:hideMark/>
          </w:tcPr>
          <w:p w:rsidRPr="00590953" w:rsidR="00855A98" w:rsidP="00B95525" w:rsidRDefault="00855A98" w14:paraId="098A556E" w14:textId="77777777">
            <w:pPr>
              <w:pStyle w:val="TableColumnHeader"/>
            </w:pPr>
            <w:r w:rsidRPr="00590953">
              <w:t>Data type</w:t>
            </w:r>
          </w:p>
        </w:tc>
        <w:tc>
          <w:tcPr>
            <w:tcW w:w="6464" w:type="dxa"/>
            <w:shd w:val="clear" w:color="auto" w:fill="48A9C5"/>
            <w:vAlign w:val="center"/>
            <w:hideMark/>
          </w:tcPr>
          <w:p w:rsidRPr="00590953" w:rsidR="00855A98" w:rsidP="00B95525" w:rsidRDefault="00855A98" w14:paraId="1AFC07AC" w14:textId="77777777">
            <w:pPr>
              <w:pStyle w:val="TableColumnHeader"/>
            </w:pPr>
            <w:r w:rsidRPr="00590953">
              <w:t>Data sources and collection method</w:t>
            </w:r>
          </w:p>
          <w:p w:rsidRPr="00590953" w:rsidR="00855A98" w:rsidP="00B95525" w:rsidRDefault="00855A98" w14:paraId="51BF197D" w14:textId="77777777">
            <w:pPr>
              <w:pStyle w:val="TableColumnHeader"/>
            </w:pPr>
            <w:r w:rsidRPr="00590953">
              <w:t>(E=Evaluator; T=TAP; J=Jurisdiction)</w:t>
            </w:r>
          </w:p>
        </w:tc>
      </w:tr>
      <w:tr w:rsidRPr="00590953" w:rsidR="00855A98" w:rsidTr="00B95525" w14:paraId="51385BF6" w14:textId="77777777">
        <w:trPr>
          <w:trHeight w:val="341"/>
        </w:trPr>
        <w:tc>
          <w:tcPr>
            <w:tcW w:w="13538" w:type="dxa"/>
            <w:gridSpan w:val="3"/>
            <w:shd w:val="clear" w:color="auto" w:fill="D9D9D9" w:themeFill="background1" w:themeFillShade="D9"/>
            <w:vAlign w:val="center"/>
          </w:tcPr>
          <w:p w:rsidRPr="00590953" w:rsidR="00855A98" w:rsidP="00B95525" w:rsidRDefault="00855A98" w14:paraId="14606611" w14:textId="77777777">
            <w:pPr>
              <w:pStyle w:val="TableBullets"/>
              <w:numPr>
                <w:ilvl w:val="0"/>
                <w:numId w:val="0"/>
              </w:numPr>
              <w:ind w:left="259" w:hanging="259"/>
            </w:pPr>
            <w:r w:rsidRPr="0031613E">
              <w:rPr>
                <w:b/>
              </w:rPr>
              <w:t>Aim 1: Describe the TA provided by the TAP under this demonstration project</w:t>
            </w:r>
            <w:r>
              <w:rPr>
                <w:b/>
              </w:rPr>
              <w:t>,</w:t>
            </w:r>
            <w:r w:rsidRPr="0031613E">
              <w:rPr>
                <w:b/>
              </w:rPr>
              <w:t xml:space="preserve"> and assess the extent to which TA was provided as planned</w:t>
            </w:r>
            <w:r>
              <w:rPr>
                <w:b/>
              </w:rPr>
              <w:t xml:space="preserve"> and met jurisdictions' needs.</w:t>
            </w:r>
          </w:p>
        </w:tc>
      </w:tr>
      <w:tr w:rsidRPr="00590953" w:rsidR="00855A98" w:rsidTr="00B95525" w14:paraId="6956F5D6" w14:textId="77777777">
        <w:trPr>
          <w:trHeight w:val="130"/>
        </w:trPr>
        <w:tc>
          <w:tcPr>
            <w:tcW w:w="5572" w:type="dxa"/>
            <w:shd w:val="clear" w:color="auto" w:fill="auto"/>
          </w:tcPr>
          <w:p w:rsidRPr="00590953" w:rsidR="00855A98" w:rsidP="00B95525" w:rsidRDefault="00855A98" w14:paraId="7A2CD8A3" w14:textId="77777777">
            <w:pPr>
              <w:pStyle w:val="TableText"/>
            </w:pPr>
            <w:r w:rsidRPr="00590953">
              <w:t>1a. What changes did the TAP determine were required in each jurisdiction to create or improve data sharing and utilization across their STI and HIV surveillance programs?</w:t>
            </w:r>
          </w:p>
        </w:tc>
        <w:tc>
          <w:tcPr>
            <w:tcW w:w="1502" w:type="dxa"/>
            <w:shd w:val="clear" w:color="auto" w:fill="auto"/>
          </w:tcPr>
          <w:p w:rsidRPr="00590953" w:rsidR="00855A98" w:rsidP="00B95525" w:rsidRDefault="00855A98" w14:paraId="257FD11D" w14:textId="77777777">
            <w:pPr>
              <w:pStyle w:val="TableText"/>
              <w:rPr>
                <w:color w:val="000000"/>
              </w:rPr>
            </w:pPr>
            <w:r w:rsidRPr="00590953">
              <w:rPr>
                <w:color w:val="000000"/>
              </w:rPr>
              <w:t>Qualitative</w:t>
            </w:r>
          </w:p>
        </w:tc>
        <w:tc>
          <w:tcPr>
            <w:tcW w:w="6464" w:type="dxa"/>
            <w:shd w:val="clear" w:color="auto" w:fill="auto"/>
          </w:tcPr>
          <w:p w:rsidRPr="00590953" w:rsidR="00855A98" w:rsidP="00B95525" w:rsidRDefault="00855A98" w14:paraId="33860E97" w14:textId="77777777">
            <w:pPr>
              <w:pStyle w:val="TableBullets"/>
            </w:pPr>
            <w:r w:rsidRPr="00590953">
              <w:t>Semi-structured interviews with TAP (E)</w:t>
            </w:r>
          </w:p>
          <w:p w:rsidRPr="00590953" w:rsidR="00855A98" w:rsidP="00B95525" w:rsidRDefault="00855A98" w14:paraId="38EA9484" w14:textId="77777777">
            <w:pPr>
              <w:pStyle w:val="TableBullets"/>
            </w:pPr>
            <w:r w:rsidRPr="00590953">
              <w:t>Document review:</w:t>
            </w:r>
          </w:p>
          <w:p w:rsidRPr="00590953" w:rsidR="00855A98" w:rsidP="00B95525" w:rsidRDefault="00855A98" w14:paraId="1A5067BE" w14:textId="77777777">
            <w:pPr>
              <w:pStyle w:val="TableBullet2"/>
            </w:pPr>
            <w:r w:rsidRPr="00590953">
              <w:t>Jurisdiction TA plans (T)</w:t>
            </w:r>
          </w:p>
          <w:p w:rsidRPr="00590953" w:rsidR="00855A98" w:rsidP="00B95525" w:rsidRDefault="00855A98" w14:paraId="19A8AB0F" w14:textId="77777777">
            <w:pPr>
              <w:pStyle w:val="TableBullet2"/>
            </w:pPr>
            <w:r w:rsidRPr="00590953">
              <w:t>Needs assessment (T)</w:t>
            </w:r>
          </w:p>
          <w:p w:rsidRPr="00590953" w:rsidR="00855A98" w:rsidP="00B95525" w:rsidRDefault="00855A98" w14:paraId="76B7196A" w14:textId="77777777">
            <w:pPr>
              <w:pStyle w:val="TableBullet2"/>
            </w:pPr>
            <w:r w:rsidRPr="00590953">
              <w:t>TAP call notes (E)</w:t>
            </w:r>
          </w:p>
        </w:tc>
      </w:tr>
      <w:tr w:rsidRPr="00590953" w:rsidR="00855A98" w:rsidTr="00B95525" w14:paraId="643E2C40" w14:textId="77777777">
        <w:trPr>
          <w:trHeight w:val="130"/>
        </w:trPr>
        <w:tc>
          <w:tcPr>
            <w:tcW w:w="5572" w:type="dxa"/>
            <w:shd w:val="clear" w:color="auto" w:fill="auto"/>
          </w:tcPr>
          <w:p w:rsidRPr="00590953" w:rsidR="00855A98" w:rsidP="00B95525" w:rsidRDefault="00855A98" w14:paraId="4821F62C" w14:textId="77777777">
            <w:pPr>
              <w:pStyle w:val="TableText"/>
            </w:pPr>
            <w:r w:rsidRPr="00590953">
              <w:t>1b. What forms of programmatic TA did the TAP provide to each jurisdiction?</w:t>
            </w:r>
          </w:p>
        </w:tc>
        <w:tc>
          <w:tcPr>
            <w:tcW w:w="1502" w:type="dxa"/>
            <w:shd w:val="clear" w:color="auto" w:fill="auto"/>
          </w:tcPr>
          <w:p w:rsidRPr="00590953" w:rsidR="00855A98" w:rsidP="00B95525" w:rsidRDefault="00855A98" w14:paraId="59EDD13F" w14:textId="77777777">
            <w:pPr>
              <w:pStyle w:val="TableText"/>
              <w:rPr>
                <w:color w:val="000000"/>
              </w:rPr>
            </w:pPr>
            <w:r w:rsidRPr="00590953">
              <w:rPr>
                <w:color w:val="000000"/>
              </w:rPr>
              <w:t>Quantitative</w:t>
            </w:r>
          </w:p>
          <w:p w:rsidRPr="00590953" w:rsidR="00855A98" w:rsidP="00B95525" w:rsidRDefault="00855A98" w14:paraId="138140DF" w14:textId="77777777">
            <w:pPr>
              <w:pStyle w:val="TableText"/>
              <w:rPr>
                <w:color w:val="000000"/>
              </w:rPr>
            </w:pPr>
          </w:p>
          <w:p w:rsidRPr="00590953" w:rsidR="00855A98" w:rsidP="00B95525" w:rsidRDefault="00855A98" w14:paraId="60A25C76" w14:textId="77777777">
            <w:pPr>
              <w:pStyle w:val="TableText"/>
              <w:rPr>
                <w:color w:val="000000"/>
              </w:rPr>
            </w:pPr>
            <w:r w:rsidRPr="00590953">
              <w:rPr>
                <w:color w:val="000000"/>
              </w:rPr>
              <w:t>Qualitative</w:t>
            </w:r>
          </w:p>
        </w:tc>
        <w:tc>
          <w:tcPr>
            <w:tcW w:w="6464" w:type="dxa"/>
            <w:shd w:val="clear" w:color="auto" w:fill="auto"/>
          </w:tcPr>
          <w:p w:rsidRPr="00590953" w:rsidR="00855A98" w:rsidP="00B95525" w:rsidRDefault="00855A98" w14:paraId="4FC21693" w14:textId="77777777">
            <w:pPr>
              <w:pStyle w:val="TableBullet2"/>
              <w:numPr>
                <w:ilvl w:val="0"/>
                <w:numId w:val="26"/>
              </w:numPr>
              <w:ind w:left="252" w:hanging="252"/>
            </w:pPr>
            <w:r w:rsidRPr="00590953">
              <w:t>Semi-structured interviews with jurisdictions (E)</w:t>
            </w:r>
          </w:p>
          <w:p w:rsidRPr="00590953" w:rsidR="00855A98" w:rsidP="00B95525" w:rsidRDefault="00855A98" w14:paraId="63E8DAF8" w14:textId="77777777">
            <w:pPr>
              <w:pStyle w:val="TableBullet2"/>
              <w:numPr>
                <w:ilvl w:val="0"/>
                <w:numId w:val="26"/>
              </w:numPr>
              <w:ind w:left="252" w:hanging="252"/>
            </w:pPr>
            <w:r w:rsidRPr="00590953">
              <w:t>Document review:</w:t>
            </w:r>
          </w:p>
          <w:p w:rsidRPr="00590953" w:rsidR="00855A98" w:rsidP="00B95525" w:rsidRDefault="00855A98" w14:paraId="77254690" w14:textId="77777777">
            <w:pPr>
              <w:pStyle w:val="TableBullet2"/>
            </w:pPr>
            <w:r w:rsidRPr="00590953">
              <w:t>Jurisdiction TA plans (T)</w:t>
            </w:r>
          </w:p>
          <w:p w:rsidRPr="00590953" w:rsidR="00855A98" w:rsidP="00B95525" w:rsidRDefault="00855A98" w14:paraId="6C1106C9" w14:textId="77777777">
            <w:pPr>
              <w:pStyle w:val="TableBullet2"/>
            </w:pPr>
            <w:r w:rsidRPr="00590953">
              <w:t xml:space="preserve">TAP call notes (E) </w:t>
            </w:r>
          </w:p>
        </w:tc>
      </w:tr>
      <w:tr w:rsidRPr="00590953" w:rsidR="00855A98" w:rsidTr="00B95525" w14:paraId="0284A439" w14:textId="77777777">
        <w:trPr>
          <w:trHeight w:val="130"/>
        </w:trPr>
        <w:tc>
          <w:tcPr>
            <w:tcW w:w="5572" w:type="dxa"/>
            <w:shd w:val="clear" w:color="auto" w:fill="auto"/>
          </w:tcPr>
          <w:p w:rsidRPr="00590953" w:rsidR="00855A98" w:rsidP="00B95525" w:rsidRDefault="00855A98" w14:paraId="40348E5C" w14:textId="77777777">
            <w:pPr>
              <w:pStyle w:val="TableText"/>
            </w:pPr>
            <w:r w:rsidRPr="00590953">
              <w:t>1c. How did jurisdictions perceive the TA plan and provided TA in terms of meeting their needs and helping them reach their goals?</w:t>
            </w:r>
          </w:p>
        </w:tc>
        <w:tc>
          <w:tcPr>
            <w:tcW w:w="1502" w:type="dxa"/>
            <w:shd w:val="clear" w:color="auto" w:fill="auto"/>
          </w:tcPr>
          <w:p w:rsidRPr="00590953" w:rsidR="00855A98" w:rsidP="00B95525" w:rsidRDefault="00855A98" w14:paraId="3B46239B" w14:textId="77777777">
            <w:pPr>
              <w:pStyle w:val="TableText"/>
              <w:rPr>
                <w:color w:val="000000"/>
              </w:rPr>
            </w:pPr>
            <w:r w:rsidRPr="00590953">
              <w:rPr>
                <w:color w:val="000000"/>
              </w:rPr>
              <w:t>Qualitative</w:t>
            </w:r>
          </w:p>
        </w:tc>
        <w:tc>
          <w:tcPr>
            <w:tcW w:w="6464" w:type="dxa"/>
            <w:shd w:val="clear" w:color="auto" w:fill="auto"/>
          </w:tcPr>
          <w:p w:rsidRPr="00590953" w:rsidR="00855A98" w:rsidP="00B95525" w:rsidRDefault="00855A98" w14:paraId="0CD0D664" w14:textId="77777777">
            <w:pPr>
              <w:pStyle w:val="TableBullet2"/>
              <w:numPr>
                <w:ilvl w:val="0"/>
                <w:numId w:val="26"/>
              </w:numPr>
              <w:ind w:left="252" w:hanging="252"/>
            </w:pPr>
            <w:r w:rsidRPr="00590953">
              <w:t>Semi-structured interviews with jurisdictions (E)</w:t>
            </w:r>
          </w:p>
          <w:p w:rsidRPr="00590953" w:rsidR="00855A98" w:rsidP="00B95525" w:rsidRDefault="00855A98" w14:paraId="42BD6F14" w14:textId="77777777">
            <w:pPr>
              <w:pStyle w:val="TableBullet2"/>
              <w:numPr>
                <w:ilvl w:val="0"/>
                <w:numId w:val="26"/>
              </w:numPr>
              <w:ind w:left="252" w:hanging="252"/>
            </w:pPr>
            <w:r w:rsidRPr="00590953">
              <w:t>Document review:</w:t>
            </w:r>
          </w:p>
          <w:p w:rsidRPr="00590953" w:rsidR="00855A98" w:rsidP="00B95525" w:rsidRDefault="00855A98" w14:paraId="785B274E" w14:textId="77777777">
            <w:pPr>
              <w:pStyle w:val="TableBullet2"/>
            </w:pPr>
            <w:r w:rsidRPr="00590953">
              <w:t>Needs assessment (T)</w:t>
            </w:r>
          </w:p>
          <w:p w:rsidRPr="00590953" w:rsidR="00855A98" w:rsidP="00B95525" w:rsidRDefault="00855A98" w14:paraId="5BFFE1C2" w14:textId="77777777">
            <w:pPr>
              <w:pStyle w:val="TableBullet2"/>
            </w:pPr>
            <w:r w:rsidRPr="00590953">
              <w:t>Jurisdiction TA plans (T)</w:t>
            </w:r>
          </w:p>
        </w:tc>
      </w:tr>
      <w:tr w:rsidRPr="00590953" w:rsidR="00855A98" w:rsidTr="00B95525" w14:paraId="5EB929E8" w14:textId="77777777">
        <w:trPr>
          <w:trHeight w:val="395"/>
        </w:trPr>
        <w:tc>
          <w:tcPr>
            <w:tcW w:w="13538" w:type="dxa"/>
            <w:gridSpan w:val="3"/>
            <w:shd w:val="clear" w:color="auto" w:fill="D9D9D9" w:themeFill="background1" w:themeFillShade="D9"/>
            <w:vAlign w:val="center"/>
          </w:tcPr>
          <w:p w:rsidRPr="00590953" w:rsidR="00855A98" w:rsidP="00B95525" w:rsidRDefault="00855A98" w14:paraId="359CE2E5" w14:textId="77777777">
            <w:pPr>
              <w:pStyle w:val="TableBullets"/>
              <w:numPr>
                <w:ilvl w:val="0"/>
                <w:numId w:val="0"/>
              </w:numPr>
              <w:ind w:left="259" w:hanging="259"/>
            </w:pPr>
            <w:r>
              <w:rPr>
                <w:b/>
              </w:rPr>
              <w:t>A</w:t>
            </w:r>
            <w:r w:rsidRPr="0031613E">
              <w:rPr>
                <w:b/>
              </w:rPr>
              <w:t xml:space="preserve">im 2: Assess to what extent the demonstration project impacted the data linking </w:t>
            </w:r>
            <w:r w:rsidRPr="0031613E">
              <w:rPr>
                <w:b/>
                <w:i/>
                <w:u w:val="single"/>
              </w:rPr>
              <w:t>processes</w:t>
            </w:r>
            <w:r w:rsidRPr="0031613E">
              <w:rPr>
                <w:b/>
              </w:rPr>
              <w:t xml:space="preserve"> (organizational and technical) within participating jurisdictions</w:t>
            </w:r>
            <w:r>
              <w:rPr>
                <w:b/>
              </w:rPr>
              <w:t>.</w:t>
            </w:r>
          </w:p>
        </w:tc>
      </w:tr>
      <w:tr w:rsidRPr="00590953" w:rsidR="00855A98" w:rsidTr="00B95525" w14:paraId="4D6365B2" w14:textId="77777777">
        <w:trPr>
          <w:trHeight w:val="619"/>
        </w:trPr>
        <w:tc>
          <w:tcPr>
            <w:tcW w:w="5572" w:type="dxa"/>
            <w:shd w:val="clear" w:color="auto" w:fill="auto"/>
          </w:tcPr>
          <w:p w:rsidRPr="00590953" w:rsidR="00855A98" w:rsidP="00B95525" w:rsidRDefault="00855A98" w14:paraId="00899B67" w14:textId="1098CE16">
            <w:pPr>
              <w:pStyle w:val="TableText"/>
            </w:pPr>
            <w:r w:rsidRPr="00590953">
              <w:t xml:space="preserve">2a. Did surveillance data system </w:t>
            </w:r>
            <w:r w:rsidRPr="00590953">
              <w:rPr>
                <w:i/>
              </w:rPr>
              <w:t>availability</w:t>
            </w:r>
            <w:r w:rsidRPr="00590953">
              <w:t xml:space="preserve"> and/or the</w:t>
            </w:r>
            <w:r w:rsidRPr="00590953">
              <w:rPr>
                <w:i/>
              </w:rPr>
              <w:t xml:space="preserve"> reliability</w:t>
            </w:r>
            <w:r w:rsidRPr="00590953">
              <w:t xml:space="preserve"> and </w:t>
            </w:r>
            <w:r w:rsidRPr="00590953">
              <w:rPr>
                <w:i/>
              </w:rPr>
              <w:t>validity</w:t>
            </w:r>
            <w:r w:rsidRPr="00590953">
              <w:t xml:space="preserve"> of included data elements change in each jurisdiction after implementation?</w:t>
            </w:r>
            <w:r w:rsidR="00F53884">
              <w:t xml:space="preserve"> </w:t>
            </w:r>
            <w:r w:rsidRPr="00590953">
              <w:t xml:space="preserve"> If so, how? Were other or new relevant health data systems involved with the linking exercise?</w:t>
            </w:r>
          </w:p>
        </w:tc>
        <w:tc>
          <w:tcPr>
            <w:tcW w:w="1502" w:type="dxa"/>
            <w:shd w:val="clear" w:color="auto" w:fill="auto"/>
          </w:tcPr>
          <w:p w:rsidRPr="00590953" w:rsidR="00855A98" w:rsidP="00B95525" w:rsidRDefault="00855A98" w14:paraId="3A1B6408" w14:textId="77777777">
            <w:pPr>
              <w:pStyle w:val="TableText"/>
              <w:rPr>
                <w:color w:val="000000"/>
              </w:rPr>
            </w:pPr>
            <w:r w:rsidRPr="00590953">
              <w:rPr>
                <w:color w:val="000000"/>
              </w:rPr>
              <w:t>Qualitative</w:t>
            </w:r>
          </w:p>
          <w:p w:rsidRPr="00590953" w:rsidR="00855A98" w:rsidP="00B95525" w:rsidRDefault="00855A98" w14:paraId="47D967CA" w14:textId="77777777">
            <w:pPr>
              <w:pStyle w:val="TableText"/>
              <w:rPr>
                <w:color w:val="000000"/>
              </w:rPr>
            </w:pPr>
          </w:p>
          <w:p w:rsidRPr="00590953" w:rsidR="00855A98" w:rsidP="00B95525" w:rsidRDefault="00855A98" w14:paraId="7A6F905D" w14:textId="77777777">
            <w:pPr>
              <w:pStyle w:val="TableText"/>
              <w:rPr>
                <w:color w:val="000000"/>
              </w:rPr>
            </w:pPr>
          </w:p>
          <w:p w:rsidRPr="00590953" w:rsidR="00855A98" w:rsidP="00B95525" w:rsidRDefault="00855A98" w14:paraId="250233C7" w14:textId="77777777">
            <w:pPr>
              <w:pStyle w:val="TableText"/>
              <w:rPr>
                <w:color w:val="000000"/>
              </w:rPr>
            </w:pPr>
          </w:p>
          <w:p w:rsidRPr="00590953" w:rsidR="00855A98" w:rsidP="00B95525" w:rsidRDefault="00855A98" w14:paraId="608913A9" w14:textId="77777777">
            <w:pPr>
              <w:pStyle w:val="TableText"/>
              <w:rPr>
                <w:color w:val="000000"/>
              </w:rPr>
            </w:pPr>
            <w:r w:rsidRPr="00590953">
              <w:rPr>
                <w:color w:val="000000"/>
              </w:rPr>
              <w:t>Quantitative</w:t>
            </w:r>
          </w:p>
        </w:tc>
        <w:tc>
          <w:tcPr>
            <w:tcW w:w="6464" w:type="dxa"/>
            <w:shd w:val="clear" w:color="auto" w:fill="auto"/>
          </w:tcPr>
          <w:p w:rsidRPr="00590953" w:rsidR="00855A98" w:rsidP="00B95525" w:rsidRDefault="00855A98" w14:paraId="05C42758" w14:textId="77777777">
            <w:pPr>
              <w:pStyle w:val="TableBullets"/>
            </w:pPr>
            <w:r w:rsidRPr="00590953">
              <w:t>Semi-structured interviews with jurisdictions (E)</w:t>
            </w:r>
          </w:p>
          <w:p w:rsidRPr="00590953" w:rsidR="00855A98" w:rsidP="00B95525" w:rsidRDefault="00855A98" w14:paraId="5126127D" w14:textId="77777777">
            <w:pPr>
              <w:pStyle w:val="TableBullets"/>
            </w:pPr>
            <w:r w:rsidRPr="00590953">
              <w:t>Document review</w:t>
            </w:r>
          </w:p>
          <w:p w:rsidRPr="00590953" w:rsidR="00855A98" w:rsidP="00B95525" w:rsidRDefault="00855A98" w14:paraId="3CA0361A" w14:textId="77777777">
            <w:pPr>
              <w:pStyle w:val="TableBullet2"/>
            </w:pPr>
            <w:r w:rsidRPr="00590953">
              <w:t>Jurisdiction data documentation, e.g. codebooks (J)</w:t>
            </w:r>
          </w:p>
          <w:p w:rsidRPr="00590953" w:rsidR="00855A98" w:rsidP="00B95525" w:rsidRDefault="00855A98" w14:paraId="6948647A" w14:textId="77777777">
            <w:pPr>
              <w:pStyle w:val="TableBullet2"/>
              <w:numPr>
                <w:ilvl w:val="0"/>
                <w:numId w:val="0"/>
              </w:numPr>
            </w:pPr>
          </w:p>
          <w:p w:rsidRPr="00590953" w:rsidR="00855A98" w:rsidP="00B95525" w:rsidRDefault="00855A98" w14:paraId="19437EC7" w14:textId="77777777">
            <w:pPr>
              <w:pStyle w:val="TableBullets"/>
            </w:pPr>
            <w:r w:rsidRPr="00590953">
              <w:t>Aggregate statistics (</w:t>
            </w:r>
            <w:r>
              <w:t>J</w:t>
            </w:r>
            <w:r w:rsidRPr="00590953">
              <w:t>)</w:t>
            </w:r>
          </w:p>
        </w:tc>
      </w:tr>
      <w:tr w:rsidRPr="00590953" w:rsidR="00855A98" w:rsidTr="00B95525" w14:paraId="21856366" w14:textId="77777777">
        <w:trPr>
          <w:trHeight w:val="619"/>
        </w:trPr>
        <w:tc>
          <w:tcPr>
            <w:tcW w:w="5572" w:type="dxa"/>
            <w:shd w:val="clear" w:color="auto" w:fill="auto"/>
          </w:tcPr>
          <w:p w:rsidRPr="00590953" w:rsidR="00855A98" w:rsidP="00B95525" w:rsidRDefault="00855A98" w14:paraId="7941297D" w14:textId="77777777">
            <w:pPr>
              <w:pStyle w:val="TableText"/>
            </w:pPr>
            <w:r w:rsidRPr="00590953">
              <w:t>2b. Did jurisdiction technical and technological capacity, linking frequency, sharing, and/or utilization of linked HIV and STI surveillance data improve after implementation? If so, how?</w:t>
            </w:r>
          </w:p>
        </w:tc>
        <w:tc>
          <w:tcPr>
            <w:tcW w:w="1502" w:type="dxa"/>
            <w:shd w:val="clear" w:color="auto" w:fill="auto"/>
          </w:tcPr>
          <w:p w:rsidRPr="00590953" w:rsidR="00855A98" w:rsidP="00B95525" w:rsidRDefault="00855A98" w14:paraId="53E199B8" w14:textId="77777777">
            <w:pPr>
              <w:pStyle w:val="TableText"/>
              <w:rPr>
                <w:color w:val="000000"/>
              </w:rPr>
            </w:pPr>
            <w:r w:rsidRPr="00590953">
              <w:rPr>
                <w:color w:val="000000"/>
              </w:rPr>
              <w:t>Qualitative</w:t>
            </w:r>
          </w:p>
          <w:p w:rsidRPr="00590953" w:rsidR="00855A98" w:rsidP="00B95525" w:rsidRDefault="00855A98" w14:paraId="10D304AF" w14:textId="77777777">
            <w:pPr>
              <w:pStyle w:val="TableText"/>
              <w:rPr>
                <w:color w:val="000000"/>
              </w:rPr>
            </w:pPr>
          </w:p>
          <w:p w:rsidRPr="00590953" w:rsidR="00855A98" w:rsidP="00B95525" w:rsidRDefault="00855A98" w14:paraId="0A676314" w14:textId="77777777">
            <w:pPr>
              <w:pStyle w:val="TableText"/>
              <w:rPr>
                <w:color w:val="000000"/>
              </w:rPr>
            </w:pPr>
          </w:p>
          <w:p w:rsidRPr="00590953" w:rsidR="00855A98" w:rsidP="00B95525" w:rsidRDefault="00855A98" w14:paraId="3B509DE7" w14:textId="77777777">
            <w:pPr>
              <w:pStyle w:val="TableText"/>
              <w:rPr>
                <w:color w:val="000000"/>
              </w:rPr>
            </w:pPr>
            <w:r w:rsidRPr="00590953">
              <w:rPr>
                <w:color w:val="000000"/>
              </w:rPr>
              <w:t>Quantitative</w:t>
            </w:r>
          </w:p>
        </w:tc>
        <w:tc>
          <w:tcPr>
            <w:tcW w:w="6464" w:type="dxa"/>
            <w:shd w:val="clear" w:color="auto" w:fill="auto"/>
          </w:tcPr>
          <w:p w:rsidRPr="00590953" w:rsidR="00855A98" w:rsidP="00B95525" w:rsidRDefault="00855A98" w14:paraId="1EC68422" w14:textId="77777777">
            <w:pPr>
              <w:pStyle w:val="TableBullets"/>
            </w:pPr>
            <w:r w:rsidRPr="00590953">
              <w:t>Semi-structured interview with jurisdictions (E)</w:t>
            </w:r>
          </w:p>
          <w:p w:rsidRPr="00590953" w:rsidR="00855A98" w:rsidP="00B95525" w:rsidRDefault="00855A98" w14:paraId="40C7BE54" w14:textId="77777777">
            <w:pPr>
              <w:pStyle w:val="TableText"/>
              <w:rPr>
                <w:color w:val="000000"/>
              </w:rPr>
            </w:pPr>
          </w:p>
          <w:p w:rsidRPr="00590953" w:rsidR="00855A98" w:rsidP="00B95525" w:rsidRDefault="00855A98" w14:paraId="49DD7C46" w14:textId="77777777">
            <w:pPr>
              <w:pStyle w:val="TableText"/>
              <w:rPr>
                <w:color w:val="000000"/>
              </w:rPr>
            </w:pPr>
          </w:p>
          <w:p w:rsidRPr="00590953" w:rsidR="00855A98" w:rsidP="00B95525" w:rsidRDefault="00855A98" w14:paraId="50F56883" w14:textId="77777777">
            <w:pPr>
              <w:pStyle w:val="TableBullets"/>
            </w:pPr>
            <w:r w:rsidRPr="00590953">
              <w:t>Data end-user survey (E)</w:t>
            </w:r>
          </w:p>
          <w:p w:rsidRPr="00590953" w:rsidR="00855A98" w:rsidP="00B95525" w:rsidRDefault="00855A98" w14:paraId="71B756AF" w14:textId="77777777">
            <w:pPr>
              <w:pStyle w:val="TableBullets"/>
            </w:pPr>
            <w:r w:rsidRPr="00590953">
              <w:t>Aggregate statistics</w:t>
            </w:r>
            <w:r>
              <w:t xml:space="preserve"> (J)</w:t>
            </w:r>
          </w:p>
        </w:tc>
      </w:tr>
      <w:tr w:rsidRPr="00590953" w:rsidR="00855A98" w:rsidTr="00B95525" w14:paraId="46C66EF3" w14:textId="77777777">
        <w:trPr>
          <w:trHeight w:val="413"/>
        </w:trPr>
        <w:tc>
          <w:tcPr>
            <w:tcW w:w="5572" w:type="dxa"/>
            <w:shd w:val="clear" w:color="auto" w:fill="auto"/>
          </w:tcPr>
          <w:p w:rsidRPr="00590953" w:rsidR="00855A98" w:rsidP="00B95525" w:rsidRDefault="00855A98" w14:paraId="15430238" w14:textId="533BEBEE">
            <w:pPr>
              <w:pStyle w:val="TableText"/>
            </w:pPr>
            <w:r w:rsidRPr="00590953">
              <w:t xml:space="preserve">2c. Were new or expanded DSAs/MOUs established during implementation? </w:t>
            </w:r>
            <w:r w:rsidR="00F53884">
              <w:t xml:space="preserve"> </w:t>
            </w:r>
            <w:r w:rsidRPr="00590953">
              <w:t>If so, how and why?</w:t>
            </w:r>
          </w:p>
        </w:tc>
        <w:tc>
          <w:tcPr>
            <w:tcW w:w="1502" w:type="dxa"/>
            <w:shd w:val="clear" w:color="auto" w:fill="auto"/>
          </w:tcPr>
          <w:p w:rsidRPr="00590953" w:rsidR="00855A98" w:rsidP="00B95525" w:rsidRDefault="00855A98" w14:paraId="46B8E0BB" w14:textId="77777777">
            <w:pPr>
              <w:pStyle w:val="TableText"/>
              <w:rPr>
                <w:color w:val="000000"/>
              </w:rPr>
            </w:pPr>
            <w:r w:rsidRPr="00590953">
              <w:rPr>
                <w:color w:val="000000"/>
              </w:rPr>
              <w:t xml:space="preserve">Quantitative – number of new </w:t>
            </w:r>
            <w:r w:rsidRPr="00590953">
              <w:rPr>
                <w:color w:val="000000"/>
              </w:rPr>
              <w:lastRenderedPageBreak/>
              <w:t>MOUs established</w:t>
            </w:r>
          </w:p>
          <w:p w:rsidRPr="00590953" w:rsidR="00855A98" w:rsidP="00B95525" w:rsidRDefault="00855A98" w14:paraId="3D923D3A" w14:textId="77777777">
            <w:pPr>
              <w:pStyle w:val="TableText"/>
              <w:rPr>
                <w:color w:val="000000"/>
              </w:rPr>
            </w:pPr>
            <w:r w:rsidRPr="00590953">
              <w:rPr>
                <w:color w:val="000000"/>
              </w:rPr>
              <w:t xml:space="preserve">Qualitative – extent of expanded MOUs </w:t>
            </w:r>
          </w:p>
        </w:tc>
        <w:tc>
          <w:tcPr>
            <w:tcW w:w="6464" w:type="dxa"/>
            <w:shd w:val="clear" w:color="auto" w:fill="auto"/>
          </w:tcPr>
          <w:p w:rsidRPr="00590953" w:rsidR="00855A98" w:rsidP="00B95525" w:rsidRDefault="00855A98" w14:paraId="2E43A500" w14:textId="77777777">
            <w:pPr>
              <w:pStyle w:val="TableBullets"/>
            </w:pPr>
            <w:r w:rsidRPr="00590953">
              <w:lastRenderedPageBreak/>
              <w:t xml:space="preserve">Semi-structured interviews with jurisdictions (E) </w:t>
            </w:r>
          </w:p>
          <w:p w:rsidRPr="00590953" w:rsidR="00855A98" w:rsidP="00B95525" w:rsidRDefault="00855A98" w14:paraId="741DBD0D" w14:textId="77777777">
            <w:pPr>
              <w:pStyle w:val="TableBullets"/>
            </w:pPr>
            <w:r w:rsidRPr="00590953">
              <w:t>Document review:</w:t>
            </w:r>
          </w:p>
          <w:p w:rsidRPr="00590953" w:rsidR="00855A98" w:rsidP="00B95525" w:rsidRDefault="00855A98" w14:paraId="33EA8393" w14:textId="77777777">
            <w:pPr>
              <w:pStyle w:val="TableBullet2"/>
            </w:pPr>
            <w:r w:rsidRPr="00590953">
              <w:t>Jurisdiction MOUs (J)</w:t>
            </w:r>
          </w:p>
        </w:tc>
      </w:tr>
      <w:tr w:rsidRPr="00590953" w:rsidR="00855A98" w:rsidTr="00B95525" w14:paraId="7095711C" w14:textId="77777777">
        <w:trPr>
          <w:trHeight w:val="463"/>
        </w:trPr>
        <w:tc>
          <w:tcPr>
            <w:tcW w:w="13538" w:type="dxa"/>
            <w:gridSpan w:val="3"/>
            <w:shd w:val="clear" w:color="auto" w:fill="D9D9D9" w:themeFill="background1" w:themeFillShade="D9"/>
            <w:vAlign w:val="center"/>
          </w:tcPr>
          <w:p w:rsidRPr="00590953" w:rsidR="00855A98" w:rsidP="00B95525" w:rsidRDefault="00855A98" w14:paraId="459B443B" w14:textId="77777777">
            <w:pPr>
              <w:pStyle w:val="TableBullets"/>
              <w:numPr>
                <w:ilvl w:val="0"/>
                <w:numId w:val="0"/>
              </w:numPr>
              <w:ind w:left="259" w:hanging="259"/>
              <w:rPr>
                <w:b/>
              </w:rPr>
            </w:pPr>
            <w:r w:rsidRPr="00590953">
              <w:rPr>
                <w:b/>
              </w:rPr>
              <w:t>Aim 3: Assess to what extent the demonstration project had the intended impact on client, data end-user, and policy outcomes.</w:t>
            </w:r>
          </w:p>
        </w:tc>
      </w:tr>
      <w:tr w:rsidRPr="00590953" w:rsidR="00855A98" w:rsidTr="00B95525" w14:paraId="19101326" w14:textId="77777777">
        <w:trPr>
          <w:trHeight w:val="463"/>
        </w:trPr>
        <w:tc>
          <w:tcPr>
            <w:tcW w:w="5572" w:type="dxa"/>
            <w:shd w:val="clear" w:color="auto" w:fill="auto"/>
          </w:tcPr>
          <w:p w:rsidRPr="00590953" w:rsidR="00855A98" w:rsidP="00B95525" w:rsidRDefault="00855A98" w14:paraId="30212BAB" w14:textId="77777777">
            <w:pPr>
              <w:pStyle w:val="TableText"/>
            </w:pPr>
            <w:r w:rsidRPr="00590953">
              <w:rPr>
                <w:color w:val="000000"/>
              </w:rPr>
              <w:t xml:space="preserve">3a. Did data end-users (providers, clinical managers, </w:t>
            </w:r>
            <w:r w:rsidRPr="00590953">
              <w:t>disease intervention specialists, linkage to care coordinators)</w:t>
            </w:r>
            <w:r w:rsidRPr="00590953">
              <w:rPr>
                <w:color w:val="000000"/>
              </w:rPr>
              <w:t xml:space="preserve"> in participating jurisdictions increase use of linked data for STI screening and treatment and other targeted services over the implementation period?</w:t>
            </w:r>
          </w:p>
        </w:tc>
        <w:tc>
          <w:tcPr>
            <w:tcW w:w="1502" w:type="dxa"/>
            <w:shd w:val="clear" w:color="auto" w:fill="auto"/>
          </w:tcPr>
          <w:p w:rsidRPr="00590953" w:rsidR="00855A98" w:rsidP="00B95525" w:rsidRDefault="00855A98" w14:paraId="03951990" w14:textId="77777777">
            <w:pPr>
              <w:pStyle w:val="TableText"/>
              <w:rPr>
                <w:color w:val="000000"/>
              </w:rPr>
            </w:pPr>
            <w:r w:rsidRPr="00590953">
              <w:rPr>
                <w:color w:val="000000"/>
              </w:rPr>
              <w:t>Quantitative</w:t>
            </w:r>
          </w:p>
        </w:tc>
        <w:tc>
          <w:tcPr>
            <w:tcW w:w="6464" w:type="dxa"/>
            <w:shd w:val="clear" w:color="auto" w:fill="auto"/>
          </w:tcPr>
          <w:p w:rsidRPr="00590953" w:rsidR="00855A98" w:rsidP="00B95525" w:rsidRDefault="00855A98" w14:paraId="0A026602" w14:textId="77777777">
            <w:pPr>
              <w:pStyle w:val="TableBullets"/>
            </w:pPr>
            <w:r w:rsidRPr="00590953">
              <w:t>Data end-user survey (E)</w:t>
            </w:r>
          </w:p>
        </w:tc>
      </w:tr>
      <w:tr w:rsidRPr="00590953" w:rsidR="00855A98" w:rsidTr="00B95525" w14:paraId="44994A15" w14:textId="77777777">
        <w:trPr>
          <w:trHeight w:val="463"/>
        </w:trPr>
        <w:tc>
          <w:tcPr>
            <w:tcW w:w="5572" w:type="dxa"/>
            <w:shd w:val="clear" w:color="auto" w:fill="auto"/>
          </w:tcPr>
          <w:p w:rsidRPr="00590953" w:rsidR="00855A98" w:rsidP="00B95525" w:rsidRDefault="00855A98" w14:paraId="18BB6A08" w14:textId="77777777">
            <w:pPr>
              <w:pStyle w:val="TableText"/>
              <w:rPr>
                <w:color w:val="000000"/>
              </w:rPr>
            </w:pPr>
            <w:r w:rsidRPr="00590953">
              <w:t>3b. How was linking of STI and HIV surveillance data associated with outcomes for the HIV continuum of care, including linkage, retention, re-engagement in HIV care, and viral suppression?</w:t>
            </w:r>
          </w:p>
        </w:tc>
        <w:tc>
          <w:tcPr>
            <w:tcW w:w="1502" w:type="dxa"/>
            <w:shd w:val="clear" w:color="auto" w:fill="auto"/>
          </w:tcPr>
          <w:p w:rsidRPr="00590953" w:rsidR="00855A98" w:rsidP="00B95525" w:rsidRDefault="00855A98" w14:paraId="68DF647C" w14:textId="77777777">
            <w:pPr>
              <w:pStyle w:val="TableText"/>
              <w:rPr>
                <w:color w:val="000000"/>
              </w:rPr>
            </w:pPr>
            <w:r w:rsidRPr="00590953">
              <w:rPr>
                <w:color w:val="000000"/>
              </w:rPr>
              <w:t>Quantitative</w:t>
            </w:r>
          </w:p>
        </w:tc>
        <w:tc>
          <w:tcPr>
            <w:tcW w:w="6464" w:type="dxa"/>
            <w:shd w:val="clear" w:color="auto" w:fill="auto"/>
          </w:tcPr>
          <w:p w:rsidRPr="00590953" w:rsidR="00855A98" w:rsidP="00B95525" w:rsidRDefault="00855A98" w14:paraId="5D1ECFFF" w14:textId="77777777">
            <w:pPr>
              <w:pStyle w:val="TableBullets"/>
            </w:pPr>
            <w:r w:rsidRPr="00590953">
              <w:t>Aggregate statistics of client health outcomes (</w:t>
            </w:r>
            <w:r>
              <w:t>J</w:t>
            </w:r>
            <w:r w:rsidRPr="00590953">
              <w:t>)</w:t>
            </w:r>
          </w:p>
          <w:p w:rsidRPr="00590953" w:rsidR="00855A98" w:rsidP="00B95525" w:rsidRDefault="00855A98" w14:paraId="021E5982" w14:textId="77777777">
            <w:pPr>
              <w:pStyle w:val="TableBullet2"/>
            </w:pPr>
            <w:r w:rsidRPr="00590953">
              <w:t>Linkage to care</w:t>
            </w:r>
          </w:p>
          <w:p w:rsidRPr="00590953" w:rsidR="00855A98" w:rsidP="00B95525" w:rsidRDefault="00855A98" w14:paraId="615C8AF8" w14:textId="77777777">
            <w:pPr>
              <w:pStyle w:val="TableBullet2"/>
            </w:pPr>
            <w:r w:rsidRPr="00590953">
              <w:t>Engagement in care</w:t>
            </w:r>
          </w:p>
          <w:p w:rsidRPr="00590953" w:rsidR="00855A98" w:rsidP="00B95525" w:rsidRDefault="00855A98" w14:paraId="364C3585" w14:textId="77777777">
            <w:pPr>
              <w:pStyle w:val="TableBullet2"/>
            </w:pPr>
            <w:r w:rsidRPr="00590953">
              <w:t>Re-engagement in care</w:t>
            </w:r>
          </w:p>
          <w:p w:rsidRPr="00590953" w:rsidR="00855A98" w:rsidP="00B95525" w:rsidRDefault="00855A98" w14:paraId="24AE0F9A" w14:textId="77777777">
            <w:pPr>
              <w:pStyle w:val="TableBullet2"/>
            </w:pPr>
            <w:r w:rsidRPr="00590953">
              <w:t>Viral suppression</w:t>
            </w:r>
          </w:p>
        </w:tc>
      </w:tr>
      <w:tr w:rsidRPr="00590953" w:rsidR="00855A98" w:rsidTr="00B95525" w14:paraId="54BE48FD" w14:textId="77777777">
        <w:trPr>
          <w:trHeight w:val="463"/>
        </w:trPr>
        <w:tc>
          <w:tcPr>
            <w:tcW w:w="5572" w:type="dxa"/>
            <w:shd w:val="clear" w:color="auto" w:fill="auto"/>
          </w:tcPr>
          <w:p w:rsidRPr="00590953" w:rsidR="00855A98" w:rsidP="00B95525" w:rsidRDefault="00855A98" w14:paraId="47BBD7E1" w14:textId="206A7432">
            <w:pPr>
              <w:pStyle w:val="TableText"/>
              <w:rPr>
                <w:color w:val="000000"/>
              </w:rPr>
            </w:pPr>
            <w:r w:rsidRPr="00590953">
              <w:t>3c. How did health policy sta</w:t>
            </w:r>
            <w:r w:rsidR="00F53884">
              <w:t xml:space="preserve">keholders use the linked data?  </w:t>
            </w:r>
            <w:r w:rsidRPr="00590953">
              <w:t>Were there specific policies changed or health events uncovered (e.g. clusters or pandemics) due to the information provided by the linked data?</w:t>
            </w:r>
          </w:p>
        </w:tc>
        <w:tc>
          <w:tcPr>
            <w:tcW w:w="1502" w:type="dxa"/>
            <w:shd w:val="clear" w:color="auto" w:fill="auto"/>
          </w:tcPr>
          <w:p w:rsidRPr="00590953" w:rsidR="00855A98" w:rsidP="00B95525" w:rsidRDefault="00855A98" w14:paraId="0C559AD3" w14:textId="77777777">
            <w:pPr>
              <w:pStyle w:val="TableText"/>
              <w:rPr>
                <w:color w:val="000000"/>
              </w:rPr>
            </w:pPr>
            <w:r w:rsidRPr="00590953">
              <w:rPr>
                <w:color w:val="000000"/>
              </w:rPr>
              <w:t>Qualitative</w:t>
            </w:r>
          </w:p>
        </w:tc>
        <w:tc>
          <w:tcPr>
            <w:tcW w:w="6464" w:type="dxa"/>
            <w:shd w:val="clear" w:color="auto" w:fill="auto"/>
          </w:tcPr>
          <w:p w:rsidRPr="00590953" w:rsidR="00855A98" w:rsidP="00B95525" w:rsidRDefault="00855A98" w14:paraId="4B213A16" w14:textId="77777777">
            <w:pPr>
              <w:pStyle w:val="TableBullets"/>
            </w:pPr>
            <w:r w:rsidRPr="00590953">
              <w:t>Semi-structured interviews with policy stakeholders (E)</w:t>
            </w:r>
          </w:p>
        </w:tc>
      </w:tr>
      <w:tr w:rsidRPr="00590953" w:rsidR="00855A98" w:rsidTr="00B95525" w14:paraId="444E5D13" w14:textId="77777777">
        <w:trPr>
          <w:trHeight w:val="422"/>
        </w:trPr>
        <w:tc>
          <w:tcPr>
            <w:tcW w:w="13538" w:type="dxa"/>
            <w:gridSpan w:val="3"/>
            <w:shd w:val="clear" w:color="auto" w:fill="D9D9D9" w:themeFill="background1" w:themeFillShade="D9"/>
            <w:vAlign w:val="center"/>
          </w:tcPr>
          <w:p w:rsidRPr="00590953" w:rsidR="00855A98" w:rsidP="00B95525" w:rsidRDefault="00855A98" w14:paraId="2302FA70" w14:textId="77777777">
            <w:pPr>
              <w:pStyle w:val="TableBullets"/>
              <w:numPr>
                <w:ilvl w:val="0"/>
                <w:numId w:val="0"/>
              </w:numPr>
              <w:ind w:left="259" w:hanging="259"/>
            </w:pPr>
            <w:r w:rsidRPr="0031613E">
              <w:rPr>
                <w:b/>
              </w:rPr>
              <w:t>Aim 4: Conduct a cost benefit analysis among participating jurisdictions of linking HIV and STI surveillance data and using those linked data.</w:t>
            </w:r>
          </w:p>
        </w:tc>
      </w:tr>
      <w:tr w:rsidRPr="00590953" w:rsidR="00855A98" w:rsidTr="00B95525" w14:paraId="56FC6F6A" w14:textId="77777777">
        <w:trPr>
          <w:trHeight w:val="826"/>
        </w:trPr>
        <w:tc>
          <w:tcPr>
            <w:tcW w:w="5572" w:type="dxa"/>
            <w:shd w:val="clear" w:color="auto" w:fill="auto"/>
          </w:tcPr>
          <w:p w:rsidRPr="00590953" w:rsidR="00855A98" w:rsidP="00B95525" w:rsidRDefault="00855A98" w14:paraId="0D557932" w14:textId="77777777">
            <w:pPr>
              <w:pStyle w:val="TableText"/>
            </w:pPr>
            <w:r w:rsidRPr="00590953">
              <w:t xml:space="preserve">4a. Can the </w:t>
            </w:r>
            <w:r w:rsidRPr="00590953">
              <w:rPr>
                <w:i/>
              </w:rPr>
              <w:t>costs</w:t>
            </w:r>
            <w:r w:rsidRPr="00590953">
              <w:t xml:space="preserve"> of the linking, including the creation and maintenance of sharing agreements, data warehouse creation and maintenance, data ingestion and standardization, linking, making the data available, and training to use the data be quantified?</w:t>
            </w:r>
          </w:p>
        </w:tc>
        <w:tc>
          <w:tcPr>
            <w:tcW w:w="1502" w:type="dxa"/>
            <w:shd w:val="clear" w:color="auto" w:fill="auto"/>
          </w:tcPr>
          <w:p w:rsidRPr="00590953" w:rsidR="00855A98" w:rsidP="00B95525" w:rsidRDefault="00855A98" w14:paraId="23173E18" w14:textId="77777777">
            <w:pPr>
              <w:pStyle w:val="TableText"/>
              <w:rPr>
                <w:color w:val="000000"/>
              </w:rPr>
            </w:pPr>
            <w:r w:rsidRPr="00590953">
              <w:rPr>
                <w:color w:val="000000"/>
              </w:rPr>
              <w:t>Quantitative</w:t>
            </w:r>
          </w:p>
        </w:tc>
        <w:tc>
          <w:tcPr>
            <w:tcW w:w="6464" w:type="dxa"/>
            <w:shd w:val="clear" w:color="auto" w:fill="auto"/>
          </w:tcPr>
          <w:p w:rsidRPr="00590953" w:rsidR="00855A98" w:rsidP="00B95525" w:rsidRDefault="00855A98" w14:paraId="4DB5EAC5" w14:textId="77777777">
            <w:pPr>
              <w:pStyle w:val="TableBullets"/>
            </w:pPr>
            <w:r w:rsidRPr="00590953">
              <w:t>Costs for linking activities – quarterly cost reports from jurisdictions/TAP</w:t>
            </w:r>
            <w:r>
              <w:t xml:space="preserve"> (J/T)</w:t>
            </w:r>
          </w:p>
        </w:tc>
      </w:tr>
      <w:tr w:rsidRPr="00590953" w:rsidR="00855A98" w:rsidTr="00B95525" w14:paraId="280DFE9C" w14:textId="77777777">
        <w:trPr>
          <w:trHeight w:val="826"/>
        </w:trPr>
        <w:tc>
          <w:tcPr>
            <w:tcW w:w="5572" w:type="dxa"/>
            <w:shd w:val="clear" w:color="auto" w:fill="auto"/>
          </w:tcPr>
          <w:p w:rsidRPr="00590953" w:rsidR="00855A98" w:rsidP="00B95525" w:rsidRDefault="00855A98" w14:paraId="2D4B2C45" w14:textId="77777777">
            <w:pPr>
              <w:pStyle w:val="TableText"/>
            </w:pPr>
            <w:r w:rsidRPr="00590953">
              <w:t xml:space="preserve">4b. Can the </w:t>
            </w:r>
            <w:r w:rsidRPr="00590953">
              <w:rPr>
                <w:i/>
              </w:rPr>
              <w:t>benefits</w:t>
            </w:r>
            <w:r w:rsidRPr="00590953">
              <w:t xml:space="preserve"> from jurisdictional health policy improvements or improvements to clinical delivery be quantified, in the form of improved policy solutions and improved client health (e.g. viral suppression, retention to care, STI management and cure)?</w:t>
            </w:r>
          </w:p>
        </w:tc>
        <w:tc>
          <w:tcPr>
            <w:tcW w:w="1502" w:type="dxa"/>
            <w:shd w:val="clear" w:color="auto" w:fill="auto"/>
          </w:tcPr>
          <w:p w:rsidRPr="00590953" w:rsidR="00855A98" w:rsidP="00B95525" w:rsidRDefault="00855A98" w14:paraId="37EE2916" w14:textId="77777777">
            <w:pPr>
              <w:pStyle w:val="TableText"/>
              <w:rPr>
                <w:color w:val="000000"/>
              </w:rPr>
            </w:pPr>
            <w:r w:rsidRPr="00590953">
              <w:rPr>
                <w:color w:val="000000"/>
              </w:rPr>
              <w:t>Quantitative</w:t>
            </w:r>
          </w:p>
        </w:tc>
        <w:tc>
          <w:tcPr>
            <w:tcW w:w="6464" w:type="dxa"/>
            <w:shd w:val="clear" w:color="auto" w:fill="auto"/>
          </w:tcPr>
          <w:p w:rsidRPr="00590953" w:rsidR="00855A98" w:rsidP="00B95525" w:rsidRDefault="00855A98" w14:paraId="46AAF88C" w14:textId="77777777">
            <w:pPr>
              <w:pStyle w:val="TableBullets"/>
            </w:pPr>
            <w:r w:rsidRPr="00590953">
              <w:t>Aggregate statistics of client health outcomes and benefits gleaned from semi-structured interviews with jurisdictions and policy stakeholders</w:t>
            </w:r>
            <w:r>
              <w:t xml:space="preserve"> (E)</w:t>
            </w:r>
          </w:p>
        </w:tc>
      </w:tr>
    </w:tbl>
    <w:p w:rsidR="00855A98" w:rsidP="00855A98" w:rsidRDefault="00855A98" w14:paraId="3BED61CA" w14:textId="77777777">
      <w:pPr>
        <w:pStyle w:val="BodyText"/>
        <w:spacing w:after="0"/>
        <w:rPr>
          <w:sz w:val="24"/>
        </w:rPr>
      </w:pPr>
    </w:p>
    <w:p w:rsidR="00855A98" w:rsidP="00A2461D" w:rsidRDefault="00855A98" w14:paraId="1CCD684A" w14:textId="77777777">
      <w:pPr>
        <w:spacing w:before="240"/>
        <w:ind w:left="360"/>
        <w:rPr>
          <w:b/>
          <w:sz w:val="24"/>
          <w:u w:val="single"/>
        </w:rPr>
        <w:sectPr w:rsidR="00855A98" w:rsidSect="00855A98">
          <w:endnotePr>
            <w:numFmt w:val="decimal"/>
          </w:endnotePr>
          <w:pgSz w:w="15840" w:h="12240" w:orient="landscape" w:code="1"/>
          <w:pgMar w:top="1440" w:right="1440" w:bottom="1440" w:left="1440" w:header="1440" w:footer="1440" w:gutter="0"/>
          <w:cols w:space="720"/>
          <w:noEndnote/>
          <w:docGrid w:linePitch="272"/>
        </w:sectPr>
      </w:pPr>
    </w:p>
    <w:p w:rsidRPr="005A7518" w:rsidR="005A7518" w:rsidP="005A7518" w:rsidRDefault="005A7518" w14:paraId="2232072C" w14:textId="0D6E7CE7">
      <w:pPr>
        <w:pStyle w:val="BodyText"/>
        <w:spacing w:after="0"/>
        <w:rPr>
          <w:b/>
          <w:i/>
          <w:sz w:val="24"/>
          <w:u w:val="single"/>
        </w:rPr>
      </w:pPr>
      <w:r>
        <w:rPr>
          <w:b/>
          <w:i/>
          <w:sz w:val="24"/>
          <w:u w:val="single"/>
        </w:rPr>
        <w:lastRenderedPageBreak/>
        <w:t xml:space="preserve">Data Collection </w:t>
      </w:r>
      <w:r w:rsidRPr="005A7518">
        <w:rPr>
          <w:b/>
          <w:i/>
          <w:sz w:val="24"/>
          <w:u w:val="single"/>
        </w:rPr>
        <w:t>Acti</w:t>
      </w:r>
      <w:r w:rsidR="002A3286">
        <w:rPr>
          <w:b/>
          <w:i/>
          <w:sz w:val="24"/>
          <w:u w:val="single"/>
        </w:rPr>
        <w:t xml:space="preserve">vities Requiring </w:t>
      </w:r>
      <w:r w:rsidRPr="005A7518">
        <w:rPr>
          <w:b/>
          <w:i/>
          <w:sz w:val="24"/>
          <w:u w:val="single"/>
        </w:rPr>
        <w:t xml:space="preserve">OMB </w:t>
      </w:r>
      <w:r>
        <w:rPr>
          <w:b/>
          <w:i/>
          <w:sz w:val="24"/>
          <w:u w:val="single"/>
        </w:rPr>
        <w:t>A</w:t>
      </w:r>
      <w:r w:rsidRPr="005A7518">
        <w:rPr>
          <w:b/>
          <w:i/>
          <w:sz w:val="24"/>
          <w:u w:val="single"/>
        </w:rPr>
        <w:t>pproval</w:t>
      </w:r>
    </w:p>
    <w:p w:rsidR="005A7518" w:rsidP="009D1C89" w:rsidRDefault="005A7518" w14:paraId="03F9D376" w14:textId="77777777">
      <w:pPr>
        <w:pStyle w:val="BulletsLast"/>
        <w:numPr>
          <w:ilvl w:val="0"/>
          <w:numId w:val="0"/>
        </w:numPr>
        <w:spacing w:after="0"/>
        <w:rPr>
          <w:b/>
          <w:sz w:val="24"/>
          <w:szCs w:val="24"/>
        </w:rPr>
      </w:pPr>
    </w:p>
    <w:p w:rsidR="009D1C89" w:rsidP="009D1C89" w:rsidRDefault="007D25A4" w14:paraId="76E2D5CB" w14:textId="67239825">
      <w:pPr>
        <w:pStyle w:val="BulletsLast"/>
        <w:numPr>
          <w:ilvl w:val="0"/>
          <w:numId w:val="0"/>
        </w:numPr>
        <w:spacing w:after="0"/>
        <w:rPr>
          <w:b/>
          <w:sz w:val="24"/>
          <w:szCs w:val="24"/>
        </w:rPr>
      </w:pPr>
      <w:r>
        <w:rPr>
          <w:b/>
          <w:sz w:val="24"/>
          <w:szCs w:val="24"/>
        </w:rPr>
        <w:t>Semi-Structured I</w:t>
      </w:r>
      <w:r w:rsidRPr="00545B2E" w:rsidR="00FC380A">
        <w:rPr>
          <w:b/>
          <w:sz w:val="24"/>
          <w:szCs w:val="24"/>
        </w:rPr>
        <w:t>nterviews</w:t>
      </w:r>
      <w:bookmarkEnd w:id="0"/>
    </w:p>
    <w:p w:rsidRPr="00545B2E" w:rsidR="00FE6208" w:rsidP="009D1C89" w:rsidRDefault="00FE6208" w14:paraId="3140BAC7" w14:textId="77777777">
      <w:pPr>
        <w:pStyle w:val="BulletsLast"/>
        <w:numPr>
          <w:ilvl w:val="0"/>
          <w:numId w:val="0"/>
        </w:numPr>
        <w:spacing w:after="0"/>
        <w:rPr>
          <w:b/>
          <w:sz w:val="24"/>
          <w:szCs w:val="24"/>
        </w:rPr>
      </w:pPr>
    </w:p>
    <w:p w:rsidR="00FC380A" w:rsidP="009D1C89" w:rsidRDefault="002A3286" w14:paraId="17C60B68" w14:textId="0F67AE03">
      <w:pPr>
        <w:pStyle w:val="BulletsLast"/>
        <w:numPr>
          <w:ilvl w:val="0"/>
          <w:numId w:val="0"/>
        </w:numPr>
        <w:spacing w:after="0"/>
        <w:rPr>
          <w:sz w:val="24"/>
          <w:szCs w:val="24"/>
        </w:rPr>
      </w:pPr>
      <w:r>
        <w:rPr>
          <w:sz w:val="24"/>
          <w:szCs w:val="24"/>
        </w:rPr>
        <w:t>S</w:t>
      </w:r>
      <w:r w:rsidRPr="00545B2E" w:rsidR="00FC380A">
        <w:rPr>
          <w:sz w:val="24"/>
          <w:szCs w:val="24"/>
        </w:rPr>
        <w:t>emi-structured interviews</w:t>
      </w:r>
      <w:r>
        <w:rPr>
          <w:sz w:val="24"/>
          <w:szCs w:val="24"/>
        </w:rPr>
        <w:t xml:space="preserve"> will be conducted</w:t>
      </w:r>
      <w:r w:rsidRPr="00545B2E" w:rsidR="00FC380A">
        <w:rPr>
          <w:sz w:val="24"/>
          <w:szCs w:val="24"/>
        </w:rPr>
        <w:t xml:space="preserve"> with the TAP, j</w:t>
      </w:r>
      <w:r w:rsidRPr="00545B2E" w:rsidR="009D1C89">
        <w:rPr>
          <w:sz w:val="24"/>
          <w:szCs w:val="24"/>
        </w:rPr>
        <w:t xml:space="preserve">urisdiction </w:t>
      </w:r>
      <w:r w:rsidRPr="00545B2E" w:rsidR="00E745D9">
        <w:rPr>
          <w:sz w:val="24"/>
          <w:szCs w:val="24"/>
        </w:rPr>
        <w:t>TA recipients</w:t>
      </w:r>
      <w:r w:rsidRPr="00545B2E" w:rsidR="00FC380A">
        <w:rPr>
          <w:sz w:val="24"/>
          <w:szCs w:val="24"/>
        </w:rPr>
        <w:t>, and jurisdiction policy stakeholders.</w:t>
      </w:r>
      <w:r w:rsidR="00F53884">
        <w:rPr>
          <w:sz w:val="24"/>
          <w:szCs w:val="24"/>
        </w:rPr>
        <w:t xml:space="preserve"> </w:t>
      </w:r>
      <w:r w:rsidRPr="00545B2E" w:rsidR="009D1C89">
        <w:rPr>
          <w:sz w:val="24"/>
          <w:szCs w:val="24"/>
        </w:rPr>
        <w:t xml:space="preserve"> Each type of interview will capture different information, as described</w:t>
      </w:r>
      <w:r w:rsidR="000C6B78">
        <w:rPr>
          <w:sz w:val="24"/>
          <w:szCs w:val="24"/>
        </w:rPr>
        <w:t xml:space="preserve"> in </w:t>
      </w:r>
      <w:r w:rsidRPr="00BD7960" w:rsidR="001C7794">
        <w:rPr>
          <w:b/>
          <w:i/>
          <w:sz w:val="24"/>
          <w:szCs w:val="24"/>
        </w:rPr>
        <w:t>Exhibit</w:t>
      </w:r>
      <w:r w:rsidRPr="00BD7960" w:rsidR="000C6B78">
        <w:rPr>
          <w:b/>
          <w:i/>
          <w:sz w:val="24"/>
          <w:szCs w:val="24"/>
        </w:rPr>
        <w:t xml:space="preserve"> </w:t>
      </w:r>
      <w:r w:rsidR="004865BE">
        <w:rPr>
          <w:b/>
          <w:i/>
          <w:sz w:val="24"/>
          <w:szCs w:val="24"/>
        </w:rPr>
        <w:t>3</w:t>
      </w:r>
      <w:r w:rsidRPr="00545B2E" w:rsidR="009D1C89">
        <w:rPr>
          <w:sz w:val="24"/>
          <w:szCs w:val="24"/>
        </w:rPr>
        <w:t xml:space="preserve">. </w:t>
      </w:r>
    </w:p>
    <w:p w:rsidR="002D2B6B" w:rsidP="009D1C89" w:rsidRDefault="002D2B6B" w14:paraId="4FF90D23" w14:textId="77777777">
      <w:pPr>
        <w:pStyle w:val="BulletsLast"/>
        <w:numPr>
          <w:ilvl w:val="0"/>
          <w:numId w:val="0"/>
        </w:numPr>
        <w:spacing w:after="0"/>
        <w:rPr>
          <w:sz w:val="24"/>
          <w:szCs w:val="24"/>
        </w:rPr>
      </w:pPr>
    </w:p>
    <w:p w:rsidRPr="00464ED7" w:rsidR="002D2B6B" w:rsidP="009D1C89" w:rsidRDefault="001C7794" w14:paraId="46614548" w14:textId="438CCBF6">
      <w:pPr>
        <w:pStyle w:val="BulletsLast"/>
        <w:numPr>
          <w:ilvl w:val="0"/>
          <w:numId w:val="0"/>
        </w:numPr>
        <w:spacing w:after="0"/>
        <w:rPr>
          <w:b/>
          <w:i/>
          <w:sz w:val="24"/>
          <w:szCs w:val="24"/>
        </w:rPr>
      </w:pPr>
      <w:r>
        <w:rPr>
          <w:b/>
          <w:i/>
          <w:sz w:val="24"/>
          <w:szCs w:val="24"/>
        </w:rPr>
        <w:t>Exhibit</w:t>
      </w:r>
      <w:r w:rsidRPr="00464ED7" w:rsidR="002D2B6B">
        <w:rPr>
          <w:b/>
          <w:i/>
          <w:sz w:val="24"/>
          <w:szCs w:val="24"/>
        </w:rPr>
        <w:t xml:space="preserve"> </w:t>
      </w:r>
      <w:r w:rsidR="004865BE">
        <w:rPr>
          <w:b/>
          <w:i/>
          <w:sz w:val="24"/>
          <w:szCs w:val="24"/>
        </w:rPr>
        <w:t>3</w:t>
      </w:r>
      <w:r>
        <w:rPr>
          <w:b/>
          <w:i/>
          <w:sz w:val="24"/>
          <w:szCs w:val="24"/>
        </w:rPr>
        <w:t>. Semi-S</w:t>
      </w:r>
      <w:r w:rsidRPr="00464ED7" w:rsidR="00464ED7">
        <w:rPr>
          <w:b/>
          <w:i/>
          <w:sz w:val="24"/>
          <w:szCs w:val="24"/>
        </w:rPr>
        <w:t>tructured Interview Descriptions</w:t>
      </w:r>
    </w:p>
    <w:p w:rsidR="00464ED7" w:rsidP="009D1C89" w:rsidRDefault="00464ED7" w14:paraId="72CE9B5A" w14:textId="77777777">
      <w:pPr>
        <w:pStyle w:val="BulletsLast"/>
        <w:numPr>
          <w:ilvl w:val="0"/>
          <w:numId w:val="0"/>
        </w:numPr>
        <w:spacing w:after="0"/>
        <w:rPr>
          <w:sz w:val="24"/>
          <w:szCs w:val="24"/>
        </w:rPr>
      </w:pPr>
    </w:p>
    <w:tbl>
      <w:tblPr>
        <w:tblStyle w:val="TableGrid"/>
        <w:tblW w:w="0" w:type="auto"/>
        <w:tblLook w:val="04A0" w:firstRow="1" w:lastRow="0" w:firstColumn="1" w:lastColumn="0" w:noHBand="0" w:noVBand="1"/>
      </w:tblPr>
      <w:tblGrid>
        <w:gridCol w:w="2245"/>
        <w:gridCol w:w="7105"/>
      </w:tblGrid>
      <w:tr w:rsidRPr="001C1FF3" w:rsidR="000C6B78" w:rsidTr="001C1FF3" w14:paraId="04917516" w14:textId="77777777">
        <w:trPr>
          <w:trHeight w:val="314"/>
          <w:tblHeader/>
        </w:trPr>
        <w:tc>
          <w:tcPr>
            <w:tcW w:w="2245" w:type="dxa"/>
            <w:shd w:val="clear" w:color="auto" w:fill="4BACC6" w:themeFill="accent5"/>
            <w:vAlign w:val="center"/>
          </w:tcPr>
          <w:p w:rsidRPr="001C1FF3" w:rsidR="002D2B6B" w:rsidP="001C1FF3" w:rsidRDefault="002D2B6B" w14:paraId="69F47E15" w14:textId="07DF6437">
            <w:pPr>
              <w:pStyle w:val="BulletsLast"/>
              <w:numPr>
                <w:ilvl w:val="0"/>
                <w:numId w:val="0"/>
              </w:numPr>
              <w:spacing w:after="0"/>
              <w:rPr>
                <w:rFonts w:ascii="Arial Narrow" w:hAnsi="Arial Narrow"/>
                <w:b/>
                <w:color w:val="FFFFFF" w:themeColor="background1"/>
                <w:sz w:val="20"/>
                <w:szCs w:val="24"/>
              </w:rPr>
            </w:pPr>
            <w:r w:rsidRPr="001C1FF3">
              <w:rPr>
                <w:rFonts w:ascii="Arial Narrow" w:hAnsi="Arial Narrow"/>
                <w:b/>
                <w:color w:val="FFFFFF" w:themeColor="background1"/>
                <w:sz w:val="20"/>
                <w:szCs w:val="24"/>
              </w:rPr>
              <w:t>Interview Type</w:t>
            </w:r>
          </w:p>
        </w:tc>
        <w:tc>
          <w:tcPr>
            <w:tcW w:w="7105" w:type="dxa"/>
            <w:shd w:val="clear" w:color="auto" w:fill="4BACC6" w:themeFill="accent5"/>
            <w:vAlign w:val="center"/>
          </w:tcPr>
          <w:p w:rsidRPr="001C1FF3" w:rsidR="002D2B6B" w:rsidP="001C1FF3" w:rsidRDefault="002D2B6B" w14:paraId="6395CAC9" w14:textId="0E839886">
            <w:pPr>
              <w:pStyle w:val="BulletsLast"/>
              <w:numPr>
                <w:ilvl w:val="0"/>
                <w:numId w:val="0"/>
              </w:numPr>
              <w:spacing w:after="0"/>
              <w:rPr>
                <w:rFonts w:ascii="Arial Narrow" w:hAnsi="Arial Narrow"/>
                <w:b/>
                <w:color w:val="FFFFFF" w:themeColor="background1"/>
                <w:sz w:val="20"/>
                <w:szCs w:val="24"/>
              </w:rPr>
            </w:pPr>
            <w:r w:rsidRPr="001C1FF3">
              <w:rPr>
                <w:rFonts w:ascii="Arial Narrow" w:hAnsi="Arial Narrow"/>
                <w:b/>
                <w:color w:val="FFFFFF" w:themeColor="background1"/>
                <w:sz w:val="20"/>
                <w:szCs w:val="24"/>
              </w:rPr>
              <w:t>Purpose</w:t>
            </w:r>
          </w:p>
        </w:tc>
      </w:tr>
      <w:tr w:rsidRPr="001C1FF3" w:rsidR="00C001B4" w:rsidTr="005A7518" w14:paraId="139FDFC1" w14:textId="77777777">
        <w:tc>
          <w:tcPr>
            <w:tcW w:w="9350" w:type="dxa"/>
            <w:gridSpan w:val="2"/>
            <w:shd w:val="clear" w:color="auto" w:fill="D9D9D9" w:themeFill="background1" w:themeFillShade="D9"/>
          </w:tcPr>
          <w:p w:rsidRPr="005A7518" w:rsidR="00C001B4" w:rsidP="005A7518" w:rsidRDefault="00C001B4" w14:paraId="22618E61" w14:textId="525FD86F">
            <w:pPr>
              <w:pStyle w:val="BulletsLast"/>
              <w:numPr>
                <w:ilvl w:val="0"/>
                <w:numId w:val="0"/>
              </w:numPr>
              <w:spacing w:after="0"/>
              <w:jc w:val="center"/>
              <w:rPr>
                <w:rFonts w:ascii="Arial Narrow" w:hAnsi="Arial Narrow"/>
                <w:b/>
                <w:i/>
                <w:sz w:val="20"/>
              </w:rPr>
            </w:pPr>
            <w:r w:rsidRPr="005A7518">
              <w:rPr>
                <w:rFonts w:ascii="Arial Narrow" w:hAnsi="Arial Narrow"/>
                <w:b/>
                <w:i/>
                <w:sz w:val="20"/>
              </w:rPr>
              <w:t>Acti</w:t>
            </w:r>
            <w:r w:rsidR="002A3286">
              <w:rPr>
                <w:rFonts w:ascii="Arial Narrow" w:hAnsi="Arial Narrow"/>
                <w:b/>
                <w:i/>
                <w:sz w:val="20"/>
              </w:rPr>
              <w:t xml:space="preserve">vities Requiring </w:t>
            </w:r>
            <w:r w:rsidRPr="005A7518">
              <w:rPr>
                <w:rFonts w:ascii="Arial Narrow" w:hAnsi="Arial Narrow"/>
                <w:b/>
                <w:i/>
                <w:sz w:val="20"/>
              </w:rPr>
              <w:t>OMB approval</w:t>
            </w:r>
            <w:r w:rsidR="007745C7">
              <w:rPr>
                <w:rFonts w:ascii="Arial Narrow" w:hAnsi="Arial Narrow"/>
                <w:b/>
                <w:i/>
                <w:sz w:val="20"/>
              </w:rPr>
              <w:t xml:space="preserve"> (n &gt;10</w:t>
            </w:r>
            <w:r w:rsidR="00F438D3">
              <w:rPr>
                <w:rFonts w:ascii="Arial Narrow" w:hAnsi="Arial Narrow"/>
                <w:b/>
                <w:i/>
                <w:sz w:val="20"/>
              </w:rPr>
              <w:t xml:space="preserve"> for each form</w:t>
            </w:r>
            <w:r w:rsidR="007745C7">
              <w:rPr>
                <w:rFonts w:ascii="Arial Narrow" w:hAnsi="Arial Narrow"/>
                <w:b/>
                <w:i/>
                <w:sz w:val="20"/>
              </w:rPr>
              <w:t>)</w:t>
            </w:r>
          </w:p>
        </w:tc>
      </w:tr>
      <w:tr w:rsidRPr="001C1FF3" w:rsidR="00C001B4" w:rsidTr="00464ED7" w14:paraId="476D4DA0" w14:textId="77777777">
        <w:tc>
          <w:tcPr>
            <w:tcW w:w="2245" w:type="dxa"/>
          </w:tcPr>
          <w:p w:rsidRPr="001C1FF3" w:rsidR="00C001B4" w:rsidP="00C001B4" w:rsidRDefault="00C001B4" w14:paraId="7883B340" w14:textId="77777777">
            <w:pPr>
              <w:pStyle w:val="BulletsLast"/>
              <w:numPr>
                <w:ilvl w:val="0"/>
                <w:numId w:val="0"/>
              </w:numPr>
              <w:spacing w:after="0"/>
              <w:rPr>
                <w:rFonts w:ascii="Arial Narrow" w:hAnsi="Arial Narrow"/>
                <w:b/>
                <w:i/>
                <w:sz w:val="20"/>
              </w:rPr>
            </w:pPr>
            <w:r w:rsidRPr="001C1FF3">
              <w:rPr>
                <w:rFonts w:ascii="Arial Narrow" w:hAnsi="Arial Narrow"/>
                <w:b/>
                <w:sz w:val="20"/>
              </w:rPr>
              <w:t xml:space="preserve">Jurisdiction TA Recipient </w:t>
            </w:r>
          </w:p>
          <w:p w:rsidRPr="001C1FF3" w:rsidR="00C001B4" w:rsidP="00C001B4" w:rsidRDefault="00C001B4" w14:paraId="6F808BB8" w14:textId="77777777">
            <w:pPr>
              <w:pStyle w:val="BulletsLast"/>
              <w:numPr>
                <w:ilvl w:val="0"/>
                <w:numId w:val="0"/>
              </w:numPr>
              <w:spacing w:after="0"/>
              <w:rPr>
                <w:rFonts w:ascii="Arial Narrow" w:hAnsi="Arial Narrow"/>
                <w:i/>
                <w:sz w:val="20"/>
              </w:rPr>
            </w:pPr>
          </w:p>
          <w:p w:rsidRPr="001C1FF3" w:rsidR="00C001B4" w:rsidP="005A7518" w:rsidRDefault="00C001B4" w14:paraId="3B466694" w14:textId="2E316E0B">
            <w:pPr>
              <w:pStyle w:val="BulletsLast"/>
              <w:numPr>
                <w:ilvl w:val="0"/>
                <w:numId w:val="0"/>
              </w:numPr>
              <w:spacing w:after="0"/>
              <w:rPr>
                <w:rFonts w:ascii="Arial Narrow" w:hAnsi="Arial Narrow"/>
                <w:b/>
                <w:sz w:val="20"/>
                <w:szCs w:val="24"/>
              </w:rPr>
            </w:pPr>
            <w:r w:rsidRPr="001C1FF3">
              <w:rPr>
                <w:rFonts w:ascii="Arial Narrow" w:hAnsi="Arial Narrow"/>
                <w:sz w:val="20"/>
              </w:rPr>
              <w:t xml:space="preserve">(Attachment </w:t>
            </w:r>
            <w:r w:rsidR="005A7518">
              <w:rPr>
                <w:rFonts w:ascii="Arial Narrow" w:hAnsi="Arial Narrow"/>
                <w:sz w:val="20"/>
              </w:rPr>
              <w:t>A</w:t>
            </w:r>
            <w:r w:rsidRPr="001C1FF3">
              <w:rPr>
                <w:rFonts w:ascii="Arial Narrow" w:hAnsi="Arial Narrow"/>
                <w:sz w:val="20"/>
              </w:rPr>
              <w:t>)</w:t>
            </w:r>
          </w:p>
        </w:tc>
        <w:tc>
          <w:tcPr>
            <w:tcW w:w="7105" w:type="dxa"/>
          </w:tcPr>
          <w:p w:rsidRPr="001C1FF3" w:rsidR="00C001B4" w:rsidP="00C001B4" w:rsidRDefault="00C001B4" w14:paraId="16DA153C" w14:textId="18E36705">
            <w:pPr>
              <w:pStyle w:val="BulletsLast"/>
              <w:numPr>
                <w:ilvl w:val="0"/>
                <w:numId w:val="0"/>
              </w:numPr>
              <w:spacing w:after="0"/>
              <w:rPr>
                <w:rFonts w:ascii="Arial Narrow" w:hAnsi="Arial Narrow"/>
                <w:sz w:val="20"/>
                <w:szCs w:val="24"/>
              </w:rPr>
            </w:pPr>
            <w:r w:rsidRPr="001C1FF3">
              <w:rPr>
                <w:rFonts w:ascii="Arial Narrow" w:hAnsi="Arial Narrow"/>
                <w:sz w:val="20"/>
              </w:rPr>
              <w:t>This interview will be conducted with up to 3 key points of contact (POCs) in each of the 4 participating jurisdictions each project year (3</w:t>
            </w:r>
            <w:r w:rsidR="005A7518">
              <w:rPr>
                <w:rFonts w:ascii="Arial Narrow" w:hAnsi="Arial Narrow"/>
                <w:sz w:val="20"/>
              </w:rPr>
              <w:t>2</w:t>
            </w:r>
            <w:r w:rsidRPr="001C1FF3">
              <w:rPr>
                <w:rFonts w:ascii="Arial Narrow" w:hAnsi="Arial Narrow"/>
                <w:sz w:val="20"/>
              </w:rPr>
              <w:t xml:space="preserve"> total interviews). </w:t>
            </w:r>
            <w:r w:rsidR="00F53884">
              <w:rPr>
                <w:rFonts w:ascii="Arial Narrow" w:hAnsi="Arial Narrow"/>
                <w:sz w:val="20"/>
              </w:rPr>
              <w:t xml:space="preserve"> </w:t>
            </w:r>
            <w:r w:rsidRPr="001C1FF3">
              <w:rPr>
                <w:rFonts w:ascii="Arial Narrow" w:hAnsi="Arial Narrow"/>
                <w:sz w:val="20"/>
              </w:rPr>
              <w:t>These interviews will gather information about organizational processes associated with data sharing and linkage (i.e., pain or friction points associated with the process of sharing data such as stigma and confidentiality issues; facilitators to linking HIV and STI surveillance data; MOUs, policies, and procedures in place; perceived impact of linked data on process of care and HIV outcomes) and technical processes of data sharing and linkage (i.e. common data linkage processes, procedures, and best practices); and perceptions of the TA provided by the TAP.</w:t>
            </w:r>
            <w:r w:rsidR="00F53884">
              <w:rPr>
                <w:rFonts w:ascii="Arial Narrow" w:hAnsi="Arial Narrow"/>
                <w:sz w:val="20"/>
              </w:rPr>
              <w:t xml:space="preserve"> </w:t>
            </w:r>
            <w:r w:rsidRPr="001C1FF3">
              <w:rPr>
                <w:rFonts w:ascii="Arial Narrow" w:hAnsi="Arial Narrow"/>
                <w:sz w:val="20"/>
              </w:rPr>
              <w:t xml:space="preserve"> Interviews with jurisdictions will also identify suggestions for improvements to the TA and lessons learned during implementation.</w:t>
            </w:r>
          </w:p>
        </w:tc>
      </w:tr>
      <w:tr w:rsidRPr="001C1FF3" w:rsidR="00C001B4" w:rsidTr="00464ED7" w14:paraId="6ECC53AF" w14:textId="77777777">
        <w:tc>
          <w:tcPr>
            <w:tcW w:w="2245" w:type="dxa"/>
          </w:tcPr>
          <w:p w:rsidRPr="001C1FF3" w:rsidR="00C001B4" w:rsidP="00C001B4" w:rsidRDefault="00C001B4" w14:paraId="3ED9EAF0" w14:textId="77777777">
            <w:pPr>
              <w:pStyle w:val="BulletsLast"/>
              <w:numPr>
                <w:ilvl w:val="0"/>
                <w:numId w:val="0"/>
              </w:numPr>
              <w:spacing w:after="0"/>
              <w:rPr>
                <w:rFonts w:ascii="Arial Narrow" w:hAnsi="Arial Narrow"/>
                <w:b/>
                <w:sz w:val="20"/>
              </w:rPr>
            </w:pPr>
            <w:r w:rsidRPr="001C1FF3">
              <w:rPr>
                <w:rFonts w:ascii="Arial Narrow" w:hAnsi="Arial Narrow"/>
                <w:b/>
                <w:sz w:val="20"/>
              </w:rPr>
              <w:t xml:space="preserve">Jurisdiction Policy Stakeholder </w:t>
            </w:r>
          </w:p>
          <w:p w:rsidRPr="001C1FF3" w:rsidR="00C001B4" w:rsidP="00C001B4" w:rsidRDefault="00C001B4" w14:paraId="4916BF3F" w14:textId="77777777">
            <w:pPr>
              <w:pStyle w:val="BulletsLast"/>
              <w:numPr>
                <w:ilvl w:val="0"/>
                <w:numId w:val="0"/>
              </w:numPr>
              <w:spacing w:after="0"/>
              <w:rPr>
                <w:rFonts w:ascii="Arial Narrow" w:hAnsi="Arial Narrow"/>
                <w:i/>
                <w:sz w:val="20"/>
              </w:rPr>
            </w:pPr>
          </w:p>
          <w:p w:rsidRPr="001C1FF3" w:rsidR="00C001B4" w:rsidP="005A7518" w:rsidRDefault="00C001B4" w14:paraId="6ECD1A65" w14:textId="4D0E070D">
            <w:pPr>
              <w:pStyle w:val="BulletsLast"/>
              <w:numPr>
                <w:ilvl w:val="0"/>
                <w:numId w:val="0"/>
              </w:numPr>
              <w:spacing w:after="0"/>
              <w:rPr>
                <w:rFonts w:ascii="Arial Narrow" w:hAnsi="Arial Narrow"/>
                <w:b/>
                <w:sz w:val="20"/>
                <w:szCs w:val="24"/>
              </w:rPr>
            </w:pPr>
            <w:r w:rsidRPr="001C1FF3">
              <w:rPr>
                <w:rFonts w:ascii="Arial Narrow" w:hAnsi="Arial Narrow"/>
                <w:sz w:val="20"/>
              </w:rPr>
              <w:t xml:space="preserve">(Attachment </w:t>
            </w:r>
            <w:r w:rsidR="005A7518">
              <w:rPr>
                <w:rFonts w:ascii="Arial Narrow" w:hAnsi="Arial Narrow"/>
                <w:sz w:val="20"/>
              </w:rPr>
              <w:t>B</w:t>
            </w:r>
            <w:r w:rsidRPr="001C1FF3">
              <w:rPr>
                <w:rFonts w:ascii="Arial Narrow" w:hAnsi="Arial Narrow"/>
                <w:sz w:val="20"/>
              </w:rPr>
              <w:t>)</w:t>
            </w:r>
          </w:p>
        </w:tc>
        <w:tc>
          <w:tcPr>
            <w:tcW w:w="7105" w:type="dxa"/>
          </w:tcPr>
          <w:p w:rsidRPr="001C1FF3" w:rsidR="00C001B4" w:rsidP="00C001B4" w:rsidRDefault="00C001B4" w14:paraId="4D7A7AF8" w14:textId="167E1DBB">
            <w:pPr>
              <w:pStyle w:val="BulletsLast"/>
              <w:numPr>
                <w:ilvl w:val="0"/>
                <w:numId w:val="0"/>
              </w:numPr>
              <w:spacing w:after="0"/>
              <w:rPr>
                <w:rFonts w:ascii="Arial Narrow" w:hAnsi="Arial Narrow"/>
                <w:sz w:val="20"/>
                <w:szCs w:val="24"/>
              </w:rPr>
            </w:pPr>
            <w:r w:rsidRPr="001C1FF3">
              <w:rPr>
                <w:rFonts w:ascii="Arial Narrow" w:hAnsi="Arial Narrow"/>
                <w:sz w:val="20"/>
              </w:rPr>
              <w:t xml:space="preserve">This interview will be conducted with up to 3 policy stakeholders in each of the 4 jurisdictions in years 2 and 3 of the project (24 total interviews). </w:t>
            </w:r>
            <w:r w:rsidR="00F53884">
              <w:rPr>
                <w:rFonts w:ascii="Arial Narrow" w:hAnsi="Arial Narrow"/>
                <w:sz w:val="20"/>
              </w:rPr>
              <w:t xml:space="preserve"> </w:t>
            </w:r>
            <w:r w:rsidRPr="001C1FF3">
              <w:rPr>
                <w:rFonts w:ascii="Arial Narrow" w:hAnsi="Arial Narrow"/>
                <w:sz w:val="20"/>
              </w:rPr>
              <w:t>The purpose of these interviews is to gather information about if and how linked HIV and STI data is being used for policy and/or decision</w:t>
            </w:r>
            <w:r w:rsidR="00B95525">
              <w:rPr>
                <w:rFonts w:ascii="Arial Narrow" w:hAnsi="Arial Narrow"/>
                <w:sz w:val="20"/>
              </w:rPr>
              <w:t>-</w:t>
            </w:r>
            <w:r w:rsidRPr="001C1FF3">
              <w:rPr>
                <w:rFonts w:ascii="Arial Narrow" w:hAnsi="Arial Narrow"/>
                <w:sz w:val="20"/>
              </w:rPr>
              <w:t xml:space="preserve"> making, and/or reasons for not doing so. </w:t>
            </w:r>
            <w:r w:rsidR="00F53884">
              <w:rPr>
                <w:rFonts w:ascii="Arial Narrow" w:hAnsi="Arial Narrow"/>
                <w:sz w:val="20"/>
              </w:rPr>
              <w:t xml:space="preserve"> </w:t>
            </w:r>
            <w:r w:rsidRPr="001C1FF3">
              <w:rPr>
                <w:rFonts w:ascii="Arial Narrow" w:hAnsi="Arial Narrow"/>
                <w:sz w:val="20"/>
              </w:rPr>
              <w:t>This round of interviews with policy stakeholders will begin in year 2, after jurisdictions have conducted substantial work toward linking HIV and STI data. Interview participants will be health department officials, legislators, or other department heads that work closely with the health department (e.g. Department of Corrections, Department of Social Services) in each jurisdiction.</w:t>
            </w:r>
          </w:p>
        </w:tc>
      </w:tr>
      <w:tr w:rsidRPr="001C1FF3" w:rsidR="00C001B4" w:rsidTr="00C001B4" w14:paraId="4D5A4A70" w14:textId="77777777">
        <w:tc>
          <w:tcPr>
            <w:tcW w:w="9350" w:type="dxa"/>
            <w:gridSpan w:val="2"/>
            <w:shd w:val="clear" w:color="auto" w:fill="D9D9D9" w:themeFill="background1" w:themeFillShade="D9"/>
          </w:tcPr>
          <w:p w:rsidRPr="00186332" w:rsidR="00C001B4" w:rsidP="00C001B4" w:rsidRDefault="002A3286" w14:paraId="3B5BD72A" w14:textId="28A633BC">
            <w:pPr>
              <w:pStyle w:val="BulletsLast"/>
              <w:numPr>
                <w:ilvl w:val="0"/>
                <w:numId w:val="0"/>
              </w:numPr>
              <w:spacing w:after="0"/>
              <w:jc w:val="center"/>
              <w:rPr>
                <w:rFonts w:ascii="Arial Narrow" w:hAnsi="Arial Narrow"/>
                <w:b/>
                <w:i/>
                <w:sz w:val="20"/>
              </w:rPr>
            </w:pPr>
            <w:r>
              <w:rPr>
                <w:rFonts w:ascii="Arial Narrow" w:hAnsi="Arial Narrow"/>
                <w:b/>
                <w:i/>
                <w:sz w:val="20"/>
              </w:rPr>
              <w:t xml:space="preserve">Activities Not Requiring </w:t>
            </w:r>
            <w:r w:rsidRPr="00186332" w:rsidR="00C001B4">
              <w:rPr>
                <w:rFonts w:ascii="Arial Narrow" w:hAnsi="Arial Narrow"/>
                <w:b/>
                <w:i/>
                <w:sz w:val="20"/>
              </w:rPr>
              <w:t>OMB approval</w:t>
            </w:r>
            <w:r w:rsidR="007745C7">
              <w:rPr>
                <w:rFonts w:ascii="Arial Narrow" w:hAnsi="Arial Narrow"/>
                <w:b/>
                <w:i/>
                <w:sz w:val="20"/>
              </w:rPr>
              <w:t xml:space="preserve"> (n &lt;10)</w:t>
            </w:r>
          </w:p>
        </w:tc>
      </w:tr>
      <w:tr w:rsidRPr="001C1FF3" w:rsidR="00C001B4" w:rsidTr="00464ED7" w14:paraId="31A988DE" w14:textId="77777777">
        <w:tc>
          <w:tcPr>
            <w:tcW w:w="2245" w:type="dxa"/>
          </w:tcPr>
          <w:p w:rsidRPr="001C1FF3" w:rsidR="00C001B4" w:rsidP="00C001B4" w:rsidRDefault="00C001B4" w14:paraId="36939CED" w14:textId="1B4A3DE9">
            <w:pPr>
              <w:pStyle w:val="BulletsLast"/>
              <w:numPr>
                <w:ilvl w:val="0"/>
                <w:numId w:val="0"/>
              </w:numPr>
              <w:spacing w:after="0"/>
              <w:rPr>
                <w:rFonts w:ascii="Arial Narrow" w:hAnsi="Arial Narrow"/>
                <w:b/>
                <w:sz w:val="20"/>
                <w:szCs w:val="24"/>
              </w:rPr>
            </w:pPr>
            <w:r w:rsidRPr="001C1FF3">
              <w:rPr>
                <w:rFonts w:ascii="Arial Narrow" w:hAnsi="Arial Narrow"/>
                <w:b/>
                <w:sz w:val="20"/>
                <w:szCs w:val="24"/>
              </w:rPr>
              <w:t xml:space="preserve">TAP </w:t>
            </w:r>
          </w:p>
          <w:p w:rsidRPr="001C1FF3" w:rsidR="00C001B4" w:rsidP="00C001B4" w:rsidRDefault="00C001B4" w14:paraId="20143BA5" w14:textId="77777777">
            <w:pPr>
              <w:pStyle w:val="BulletsLast"/>
              <w:numPr>
                <w:ilvl w:val="0"/>
                <w:numId w:val="0"/>
              </w:numPr>
              <w:spacing w:after="0"/>
              <w:rPr>
                <w:rFonts w:ascii="Arial Narrow" w:hAnsi="Arial Narrow"/>
                <w:sz w:val="20"/>
                <w:szCs w:val="24"/>
              </w:rPr>
            </w:pPr>
          </w:p>
          <w:p w:rsidRPr="001C1FF3" w:rsidR="00C001B4" w:rsidP="005A7518" w:rsidRDefault="00C001B4" w14:paraId="5B458E54" w14:textId="39575A30">
            <w:pPr>
              <w:pStyle w:val="BulletsLast"/>
              <w:numPr>
                <w:ilvl w:val="0"/>
                <w:numId w:val="0"/>
              </w:numPr>
              <w:spacing w:after="0"/>
              <w:rPr>
                <w:rFonts w:ascii="Arial Narrow" w:hAnsi="Arial Narrow"/>
                <w:b/>
                <w:sz w:val="20"/>
                <w:szCs w:val="24"/>
              </w:rPr>
            </w:pPr>
            <w:r w:rsidRPr="001C1FF3">
              <w:rPr>
                <w:rFonts w:ascii="Arial Narrow" w:hAnsi="Arial Narrow"/>
                <w:sz w:val="20"/>
                <w:szCs w:val="24"/>
              </w:rPr>
              <w:t xml:space="preserve">(Attachment </w:t>
            </w:r>
            <w:r w:rsidR="005A7518">
              <w:rPr>
                <w:rFonts w:ascii="Arial Narrow" w:hAnsi="Arial Narrow"/>
                <w:sz w:val="20"/>
                <w:szCs w:val="24"/>
              </w:rPr>
              <w:t>C</w:t>
            </w:r>
            <w:r w:rsidRPr="001C1FF3">
              <w:rPr>
                <w:rFonts w:ascii="Arial Narrow" w:hAnsi="Arial Narrow"/>
                <w:sz w:val="20"/>
                <w:szCs w:val="24"/>
              </w:rPr>
              <w:t>)</w:t>
            </w:r>
          </w:p>
        </w:tc>
        <w:tc>
          <w:tcPr>
            <w:tcW w:w="7105" w:type="dxa"/>
          </w:tcPr>
          <w:p w:rsidRPr="001C1FF3" w:rsidR="00C001B4" w:rsidP="00C001B4" w:rsidRDefault="00C001B4" w14:paraId="16721558" w14:textId="2C429FD6">
            <w:pPr>
              <w:pStyle w:val="BulletsLast"/>
              <w:numPr>
                <w:ilvl w:val="0"/>
                <w:numId w:val="0"/>
              </w:numPr>
              <w:spacing w:after="0"/>
              <w:rPr>
                <w:rFonts w:ascii="Arial Narrow" w:hAnsi="Arial Narrow"/>
                <w:b/>
                <w:sz w:val="20"/>
                <w:szCs w:val="24"/>
              </w:rPr>
            </w:pPr>
            <w:r w:rsidRPr="001C1FF3">
              <w:rPr>
                <w:rFonts w:ascii="Arial Narrow" w:hAnsi="Arial Narrow"/>
                <w:sz w:val="20"/>
                <w:szCs w:val="24"/>
              </w:rPr>
              <w:t>This interview will be conducted with 3 TAP representatives (Principal Investigator, Data Integration Specialist, and Care Continuity Specialist) each project year (3 total interviews). The purpose of the TAP interview is to gather information about perceived jurisdiction readiness and qualities, barriers experienced by jurisdictions, the TA process and activities, and modifications made to the TA approach.</w:t>
            </w:r>
          </w:p>
        </w:tc>
      </w:tr>
    </w:tbl>
    <w:p w:rsidRPr="00545B2E" w:rsidR="002D2B6B" w:rsidP="009D1C89" w:rsidRDefault="002D2B6B" w14:paraId="2079C6B1" w14:textId="77777777">
      <w:pPr>
        <w:pStyle w:val="BulletsLast"/>
        <w:numPr>
          <w:ilvl w:val="0"/>
          <w:numId w:val="0"/>
        </w:numPr>
        <w:spacing w:after="0"/>
        <w:rPr>
          <w:b/>
          <w:sz w:val="24"/>
          <w:szCs w:val="24"/>
        </w:rPr>
      </w:pPr>
    </w:p>
    <w:p w:rsidRPr="00545B2E" w:rsidR="00B84C27" w:rsidP="00B84C27" w:rsidRDefault="007D25A4" w14:paraId="0BADE5EC" w14:textId="7379B3F4">
      <w:pPr>
        <w:rPr>
          <w:b/>
          <w:sz w:val="24"/>
        </w:rPr>
      </w:pPr>
      <w:bookmarkStart w:name="_Toc30602655" w:id="1"/>
      <w:r>
        <w:rPr>
          <w:b/>
          <w:sz w:val="24"/>
        </w:rPr>
        <w:t>Data End-U</w:t>
      </w:r>
      <w:r w:rsidRPr="00545B2E" w:rsidR="00B84C27">
        <w:rPr>
          <w:b/>
          <w:sz w:val="24"/>
        </w:rPr>
        <w:t xml:space="preserve">ser </w:t>
      </w:r>
      <w:r>
        <w:rPr>
          <w:b/>
          <w:sz w:val="24"/>
        </w:rPr>
        <w:t>S</w:t>
      </w:r>
      <w:r w:rsidRPr="00545B2E" w:rsidR="00047976">
        <w:rPr>
          <w:b/>
          <w:sz w:val="24"/>
        </w:rPr>
        <w:t>urvey</w:t>
      </w:r>
      <w:bookmarkEnd w:id="1"/>
      <w:r w:rsidRPr="00545B2E" w:rsidR="00B84C27">
        <w:rPr>
          <w:b/>
          <w:sz w:val="24"/>
        </w:rPr>
        <w:t xml:space="preserve"> </w:t>
      </w:r>
    </w:p>
    <w:p w:rsidRPr="00545B2E" w:rsidR="00047976" w:rsidP="00B84C27" w:rsidRDefault="000B4F7E" w14:paraId="4D762B5F" w14:textId="5AE1A358">
      <w:pPr>
        <w:rPr>
          <w:sz w:val="24"/>
        </w:rPr>
      </w:pPr>
      <w:r>
        <w:rPr>
          <w:sz w:val="24"/>
        </w:rPr>
        <w:t xml:space="preserve">A </w:t>
      </w:r>
      <w:r w:rsidRPr="00545B2E" w:rsidR="00047976">
        <w:rPr>
          <w:sz w:val="24"/>
        </w:rPr>
        <w:t>short, web-based survey of data end-users (h</w:t>
      </w:r>
      <w:r w:rsidRPr="00545B2E" w:rsidR="00D924E4">
        <w:rPr>
          <w:sz w:val="24"/>
        </w:rPr>
        <w:t>ealth department staff such as</w:t>
      </w:r>
      <w:r w:rsidRPr="00545B2E" w:rsidR="00047976">
        <w:rPr>
          <w:sz w:val="24"/>
        </w:rPr>
        <w:t xml:space="preserve"> disease </w:t>
      </w:r>
      <w:r w:rsidRPr="00545B2E" w:rsidR="00D924E4">
        <w:rPr>
          <w:sz w:val="24"/>
        </w:rPr>
        <w:t>intervention specialists and data managers and/or</w:t>
      </w:r>
      <w:r w:rsidRPr="00545B2E" w:rsidR="00047976">
        <w:rPr>
          <w:sz w:val="24"/>
        </w:rPr>
        <w:t xml:space="preserve"> clinicians who provide care to RWHAP clients)</w:t>
      </w:r>
      <w:r>
        <w:rPr>
          <w:sz w:val="24"/>
        </w:rPr>
        <w:t xml:space="preserve"> will be conducted</w:t>
      </w:r>
      <w:r w:rsidRPr="00545B2E" w:rsidR="00D924E4">
        <w:rPr>
          <w:sz w:val="24"/>
        </w:rPr>
        <w:t xml:space="preserve">. </w:t>
      </w:r>
      <w:r w:rsidR="00F53884">
        <w:rPr>
          <w:sz w:val="24"/>
        </w:rPr>
        <w:t xml:space="preserve"> </w:t>
      </w:r>
      <w:r w:rsidRPr="00545B2E" w:rsidR="00D924E4">
        <w:rPr>
          <w:sz w:val="24"/>
        </w:rPr>
        <w:t xml:space="preserve">The number of data end-users varies by jurisdiction, but </w:t>
      </w:r>
      <w:r w:rsidR="002E4F82">
        <w:rPr>
          <w:sz w:val="24"/>
        </w:rPr>
        <w:t xml:space="preserve">it </w:t>
      </w:r>
      <w:r w:rsidR="00385179">
        <w:rPr>
          <w:sz w:val="24"/>
        </w:rPr>
        <w:t xml:space="preserve">is </w:t>
      </w:r>
      <w:r w:rsidRPr="00545B2E" w:rsidR="00385179">
        <w:rPr>
          <w:sz w:val="24"/>
        </w:rPr>
        <w:t>expected</w:t>
      </w:r>
      <w:r w:rsidR="002E4F82">
        <w:rPr>
          <w:sz w:val="24"/>
        </w:rPr>
        <w:t xml:space="preserve"> that </w:t>
      </w:r>
      <w:r w:rsidRPr="00545B2E" w:rsidR="00D924E4">
        <w:rPr>
          <w:sz w:val="24"/>
        </w:rPr>
        <w:t xml:space="preserve">approximately 35 staff in each of the 4 jurisdictions </w:t>
      </w:r>
      <w:r w:rsidR="002E4F82">
        <w:rPr>
          <w:sz w:val="24"/>
        </w:rPr>
        <w:t>will</w:t>
      </w:r>
      <w:r w:rsidRPr="00545B2E" w:rsidR="002E4F82">
        <w:rPr>
          <w:sz w:val="24"/>
        </w:rPr>
        <w:t xml:space="preserve"> </w:t>
      </w:r>
      <w:r w:rsidRPr="00545B2E" w:rsidR="00D924E4">
        <w:rPr>
          <w:sz w:val="24"/>
        </w:rPr>
        <w:t xml:space="preserve">participate in this survey (140 total staff). </w:t>
      </w:r>
      <w:r w:rsidR="00F53884">
        <w:rPr>
          <w:sz w:val="24"/>
        </w:rPr>
        <w:t xml:space="preserve"> </w:t>
      </w:r>
      <w:r w:rsidRPr="00545B2E" w:rsidR="00D924E4">
        <w:rPr>
          <w:sz w:val="24"/>
        </w:rPr>
        <w:t>The survey will assess</w:t>
      </w:r>
      <w:r w:rsidRPr="00545B2E" w:rsidR="00047976">
        <w:rPr>
          <w:sz w:val="24"/>
        </w:rPr>
        <w:t xml:space="preserve"> the extent to </w:t>
      </w:r>
      <w:r w:rsidRPr="00545B2E" w:rsidR="00D924E4">
        <w:rPr>
          <w:sz w:val="24"/>
        </w:rPr>
        <w:t>which these staff receive</w:t>
      </w:r>
      <w:r w:rsidRPr="00545B2E" w:rsidR="00047976">
        <w:rPr>
          <w:sz w:val="24"/>
        </w:rPr>
        <w:t xml:space="preserve"> linked data</w:t>
      </w:r>
      <w:r w:rsidRPr="00545B2E" w:rsidR="00D924E4">
        <w:rPr>
          <w:sz w:val="24"/>
        </w:rPr>
        <w:t xml:space="preserve"> in reports</w:t>
      </w:r>
      <w:r w:rsidRPr="00545B2E" w:rsidR="00047976">
        <w:rPr>
          <w:sz w:val="24"/>
        </w:rPr>
        <w:t>, the usability a</w:t>
      </w:r>
      <w:r w:rsidRPr="00545B2E" w:rsidR="00D924E4">
        <w:rPr>
          <w:sz w:val="24"/>
        </w:rPr>
        <w:t>nd understandability of the reports</w:t>
      </w:r>
      <w:r w:rsidRPr="00545B2E" w:rsidR="00047976">
        <w:rPr>
          <w:sz w:val="24"/>
        </w:rPr>
        <w:t xml:space="preserve">, and current and planned use of </w:t>
      </w:r>
      <w:r w:rsidRPr="00545B2E" w:rsidR="00D924E4">
        <w:rPr>
          <w:sz w:val="24"/>
        </w:rPr>
        <w:t xml:space="preserve">the </w:t>
      </w:r>
      <w:r w:rsidRPr="00545B2E" w:rsidR="00047976">
        <w:rPr>
          <w:sz w:val="24"/>
        </w:rPr>
        <w:t>linked data to target resources and</w:t>
      </w:r>
      <w:r w:rsidRPr="00545B2E" w:rsidR="00D924E4">
        <w:rPr>
          <w:sz w:val="24"/>
        </w:rPr>
        <w:t xml:space="preserve"> improve care</w:t>
      </w:r>
      <w:r w:rsidRPr="00545B2E" w:rsidR="00047976">
        <w:rPr>
          <w:sz w:val="24"/>
        </w:rPr>
        <w:t xml:space="preserve"> for co</w:t>
      </w:r>
      <w:r w:rsidR="005D3803">
        <w:rPr>
          <w:sz w:val="24"/>
        </w:rPr>
        <w:t>-</w:t>
      </w:r>
      <w:r w:rsidRPr="00545B2E" w:rsidR="00047976">
        <w:rPr>
          <w:sz w:val="24"/>
        </w:rPr>
        <w:t xml:space="preserve">infected clients. </w:t>
      </w:r>
      <w:r w:rsidR="00F53884">
        <w:rPr>
          <w:sz w:val="24"/>
        </w:rPr>
        <w:t xml:space="preserve"> </w:t>
      </w:r>
      <w:r w:rsidRPr="00545B2E" w:rsidR="00047976">
        <w:rPr>
          <w:sz w:val="24"/>
        </w:rPr>
        <w:t>The survey will be conducted t</w:t>
      </w:r>
      <w:r w:rsidRPr="00545B2E" w:rsidR="00D924E4">
        <w:rPr>
          <w:sz w:val="24"/>
        </w:rPr>
        <w:t>wice – in years 2 and 3</w:t>
      </w:r>
      <w:r w:rsidRPr="00545B2E" w:rsidR="00047976">
        <w:rPr>
          <w:sz w:val="24"/>
        </w:rPr>
        <w:t xml:space="preserve"> </w:t>
      </w:r>
      <w:r w:rsidR="00F53884">
        <w:rPr>
          <w:sz w:val="24"/>
        </w:rPr>
        <w:t xml:space="preserve">- </w:t>
      </w:r>
      <w:r w:rsidRPr="00545B2E" w:rsidR="00047976">
        <w:rPr>
          <w:sz w:val="24"/>
        </w:rPr>
        <w:t xml:space="preserve">to capture changes in data end-users’ perceptions and use of linked data over that time </w:t>
      </w:r>
      <w:r w:rsidRPr="00545B2E" w:rsidR="00D924E4">
        <w:rPr>
          <w:sz w:val="24"/>
        </w:rPr>
        <w:t>period.</w:t>
      </w:r>
      <w:r w:rsidRPr="00545B2E" w:rsidR="00B84C27">
        <w:rPr>
          <w:sz w:val="24"/>
        </w:rPr>
        <w:t xml:space="preserve"> </w:t>
      </w:r>
      <w:r w:rsidR="00F53884">
        <w:rPr>
          <w:sz w:val="24"/>
        </w:rPr>
        <w:t xml:space="preserve"> </w:t>
      </w:r>
      <w:r w:rsidR="002E4F82">
        <w:rPr>
          <w:sz w:val="24"/>
        </w:rPr>
        <w:t xml:space="preserve">The </w:t>
      </w:r>
      <w:r w:rsidRPr="00545B2E" w:rsidR="00B84C27">
        <w:rPr>
          <w:sz w:val="24"/>
        </w:rPr>
        <w:t xml:space="preserve">expected response rate is 75% (105) at each time point, </w:t>
      </w:r>
      <w:r w:rsidR="002E4F82">
        <w:rPr>
          <w:sz w:val="24"/>
        </w:rPr>
        <w:t>therefore</w:t>
      </w:r>
      <w:r w:rsidRPr="00545B2E" w:rsidR="00B84C27">
        <w:rPr>
          <w:sz w:val="24"/>
        </w:rPr>
        <w:t xml:space="preserve"> approximately 210 total survey responses</w:t>
      </w:r>
      <w:r w:rsidR="002E4F82">
        <w:rPr>
          <w:sz w:val="24"/>
        </w:rPr>
        <w:t xml:space="preserve"> are expected to be received</w:t>
      </w:r>
      <w:r w:rsidRPr="00545B2E" w:rsidR="00B84C27">
        <w:rPr>
          <w:sz w:val="24"/>
        </w:rPr>
        <w:t>.</w:t>
      </w:r>
      <w:r w:rsidR="005D3803">
        <w:rPr>
          <w:sz w:val="24"/>
        </w:rPr>
        <w:t xml:space="preserve"> </w:t>
      </w:r>
      <w:r w:rsidR="00F53884">
        <w:rPr>
          <w:sz w:val="24"/>
        </w:rPr>
        <w:t xml:space="preserve"> </w:t>
      </w:r>
      <w:r w:rsidR="005D3803">
        <w:rPr>
          <w:sz w:val="24"/>
        </w:rPr>
        <w:t>The end-user survey can be found in Attachment D.</w:t>
      </w:r>
      <w:r w:rsidRPr="00545B2E" w:rsidR="00B84C27">
        <w:rPr>
          <w:sz w:val="24"/>
        </w:rPr>
        <w:t xml:space="preserve"> </w:t>
      </w:r>
    </w:p>
    <w:p w:rsidRPr="005A7518" w:rsidR="005A7518" w:rsidP="005A7518" w:rsidRDefault="005A7518" w14:paraId="0B5170C6" w14:textId="29B1ABC2">
      <w:pPr>
        <w:pStyle w:val="BodyText"/>
        <w:spacing w:after="0"/>
        <w:rPr>
          <w:b/>
          <w:i/>
          <w:sz w:val="24"/>
          <w:u w:val="single"/>
        </w:rPr>
      </w:pPr>
      <w:r>
        <w:rPr>
          <w:b/>
          <w:i/>
          <w:sz w:val="24"/>
          <w:u w:val="single"/>
        </w:rPr>
        <w:lastRenderedPageBreak/>
        <w:t xml:space="preserve">Data Collection </w:t>
      </w:r>
      <w:r w:rsidR="000B4F7E">
        <w:rPr>
          <w:b/>
          <w:i/>
          <w:sz w:val="24"/>
          <w:u w:val="single"/>
        </w:rPr>
        <w:t xml:space="preserve">Activities Not Requiring </w:t>
      </w:r>
      <w:r w:rsidRPr="005A7518">
        <w:rPr>
          <w:b/>
          <w:i/>
          <w:sz w:val="24"/>
          <w:u w:val="single"/>
        </w:rPr>
        <w:t xml:space="preserve">OMB </w:t>
      </w:r>
      <w:r>
        <w:rPr>
          <w:b/>
          <w:i/>
          <w:sz w:val="24"/>
          <w:u w:val="single"/>
        </w:rPr>
        <w:t>A</w:t>
      </w:r>
      <w:r w:rsidRPr="005A7518">
        <w:rPr>
          <w:b/>
          <w:i/>
          <w:sz w:val="24"/>
          <w:u w:val="single"/>
        </w:rPr>
        <w:t>pproval</w:t>
      </w:r>
    </w:p>
    <w:p w:rsidRPr="00545B2E" w:rsidR="00A116FA" w:rsidP="009D1C89" w:rsidRDefault="00502290" w14:paraId="2204BD6E" w14:textId="30A81519">
      <w:pPr>
        <w:pStyle w:val="BodyText"/>
        <w:spacing w:after="0"/>
        <w:rPr>
          <w:sz w:val="24"/>
        </w:rPr>
      </w:pPr>
      <w:r>
        <w:rPr>
          <w:sz w:val="24"/>
        </w:rPr>
        <w:t>OMB</w:t>
      </w:r>
      <w:r w:rsidRPr="00502290">
        <w:rPr>
          <w:sz w:val="24"/>
        </w:rPr>
        <w:t xml:space="preserve"> approval </w:t>
      </w:r>
      <w:r w:rsidR="00073544">
        <w:rPr>
          <w:sz w:val="24"/>
        </w:rPr>
        <w:t xml:space="preserve">is not sought </w:t>
      </w:r>
      <w:r w:rsidRPr="00502290">
        <w:rPr>
          <w:sz w:val="24"/>
        </w:rPr>
        <w:t>for the</w:t>
      </w:r>
      <w:r>
        <w:rPr>
          <w:sz w:val="24"/>
        </w:rPr>
        <w:t xml:space="preserve"> below-referenced data collection </w:t>
      </w:r>
      <w:r w:rsidRPr="00502290">
        <w:rPr>
          <w:sz w:val="24"/>
        </w:rPr>
        <w:t>activities because the estimated number of respondents</w:t>
      </w:r>
      <w:r>
        <w:rPr>
          <w:sz w:val="24"/>
        </w:rPr>
        <w:t xml:space="preserve"> for each of these activities</w:t>
      </w:r>
      <w:r w:rsidRPr="00502290">
        <w:rPr>
          <w:sz w:val="24"/>
        </w:rPr>
        <w:t xml:space="preserve"> is less than 10</w:t>
      </w:r>
      <w:r>
        <w:rPr>
          <w:sz w:val="24"/>
        </w:rPr>
        <w:t xml:space="preserve"> respondents</w:t>
      </w:r>
      <w:r w:rsidRPr="00502290">
        <w:rPr>
          <w:sz w:val="24"/>
        </w:rPr>
        <w:t>.</w:t>
      </w:r>
    </w:p>
    <w:p w:rsidRPr="00502290" w:rsidR="00502290" w:rsidP="00B84C27" w:rsidRDefault="00502290" w14:paraId="67C81B5F" w14:textId="77777777">
      <w:pPr>
        <w:rPr>
          <w:sz w:val="24"/>
        </w:rPr>
      </w:pPr>
      <w:bookmarkStart w:name="_Toc30602657" w:id="2"/>
    </w:p>
    <w:p w:rsidRPr="00545B2E" w:rsidR="00047976" w:rsidP="00B84C27" w:rsidRDefault="00047976" w14:paraId="0F540DE4" w14:textId="4F49DC70">
      <w:pPr>
        <w:rPr>
          <w:b/>
          <w:sz w:val="24"/>
        </w:rPr>
      </w:pPr>
      <w:r w:rsidRPr="00545B2E">
        <w:rPr>
          <w:b/>
          <w:sz w:val="24"/>
        </w:rPr>
        <w:t>Aggregate</w:t>
      </w:r>
      <w:bookmarkEnd w:id="2"/>
      <w:r w:rsidR="007D25A4">
        <w:rPr>
          <w:b/>
          <w:sz w:val="24"/>
        </w:rPr>
        <w:t xml:space="preserve"> S</w:t>
      </w:r>
      <w:r w:rsidRPr="00545B2E" w:rsidR="000C544D">
        <w:rPr>
          <w:b/>
          <w:sz w:val="24"/>
        </w:rPr>
        <w:t>tatistics</w:t>
      </w:r>
    </w:p>
    <w:p w:rsidRPr="00545B2E" w:rsidR="000C544D" w:rsidP="009D1C89" w:rsidRDefault="000B4F7E" w14:paraId="7F488F50" w14:textId="26A8A65E">
      <w:pPr>
        <w:pStyle w:val="BodyText"/>
        <w:spacing w:after="0"/>
        <w:rPr>
          <w:sz w:val="24"/>
        </w:rPr>
      </w:pPr>
      <w:r>
        <w:rPr>
          <w:sz w:val="24"/>
        </w:rPr>
        <w:t>A</w:t>
      </w:r>
      <w:r w:rsidRPr="00545B2E" w:rsidR="000C544D">
        <w:rPr>
          <w:sz w:val="24"/>
        </w:rPr>
        <w:t xml:space="preserve">ggregate statistics </w:t>
      </w:r>
      <w:r w:rsidRPr="00545B2E" w:rsidR="00063201">
        <w:rPr>
          <w:sz w:val="24"/>
        </w:rPr>
        <w:t>for specific measures</w:t>
      </w:r>
      <w:r w:rsidRPr="00545B2E" w:rsidR="000C544D">
        <w:rPr>
          <w:sz w:val="24"/>
        </w:rPr>
        <w:t xml:space="preserve"> to support </w:t>
      </w:r>
      <w:r w:rsidR="004B3DE2">
        <w:rPr>
          <w:sz w:val="24"/>
        </w:rPr>
        <w:t>the</w:t>
      </w:r>
      <w:r>
        <w:rPr>
          <w:sz w:val="24"/>
        </w:rPr>
        <w:t xml:space="preserve"> evaluation will be collected,</w:t>
      </w:r>
      <w:r w:rsidRPr="00545B2E" w:rsidR="000C544D">
        <w:rPr>
          <w:sz w:val="24"/>
        </w:rPr>
        <w:t xml:space="preserve"> focusing on data system contents, linking results, and ultimate system and patient outcomes. </w:t>
      </w:r>
      <w:r w:rsidR="00F53884">
        <w:rPr>
          <w:sz w:val="24"/>
        </w:rPr>
        <w:t xml:space="preserve"> </w:t>
      </w:r>
      <w:r>
        <w:rPr>
          <w:sz w:val="24"/>
        </w:rPr>
        <w:t>T</w:t>
      </w:r>
      <w:r w:rsidRPr="00545B2E" w:rsidR="00063201">
        <w:rPr>
          <w:sz w:val="24"/>
        </w:rPr>
        <w:t xml:space="preserve">hese data </w:t>
      </w:r>
      <w:r>
        <w:rPr>
          <w:sz w:val="24"/>
        </w:rPr>
        <w:t xml:space="preserve">will be collected </w:t>
      </w:r>
      <w:r w:rsidRPr="00545B2E" w:rsidR="00063201">
        <w:rPr>
          <w:sz w:val="24"/>
        </w:rPr>
        <w:t>from partici</w:t>
      </w:r>
      <w:r w:rsidR="00F348E7">
        <w:rPr>
          <w:sz w:val="24"/>
        </w:rPr>
        <w:t xml:space="preserve">pating jurisdictions quarterly. </w:t>
      </w:r>
      <w:r w:rsidR="00F53884">
        <w:rPr>
          <w:sz w:val="24"/>
        </w:rPr>
        <w:t xml:space="preserve"> </w:t>
      </w:r>
      <w:r w:rsidRPr="00545B2E" w:rsidR="000C544D">
        <w:rPr>
          <w:sz w:val="24"/>
        </w:rPr>
        <w:t xml:space="preserve">These </w:t>
      </w:r>
      <w:r w:rsidRPr="00545B2E" w:rsidR="00063201">
        <w:rPr>
          <w:sz w:val="24"/>
        </w:rPr>
        <w:t xml:space="preserve">will </w:t>
      </w:r>
      <w:r w:rsidRPr="00545B2E" w:rsidR="000C544D">
        <w:rPr>
          <w:sz w:val="24"/>
        </w:rPr>
        <w:t>include basic statistics – percentages, counts, means, medians, minimum, maximum, and s</w:t>
      </w:r>
      <w:r w:rsidRPr="00545B2E" w:rsidR="00063201">
        <w:rPr>
          <w:sz w:val="24"/>
        </w:rPr>
        <w:t xml:space="preserve">tandard deviations. </w:t>
      </w:r>
      <w:r w:rsidR="00F53884">
        <w:rPr>
          <w:sz w:val="24"/>
        </w:rPr>
        <w:t xml:space="preserve"> </w:t>
      </w:r>
      <w:r w:rsidR="00925841">
        <w:rPr>
          <w:sz w:val="24"/>
        </w:rPr>
        <w:t>Aggregate s</w:t>
      </w:r>
      <w:r w:rsidRPr="00545B2E" w:rsidR="00063201">
        <w:rPr>
          <w:sz w:val="24"/>
        </w:rPr>
        <w:t xml:space="preserve">tatistics measures </w:t>
      </w:r>
      <w:r w:rsidR="00925841">
        <w:rPr>
          <w:sz w:val="24"/>
        </w:rPr>
        <w:t xml:space="preserve">are aligned </w:t>
      </w:r>
      <w:r w:rsidRPr="00545B2E" w:rsidR="00063201">
        <w:rPr>
          <w:sz w:val="24"/>
        </w:rPr>
        <w:t xml:space="preserve">to applicable HRSA HAB performance measures and to TA focus areas. </w:t>
      </w:r>
      <w:r w:rsidR="00F53884">
        <w:rPr>
          <w:sz w:val="24"/>
        </w:rPr>
        <w:t xml:space="preserve"> </w:t>
      </w:r>
      <w:r w:rsidR="00D4304F">
        <w:rPr>
          <w:sz w:val="24"/>
        </w:rPr>
        <w:t>M</w:t>
      </w:r>
      <w:r w:rsidRPr="00545B2E" w:rsidR="00063201">
        <w:rPr>
          <w:sz w:val="24"/>
        </w:rPr>
        <w:t xml:space="preserve">easures on </w:t>
      </w:r>
      <w:proofErr w:type="spellStart"/>
      <w:r w:rsidRPr="00545B2E" w:rsidR="00063201">
        <w:rPr>
          <w:sz w:val="24"/>
        </w:rPr>
        <w:t>STI</w:t>
      </w:r>
      <w:proofErr w:type="spellEnd"/>
      <w:r w:rsidRPr="00545B2E" w:rsidR="00063201">
        <w:rPr>
          <w:sz w:val="24"/>
        </w:rPr>
        <w:t xml:space="preserve"> and HIV surveillance</w:t>
      </w:r>
      <w:r w:rsidR="00D4304F">
        <w:rPr>
          <w:sz w:val="24"/>
        </w:rPr>
        <w:t xml:space="preserve"> will be collected</w:t>
      </w:r>
      <w:r w:rsidRPr="00545B2E" w:rsidR="00063201">
        <w:rPr>
          <w:sz w:val="24"/>
        </w:rPr>
        <w:t xml:space="preserve">, including additional measures on the HIV care continuum, outreach to those not engaged in care, screening and linkage to care of the partners of </w:t>
      </w:r>
      <w:r w:rsidR="00F348E7">
        <w:rPr>
          <w:sz w:val="24"/>
        </w:rPr>
        <w:t>people with HIV</w:t>
      </w:r>
      <w:r w:rsidRPr="00545B2E" w:rsidR="00063201">
        <w:rPr>
          <w:sz w:val="24"/>
        </w:rPr>
        <w:t xml:space="preserve"> for STIs and HIV in alignment with the statement of work. Finally,</w:t>
      </w:r>
      <w:r w:rsidR="0075517D">
        <w:rPr>
          <w:sz w:val="24"/>
        </w:rPr>
        <w:t xml:space="preserve"> </w:t>
      </w:r>
      <w:r w:rsidRPr="00545B2E" w:rsidR="000C544D">
        <w:rPr>
          <w:sz w:val="24"/>
        </w:rPr>
        <w:t>statistics about linking</w:t>
      </w:r>
      <w:r w:rsidR="00D4304F">
        <w:rPr>
          <w:sz w:val="24"/>
        </w:rPr>
        <w:t xml:space="preserve"> will also be collected</w:t>
      </w:r>
      <w:r w:rsidRPr="00545B2E" w:rsidR="000C544D">
        <w:rPr>
          <w:sz w:val="24"/>
        </w:rPr>
        <w:t>, a</w:t>
      </w:r>
      <w:r w:rsidR="00D4304F">
        <w:rPr>
          <w:sz w:val="24"/>
        </w:rPr>
        <w:t xml:space="preserve">s well as </w:t>
      </w:r>
      <w:r w:rsidRPr="00545B2E" w:rsidR="000C544D">
        <w:rPr>
          <w:sz w:val="24"/>
        </w:rPr>
        <w:t xml:space="preserve">activities </w:t>
      </w:r>
      <w:r w:rsidR="00D6193D">
        <w:rPr>
          <w:sz w:val="24"/>
        </w:rPr>
        <w:t>to be conducted</w:t>
      </w:r>
      <w:r w:rsidRPr="00545B2E" w:rsidR="000C544D">
        <w:rPr>
          <w:sz w:val="24"/>
        </w:rPr>
        <w:t xml:space="preserve"> after linkages are made (e.g., identifying comorbidities/coinfection; outreach to those who become disengaged from care).</w:t>
      </w:r>
      <w:r w:rsidR="002C4898">
        <w:rPr>
          <w:sz w:val="24"/>
        </w:rPr>
        <w:t xml:space="preserve"> The aggregate statistics template can be found in Attachment E.</w:t>
      </w:r>
      <w:r w:rsidRPr="00545B2E" w:rsidR="000C544D">
        <w:rPr>
          <w:sz w:val="24"/>
        </w:rPr>
        <w:t xml:space="preserve"> </w:t>
      </w:r>
    </w:p>
    <w:p w:rsidRPr="00545B2E" w:rsidR="00047976" w:rsidP="009D1C89" w:rsidRDefault="00047976" w14:paraId="26A5A072" w14:textId="648B9605">
      <w:pPr>
        <w:pStyle w:val="BodyText"/>
        <w:spacing w:after="0"/>
        <w:rPr>
          <w:sz w:val="24"/>
        </w:rPr>
      </w:pPr>
    </w:p>
    <w:p w:rsidRPr="00545B2E" w:rsidR="00047976" w:rsidP="00B84C27" w:rsidRDefault="00F348E7" w14:paraId="654658DC" w14:textId="629AF89B">
      <w:pPr>
        <w:rPr>
          <w:b/>
          <w:sz w:val="24"/>
        </w:rPr>
      </w:pPr>
      <w:r>
        <w:rPr>
          <w:b/>
          <w:sz w:val="24"/>
        </w:rPr>
        <w:t>Personnel Time R</w:t>
      </w:r>
      <w:r w:rsidRPr="00545B2E" w:rsidR="008031B8">
        <w:rPr>
          <w:b/>
          <w:sz w:val="24"/>
        </w:rPr>
        <w:t>eports</w:t>
      </w:r>
    </w:p>
    <w:p w:rsidRPr="00545B2E" w:rsidR="005C1FC6" w:rsidP="009D1C89" w:rsidRDefault="00D4304F" w14:paraId="7EDEA7F9" w14:textId="30BAE52B">
      <w:pPr>
        <w:pStyle w:val="BulletsLast"/>
        <w:numPr>
          <w:ilvl w:val="0"/>
          <w:numId w:val="0"/>
        </w:numPr>
        <w:spacing w:after="0"/>
        <w:rPr>
          <w:sz w:val="24"/>
          <w:szCs w:val="24"/>
        </w:rPr>
      </w:pPr>
      <w:r>
        <w:rPr>
          <w:sz w:val="24"/>
          <w:szCs w:val="24"/>
        </w:rPr>
        <w:t>A</w:t>
      </w:r>
      <w:r w:rsidRPr="00545B2E" w:rsidR="008031B8">
        <w:rPr>
          <w:sz w:val="24"/>
          <w:szCs w:val="24"/>
        </w:rPr>
        <w:t xml:space="preserve"> monthly time reporting form </w:t>
      </w:r>
      <w:r>
        <w:rPr>
          <w:sz w:val="24"/>
          <w:szCs w:val="24"/>
        </w:rPr>
        <w:t xml:space="preserve">will be collected </w:t>
      </w:r>
      <w:r w:rsidRPr="00545B2E" w:rsidR="008031B8">
        <w:rPr>
          <w:sz w:val="24"/>
          <w:szCs w:val="24"/>
        </w:rPr>
        <w:t xml:space="preserve">from each jurisdiction to inform the cost analysis. </w:t>
      </w:r>
      <w:r w:rsidR="00F53884">
        <w:rPr>
          <w:sz w:val="24"/>
          <w:szCs w:val="24"/>
        </w:rPr>
        <w:t xml:space="preserve"> </w:t>
      </w:r>
      <w:r w:rsidRPr="00545B2E" w:rsidR="008031B8">
        <w:rPr>
          <w:sz w:val="24"/>
          <w:szCs w:val="24"/>
        </w:rPr>
        <w:t>The time reporting form captures information on the hours spent by jurisdiction staff to conduct activities related to</w:t>
      </w:r>
      <w:r w:rsidRPr="00545B2E" w:rsidR="00047976">
        <w:rPr>
          <w:sz w:val="24"/>
          <w:szCs w:val="24"/>
        </w:rPr>
        <w:t xml:space="preserve"> developing and implementing a process for linking</w:t>
      </w:r>
      <w:r w:rsidRPr="00545B2E" w:rsidR="008031B8">
        <w:rPr>
          <w:sz w:val="24"/>
          <w:szCs w:val="24"/>
        </w:rPr>
        <w:t xml:space="preserve"> HIV and STI data and using linked data to conduct outreach and follow up activities</w:t>
      </w:r>
      <w:r w:rsidRPr="00545B2E" w:rsidR="00047976">
        <w:rPr>
          <w:sz w:val="24"/>
          <w:szCs w:val="24"/>
        </w:rPr>
        <w:t>.</w:t>
      </w:r>
      <w:r w:rsidR="002C4898">
        <w:rPr>
          <w:sz w:val="24"/>
          <w:szCs w:val="24"/>
        </w:rPr>
        <w:t xml:space="preserve"> </w:t>
      </w:r>
      <w:r w:rsidR="00F53884">
        <w:rPr>
          <w:sz w:val="24"/>
          <w:szCs w:val="24"/>
        </w:rPr>
        <w:t xml:space="preserve"> </w:t>
      </w:r>
      <w:r w:rsidR="002C4898">
        <w:rPr>
          <w:sz w:val="24"/>
        </w:rPr>
        <w:t>The personnel time report template can be found in Attachment F.</w:t>
      </w:r>
      <w:r w:rsidRPr="00545B2E" w:rsidR="00047976">
        <w:rPr>
          <w:sz w:val="24"/>
          <w:szCs w:val="24"/>
        </w:rPr>
        <w:t xml:space="preserve"> </w:t>
      </w:r>
    </w:p>
    <w:p w:rsidRPr="00545B2E" w:rsidR="008031B8" w:rsidP="009D1C89" w:rsidRDefault="008031B8" w14:paraId="0A6B00CE" w14:textId="77777777">
      <w:pPr>
        <w:pStyle w:val="BulletsLast"/>
        <w:numPr>
          <w:ilvl w:val="0"/>
          <w:numId w:val="0"/>
        </w:numPr>
        <w:spacing w:after="0"/>
        <w:rPr>
          <w:sz w:val="24"/>
          <w:szCs w:val="24"/>
        </w:rPr>
      </w:pPr>
    </w:p>
    <w:p w:rsidRPr="00545B2E" w:rsidR="00B84C27" w:rsidP="00B84C27" w:rsidRDefault="00F348E7" w14:paraId="1E07344A" w14:textId="6C8DDBBE">
      <w:pPr>
        <w:rPr>
          <w:b/>
          <w:sz w:val="24"/>
        </w:rPr>
      </w:pPr>
      <w:bookmarkStart w:name="_Toc30602651" w:id="3"/>
      <w:r>
        <w:rPr>
          <w:b/>
          <w:sz w:val="24"/>
        </w:rPr>
        <w:t>Document R</w:t>
      </w:r>
      <w:r w:rsidRPr="00545B2E" w:rsidR="00B84C27">
        <w:rPr>
          <w:b/>
          <w:sz w:val="24"/>
        </w:rPr>
        <w:t>eview</w:t>
      </w:r>
      <w:bookmarkEnd w:id="3"/>
    </w:p>
    <w:p w:rsidRPr="00545B2E" w:rsidR="00B84C27" w:rsidP="00B84C27" w:rsidRDefault="00D4304F" w14:paraId="35F4AAAB" w14:textId="74A9195E">
      <w:pPr>
        <w:pStyle w:val="BodyText"/>
        <w:spacing w:after="0"/>
        <w:rPr>
          <w:sz w:val="24"/>
        </w:rPr>
      </w:pPr>
      <w:r>
        <w:rPr>
          <w:sz w:val="24"/>
        </w:rPr>
        <w:t xml:space="preserve">Several different types of documents </w:t>
      </w:r>
      <w:r w:rsidRPr="00545B2E" w:rsidR="00B84C27">
        <w:rPr>
          <w:sz w:val="24"/>
        </w:rPr>
        <w:t xml:space="preserve">developed by and/or administered by the TAP and jurisdictions </w:t>
      </w:r>
      <w:r>
        <w:rPr>
          <w:sz w:val="24"/>
        </w:rPr>
        <w:t xml:space="preserve">will be collected </w:t>
      </w:r>
      <w:r w:rsidRPr="00545B2E" w:rsidR="00B84C27">
        <w:rPr>
          <w:sz w:val="24"/>
        </w:rPr>
        <w:t>as a secondary data source to infor</w:t>
      </w:r>
      <w:r w:rsidRPr="00545B2E" w:rsidR="008031B8">
        <w:rPr>
          <w:sz w:val="24"/>
        </w:rPr>
        <w:t xml:space="preserve">m the evaluation. </w:t>
      </w:r>
      <w:r w:rsidR="00F53884">
        <w:rPr>
          <w:sz w:val="24"/>
        </w:rPr>
        <w:t xml:space="preserve"> </w:t>
      </w:r>
      <w:r>
        <w:rPr>
          <w:sz w:val="24"/>
        </w:rPr>
        <w:t>D</w:t>
      </w:r>
      <w:r w:rsidRPr="00545B2E" w:rsidR="008031B8">
        <w:rPr>
          <w:sz w:val="24"/>
        </w:rPr>
        <w:t xml:space="preserve">ocuments from the </w:t>
      </w:r>
      <w:r w:rsidRPr="00545B2E" w:rsidR="00B84C27">
        <w:rPr>
          <w:sz w:val="24"/>
        </w:rPr>
        <w:t>T</w:t>
      </w:r>
      <w:r w:rsidRPr="00545B2E" w:rsidR="00E90750">
        <w:rPr>
          <w:sz w:val="24"/>
        </w:rPr>
        <w:t xml:space="preserve">AP </w:t>
      </w:r>
      <w:r>
        <w:rPr>
          <w:sz w:val="24"/>
        </w:rPr>
        <w:t xml:space="preserve">will </w:t>
      </w:r>
      <w:r w:rsidRPr="00545B2E" w:rsidR="00E90750">
        <w:rPr>
          <w:sz w:val="24"/>
        </w:rPr>
        <w:t>includ</w:t>
      </w:r>
      <w:r>
        <w:rPr>
          <w:sz w:val="24"/>
        </w:rPr>
        <w:t>e</w:t>
      </w:r>
      <w:r w:rsidRPr="00545B2E" w:rsidR="00E90750">
        <w:rPr>
          <w:sz w:val="24"/>
        </w:rPr>
        <w:t xml:space="preserve"> </w:t>
      </w:r>
      <w:r w:rsidRPr="00545B2E" w:rsidR="00B84C27">
        <w:rPr>
          <w:sz w:val="24"/>
        </w:rPr>
        <w:t>programmatic TA documents between the TAP and jurisdictions,</w:t>
      </w:r>
      <w:r w:rsidRPr="00545B2E" w:rsidR="00E90750">
        <w:rPr>
          <w:sz w:val="24"/>
        </w:rPr>
        <w:t xml:space="preserve"> meeting notes, and</w:t>
      </w:r>
      <w:r w:rsidRPr="00545B2E" w:rsidR="00B84C27">
        <w:rPr>
          <w:sz w:val="24"/>
        </w:rPr>
        <w:t xml:space="preserve"> needs assessment</w:t>
      </w:r>
      <w:r w:rsidRPr="00545B2E" w:rsidR="00E90750">
        <w:rPr>
          <w:sz w:val="24"/>
        </w:rPr>
        <w:t xml:space="preserve"> results</w:t>
      </w:r>
      <w:r w:rsidRPr="00545B2E" w:rsidR="00B84C27">
        <w:rPr>
          <w:sz w:val="24"/>
        </w:rPr>
        <w:t xml:space="preserve">. </w:t>
      </w:r>
      <w:r w:rsidR="00F53884">
        <w:rPr>
          <w:sz w:val="24"/>
        </w:rPr>
        <w:t xml:space="preserve"> </w:t>
      </w:r>
      <w:r w:rsidRPr="00545B2E" w:rsidR="00B84C27">
        <w:rPr>
          <w:sz w:val="24"/>
        </w:rPr>
        <w:t>Documents from the jurisdictio</w:t>
      </w:r>
      <w:r w:rsidRPr="00545B2E" w:rsidR="00E90750">
        <w:rPr>
          <w:sz w:val="24"/>
        </w:rPr>
        <w:t>ns will include data use and</w:t>
      </w:r>
      <w:r w:rsidRPr="00545B2E" w:rsidR="00B84C27">
        <w:rPr>
          <w:sz w:val="24"/>
        </w:rPr>
        <w:t xml:space="preserve"> sharing</w:t>
      </w:r>
      <w:r w:rsidRPr="00545B2E" w:rsidR="00E90750">
        <w:rPr>
          <w:sz w:val="24"/>
        </w:rPr>
        <w:t xml:space="preserve"> agreements</w:t>
      </w:r>
      <w:r w:rsidRPr="00545B2E" w:rsidR="00B84C27">
        <w:rPr>
          <w:sz w:val="24"/>
        </w:rPr>
        <w:t>,</w:t>
      </w:r>
      <w:r w:rsidRPr="00545B2E" w:rsidR="00E90750">
        <w:rPr>
          <w:sz w:val="24"/>
        </w:rPr>
        <w:t xml:space="preserve"> data</w:t>
      </w:r>
      <w:r w:rsidRPr="00545B2E" w:rsidR="00B84C27">
        <w:rPr>
          <w:sz w:val="24"/>
        </w:rPr>
        <w:t xml:space="preserve"> governance</w:t>
      </w:r>
      <w:r w:rsidRPr="00545B2E" w:rsidR="00E90750">
        <w:rPr>
          <w:sz w:val="24"/>
        </w:rPr>
        <w:t xml:space="preserve"> models, memoranda of understanding, and standard operating procedures. </w:t>
      </w:r>
    </w:p>
    <w:p w:rsidRPr="00545B2E" w:rsidR="004622AD" w:rsidP="00B84C27" w:rsidRDefault="004622AD" w14:paraId="5148511B" w14:textId="5D4126B0">
      <w:pPr>
        <w:rPr>
          <w:sz w:val="24"/>
        </w:rPr>
      </w:pPr>
      <w:r w:rsidRPr="00545B2E">
        <w:rPr>
          <w:sz w:val="24"/>
        </w:rPr>
        <w:tab/>
      </w:r>
    </w:p>
    <w:p w:rsidR="00F53884" w:rsidP="00995972" w:rsidRDefault="00D4304F" w14:paraId="7545E467" w14:textId="77777777">
      <w:pPr>
        <w:pStyle w:val="BodyText"/>
        <w:spacing w:after="0"/>
        <w:rPr>
          <w:sz w:val="24"/>
        </w:rPr>
      </w:pPr>
      <w:r>
        <w:rPr>
          <w:sz w:val="24"/>
        </w:rPr>
        <w:t>T</w:t>
      </w:r>
      <w:r w:rsidRPr="00545B2E" w:rsidR="00C91FFB">
        <w:rPr>
          <w:sz w:val="24"/>
        </w:rPr>
        <w:t>his e</w:t>
      </w:r>
      <w:r w:rsidRPr="00545B2E" w:rsidR="00267B7D">
        <w:rPr>
          <w:sz w:val="24"/>
        </w:rPr>
        <w:t xml:space="preserve">valuation, like any study, has </w:t>
      </w:r>
      <w:r w:rsidRPr="00545B2E" w:rsidR="00C91FFB">
        <w:rPr>
          <w:sz w:val="24"/>
        </w:rPr>
        <w:t>limitations due to the type</w:t>
      </w:r>
      <w:r w:rsidRPr="00545B2E" w:rsidR="00267B7D">
        <w:rPr>
          <w:sz w:val="24"/>
        </w:rPr>
        <w:t xml:space="preserve">s of planned data collection. </w:t>
      </w:r>
      <w:r w:rsidR="00F53884">
        <w:rPr>
          <w:sz w:val="24"/>
        </w:rPr>
        <w:t xml:space="preserve"> </w:t>
      </w:r>
    </w:p>
    <w:p w:rsidR="004622AD" w:rsidP="00995972" w:rsidRDefault="00267B7D" w14:paraId="6D9AF074" w14:textId="11A22F79">
      <w:pPr>
        <w:pStyle w:val="BodyText"/>
        <w:spacing w:after="0"/>
        <w:rPr>
          <w:sz w:val="24"/>
        </w:rPr>
      </w:pPr>
      <w:r w:rsidRPr="00545B2E">
        <w:rPr>
          <w:sz w:val="24"/>
        </w:rPr>
        <w:t>These limitations</w:t>
      </w:r>
      <w:r w:rsidRPr="00545B2E" w:rsidR="00C91FFB">
        <w:rPr>
          <w:sz w:val="24"/>
        </w:rPr>
        <w:t xml:space="preserve"> may result in over or understatem</w:t>
      </w:r>
      <w:r w:rsidRPr="00545B2E" w:rsidR="00E90750">
        <w:rPr>
          <w:sz w:val="24"/>
        </w:rPr>
        <w:t xml:space="preserve">ent of the conclusions. </w:t>
      </w:r>
      <w:r w:rsidR="00F53884">
        <w:rPr>
          <w:sz w:val="24"/>
        </w:rPr>
        <w:t xml:space="preserve"> </w:t>
      </w:r>
      <w:r w:rsidRPr="00545B2E">
        <w:rPr>
          <w:sz w:val="24"/>
        </w:rPr>
        <w:t xml:space="preserve">One </w:t>
      </w:r>
      <w:r w:rsidRPr="00545B2E" w:rsidR="009C0EE3">
        <w:rPr>
          <w:sz w:val="24"/>
        </w:rPr>
        <w:t>potential</w:t>
      </w:r>
      <w:r w:rsidRPr="00545B2E">
        <w:rPr>
          <w:sz w:val="24"/>
        </w:rPr>
        <w:t xml:space="preserve"> limitation is that t</w:t>
      </w:r>
      <w:r w:rsidRPr="00545B2E" w:rsidR="00E90750">
        <w:rPr>
          <w:sz w:val="24"/>
        </w:rPr>
        <w:t>he semi-structured interviews</w:t>
      </w:r>
      <w:r w:rsidRPr="00545B2E" w:rsidR="00C91FFB">
        <w:rPr>
          <w:sz w:val="24"/>
        </w:rPr>
        <w:t xml:space="preserve"> </w:t>
      </w:r>
      <w:r w:rsidRPr="00545B2E" w:rsidR="009C0EE3">
        <w:rPr>
          <w:sz w:val="24"/>
        </w:rPr>
        <w:t xml:space="preserve">and data end-user survey </w:t>
      </w:r>
      <w:r w:rsidRPr="00545B2E" w:rsidR="00C91FFB">
        <w:rPr>
          <w:sz w:val="24"/>
        </w:rPr>
        <w:t xml:space="preserve">will gather self-report data. </w:t>
      </w:r>
      <w:r w:rsidR="00F53884">
        <w:rPr>
          <w:sz w:val="24"/>
        </w:rPr>
        <w:t xml:space="preserve"> </w:t>
      </w:r>
      <w:r w:rsidRPr="00545B2E" w:rsidR="00C91FFB">
        <w:rPr>
          <w:sz w:val="24"/>
        </w:rPr>
        <w:t>Self-reported data are at risk of threats to reliabilit</w:t>
      </w:r>
      <w:r w:rsidRPr="00545B2E">
        <w:rPr>
          <w:sz w:val="24"/>
        </w:rPr>
        <w:t>y and validity if participants do not</w:t>
      </w:r>
      <w:r w:rsidRPr="00545B2E" w:rsidR="00C91FFB">
        <w:rPr>
          <w:sz w:val="24"/>
        </w:rPr>
        <w:t xml:space="preserve"> understand the questions, provide a desired answer, or provide inaccurate or misleading information. </w:t>
      </w:r>
      <w:r w:rsidR="00F53884">
        <w:rPr>
          <w:sz w:val="24"/>
        </w:rPr>
        <w:t xml:space="preserve"> </w:t>
      </w:r>
      <w:r w:rsidRPr="00545B2E">
        <w:rPr>
          <w:sz w:val="24"/>
        </w:rPr>
        <w:t xml:space="preserve">Another limitation is that the data quality of the aggregate statistics </w:t>
      </w:r>
      <w:r w:rsidRPr="00545B2E" w:rsidR="009C0EE3">
        <w:rPr>
          <w:sz w:val="24"/>
        </w:rPr>
        <w:t xml:space="preserve">and time reporting data </w:t>
      </w:r>
      <w:r w:rsidRPr="00545B2E">
        <w:rPr>
          <w:sz w:val="24"/>
        </w:rPr>
        <w:t>collect</w:t>
      </w:r>
      <w:r w:rsidR="0075517D">
        <w:rPr>
          <w:sz w:val="24"/>
        </w:rPr>
        <w:t>ed</w:t>
      </w:r>
      <w:r w:rsidRPr="00545B2E">
        <w:rPr>
          <w:sz w:val="24"/>
        </w:rPr>
        <w:t xml:space="preserve"> may vary by jurisdiction. </w:t>
      </w:r>
      <w:r w:rsidR="00F53884">
        <w:rPr>
          <w:sz w:val="24"/>
        </w:rPr>
        <w:t xml:space="preserve"> </w:t>
      </w:r>
      <w:r w:rsidRPr="00545B2E">
        <w:rPr>
          <w:sz w:val="24"/>
        </w:rPr>
        <w:t xml:space="preserve">Some participating jurisdictions have better, cleaner data to work with and better data capacity than others. </w:t>
      </w:r>
      <w:r w:rsidR="00F53884">
        <w:rPr>
          <w:sz w:val="24"/>
        </w:rPr>
        <w:t xml:space="preserve"> </w:t>
      </w:r>
      <w:r w:rsidRPr="00545B2E" w:rsidR="009C0EE3">
        <w:rPr>
          <w:sz w:val="24"/>
        </w:rPr>
        <w:t>A third limitation relates to the document review</w:t>
      </w:r>
      <w:r w:rsidR="00F53884">
        <w:rPr>
          <w:sz w:val="24"/>
        </w:rPr>
        <w:t xml:space="preserve"> - </w:t>
      </w:r>
      <w:r w:rsidRPr="00545B2E" w:rsidR="009C0EE3">
        <w:rPr>
          <w:sz w:val="24"/>
        </w:rPr>
        <w:t xml:space="preserve">documentation of certain TA processes and activities may be better documented than others, which will impact the conclusions </w:t>
      </w:r>
      <w:r w:rsidR="0075517D">
        <w:rPr>
          <w:sz w:val="24"/>
        </w:rPr>
        <w:t>drawn</w:t>
      </w:r>
      <w:r w:rsidRPr="00545B2E" w:rsidR="009C0EE3">
        <w:rPr>
          <w:sz w:val="24"/>
        </w:rPr>
        <w:t xml:space="preserve"> when reviewing the documents. </w:t>
      </w:r>
      <w:r w:rsidR="00F53884">
        <w:rPr>
          <w:sz w:val="24"/>
        </w:rPr>
        <w:t xml:space="preserve"> </w:t>
      </w:r>
      <w:r w:rsidR="00D4304F">
        <w:rPr>
          <w:sz w:val="24"/>
        </w:rPr>
        <w:t>T</w:t>
      </w:r>
      <w:r w:rsidRPr="00545B2E" w:rsidR="009C0EE3">
        <w:rPr>
          <w:sz w:val="24"/>
        </w:rPr>
        <w:t xml:space="preserve">hese limitations will </w:t>
      </w:r>
      <w:r w:rsidR="00D4304F">
        <w:rPr>
          <w:sz w:val="24"/>
        </w:rPr>
        <w:t xml:space="preserve">be considered, and </w:t>
      </w:r>
      <w:r w:rsidRPr="00545B2E" w:rsidR="009C0EE3">
        <w:rPr>
          <w:sz w:val="24"/>
        </w:rPr>
        <w:t xml:space="preserve">evaluation findings </w:t>
      </w:r>
      <w:r w:rsidR="00D4304F">
        <w:rPr>
          <w:sz w:val="24"/>
        </w:rPr>
        <w:t>will reflect t</w:t>
      </w:r>
      <w:r w:rsidRPr="00545B2E" w:rsidR="009C0EE3">
        <w:rPr>
          <w:sz w:val="24"/>
        </w:rPr>
        <w:t xml:space="preserve">he context of these limitations. </w:t>
      </w:r>
      <w:r w:rsidR="00F53884">
        <w:rPr>
          <w:sz w:val="24"/>
        </w:rPr>
        <w:t xml:space="preserve"> </w:t>
      </w:r>
      <w:r w:rsidRPr="00545B2E" w:rsidR="009C0EE3">
        <w:rPr>
          <w:sz w:val="24"/>
        </w:rPr>
        <w:t>Essentially, r</w:t>
      </w:r>
      <w:r w:rsidRPr="00545B2E" w:rsidR="00C91FFB">
        <w:rPr>
          <w:sz w:val="24"/>
        </w:rPr>
        <w:t>esults will be generalizable t</w:t>
      </w:r>
      <w:r w:rsidRPr="00545B2E" w:rsidR="009C0EE3">
        <w:rPr>
          <w:sz w:val="24"/>
        </w:rPr>
        <w:t xml:space="preserve">o only those jurisdictions that participate in this project. </w:t>
      </w:r>
      <w:r w:rsidR="00F53884">
        <w:rPr>
          <w:sz w:val="24"/>
        </w:rPr>
        <w:t xml:space="preserve"> </w:t>
      </w:r>
      <w:r w:rsidRPr="00545B2E" w:rsidR="009C0EE3">
        <w:rPr>
          <w:sz w:val="24"/>
        </w:rPr>
        <w:t>However, findings may translate and be informative to other</w:t>
      </w:r>
      <w:r w:rsidR="00D6193D">
        <w:rPr>
          <w:sz w:val="24"/>
        </w:rPr>
        <w:t>,</w:t>
      </w:r>
      <w:r w:rsidRPr="00545B2E" w:rsidR="009C0EE3">
        <w:rPr>
          <w:sz w:val="24"/>
        </w:rPr>
        <w:t xml:space="preserve"> similar RWHAP jurisdictions</w:t>
      </w:r>
      <w:r w:rsidRPr="00545B2E" w:rsidR="00C91FFB">
        <w:rPr>
          <w:sz w:val="24"/>
        </w:rPr>
        <w:t xml:space="preserve">. </w:t>
      </w:r>
    </w:p>
    <w:p w:rsidRPr="00545B2E" w:rsidR="00995972" w:rsidP="00024782" w:rsidRDefault="00995972" w14:paraId="108D9DDC" w14:textId="77777777">
      <w:pPr>
        <w:numPr>
          <w:ilvl w:val="0"/>
          <w:numId w:val="1"/>
        </w:numPr>
        <w:spacing w:before="240"/>
        <w:rPr>
          <w:sz w:val="24"/>
        </w:rPr>
      </w:pPr>
      <w:r w:rsidRPr="00545B2E">
        <w:rPr>
          <w:b/>
          <w:sz w:val="24"/>
          <w:u w:val="single"/>
        </w:rPr>
        <w:lastRenderedPageBreak/>
        <w:t>Use of Improved Information Technology and Burden Reduction</w:t>
      </w:r>
    </w:p>
    <w:p w:rsidR="00130899" w:rsidP="00995972" w:rsidRDefault="00130899" w14:paraId="37FA70F4" w14:textId="77777777">
      <w:pPr>
        <w:pStyle w:val="BodyText"/>
        <w:spacing w:after="0"/>
        <w:rPr>
          <w:sz w:val="24"/>
        </w:rPr>
      </w:pPr>
    </w:p>
    <w:p w:rsidRPr="00545B2E" w:rsidR="00995972" w:rsidP="00995972" w:rsidRDefault="00934108" w14:paraId="23EDC662" w14:textId="57F18090">
      <w:pPr>
        <w:pStyle w:val="BodyText"/>
        <w:spacing w:after="0"/>
        <w:rPr>
          <w:sz w:val="24"/>
        </w:rPr>
      </w:pPr>
      <w:r w:rsidRPr="00934108">
        <w:rPr>
          <w:sz w:val="24"/>
        </w:rPr>
        <w:t xml:space="preserve">All efforts have been made to minimize respondent burden, while obtaining the essential information needed to answer the </w:t>
      </w:r>
      <w:r>
        <w:rPr>
          <w:sz w:val="24"/>
        </w:rPr>
        <w:t>evaluation questions</w:t>
      </w:r>
      <w:r w:rsidRPr="00934108">
        <w:rPr>
          <w:sz w:val="24"/>
        </w:rPr>
        <w:t xml:space="preserve">. </w:t>
      </w:r>
      <w:r w:rsidR="00F53884">
        <w:rPr>
          <w:sz w:val="24"/>
        </w:rPr>
        <w:t xml:space="preserve"> </w:t>
      </w:r>
      <w:r w:rsidRPr="00934108">
        <w:rPr>
          <w:sz w:val="24"/>
        </w:rPr>
        <w:t>The use of web-based data submission methods decreases respondent burden as compared to that required for alternate methods, such as</w:t>
      </w:r>
      <w:r w:rsidR="00E950D6">
        <w:rPr>
          <w:sz w:val="24"/>
        </w:rPr>
        <w:t xml:space="preserve"> </w:t>
      </w:r>
      <w:r w:rsidRPr="00934108">
        <w:rPr>
          <w:sz w:val="24"/>
        </w:rPr>
        <w:t>paper</w:t>
      </w:r>
      <w:r w:rsidR="00E950D6">
        <w:rPr>
          <w:sz w:val="24"/>
        </w:rPr>
        <w:t>-based</w:t>
      </w:r>
      <w:r w:rsidRPr="00934108">
        <w:rPr>
          <w:sz w:val="24"/>
        </w:rPr>
        <w:t xml:space="preserve">, by allowing direct transmission of data. </w:t>
      </w:r>
      <w:r w:rsidR="00F53884">
        <w:rPr>
          <w:sz w:val="24"/>
        </w:rPr>
        <w:t xml:space="preserve"> </w:t>
      </w:r>
      <w:r w:rsidRPr="00545B2E" w:rsidR="00995972">
        <w:rPr>
          <w:sz w:val="24"/>
        </w:rPr>
        <w:t xml:space="preserve">This </w:t>
      </w:r>
      <w:r w:rsidR="005D3803">
        <w:rPr>
          <w:sz w:val="24"/>
        </w:rPr>
        <w:t>data</w:t>
      </w:r>
      <w:r w:rsidRPr="00545B2E" w:rsidR="00995972">
        <w:rPr>
          <w:sz w:val="24"/>
        </w:rPr>
        <w:t xml:space="preserve"> collection effort includes primary (e.g., surveys, semi-structured interviews) and secondary (i.e., existing, extant) data</w:t>
      </w:r>
      <w:r w:rsidRPr="00545B2E" w:rsidR="00C12045">
        <w:rPr>
          <w:sz w:val="24"/>
        </w:rPr>
        <w:t xml:space="preserve"> achieved through a combination of electronic methods as described below. </w:t>
      </w:r>
    </w:p>
    <w:p w:rsidRPr="00545B2E" w:rsidR="00995972" w:rsidP="00995972" w:rsidRDefault="00995972" w14:paraId="73E05FAF" w14:textId="77777777">
      <w:pPr>
        <w:pStyle w:val="BodyText"/>
        <w:spacing w:after="0"/>
        <w:rPr>
          <w:sz w:val="24"/>
        </w:rPr>
      </w:pPr>
    </w:p>
    <w:p w:rsidRPr="005A7518" w:rsidR="005A7518" w:rsidP="005A7518" w:rsidRDefault="005A7518" w14:paraId="0D102F6D" w14:textId="55BF0726">
      <w:pPr>
        <w:pStyle w:val="BodyText"/>
        <w:spacing w:after="0"/>
        <w:rPr>
          <w:b/>
          <w:i/>
          <w:sz w:val="24"/>
          <w:u w:val="single"/>
        </w:rPr>
      </w:pPr>
      <w:r>
        <w:rPr>
          <w:b/>
          <w:i/>
          <w:sz w:val="24"/>
          <w:u w:val="single"/>
        </w:rPr>
        <w:t xml:space="preserve">Data Collection </w:t>
      </w:r>
      <w:r w:rsidRPr="005A7518">
        <w:rPr>
          <w:b/>
          <w:i/>
          <w:sz w:val="24"/>
          <w:u w:val="single"/>
        </w:rPr>
        <w:t>Act</w:t>
      </w:r>
      <w:r w:rsidR="001B109B">
        <w:rPr>
          <w:b/>
          <w:i/>
          <w:sz w:val="24"/>
          <w:u w:val="single"/>
        </w:rPr>
        <w:t>ivities Requiring</w:t>
      </w:r>
      <w:r w:rsidRPr="005A7518">
        <w:rPr>
          <w:b/>
          <w:i/>
          <w:sz w:val="24"/>
          <w:u w:val="single"/>
        </w:rPr>
        <w:t xml:space="preserve"> OMB </w:t>
      </w:r>
      <w:r>
        <w:rPr>
          <w:b/>
          <w:i/>
          <w:sz w:val="24"/>
          <w:u w:val="single"/>
        </w:rPr>
        <w:t>A</w:t>
      </w:r>
      <w:r w:rsidRPr="005A7518">
        <w:rPr>
          <w:b/>
          <w:i/>
          <w:sz w:val="24"/>
          <w:u w:val="single"/>
        </w:rPr>
        <w:t>pproval</w:t>
      </w:r>
    </w:p>
    <w:p w:rsidR="005A7518" w:rsidP="00995972" w:rsidRDefault="005A7518" w14:paraId="7C9F79CA" w14:textId="77777777">
      <w:pPr>
        <w:pStyle w:val="BodyText"/>
        <w:spacing w:after="0"/>
        <w:rPr>
          <w:b/>
          <w:sz w:val="24"/>
        </w:rPr>
      </w:pPr>
    </w:p>
    <w:p w:rsidRPr="00545B2E" w:rsidR="00995972" w:rsidP="00995972" w:rsidRDefault="007D25A4" w14:paraId="287A7087" w14:textId="216EDCB3">
      <w:pPr>
        <w:pStyle w:val="BodyText"/>
        <w:spacing w:after="0"/>
        <w:rPr>
          <w:b/>
          <w:sz w:val="24"/>
        </w:rPr>
      </w:pPr>
      <w:r>
        <w:rPr>
          <w:b/>
          <w:sz w:val="24"/>
        </w:rPr>
        <w:t>Semi-Structured I</w:t>
      </w:r>
      <w:r w:rsidRPr="00545B2E" w:rsidR="00995972">
        <w:rPr>
          <w:b/>
          <w:sz w:val="24"/>
        </w:rPr>
        <w:t>nterviews</w:t>
      </w:r>
    </w:p>
    <w:p w:rsidRPr="00545B2E" w:rsidR="00995972" w:rsidP="00995972" w:rsidRDefault="00E950D6" w14:paraId="2B0D7F5F" w14:textId="4A31F60B">
      <w:pPr>
        <w:pStyle w:val="BodyText"/>
        <w:spacing w:after="0"/>
        <w:rPr>
          <w:sz w:val="24"/>
        </w:rPr>
      </w:pPr>
      <w:r>
        <w:rPr>
          <w:sz w:val="24"/>
        </w:rPr>
        <w:t>S</w:t>
      </w:r>
      <w:r w:rsidRPr="00545B2E" w:rsidR="00425C4A">
        <w:rPr>
          <w:sz w:val="24"/>
        </w:rPr>
        <w:t>emi-structured interview</w:t>
      </w:r>
      <w:r>
        <w:rPr>
          <w:sz w:val="24"/>
        </w:rPr>
        <w:t>s</w:t>
      </w:r>
      <w:r w:rsidRPr="00545B2E" w:rsidR="00425C4A">
        <w:rPr>
          <w:sz w:val="24"/>
        </w:rPr>
        <w:t xml:space="preserve"> will be conducted </w:t>
      </w:r>
      <w:r w:rsidR="00CB14B8">
        <w:rPr>
          <w:sz w:val="24"/>
        </w:rPr>
        <w:t>via</w:t>
      </w:r>
      <w:r w:rsidRPr="00545B2E" w:rsidR="00425C4A">
        <w:rPr>
          <w:sz w:val="24"/>
        </w:rPr>
        <w:t xml:space="preserve"> videoconference. </w:t>
      </w:r>
      <w:r w:rsidR="00F53884">
        <w:rPr>
          <w:sz w:val="24"/>
        </w:rPr>
        <w:t xml:space="preserve"> </w:t>
      </w:r>
      <w:r w:rsidRPr="00545B2E" w:rsidR="00425C4A">
        <w:rPr>
          <w:sz w:val="24"/>
        </w:rPr>
        <w:t>The p</w:t>
      </w:r>
      <w:r w:rsidRPr="00545B2E" w:rsidR="00995972">
        <w:rPr>
          <w:sz w:val="24"/>
        </w:rPr>
        <w:t xml:space="preserve">olicy stakeholders will be invited to participate in a brief, 15-30-minute interview. </w:t>
      </w:r>
      <w:r w:rsidR="00F53884">
        <w:rPr>
          <w:sz w:val="24"/>
        </w:rPr>
        <w:t xml:space="preserve"> </w:t>
      </w:r>
      <w:r w:rsidR="00D4304F">
        <w:rPr>
          <w:sz w:val="24"/>
        </w:rPr>
        <w:t>I</w:t>
      </w:r>
      <w:r w:rsidRPr="00545B2E" w:rsidR="00995972">
        <w:rPr>
          <w:sz w:val="24"/>
        </w:rPr>
        <w:t xml:space="preserve">nformed consent </w:t>
      </w:r>
      <w:r w:rsidR="00D4304F">
        <w:rPr>
          <w:sz w:val="24"/>
        </w:rPr>
        <w:t xml:space="preserve">will be obtained </w:t>
      </w:r>
      <w:r w:rsidRPr="00545B2E" w:rsidR="00995972">
        <w:rPr>
          <w:sz w:val="24"/>
        </w:rPr>
        <w:t>from each participant prior to all interviews</w:t>
      </w:r>
      <w:r>
        <w:rPr>
          <w:sz w:val="24"/>
        </w:rPr>
        <w:t>,</w:t>
      </w:r>
      <w:r w:rsidRPr="00545B2E" w:rsidR="00995972">
        <w:rPr>
          <w:sz w:val="24"/>
        </w:rPr>
        <w:t xml:space="preserve"> if required by the IRB. </w:t>
      </w:r>
      <w:r w:rsidR="00F53884">
        <w:rPr>
          <w:sz w:val="24"/>
        </w:rPr>
        <w:t xml:space="preserve"> </w:t>
      </w:r>
      <w:r w:rsidRPr="00545B2E" w:rsidR="00995972">
        <w:rPr>
          <w:sz w:val="24"/>
        </w:rPr>
        <w:t xml:space="preserve">All interviews will be guided by </w:t>
      </w:r>
      <w:r w:rsidRPr="00545B2E" w:rsidR="00425C4A">
        <w:rPr>
          <w:sz w:val="24"/>
        </w:rPr>
        <w:t>an</w:t>
      </w:r>
      <w:r w:rsidRPr="00545B2E" w:rsidR="00995972">
        <w:rPr>
          <w:sz w:val="24"/>
        </w:rPr>
        <w:t xml:space="preserve"> </w:t>
      </w:r>
      <w:r w:rsidRPr="00545B2E" w:rsidR="00425C4A">
        <w:rPr>
          <w:sz w:val="24"/>
        </w:rPr>
        <w:t xml:space="preserve">interview </w:t>
      </w:r>
      <w:r w:rsidRPr="00545B2E" w:rsidR="00995972">
        <w:rPr>
          <w:sz w:val="24"/>
        </w:rPr>
        <w:t xml:space="preserve">guide, and notes will be taken </w:t>
      </w:r>
      <w:r>
        <w:rPr>
          <w:sz w:val="24"/>
        </w:rPr>
        <w:t xml:space="preserve">electronically </w:t>
      </w:r>
      <w:r w:rsidRPr="00545B2E" w:rsidR="00995972">
        <w:rPr>
          <w:sz w:val="24"/>
        </w:rPr>
        <w:t xml:space="preserve">during each interview. Interviews will be audio recorded so that audio files can be referenced if needed. </w:t>
      </w:r>
    </w:p>
    <w:p w:rsidRPr="00545B2E" w:rsidR="00995972" w:rsidP="00995972" w:rsidRDefault="00995972" w14:paraId="7BD962A9" w14:textId="77777777">
      <w:pPr>
        <w:pStyle w:val="BodyText"/>
        <w:spacing w:after="0"/>
        <w:rPr>
          <w:sz w:val="24"/>
        </w:rPr>
      </w:pPr>
    </w:p>
    <w:p w:rsidRPr="00545B2E" w:rsidR="00995972" w:rsidP="00995972" w:rsidRDefault="00995972" w14:paraId="1F866868" w14:textId="19D62E9A">
      <w:pPr>
        <w:pStyle w:val="BodyText"/>
        <w:spacing w:after="0"/>
        <w:rPr>
          <w:sz w:val="24"/>
        </w:rPr>
      </w:pPr>
      <w:r w:rsidRPr="00545B2E">
        <w:rPr>
          <w:sz w:val="24"/>
        </w:rPr>
        <w:t xml:space="preserve">To further minimize burden, </w:t>
      </w:r>
      <w:r w:rsidRPr="00545B2E" w:rsidR="00425C4A">
        <w:rPr>
          <w:sz w:val="24"/>
        </w:rPr>
        <w:t xml:space="preserve">the semi-structured </w:t>
      </w:r>
      <w:r w:rsidRPr="00545B2E">
        <w:rPr>
          <w:sz w:val="24"/>
        </w:rPr>
        <w:t xml:space="preserve">interview guides </w:t>
      </w:r>
      <w:r w:rsidR="0075517D">
        <w:rPr>
          <w:sz w:val="24"/>
        </w:rPr>
        <w:t xml:space="preserve">have been designed </w:t>
      </w:r>
      <w:r w:rsidRPr="00545B2E" w:rsidR="00425C4A">
        <w:rPr>
          <w:sz w:val="24"/>
        </w:rPr>
        <w:t xml:space="preserve">to </w:t>
      </w:r>
      <w:r w:rsidRPr="00545B2E">
        <w:rPr>
          <w:sz w:val="24"/>
        </w:rPr>
        <w:t xml:space="preserve">ensure that the discussion is limited and the questions are well organized, flow well together, and are easy to understand and answer. </w:t>
      </w:r>
      <w:r w:rsidR="00F53884">
        <w:rPr>
          <w:sz w:val="24"/>
        </w:rPr>
        <w:t xml:space="preserve"> </w:t>
      </w:r>
      <w:r w:rsidRPr="00545B2E">
        <w:rPr>
          <w:sz w:val="24"/>
        </w:rPr>
        <w:t>Interviews will be scheduled at a date and time that is convenient for the interviewee.</w:t>
      </w:r>
    </w:p>
    <w:p w:rsidRPr="00545B2E" w:rsidR="00995972" w:rsidP="00995972" w:rsidRDefault="00995972" w14:paraId="026019E1" w14:textId="77777777">
      <w:pPr>
        <w:pStyle w:val="BodyText"/>
        <w:spacing w:after="0"/>
        <w:rPr>
          <w:sz w:val="24"/>
        </w:rPr>
      </w:pPr>
    </w:p>
    <w:p w:rsidRPr="00545B2E" w:rsidR="00995972" w:rsidP="00995972" w:rsidRDefault="00995972" w14:paraId="62699FBF" w14:textId="6B2BE2D9">
      <w:pPr>
        <w:pStyle w:val="BodyText"/>
        <w:spacing w:after="0"/>
        <w:rPr>
          <w:b/>
          <w:sz w:val="24"/>
        </w:rPr>
      </w:pPr>
      <w:r w:rsidRPr="00545B2E">
        <w:rPr>
          <w:b/>
          <w:sz w:val="24"/>
        </w:rPr>
        <w:t xml:space="preserve">Data </w:t>
      </w:r>
      <w:r w:rsidR="007D25A4">
        <w:rPr>
          <w:b/>
          <w:sz w:val="24"/>
        </w:rPr>
        <w:t>End-User S</w:t>
      </w:r>
      <w:r w:rsidRPr="00545B2E">
        <w:rPr>
          <w:b/>
          <w:sz w:val="24"/>
        </w:rPr>
        <w:t xml:space="preserve">urvey </w:t>
      </w:r>
    </w:p>
    <w:p w:rsidRPr="00545B2E" w:rsidR="00995972" w:rsidP="00995972" w:rsidRDefault="00995972" w14:paraId="3BCD73C7" w14:textId="23D865D8">
      <w:pPr>
        <w:pStyle w:val="BodyText"/>
        <w:spacing w:after="0"/>
        <w:rPr>
          <w:sz w:val="24"/>
        </w:rPr>
      </w:pPr>
      <w:r w:rsidRPr="00545B2E">
        <w:rPr>
          <w:sz w:val="24"/>
        </w:rPr>
        <w:t xml:space="preserve">The web survey will be programmed using Confirmit software. </w:t>
      </w:r>
      <w:r w:rsidR="00F53884">
        <w:rPr>
          <w:sz w:val="24"/>
        </w:rPr>
        <w:t xml:space="preserve"> </w:t>
      </w:r>
      <w:proofErr w:type="spellStart"/>
      <w:r w:rsidRPr="00545B2E">
        <w:rPr>
          <w:sz w:val="24"/>
        </w:rPr>
        <w:t>Confirmit</w:t>
      </w:r>
      <w:proofErr w:type="spellEnd"/>
      <w:r w:rsidRPr="00545B2E">
        <w:rPr>
          <w:sz w:val="24"/>
        </w:rPr>
        <w:t xml:space="preserve"> allows for the design and programming of input screens that visually guide respondents through the survey instrument and encourage accurate data entry. </w:t>
      </w:r>
      <w:r w:rsidR="00F53884">
        <w:rPr>
          <w:sz w:val="24"/>
        </w:rPr>
        <w:t xml:space="preserve"> </w:t>
      </w:r>
      <w:r w:rsidRPr="00545B2E">
        <w:rPr>
          <w:sz w:val="24"/>
        </w:rPr>
        <w:t xml:space="preserve">Beta testing and quality checks will be performed to ensure skip patterns and data are accurately captured. </w:t>
      </w:r>
      <w:r w:rsidR="00F53884">
        <w:rPr>
          <w:sz w:val="24"/>
        </w:rPr>
        <w:t xml:space="preserve"> </w:t>
      </w:r>
      <w:r w:rsidRPr="00545B2E">
        <w:rPr>
          <w:sz w:val="24"/>
        </w:rPr>
        <w:t xml:space="preserve">All survey programming, testing and refinement will be conducted </w:t>
      </w:r>
      <w:r w:rsidR="00D4304F">
        <w:rPr>
          <w:sz w:val="24"/>
        </w:rPr>
        <w:t>within a secure</w:t>
      </w:r>
      <w:r w:rsidRPr="00545B2E" w:rsidR="00334555">
        <w:rPr>
          <w:sz w:val="24"/>
        </w:rPr>
        <w:t xml:space="preserve"> Analytic Computing Environment</w:t>
      </w:r>
      <w:r w:rsidRPr="00545B2E">
        <w:rPr>
          <w:sz w:val="24"/>
        </w:rPr>
        <w:t xml:space="preserve"> (AC</w:t>
      </w:r>
      <w:r w:rsidRPr="00545B2E" w:rsidR="00334555">
        <w:rPr>
          <w:sz w:val="24"/>
        </w:rPr>
        <w:t xml:space="preserve">E3). </w:t>
      </w:r>
    </w:p>
    <w:p w:rsidRPr="00545B2E" w:rsidR="00995972" w:rsidP="00995972" w:rsidRDefault="00995972" w14:paraId="2F42A700" w14:textId="77777777">
      <w:pPr>
        <w:pStyle w:val="BodyText"/>
        <w:spacing w:after="0"/>
        <w:rPr>
          <w:sz w:val="24"/>
        </w:rPr>
      </w:pPr>
    </w:p>
    <w:p w:rsidRPr="00545B2E" w:rsidR="00995972" w:rsidP="00995972" w:rsidRDefault="00E950D6" w14:paraId="2EA72B50" w14:textId="3A6D1173">
      <w:pPr>
        <w:pStyle w:val="BodyText"/>
        <w:spacing w:after="0"/>
        <w:rPr>
          <w:sz w:val="24"/>
        </w:rPr>
      </w:pPr>
      <w:r>
        <w:rPr>
          <w:sz w:val="24"/>
        </w:rPr>
        <w:t>S</w:t>
      </w:r>
      <w:r w:rsidRPr="00545B2E" w:rsidR="00995972">
        <w:rPr>
          <w:sz w:val="24"/>
        </w:rPr>
        <w:t xml:space="preserve">urvey administration will use a three-stage recruitment email approach whereby an initial email is sent to all data end-users introducing the evaluation and alerting potential respondents to the forthcoming survey. </w:t>
      </w:r>
      <w:r w:rsidR="00F53884">
        <w:rPr>
          <w:sz w:val="24"/>
        </w:rPr>
        <w:t xml:space="preserve"> </w:t>
      </w:r>
      <w:r w:rsidRPr="00545B2E" w:rsidR="00995972">
        <w:rPr>
          <w:sz w:val="24"/>
        </w:rPr>
        <w:t xml:space="preserve">The second email will contain a live link to the web-survey, and approximately one week later a reminder email will be sent to all non-respondents. </w:t>
      </w:r>
      <w:r w:rsidR="00F53884">
        <w:rPr>
          <w:sz w:val="24"/>
        </w:rPr>
        <w:t xml:space="preserve"> </w:t>
      </w:r>
      <w:r w:rsidR="00D4304F">
        <w:rPr>
          <w:sz w:val="24"/>
        </w:rPr>
        <w:t>T</w:t>
      </w:r>
      <w:r w:rsidRPr="00545B2E" w:rsidR="00995972">
        <w:rPr>
          <w:sz w:val="24"/>
        </w:rPr>
        <w:t xml:space="preserve">he TAP </w:t>
      </w:r>
      <w:r w:rsidR="00D4304F">
        <w:rPr>
          <w:sz w:val="24"/>
        </w:rPr>
        <w:t>will be engaged to help facilitate</w:t>
      </w:r>
      <w:r w:rsidRPr="00545B2E" w:rsidR="00995972">
        <w:rPr>
          <w:sz w:val="24"/>
        </w:rPr>
        <w:t xml:space="preserve"> outreach to jurisdictions ahead of the survey launch to ensure the maximum response rate possible. </w:t>
      </w:r>
      <w:r w:rsidR="00F53884">
        <w:rPr>
          <w:sz w:val="24"/>
        </w:rPr>
        <w:t xml:space="preserve"> </w:t>
      </w:r>
      <w:r w:rsidRPr="00545B2E" w:rsidR="00995972">
        <w:rPr>
          <w:sz w:val="24"/>
        </w:rPr>
        <w:t>For example, a webinar describ</w:t>
      </w:r>
      <w:r w:rsidR="00D4304F">
        <w:rPr>
          <w:sz w:val="24"/>
        </w:rPr>
        <w:t>ing</w:t>
      </w:r>
      <w:r w:rsidRPr="00545B2E" w:rsidR="00995972">
        <w:rPr>
          <w:sz w:val="24"/>
        </w:rPr>
        <w:t xml:space="preserve"> the forthcoming survey and encourag</w:t>
      </w:r>
      <w:r w:rsidR="00D4304F">
        <w:rPr>
          <w:sz w:val="24"/>
        </w:rPr>
        <w:t>ing</w:t>
      </w:r>
      <w:r w:rsidRPr="00545B2E" w:rsidR="00995972">
        <w:rPr>
          <w:sz w:val="24"/>
        </w:rPr>
        <w:t xml:space="preserve"> jurisdictions</w:t>
      </w:r>
      <w:r w:rsidR="00D4304F">
        <w:rPr>
          <w:sz w:val="24"/>
        </w:rPr>
        <w:t xml:space="preserve"> could be held</w:t>
      </w:r>
      <w:r w:rsidRPr="00545B2E" w:rsidR="00995972">
        <w:rPr>
          <w:sz w:val="24"/>
        </w:rPr>
        <w:t xml:space="preserve"> to promote participation among their data end-users. </w:t>
      </w:r>
      <w:r w:rsidR="00D4304F">
        <w:rPr>
          <w:sz w:val="24"/>
        </w:rPr>
        <w:t>I</w:t>
      </w:r>
      <w:r w:rsidRPr="00545B2E" w:rsidR="00995972">
        <w:rPr>
          <w:sz w:val="24"/>
        </w:rPr>
        <w:t xml:space="preserve">ncentives </w:t>
      </w:r>
      <w:r w:rsidR="00D4304F">
        <w:rPr>
          <w:sz w:val="24"/>
        </w:rPr>
        <w:t xml:space="preserve">will not be provided </w:t>
      </w:r>
      <w:r w:rsidRPr="00545B2E" w:rsidR="00995972">
        <w:rPr>
          <w:sz w:val="24"/>
        </w:rPr>
        <w:t xml:space="preserve">for completion of the web-survey. </w:t>
      </w:r>
      <w:r w:rsidR="00F53884">
        <w:rPr>
          <w:sz w:val="24"/>
        </w:rPr>
        <w:t xml:space="preserve"> </w:t>
      </w:r>
      <w:r w:rsidRPr="00545B2E" w:rsidR="00995972">
        <w:rPr>
          <w:sz w:val="24"/>
        </w:rPr>
        <w:t>Therefore, the survey will be brief</w:t>
      </w:r>
      <w:r w:rsidR="00F53884">
        <w:rPr>
          <w:sz w:val="24"/>
        </w:rPr>
        <w:t xml:space="preserve"> - </w:t>
      </w:r>
      <w:r w:rsidRPr="00545B2E" w:rsidR="00995972">
        <w:rPr>
          <w:sz w:val="24"/>
        </w:rPr>
        <w:t xml:space="preserve">approximately 10 questions for </w:t>
      </w:r>
      <w:r>
        <w:rPr>
          <w:sz w:val="24"/>
        </w:rPr>
        <w:t>respondents</w:t>
      </w:r>
      <w:r w:rsidRPr="00545B2E" w:rsidR="00995972">
        <w:rPr>
          <w:sz w:val="24"/>
        </w:rPr>
        <w:t xml:space="preserve"> to answer. </w:t>
      </w:r>
      <w:r w:rsidR="00F53884">
        <w:rPr>
          <w:sz w:val="24"/>
        </w:rPr>
        <w:t xml:space="preserve"> </w:t>
      </w:r>
      <w:r w:rsidR="00501099">
        <w:rPr>
          <w:sz w:val="24"/>
        </w:rPr>
        <w:t>T</w:t>
      </w:r>
      <w:r w:rsidRPr="00545B2E" w:rsidR="00995972">
        <w:rPr>
          <w:sz w:val="24"/>
        </w:rPr>
        <w:t xml:space="preserve">he survey </w:t>
      </w:r>
      <w:r w:rsidR="00501099">
        <w:rPr>
          <w:sz w:val="24"/>
        </w:rPr>
        <w:t>will</w:t>
      </w:r>
      <w:r w:rsidRPr="00545B2E" w:rsidR="00995972">
        <w:rPr>
          <w:sz w:val="24"/>
        </w:rPr>
        <w:t xml:space="preserve"> be </w:t>
      </w:r>
      <w:r w:rsidR="007D25A4">
        <w:rPr>
          <w:sz w:val="24"/>
        </w:rPr>
        <w:t>circulated over an eight-week period and s</w:t>
      </w:r>
      <w:r w:rsidRPr="00545B2E" w:rsidR="00995972">
        <w:rPr>
          <w:sz w:val="24"/>
        </w:rPr>
        <w:t xml:space="preserve">urvey response reports will be run every few days to assess response rates and promptly troubleshoot issues that arise during </w:t>
      </w:r>
      <w:r w:rsidR="007D25A4">
        <w:rPr>
          <w:sz w:val="24"/>
        </w:rPr>
        <w:t>the survey response period</w:t>
      </w:r>
      <w:r w:rsidRPr="00545B2E" w:rsidR="00995972">
        <w:rPr>
          <w:sz w:val="24"/>
        </w:rPr>
        <w:t xml:space="preserve">. </w:t>
      </w:r>
    </w:p>
    <w:p w:rsidR="00995972" w:rsidP="00995972" w:rsidRDefault="00995972" w14:paraId="76AEC21F" w14:textId="77777777">
      <w:pPr>
        <w:pStyle w:val="BodyText"/>
        <w:spacing w:after="0"/>
        <w:rPr>
          <w:sz w:val="24"/>
        </w:rPr>
      </w:pPr>
    </w:p>
    <w:p w:rsidRPr="005A7518" w:rsidR="005A7518" w:rsidP="005A7518" w:rsidRDefault="005A7518" w14:paraId="0807B61A" w14:textId="77E1549E">
      <w:pPr>
        <w:pStyle w:val="BodyText"/>
        <w:spacing w:after="0"/>
        <w:rPr>
          <w:b/>
          <w:i/>
          <w:sz w:val="24"/>
          <w:u w:val="single"/>
        </w:rPr>
      </w:pPr>
      <w:r>
        <w:rPr>
          <w:b/>
          <w:i/>
          <w:sz w:val="24"/>
          <w:u w:val="single"/>
        </w:rPr>
        <w:t xml:space="preserve">Data Collection </w:t>
      </w:r>
      <w:r w:rsidR="001B109B">
        <w:rPr>
          <w:b/>
          <w:i/>
          <w:sz w:val="24"/>
          <w:u w:val="single"/>
        </w:rPr>
        <w:t>Activities Not Requiring</w:t>
      </w:r>
      <w:r w:rsidRPr="005A7518">
        <w:rPr>
          <w:b/>
          <w:i/>
          <w:sz w:val="24"/>
          <w:u w:val="single"/>
        </w:rPr>
        <w:t xml:space="preserve"> OMB </w:t>
      </w:r>
      <w:r>
        <w:rPr>
          <w:b/>
          <w:i/>
          <w:sz w:val="24"/>
          <w:u w:val="single"/>
        </w:rPr>
        <w:t>A</w:t>
      </w:r>
      <w:r w:rsidRPr="005A7518">
        <w:rPr>
          <w:b/>
          <w:i/>
          <w:sz w:val="24"/>
          <w:u w:val="single"/>
        </w:rPr>
        <w:t>pproval</w:t>
      </w:r>
    </w:p>
    <w:p w:rsidR="000346ED" w:rsidP="00995972" w:rsidRDefault="000346ED" w14:paraId="74241A73" w14:textId="77777777">
      <w:pPr>
        <w:rPr>
          <w:b/>
          <w:sz w:val="24"/>
        </w:rPr>
      </w:pPr>
    </w:p>
    <w:p w:rsidR="005A7518" w:rsidP="00995972" w:rsidRDefault="005A7518" w14:paraId="39E7B484" w14:textId="1B59E797">
      <w:pPr>
        <w:rPr>
          <w:b/>
          <w:sz w:val="24"/>
        </w:rPr>
      </w:pPr>
      <w:r>
        <w:rPr>
          <w:b/>
          <w:sz w:val="24"/>
        </w:rPr>
        <w:t>Semi-Structured Interviews</w:t>
      </w:r>
    </w:p>
    <w:p w:rsidR="00435E52" w:rsidP="00995972" w:rsidRDefault="005A7518" w14:paraId="388BF6CA" w14:textId="0CC7F88C">
      <w:pPr>
        <w:rPr>
          <w:sz w:val="24"/>
        </w:rPr>
      </w:pPr>
      <w:r>
        <w:rPr>
          <w:sz w:val="24"/>
        </w:rPr>
        <w:t>S</w:t>
      </w:r>
      <w:r w:rsidRPr="00545B2E">
        <w:rPr>
          <w:sz w:val="24"/>
        </w:rPr>
        <w:t>emi-structured interview</w:t>
      </w:r>
      <w:r>
        <w:rPr>
          <w:sz w:val="24"/>
        </w:rPr>
        <w:t>s</w:t>
      </w:r>
      <w:r w:rsidRPr="00545B2E">
        <w:rPr>
          <w:sz w:val="24"/>
        </w:rPr>
        <w:t xml:space="preserve"> will be conducted </w:t>
      </w:r>
      <w:r>
        <w:rPr>
          <w:sz w:val="24"/>
        </w:rPr>
        <w:t>with the TAP via</w:t>
      </w:r>
      <w:r w:rsidRPr="00545B2E">
        <w:rPr>
          <w:sz w:val="24"/>
        </w:rPr>
        <w:t xml:space="preserve"> videoconference</w:t>
      </w:r>
      <w:r w:rsidR="00E876DD">
        <w:rPr>
          <w:sz w:val="24"/>
        </w:rPr>
        <w:t xml:space="preserve"> and</w:t>
      </w:r>
      <w:r w:rsidRPr="00545B2E">
        <w:rPr>
          <w:sz w:val="24"/>
        </w:rPr>
        <w:t xml:space="preserve"> are </w:t>
      </w:r>
      <w:r w:rsidRPr="00545B2E">
        <w:rPr>
          <w:sz w:val="24"/>
        </w:rPr>
        <w:lastRenderedPageBreak/>
        <w:t xml:space="preserve">expected to </w:t>
      </w:r>
      <w:r>
        <w:rPr>
          <w:sz w:val="24"/>
        </w:rPr>
        <w:t>last 60 minutes</w:t>
      </w:r>
      <w:r w:rsidRPr="00545B2E">
        <w:rPr>
          <w:sz w:val="24"/>
        </w:rPr>
        <w:t>.</w:t>
      </w:r>
      <w:r w:rsidRPr="005A7518">
        <w:rPr>
          <w:sz w:val="24"/>
        </w:rPr>
        <w:t xml:space="preserve"> </w:t>
      </w:r>
      <w:r w:rsidR="00F53884">
        <w:rPr>
          <w:sz w:val="24"/>
        </w:rPr>
        <w:t xml:space="preserve"> </w:t>
      </w:r>
      <w:r w:rsidR="00FA1E9F">
        <w:rPr>
          <w:sz w:val="24"/>
        </w:rPr>
        <w:t xml:space="preserve">The </w:t>
      </w:r>
      <w:r w:rsidR="00435E52">
        <w:rPr>
          <w:sz w:val="24"/>
        </w:rPr>
        <w:t>same informed consent and interview procedures described for the jurisdiction and policy stakeholder semi-structured interviews</w:t>
      </w:r>
      <w:r w:rsidR="00FA1E9F">
        <w:rPr>
          <w:sz w:val="24"/>
        </w:rPr>
        <w:t xml:space="preserve"> will be followed for the TAP interviews</w:t>
      </w:r>
      <w:r w:rsidR="00435E52">
        <w:rPr>
          <w:sz w:val="24"/>
        </w:rPr>
        <w:t>.</w:t>
      </w:r>
    </w:p>
    <w:p w:rsidR="00435E52" w:rsidP="00995972" w:rsidRDefault="00435E52" w14:paraId="228BA006" w14:textId="77777777">
      <w:pPr>
        <w:rPr>
          <w:sz w:val="24"/>
        </w:rPr>
      </w:pPr>
    </w:p>
    <w:p w:rsidRPr="0024232D" w:rsidR="00995972" w:rsidP="00995972" w:rsidRDefault="007D25A4" w14:paraId="0C4BAFF7" w14:textId="7982133F">
      <w:pPr>
        <w:rPr>
          <w:b/>
          <w:sz w:val="24"/>
        </w:rPr>
      </w:pPr>
      <w:r>
        <w:rPr>
          <w:b/>
          <w:sz w:val="24"/>
        </w:rPr>
        <w:t>Aggregate S</w:t>
      </w:r>
      <w:r w:rsidRPr="00545B2E" w:rsidR="00995972">
        <w:rPr>
          <w:b/>
          <w:sz w:val="24"/>
        </w:rPr>
        <w:t>tatistics</w:t>
      </w:r>
      <w:r w:rsidRPr="00545B2E" w:rsidR="0087691B">
        <w:rPr>
          <w:b/>
          <w:sz w:val="24"/>
        </w:rPr>
        <w:t xml:space="preserve">, Personnel </w:t>
      </w:r>
      <w:r>
        <w:rPr>
          <w:b/>
          <w:sz w:val="24"/>
        </w:rPr>
        <w:t>Time Reports, Document R</w:t>
      </w:r>
      <w:r w:rsidRPr="00545B2E" w:rsidR="0087691B">
        <w:rPr>
          <w:b/>
          <w:sz w:val="24"/>
        </w:rPr>
        <w:t>eview</w:t>
      </w:r>
    </w:p>
    <w:p w:rsidRPr="0024232D" w:rsidR="00995972" w:rsidP="0024232D" w:rsidRDefault="0087691B" w14:paraId="64139177" w14:textId="0C584F46">
      <w:pPr>
        <w:pStyle w:val="BulletsLast"/>
        <w:numPr>
          <w:ilvl w:val="0"/>
          <w:numId w:val="0"/>
        </w:numPr>
        <w:spacing w:after="0"/>
        <w:rPr>
          <w:sz w:val="24"/>
          <w:szCs w:val="24"/>
        </w:rPr>
      </w:pPr>
      <w:r w:rsidRPr="00545B2E">
        <w:rPr>
          <w:sz w:val="24"/>
          <w:szCs w:val="24"/>
        </w:rPr>
        <w:t xml:space="preserve">Quarterly reports of aggregate statistics and </w:t>
      </w:r>
      <w:r w:rsidR="00E950D6">
        <w:rPr>
          <w:sz w:val="24"/>
          <w:szCs w:val="24"/>
        </w:rPr>
        <w:t xml:space="preserve">monthly reports of </w:t>
      </w:r>
      <w:r w:rsidRPr="00545B2E">
        <w:rPr>
          <w:sz w:val="24"/>
          <w:szCs w:val="24"/>
        </w:rPr>
        <w:t>cost data will be collected from jurisdictions</w:t>
      </w:r>
      <w:r w:rsidR="00715501">
        <w:rPr>
          <w:sz w:val="24"/>
          <w:szCs w:val="24"/>
        </w:rPr>
        <w:t xml:space="preserve"> electronically</w:t>
      </w:r>
      <w:r w:rsidRPr="00545B2E">
        <w:rPr>
          <w:sz w:val="24"/>
          <w:szCs w:val="24"/>
        </w:rPr>
        <w:t xml:space="preserve"> by the TAP and uploaded to </w:t>
      </w:r>
      <w:r w:rsidR="004F6A1D">
        <w:rPr>
          <w:sz w:val="24"/>
          <w:szCs w:val="24"/>
        </w:rPr>
        <w:t xml:space="preserve">Box </w:t>
      </w:r>
      <w:r w:rsidRPr="004F6A1D" w:rsidR="004F6A1D">
        <w:rPr>
          <w:sz w:val="24"/>
          <w:szCs w:val="24"/>
        </w:rPr>
        <w:t>File Transfer Protocol</w:t>
      </w:r>
      <w:r w:rsidR="004F6A1D">
        <w:rPr>
          <w:sz w:val="24"/>
          <w:szCs w:val="24"/>
        </w:rPr>
        <w:t xml:space="preserve"> (FTP)</w:t>
      </w:r>
      <w:r w:rsidR="00715501">
        <w:rPr>
          <w:sz w:val="24"/>
          <w:szCs w:val="24"/>
        </w:rPr>
        <w:t>, a secure</w:t>
      </w:r>
      <w:r w:rsidR="00F07896">
        <w:rPr>
          <w:sz w:val="24"/>
          <w:szCs w:val="24"/>
        </w:rPr>
        <w:t xml:space="preserve">, </w:t>
      </w:r>
      <w:r w:rsidR="00715501">
        <w:rPr>
          <w:sz w:val="24"/>
          <w:szCs w:val="24"/>
        </w:rPr>
        <w:t>file-sharing da</w:t>
      </w:r>
      <w:r w:rsidRPr="00055B81" w:rsidR="00715501">
        <w:rPr>
          <w:sz w:val="24"/>
          <w:szCs w:val="24"/>
        </w:rPr>
        <w:t>tabase</w:t>
      </w:r>
      <w:r w:rsidRPr="00055B81" w:rsidR="00F07896">
        <w:rPr>
          <w:sz w:val="24"/>
          <w:szCs w:val="24"/>
        </w:rPr>
        <w:t xml:space="preserve"> u</w:t>
      </w:r>
      <w:r w:rsidR="00F07896">
        <w:rPr>
          <w:sz w:val="24"/>
          <w:szCs w:val="24"/>
        </w:rPr>
        <w:t>sed by the TAP</w:t>
      </w:r>
      <w:r w:rsidRPr="00545B2E">
        <w:rPr>
          <w:sz w:val="24"/>
          <w:szCs w:val="24"/>
        </w:rPr>
        <w:t xml:space="preserve">. </w:t>
      </w:r>
      <w:r w:rsidR="005426F5">
        <w:rPr>
          <w:sz w:val="24"/>
          <w:szCs w:val="24"/>
        </w:rPr>
        <w:t xml:space="preserve">The </w:t>
      </w:r>
      <w:r w:rsidR="00FA1E9F">
        <w:rPr>
          <w:sz w:val="24"/>
          <w:szCs w:val="24"/>
        </w:rPr>
        <w:t>contractor</w:t>
      </w:r>
      <w:r w:rsidR="005426F5">
        <w:rPr>
          <w:sz w:val="24"/>
          <w:szCs w:val="24"/>
        </w:rPr>
        <w:t xml:space="preserve"> </w:t>
      </w:r>
      <w:r w:rsidRPr="00545B2E">
        <w:rPr>
          <w:sz w:val="24"/>
          <w:szCs w:val="24"/>
        </w:rPr>
        <w:t xml:space="preserve">will then download </w:t>
      </w:r>
      <w:r w:rsidR="007D25A4">
        <w:rPr>
          <w:sz w:val="24"/>
          <w:szCs w:val="24"/>
        </w:rPr>
        <w:t>those data</w:t>
      </w:r>
      <w:r w:rsidRPr="00545B2E">
        <w:rPr>
          <w:sz w:val="24"/>
          <w:szCs w:val="24"/>
        </w:rPr>
        <w:t xml:space="preserve"> to </w:t>
      </w:r>
      <w:proofErr w:type="gramStart"/>
      <w:r w:rsidRPr="00545B2E">
        <w:rPr>
          <w:sz w:val="24"/>
          <w:szCs w:val="24"/>
        </w:rPr>
        <w:t>Huddle</w:t>
      </w:r>
      <w:proofErr w:type="gramEnd"/>
      <w:r w:rsidRPr="00545B2E">
        <w:rPr>
          <w:sz w:val="24"/>
          <w:szCs w:val="24"/>
        </w:rPr>
        <w:t xml:space="preserve"> </w:t>
      </w:r>
      <w:r w:rsidR="00F07896">
        <w:rPr>
          <w:sz w:val="24"/>
          <w:szCs w:val="24"/>
        </w:rPr>
        <w:t>(</w:t>
      </w:r>
      <w:r w:rsidR="005426F5">
        <w:rPr>
          <w:sz w:val="24"/>
          <w:szCs w:val="24"/>
        </w:rPr>
        <w:t xml:space="preserve">the </w:t>
      </w:r>
      <w:r w:rsidR="00FA1E9F">
        <w:rPr>
          <w:sz w:val="24"/>
          <w:szCs w:val="24"/>
        </w:rPr>
        <w:t>contractor’s</w:t>
      </w:r>
      <w:r w:rsidR="005426F5">
        <w:rPr>
          <w:sz w:val="24"/>
          <w:szCs w:val="24"/>
        </w:rPr>
        <w:t xml:space="preserve"> </w:t>
      </w:r>
      <w:r w:rsidR="00F07896">
        <w:rPr>
          <w:sz w:val="24"/>
          <w:szCs w:val="24"/>
        </w:rPr>
        <w:t xml:space="preserve">secure file-sharing database) </w:t>
      </w:r>
      <w:r w:rsidRPr="00545B2E">
        <w:rPr>
          <w:sz w:val="24"/>
          <w:szCs w:val="24"/>
        </w:rPr>
        <w:t xml:space="preserve">and </w:t>
      </w:r>
      <w:r w:rsidR="00F07896">
        <w:rPr>
          <w:sz w:val="24"/>
          <w:szCs w:val="24"/>
        </w:rPr>
        <w:t xml:space="preserve">will </w:t>
      </w:r>
      <w:r w:rsidR="007D25A4">
        <w:rPr>
          <w:sz w:val="24"/>
          <w:szCs w:val="24"/>
        </w:rPr>
        <w:t xml:space="preserve">securely </w:t>
      </w:r>
      <w:r w:rsidRPr="00545B2E">
        <w:rPr>
          <w:sz w:val="24"/>
          <w:szCs w:val="24"/>
        </w:rPr>
        <w:t xml:space="preserve">transfer them from Huddle to ACE3. </w:t>
      </w:r>
      <w:r w:rsidR="00F53884">
        <w:rPr>
          <w:sz w:val="24"/>
          <w:szCs w:val="24"/>
        </w:rPr>
        <w:t xml:space="preserve"> </w:t>
      </w:r>
      <w:r w:rsidRPr="00545B2E">
        <w:rPr>
          <w:sz w:val="24"/>
          <w:szCs w:val="24"/>
        </w:rPr>
        <w:t>For the document review</w:t>
      </w:r>
      <w:r w:rsidR="007D25A4">
        <w:rPr>
          <w:sz w:val="24"/>
          <w:szCs w:val="24"/>
        </w:rPr>
        <w:t>,</w:t>
      </w:r>
      <w:r w:rsidRPr="00545B2E">
        <w:rPr>
          <w:sz w:val="24"/>
          <w:szCs w:val="24"/>
        </w:rPr>
        <w:t xml:space="preserve"> the TAP and participatin</w:t>
      </w:r>
      <w:r w:rsidRPr="00545B2E" w:rsidR="00334555">
        <w:rPr>
          <w:sz w:val="24"/>
          <w:szCs w:val="24"/>
        </w:rPr>
        <w:t>g jurisdictions will be uploading</w:t>
      </w:r>
      <w:r w:rsidRPr="00545B2E">
        <w:rPr>
          <w:sz w:val="24"/>
          <w:szCs w:val="24"/>
        </w:rPr>
        <w:t xml:space="preserve"> </w:t>
      </w:r>
      <w:r w:rsidR="0024232D">
        <w:rPr>
          <w:sz w:val="24"/>
          <w:szCs w:val="24"/>
        </w:rPr>
        <w:t>various documents to Box</w:t>
      </w:r>
      <w:r w:rsidR="007D25A4">
        <w:rPr>
          <w:sz w:val="24"/>
          <w:szCs w:val="24"/>
        </w:rPr>
        <w:t xml:space="preserve"> </w:t>
      </w:r>
      <w:r w:rsidR="000B1F25">
        <w:rPr>
          <w:sz w:val="24"/>
          <w:szCs w:val="24"/>
        </w:rPr>
        <w:t xml:space="preserve">and </w:t>
      </w:r>
      <w:r w:rsidR="007D25A4">
        <w:rPr>
          <w:sz w:val="24"/>
          <w:szCs w:val="24"/>
        </w:rPr>
        <w:t>an identical file transfer process from Huddle to ACE3 will occur</w:t>
      </w:r>
      <w:r w:rsidR="0024232D">
        <w:rPr>
          <w:sz w:val="24"/>
          <w:szCs w:val="24"/>
        </w:rPr>
        <w:t>.</w:t>
      </w:r>
      <w:r w:rsidR="00D46682">
        <w:rPr>
          <w:sz w:val="24"/>
          <w:szCs w:val="24"/>
        </w:rPr>
        <w:t xml:space="preserve">  Data will not be shared with HRSA using Box.  Any data that needs to be shared with HRSA will be </w:t>
      </w:r>
      <w:r w:rsidRPr="00171894" w:rsidR="00171894">
        <w:rPr>
          <w:sz w:val="24"/>
          <w:szCs w:val="24"/>
        </w:rPr>
        <w:t>transmitted securely via the file transfer protocol (FTP) and will be maintained on secure servers.</w:t>
      </w:r>
    </w:p>
    <w:p w:rsidRPr="00DB7177" w:rsidR="00DB7177" w:rsidP="00024782" w:rsidRDefault="00376738" w14:paraId="7D0B2626" w14:textId="3CF37AE3">
      <w:pPr>
        <w:numPr>
          <w:ilvl w:val="0"/>
          <w:numId w:val="1"/>
        </w:numPr>
        <w:spacing w:before="240"/>
        <w:rPr>
          <w:b/>
          <w:sz w:val="24"/>
        </w:rPr>
      </w:pPr>
      <w:r>
        <w:rPr>
          <w:b/>
          <w:sz w:val="24"/>
          <w:u w:val="single"/>
        </w:rPr>
        <w:t xml:space="preserve">Efforts to </w:t>
      </w:r>
      <w:r w:rsidRPr="00DB7177" w:rsidR="00DB7177">
        <w:rPr>
          <w:b/>
          <w:sz w:val="24"/>
          <w:u w:val="single"/>
        </w:rPr>
        <w:t>Identify Duplication and Use of Similar Information</w:t>
      </w:r>
    </w:p>
    <w:p w:rsidR="00C05BAF" w:rsidP="00DB7177" w:rsidRDefault="00C05BAF" w14:paraId="1ECD053F" w14:textId="77777777">
      <w:pPr>
        <w:pStyle w:val="BodyText"/>
        <w:spacing w:line="276" w:lineRule="auto"/>
        <w:rPr>
          <w:sz w:val="24"/>
        </w:rPr>
      </w:pPr>
    </w:p>
    <w:p w:rsidRPr="00130899" w:rsidR="00DB7177" w:rsidP="00104727" w:rsidRDefault="00934108" w14:paraId="799CC3D9" w14:textId="4789B685">
      <w:pPr>
        <w:pStyle w:val="BodyText"/>
        <w:rPr>
          <w:sz w:val="24"/>
        </w:rPr>
      </w:pPr>
      <w:r w:rsidRPr="00130899">
        <w:rPr>
          <w:sz w:val="24"/>
        </w:rPr>
        <w:t xml:space="preserve">This evaluation collects information unique to </w:t>
      </w:r>
      <w:r w:rsidRPr="00130899">
        <w:rPr>
          <w:i/>
          <w:sz w:val="24"/>
        </w:rPr>
        <w:t xml:space="preserve">Enhancing </w:t>
      </w:r>
      <w:r w:rsidR="00F71FB6">
        <w:rPr>
          <w:i/>
          <w:sz w:val="24"/>
        </w:rPr>
        <w:t xml:space="preserve">STI </w:t>
      </w:r>
      <w:r w:rsidRPr="00130899">
        <w:rPr>
          <w:i/>
          <w:sz w:val="24"/>
        </w:rPr>
        <w:t>Linkage</w:t>
      </w:r>
      <w:r w:rsidRPr="00130899">
        <w:rPr>
          <w:sz w:val="24"/>
        </w:rPr>
        <w:t xml:space="preserve"> that is otherwise not available to </w:t>
      </w:r>
      <w:r w:rsidR="001B109B">
        <w:rPr>
          <w:sz w:val="24"/>
        </w:rPr>
        <w:t>HRSA HAB</w:t>
      </w:r>
      <w:r w:rsidRPr="00130899">
        <w:rPr>
          <w:sz w:val="24"/>
        </w:rPr>
        <w:t>. With an eye toward minimiz</w:t>
      </w:r>
      <w:r w:rsidRPr="00130899" w:rsidR="00130899">
        <w:rPr>
          <w:sz w:val="24"/>
        </w:rPr>
        <w:t xml:space="preserve">ing duplication and burden, </w:t>
      </w:r>
      <w:r w:rsidRPr="00130899">
        <w:rPr>
          <w:sz w:val="24"/>
        </w:rPr>
        <w:t xml:space="preserve">data collected from each instrument is non-duplicative and complementary to the other evaluation components and program monitoring tools.  </w:t>
      </w:r>
      <w:r w:rsidRPr="00130899" w:rsidR="00DB7177">
        <w:rPr>
          <w:sz w:val="24"/>
        </w:rPr>
        <w:t xml:space="preserve">The overall evaluation strategy utilizes </w:t>
      </w:r>
      <w:r w:rsidRPr="00130899" w:rsidR="00C05BAF">
        <w:rPr>
          <w:sz w:val="24"/>
        </w:rPr>
        <w:t>five</w:t>
      </w:r>
      <w:r w:rsidRPr="00130899" w:rsidR="00DB7177">
        <w:rPr>
          <w:sz w:val="24"/>
        </w:rPr>
        <w:t xml:space="preserve"> sources of data: (1) </w:t>
      </w:r>
      <w:r w:rsidRPr="00130899" w:rsidR="00C05BAF">
        <w:rPr>
          <w:sz w:val="24"/>
        </w:rPr>
        <w:t>semi-structured interviews</w:t>
      </w:r>
      <w:r w:rsidRPr="00130899" w:rsidR="00DB7177">
        <w:rPr>
          <w:sz w:val="24"/>
        </w:rPr>
        <w:t>; (2)</w:t>
      </w:r>
      <w:r w:rsidRPr="00130899" w:rsidR="00C05BAF">
        <w:rPr>
          <w:sz w:val="24"/>
        </w:rPr>
        <w:t xml:space="preserve"> data end-user survey</w:t>
      </w:r>
      <w:r w:rsidRPr="00130899" w:rsidR="00DB7177">
        <w:rPr>
          <w:sz w:val="24"/>
        </w:rPr>
        <w:t xml:space="preserve">; (3) </w:t>
      </w:r>
      <w:r w:rsidRPr="00130899" w:rsidR="00C05BAF">
        <w:rPr>
          <w:sz w:val="24"/>
        </w:rPr>
        <w:t>aggregate statistics</w:t>
      </w:r>
      <w:r w:rsidRPr="00130899" w:rsidR="00DB7177">
        <w:rPr>
          <w:sz w:val="24"/>
        </w:rPr>
        <w:t xml:space="preserve">; (4) </w:t>
      </w:r>
      <w:r w:rsidRPr="00130899" w:rsidR="00C05BAF">
        <w:rPr>
          <w:sz w:val="24"/>
        </w:rPr>
        <w:t xml:space="preserve">personnel time reports; and (5) </w:t>
      </w:r>
      <w:r w:rsidR="00A17A4D">
        <w:rPr>
          <w:sz w:val="24"/>
        </w:rPr>
        <w:t xml:space="preserve">existing </w:t>
      </w:r>
      <w:r w:rsidRPr="00130899" w:rsidR="00C05BAF">
        <w:rPr>
          <w:sz w:val="24"/>
        </w:rPr>
        <w:t>document</w:t>
      </w:r>
      <w:r w:rsidR="00A17A4D">
        <w:rPr>
          <w:sz w:val="24"/>
        </w:rPr>
        <w:t>s</w:t>
      </w:r>
      <w:r w:rsidRPr="00130899" w:rsidR="00DB7177">
        <w:rPr>
          <w:sz w:val="24"/>
        </w:rPr>
        <w:t>.</w:t>
      </w:r>
      <w:r w:rsidRPr="00130899" w:rsidR="00C05BAF">
        <w:rPr>
          <w:sz w:val="24"/>
        </w:rPr>
        <w:t xml:space="preserve"> </w:t>
      </w:r>
      <w:r w:rsidR="00F53884">
        <w:rPr>
          <w:sz w:val="24"/>
        </w:rPr>
        <w:t xml:space="preserve"> </w:t>
      </w:r>
      <w:r w:rsidRPr="00130899" w:rsidR="00C05BAF">
        <w:rPr>
          <w:sz w:val="24"/>
        </w:rPr>
        <w:t>A</w:t>
      </w:r>
      <w:r w:rsidRPr="00130899" w:rsidR="00DB7177">
        <w:rPr>
          <w:sz w:val="24"/>
        </w:rPr>
        <w:t xml:space="preserve">ll </w:t>
      </w:r>
      <w:r w:rsidRPr="00130899" w:rsidR="00130899">
        <w:rPr>
          <w:sz w:val="24"/>
        </w:rPr>
        <w:t xml:space="preserve">of </w:t>
      </w:r>
      <w:r w:rsidRPr="00130899" w:rsidR="00DB7177">
        <w:rPr>
          <w:sz w:val="24"/>
        </w:rPr>
        <w:t>these data sources</w:t>
      </w:r>
      <w:r w:rsidRPr="00130899" w:rsidR="00C05BAF">
        <w:rPr>
          <w:sz w:val="24"/>
        </w:rPr>
        <w:t xml:space="preserve"> </w:t>
      </w:r>
      <w:r w:rsidRPr="00130899" w:rsidR="00DB7177">
        <w:rPr>
          <w:sz w:val="24"/>
        </w:rPr>
        <w:t xml:space="preserve">will require collection of information not already available within this request for OMB approval. </w:t>
      </w:r>
    </w:p>
    <w:p w:rsidR="00130899" w:rsidP="00130899" w:rsidRDefault="00622188" w14:paraId="7B73D78F" w14:textId="28E5D009">
      <w:pPr>
        <w:pStyle w:val="BodyText"/>
        <w:spacing w:after="0"/>
        <w:rPr>
          <w:sz w:val="24"/>
        </w:rPr>
      </w:pPr>
      <w:r w:rsidRPr="00622188">
        <w:rPr>
          <w:sz w:val="24"/>
        </w:rPr>
        <w:t>Because no data collection, federal or otherwise, contains comprehensive, high quality data representative of the RWHAP program</w:t>
      </w:r>
      <w:r w:rsidRPr="00130899" w:rsidR="00DB7177">
        <w:rPr>
          <w:sz w:val="24"/>
        </w:rPr>
        <w:t xml:space="preserve"> to answer the key evaluation </w:t>
      </w:r>
      <w:r w:rsidRPr="00130899" w:rsidR="007D25A4">
        <w:rPr>
          <w:sz w:val="24"/>
        </w:rPr>
        <w:t>questions</w:t>
      </w:r>
      <w:r w:rsidR="00DE7EC1">
        <w:rPr>
          <w:sz w:val="24"/>
        </w:rPr>
        <w:t xml:space="preserve"> of this project</w:t>
      </w:r>
      <w:r>
        <w:rPr>
          <w:sz w:val="24"/>
        </w:rPr>
        <w:t xml:space="preserve">, </w:t>
      </w:r>
      <w:r w:rsidRPr="00622188">
        <w:rPr>
          <w:sz w:val="24"/>
        </w:rPr>
        <w:t>HRSA proposes the current information collection</w:t>
      </w:r>
      <w:r w:rsidR="000A716D">
        <w:rPr>
          <w:sz w:val="24"/>
        </w:rPr>
        <w:t xml:space="preserve">.  </w:t>
      </w:r>
      <w:r w:rsidRPr="00622188" w:rsidR="000A716D">
        <w:rPr>
          <w:sz w:val="24"/>
        </w:rPr>
        <w:t xml:space="preserve">This information collection will be the only comprehensive source of </w:t>
      </w:r>
      <w:r w:rsidR="000A716D">
        <w:rPr>
          <w:sz w:val="24"/>
        </w:rPr>
        <w:t xml:space="preserve">qualitative and aggregate quantitative </w:t>
      </w:r>
      <w:r w:rsidRPr="00622188" w:rsidR="000A716D">
        <w:rPr>
          <w:sz w:val="24"/>
        </w:rPr>
        <w:t xml:space="preserve">information that will adequately address and meet HRSA’s data collection needs and objectives. </w:t>
      </w:r>
    </w:p>
    <w:p w:rsidR="00130899" w:rsidP="00130899" w:rsidRDefault="00130899" w14:paraId="71047E90" w14:textId="77777777">
      <w:pPr>
        <w:pStyle w:val="BodyText"/>
        <w:spacing w:after="0"/>
        <w:rPr>
          <w:sz w:val="24"/>
        </w:rPr>
      </w:pPr>
    </w:p>
    <w:p w:rsidRPr="00545B2E" w:rsidR="00995972" w:rsidP="00130899" w:rsidRDefault="009B3794" w14:paraId="7D0088D7" w14:textId="2688FF0C">
      <w:pPr>
        <w:pStyle w:val="BodyText"/>
        <w:numPr>
          <w:ilvl w:val="0"/>
          <w:numId w:val="1"/>
        </w:numPr>
        <w:spacing w:after="0"/>
        <w:rPr>
          <w:color w:val="000000"/>
          <w:sz w:val="24"/>
        </w:rPr>
      </w:pPr>
      <w:r w:rsidRPr="00545B2E">
        <w:rPr>
          <w:b/>
          <w:sz w:val="24"/>
          <w:u w:val="single"/>
        </w:rPr>
        <w:t>Impact on Small Businesses or Other Small Entities</w:t>
      </w:r>
    </w:p>
    <w:p w:rsidR="00447377" w:rsidP="00F53884" w:rsidRDefault="00447377" w14:paraId="5C31523B" w14:textId="77777777">
      <w:pPr>
        <w:pStyle w:val="BodyText"/>
        <w:rPr>
          <w:sz w:val="24"/>
        </w:rPr>
      </w:pPr>
    </w:p>
    <w:p w:rsidRPr="00545B2E" w:rsidR="00047976" w:rsidP="00F53884" w:rsidRDefault="00047976" w14:paraId="09AF116D" w14:textId="2CCB7821">
      <w:pPr>
        <w:pStyle w:val="BodyText"/>
        <w:rPr>
          <w:color w:val="FF0000"/>
          <w:sz w:val="24"/>
        </w:rPr>
      </w:pPr>
      <w:r w:rsidRPr="00545B2E">
        <w:rPr>
          <w:sz w:val="24"/>
        </w:rPr>
        <w:t xml:space="preserve">Information collection will not have a significant impact on small entities. </w:t>
      </w:r>
      <w:r w:rsidR="00F53884">
        <w:rPr>
          <w:sz w:val="24"/>
        </w:rPr>
        <w:t xml:space="preserve"> </w:t>
      </w:r>
      <w:r w:rsidRPr="00545B2E">
        <w:rPr>
          <w:sz w:val="24"/>
        </w:rPr>
        <w:t xml:space="preserve">Data will be collected from state health departments, which do not constitute small businesses. </w:t>
      </w:r>
    </w:p>
    <w:p w:rsidRPr="00545B2E" w:rsidR="005658C4" w:rsidP="00024782" w:rsidRDefault="009B3794" w14:paraId="68DC6BAB" w14:textId="30CC9E55">
      <w:pPr>
        <w:numPr>
          <w:ilvl w:val="0"/>
          <w:numId w:val="1"/>
        </w:numPr>
        <w:spacing w:before="240"/>
        <w:rPr>
          <w:b/>
          <w:sz w:val="24"/>
        </w:rPr>
      </w:pPr>
      <w:r w:rsidRPr="00545B2E">
        <w:rPr>
          <w:b/>
          <w:sz w:val="24"/>
          <w:u w:val="single"/>
        </w:rPr>
        <w:t>Consequences of Collecting the Information Less Frequent</w:t>
      </w:r>
      <w:r w:rsidRPr="00545B2E" w:rsidR="001325B2">
        <w:rPr>
          <w:b/>
          <w:sz w:val="24"/>
          <w:u w:val="single"/>
        </w:rPr>
        <w:t>ly</w:t>
      </w:r>
    </w:p>
    <w:p w:rsidR="00447377" w:rsidP="005658C4" w:rsidRDefault="00447377" w14:paraId="71F8E729" w14:textId="77777777">
      <w:pPr>
        <w:rPr>
          <w:sz w:val="24"/>
        </w:rPr>
      </w:pPr>
    </w:p>
    <w:p w:rsidRPr="00545B2E" w:rsidR="00A47C1D" w:rsidP="005658C4" w:rsidRDefault="005658C4" w14:paraId="27F1511D" w14:textId="796B4721">
      <w:pPr>
        <w:rPr>
          <w:sz w:val="24"/>
        </w:rPr>
      </w:pPr>
      <w:r w:rsidRPr="00545B2E">
        <w:rPr>
          <w:sz w:val="24"/>
        </w:rPr>
        <w:t>F</w:t>
      </w:r>
      <w:r w:rsidRPr="00545B2E" w:rsidR="00040287">
        <w:rPr>
          <w:sz w:val="24"/>
        </w:rPr>
        <w:t>requency of data collection</w:t>
      </w:r>
      <w:r w:rsidRPr="00545B2E">
        <w:rPr>
          <w:sz w:val="24"/>
        </w:rPr>
        <w:t xml:space="preserve"> is held to </w:t>
      </w:r>
      <w:r w:rsidRPr="00545B2E" w:rsidR="00040287">
        <w:rPr>
          <w:sz w:val="24"/>
        </w:rPr>
        <w:t xml:space="preserve">the minimum necessary to meet </w:t>
      </w:r>
      <w:r w:rsidRPr="00545B2E">
        <w:rPr>
          <w:sz w:val="24"/>
        </w:rPr>
        <w:t>evaluation objectives</w:t>
      </w:r>
      <w:r w:rsidRPr="00545B2E" w:rsidR="00040287">
        <w:rPr>
          <w:sz w:val="24"/>
        </w:rPr>
        <w:t xml:space="preserve"> and achieve evaluation aims</w:t>
      </w:r>
      <w:r w:rsidRPr="00545B2E">
        <w:rPr>
          <w:sz w:val="24"/>
        </w:rPr>
        <w:t xml:space="preserve">. </w:t>
      </w:r>
      <w:r w:rsidR="00F53884">
        <w:rPr>
          <w:sz w:val="24"/>
        </w:rPr>
        <w:t xml:space="preserve"> </w:t>
      </w:r>
      <w:r w:rsidR="005426F5">
        <w:rPr>
          <w:sz w:val="24"/>
        </w:rPr>
        <w:t>P</w:t>
      </w:r>
      <w:r w:rsidRPr="00545B2E" w:rsidR="00040287">
        <w:rPr>
          <w:sz w:val="24"/>
        </w:rPr>
        <w:t xml:space="preserve">lans for data collection activities </w:t>
      </w:r>
      <w:r w:rsidR="005426F5">
        <w:rPr>
          <w:sz w:val="24"/>
        </w:rPr>
        <w:t xml:space="preserve">were developed </w:t>
      </w:r>
      <w:r w:rsidRPr="00545B2E" w:rsidR="00040287">
        <w:rPr>
          <w:sz w:val="24"/>
        </w:rPr>
        <w:t>in conjunction with</w:t>
      </w:r>
      <w:r w:rsidRPr="00545B2E">
        <w:rPr>
          <w:sz w:val="24"/>
        </w:rPr>
        <w:t xml:space="preserve"> t</w:t>
      </w:r>
      <w:r w:rsidRPr="00545B2E" w:rsidR="00040287">
        <w:rPr>
          <w:sz w:val="24"/>
        </w:rPr>
        <w:t>he TAP</w:t>
      </w:r>
      <w:r w:rsidRPr="00545B2E" w:rsidR="00A47C1D">
        <w:rPr>
          <w:sz w:val="24"/>
        </w:rPr>
        <w:t>, and efforts were made to</w:t>
      </w:r>
      <w:r w:rsidRPr="00545B2E" w:rsidR="00040287">
        <w:rPr>
          <w:sz w:val="24"/>
        </w:rPr>
        <w:t xml:space="preserve"> consider</w:t>
      </w:r>
      <w:r w:rsidRPr="00545B2E" w:rsidR="00A47C1D">
        <w:rPr>
          <w:sz w:val="24"/>
        </w:rPr>
        <w:t xml:space="preserve"> and balance</w:t>
      </w:r>
      <w:r w:rsidRPr="00545B2E" w:rsidR="00040287">
        <w:rPr>
          <w:sz w:val="24"/>
        </w:rPr>
        <w:t xml:space="preserve"> data c</w:t>
      </w:r>
      <w:r w:rsidRPr="00545B2E" w:rsidR="00A47C1D">
        <w:rPr>
          <w:sz w:val="24"/>
        </w:rPr>
        <w:t xml:space="preserve">ollection burden with </w:t>
      </w:r>
      <w:r w:rsidR="00501099">
        <w:rPr>
          <w:sz w:val="24"/>
        </w:rPr>
        <w:t>the</w:t>
      </w:r>
      <w:r w:rsidRPr="00545B2E" w:rsidR="00501099">
        <w:rPr>
          <w:sz w:val="24"/>
        </w:rPr>
        <w:t xml:space="preserve"> </w:t>
      </w:r>
      <w:r w:rsidRPr="00545B2E" w:rsidR="00A47C1D">
        <w:rPr>
          <w:sz w:val="24"/>
        </w:rPr>
        <w:t>ability to achieve evaluation aims</w:t>
      </w:r>
      <w:r w:rsidRPr="00545B2E" w:rsidR="00040287">
        <w:rPr>
          <w:sz w:val="24"/>
        </w:rPr>
        <w:t xml:space="preserve">. </w:t>
      </w:r>
      <w:r w:rsidR="00F53884">
        <w:rPr>
          <w:sz w:val="24"/>
        </w:rPr>
        <w:t xml:space="preserve"> </w:t>
      </w:r>
      <w:r w:rsidRPr="00545B2E" w:rsidR="00040287">
        <w:rPr>
          <w:sz w:val="24"/>
        </w:rPr>
        <w:t xml:space="preserve">For example, </w:t>
      </w:r>
      <w:r w:rsidR="00501099">
        <w:rPr>
          <w:sz w:val="24"/>
        </w:rPr>
        <w:t>the</w:t>
      </w:r>
      <w:r w:rsidRPr="00545B2E" w:rsidR="00501099">
        <w:rPr>
          <w:sz w:val="24"/>
        </w:rPr>
        <w:t xml:space="preserve"> </w:t>
      </w:r>
      <w:r w:rsidRPr="00545B2E" w:rsidR="00040287">
        <w:rPr>
          <w:sz w:val="24"/>
        </w:rPr>
        <w:t>evaluation design includes review</w:t>
      </w:r>
      <w:r w:rsidRPr="00545B2E" w:rsidR="00A47C1D">
        <w:rPr>
          <w:sz w:val="24"/>
        </w:rPr>
        <w:t>ing</w:t>
      </w:r>
      <w:r w:rsidRPr="00545B2E" w:rsidR="00040287">
        <w:rPr>
          <w:sz w:val="24"/>
        </w:rPr>
        <w:t xml:space="preserve"> existing doc</w:t>
      </w:r>
      <w:r w:rsidRPr="00545B2E" w:rsidR="00A47C1D">
        <w:rPr>
          <w:sz w:val="24"/>
        </w:rPr>
        <w:t xml:space="preserve">uments to glean needed information. </w:t>
      </w:r>
      <w:r w:rsidR="00F53884">
        <w:rPr>
          <w:sz w:val="24"/>
        </w:rPr>
        <w:t xml:space="preserve"> </w:t>
      </w:r>
      <w:r w:rsidRPr="00545B2E" w:rsidR="00A47C1D">
        <w:rPr>
          <w:sz w:val="24"/>
        </w:rPr>
        <w:t>Additionally</w:t>
      </w:r>
      <w:r w:rsidRPr="00545B2E" w:rsidR="00040287">
        <w:rPr>
          <w:sz w:val="24"/>
        </w:rPr>
        <w:t xml:space="preserve">, aggregate statistics measures </w:t>
      </w:r>
      <w:r w:rsidR="004B3DE2">
        <w:rPr>
          <w:sz w:val="24"/>
        </w:rPr>
        <w:t xml:space="preserve">were aligned </w:t>
      </w:r>
      <w:r w:rsidRPr="00545B2E" w:rsidR="00040287">
        <w:rPr>
          <w:sz w:val="24"/>
        </w:rPr>
        <w:t xml:space="preserve">to those jurisdictions </w:t>
      </w:r>
      <w:r w:rsidR="004B3DE2">
        <w:rPr>
          <w:sz w:val="24"/>
        </w:rPr>
        <w:t xml:space="preserve">that </w:t>
      </w:r>
      <w:r w:rsidRPr="00545B2E" w:rsidR="00040287">
        <w:rPr>
          <w:sz w:val="24"/>
        </w:rPr>
        <w:t xml:space="preserve">already report to HRSA and </w:t>
      </w:r>
      <w:r w:rsidR="00504BBC">
        <w:rPr>
          <w:sz w:val="24"/>
        </w:rPr>
        <w:t>the Centers for Disease Control and Prevention (</w:t>
      </w:r>
      <w:r w:rsidRPr="00545B2E" w:rsidR="00040287">
        <w:rPr>
          <w:sz w:val="24"/>
        </w:rPr>
        <w:t>CDC</w:t>
      </w:r>
      <w:r w:rsidR="00504BBC">
        <w:rPr>
          <w:sz w:val="24"/>
        </w:rPr>
        <w:t>)</w:t>
      </w:r>
      <w:r w:rsidR="00323AD2">
        <w:rPr>
          <w:sz w:val="24"/>
        </w:rPr>
        <w:t xml:space="preserve"> including:</w:t>
      </w:r>
      <w:r w:rsidRPr="00323AD2" w:rsidR="00323AD2">
        <w:t xml:space="preserve"> </w:t>
      </w:r>
      <w:r w:rsidR="00323AD2">
        <w:rPr>
          <w:sz w:val="24"/>
        </w:rPr>
        <w:t xml:space="preserve">infection and comorbidity rates, </w:t>
      </w:r>
      <w:r w:rsidRPr="00323AD2" w:rsidR="00323AD2">
        <w:rPr>
          <w:sz w:val="24"/>
        </w:rPr>
        <w:t>rates of linking new HIV-</w:t>
      </w:r>
      <w:r w:rsidRPr="00323AD2" w:rsidR="00323AD2">
        <w:rPr>
          <w:sz w:val="24"/>
        </w:rPr>
        <w:lastRenderedPageBreak/>
        <w:t>positive individuals to care</w:t>
      </w:r>
      <w:r w:rsidR="00323AD2">
        <w:rPr>
          <w:sz w:val="24"/>
        </w:rPr>
        <w:t xml:space="preserve">, and </w:t>
      </w:r>
      <w:r w:rsidRPr="00323AD2" w:rsidR="00323AD2">
        <w:rPr>
          <w:sz w:val="24"/>
        </w:rPr>
        <w:t>retention in HIV care</w:t>
      </w:r>
      <w:r w:rsidRPr="00545B2E" w:rsidR="00040287">
        <w:rPr>
          <w:sz w:val="24"/>
        </w:rPr>
        <w:t xml:space="preserve">. </w:t>
      </w:r>
      <w:r w:rsidR="00F53884">
        <w:rPr>
          <w:sz w:val="24"/>
        </w:rPr>
        <w:t xml:space="preserve"> </w:t>
      </w:r>
      <w:r w:rsidRPr="00545B2E" w:rsidR="00A4459F">
        <w:rPr>
          <w:sz w:val="24"/>
        </w:rPr>
        <w:t>These data collection strategies</w:t>
      </w:r>
      <w:r w:rsidRPr="00545B2E">
        <w:rPr>
          <w:sz w:val="24"/>
        </w:rPr>
        <w:t xml:space="preserve"> reduce </w:t>
      </w:r>
      <w:r w:rsidRPr="00545B2E" w:rsidR="00A4459F">
        <w:rPr>
          <w:sz w:val="24"/>
        </w:rPr>
        <w:t xml:space="preserve">the need for </w:t>
      </w:r>
      <w:r w:rsidRPr="00545B2E">
        <w:rPr>
          <w:sz w:val="24"/>
        </w:rPr>
        <w:t>primary data collectio</w:t>
      </w:r>
      <w:r w:rsidRPr="00545B2E" w:rsidR="00A4459F">
        <w:rPr>
          <w:sz w:val="24"/>
        </w:rPr>
        <w:t>n</w:t>
      </w:r>
      <w:r w:rsidRPr="00545B2E">
        <w:rPr>
          <w:sz w:val="24"/>
        </w:rPr>
        <w:t xml:space="preserve">. </w:t>
      </w:r>
      <w:r w:rsidR="00F53884">
        <w:rPr>
          <w:sz w:val="24"/>
        </w:rPr>
        <w:t xml:space="preserve"> </w:t>
      </w:r>
      <w:r w:rsidRPr="00545B2E">
        <w:rPr>
          <w:sz w:val="24"/>
        </w:rPr>
        <w:t xml:space="preserve">However, to achieve </w:t>
      </w:r>
      <w:r w:rsidR="004B3DE2">
        <w:rPr>
          <w:sz w:val="24"/>
        </w:rPr>
        <w:t>the</w:t>
      </w:r>
      <w:r w:rsidRPr="00545B2E" w:rsidR="004B3DE2">
        <w:rPr>
          <w:sz w:val="24"/>
        </w:rPr>
        <w:t xml:space="preserve"> </w:t>
      </w:r>
      <w:r w:rsidRPr="00545B2E">
        <w:rPr>
          <w:sz w:val="24"/>
        </w:rPr>
        <w:t>evaluation objecti</w:t>
      </w:r>
      <w:r w:rsidRPr="00545B2E" w:rsidR="00A4459F">
        <w:rPr>
          <w:sz w:val="24"/>
        </w:rPr>
        <w:t xml:space="preserve">ves, </w:t>
      </w:r>
      <w:r w:rsidR="00FA1E9F">
        <w:rPr>
          <w:sz w:val="24"/>
        </w:rPr>
        <w:t xml:space="preserve">the </w:t>
      </w:r>
      <w:r w:rsidRPr="00545B2E">
        <w:rPr>
          <w:sz w:val="24"/>
        </w:rPr>
        <w:t>interviews and survey</w:t>
      </w:r>
      <w:r w:rsidRPr="00545B2E" w:rsidR="00A4459F">
        <w:rPr>
          <w:sz w:val="24"/>
        </w:rPr>
        <w:t>s described</w:t>
      </w:r>
      <w:r w:rsidR="00FA1E9F">
        <w:rPr>
          <w:sz w:val="24"/>
        </w:rPr>
        <w:t xml:space="preserve"> will need to be conducted</w:t>
      </w:r>
      <w:r w:rsidRPr="00545B2E">
        <w:rPr>
          <w:sz w:val="24"/>
        </w:rPr>
        <w:t>.</w:t>
      </w:r>
      <w:r w:rsidR="00130899">
        <w:rPr>
          <w:sz w:val="24"/>
        </w:rPr>
        <w:t xml:space="preserve"> </w:t>
      </w:r>
      <w:r w:rsidR="00F53884">
        <w:rPr>
          <w:sz w:val="24"/>
        </w:rPr>
        <w:t xml:space="preserve"> </w:t>
      </w:r>
      <w:r w:rsidR="00130899">
        <w:rPr>
          <w:sz w:val="24"/>
        </w:rPr>
        <w:t xml:space="preserve">Data </w:t>
      </w:r>
      <w:r w:rsidR="00BD7960">
        <w:rPr>
          <w:sz w:val="24"/>
        </w:rPr>
        <w:t>collection tools and frequency of use</w:t>
      </w:r>
      <w:r w:rsidR="00130899">
        <w:rPr>
          <w:sz w:val="24"/>
        </w:rPr>
        <w:t xml:space="preserve"> are shown in </w:t>
      </w:r>
      <w:r w:rsidRPr="00BD7960" w:rsidR="00130899">
        <w:rPr>
          <w:b/>
          <w:i/>
          <w:sz w:val="24"/>
        </w:rPr>
        <w:t xml:space="preserve">Exhibit </w:t>
      </w:r>
      <w:r w:rsidR="004865BE">
        <w:rPr>
          <w:b/>
          <w:i/>
          <w:sz w:val="24"/>
        </w:rPr>
        <w:t>4</w:t>
      </w:r>
      <w:r w:rsidR="00130899">
        <w:rPr>
          <w:sz w:val="24"/>
        </w:rPr>
        <w:t>.</w:t>
      </w:r>
      <w:r w:rsidRPr="00545B2E">
        <w:rPr>
          <w:sz w:val="24"/>
        </w:rPr>
        <w:t xml:space="preserve"> </w:t>
      </w:r>
    </w:p>
    <w:p w:rsidR="009740BA" w:rsidP="00450715" w:rsidRDefault="009740BA" w14:paraId="32F5AECF" w14:textId="77777777">
      <w:pPr>
        <w:rPr>
          <w:b/>
          <w:i/>
          <w:sz w:val="24"/>
        </w:rPr>
      </w:pPr>
    </w:p>
    <w:p w:rsidRPr="00BD7960" w:rsidR="00450715" w:rsidP="00450715" w:rsidRDefault="00450715" w14:paraId="2B80586C" w14:textId="4E7EF800">
      <w:pPr>
        <w:rPr>
          <w:b/>
          <w:i/>
          <w:sz w:val="24"/>
        </w:rPr>
      </w:pPr>
      <w:r w:rsidRPr="00BD7960">
        <w:rPr>
          <w:b/>
          <w:i/>
          <w:sz w:val="24"/>
        </w:rPr>
        <w:t xml:space="preserve">Exhibit </w:t>
      </w:r>
      <w:r w:rsidR="004865BE">
        <w:rPr>
          <w:b/>
          <w:i/>
          <w:sz w:val="24"/>
        </w:rPr>
        <w:t>4</w:t>
      </w:r>
      <w:r w:rsidRPr="00BD7960">
        <w:rPr>
          <w:b/>
          <w:i/>
          <w:sz w:val="24"/>
        </w:rPr>
        <w:t xml:space="preserve">. Enhancing </w:t>
      </w:r>
      <w:r w:rsidR="00F71FB6">
        <w:rPr>
          <w:b/>
          <w:i/>
          <w:sz w:val="24"/>
        </w:rPr>
        <w:t xml:space="preserve">STI </w:t>
      </w:r>
      <w:r w:rsidRPr="00BD7960">
        <w:rPr>
          <w:b/>
          <w:i/>
          <w:sz w:val="24"/>
        </w:rPr>
        <w:t>Linkage Evaluation Data Collection Tools &amp; Frequency</w:t>
      </w:r>
    </w:p>
    <w:p w:rsidR="00450715" w:rsidP="00450715" w:rsidRDefault="00450715" w14:paraId="75CCF708" w14:textId="77777777"/>
    <w:tbl>
      <w:tblPr>
        <w:tblStyle w:val="TableGrid"/>
        <w:tblW w:w="10156" w:type="dxa"/>
        <w:tblLook w:val="04A0" w:firstRow="1" w:lastRow="0" w:firstColumn="1" w:lastColumn="0" w:noHBand="0" w:noVBand="1"/>
      </w:tblPr>
      <w:tblGrid>
        <w:gridCol w:w="2014"/>
        <w:gridCol w:w="2477"/>
        <w:gridCol w:w="1396"/>
        <w:gridCol w:w="2033"/>
        <w:gridCol w:w="2236"/>
      </w:tblGrid>
      <w:tr w:rsidRPr="00450715" w:rsidR="00450715" w:rsidTr="003E7449" w14:paraId="03B9FE68" w14:textId="77777777">
        <w:trPr>
          <w:trHeight w:val="311"/>
          <w:tblHeader/>
        </w:trPr>
        <w:tc>
          <w:tcPr>
            <w:tcW w:w="2014" w:type="dxa"/>
            <w:tcBorders>
              <w:top w:val="single" w:color="auto" w:sz="4" w:space="0"/>
              <w:left w:val="single" w:color="auto" w:sz="4" w:space="0"/>
              <w:bottom w:val="single" w:color="auto" w:sz="4" w:space="0"/>
              <w:right w:val="single" w:color="auto" w:sz="4" w:space="0"/>
            </w:tcBorders>
            <w:shd w:val="clear" w:color="auto" w:fill="4BACC6" w:themeFill="accent5"/>
            <w:vAlign w:val="center"/>
            <w:hideMark/>
          </w:tcPr>
          <w:p w:rsidRPr="002C4898" w:rsidR="00450715" w:rsidP="002C4898" w:rsidRDefault="00450715" w14:paraId="532DD8E7" w14:textId="77777777">
            <w:pPr>
              <w:rPr>
                <w:rFonts w:ascii="Arial Narrow" w:hAnsi="Arial Narrow"/>
                <w:b/>
                <w:color w:val="FFFFFF" w:themeColor="background1"/>
                <w:sz w:val="22"/>
              </w:rPr>
            </w:pPr>
            <w:r w:rsidRPr="002C4898">
              <w:rPr>
                <w:rFonts w:ascii="Arial Narrow" w:hAnsi="Arial Narrow"/>
                <w:b/>
                <w:color w:val="FFFFFF" w:themeColor="background1"/>
                <w:sz w:val="22"/>
              </w:rPr>
              <w:t>Instrument</w:t>
            </w:r>
          </w:p>
        </w:tc>
        <w:tc>
          <w:tcPr>
            <w:tcW w:w="2477" w:type="dxa"/>
            <w:tcBorders>
              <w:top w:val="single" w:color="auto" w:sz="4" w:space="0"/>
              <w:left w:val="single" w:color="auto" w:sz="4" w:space="0"/>
              <w:bottom w:val="single" w:color="auto" w:sz="4" w:space="0"/>
              <w:right w:val="single" w:color="auto" w:sz="4" w:space="0"/>
            </w:tcBorders>
            <w:shd w:val="clear" w:color="auto" w:fill="4BACC6" w:themeFill="accent5"/>
            <w:vAlign w:val="center"/>
            <w:hideMark/>
          </w:tcPr>
          <w:p w:rsidRPr="002C4898" w:rsidR="00450715" w:rsidP="002C4898" w:rsidRDefault="00450715" w14:paraId="20E6FE72" w14:textId="77777777">
            <w:pPr>
              <w:rPr>
                <w:rFonts w:ascii="Arial Narrow" w:hAnsi="Arial Narrow"/>
                <w:b/>
                <w:color w:val="FFFFFF" w:themeColor="background1"/>
                <w:sz w:val="22"/>
              </w:rPr>
            </w:pPr>
            <w:r w:rsidRPr="002C4898">
              <w:rPr>
                <w:rFonts w:ascii="Arial Narrow" w:hAnsi="Arial Narrow"/>
                <w:b/>
                <w:color w:val="FFFFFF" w:themeColor="background1"/>
                <w:sz w:val="22"/>
              </w:rPr>
              <w:t>Data Collection Method</w:t>
            </w:r>
          </w:p>
        </w:tc>
        <w:tc>
          <w:tcPr>
            <w:tcW w:w="1396" w:type="dxa"/>
            <w:tcBorders>
              <w:top w:val="single" w:color="auto" w:sz="4" w:space="0"/>
              <w:left w:val="single" w:color="auto" w:sz="4" w:space="0"/>
              <w:bottom w:val="single" w:color="auto" w:sz="4" w:space="0"/>
              <w:right w:val="single" w:color="auto" w:sz="4" w:space="0"/>
            </w:tcBorders>
            <w:shd w:val="clear" w:color="auto" w:fill="4BACC6" w:themeFill="accent5"/>
            <w:vAlign w:val="center"/>
            <w:hideMark/>
          </w:tcPr>
          <w:p w:rsidRPr="002C4898" w:rsidR="00450715" w:rsidP="002C4898" w:rsidRDefault="00450715" w14:paraId="58BC1DCD" w14:textId="77777777">
            <w:pPr>
              <w:rPr>
                <w:rFonts w:ascii="Arial Narrow" w:hAnsi="Arial Narrow"/>
                <w:b/>
                <w:color w:val="FFFFFF" w:themeColor="background1"/>
                <w:sz w:val="22"/>
              </w:rPr>
            </w:pPr>
            <w:r w:rsidRPr="002C4898">
              <w:rPr>
                <w:rFonts w:ascii="Arial Narrow" w:hAnsi="Arial Narrow"/>
                <w:b/>
                <w:color w:val="FFFFFF" w:themeColor="background1"/>
                <w:sz w:val="22"/>
              </w:rPr>
              <w:t>Frequency of Data Collection</w:t>
            </w:r>
          </w:p>
        </w:tc>
        <w:tc>
          <w:tcPr>
            <w:tcW w:w="2033" w:type="dxa"/>
            <w:tcBorders>
              <w:top w:val="single" w:color="auto" w:sz="4" w:space="0"/>
              <w:left w:val="single" w:color="auto" w:sz="4" w:space="0"/>
              <w:bottom w:val="single" w:color="auto" w:sz="4" w:space="0"/>
              <w:right w:val="single" w:color="auto" w:sz="4" w:space="0"/>
            </w:tcBorders>
            <w:shd w:val="clear" w:color="auto" w:fill="4BACC6" w:themeFill="accent5"/>
            <w:vAlign w:val="center"/>
            <w:hideMark/>
          </w:tcPr>
          <w:p w:rsidRPr="002C4898" w:rsidR="00450715" w:rsidP="002C4898" w:rsidRDefault="00450715" w14:paraId="43D018C4" w14:textId="77777777">
            <w:pPr>
              <w:rPr>
                <w:rFonts w:ascii="Arial Narrow" w:hAnsi="Arial Narrow"/>
                <w:b/>
                <w:color w:val="FFFFFF" w:themeColor="background1"/>
                <w:sz w:val="22"/>
              </w:rPr>
            </w:pPr>
            <w:r w:rsidRPr="002C4898">
              <w:rPr>
                <w:rFonts w:ascii="Arial Narrow" w:hAnsi="Arial Narrow"/>
                <w:b/>
                <w:color w:val="FFFFFF" w:themeColor="background1"/>
                <w:sz w:val="22"/>
              </w:rPr>
              <w:t>Maximum Number of Data Collections</w:t>
            </w:r>
          </w:p>
        </w:tc>
        <w:tc>
          <w:tcPr>
            <w:tcW w:w="2236" w:type="dxa"/>
            <w:tcBorders>
              <w:top w:val="single" w:color="auto" w:sz="4" w:space="0"/>
              <w:left w:val="single" w:color="auto" w:sz="4" w:space="0"/>
              <w:bottom w:val="single" w:color="auto" w:sz="4" w:space="0"/>
              <w:right w:val="single" w:color="auto" w:sz="4" w:space="0"/>
            </w:tcBorders>
            <w:shd w:val="clear" w:color="auto" w:fill="4BACC6" w:themeFill="accent5"/>
            <w:vAlign w:val="center"/>
            <w:hideMark/>
          </w:tcPr>
          <w:p w:rsidRPr="002C4898" w:rsidR="00450715" w:rsidP="002C4898" w:rsidRDefault="00450715" w14:paraId="2152E222" w14:textId="77777777">
            <w:pPr>
              <w:rPr>
                <w:rFonts w:ascii="Arial Narrow" w:hAnsi="Arial Narrow"/>
                <w:b/>
                <w:color w:val="FFFFFF" w:themeColor="background1"/>
                <w:sz w:val="22"/>
              </w:rPr>
            </w:pPr>
            <w:r w:rsidRPr="002C4898">
              <w:rPr>
                <w:rFonts w:ascii="Arial Narrow" w:hAnsi="Arial Narrow"/>
                <w:b/>
                <w:color w:val="FFFFFF" w:themeColor="background1"/>
                <w:sz w:val="22"/>
              </w:rPr>
              <w:t>Attachment Number</w:t>
            </w:r>
          </w:p>
        </w:tc>
      </w:tr>
      <w:tr w:rsidRPr="00450715" w:rsidR="00996440" w:rsidTr="00996440" w14:paraId="28F3CF94" w14:textId="77777777">
        <w:trPr>
          <w:trHeight w:val="440"/>
        </w:trPr>
        <w:tc>
          <w:tcPr>
            <w:tcW w:w="10156" w:type="dxa"/>
            <w:gridSpan w:val="5"/>
            <w:tcBorders>
              <w:top w:val="single" w:color="auto" w:sz="4" w:space="0"/>
              <w:left w:val="single" w:color="auto" w:sz="4" w:space="0"/>
              <w:right w:val="single" w:color="auto" w:sz="4" w:space="0"/>
            </w:tcBorders>
            <w:shd w:val="clear" w:color="auto" w:fill="BFBFBF" w:themeFill="background1" w:themeFillShade="BF"/>
            <w:vAlign w:val="center"/>
          </w:tcPr>
          <w:p w:rsidRPr="00996440" w:rsidR="00996440" w:rsidP="00311E30" w:rsidRDefault="00996440" w14:paraId="007BD054" w14:textId="6344EE79">
            <w:pPr>
              <w:jc w:val="center"/>
              <w:rPr>
                <w:rFonts w:ascii="Arial Narrow" w:hAnsi="Arial Narrow"/>
                <w:b/>
                <w:i/>
                <w:sz w:val="22"/>
              </w:rPr>
            </w:pPr>
            <w:r w:rsidRPr="00996440">
              <w:rPr>
                <w:rFonts w:ascii="Arial Narrow" w:hAnsi="Arial Narrow"/>
                <w:b/>
                <w:i/>
                <w:sz w:val="22"/>
              </w:rPr>
              <w:t>Activit</w:t>
            </w:r>
            <w:r w:rsidR="001B109B">
              <w:rPr>
                <w:rFonts w:ascii="Arial Narrow" w:hAnsi="Arial Narrow"/>
                <w:b/>
                <w:i/>
                <w:sz w:val="22"/>
              </w:rPr>
              <w:t xml:space="preserve">ies Requiring </w:t>
            </w:r>
            <w:r w:rsidRPr="00996440">
              <w:rPr>
                <w:rFonts w:ascii="Arial Narrow" w:hAnsi="Arial Narrow"/>
                <w:b/>
                <w:i/>
                <w:sz w:val="22"/>
              </w:rPr>
              <w:t>OMB Approval</w:t>
            </w:r>
            <w:r w:rsidR="007745C7">
              <w:rPr>
                <w:rFonts w:ascii="Arial Narrow" w:hAnsi="Arial Narrow"/>
                <w:b/>
                <w:i/>
                <w:sz w:val="22"/>
              </w:rPr>
              <w:t xml:space="preserve"> (n &gt;10</w:t>
            </w:r>
            <w:r w:rsidR="00F438D3">
              <w:rPr>
                <w:rFonts w:ascii="Arial Narrow" w:hAnsi="Arial Narrow"/>
                <w:b/>
                <w:i/>
                <w:sz w:val="22"/>
              </w:rPr>
              <w:t xml:space="preserve"> for each form</w:t>
            </w:r>
            <w:r w:rsidR="007745C7">
              <w:rPr>
                <w:rFonts w:ascii="Arial Narrow" w:hAnsi="Arial Narrow"/>
                <w:b/>
                <w:i/>
                <w:sz w:val="22"/>
              </w:rPr>
              <w:t>)</w:t>
            </w:r>
          </w:p>
        </w:tc>
      </w:tr>
      <w:tr w:rsidRPr="00450715" w:rsidR="009701EC" w:rsidTr="00996440" w14:paraId="6CCB455D" w14:textId="77777777">
        <w:trPr>
          <w:trHeight w:val="802"/>
        </w:trPr>
        <w:tc>
          <w:tcPr>
            <w:tcW w:w="2014" w:type="dxa"/>
            <w:tcBorders>
              <w:left w:val="single" w:color="auto" w:sz="4" w:space="0"/>
              <w:right w:val="single" w:color="auto" w:sz="4" w:space="0"/>
            </w:tcBorders>
          </w:tcPr>
          <w:p w:rsidR="009701EC" w:rsidP="009701EC" w:rsidRDefault="009701EC" w14:paraId="0BC4B891" w14:textId="40E73024">
            <w:pPr>
              <w:rPr>
                <w:rFonts w:ascii="Arial Narrow" w:hAnsi="Arial Narrow"/>
                <w:b/>
                <w:sz w:val="22"/>
              </w:rPr>
            </w:pPr>
            <w:r>
              <w:rPr>
                <w:rFonts w:ascii="Arial Narrow" w:hAnsi="Arial Narrow"/>
                <w:b/>
                <w:sz w:val="22"/>
              </w:rPr>
              <w:t>Jurisdiction TA Recipient Semi-Structured Interview Guide</w:t>
            </w:r>
          </w:p>
        </w:tc>
        <w:tc>
          <w:tcPr>
            <w:tcW w:w="2477" w:type="dxa"/>
            <w:tcBorders>
              <w:top w:val="single" w:color="auto" w:sz="4" w:space="0"/>
              <w:left w:val="single" w:color="auto" w:sz="4" w:space="0"/>
              <w:bottom w:val="single" w:color="auto" w:sz="4" w:space="0"/>
              <w:right w:val="single" w:color="auto" w:sz="4" w:space="0"/>
            </w:tcBorders>
          </w:tcPr>
          <w:p w:rsidR="009701EC" w:rsidP="009701EC" w:rsidRDefault="009701EC" w14:paraId="14E9416F" w14:textId="07094721">
            <w:pPr>
              <w:rPr>
                <w:rFonts w:ascii="Arial Narrow" w:hAnsi="Arial Narrow"/>
                <w:sz w:val="22"/>
              </w:rPr>
            </w:pPr>
            <w:r>
              <w:rPr>
                <w:rFonts w:ascii="Arial Narrow" w:hAnsi="Arial Narrow"/>
                <w:sz w:val="22"/>
              </w:rPr>
              <w:t xml:space="preserve">Jurisdiction </w:t>
            </w:r>
            <w:r w:rsidRPr="00450715">
              <w:rPr>
                <w:rFonts w:ascii="Arial Narrow" w:hAnsi="Arial Narrow"/>
                <w:sz w:val="22"/>
              </w:rPr>
              <w:t xml:space="preserve">interviews </w:t>
            </w:r>
            <w:r>
              <w:rPr>
                <w:rFonts w:ascii="Arial Narrow" w:hAnsi="Arial Narrow"/>
                <w:sz w:val="22"/>
              </w:rPr>
              <w:t>will be</w:t>
            </w:r>
            <w:r w:rsidRPr="00450715">
              <w:rPr>
                <w:rFonts w:ascii="Arial Narrow" w:hAnsi="Arial Narrow"/>
                <w:sz w:val="22"/>
              </w:rPr>
              <w:t xml:space="preserve"> recorded and transcribed; stored on secure drive</w:t>
            </w:r>
          </w:p>
        </w:tc>
        <w:tc>
          <w:tcPr>
            <w:tcW w:w="1396" w:type="dxa"/>
            <w:tcBorders>
              <w:left w:val="single" w:color="auto" w:sz="4" w:space="0"/>
              <w:right w:val="single" w:color="auto" w:sz="4" w:space="0"/>
            </w:tcBorders>
            <w:vAlign w:val="center"/>
          </w:tcPr>
          <w:p w:rsidRPr="00450715" w:rsidR="009701EC" w:rsidP="009701EC" w:rsidRDefault="009701EC" w14:paraId="537FFFFD" w14:textId="469ADE98">
            <w:pPr>
              <w:jc w:val="center"/>
              <w:rPr>
                <w:rFonts w:ascii="Arial Narrow" w:hAnsi="Arial Narrow"/>
                <w:sz w:val="22"/>
              </w:rPr>
            </w:pPr>
            <w:r w:rsidRPr="00450715">
              <w:rPr>
                <w:rFonts w:ascii="Arial Narrow" w:hAnsi="Arial Narrow"/>
                <w:sz w:val="22"/>
              </w:rPr>
              <w:t>Yearly</w:t>
            </w:r>
          </w:p>
        </w:tc>
        <w:tc>
          <w:tcPr>
            <w:tcW w:w="2033" w:type="dxa"/>
            <w:tcBorders>
              <w:top w:val="single" w:color="auto" w:sz="4" w:space="0"/>
              <w:left w:val="single" w:color="auto" w:sz="4" w:space="0"/>
              <w:bottom w:val="single" w:color="auto" w:sz="4" w:space="0"/>
              <w:right w:val="single" w:color="auto" w:sz="4" w:space="0"/>
            </w:tcBorders>
            <w:vAlign w:val="center"/>
          </w:tcPr>
          <w:p w:rsidR="009701EC" w:rsidP="009701EC" w:rsidRDefault="009701EC" w14:paraId="054D8077" w14:textId="77777777">
            <w:pPr>
              <w:jc w:val="center"/>
              <w:rPr>
                <w:rFonts w:ascii="Arial Narrow" w:hAnsi="Arial Narrow"/>
                <w:sz w:val="22"/>
              </w:rPr>
            </w:pPr>
            <w:r>
              <w:rPr>
                <w:rFonts w:ascii="Arial Narrow" w:hAnsi="Arial Narrow"/>
                <w:sz w:val="22"/>
              </w:rPr>
              <w:t>3 times:</w:t>
            </w:r>
          </w:p>
          <w:p w:rsidRPr="00450715" w:rsidR="009701EC" w:rsidP="009701EC" w:rsidRDefault="009701EC" w14:paraId="708C5D61" w14:textId="5DC904EF">
            <w:pPr>
              <w:jc w:val="center"/>
              <w:rPr>
                <w:rFonts w:ascii="Arial Narrow" w:hAnsi="Arial Narrow"/>
                <w:sz w:val="22"/>
              </w:rPr>
            </w:pPr>
            <w:r>
              <w:rPr>
                <w:rFonts w:ascii="Arial Narrow" w:hAnsi="Arial Narrow"/>
                <w:sz w:val="22"/>
              </w:rPr>
              <w:t>Years 1-3</w:t>
            </w:r>
          </w:p>
        </w:tc>
        <w:tc>
          <w:tcPr>
            <w:tcW w:w="2236" w:type="dxa"/>
            <w:tcBorders>
              <w:top w:val="single" w:color="auto" w:sz="4" w:space="0"/>
              <w:left w:val="single" w:color="auto" w:sz="4" w:space="0"/>
              <w:bottom w:val="single" w:color="auto" w:sz="4" w:space="0"/>
              <w:right w:val="single" w:color="auto" w:sz="4" w:space="0"/>
            </w:tcBorders>
            <w:vAlign w:val="center"/>
          </w:tcPr>
          <w:p w:rsidRPr="00450715" w:rsidR="009701EC" w:rsidP="009701EC" w:rsidRDefault="002C4898" w14:paraId="53E75596" w14:textId="20C57FE7">
            <w:pPr>
              <w:jc w:val="center"/>
              <w:rPr>
                <w:rFonts w:ascii="Arial Narrow" w:hAnsi="Arial Narrow"/>
                <w:sz w:val="22"/>
              </w:rPr>
            </w:pPr>
            <w:r>
              <w:rPr>
                <w:rFonts w:ascii="Arial Narrow" w:hAnsi="Arial Narrow"/>
                <w:sz w:val="22"/>
              </w:rPr>
              <w:t>Attachment A</w:t>
            </w:r>
          </w:p>
        </w:tc>
      </w:tr>
      <w:tr w:rsidRPr="00450715" w:rsidR="009701EC" w:rsidTr="00996440" w14:paraId="323D4BD3" w14:textId="77777777">
        <w:trPr>
          <w:trHeight w:val="802"/>
        </w:trPr>
        <w:tc>
          <w:tcPr>
            <w:tcW w:w="2014" w:type="dxa"/>
            <w:tcBorders>
              <w:left w:val="single" w:color="auto" w:sz="4" w:space="0"/>
              <w:bottom w:val="single" w:color="auto" w:sz="4" w:space="0"/>
              <w:right w:val="single" w:color="auto" w:sz="4" w:space="0"/>
            </w:tcBorders>
          </w:tcPr>
          <w:p w:rsidR="009701EC" w:rsidP="009701EC" w:rsidRDefault="009701EC" w14:paraId="3B81EE9A" w14:textId="3CA5D4F3">
            <w:pPr>
              <w:rPr>
                <w:rFonts w:ascii="Arial Narrow" w:hAnsi="Arial Narrow"/>
                <w:b/>
                <w:sz w:val="22"/>
              </w:rPr>
            </w:pPr>
            <w:r>
              <w:rPr>
                <w:rFonts w:ascii="Arial Narrow" w:hAnsi="Arial Narrow"/>
                <w:b/>
                <w:sz w:val="22"/>
              </w:rPr>
              <w:t>Policy Stakeholder Semi-Structured Interview Guide</w:t>
            </w:r>
          </w:p>
        </w:tc>
        <w:tc>
          <w:tcPr>
            <w:tcW w:w="2477" w:type="dxa"/>
            <w:tcBorders>
              <w:top w:val="single" w:color="auto" w:sz="4" w:space="0"/>
              <w:left w:val="single" w:color="auto" w:sz="4" w:space="0"/>
              <w:bottom w:val="single" w:color="auto" w:sz="4" w:space="0"/>
              <w:right w:val="single" w:color="auto" w:sz="4" w:space="0"/>
            </w:tcBorders>
          </w:tcPr>
          <w:p w:rsidR="009701EC" w:rsidP="009701EC" w:rsidRDefault="009701EC" w14:paraId="02AB55ED" w14:textId="4877AE1C">
            <w:pPr>
              <w:rPr>
                <w:rFonts w:ascii="Arial Narrow" w:hAnsi="Arial Narrow"/>
                <w:sz w:val="22"/>
              </w:rPr>
            </w:pPr>
            <w:r>
              <w:rPr>
                <w:rFonts w:ascii="Arial Narrow" w:hAnsi="Arial Narrow"/>
                <w:sz w:val="22"/>
              </w:rPr>
              <w:t xml:space="preserve">Policy Stakeholders </w:t>
            </w:r>
            <w:r w:rsidRPr="00450715">
              <w:rPr>
                <w:rFonts w:ascii="Arial Narrow" w:hAnsi="Arial Narrow"/>
                <w:sz w:val="22"/>
              </w:rPr>
              <w:t xml:space="preserve">interviews </w:t>
            </w:r>
            <w:r>
              <w:rPr>
                <w:rFonts w:ascii="Arial Narrow" w:hAnsi="Arial Narrow"/>
                <w:sz w:val="22"/>
              </w:rPr>
              <w:t>will be</w:t>
            </w:r>
            <w:r w:rsidRPr="00450715">
              <w:rPr>
                <w:rFonts w:ascii="Arial Narrow" w:hAnsi="Arial Narrow"/>
                <w:sz w:val="22"/>
              </w:rPr>
              <w:t xml:space="preserve"> recorded and transcribed; stored on secure drive</w:t>
            </w:r>
          </w:p>
        </w:tc>
        <w:tc>
          <w:tcPr>
            <w:tcW w:w="1396" w:type="dxa"/>
            <w:tcBorders>
              <w:left w:val="single" w:color="auto" w:sz="4" w:space="0"/>
              <w:bottom w:val="single" w:color="auto" w:sz="4" w:space="0"/>
              <w:right w:val="single" w:color="auto" w:sz="4" w:space="0"/>
            </w:tcBorders>
            <w:vAlign w:val="center"/>
          </w:tcPr>
          <w:p w:rsidRPr="00450715" w:rsidR="009701EC" w:rsidP="009701EC" w:rsidRDefault="009701EC" w14:paraId="020C1F9F" w14:textId="6A27BCA7">
            <w:pPr>
              <w:jc w:val="center"/>
              <w:rPr>
                <w:rFonts w:ascii="Arial Narrow" w:hAnsi="Arial Narrow"/>
                <w:sz w:val="22"/>
              </w:rPr>
            </w:pPr>
            <w:r w:rsidRPr="00450715">
              <w:rPr>
                <w:rFonts w:ascii="Arial Narrow" w:hAnsi="Arial Narrow"/>
                <w:sz w:val="22"/>
              </w:rPr>
              <w:t>Yearly</w:t>
            </w:r>
          </w:p>
        </w:tc>
        <w:tc>
          <w:tcPr>
            <w:tcW w:w="2033" w:type="dxa"/>
            <w:tcBorders>
              <w:top w:val="single" w:color="auto" w:sz="4" w:space="0"/>
              <w:left w:val="single" w:color="auto" w:sz="4" w:space="0"/>
              <w:bottom w:val="single" w:color="auto" w:sz="4" w:space="0"/>
              <w:right w:val="single" w:color="auto" w:sz="4" w:space="0"/>
            </w:tcBorders>
            <w:vAlign w:val="center"/>
          </w:tcPr>
          <w:p w:rsidR="009701EC" w:rsidP="009701EC" w:rsidRDefault="009701EC" w14:paraId="03CF33B9" w14:textId="728F243F">
            <w:pPr>
              <w:jc w:val="center"/>
              <w:rPr>
                <w:rFonts w:ascii="Arial Narrow" w:hAnsi="Arial Narrow"/>
                <w:sz w:val="22"/>
              </w:rPr>
            </w:pPr>
            <w:r>
              <w:rPr>
                <w:rFonts w:ascii="Arial Narrow" w:hAnsi="Arial Narrow"/>
                <w:sz w:val="22"/>
              </w:rPr>
              <w:t>2 times:</w:t>
            </w:r>
          </w:p>
          <w:p w:rsidRPr="00450715" w:rsidR="009701EC" w:rsidP="009701EC" w:rsidRDefault="009701EC" w14:paraId="2625C4EC" w14:textId="7B375DA0">
            <w:pPr>
              <w:jc w:val="center"/>
              <w:rPr>
                <w:rFonts w:ascii="Arial Narrow" w:hAnsi="Arial Narrow"/>
                <w:sz w:val="22"/>
              </w:rPr>
            </w:pPr>
            <w:r>
              <w:rPr>
                <w:rFonts w:ascii="Arial Narrow" w:hAnsi="Arial Narrow"/>
                <w:sz w:val="22"/>
              </w:rPr>
              <w:t>Years 2-3</w:t>
            </w:r>
          </w:p>
        </w:tc>
        <w:tc>
          <w:tcPr>
            <w:tcW w:w="2236" w:type="dxa"/>
            <w:tcBorders>
              <w:top w:val="single" w:color="auto" w:sz="4" w:space="0"/>
              <w:left w:val="single" w:color="auto" w:sz="4" w:space="0"/>
              <w:bottom w:val="single" w:color="auto" w:sz="4" w:space="0"/>
              <w:right w:val="single" w:color="auto" w:sz="4" w:space="0"/>
            </w:tcBorders>
            <w:vAlign w:val="center"/>
          </w:tcPr>
          <w:p w:rsidRPr="00450715" w:rsidR="009701EC" w:rsidP="009701EC" w:rsidRDefault="002C4898" w14:paraId="12005804" w14:textId="53C87E35">
            <w:pPr>
              <w:jc w:val="center"/>
              <w:rPr>
                <w:rFonts w:ascii="Arial Narrow" w:hAnsi="Arial Narrow"/>
                <w:sz w:val="22"/>
              </w:rPr>
            </w:pPr>
            <w:r>
              <w:rPr>
                <w:rFonts w:ascii="Arial Narrow" w:hAnsi="Arial Narrow"/>
                <w:sz w:val="22"/>
              </w:rPr>
              <w:t>Attachment B</w:t>
            </w:r>
          </w:p>
        </w:tc>
      </w:tr>
      <w:tr w:rsidRPr="00450715" w:rsidR="002C4898" w:rsidTr="00C102D9" w14:paraId="3B481B7C" w14:textId="77777777">
        <w:trPr>
          <w:trHeight w:val="802"/>
        </w:trPr>
        <w:tc>
          <w:tcPr>
            <w:tcW w:w="2014" w:type="dxa"/>
            <w:tcBorders>
              <w:left w:val="single" w:color="auto" w:sz="4" w:space="0"/>
              <w:bottom w:val="single" w:color="auto" w:sz="4" w:space="0"/>
              <w:right w:val="single" w:color="auto" w:sz="4" w:space="0"/>
            </w:tcBorders>
          </w:tcPr>
          <w:p w:rsidR="002C4898" w:rsidP="00C102D9" w:rsidRDefault="002C4898" w14:paraId="314DCCE8" w14:textId="37DED79B">
            <w:pPr>
              <w:rPr>
                <w:rFonts w:ascii="Arial Narrow" w:hAnsi="Arial Narrow"/>
                <w:b/>
                <w:sz w:val="22"/>
              </w:rPr>
            </w:pPr>
            <w:r>
              <w:rPr>
                <w:rFonts w:ascii="Arial Narrow" w:hAnsi="Arial Narrow"/>
                <w:b/>
                <w:sz w:val="22"/>
              </w:rPr>
              <w:t>Data End-User Survey</w:t>
            </w:r>
          </w:p>
        </w:tc>
        <w:tc>
          <w:tcPr>
            <w:tcW w:w="2477" w:type="dxa"/>
            <w:tcBorders>
              <w:top w:val="single" w:color="auto" w:sz="4" w:space="0"/>
              <w:left w:val="single" w:color="auto" w:sz="4" w:space="0"/>
              <w:bottom w:val="single" w:color="auto" w:sz="4" w:space="0"/>
              <w:right w:val="single" w:color="auto" w:sz="4" w:space="0"/>
            </w:tcBorders>
          </w:tcPr>
          <w:p w:rsidR="002C4898" w:rsidP="002C4898" w:rsidRDefault="00376738" w14:paraId="10BAA61E" w14:textId="09215BFC">
            <w:pPr>
              <w:rPr>
                <w:rFonts w:ascii="Arial Narrow" w:hAnsi="Arial Narrow"/>
                <w:sz w:val="22"/>
              </w:rPr>
            </w:pPr>
            <w:r>
              <w:rPr>
                <w:rFonts w:ascii="Arial Narrow" w:hAnsi="Arial Narrow"/>
                <w:sz w:val="22"/>
              </w:rPr>
              <w:t xml:space="preserve">Data End-Users </w:t>
            </w:r>
            <w:r w:rsidR="002C4898">
              <w:rPr>
                <w:rFonts w:ascii="Arial Narrow" w:hAnsi="Arial Narrow"/>
                <w:sz w:val="22"/>
              </w:rPr>
              <w:t>complete electronically via Confirmit</w:t>
            </w:r>
          </w:p>
        </w:tc>
        <w:tc>
          <w:tcPr>
            <w:tcW w:w="1396" w:type="dxa"/>
            <w:tcBorders>
              <w:left w:val="single" w:color="auto" w:sz="4" w:space="0"/>
              <w:bottom w:val="single" w:color="auto" w:sz="4" w:space="0"/>
              <w:right w:val="single" w:color="auto" w:sz="4" w:space="0"/>
            </w:tcBorders>
            <w:vAlign w:val="center"/>
          </w:tcPr>
          <w:p w:rsidRPr="00450715" w:rsidR="002C4898" w:rsidP="002C4898" w:rsidRDefault="002C4898" w14:paraId="63838B76" w14:textId="1C8185DE">
            <w:pPr>
              <w:jc w:val="center"/>
              <w:rPr>
                <w:rFonts w:ascii="Arial Narrow" w:hAnsi="Arial Narrow"/>
                <w:sz w:val="22"/>
              </w:rPr>
            </w:pPr>
            <w:r w:rsidRPr="00450715">
              <w:rPr>
                <w:rFonts w:ascii="Arial Narrow" w:hAnsi="Arial Narrow"/>
                <w:sz w:val="22"/>
              </w:rPr>
              <w:t>Yearly</w:t>
            </w:r>
          </w:p>
        </w:tc>
        <w:tc>
          <w:tcPr>
            <w:tcW w:w="2033" w:type="dxa"/>
            <w:tcBorders>
              <w:top w:val="single" w:color="auto" w:sz="4" w:space="0"/>
              <w:left w:val="single" w:color="auto" w:sz="4" w:space="0"/>
              <w:bottom w:val="single" w:color="auto" w:sz="4" w:space="0"/>
              <w:right w:val="single" w:color="auto" w:sz="4" w:space="0"/>
            </w:tcBorders>
            <w:vAlign w:val="center"/>
          </w:tcPr>
          <w:p w:rsidR="002C4898" w:rsidP="002C4898" w:rsidRDefault="002C4898" w14:paraId="2FF966CC" w14:textId="77777777">
            <w:pPr>
              <w:jc w:val="center"/>
              <w:rPr>
                <w:rFonts w:ascii="Arial Narrow" w:hAnsi="Arial Narrow"/>
                <w:sz w:val="22"/>
              </w:rPr>
            </w:pPr>
            <w:r>
              <w:rPr>
                <w:rFonts w:ascii="Arial Narrow" w:hAnsi="Arial Narrow"/>
                <w:sz w:val="22"/>
              </w:rPr>
              <w:t>2 times:</w:t>
            </w:r>
          </w:p>
          <w:p w:rsidR="002C4898" w:rsidP="002C4898" w:rsidRDefault="002C4898" w14:paraId="488A2168" w14:textId="0DE96F16">
            <w:pPr>
              <w:jc w:val="center"/>
              <w:rPr>
                <w:rFonts w:ascii="Arial Narrow" w:hAnsi="Arial Narrow"/>
                <w:sz w:val="22"/>
              </w:rPr>
            </w:pPr>
            <w:r>
              <w:rPr>
                <w:rFonts w:ascii="Arial Narrow" w:hAnsi="Arial Narrow"/>
                <w:sz w:val="22"/>
              </w:rPr>
              <w:t>Years 2-3</w:t>
            </w:r>
          </w:p>
        </w:tc>
        <w:tc>
          <w:tcPr>
            <w:tcW w:w="2236" w:type="dxa"/>
            <w:tcBorders>
              <w:top w:val="single" w:color="auto" w:sz="4" w:space="0"/>
              <w:left w:val="single" w:color="auto" w:sz="4" w:space="0"/>
              <w:bottom w:val="single" w:color="auto" w:sz="4" w:space="0"/>
              <w:right w:val="single" w:color="auto" w:sz="4" w:space="0"/>
            </w:tcBorders>
            <w:vAlign w:val="center"/>
          </w:tcPr>
          <w:p w:rsidRPr="00450715" w:rsidR="002C4898" w:rsidP="002C4898" w:rsidRDefault="002C4898" w14:paraId="76307010" w14:textId="6B39C2AB">
            <w:pPr>
              <w:jc w:val="center"/>
              <w:rPr>
                <w:rFonts w:ascii="Arial Narrow" w:hAnsi="Arial Narrow"/>
                <w:sz w:val="22"/>
              </w:rPr>
            </w:pPr>
            <w:r>
              <w:rPr>
                <w:rFonts w:ascii="Arial Narrow" w:hAnsi="Arial Narrow"/>
                <w:sz w:val="22"/>
              </w:rPr>
              <w:t>Attachment D</w:t>
            </w:r>
          </w:p>
        </w:tc>
      </w:tr>
      <w:tr w:rsidRPr="00450715" w:rsidR="002C4898" w:rsidTr="00996440" w14:paraId="4A51AD57" w14:textId="77777777">
        <w:trPr>
          <w:trHeight w:val="472"/>
        </w:trPr>
        <w:tc>
          <w:tcPr>
            <w:tcW w:w="10156" w:type="dxa"/>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00450715" w:rsidR="002C4898" w:rsidP="002C4898" w:rsidRDefault="001B109B" w14:paraId="30EB34B4" w14:textId="06D9F197">
            <w:pPr>
              <w:jc w:val="center"/>
              <w:rPr>
                <w:rFonts w:ascii="Arial Narrow" w:hAnsi="Arial Narrow"/>
                <w:sz w:val="22"/>
              </w:rPr>
            </w:pPr>
            <w:r>
              <w:rPr>
                <w:rFonts w:ascii="Arial Narrow" w:hAnsi="Arial Narrow"/>
                <w:b/>
                <w:i/>
                <w:sz w:val="22"/>
              </w:rPr>
              <w:t xml:space="preserve">Activities Not Requiring </w:t>
            </w:r>
            <w:r w:rsidRPr="00996440" w:rsidR="002C4898">
              <w:rPr>
                <w:rFonts w:ascii="Arial Narrow" w:hAnsi="Arial Narrow"/>
                <w:b/>
                <w:i/>
                <w:sz w:val="22"/>
              </w:rPr>
              <w:t>OMB Approval</w:t>
            </w:r>
            <w:r w:rsidR="007745C7">
              <w:rPr>
                <w:rFonts w:ascii="Arial Narrow" w:hAnsi="Arial Narrow"/>
                <w:b/>
                <w:i/>
                <w:sz w:val="22"/>
              </w:rPr>
              <w:t xml:space="preserve"> (n &lt;10</w:t>
            </w:r>
            <w:r w:rsidR="00F438D3">
              <w:rPr>
                <w:rFonts w:ascii="Arial Narrow" w:hAnsi="Arial Narrow"/>
                <w:b/>
                <w:i/>
                <w:sz w:val="22"/>
              </w:rPr>
              <w:t xml:space="preserve"> for each form</w:t>
            </w:r>
            <w:r w:rsidR="007745C7">
              <w:rPr>
                <w:rFonts w:ascii="Arial Narrow" w:hAnsi="Arial Narrow"/>
                <w:b/>
                <w:i/>
                <w:sz w:val="22"/>
              </w:rPr>
              <w:t>)</w:t>
            </w:r>
          </w:p>
        </w:tc>
      </w:tr>
      <w:tr w:rsidRPr="00450715" w:rsidR="002C4898" w:rsidTr="002C4898" w14:paraId="0F32B255" w14:textId="77777777">
        <w:trPr>
          <w:trHeight w:val="472"/>
        </w:trPr>
        <w:tc>
          <w:tcPr>
            <w:tcW w:w="2014" w:type="dxa"/>
            <w:tcBorders>
              <w:top w:val="single" w:color="auto" w:sz="4" w:space="0"/>
              <w:left w:val="single" w:color="auto" w:sz="4" w:space="0"/>
              <w:bottom w:val="single" w:color="auto" w:sz="4" w:space="0"/>
              <w:right w:val="single" w:color="auto" w:sz="4" w:space="0"/>
            </w:tcBorders>
            <w:vAlign w:val="center"/>
          </w:tcPr>
          <w:p w:rsidR="002C4898" w:rsidP="002C4898" w:rsidRDefault="002C4898" w14:paraId="039EF56D" w14:textId="528E5C4D">
            <w:pPr>
              <w:rPr>
                <w:rFonts w:ascii="Arial Narrow" w:hAnsi="Arial Narrow"/>
                <w:b/>
                <w:sz w:val="22"/>
              </w:rPr>
            </w:pPr>
            <w:r>
              <w:rPr>
                <w:rFonts w:ascii="Arial Narrow" w:hAnsi="Arial Narrow"/>
                <w:b/>
                <w:sz w:val="22"/>
              </w:rPr>
              <w:t xml:space="preserve">TAP Semi-Structured Interview Guide </w:t>
            </w:r>
            <w:r w:rsidRPr="009701EC">
              <w:rPr>
                <w:rFonts w:ascii="Arial Narrow" w:hAnsi="Arial Narrow"/>
                <w:b/>
                <w:sz w:val="22"/>
                <w:vertAlign w:val="superscript"/>
              </w:rPr>
              <w:t>a</w:t>
            </w:r>
          </w:p>
        </w:tc>
        <w:tc>
          <w:tcPr>
            <w:tcW w:w="2477" w:type="dxa"/>
            <w:tcBorders>
              <w:top w:val="single" w:color="auto" w:sz="4" w:space="0"/>
              <w:left w:val="single" w:color="auto" w:sz="4" w:space="0"/>
              <w:bottom w:val="single" w:color="auto" w:sz="4" w:space="0"/>
              <w:right w:val="single" w:color="auto" w:sz="4" w:space="0"/>
            </w:tcBorders>
          </w:tcPr>
          <w:p w:rsidR="002C4898" w:rsidP="002C4898" w:rsidRDefault="002C4898" w14:paraId="0439F76C" w14:textId="3A77DC07">
            <w:pPr>
              <w:rPr>
                <w:rFonts w:ascii="Arial Narrow" w:hAnsi="Arial Narrow"/>
                <w:sz w:val="22"/>
              </w:rPr>
            </w:pPr>
            <w:r>
              <w:rPr>
                <w:rFonts w:ascii="Arial Narrow" w:hAnsi="Arial Narrow"/>
                <w:sz w:val="22"/>
              </w:rPr>
              <w:t xml:space="preserve">TAP </w:t>
            </w:r>
            <w:r w:rsidRPr="00450715">
              <w:rPr>
                <w:rFonts w:ascii="Arial Narrow" w:hAnsi="Arial Narrow"/>
                <w:sz w:val="22"/>
              </w:rPr>
              <w:t xml:space="preserve">interviews </w:t>
            </w:r>
            <w:r>
              <w:rPr>
                <w:rFonts w:ascii="Arial Narrow" w:hAnsi="Arial Narrow"/>
                <w:sz w:val="22"/>
              </w:rPr>
              <w:t>will be</w:t>
            </w:r>
            <w:r w:rsidRPr="00450715">
              <w:rPr>
                <w:rFonts w:ascii="Arial Narrow" w:hAnsi="Arial Narrow"/>
                <w:sz w:val="22"/>
              </w:rPr>
              <w:t xml:space="preserve"> recorded and transcribed; stored on secure drive</w:t>
            </w:r>
          </w:p>
        </w:tc>
        <w:tc>
          <w:tcPr>
            <w:tcW w:w="1396" w:type="dxa"/>
            <w:tcBorders>
              <w:top w:val="single" w:color="auto" w:sz="4" w:space="0"/>
              <w:left w:val="single" w:color="auto" w:sz="4" w:space="0"/>
              <w:bottom w:val="single" w:color="auto" w:sz="4" w:space="0"/>
              <w:right w:val="single" w:color="auto" w:sz="4" w:space="0"/>
            </w:tcBorders>
            <w:vAlign w:val="center"/>
          </w:tcPr>
          <w:p w:rsidR="002C4898" w:rsidP="002C4898" w:rsidRDefault="002C4898" w14:paraId="3ED58CC7" w14:textId="2340BB28">
            <w:pPr>
              <w:jc w:val="center"/>
              <w:rPr>
                <w:rFonts w:ascii="Arial Narrow" w:hAnsi="Arial Narrow"/>
                <w:sz w:val="22"/>
              </w:rPr>
            </w:pPr>
            <w:r w:rsidRPr="00450715">
              <w:rPr>
                <w:rFonts w:ascii="Arial Narrow" w:hAnsi="Arial Narrow"/>
                <w:sz w:val="22"/>
              </w:rPr>
              <w:t>Yearly</w:t>
            </w:r>
          </w:p>
        </w:tc>
        <w:tc>
          <w:tcPr>
            <w:tcW w:w="2033" w:type="dxa"/>
            <w:tcBorders>
              <w:top w:val="single" w:color="auto" w:sz="4" w:space="0"/>
              <w:left w:val="single" w:color="auto" w:sz="4" w:space="0"/>
              <w:bottom w:val="single" w:color="auto" w:sz="4" w:space="0"/>
              <w:right w:val="single" w:color="auto" w:sz="4" w:space="0"/>
            </w:tcBorders>
            <w:vAlign w:val="center"/>
          </w:tcPr>
          <w:p w:rsidRPr="00450715" w:rsidR="002C4898" w:rsidP="002C4898" w:rsidRDefault="002C4898" w14:paraId="0558B35E" w14:textId="77777777">
            <w:pPr>
              <w:jc w:val="center"/>
              <w:rPr>
                <w:rFonts w:ascii="Arial Narrow" w:hAnsi="Arial Narrow"/>
                <w:sz w:val="22"/>
              </w:rPr>
            </w:pPr>
            <w:r w:rsidRPr="00450715">
              <w:rPr>
                <w:rFonts w:ascii="Arial Narrow" w:hAnsi="Arial Narrow"/>
                <w:sz w:val="22"/>
              </w:rPr>
              <w:t>3 times:</w:t>
            </w:r>
          </w:p>
          <w:p w:rsidR="002C4898" w:rsidP="002C4898" w:rsidRDefault="002C4898" w14:paraId="21867E05" w14:textId="36E5DBB7">
            <w:pPr>
              <w:jc w:val="center"/>
              <w:rPr>
                <w:rFonts w:ascii="Arial Narrow" w:hAnsi="Arial Narrow"/>
                <w:sz w:val="22"/>
              </w:rPr>
            </w:pPr>
            <w:r w:rsidRPr="00450715">
              <w:rPr>
                <w:rFonts w:ascii="Arial Narrow" w:hAnsi="Arial Narrow"/>
                <w:sz w:val="22"/>
              </w:rPr>
              <w:t xml:space="preserve">Years </w:t>
            </w:r>
            <w:r>
              <w:rPr>
                <w:rFonts w:ascii="Arial Narrow" w:hAnsi="Arial Narrow"/>
                <w:sz w:val="22"/>
              </w:rPr>
              <w:t>1-3</w:t>
            </w:r>
          </w:p>
        </w:tc>
        <w:tc>
          <w:tcPr>
            <w:tcW w:w="2236" w:type="dxa"/>
            <w:tcBorders>
              <w:top w:val="single" w:color="auto" w:sz="4" w:space="0"/>
              <w:left w:val="single" w:color="auto" w:sz="4" w:space="0"/>
              <w:bottom w:val="single" w:color="auto" w:sz="4" w:space="0"/>
              <w:right w:val="single" w:color="auto" w:sz="4" w:space="0"/>
            </w:tcBorders>
            <w:vAlign w:val="center"/>
          </w:tcPr>
          <w:p w:rsidRPr="00450715" w:rsidR="002C4898" w:rsidP="002C4898" w:rsidRDefault="002C4898" w14:paraId="3F9D437C" w14:textId="0E1C669F">
            <w:pPr>
              <w:jc w:val="center"/>
              <w:rPr>
                <w:rFonts w:ascii="Arial Narrow" w:hAnsi="Arial Narrow"/>
                <w:sz w:val="22"/>
              </w:rPr>
            </w:pPr>
            <w:r>
              <w:rPr>
                <w:rFonts w:ascii="Arial Narrow" w:hAnsi="Arial Narrow"/>
                <w:sz w:val="22"/>
              </w:rPr>
              <w:t>Attachment C</w:t>
            </w:r>
          </w:p>
        </w:tc>
      </w:tr>
      <w:tr w:rsidRPr="00450715" w:rsidR="002C4898" w:rsidTr="002C4898" w14:paraId="4DCFF4F1" w14:textId="77777777">
        <w:trPr>
          <w:trHeight w:val="472"/>
        </w:trPr>
        <w:tc>
          <w:tcPr>
            <w:tcW w:w="2014" w:type="dxa"/>
            <w:tcBorders>
              <w:top w:val="single" w:color="auto" w:sz="4" w:space="0"/>
              <w:left w:val="single" w:color="auto" w:sz="4" w:space="0"/>
              <w:bottom w:val="single" w:color="auto" w:sz="4" w:space="0"/>
              <w:right w:val="single" w:color="auto" w:sz="4" w:space="0"/>
            </w:tcBorders>
            <w:vAlign w:val="center"/>
          </w:tcPr>
          <w:p w:rsidR="002C4898" w:rsidP="002C4898" w:rsidRDefault="002C4898" w14:paraId="1E0A2026" w14:textId="7B4BD9D9">
            <w:pPr>
              <w:rPr>
                <w:rFonts w:ascii="Arial Narrow" w:hAnsi="Arial Narrow"/>
                <w:b/>
                <w:sz w:val="22"/>
              </w:rPr>
            </w:pPr>
            <w:r>
              <w:rPr>
                <w:rFonts w:ascii="Arial Narrow" w:hAnsi="Arial Narrow"/>
                <w:b/>
                <w:sz w:val="22"/>
              </w:rPr>
              <w:t xml:space="preserve">Aggregate Statistics </w:t>
            </w:r>
            <w:r w:rsidRPr="009701EC">
              <w:rPr>
                <w:rFonts w:ascii="Arial Narrow" w:hAnsi="Arial Narrow"/>
                <w:b/>
                <w:sz w:val="22"/>
                <w:vertAlign w:val="superscript"/>
              </w:rPr>
              <w:t>a</w:t>
            </w:r>
          </w:p>
        </w:tc>
        <w:tc>
          <w:tcPr>
            <w:tcW w:w="2477" w:type="dxa"/>
            <w:tcBorders>
              <w:top w:val="single" w:color="auto" w:sz="4" w:space="0"/>
              <w:left w:val="single" w:color="auto" w:sz="4" w:space="0"/>
              <w:bottom w:val="single" w:color="auto" w:sz="4" w:space="0"/>
              <w:right w:val="single" w:color="auto" w:sz="4" w:space="0"/>
            </w:tcBorders>
          </w:tcPr>
          <w:p w:rsidR="002C4898" w:rsidP="002C4898" w:rsidRDefault="002C4898" w14:paraId="05801877" w14:textId="27F15B9C">
            <w:pPr>
              <w:rPr>
                <w:rFonts w:ascii="Arial Narrow" w:hAnsi="Arial Narrow"/>
                <w:sz w:val="22"/>
              </w:rPr>
            </w:pPr>
            <w:r>
              <w:rPr>
                <w:rFonts w:ascii="Arial Narrow" w:hAnsi="Arial Narrow"/>
                <w:sz w:val="22"/>
              </w:rPr>
              <w:t>Jurisdictions will upload forms to Box FTP</w:t>
            </w:r>
          </w:p>
        </w:tc>
        <w:tc>
          <w:tcPr>
            <w:tcW w:w="1396" w:type="dxa"/>
            <w:tcBorders>
              <w:top w:val="single" w:color="auto" w:sz="4" w:space="0"/>
              <w:left w:val="single" w:color="auto" w:sz="4" w:space="0"/>
              <w:bottom w:val="single" w:color="auto" w:sz="4" w:space="0"/>
              <w:right w:val="single" w:color="auto" w:sz="4" w:space="0"/>
            </w:tcBorders>
            <w:vAlign w:val="center"/>
          </w:tcPr>
          <w:p w:rsidRPr="00450715" w:rsidR="002C4898" w:rsidP="002C4898" w:rsidRDefault="002C4898" w14:paraId="1E374BB9" w14:textId="71543A39">
            <w:pPr>
              <w:jc w:val="center"/>
              <w:rPr>
                <w:rFonts w:ascii="Arial Narrow" w:hAnsi="Arial Narrow"/>
                <w:sz w:val="22"/>
              </w:rPr>
            </w:pPr>
            <w:r>
              <w:rPr>
                <w:rFonts w:ascii="Arial Narrow" w:hAnsi="Arial Narrow"/>
                <w:sz w:val="22"/>
              </w:rPr>
              <w:t>Quarterly</w:t>
            </w:r>
          </w:p>
        </w:tc>
        <w:tc>
          <w:tcPr>
            <w:tcW w:w="2033" w:type="dxa"/>
            <w:tcBorders>
              <w:top w:val="single" w:color="auto" w:sz="4" w:space="0"/>
              <w:left w:val="single" w:color="auto" w:sz="4" w:space="0"/>
              <w:bottom w:val="single" w:color="auto" w:sz="4" w:space="0"/>
              <w:right w:val="single" w:color="auto" w:sz="4" w:space="0"/>
            </w:tcBorders>
            <w:vAlign w:val="center"/>
          </w:tcPr>
          <w:p w:rsidRPr="00450715" w:rsidR="002C4898" w:rsidP="002C4898" w:rsidRDefault="002C4898" w14:paraId="474A92A5" w14:textId="77777777">
            <w:pPr>
              <w:jc w:val="center"/>
              <w:rPr>
                <w:rFonts w:ascii="Arial Narrow" w:hAnsi="Arial Narrow"/>
                <w:sz w:val="22"/>
              </w:rPr>
            </w:pPr>
            <w:r>
              <w:rPr>
                <w:rFonts w:ascii="Arial Narrow" w:hAnsi="Arial Narrow"/>
                <w:sz w:val="22"/>
              </w:rPr>
              <w:t>6</w:t>
            </w:r>
            <w:r w:rsidRPr="00450715">
              <w:rPr>
                <w:rFonts w:ascii="Arial Narrow" w:hAnsi="Arial Narrow"/>
                <w:sz w:val="22"/>
              </w:rPr>
              <w:t xml:space="preserve"> times:</w:t>
            </w:r>
          </w:p>
          <w:p w:rsidR="002C4898" w:rsidP="002C4898" w:rsidRDefault="002C4898" w14:paraId="4A60BE6A" w14:textId="12E89A30">
            <w:pPr>
              <w:jc w:val="center"/>
              <w:rPr>
                <w:rFonts w:ascii="Arial Narrow" w:hAnsi="Arial Narrow"/>
                <w:sz w:val="22"/>
              </w:rPr>
            </w:pPr>
            <w:r w:rsidRPr="00450715">
              <w:rPr>
                <w:rFonts w:ascii="Arial Narrow" w:hAnsi="Arial Narrow"/>
                <w:sz w:val="22"/>
              </w:rPr>
              <w:t xml:space="preserve">Years </w:t>
            </w:r>
            <w:r>
              <w:rPr>
                <w:rFonts w:ascii="Arial Narrow" w:hAnsi="Arial Narrow"/>
                <w:sz w:val="22"/>
              </w:rPr>
              <w:t>2-3</w:t>
            </w:r>
          </w:p>
        </w:tc>
        <w:tc>
          <w:tcPr>
            <w:tcW w:w="2236" w:type="dxa"/>
            <w:tcBorders>
              <w:top w:val="single" w:color="auto" w:sz="4" w:space="0"/>
              <w:left w:val="single" w:color="auto" w:sz="4" w:space="0"/>
              <w:bottom w:val="single" w:color="auto" w:sz="4" w:space="0"/>
              <w:right w:val="single" w:color="auto" w:sz="4" w:space="0"/>
            </w:tcBorders>
            <w:vAlign w:val="center"/>
          </w:tcPr>
          <w:p w:rsidRPr="00450715" w:rsidR="002C4898" w:rsidP="002C4898" w:rsidRDefault="002C4898" w14:paraId="7C75C9E9" w14:textId="6F527422">
            <w:pPr>
              <w:jc w:val="center"/>
              <w:rPr>
                <w:rFonts w:ascii="Arial Narrow" w:hAnsi="Arial Narrow"/>
                <w:sz w:val="22"/>
              </w:rPr>
            </w:pPr>
            <w:r>
              <w:rPr>
                <w:rFonts w:ascii="Arial Narrow" w:hAnsi="Arial Narrow"/>
                <w:sz w:val="22"/>
              </w:rPr>
              <w:t>Attachment E</w:t>
            </w:r>
          </w:p>
        </w:tc>
      </w:tr>
      <w:tr w:rsidRPr="00450715" w:rsidR="002C4898" w:rsidTr="002C4898" w14:paraId="437DB5D1" w14:textId="77777777">
        <w:trPr>
          <w:trHeight w:val="472"/>
        </w:trPr>
        <w:tc>
          <w:tcPr>
            <w:tcW w:w="2014" w:type="dxa"/>
            <w:tcBorders>
              <w:top w:val="single" w:color="auto" w:sz="4" w:space="0"/>
              <w:left w:val="single" w:color="auto" w:sz="4" w:space="0"/>
              <w:bottom w:val="single" w:color="auto" w:sz="4" w:space="0"/>
              <w:right w:val="single" w:color="auto" w:sz="4" w:space="0"/>
            </w:tcBorders>
            <w:vAlign w:val="center"/>
          </w:tcPr>
          <w:p w:rsidR="002C4898" w:rsidP="002C4898" w:rsidRDefault="002C4898" w14:paraId="7EABFB0C" w14:textId="006FD98A">
            <w:pPr>
              <w:rPr>
                <w:rFonts w:ascii="Arial Narrow" w:hAnsi="Arial Narrow"/>
                <w:b/>
                <w:sz w:val="22"/>
              </w:rPr>
            </w:pPr>
            <w:r>
              <w:rPr>
                <w:rFonts w:ascii="Arial Narrow" w:hAnsi="Arial Narrow"/>
                <w:b/>
                <w:sz w:val="22"/>
              </w:rPr>
              <w:t xml:space="preserve">Personnel Time Reports </w:t>
            </w:r>
            <w:r w:rsidRPr="00FF1471">
              <w:rPr>
                <w:rFonts w:ascii="Arial Narrow" w:hAnsi="Arial Narrow"/>
                <w:b/>
                <w:sz w:val="22"/>
                <w:vertAlign w:val="superscript"/>
              </w:rPr>
              <w:t>a</w:t>
            </w:r>
          </w:p>
        </w:tc>
        <w:tc>
          <w:tcPr>
            <w:tcW w:w="2477" w:type="dxa"/>
            <w:tcBorders>
              <w:top w:val="single" w:color="auto" w:sz="4" w:space="0"/>
              <w:left w:val="single" w:color="auto" w:sz="4" w:space="0"/>
              <w:bottom w:val="single" w:color="auto" w:sz="4" w:space="0"/>
              <w:right w:val="single" w:color="auto" w:sz="4" w:space="0"/>
            </w:tcBorders>
          </w:tcPr>
          <w:p w:rsidR="002C4898" w:rsidP="002C4898" w:rsidRDefault="002C4898" w14:paraId="26CB017C" w14:textId="5DF93C27">
            <w:pPr>
              <w:rPr>
                <w:rFonts w:ascii="Arial Narrow" w:hAnsi="Arial Narrow"/>
                <w:sz w:val="22"/>
              </w:rPr>
            </w:pPr>
            <w:r>
              <w:rPr>
                <w:rFonts w:ascii="Arial Narrow" w:hAnsi="Arial Narrow"/>
                <w:sz w:val="22"/>
              </w:rPr>
              <w:t>Jurisdictions will upload forms to Box FTP</w:t>
            </w:r>
          </w:p>
        </w:tc>
        <w:tc>
          <w:tcPr>
            <w:tcW w:w="1396" w:type="dxa"/>
            <w:tcBorders>
              <w:top w:val="single" w:color="auto" w:sz="4" w:space="0"/>
              <w:left w:val="single" w:color="auto" w:sz="4" w:space="0"/>
              <w:bottom w:val="single" w:color="auto" w:sz="4" w:space="0"/>
              <w:right w:val="single" w:color="auto" w:sz="4" w:space="0"/>
            </w:tcBorders>
            <w:vAlign w:val="center"/>
          </w:tcPr>
          <w:p w:rsidRPr="00450715" w:rsidR="002C4898" w:rsidP="002C4898" w:rsidRDefault="002C4898" w14:paraId="5504AAEB" w14:textId="3D8586C6">
            <w:pPr>
              <w:jc w:val="center"/>
              <w:rPr>
                <w:rFonts w:ascii="Arial Narrow" w:hAnsi="Arial Narrow"/>
                <w:sz w:val="22"/>
              </w:rPr>
            </w:pPr>
            <w:r>
              <w:rPr>
                <w:rFonts w:ascii="Arial Narrow" w:hAnsi="Arial Narrow"/>
                <w:sz w:val="22"/>
              </w:rPr>
              <w:t>Monthly</w:t>
            </w:r>
          </w:p>
        </w:tc>
        <w:tc>
          <w:tcPr>
            <w:tcW w:w="2033" w:type="dxa"/>
            <w:tcBorders>
              <w:top w:val="single" w:color="auto" w:sz="4" w:space="0"/>
              <w:left w:val="single" w:color="auto" w:sz="4" w:space="0"/>
              <w:bottom w:val="single" w:color="auto" w:sz="4" w:space="0"/>
              <w:right w:val="single" w:color="auto" w:sz="4" w:space="0"/>
            </w:tcBorders>
            <w:vAlign w:val="center"/>
          </w:tcPr>
          <w:p w:rsidR="002C4898" w:rsidP="002C4898" w:rsidRDefault="002C4898" w14:paraId="469040BB" w14:textId="77777777">
            <w:pPr>
              <w:jc w:val="center"/>
              <w:rPr>
                <w:rFonts w:ascii="Arial Narrow" w:hAnsi="Arial Narrow"/>
                <w:sz w:val="22"/>
              </w:rPr>
            </w:pPr>
            <w:r>
              <w:rPr>
                <w:rFonts w:ascii="Arial Narrow" w:hAnsi="Arial Narrow"/>
                <w:sz w:val="22"/>
              </w:rPr>
              <w:t>18 times:</w:t>
            </w:r>
          </w:p>
          <w:p w:rsidR="002C4898" w:rsidP="002C4898" w:rsidRDefault="002C4898" w14:paraId="2F1DCE0B" w14:textId="271027DE">
            <w:pPr>
              <w:jc w:val="center"/>
              <w:rPr>
                <w:rFonts w:ascii="Arial Narrow" w:hAnsi="Arial Narrow"/>
                <w:sz w:val="22"/>
              </w:rPr>
            </w:pPr>
            <w:r>
              <w:rPr>
                <w:rFonts w:ascii="Arial Narrow" w:hAnsi="Arial Narrow"/>
                <w:sz w:val="22"/>
              </w:rPr>
              <w:t>Years 2-3</w:t>
            </w:r>
          </w:p>
        </w:tc>
        <w:tc>
          <w:tcPr>
            <w:tcW w:w="2236" w:type="dxa"/>
            <w:tcBorders>
              <w:top w:val="single" w:color="auto" w:sz="4" w:space="0"/>
              <w:left w:val="single" w:color="auto" w:sz="4" w:space="0"/>
              <w:bottom w:val="single" w:color="auto" w:sz="4" w:space="0"/>
              <w:right w:val="single" w:color="auto" w:sz="4" w:space="0"/>
            </w:tcBorders>
            <w:vAlign w:val="center"/>
          </w:tcPr>
          <w:p w:rsidRPr="00450715" w:rsidR="002C4898" w:rsidP="002C4898" w:rsidRDefault="002C4898" w14:paraId="25763937" w14:textId="7196279B">
            <w:pPr>
              <w:jc w:val="center"/>
              <w:rPr>
                <w:rFonts w:ascii="Arial Narrow" w:hAnsi="Arial Narrow"/>
                <w:sz w:val="22"/>
              </w:rPr>
            </w:pPr>
            <w:r>
              <w:rPr>
                <w:rFonts w:ascii="Arial Narrow" w:hAnsi="Arial Narrow"/>
                <w:sz w:val="22"/>
              </w:rPr>
              <w:t>Attachment F</w:t>
            </w:r>
          </w:p>
        </w:tc>
      </w:tr>
      <w:tr w:rsidRPr="00450715" w:rsidR="002C4898" w:rsidTr="002C4898" w14:paraId="701E1E2F" w14:textId="77777777">
        <w:trPr>
          <w:trHeight w:val="472"/>
        </w:trPr>
        <w:tc>
          <w:tcPr>
            <w:tcW w:w="2014" w:type="dxa"/>
            <w:tcBorders>
              <w:top w:val="single" w:color="auto" w:sz="4" w:space="0"/>
              <w:left w:val="single" w:color="auto" w:sz="4" w:space="0"/>
              <w:bottom w:val="single" w:color="auto" w:sz="4" w:space="0"/>
              <w:right w:val="single" w:color="auto" w:sz="4" w:space="0"/>
            </w:tcBorders>
            <w:vAlign w:val="center"/>
          </w:tcPr>
          <w:p w:rsidR="002C4898" w:rsidP="002C4898" w:rsidRDefault="002C4898" w14:paraId="59D6C93C" w14:textId="31D632A3">
            <w:pPr>
              <w:rPr>
                <w:rFonts w:ascii="Arial Narrow" w:hAnsi="Arial Narrow"/>
                <w:b/>
                <w:sz w:val="22"/>
              </w:rPr>
            </w:pPr>
            <w:r>
              <w:rPr>
                <w:rFonts w:ascii="Arial Narrow" w:hAnsi="Arial Narrow"/>
                <w:b/>
                <w:sz w:val="22"/>
              </w:rPr>
              <w:t xml:space="preserve">Document Review </w:t>
            </w:r>
            <w:r w:rsidRPr="00FF1471">
              <w:rPr>
                <w:rFonts w:ascii="Arial Narrow" w:hAnsi="Arial Narrow"/>
                <w:b/>
                <w:sz w:val="22"/>
                <w:vertAlign w:val="superscript"/>
              </w:rPr>
              <w:t>a</w:t>
            </w:r>
          </w:p>
        </w:tc>
        <w:tc>
          <w:tcPr>
            <w:tcW w:w="2477" w:type="dxa"/>
            <w:tcBorders>
              <w:top w:val="single" w:color="auto" w:sz="4" w:space="0"/>
              <w:left w:val="single" w:color="auto" w:sz="4" w:space="0"/>
              <w:bottom w:val="single" w:color="auto" w:sz="4" w:space="0"/>
              <w:right w:val="single" w:color="auto" w:sz="4" w:space="0"/>
            </w:tcBorders>
          </w:tcPr>
          <w:p w:rsidR="002C4898" w:rsidP="002C4898" w:rsidRDefault="002C4898" w14:paraId="1FF2F06B" w14:textId="01615988">
            <w:pPr>
              <w:rPr>
                <w:rFonts w:ascii="Arial Narrow" w:hAnsi="Arial Narrow"/>
                <w:sz w:val="22"/>
              </w:rPr>
            </w:pPr>
            <w:r>
              <w:rPr>
                <w:rFonts w:ascii="Arial Narrow" w:hAnsi="Arial Narrow"/>
                <w:sz w:val="22"/>
              </w:rPr>
              <w:t>Documents requested from TAP and Jurisdiction TA Recipients, who upload the documents to Box FTP</w:t>
            </w:r>
          </w:p>
        </w:tc>
        <w:tc>
          <w:tcPr>
            <w:tcW w:w="1396" w:type="dxa"/>
            <w:tcBorders>
              <w:top w:val="single" w:color="auto" w:sz="4" w:space="0"/>
              <w:left w:val="single" w:color="auto" w:sz="4" w:space="0"/>
              <w:bottom w:val="single" w:color="auto" w:sz="4" w:space="0"/>
              <w:right w:val="single" w:color="auto" w:sz="4" w:space="0"/>
            </w:tcBorders>
            <w:vAlign w:val="center"/>
          </w:tcPr>
          <w:p w:rsidRPr="00450715" w:rsidR="002C4898" w:rsidP="002C4898" w:rsidRDefault="002C4898" w14:paraId="45FE08BF" w14:textId="0EB4605F">
            <w:pPr>
              <w:jc w:val="center"/>
              <w:rPr>
                <w:rFonts w:ascii="Arial Narrow" w:hAnsi="Arial Narrow"/>
                <w:sz w:val="22"/>
              </w:rPr>
            </w:pPr>
            <w:r>
              <w:rPr>
                <w:rFonts w:ascii="Arial Narrow" w:hAnsi="Arial Narrow"/>
                <w:sz w:val="22"/>
              </w:rPr>
              <w:t>Quarterly</w:t>
            </w:r>
          </w:p>
        </w:tc>
        <w:tc>
          <w:tcPr>
            <w:tcW w:w="2033" w:type="dxa"/>
            <w:tcBorders>
              <w:top w:val="single" w:color="auto" w:sz="4" w:space="0"/>
              <w:left w:val="single" w:color="auto" w:sz="4" w:space="0"/>
              <w:bottom w:val="single" w:color="auto" w:sz="4" w:space="0"/>
              <w:right w:val="single" w:color="auto" w:sz="4" w:space="0"/>
            </w:tcBorders>
            <w:vAlign w:val="center"/>
          </w:tcPr>
          <w:p w:rsidR="002C4898" w:rsidP="002C4898" w:rsidRDefault="002C4898" w14:paraId="38E1C533" w14:textId="77777777">
            <w:pPr>
              <w:jc w:val="center"/>
              <w:rPr>
                <w:rFonts w:ascii="Arial Narrow" w:hAnsi="Arial Narrow"/>
                <w:sz w:val="22"/>
              </w:rPr>
            </w:pPr>
            <w:r>
              <w:rPr>
                <w:rFonts w:ascii="Arial Narrow" w:hAnsi="Arial Narrow"/>
                <w:sz w:val="22"/>
              </w:rPr>
              <w:t>6 times:</w:t>
            </w:r>
          </w:p>
          <w:p w:rsidR="002C4898" w:rsidP="002C4898" w:rsidRDefault="002C4898" w14:paraId="3DA252FD" w14:textId="48570CB5">
            <w:pPr>
              <w:jc w:val="center"/>
              <w:rPr>
                <w:rFonts w:ascii="Arial Narrow" w:hAnsi="Arial Narrow"/>
                <w:sz w:val="22"/>
              </w:rPr>
            </w:pPr>
            <w:r>
              <w:rPr>
                <w:rFonts w:ascii="Arial Narrow" w:hAnsi="Arial Narrow"/>
                <w:sz w:val="22"/>
              </w:rPr>
              <w:t>Years 2-3</w:t>
            </w:r>
          </w:p>
        </w:tc>
        <w:tc>
          <w:tcPr>
            <w:tcW w:w="2236" w:type="dxa"/>
            <w:tcBorders>
              <w:top w:val="single" w:color="auto" w:sz="4" w:space="0"/>
              <w:left w:val="single" w:color="auto" w:sz="4" w:space="0"/>
              <w:bottom w:val="single" w:color="auto" w:sz="4" w:space="0"/>
              <w:right w:val="single" w:color="auto" w:sz="4" w:space="0"/>
            </w:tcBorders>
            <w:vAlign w:val="center"/>
          </w:tcPr>
          <w:p w:rsidRPr="00450715" w:rsidR="002C4898" w:rsidP="002C4898" w:rsidRDefault="00FF3ED5" w14:paraId="17569851" w14:textId="0EDFF63B">
            <w:pPr>
              <w:jc w:val="center"/>
              <w:rPr>
                <w:rFonts w:ascii="Arial Narrow" w:hAnsi="Arial Narrow"/>
                <w:sz w:val="22"/>
              </w:rPr>
            </w:pPr>
            <w:r>
              <w:rPr>
                <w:rFonts w:ascii="Arial Narrow" w:hAnsi="Arial Narrow"/>
                <w:sz w:val="22"/>
              </w:rPr>
              <w:t>Attachment not applicable</w:t>
            </w:r>
          </w:p>
        </w:tc>
      </w:tr>
    </w:tbl>
    <w:p w:rsidRPr="009701EC" w:rsidR="00450715" w:rsidP="005658C4" w:rsidRDefault="004E1A67" w14:paraId="70814D53" w14:textId="2A201D31">
      <w:pPr>
        <w:rPr>
          <w:i/>
          <w:sz w:val="18"/>
        </w:rPr>
      </w:pPr>
      <w:r w:rsidRPr="009701EC">
        <w:rPr>
          <w:i/>
          <w:vertAlign w:val="superscript"/>
        </w:rPr>
        <w:t>a</w:t>
      </w:r>
      <w:r w:rsidRPr="009701EC">
        <w:rPr>
          <w:i/>
          <w:sz w:val="18"/>
        </w:rPr>
        <w:t xml:space="preserve"> These data collection activities will involve data collection from four</w:t>
      </w:r>
      <w:r w:rsidR="009701EC">
        <w:rPr>
          <w:i/>
          <w:sz w:val="18"/>
        </w:rPr>
        <w:t xml:space="preserve"> or fewer</w:t>
      </w:r>
      <w:r w:rsidRPr="009701EC">
        <w:rPr>
          <w:i/>
          <w:sz w:val="18"/>
        </w:rPr>
        <w:t xml:space="preserve"> respondents and OMB approval is not being requested for these activities.</w:t>
      </w:r>
    </w:p>
    <w:p w:rsidRPr="00545B2E" w:rsidR="009701EC" w:rsidP="005658C4" w:rsidRDefault="009701EC" w14:paraId="60C41A88" w14:textId="77777777">
      <w:pPr>
        <w:rPr>
          <w:sz w:val="24"/>
        </w:rPr>
      </w:pPr>
    </w:p>
    <w:p w:rsidRPr="00545B2E" w:rsidR="00E073D6" w:rsidP="00995972" w:rsidRDefault="00BD7960" w14:paraId="6EC016D8" w14:textId="522EA3F1">
      <w:pPr>
        <w:rPr>
          <w:sz w:val="24"/>
        </w:rPr>
      </w:pPr>
      <w:r>
        <w:rPr>
          <w:sz w:val="24"/>
        </w:rPr>
        <w:t>Less frequent d</w:t>
      </w:r>
      <w:r w:rsidRPr="00545B2E" w:rsidR="005658C4">
        <w:rPr>
          <w:sz w:val="24"/>
        </w:rPr>
        <w:t xml:space="preserve">ata collection </w:t>
      </w:r>
      <w:r w:rsidRPr="00545B2E" w:rsidR="00A47C1D">
        <w:rPr>
          <w:sz w:val="24"/>
        </w:rPr>
        <w:t xml:space="preserve">will hinder </w:t>
      </w:r>
      <w:r w:rsidR="004B3DE2">
        <w:rPr>
          <w:sz w:val="24"/>
        </w:rPr>
        <w:t>the</w:t>
      </w:r>
      <w:r w:rsidRPr="00545B2E" w:rsidR="004B3DE2">
        <w:rPr>
          <w:sz w:val="24"/>
        </w:rPr>
        <w:t xml:space="preserve"> </w:t>
      </w:r>
      <w:r w:rsidRPr="00545B2E" w:rsidR="00A47C1D">
        <w:rPr>
          <w:sz w:val="24"/>
        </w:rPr>
        <w:t>ability to descri</w:t>
      </w:r>
      <w:r w:rsidR="00AF37AA">
        <w:rPr>
          <w:sz w:val="24"/>
        </w:rPr>
        <w:t xml:space="preserve">be how TA activities evolve as well as </w:t>
      </w:r>
      <w:r w:rsidRPr="00545B2E" w:rsidR="00A47C1D">
        <w:rPr>
          <w:sz w:val="24"/>
        </w:rPr>
        <w:t xml:space="preserve">how barriers change over the course of the project. </w:t>
      </w:r>
      <w:r w:rsidR="00C102D9">
        <w:rPr>
          <w:sz w:val="24"/>
        </w:rPr>
        <w:t xml:space="preserve"> </w:t>
      </w:r>
      <w:r>
        <w:rPr>
          <w:sz w:val="24"/>
        </w:rPr>
        <w:t>Additionally</w:t>
      </w:r>
      <w:r w:rsidRPr="00545B2E" w:rsidR="00A47C1D">
        <w:rPr>
          <w:sz w:val="24"/>
        </w:rPr>
        <w:t xml:space="preserve">, less frequent data collection will hamper </w:t>
      </w:r>
      <w:r w:rsidR="004B3DE2">
        <w:rPr>
          <w:sz w:val="24"/>
        </w:rPr>
        <w:t>the</w:t>
      </w:r>
      <w:r w:rsidRPr="00545B2E" w:rsidR="004B3DE2">
        <w:rPr>
          <w:sz w:val="24"/>
        </w:rPr>
        <w:t xml:space="preserve"> </w:t>
      </w:r>
      <w:r w:rsidRPr="00545B2E" w:rsidR="00A47C1D">
        <w:rPr>
          <w:sz w:val="24"/>
        </w:rPr>
        <w:t>ability to assess</w:t>
      </w:r>
      <w:r w:rsidRPr="00545B2E" w:rsidR="005658C4">
        <w:rPr>
          <w:sz w:val="24"/>
        </w:rPr>
        <w:t xml:space="preserve"> ho</w:t>
      </w:r>
      <w:r w:rsidRPr="00545B2E" w:rsidR="00A47C1D">
        <w:rPr>
          <w:sz w:val="24"/>
        </w:rPr>
        <w:t>w jurisdictions’ processes and outcomes change</w:t>
      </w:r>
      <w:r w:rsidRPr="00545B2E" w:rsidR="005658C4">
        <w:rPr>
          <w:sz w:val="24"/>
        </w:rPr>
        <w:t xml:space="preserve"> </w:t>
      </w:r>
      <w:r w:rsidRPr="00545B2E" w:rsidR="00A47C1D">
        <w:rPr>
          <w:sz w:val="24"/>
        </w:rPr>
        <w:t>over the course of the project.</w:t>
      </w:r>
    </w:p>
    <w:p w:rsidRPr="00DB7177" w:rsidR="00DB7177" w:rsidP="00024782" w:rsidRDefault="00DB7177" w14:paraId="65AEB645" w14:textId="0353884F">
      <w:pPr>
        <w:numPr>
          <w:ilvl w:val="0"/>
          <w:numId w:val="1"/>
        </w:numPr>
        <w:spacing w:before="240"/>
        <w:rPr>
          <w:b/>
          <w:sz w:val="24"/>
        </w:rPr>
      </w:pPr>
      <w:r w:rsidRPr="00DB7177">
        <w:rPr>
          <w:b/>
          <w:sz w:val="24"/>
          <w:u w:val="single"/>
        </w:rPr>
        <w:t>Special Circumstances Relating to the Guidelines of 5 CFR 1320.5</w:t>
      </w:r>
    </w:p>
    <w:p w:rsidR="00C102D9" w:rsidP="00340F13" w:rsidRDefault="00C102D9" w14:paraId="4A16B52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rsidRPr="001624BB" w:rsidR="00340F13" w:rsidP="00340F13" w:rsidRDefault="00DB7177" w14:paraId="32F656F6" w14:textId="07EA7EF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BodyTextFi"/>
          <w:sz w:val="24"/>
        </w:rPr>
      </w:pPr>
      <w:r w:rsidRPr="00BF4233">
        <w:rPr>
          <w:sz w:val="24"/>
        </w:rPr>
        <w:t>The</w:t>
      </w:r>
      <w:r>
        <w:rPr>
          <w:sz w:val="24"/>
        </w:rPr>
        <w:t xml:space="preserve"> request fully complies with the regulation</w:t>
      </w:r>
      <w:r w:rsidRPr="00BF4233">
        <w:rPr>
          <w:sz w:val="24"/>
        </w:rPr>
        <w:t>.</w:t>
      </w:r>
      <w:r w:rsidR="0034110F">
        <w:rPr>
          <w:rStyle w:val="BodyTextFi"/>
          <w:sz w:val="24"/>
        </w:rPr>
        <w:t xml:space="preserve"> </w:t>
      </w:r>
    </w:p>
    <w:p w:rsidRPr="00BF4233" w:rsidR="00DB7177" w:rsidP="00DB7177" w:rsidRDefault="00DB7177" w14:paraId="7A9356D8" w14:textId="10562D7A">
      <w:pPr>
        <w:pStyle w:val="BodyText"/>
        <w:spacing w:line="276" w:lineRule="auto"/>
        <w:rPr>
          <w:sz w:val="24"/>
        </w:rPr>
      </w:pPr>
    </w:p>
    <w:p w:rsidRPr="00545B2E" w:rsidR="009B3794" w:rsidP="00024782" w:rsidRDefault="009B3794" w14:paraId="5AE52FA8" w14:textId="77777777">
      <w:pPr>
        <w:numPr>
          <w:ilvl w:val="0"/>
          <w:numId w:val="1"/>
        </w:numPr>
        <w:spacing w:before="240"/>
        <w:rPr>
          <w:b/>
          <w:sz w:val="24"/>
        </w:rPr>
      </w:pPr>
      <w:r w:rsidRPr="00545B2E">
        <w:rPr>
          <w:b/>
          <w:iCs/>
          <w:sz w:val="24"/>
          <w:u w:val="single"/>
        </w:rPr>
        <w:lastRenderedPageBreak/>
        <w:t>Comments in Response to the Federal Register</w:t>
      </w:r>
      <w:r w:rsidRPr="00545B2E">
        <w:rPr>
          <w:b/>
          <w:sz w:val="24"/>
          <w:u w:val="single"/>
        </w:rPr>
        <w:t xml:space="preserve"> Notice/Outside Consultation</w:t>
      </w:r>
    </w:p>
    <w:p w:rsidRPr="00764AB5" w:rsidR="00DE3A45" w:rsidP="00CA3DA6" w:rsidRDefault="00DE3A45" w14:paraId="256214A1" w14:textId="77777777">
      <w:pPr>
        <w:spacing w:before="120"/>
        <w:rPr>
          <w:b/>
          <w:sz w:val="24"/>
          <w:szCs w:val="28"/>
        </w:rPr>
      </w:pPr>
      <w:r w:rsidRPr="00764AB5">
        <w:rPr>
          <w:b/>
          <w:sz w:val="24"/>
          <w:szCs w:val="28"/>
        </w:rPr>
        <w:t>Section 8A:</w:t>
      </w:r>
    </w:p>
    <w:p w:rsidR="00764AB5" w:rsidP="00764AB5" w:rsidRDefault="009B3794" w14:paraId="32F946F0" w14:textId="4302A793">
      <w:pPr>
        <w:rPr>
          <w:sz w:val="24"/>
        </w:rPr>
      </w:pPr>
      <w:r w:rsidRPr="00545B2E">
        <w:rPr>
          <w:sz w:val="24"/>
        </w:rPr>
        <w:t>A 60-day Federal Register Notice was published on</w:t>
      </w:r>
      <w:r w:rsidR="00055B81">
        <w:rPr>
          <w:sz w:val="24"/>
        </w:rPr>
        <w:t xml:space="preserve"> August 20</w:t>
      </w:r>
      <w:r w:rsidRPr="00545B2E">
        <w:rPr>
          <w:sz w:val="24"/>
        </w:rPr>
        <w:t>, 2</w:t>
      </w:r>
      <w:r w:rsidR="00055B81">
        <w:rPr>
          <w:sz w:val="24"/>
        </w:rPr>
        <w:t>020</w:t>
      </w:r>
      <w:r w:rsidRPr="00545B2E">
        <w:rPr>
          <w:sz w:val="24"/>
        </w:rPr>
        <w:t xml:space="preserve">, vol. </w:t>
      </w:r>
      <w:r w:rsidR="00055B81">
        <w:rPr>
          <w:sz w:val="24"/>
        </w:rPr>
        <w:t>85</w:t>
      </w:r>
      <w:r w:rsidRPr="00545B2E">
        <w:rPr>
          <w:sz w:val="24"/>
        </w:rPr>
        <w:t>, No.</w:t>
      </w:r>
      <w:r w:rsidR="00055B81">
        <w:rPr>
          <w:sz w:val="24"/>
        </w:rPr>
        <w:t xml:space="preserve"> 162</w:t>
      </w:r>
      <w:r w:rsidRPr="00545B2E">
        <w:rPr>
          <w:sz w:val="24"/>
        </w:rPr>
        <w:t>; pp.</w:t>
      </w:r>
      <w:r w:rsidR="00055B81">
        <w:rPr>
          <w:sz w:val="24"/>
        </w:rPr>
        <w:t>51454-51455</w:t>
      </w:r>
      <w:r w:rsidRPr="00545B2E">
        <w:rPr>
          <w:sz w:val="24"/>
        </w:rPr>
        <w:t xml:space="preserve">. </w:t>
      </w:r>
      <w:r w:rsidR="00C81694">
        <w:rPr>
          <w:sz w:val="24"/>
        </w:rPr>
        <w:t xml:space="preserve"> </w:t>
      </w:r>
      <w:r w:rsidRPr="00545B2E">
        <w:rPr>
          <w:sz w:val="24"/>
        </w:rPr>
        <w:t>T</w:t>
      </w:r>
      <w:r w:rsidR="00005106">
        <w:rPr>
          <w:sz w:val="24"/>
        </w:rPr>
        <w:t>here were</w:t>
      </w:r>
      <w:r w:rsidRPr="00545B2E">
        <w:rPr>
          <w:sz w:val="24"/>
        </w:rPr>
        <w:t xml:space="preserve"> no public comments.</w:t>
      </w:r>
    </w:p>
    <w:p w:rsidRPr="00545B2E" w:rsidR="00764AB5" w:rsidP="00764AB5" w:rsidRDefault="00764AB5" w14:paraId="01D15141" w14:textId="77777777">
      <w:pPr>
        <w:rPr>
          <w:sz w:val="24"/>
        </w:rPr>
      </w:pPr>
    </w:p>
    <w:p w:rsidRPr="00545B2E" w:rsidR="00C12045" w:rsidP="00764AB5" w:rsidRDefault="00DE3A45" w14:paraId="0292F5B1" w14:textId="77777777">
      <w:pPr>
        <w:rPr>
          <w:b/>
          <w:sz w:val="28"/>
          <w:szCs w:val="28"/>
        </w:rPr>
      </w:pPr>
      <w:r w:rsidRPr="00764AB5">
        <w:rPr>
          <w:b/>
          <w:sz w:val="24"/>
          <w:szCs w:val="28"/>
        </w:rPr>
        <w:t>Section 8B:</w:t>
      </w:r>
    </w:p>
    <w:p w:rsidR="00764AB5" w:rsidP="00764AB5" w:rsidRDefault="007824AF" w14:paraId="1EC05B76" w14:textId="1588E032">
      <w:pPr>
        <w:rPr>
          <w:sz w:val="24"/>
        </w:rPr>
      </w:pPr>
      <w:r w:rsidRPr="00545B2E">
        <w:rPr>
          <w:sz w:val="24"/>
        </w:rPr>
        <w:t xml:space="preserve">HRSA contractor consulted with </w:t>
      </w:r>
      <w:r w:rsidRPr="00545B2E" w:rsidR="00B22255">
        <w:rPr>
          <w:sz w:val="24"/>
        </w:rPr>
        <w:t>Janet M</w:t>
      </w:r>
      <w:r w:rsidRPr="00545B2E">
        <w:rPr>
          <w:sz w:val="24"/>
        </w:rPr>
        <w:t>yers,</w:t>
      </w:r>
      <w:r w:rsidRPr="00545B2E" w:rsidR="00B22255">
        <w:rPr>
          <w:sz w:val="24"/>
        </w:rPr>
        <w:t xml:space="preserve"> PhD, Professor of Medicine, University of California, </w:t>
      </w:r>
      <w:proofErr w:type="gramStart"/>
      <w:r w:rsidRPr="00545B2E" w:rsidR="00B22255">
        <w:rPr>
          <w:sz w:val="24"/>
        </w:rPr>
        <w:t>San</w:t>
      </w:r>
      <w:proofErr w:type="gramEnd"/>
      <w:r w:rsidRPr="00545B2E" w:rsidR="00B22255">
        <w:rPr>
          <w:sz w:val="24"/>
        </w:rPr>
        <w:t xml:space="preserve"> Francisco</w:t>
      </w:r>
      <w:r w:rsidRPr="00545B2E" w:rsidR="00F25403">
        <w:rPr>
          <w:sz w:val="24"/>
        </w:rPr>
        <w:t xml:space="preserve"> for feedback on the evaluation design</w:t>
      </w:r>
      <w:r w:rsidRPr="00545B2E">
        <w:rPr>
          <w:sz w:val="24"/>
        </w:rPr>
        <w:t xml:space="preserve">, </w:t>
      </w:r>
      <w:r w:rsidRPr="00545B2E" w:rsidR="00F25403">
        <w:rPr>
          <w:sz w:val="24"/>
        </w:rPr>
        <w:t xml:space="preserve">approach, and </w:t>
      </w:r>
      <w:r w:rsidRPr="00545B2E">
        <w:rPr>
          <w:sz w:val="24"/>
        </w:rPr>
        <w:t>data collection</w:t>
      </w:r>
      <w:r w:rsidRPr="00545B2E" w:rsidR="00F25403">
        <w:rPr>
          <w:sz w:val="24"/>
        </w:rPr>
        <w:t xml:space="preserve"> plans</w:t>
      </w:r>
      <w:r w:rsidRPr="00545B2E">
        <w:rPr>
          <w:sz w:val="24"/>
        </w:rPr>
        <w:t xml:space="preserve">. </w:t>
      </w:r>
      <w:r w:rsidR="00C81694">
        <w:rPr>
          <w:sz w:val="24"/>
        </w:rPr>
        <w:t xml:space="preserve"> </w:t>
      </w:r>
      <w:r w:rsidRPr="00545B2E">
        <w:rPr>
          <w:sz w:val="24"/>
        </w:rPr>
        <w:t xml:space="preserve">Additionally, </w:t>
      </w:r>
      <w:r w:rsidR="00FA1E9F">
        <w:rPr>
          <w:sz w:val="24"/>
        </w:rPr>
        <w:t>input was obtained</w:t>
      </w:r>
      <w:r w:rsidRPr="00545B2E">
        <w:rPr>
          <w:sz w:val="24"/>
        </w:rPr>
        <w:t xml:space="preserve"> from</w:t>
      </w:r>
      <w:r w:rsidRPr="00545B2E" w:rsidR="005019F5">
        <w:rPr>
          <w:sz w:val="24"/>
        </w:rPr>
        <w:t xml:space="preserve"> </w:t>
      </w:r>
      <w:r w:rsidRPr="00545B2E" w:rsidR="00F25403">
        <w:rPr>
          <w:sz w:val="24"/>
        </w:rPr>
        <w:t>the TAP</w:t>
      </w:r>
      <w:r w:rsidR="00C81694">
        <w:rPr>
          <w:sz w:val="24"/>
        </w:rPr>
        <w:t xml:space="preserve"> - </w:t>
      </w:r>
      <w:r w:rsidRPr="00545B2E" w:rsidR="005019F5">
        <w:rPr>
          <w:sz w:val="24"/>
        </w:rPr>
        <w:t>Georgetown University</w:t>
      </w:r>
      <w:r w:rsidR="00C81694">
        <w:rPr>
          <w:sz w:val="24"/>
        </w:rPr>
        <w:t xml:space="preserve"> - </w:t>
      </w:r>
      <w:r w:rsidR="00253644">
        <w:rPr>
          <w:sz w:val="24"/>
        </w:rPr>
        <w:t>which</w:t>
      </w:r>
      <w:r w:rsidRPr="00545B2E" w:rsidR="00253644">
        <w:rPr>
          <w:sz w:val="24"/>
        </w:rPr>
        <w:t xml:space="preserve"> </w:t>
      </w:r>
      <w:r w:rsidRPr="00545B2E" w:rsidR="005019F5">
        <w:rPr>
          <w:sz w:val="24"/>
        </w:rPr>
        <w:t>included</w:t>
      </w:r>
      <w:r w:rsidRPr="00545B2E">
        <w:rPr>
          <w:sz w:val="24"/>
        </w:rPr>
        <w:t xml:space="preserve"> </w:t>
      </w:r>
      <w:proofErr w:type="spellStart"/>
      <w:r w:rsidRPr="00545B2E">
        <w:rPr>
          <w:sz w:val="24"/>
        </w:rPr>
        <w:t>Auntre</w:t>
      </w:r>
      <w:proofErr w:type="spellEnd"/>
      <w:r w:rsidRPr="00545B2E">
        <w:rPr>
          <w:sz w:val="24"/>
        </w:rPr>
        <w:t xml:space="preserve"> Hamp, </w:t>
      </w:r>
      <w:r w:rsidRPr="00545B2E" w:rsidR="005019F5">
        <w:rPr>
          <w:sz w:val="24"/>
        </w:rPr>
        <w:t>Med, MPH, LPC, Research Assistant Professor, School of Medicine and Ann Marie Stringer, Data Integration Specialist</w:t>
      </w:r>
      <w:r w:rsidRPr="00545B2E">
        <w:rPr>
          <w:sz w:val="24"/>
        </w:rPr>
        <w:t xml:space="preserve">. </w:t>
      </w:r>
    </w:p>
    <w:p w:rsidR="00ED45E1" w:rsidP="00764AB5" w:rsidRDefault="00ED45E1" w14:paraId="5509BAF5" w14:textId="77777777">
      <w:pPr>
        <w:rPr>
          <w:sz w:val="24"/>
        </w:rPr>
      </w:pPr>
    </w:p>
    <w:p w:rsidRPr="00DB7177" w:rsidR="00DB7177" w:rsidP="00024782" w:rsidRDefault="00DB7177" w14:paraId="4EFB51AD" w14:textId="77777777">
      <w:pPr>
        <w:numPr>
          <w:ilvl w:val="0"/>
          <w:numId w:val="1"/>
        </w:numPr>
        <w:rPr>
          <w:b/>
          <w:sz w:val="24"/>
          <w:u w:val="single"/>
        </w:rPr>
      </w:pPr>
      <w:r w:rsidRPr="00DB7177">
        <w:rPr>
          <w:b/>
          <w:sz w:val="24"/>
          <w:u w:val="single"/>
        </w:rPr>
        <w:t>Explanation of any Payment/Gift to Respondents</w:t>
      </w:r>
    </w:p>
    <w:p w:rsidR="00F07896" w:rsidP="00DB7177" w:rsidRDefault="00F07896" w14:paraId="68833CA9" w14:textId="77777777">
      <w:pPr>
        <w:rPr>
          <w:sz w:val="24"/>
        </w:rPr>
      </w:pPr>
    </w:p>
    <w:p w:rsidRPr="00DB7177" w:rsidR="00DB7177" w:rsidP="00DB7177" w:rsidRDefault="00DB7177" w14:paraId="1A793124" w14:textId="77777777">
      <w:pPr>
        <w:rPr>
          <w:sz w:val="24"/>
        </w:rPr>
      </w:pPr>
      <w:r w:rsidRPr="00DB7177">
        <w:rPr>
          <w:sz w:val="24"/>
        </w:rPr>
        <w:t>Respondents will not receive any payments or gifts.</w:t>
      </w:r>
    </w:p>
    <w:p w:rsidRPr="00D1726F" w:rsidR="00D1726F" w:rsidP="00D1726F" w:rsidRDefault="00D1726F" w14:paraId="6593EE6F" w14:textId="77777777">
      <w:pPr>
        <w:rPr>
          <w:b/>
          <w:sz w:val="24"/>
        </w:rPr>
      </w:pPr>
    </w:p>
    <w:p w:rsidRPr="00545B2E" w:rsidR="00995972" w:rsidP="00024782" w:rsidRDefault="00995972" w14:paraId="2B74AD44" w14:textId="77777777">
      <w:pPr>
        <w:numPr>
          <w:ilvl w:val="0"/>
          <w:numId w:val="1"/>
        </w:numPr>
        <w:rPr>
          <w:b/>
          <w:sz w:val="24"/>
        </w:rPr>
      </w:pPr>
      <w:r w:rsidRPr="00545B2E">
        <w:rPr>
          <w:b/>
          <w:sz w:val="24"/>
          <w:u w:val="single"/>
        </w:rPr>
        <w:t>Assurance of Confidentiality Provided to Respondents</w:t>
      </w:r>
    </w:p>
    <w:p w:rsidR="00447377" w:rsidP="00D1726F" w:rsidRDefault="00447377" w14:paraId="6B2C8336" w14:textId="77777777">
      <w:pPr>
        <w:widowControl/>
        <w:rPr>
          <w:sz w:val="24"/>
        </w:rPr>
      </w:pPr>
    </w:p>
    <w:p w:rsidRPr="00545B2E" w:rsidR="00995972" w:rsidP="00E876DD" w:rsidRDefault="00D4304F" w14:paraId="30BEF1CA" w14:textId="7F006F07">
      <w:pPr>
        <w:widowControl/>
        <w:rPr>
          <w:sz w:val="24"/>
        </w:rPr>
      </w:pPr>
      <w:r>
        <w:rPr>
          <w:sz w:val="24"/>
        </w:rPr>
        <w:t>C</w:t>
      </w:r>
      <w:r w:rsidRPr="00545B2E" w:rsidR="00995972">
        <w:rPr>
          <w:sz w:val="24"/>
        </w:rPr>
        <w:t>onfidentiality, integrity and availability of study data</w:t>
      </w:r>
      <w:r w:rsidR="00E85359">
        <w:rPr>
          <w:sz w:val="24"/>
        </w:rPr>
        <w:t xml:space="preserve"> </w:t>
      </w:r>
      <w:r>
        <w:rPr>
          <w:sz w:val="24"/>
        </w:rPr>
        <w:t xml:space="preserve">will be protected </w:t>
      </w:r>
      <w:r w:rsidR="00E85359">
        <w:rPr>
          <w:sz w:val="24"/>
        </w:rPr>
        <w:t>in the following ways</w:t>
      </w:r>
      <w:r w:rsidRPr="00545B2E" w:rsidR="00995972">
        <w:rPr>
          <w:sz w:val="24"/>
        </w:rPr>
        <w:t xml:space="preserve">. </w:t>
      </w:r>
      <w:r w:rsidR="00E85359">
        <w:rPr>
          <w:sz w:val="24"/>
        </w:rPr>
        <w:t>First, access to</w:t>
      </w:r>
      <w:r w:rsidRPr="00545B2E" w:rsidR="00995972">
        <w:rPr>
          <w:sz w:val="24"/>
        </w:rPr>
        <w:t xml:space="preserve"> data </w:t>
      </w:r>
      <w:r w:rsidR="00E85359">
        <w:rPr>
          <w:sz w:val="24"/>
        </w:rPr>
        <w:t xml:space="preserve">will be restricted </w:t>
      </w:r>
      <w:r w:rsidRPr="00545B2E" w:rsidR="00995972">
        <w:rPr>
          <w:sz w:val="24"/>
        </w:rPr>
        <w:t>to authorized personnel</w:t>
      </w:r>
      <w:r w:rsidR="00E85359">
        <w:rPr>
          <w:sz w:val="24"/>
        </w:rPr>
        <w:t xml:space="preserve"> by assigning permission to access specific project folders which are maintained behind</w:t>
      </w:r>
      <w:r w:rsidRPr="00545B2E" w:rsidR="00995972">
        <w:rPr>
          <w:sz w:val="24"/>
        </w:rPr>
        <w:t xml:space="preserve"> multiple firewalls. </w:t>
      </w:r>
      <w:r w:rsidR="00C81694">
        <w:rPr>
          <w:sz w:val="24"/>
        </w:rPr>
        <w:t xml:space="preserve"> </w:t>
      </w:r>
      <w:r w:rsidR="009D7D91">
        <w:rPr>
          <w:sz w:val="24"/>
        </w:rPr>
        <w:t xml:space="preserve">Second, </w:t>
      </w:r>
      <w:r w:rsidRPr="00545B2E" w:rsidR="00995972">
        <w:rPr>
          <w:sz w:val="24"/>
        </w:rPr>
        <w:t xml:space="preserve">anti-spam, anti-malware, and anti-intrusion </w:t>
      </w:r>
      <w:r w:rsidR="009D7D91">
        <w:rPr>
          <w:sz w:val="24"/>
        </w:rPr>
        <w:t xml:space="preserve">software </w:t>
      </w:r>
      <w:r w:rsidR="000F0FE0">
        <w:rPr>
          <w:sz w:val="24"/>
        </w:rPr>
        <w:t xml:space="preserve">will be used </w:t>
      </w:r>
      <w:r w:rsidR="009D7D91">
        <w:rPr>
          <w:sz w:val="24"/>
        </w:rPr>
        <w:t>to guard against data breaches</w:t>
      </w:r>
      <w:r w:rsidRPr="00545B2E" w:rsidR="00995972">
        <w:rPr>
          <w:sz w:val="24"/>
        </w:rPr>
        <w:t xml:space="preserve">. </w:t>
      </w:r>
      <w:r w:rsidR="00C81694">
        <w:rPr>
          <w:sz w:val="24"/>
        </w:rPr>
        <w:t xml:space="preserve"> </w:t>
      </w:r>
      <w:r w:rsidR="009D7D91">
        <w:rPr>
          <w:sz w:val="24"/>
        </w:rPr>
        <w:t xml:space="preserve">Third, </w:t>
      </w:r>
      <w:r w:rsidRPr="00545B2E" w:rsidR="00995972">
        <w:rPr>
          <w:sz w:val="24"/>
        </w:rPr>
        <w:t>secure external access to information systems</w:t>
      </w:r>
      <w:r w:rsidR="009D7D91">
        <w:rPr>
          <w:sz w:val="24"/>
        </w:rPr>
        <w:t xml:space="preserve"> </w:t>
      </w:r>
      <w:r w:rsidR="000F0FE0">
        <w:rPr>
          <w:sz w:val="24"/>
        </w:rPr>
        <w:t xml:space="preserve">will be ensured </w:t>
      </w:r>
      <w:r w:rsidR="009D7D91">
        <w:rPr>
          <w:sz w:val="24"/>
        </w:rPr>
        <w:t>by using</w:t>
      </w:r>
      <w:r w:rsidRPr="00545B2E" w:rsidR="00995972">
        <w:rPr>
          <w:sz w:val="24"/>
        </w:rPr>
        <w:t xml:space="preserve"> a V</w:t>
      </w:r>
      <w:r w:rsidR="00392BFC">
        <w:rPr>
          <w:sz w:val="24"/>
        </w:rPr>
        <w:t xml:space="preserve">irtual </w:t>
      </w:r>
      <w:r w:rsidRPr="00545B2E" w:rsidR="00995972">
        <w:rPr>
          <w:sz w:val="24"/>
        </w:rPr>
        <w:t>P</w:t>
      </w:r>
      <w:r w:rsidR="00392BFC">
        <w:rPr>
          <w:sz w:val="24"/>
        </w:rPr>
        <w:t xml:space="preserve">rivate </w:t>
      </w:r>
      <w:r w:rsidRPr="00545B2E" w:rsidR="00995972">
        <w:rPr>
          <w:sz w:val="24"/>
        </w:rPr>
        <w:t>N</w:t>
      </w:r>
      <w:r w:rsidR="00392BFC">
        <w:rPr>
          <w:sz w:val="24"/>
        </w:rPr>
        <w:t>etwork (VPN)</w:t>
      </w:r>
      <w:r w:rsidR="009D7D91">
        <w:rPr>
          <w:sz w:val="24"/>
        </w:rPr>
        <w:t xml:space="preserve"> and an encrypted</w:t>
      </w:r>
      <w:r w:rsidRPr="00545B2E" w:rsidR="00995972">
        <w:rPr>
          <w:sz w:val="24"/>
        </w:rPr>
        <w:t xml:space="preserve"> secure file transfer portal. </w:t>
      </w:r>
    </w:p>
    <w:p w:rsidRPr="00545B2E" w:rsidR="00995972" w:rsidP="00A85E8D" w:rsidRDefault="00392BFC" w14:paraId="69778350" w14:textId="4E8A7B4C">
      <w:pPr>
        <w:widowControl/>
        <w:spacing w:before="120"/>
        <w:rPr>
          <w:sz w:val="24"/>
        </w:rPr>
      </w:pPr>
      <w:r>
        <w:rPr>
          <w:sz w:val="24"/>
        </w:rPr>
        <w:t>A</w:t>
      </w:r>
      <w:r w:rsidRPr="00545B2E" w:rsidR="00995972">
        <w:rPr>
          <w:sz w:val="24"/>
        </w:rPr>
        <w:t>ll data</w:t>
      </w:r>
      <w:r w:rsidR="009D7D91">
        <w:rPr>
          <w:sz w:val="24"/>
        </w:rPr>
        <w:t>, including PII will be stored and accessed only</w:t>
      </w:r>
      <w:r w:rsidRPr="00545B2E" w:rsidR="00995972">
        <w:rPr>
          <w:sz w:val="24"/>
        </w:rPr>
        <w:t xml:space="preserve"> in access-restricted folder</w:t>
      </w:r>
      <w:r w:rsidR="009D7D91">
        <w:rPr>
          <w:sz w:val="24"/>
        </w:rPr>
        <w:t xml:space="preserve">s on ACE3. </w:t>
      </w:r>
      <w:r w:rsidRPr="00545B2E" w:rsidR="00995972">
        <w:rPr>
          <w:sz w:val="24"/>
        </w:rPr>
        <w:t>ACE3 is FISMA Moderate and FIPS 140 2 compliant</w:t>
      </w:r>
      <w:r w:rsidR="009D7D91">
        <w:rPr>
          <w:sz w:val="24"/>
        </w:rPr>
        <w:t>, and</w:t>
      </w:r>
      <w:r w:rsidRPr="00545B2E" w:rsidR="00995972">
        <w:rPr>
          <w:sz w:val="24"/>
        </w:rPr>
        <w:t xml:space="preserve"> require</w:t>
      </w:r>
      <w:r w:rsidR="009D7D91">
        <w:rPr>
          <w:sz w:val="24"/>
        </w:rPr>
        <w:t>s</w:t>
      </w:r>
      <w:r w:rsidRPr="00545B2E" w:rsidR="00995972">
        <w:rPr>
          <w:sz w:val="24"/>
        </w:rPr>
        <w:t xml:space="preserve"> DUO multi-factor authentication</w:t>
      </w:r>
      <w:r w:rsidR="009D7D91">
        <w:rPr>
          <w:sz w:val="24"/>
        </w:rPr>
        <w:t xml:space="preserve"> to access</w:t>
      </w:r>
      <w:r w:rsidRPr="00545B2E" w:rsidR="00995972">
        <w:rPr>
          <w:sz w:val="24"/>
        </w:rPr>
        <w:t xml:space="preserve">. </w:t>
      </w:r>
      <w:r w:rsidR="00C81694">
        <w:rPr>
          <w:sz w:val="24"/>
        </w:rPr>
        <w:t xml:space="preserve"> </w:t>
      </w:r>
      <w:r w:rsidR="009D7D91">
        <w:rPr>
          <w:sz w:val="24"/>
        </w:rPr>
        <w:t>Any data</w:t>
      </w:r>
      <w:r w:rsidRPr="00545B2E" w:rsidR="00995972">
        <w:rPr>
          <w:sz w:val="24"/>
        </w:rPr>
        <w:t xml:space="preserve"> transfer</w:t>
      </w:r>
      <w:r w:rsidR="009D7D91">
        <w:rPr>
          <w:sz w:val="24"/>
        </w:rPr>
        <w:t>red</w:t>
      </w:r>
      <w:r w:rsidRPr="00545B2E" w:rsidR="00995972">
        <w:rPr>
          <w:sz w:val="24"/>
        </w:rPr>
        <w:t xml:space="preserve"> </w:t>
      </w:r>
      <w:r w:rsidR="009D7D91">
        <w:rPr>
          <w:sz w:val="24"/>
        </w:rPr>
        <w:t xml:space="preserve">will </w:t>
      </w:r>
      <w:r w:rsidRPr="00545B2E" w:rsidR="00995972">
        <w:rPr>
          <w:sz w:val="24"/>
        </w:rPr>
        <w:t xml:space="preserve">occur </w:t>
      </w:r>
      <w:r w:rsidR="009D7D91">
        <w:rPr>
          <w:sz w:val="24"/>
        </w:rPr>
        <w:t>through</w:t>
      </w:r>
      <w:r w:rsidR="000F0FE0">
        <w:rPr>
          <w:sz w:val="24"/>
        </w:rPr>
        <w:t xml:space="preserve"> one of two </w:t>
      </w:r>
      <w:r w:rsidRPr="00545B2E" w:rsidR="00995972">
        <w:rPr>
          <w:sz w:val="24"/>
        </w:rPr>
        <w:t>secure data transfer application</w:t>
      </w:r>
      <w:r w:rsidR="000F0FE0">
        <w:rPr>
          <w:sz w:val="24"/>
        </w:rPr>
        <w:t>s</w:t>
      </w:r>
      <w:r w:rsidRPr="00545B2E" w:rsidR="00995972">
        <w:rPr>
          <w:sz w:val="24"/>
        </w:rPr>
        <w:t>, Huddle</w:t>
      </w:r>
      <w:r w:rsidR="000F0FE0">
        <w:rPr>
          <w:sz w:val="24"/>
        </w:rPr>
        <w:t xml:space="preserve"> or Box</w:t>
      </w:r>
      <w:r w:rsidRPr="00545B2E" w:rsidR="00995972">
        <w:rPr>
          <w:sz w:val="24"/>
        </w:rPr>
        <w:t>. Huddle</w:t>
      </w:r>
      <w:r w:rsidR="000F0FE0">
        <w:rPr>
          <w:sz w:val="24"/>
        </w:rPr>
        <w:t xml:space="preserve"> and Box both</w:t>
      </w:r>
      <w:r w:rsidRPr="00545B2E" w:rsidR="00995972">
        <w:rPr>
          <w:sz w:val="24"/>
        </w:rPr>
        <w:t xml:space="preserve"> provide secure, encrypted transmission of PII to and from</w:t>
      </w:r>
      <w:r w:rsidRPr="00545B2E" w:rsidR="004B3DE2">
        <w:rPr>
          <w:sz w:val="24"/>
        </w:rPr>
        <w:t xml:space="preserve"> </w:t>
      </w:r>
      <w:r w:rsidRPr="00545B2E" w:rsidR="00995972">
        <w:rPr>
          <w:sz w:val="24"/>
        </w:rPr>
        <w:t xml:space="preserve">study partners, and </w:t>
      </w:r>
      <w:r w:rsidR="000F0FE0">
        <w:rPr>
          <w:sz w:val="24"/>
        </w:rPr>
        <w:t>are</w:t>
      </w:r>
      <w:r w:rsidRPr="00545B2E" w:rsidR="00995972">
        <w:rPr>
          <w:sz w:val="24"/>
        </w:rPr>
        <w:t xml:space="preserve"> FedRAMP certified and FIPS 140-2 compliant</w:t>
      </w:r>
      <w:r w:rsidR="009D7D91">
        <w:rPr>
          <w:sz w:val="24"/>
        </w:rPr>
        <w:t>.</w:t>
      </w:r>
      <w:r w:rsidRPr="00545B2E" w:rsidR="00995972">
        <w:rPr>
          <w:sz w:val="24"/>
        </w:rPr>
        <w:t xml:space="preserve"> </w:t>
      </w:r>
      <w:r w:rsidR="00C81694">
        <w:rPr>
          <w:sz w:val="24"/>
        </w:rPr>
        <w:t xml:space="preserve"> </w:t>
      </w:r>
      <w:r w:rsidRPr="00545B2E" w:rsidR="00995972">
        <w:rPr>
          <w:sz w:val="24"/>
        </w:rPr>
        <w:t xml:space="preserve">Only authorized study team members will have access to the Huddle </w:t>
      </w:r>
      <w:r w:rsidR="000F0FE0">
        <w:rPr>
          <w:sz w:val="24"/>
        </w:rPr>
        <w:t xml:space="preserve">and Box </w:t>
      </w:r>
      <w:r w:rsidRPr="00545B2E" w:rsidR="00995972">
        <w:rPr>
          <w:sz w:val="24"/>
        </w:rPr>
        <w:t>project folder</w:t>
      </w:r>
      <w:r w:rsidR="000F0FE0">
        <w:rPr>
          <w:sz w:val="24"/>
        </w:rPr>
        <w:t>s</w:t>
      </w:r>
      <w:r w:rsidRPr="00545B2E" w:rsidR="00995972">
        <w:rPr>
          <w:sz w:val="24"/>
        </w:rPr>
        <w:t xml:space="preserve"> through an approval process.</w:t>
      </w:r>
    </w:p>
    <w:p w:rsidRPr="00545B2E" w:rsidR="00995972" w:rsidP="00A85E8D" w:rsidRDefault="00995972" w14:paraId="28F586EE" w14:textId="458B20F8">
      <w:pPr>
        <w:widowControl/>
        <w:spacing w:before="120"/>
        <w:rPr>
          <w:sz w:val="24"/>
        </w:rPr>
      </w:pPr>
      <w:r w:rsidRPr="00545B2E">
        <w:rPr>
          <w:sz w:val="24"/>
        </w:rPr>
        <w:t xml:space="preserve">In summary, as part </w:t>
      </w:r>
      <w:r w:rsidRPr="00545B2E" w:rsidR="00392BFC">
        <w:rPr>
          <w:sz w:val="24"/>
        </w:rPr>
        <w:t>of the</w:t>
      </w:r>
      <w:r w:rsidR="0034110F">
        <w:rPr>
          <w:sz w:val="24"/>
        </w:rPr>
        <w:t xml:space="preserve"> </w:t>
      </w:r>
      <w:r w:rsidRPr="00545B2E">
        <w:rPr>
          <w:sz w:val="24"/>
        </w:rPr>
        <w:t xml:space="preserve">data collection effort: </w:t>
      </w:r>
    </w:p>
    <w:p w:rsidRPr="00545B2E" w:rsidR="00995972" w:rsidP="00A85E8D" w:rsidRDefault="00995972" w14:paraId="6E461D64" w14:textId="49CD440A">
      <w:pPr>
        <w:pStyle w:val="ListParagraph"/>
        <w:widowControl/>
        <w:numPr>
          <w:ilvl w:val="0"/>
          <w:numId w:val="21"/>
        </w:numPr>
        <w:spacing w:before="120"/>
        <w:rPr>
          <w:sz w:val="24"/>
        </w:rPr>
      </w:pPr>
      <w:r w:rsidRPr="00545B2E">
        <w:rPr>
          <w:sz w:val="24"/>
        </w:rPr>
        <w:t>For the interviews</w:t>
      </w:r>
      <w:r w:rsidR="00EB588A">
        <w:rPr>
          <w:sz w:val="24"/>
        </w:rPr>
        <w:t xml:space="preserve"> and</w:t>
      </w:r>
      <w:r w:rsidRPr="00545B2E">
        <w:rPr>
          <w:sz w:val="24"/>
        </w:rPr>
        <w:t xml:space="preserve"> survey of data end-users,</w:t>
      </w:r>
    </w:p>
    <w:p w:rsidRPr="00545B2E" w:rsidR="00995972" w:rsidP="00A85E8D" w:rsidRDefault="00995972" w14:paraId="12E289BB" w14:textId="77777777">
      <w:pPr>
        <w:pStyle w:val="ListParagraph"/>
        <w:widowControl/>
        <w:numPr>
          <w:ilvl w:val="1"/>
          <w:numId w:val="21"/>
        </w:numPr>
        <w:spacing w:before="120"/>
        <w:rPr>
          <w:sz w:val="24"/>
        </w:rPr>
      </w:pPr>
      <w:r w:rsidRPr="00545B2E">
        <w:rPr>
          <w:sz w:val="24"/>
        </w:rPr>
        <w:t xml:space="preserve">Individual level data will be collected; </w:t>
      </w:r>
    </w:p>
    <w:p w:rsidRPr="00545B2E" w:rsidR="00995972" w:rsidP="00A85E8D" w:rsidRDefault="00995972" w14:paraId="17CA7CEA" w14:textId="77777777">
      <w:pPr>
        <w:pStyle w:val="ListParagraph"/>
        <w:widowControl/>
        <w:numPr>
          <w:ilvl w:val="1"/>
          <w:numId w:val="21"/>
        </w:numPr>
        <w:spacing w:before="120"/>
        <w:rPr>
          <w:sz w:val="24"/>
        </w:rPr>
      </w:pPr>
      <w:r w:rsidRPr="00545B2E">
        <w:rPr>
          <w:sz w:val="24"/>
        </w:rPr>
        <w:t xml:space="preserve">Personally identifiable information (PII) will be collected from survey and stakeholder interview participants; these PII will include full names and email addresses only </w:t>
      </w:r>
    </w:p>
    <w:p w:rsidRPr="00545B2E" w:rsidR="00995972" w:rsidP="00A85E8D" w:rsidRDefault="00995972" w14:paraId="4E26D667" w14:textId="77777777">
      <w:pPr>
        <w:pStyle w:val="ListParagraph"/>
        <w:widowControl/>
        <w:numPr>
          <w:ilvl w:val="1"/>
          <w:numId w:val="21"/>
        </w:numPr>
        <w:spacing w:before="120"/>
        <w:rPr>
          <w:sz w:val="24"/>
        </w:rPr>
      </w:pPr>
      <w:r w:rsidRPr="00545B2E">
        <w:rPr>
          <w:sz w:val="24"/>
        </w:rPr>
        <w:t>All PII will be stored on ACE3 separately from survey responses</w:t>
      </w:r>
    </w:p>
    <w:p w:rsidRPr="00545B2E" w:rsidR="00995972" w:rsidP="00A85E8D" w:rsidRDefault="00995972" w14:paraId="42FC0C81" w14:textId="77777777">
      <w:pPr>
        <w:pStyle w:val="ListParagraph"/>
        <w:widowControl/>
        <w:numPr>
          <w:ilvl w:val="1"/>
          <w:numId w:val="21"/>
        </w:numPr>
        <w:spacing w:before="120"/>
        <w:rPr>
          <w:sz w:val="24"/>
        </w:rPr>
      </w:pPr>
      <w:r w:rsidRPr="00545B2E">
        <w:rPr>
          <w:sz w:val="24"/>
        </w:rPr>
        <w:t>Data reported will be blinded, and aggregated at the jurisdiction level</w:t>
      </w:r>
    </w:p>
    <w:p w:rsidR="00995972" w:rsidP="00A85E8D" w:rsidRDefault="00995972" w14:paraId="5A787798" w14:textId="39C7AF27">
      <w:pPr>
        <w:pStyle w:val="ListParagraph"/>
        <w:widowControl/>
        <w:numPr>
          <w:ilvl w:val="1"/>
          <w:numId w:val="21"/>
        </w:numPr>
        <w:spacing w:before="120"/>
        <w:rPr>
          <w:sz w:val="24"/>
        </w:rPr>
      </w:pPr>
      <w:r w:rsidRPr="00545B2E">
        <w:rPr>
          <w:sz w:val="24"/>
        </w:rPr>
        <w:t>Any data provided to the client will be de-identified and coarsened</w:t>
      </w:r>
    </w:p>
    <w:p w:rsidRPr="00545B2E" w:rsidR="007726DD" w:rsidP="007726DD" w:rsidRDefault="007726DD" w14:paraId="3C97509F" w14:textId="2696C281">
      <w:pPr>
        <w:pStyle w:val="ListParagraph"/>
        <w:widowControl/>
        <w:numPr>
          <w:ilvl w:val="1"/>
          <w:numId w:val="21"/>
        </w:numPr>
        <w:spacing w:before="120"/>
        <w:rPr>
          <w:sz w:val="24"/>
        </w:rPr>
      </w:pPr>
      <w:r w:rsidRPr="007726DD">
        <w:rPr>
          <w:sz w:val="24"/>
        </w:rPr>
        <w:lastRenderedPageBreak/>
        <w:t xml:space="preserve">Any data that needs to be shared with HRSA will </w:t>
      </w:r>
      <w:r>
        <w:rPr>
          <w:sz w:val="24"/>
        </w:rPr>
        <w:t xml:space="preserve">not contain PII and will </w:t>
      </w:r>
      <w:r w:rsidRPr="007726DD">
        <w:rPr>
          <w:sz w:val="24"/>
        </w:rPr>
        <w:t>be transmitted securely via the file transfer protocol (FTP) and maintained on secure servers.</w:t>
      </w:r>
    </w:p>
    <w:p w:rsidRPr="00545B2E" w:rsidR="00995972" w:rsidP="00A85E8D" w:rsidRDefault="00995972" w14:paraId="5A90EE0A" w14:textId="2488BCE5">
      <w:pPr>
        <w:pStyle w:val="ListParagraph"/>
        <w:widowControl/>
        <w:numPr>
          <w:ilvl w:val="0"/>
          <w:numId w:val="21"/>
        </w:numPr>
        <w:spacing w:before="120"/>
        <w:rPr>
          <w:sz w:val="24"/>
        </w:rPr>
      </w:pPr>
      <w:r w:rsidRPr="00545B2E">
        <w:rPr>
          <w:sz w:val="24"/>
        </w:rPr>
        <w:t>For the aggregate statistics</w:t>
      </w:r>
      <w:r w:rsidR="00EB588A">
        <w:rPr>
          <w:sz w:val="24"/>
        </w:rPr>
        <w:t xml:space="preserve"> and personnel time reports</w:t>
      </w:r>
      <w:r w:rsidRPr="00545B2E">
        <w:rPr>
          <w:sz w:val="24"/>
        </w:rPr>
        <w:t>:</w:t>
      </w:r>
    </w:p>
    <w:p w:rsidRPr="00545B2E" w:rsidR="00995972" w:rsidP="00A85E8D" w:rsidRDefault="00995972" w14:paraId="0508DE16" w14:textId="77777777">
      <w:pPr>
        <w:pStyle w:val="ListParagraph"/>
        <w:widowControl/>
        <w:numPr>
          <w:ilvl w:val="1"/>
          <w:numId w:val="21"/>
        </w:numPr>
        <w:spacing w:before="120"/>
        <w:rPr>
          <w:sz w:val="24"/>
        </w:rPr>
      </w:pPr>
      <w:r w:rsidRPr="00545B2E">
        <w:rPr>
          <w:sz w:val="24"/>
        </w:rPr>
        <w:t>No direct identifiers will be collected;</w:t>
      </w:r>
    </w:p>
    <w:p w:rsidRPr="00545B2E" w:rsidR="00995972" w:rsidP="00A85E8D" w:rsidRDefault="00995972" w14:paraId="403CAD69" w14:textId="38AFD766">
      <w:pPr>
        <w:pStyle w:val="ListParagraph"/>
        <w:widowControl/>
        <w:numPr>
          <w:ilvl w:val="1"/>
          <w:numId w:val="21"/>
        </w:numPr>
        <w:spacing w:before="120"/>
        <w:rPr>
          <w:sz w:val="24"/>
        </w:rPr>
      </w:pPr>
      <w:r w:rsidRPr="00545B2E">
        <w:rPr>
          <w:sz w:val="24"/>
        </w:rPr>
        <w:t>Protected Health Information (PHI) will not be collected (though participating sites will create aggregate files using person-level, PHI-containing datasets before transferring aggregate-only data)</w:t>
      </w:r>
    </w:p>
    <w:p w:rsidR="00995972" w:rsidP="00A85E8D" w:rsidRDefault="00995972" w14:paraId="72D5708E" w14:textId="565402E4">
      <w:pPr>
        <w:pStyle w:val="ListParagraph"/>
        <w:widowControl/>
        <w:numPr>
          <w:ilvl w:val="1"/>
          <w:numId w:val="21"/>
        </w:numPr>
        <w:spacing w:before="120"/>
        <w:rPr>
          <w:sz w:val="24"/>
        </w:rPr>
      </w:pPr>
      <w:r w:rsidRPr="00545B2E">
        <w:rPr>
          <w:sz w:val="24"/>
        </w:rPr>
        <w:t>Data will be aggregated by the jurisdiction into subgroups large enough so no individual may be identified</w:t>
      </w:r>
    </w:p>
    <w:p w:rsidRPr="00545B2E" w:rsidR="007726DD" w:rsidP="007726DD" w:rsidRDefault="007726DD" w14:paraId="6FFFC1D0" w14:textId="00B0A197">
      <w:pPr>
        <w:pStyle w:val="ListParagraph"/>
        <w:widowControl/>
        <w:numPr>
          <w:ilvl w:val="1"/>
          <w:numId w:val="21"/>
        </w:numPr>
        <w:spacing w:before="120"/>
        <w:rPr>
          <w:sz w:val="24"/>
        </w:rPr>
      </w:pPr>
      <w:r w:rsidRPr="007726DD">
        <w:rPr>
          <w:sz w:val="24"/>
        </w:rPr>
        <w:t>Data will not be shared with HRSA using Box.  Any data that needs to be shared with HRSA will be transmitted securely via the file transfer protocol (FTP) and maintained on secure servers.</w:t>
      </w:r>
    </w:p>
    <w:p w:rsidRPr="00545B2E" w:rsidR="00995972" w:rsidP="00A85E8D" w:rsidRDefault="00995972" w14:paraId="014BE882" w14:textId="77777777">
      <w:pPr>
        <w:widowControl/>
        <w:spacing w:before="120"/>
        <w:rPr>
          <w:sz w:val="24"/>
        </w:rPr>
      </w:pPr>
      <w:r w:rsidRPr="00545B2E">
        <w:rPr>
          <w:sz w:val="24"/>
        </w:rPr>
        <w:t>The following approaches will be used to collect, transfer and store project data:</w:t>
      </w:r>
    </w:p>
    <w:p w:rsidRPr="00545B2E" w:rsidR="00995972" w:rsidP="00A85E8D" w:rsidRDefault="00F348E7" w14:paraId="58236C83" w14:textId="13C2B5EE">
      <w:pPr>
        <w:widowControl/>
        <w:spacing w:before="120"/>
        <w:rPr>
          <w:sz w:val="24"/>
        </w:rPr>
      </w:pPr>
      <w:r w:rsidRPr="00A85E8D">
        <w:rPr>
          <w:i/>
          <w:sz w:val="24"/>
          <w:u w:val="single"/>
        </w:rPr>
        <w:t>Semi-S</w:t>
      </w:r>
      <w:r w:rsidRPr="00A85E8D" w:rsidR="00995972">
        <w:rPr>
          <w:i/>
          <w:sz w:val="24"/>
          <w:u w:val="single"/>
        </w:rPr>
        <w:t>tructured</w:t>
      </w:r>
      <w:r w:rsidRPr="00A85E8D">
        <w:rPr>
          <w:i/>
          <w:sz w:val="24"/>
          <w:u w:val="single"/>
        </w:rPr>
        <w:t xml:space="preserve"> I</w:t>
      </w:r>
      <w:r w:rsidRPr="00A85E8D" w:rsidR="00995972">
        <w:rPr>
          <w:i/>
          <w:sz w:val="24"/>
          <w:u w:val="single"/>
        </w:rPr>
        <w:t>nterviews:</w:t>
      </w:r>
      <w:r w:rsidRPr="00545B2E" w:rsidR="00995972">
        <w:rPr>
          <w:sz w:val="24"/>
        </w:rPr>
        <w:t xml:space="preserve"> </w:t>
      </w:r>
      <w:r w:rsidR="00F97DB7">
        <w:rPr>
          <w:sz w:val="24"/>
        </w:rPr>
        <w:t xml:space="preserve"> </w:t>
      </w:r>
      <w:r w:rsidRPr="00545B2E" w:rsidR="00995972">
        <w:rPr>
          <w:sz w:val="24"/>
        </w:rPr>
        <w:t xml:space="preserve">Interviewee contact information will be collected from the </w:t>
      </w:r>
      <w:r w:rsidR="004F6A1D">
        <w:rPr>
          <w:sz w:val="24"/>
        </w:rPr>
        <w:t>TAP</w:t>
      </w:r>
      <w:r w:rsidRPr="00545B2E" w:rsidR="00995972">
        <w:rPr>
          <w:sz w:val="24"/>
        </w:rPr>
        <w:t>, and se</w:t>
      </w:r>
      <w:r w:rsidRPr="00545B2E" w:rsidR="007F57E2">
        <w:rPr>
          <w:sz w:val="24"/>
        </w:rPr>
        <w:t>curely uploaded to Box</w:t>
      </w:r>
      <w:r w:rsidRPr="00545B2E" w:rsidR="00995972">
        <w:rPr>
          <w:sz w:val="24"/>
        </w:rPr>
        <w:t xml:space="preserve">. </w:t>
      </w:r>
      <w:r w:rsidR="00F97DB7">
        <w:rPr>
          <w:sz w:val="24"/>
        </w:rPr>
        <w:t xml:space="preserve"> </w:t>
      </w:r>
      <w:r w:rsidR="00FA1E9F">
        <w:rPr>
          <w:sz w:val="24"/>
        </w:rPr>
        <w:t>The c</w:t>
      </w:r>
      <w:r w:rsidRPr="00545B2E" w:rsidR="00995972">
        <w:rPr>
          <w:sz w:val="24"/>
        </w:rPr>
        <w:t xml:space="preserve">ontact information </w:t>
      </w:r>
      <w:r w:rsidR="00FA1E9F">
        <w:rPr>
          <w:sz w:val="24"/>
        </w:rPr>
        <w:t xml:space="preserve">shared will be immediately retrieved </w:t>
      </w:r>
      <w:r w:rsidRPr="00545B2E" w:rsidR="00995972">
        <w:rPr>
          <w:sz w:val="24"/>
        </w:rPr>
        <w:t>and download</w:t>
      </w:r>
      <w:r w:rsidR="00FA1E9F">
        <w:rPr>
          <w:sz w:val="24"/>
        </w:rPr>
        <w:t>ed</w:t>
      </w:r>
      <w:r w:rsidRPr="00545B2E" w:rsidR="00995972">
        <w:rPr>
          <w:sz w:val="24"/>
        </w:rPr>
        <w:t xml:space="preserve"> from Box</w:t>
      </w:r>
      <w:r w:rsidR="004F6A1D">
        <w:rPr>
          <w:sz w:val="24"/>
        </w:rPr>
        <w:t xml:space="preserve"> </w:t>
      </w:r>
      <w:r w:rsidRPr="00545B2E" w:rsidR="00995972">
        <w:rPr>
          <w:sz w:val="24"/>
        </w:rPr>
        <w:t>to</w:t>
      </w:r>
      <w:r w:rsidR="000B1F25">
        <w:rPr>
          <w:sz w:val="24"/>
        </w:rPr>
        <w:t xml:space="preserve"> ACE3</w:t>
      </w:r>
      <w:r w:rsidRPr="00545B2E" w:rsidR="00995972">
        <w:rPr>
          <w:sz w:val="24"/>
        </w:rPr>
        <w:t xml:space="preserve">, and </w:t>
      </w:r>
      <w:r w:rsidR="00FA1E9F">
        <w:rPr>
          <w:sz w:val="24"/>
        </w:rPr>
        <w:t xml:space="preserve">then </w:t>
      </w:r>
      <w:r w:rsidRPr="00545B2E" w:rsidR="00995972">
        <w:rPr>
          <w:sz w:val="24"/>
        </w:rPr>
        <w:t>delete</w:t>
      </w:r>
      <w:r w:rsidR="00FA1E9F">
        <w:rPr>
          <w:sz w:val="24"/>
        </w:rPr>
        <w:t>d</w:t>
      </w:r>
      <w:r w:rsidR="00F97DB7">
        <w:rPr>
          <w:sz w:val="24"/>
        </w:rPr>
        <w:t xml:space="preserve"> from Box.  </w:t>
      </w:r>
      <w:r w:rsidRPr="00545B2E" w:rsidR="00995972">
        <w:rPr>
          <w:sz w:val="24"/>
        </w:rPr>
        <w:t xml:space="preserve">Interviews will be arranged and recorded via WebEx. </w:t>
      </w:r>
      <w:r w:rsidR="00F97DB7">
        <w:rPr>
          <w:sz w:val="24"/>
        </w:rPr>
        <w:t xml:space="preserve"> </w:t>
      </w:r>
      <w:r w:rsidRPr="00545B2E" w:rsidR="00995972">
        <w:rPr>
          <w:sz w:val="24"/>
        </w:rPr>
        <w:t xml:space="preserve">Notes will be taken by </w:t>
      </w:r>
      <w:r w:rsidR="00FA1E9F">
        <w:rPr>
          <w:sz w:val="24"/>
        </w:rPr>
        <w:t xml:space="preserve">in a </w:t>
      </w:r>
      <w:r w:rsidRPr="00545B2E" w:rsidR="00995972">
        <w:rPr>
          <w:sz w:val="24"/>
        </w:rPr>
        <w:t>Word document saved within ACE3, and stored there. Recordings will be uploaded to ACE3, via Huddle, immediately following the end of the interview and deleted from the WebEx platform.</w:t>
      </w:r>
    </w:p>
    <w:p w:rsidRPr="00545B2E" w:rsidR="00670662" w:rsidP="00A85E8D" w:rsidRDefault="00F348E7" w14:paraId="4F69A9FA" w14:textId="0A25F418">
      <w:pPr>
        <w:widowControl/>
        <w:spacing w:before="120"/>
        <w:rPr>
          <w:sz w:val="24"/>
        </w:rPr>
      </w:pPr>
      <w:r w:rsidRPr="00A85E8D">
        <w:rPr>
          <w:i/>
          <w:sz w:val="24"/>
          <w:u w:val="single"/>
        </w:rPr>
        <w:t>D</w:t>
      </w:r>
      <w:r w:rsidRPr="00A85E8D" w:rsidR="00995972">
        <w:rPr>
          <w:i/>
          <w:sz w:val="24"/>
          <w:u w:val="single"/>
        </w:rPr>
        <w:t xml:space="preserve">ata </w:t>
      </w:r>
      <w:r w:rsidRPr="00A85E8D">
        <w:rPr>
          <w:i/>
          <w:sz w:val="24"/>
          <w:u w:val="single"/>
        </w:rPr>
        <w:t>End-User Survey</w:t>
      </w:r>
      <w:r w:rsidRPr="00A85E8D" w:rsidR="00995972">
        <w:rPr>
          <w:i/>
          <w:sz w:val="24"/>
        </w:rPr>
        <w:t>:</w:t>
      </w:r>
      <w:r w:rsidR="00F97DB7">
        <w:rPr>
          <w:i/>
          <w:sz w:val="24"/>
        </w:rPr>
        <w:t xml:space="preserve"> </w:t>
      </w:r>
      <w:r w:rsidRPr="00545B2E" w:rsidR="00995972">
        <w:rPr>
          <w:sz w:val="24"/>
        </w:rPr>
        <w:t xml:space="preserve"> A census list of appropriate data end-users’ contact information (email addresses and full names) will be requested and obtained from participating jurisdictions and securely uploaded to Box. </w:t>
      </w:r>
      <w:r w:rsidR="00F97DB7">
        <w:rPr>
          <w:sz w:val="24"/>
        </w:rPr>
        <w:t xml:space="preserve"> </w:t>
      </w:r>
      <w:r w:rsidRPr="00545B2E" w:rsidR="00995972">
        <w:rPr>
          <w:sz w:val="24"/>
        </w:rPr>
        <w:t>Survey invitations will be sent via Confirmit, from within ACE</w:t>
      </w:r>
      <w:r w:rsidR="00EB588A">
        <w:rPr>
          <w:sz w:val="24"/>
        </w:rPr>
        <w:t>3</w:t>
      </w:r>
      <w:r w:rsidRPr="00545B2E" w:rsidR="00995972">
        <w:rPr>
          <w:sz w:val="24"/>
        </w:rPr>
        <w:t xml:space="preserve">’s secure environment. </w:t>
      </w:r>
      <w:r w:rsidR="00F97DB7">
        <w:rPr>
          <w:sz w:val="24"/>
        </w:rPr>
        <w:t xml:space="preserve"> </w:t>
      </w:r>
      <w:r w:rsidRPr="00545B2E" w:rsidR="00995972">
        <w:rPr>
          <w:sz w:val="24"/>
        </w:rPr>
        <w:t>All data will be collected and stored on ACE3 for the duration of the contract. Email addresses and names will not be merged with survey responses.</w:t>
      </w:r>
    </w:p>
    <w:p w:rsidRPr="00545B2E" w:rsidR="00995972" w:rsidP="00A85E8D" w:rsidRDefault="00670662" w14:paraId="37336E89" w14:textId="3FFE7F68">
      <w:pPr>
        <w:widowControl/>
        <w:spacing w:before="120"/>
        <w:rPr>
          <w:sz w:val="24"/>
        </w:rPr>
      </w:pPr>
      <w:r w:rsidRPr="00A85E8D">
        <w:rPr>
          <w:i/>
          <w:sz w:val="24"/>
          <w:u w:val="single"/>
        </w:rPr>
        <w:t xml:space="preserve">Personnel </w:t>
      </w:r>
      <w:r w:rsidRPr="00A85E8D" w:rsidR="00F348E7">
        <w:rPr>
          <w:i/>
          <w:sz w:val="24"/>
          <w:u w:val="single"/>
        </w:rPr>
        <w:t>Time Report Data</w:t>
      </w:r>
      <w:r w:rsidRPr="00A85E8D" w:rsidR="00995972">
        <w:rPr>
          <w:i/>
          <w:sz w:val="24"/>
        </w:rPr>
        <w:t>:</w:t>
      </w:r>
      <w:r w:rsidRPr="00545B2E" w:rsidR="00995972">
        <w:rPr>
          <w:sz w:val="24"/>
        </w:rPr>
        <w:t xml:space="preserve"> </w:t>
      </w:r>
      <w:r w:rsidR="00F97DB7">
        <w:rPr>
          <w:sz w:val="24"/>
        </w:rPr>
        <w:t xml:space="preserve"> </w:t>
      </w:r>
      <w:r w:rsidRPr="00545B2E" w:rsidR="00995972">
        <w:rPr>
          <w:sz w:val="24"/>
        </w:rPr>
        <w:t xml:space="preserve">A blank </w:t>
      </w:r>
      <w:r w:rsidR="00F348E7">
        <w:rPr>
          <w:sz w:val="24"/>
        </w:rPr>
        <w:t>time</w:t>
      </w:r>
      <w:r w:rsidRPr="00545B2E" w:rsidR="00995972">
        <w:rPr>
          <w:sz w:val="24"/>
        </w:rPr>
        <w:t xml:space="preserve"> reporting template will be shared with participating jurisdictions via Box. Jurisdictions will then populate and return the</w:t>
      </w:r>
      <w:r w:rsidR="000B1F25">
        <w:rPr>
          <w:sz w:val="24"/>
        </w:rPr>
        <w:t xml:space="preserve"> form</w:t>
      </w:r>
      <w:r w:rsidR="00F97DB7">
        <w:rPr>
          <w:sz w:val="24"/>
        </w:rPr>
        <w:t xml:space="preserve"> - </w:t>
      </w:r>
      <w:r w:rsidR="000B1F25">
        <w:rPr>
          <w:sz w:val="24"/>
        </w:rPr>
        <w:t>on a monthly basis</w:t>
      </w:r>
      <w:r w:rsidR="00F97DB7">
        <w:rPr>
          <w:sz w:val="24"/>
        </w:rPr>
        <w:t xml:space="preserve"> -</w:t>
      </w:r>
      <w:r w:rsidR="000B1F25">
        <w:rPr>
          <w:sz w:val="24"/>
        </w:rPr>
        <w:t>via Box</w:t>
      </w:r>
      <w:r w:rsidRPr="00545B2E" w:rsidR="00995972">
        <w:rPr>
          <w:sz w:val="24"/>
        </w:rPr>
        <w:t xml:space="preserve">. </w:t>
      </w:r>
      <w:r w:rsidR="00F97DB7">
        <w:rPr>
          <w:sz w:val="24"/>
        </w:rPr>
        <w:t xml:space="preserve"> </w:t>
      </w:r>
      <w:r w:rsidRPr="00545B2E" w:rsidR="00995972">
        <w:rPr>
          <w:sz w:val="24"/>
        </w:rPr>
        <w:t xml:space="preserve">All cost data will be directly saved to and remain on ACE3 for the duration of the contract. </w:t>
      </w:r>
      <w:r w:rsidR="00F97DB7">
        <w:rPr>
          <w:sz w:val="24"/>
        </w:rPr>
        <w:t xml:space="preserve"> </w:t>
      </w:r>
      <w:r w:rsidRPr="00545B2E" w:rsidR="00995972">
        <w:rPr>
          <w:sz w:val="24"/>
        </w:rPr>
        <w:t>When cost data include personnel costs, we will request job classification descriptions rather information that identifies individuals.</w:t>
      </w:r>
    </w:p>
    <w:p w:rsidRPr="00545B2E" w:rsidR="00995972" w:rsidP="00A85E8D" w:rsidRDefault="00F348E7" w14:paraId="4B245DC1" w14:textId="6A9231B6">
      <w:pPr>
        <w:widowControl/>
        <w:spacing w:before="120"/>
        <w:rPr>
          <w:sz w:val="24"/>
        </w:rPr>
      </w:pPr>
      <w:r w:rsidRPr="00A85E8D">
        <w:rPr>
          <w:i/>
          <w:sz w:val="24"/>
          <w:u w:val="single"/>
        </w:rPr>
        <w:t>Aggregate S</w:t>
      </w:r>
      <w:r w:rsidRPr="00A85E8D" w:rsidR="00995972">
        <w:rPr>
          <w:i/>
          <w:sz w:val="24"/>
          <w:u w:val="single"/>
        </w:rPr>
        <w:t>tatistics</w:t>
      </w:r>
      <w:r w:rsidRPr="00A85E8D" w:rsidR="00995972">
        <w:rPr>
          <w:i/>
          <w:sz w:val="24"/>
        </w:rPr>
        <w:t>:</w:t>
      </w:r>
      <w:r w:rsidRPr="00545B2E" w:rsidR="00995972">
        <w:rPr>
          <w:sz w:val="24"/>
        </w:rPr>
        <w:t xml:space="preserve"> </w:t>
      </w:r>
      <w:r w:rsidR="00F97DB7">
        <w:rPr>
          <w:sz w:val="24"/>
        </w:rPr>
        <w:t xml:space="preserve"> </w:t>
      </w:r>
      <w:r w:rsidRPr="00545B2E" w:rsidR="00995972">
        <w:rPr>
          <w:sz w:val="24"/>
        </w:rPr>
        <w:t xml:space="preserve">A blank aggregate statistics reporting template will be shared with participating jurisdictions via Box. </w:t>
      </w:r>
      <w:r w:rsidR="00F97DB7">
        <w:rPr>
          <w:sz w:val="24"/>
        </w:rPr>
        <w:t xml:space="preserve"> </w:t>
      </w:r>
      <w:r w:rsidRPr="00545B2E" w:rsidR="00995972">
        <w:rPr>
          <w:sz w:val="24"/>
        </w:rPr>
        <w:t>Jurisdictions will then populate and return the form</w:t>
      </w:r>
      <w:r w:rsidR="00F97DB7">
        <w:rPr>
          <w:sz w:val="24"/>
        </w:rPr>
        <w:t xml:space="preserve"> - </w:t>
      </w:r>
      <w:r w:rsidRPr="00545B2E" w:rsidR="00995972">
        <w:rPr>
          <w:sz w:val="24"/>
        </w:rPr>
        <w:t>on a quarterly basis</w:t>
      </w:r>
      <w:r w:rsidR="00F97DB7">
        <w:rPr>
          <w:sz w:val="24"/>
        </w:rPr>
        <w:t xml:space="preserve"> - </w:t>
      </w:r>
      <w:r w:rsidRPr="00545B2E" w:rsidR="00995972">
        <w:rPr>
          <w:sz w:val="24"/>
        </w:rPr>
        <w:t xml:space="preserve">via Box. </w:t>
      </w:r>
      <w:r w:rsidR="00F97DB7">
        <w:rPr>
          <w:sz w:val="24"/>
        </w:rPr>
        <w:t xml:space="preserve"> </w:t>
      </w:r>
      <w:r w:rsidRPr="00545B2E" w:rsidR="00995972">
        <w:rPr>
          <w:sz w:val="24"/>
        </w:rPr>
        <w:t xml:space="preserve">GU will ensure Box sub-folders are blinded such that participating jurisdictions cannot view one another’s folders or uploaded materials. </w:t>
      </w:r>
      <w:r w:rsidR="00F97DB7">
        <w:rPr>
          <w:sz w:val="24"/>
        </w:rPr>
        <w:t xml:space="preserve"> </w:t>
      </w:r>
      <w:r w:rsidRPr="00545B2E" w:rsidR="00995972">
        <w:rPr>
          <w:sz w:val="24"/>
        </w:rPr>
        <w:t>All aggregate statistics data will be directly saved to and remain on ACE3 for the duration of the contract.</w:t>
      </w:r>
    </w:p>
    <w:p w:rsidRPr="00545B2E" w:rsidR="00995972" w:rsidP="00A85E8D" w:rsidRDefault="00995972" w14:paraId="4D2D82BD" w14:textId="2929621C">
      <w:pPr>
        <w:widowControl/>
        <w:spacing w:before="120"/>
        <w:rPr>
          <w:sz w:val="24"/>
        </w:rPr>
      </w:pPr>
      <w:r w:rsidRPr="00545B2E">
        <w:rPr>
          <w:sz w:val="24"/>
        </w:rPr>
        <w:t xml:space="preserve">Data will be kept private to the extent allowed by law. </w:t>
      </w:r>
      <w:r w:rsidR="00F97DB7">
        <w:rPr>
          <w:sz w:val="24"/>
        </w:rPr>
        <w:t xml:space="preserve"> </w:t>
      </w:r>
      <w:r w:rsidR="00FA1E9F">
        <w:rPr>
          <w:sz w:val="24"/>
        </w:rPr>
        <w:t>K</w:t>
      </w:r>
      <w:r w:rsidRPr="00545B2E">
        <w:rPr>
          <w:sz w:val="24"/>
        </w:rPr>
        <w:t xml:space="preserve">ey client data destruction requirements associated with tasks </w:t>
      </w:r>
      <w:r w:rsidR="00FA1E9F">
        <w:rPr>
          <w:sz w:val="24"/>
        </w:rPr>
        <w:t xml:space="preserve">will be adhered to, </w:t>
      </w:r>
      <w:r w:rsidRPr="00545B2E">
        <w:rPr>
          <w:sz w:val="24"/>
        </w:rPr>
        <w:t xml:space="preserve">and </w:t>
      </w:r>
      <w:r w:rsidR="00FA1E9F">
        <w:rPr>
          <w:sz w:val="24"/>
        </w:rPr>
        <w:t xml:space="preserve">data will be </w:t>
      </w:r>
      <w:r w:rsidRPr="00545B2E">
        <w:rPr>
          <w:sz w:val="24"/>
        </w:rPr>
        <w:t>stored/collected relevant to the cu</w:t>
      </w:r>
      <w:r w:rsidR="00F348E7">
        <w:rPr>
          <w:sz w:val="24"/>
        </w:rPr>
        <w:t>rrent project as detailed below:</w:t>
      </w:r>
      <w:r w:rsidRPr="00545B2E">
        <w:rPr>
          <w:sz w:val="24"/>
        </w:rPr>
        <w:t xml:space="preserve"> </w:t>
      </w:r>
    </w:p>
    <w:p w:rsidR="00F348E7" w:rsidP="00A85E8D" w:rsidRDefault="00995972" w14:paraId="3DB2E84A" w14:textId="031B8DCA">
      <w:pPr>
        <w:pStyle w:val="ListParagraph"/>
        <w:widowControl/>
        <w:numPr>
          <w:ilvl w:val="0"/>
          <w:numId w:val="27"/>
        </w:numPr>
        <w:spacing w:before="120"/>
        <w:rPr>
          <w:sz w:val="24"/>
        </w:rPr>
      </w:pPr>
      <w:r w:rsidRPr="00F348E7">
        <w:rPr>
          <w:sz w:val="24"/>
        </w:rPr>
        <w:t xml:space="preserve">General Security Requirements. </w:t>
      </w:r>
      <w:r w:rsidR="00F97DB7">
        <w:rPr>
          <w:sz w:val="24"/>
        </w:rPr>
        <w:t xml:space="preserve"> </w:t>
      </w:r>
      <w:r w:rsidRPr="00F348E7">
        <w:rPr>
          <w:sz w:val="24"/>
        </w:rPr>
        <w:t xml:space="preserve">The Contractor (and/or any subcontractor) shall comply with information security and privacy requirements, Enterprise Performance Life Cycle </w:t>
      </w:r>
      <w:r w:rsidRPr="00F348E7">
        <w:rPr>
          <w:sz w:val="24"/>
        </w:rPr>
        <w:lastRenderedPageBreak/>
        <w:t xml:space="preserve">(EPLC) processes, HHS Enterprise Architecture requirements to ensure information is appropriately protected from initiation to expiration of the contract. </w:t>
      </w:r>
      <w:r w:rsidR="00F97DB7">
        <w:rPr>
          <w:sz w:val="24"/>
        </w:rPr>
        <w:t xml:space="preserve"> </w:t>
      </w:r>
      <w:r w:rsidRPr="00F348E7">
        <w:rPr>
          <w:sz w:val="24"/>
        </w:rPr>
        <w:t xml:space="preserve">All information systems development or enhancement tasks supported by the contractor shall follow the HRSA EPLC framework and methodology (https://sharepoint.hrsa.gov/oo/oit/dcppm/pmo/Shared Documents/z_Old PMO Archives/Documents.aspx) and in accordance with the HHS Contract Closeout Guide (2012). </w:t>
      </w:r>
    </w:p>
    <w:p w:rsidR="00F348E7" w:rsidP="00A85E8D" w:rsidRDefault="00995972" w14:paraId="66C8820C" w14:textId="7D0D83A3">
      <w:pPr>
        <w:pStyle w:val="ListParagraph"/>
        <w:widowControl/>
        <w:numPr>
          <w:ilvl w:val="0"/>
          <w:numId w:val="27"/>
        </w:numPr>
        <w:spacing w:before="120"/>
        <w:rPr>
          <w:sz w:val="24"/>
        </w:rPr>
      </w:pPr>
      <w:r w:rsidRPr="00F348E7">
        <w:rPr>
          <w:sz w:val="24"/>
        </w:rPr>
        <w:t xml:space="preserve">Sanitization of Government Files and Information. </w:t>
      </w:r>
      <w:r w:rsidR="00F97DB7">
        <w:rPr>
          <w:sz w:val="24"/>
        </w:rPr>
        <w:t xml:space="preserve"> </w:t>
      </w:r>
      <w:r w:rsidRPr="00F348E7">
        <w:rPr>
          <w:sz w:val="24"/>
        </w:rPr>
        <w:t>As part of contract closeout and at expiration of the contract, the Contractor (and/or any subcontractor) shall provide all required documentation to the CO and/or COR to certify that, at the government’s direction, all electronic and paper records are appropriately disposed of and all devices and media are sanitized in accordance with NIST SP 800-88, Guidelines for Media Sanitization.</w:t>
      </w:r>
    </w:p>
    <w:p w:rsidRPr="00F348E7" w:rsidR="00995972" w:rsidP="00A85E8D" w:rsidRDefault="00995972" w14:paraId="19449551" w14:textId="7C984614">
      <w:pPr>
        <w:pStyle w:val="ListParagraph"/>
        <w:widowControl/>
        <w:numPr>
          <w:ilvl w:val="0"/>
          <w:numId w:val="27"/>
        </w:numPr>
        <w:spacing w:before="120"/>
        <w:rPr>
          <w:sz w:val="24"/>
        </w:rPr>
      </w:pPr>
      <w:r w:rsidRPr="00F348E7">
        <w:rPr>
          <w:sz w:val="24"/>
        </w:rPr>
        <w:t xml:space="preserve">Notification. </w:t>
      </w:r>
      <w:r w:rsidR="00F97DB7">
        <w:rPr>
          <w:sz w:val="24"/>
        </w:rPr>
        <w:t xml:space="preserve"> </w:t>
      </w:r>
      <w:r w:rsidRPr="00F348E7">
        <w:rPr>
          <w:sz w:val="24"/>
        </w:rPr>
        <w:t>The Contractor (and/or any subcontractor) shall notify the CO and/or COR and system ISSO within 10 days before an employee stops working under this contract.</w:t>
      </w:r>
    </w:p>
    <w:p w:rsidRPr="00DB7177" w:rsidR="00DB7177" w:rsidP="00024782" w:rsidRDefault="00DB7177" w14:paraId="4809781D" w14:textId="77777777">
      <w:pPr>
        <w:numPr>
          <w:ilvl w:val="0"/>
          <w:numId w:val="1"/>
        </w:numPr>
        <w:spacing w:before="240"/>
        <w:rPr>
          <w:b/>
          <w:sz w:val="24"/>
        </w:rPr>
      </w:pPr>
      <w:r w:rsidRPr="00DB7177">
        <w:rPr>
          <w:b/>
          <w:sz w:val="24"/>
          <w:u w:val="single"/>
        </w:rPr>
        <w:t>Justification for Sensitive Questions</w:t>
      </w:r>
    </w:p>
    <w:p w:rsidR="00934108" w:rsidP="00934108" w:rsidRDefault="00934108" w14:paraId="5EDF7F3E" w14:textId="77777777">
      <w:pPr>
        <w:pStyle w:val="BodyText"/>
        <w:rPr>
          <w:sz w:val="24"/>
        </w:rPr>
      </w:pPr>
    </w:p>
    <w:p w:rsidR="00934108" w:rsidP="00934108" w:rsidRDefault="00934108" w14:paraId="34767252" w14:textId="566F06FB">
      <w:pPr>
        <w:pStyle w:val="BodyText"/>
        <w:rPr>
          <w:sz w:val="24"/>
        </w:rPr>
      </w:pPr>
      <w:r w:rsidRPr="000655BF">
        <w:rPr>
          <w:sz w:val="24"/>
        </w:rPr>
        <w:t xml:space="preserve">The information reported by respondents for the </w:t>
      </w:r>
      <w:r w:rsidRPr="00934108">
        <w:rPr>
          <w:i/>
          <w:sz w:val="24"/>
        </w:rPr>
        <w:t xml:space="preserve">Enhancing </w:t>
      </w:r>
      <w:r w:rsidR="00F71FB6">
        <w:rPr>
          <w:i/>
          <w:sz w:val="24"/>
        </w:rPr>
        <w:t xml:space="preserve">STI </w:t>
      </w:r>
      <w:r w:rsidRPr="00934108">
        <w:rPr>
          <w:i/>
          <w:sz w:val="24"/>
        </w:rPr>
        <w:t>Linkage</w:t>
      </w:r>
      <w:r>
        <w:rPr>
          <w:sz w:val="24"/>
        </w:rPr>
        <w:t xml:space="preserve"> evaluation</w:t>
      </w:r>
      <w:r w:rsidRPr="000655BF">
        <w:rPr>
          <w:sz w:val="24"/>
        </w:rPr>
        <w:t xml:space="preserve"> does not ask for sensitive personal information or include questions of a sensitive nature. </w:t>
      </w:r>
      <w:r w:rsidR="00F97DB7">
        <w:rPr>
          <w:sz w:val="24"/>
        </w:rPr>
        <w:t xml:space="preserve"> </w:t>
      </w:r>
      <w:r w:rsidRPr="000655BF">
        <w:rPr>
          <w:sz w:val="24"/>
        </w:rPr>
        <w:t xml:space="preserve">The focus of the </w:t>
      </w:r>
      <w:r w:rsidRPr="00934108">
        <w:rPr>
          <w:i/>
          <w:sz w:val="24"/>
        </w:rPr>
        <w:t xml:space="preserve">Enhancing </w:t>
      </w:r>
      <w:r w:rsidR="00F71FB6">
        <w:rPr>
          <w:i/>
          <w:sz w:val="24"/>
        </w:rPr>
        <w:t xml:space="preserve">STI </w:t>
      </w:r>
      <w:r w:rsidRPr="00934108">
        <w:rPr>
          <w:i/>
          <w:sz w:val="24"/>
        </w:rPr>
        <w:t>Linkage</w:t>
      </w:r>
      <w:r w:rsidRPr="000655BF">
        <w:rPr>
          <w:sz w:val="24"/>
        </w:rPr>
        <w:t xml:space="preserve"> </w:t>
      </w:r>
      <w:r w:rsidR="00EB588A">
        <w:rPr>
          <w:sz w:val="24"/>
        </w:rPr>
        <w:t xml:space="preserve">evaluation </w:t>
      </w:r>
      <w:r w:rsidRPr="000655BF">
        <w:rPr>
          <w:sz w:val="24"/>
        </w:rPr>
        <w:t xml:space="preserve">data collection is </w:t>
      </w:r>
      <w:r w:rsidR="00A85E8D">
        <w:rPr>
          <w:sz w:val="24"/>
        </w:rPr>
        <w:t>to determine the effectiveness of the training and TA provided to</w:t>
      </w:r>
      <w:r w:rsidRPr="000655BF">
        <w:rPr>
          <w:sz w:val="24"/>
        </w:rPr>
        <w:t xml:space="preserve"> the</w:t>
      </w:r>
      <w:r>
        <w:rPr>
          <w:sz w:val="24"/>
        </w:rPr>
        <w:t xml:space="preserve"> </w:t>
      </w:r>
      <w:proofErr w:type="spellStart"/>
      <w:r>
        <w:rPr>
          <w:sz w:val="24"/>
        </w:rPr>
        <w:t>RWHAP</w:t>
      </w:r>
      <w:proofErr w:type="spellEnd"/>
      <w:r w:rsidRPr="000655BF">
        <w:rPr>
          <w:sz w:val="24"/>
        </w:rPr>
        <w:t xml:space="preserve"> </w:t>
      </w:r>
      <w:r>
        <w:rPr>
          <w:sz w:val="24"/>
        </w:rPr>
        <w:t>jurisdictions</w:t>
      </w:r>
      <w:r w:rsidRPr="000655BF">
        <w:rPr>
          <w:sz w:val="24"/>
        </w:rPr>
        <w:t>.</w:t>
      </w:r>
      <w:r w:rsidR="00F97DB7">
        <w:rPr>
          <w:sz w:val="24"/>
        </w:rPr>
        <w:t xml:space="preserve"> </w:t>
      </w:r>
      <w:r w:rsidRPr="000655BF">
        <w:rPr>
          <w:sz w:val="24"/>
        </w:rPr>
        <w:t xml:space="preserve"> </w:t>
      </w:r>
      <w:r>
        <w:rPr>
          <w:sz w:val="24"/>
        </w:rPr>
        <w:t>Respondents will</w:t>
      </w:r>
      <w:r w:rsidRPr="000655BF">
        <w:rPr>
          <w:sz w:val="24"/>
        </w:rPr>
        <w:t xml:space="preserve"> </w:t>
      </w:r>
      <w:r w:rsidR="00EB588A">
        <w:rPr>
          <w:sz w:val="24"/>
        </w:rPr>
        <w:t xml:space="preserve">mostly </w:t>
      </w:r>
      <w:r w:rsidRPr="000655BF">
        <w:rPr>
          <w:sz w:val="24"/>
        </w:rPr>
        <w:t xml:space="preserve">provide information about their organizations and </w:t>
      </w:r>
      <w:r>
        <w:rPr>
          <w:sz w:val="24"/>
        </w:rPr>
        <w:t xml:space="preserve">organizational </w:t>
      </w:r>
      <w:r w:rsidRPr="000655BF">
        <w:rPr>
          <w:sz w:val="24"/>
        </w:rPr>
        <w:t>activities</w:t>
      </w:r>
      <w:r w:rsidR="00EB588A">
        <w:rPr>
          <w:sz w:val="24"/>
        </w:rPr>
        <w:t>.</w:t>
      </w:r>
      <w:r w:rsidR="00F97DB7">
        <w:rPr>
          <w:sz w:val="24"/>
        </w:rPr>
        <w:t xml:space="preserve"> </w:t>
      </w:r>
      <w:r w:rsidR="00EB588A">
        <w:rPr>
          <w:sz w:val="24"/>
        </w:rPr>
        <w:t xml:space="preserve"> Information collected in the interviews and web-survey will ask individuals about their experiences and use of data, but these questions are not designed to collect overly personal or sensitive information</w:t>
      </w:r>
      <w:r w:rsidRPr="000655BF">
        <w:rPr>
          <w:sz w:val="24"/>
        </w:rPr>
        <w:t xml:space="preserve">. </w:t>
      </w:r>
    </w:p>
    <w:p w:rsidRPr="000655BF" w:rsidR="00934108" w:rsidP="00934108" w:rsidRDefault="00934108" w14:paraId="3F0C840A" w14:textId="77777777">
      <w:pPr>
        <w:pStyle w:val="BodyText"/>
        <w:rPr>
          <w:sz w:val="24"/>
        </w:rPr>
      </w:pPr>
    </w:p>
    <w:p w:rsidRPr="00ED2739" w:rsidR="00ED2739" w:rsidP="00024782" w:rsidRDefault="009B3794" w14:paraId="07E846EC" w14:textId="288DAF0E">
      <w:pPr>
        <w:numPr>
          <w:ilvl w:val="0"/>
          <w:numId w:val="1"/>
        </w:numPr>
        <w:rPr>
          <w:sz w:val="24"/>
        </w:rPr>
      </w:pPr>
      <w:r w:rsidRPr="00545B2E">
        <w:rPr>
          <w:b/>
          <w:sz w:val="24"/>
          <w:u w:val="single"/>
        </w:rPr>
        <w:t xml:space="preserve">Estimates of Annualized Hour and Cost Burden  </w:t>
      </w:r>
    </w:p>
    <w:p w:rsidR="008C37FA" w:rsidP="008C37FA" w:rsidRDefault="008C37FA" w14:paraId="4531B014" w14:textId="77777777">
      <w:pPr>
        <w:widowControl/>
        <w:tabs>
          <w:tab w:val="num" w:pos="720"/>
        </w:tabs>
        <w:rPr>
          <w:sz w:val="24"/>
        </w:rPr>
      </w:pPr>
    </w:p>
    <w:p w:rsidR="00ED2739" w:rsidP="008C37FA" w:rsidRDefault="008C37FA" w14:paraId="06F904FE" w14:textId="2056137E">
      <w:pPr>
        <w:widowControl/>
        <w:tabs>
          <w:tab w:val="num" w:pos="720"/>
        </w:tabs>
        <w:rPr>
          <w:sz w:val="24"/>
        </w:rPr>
      </w:pPr>
      <w:r w:rsidRPr="00AC1EAA">
        <w:rPr>
          <w:sz w:val="24"/>
        </w:rPr>
        <w:t xml:space="preserve">This section provides annualized burden </w:t>
      </w:r>
      <w:r>
        <w:rPr>
          <w:sz w:val="24"/>
        </w:rPr>
        <w:t>hours</w:t>
      </w:r>
      <w:r w:rsidRPr="00AC1EAA">
        <w:rPr>
          <w:sz w:val="24"/>
        </w:rPr>
        <w:t xml:space="preserve"> for each </w:t>
      </w:r>
      <w:r w:rsidRPr="00AC1EAA">
        <w:rPr>
          <w:i/>
          <w:sz w:val="24"/>
        </w:rPr>
        <w:t xml:space="preserve">Enhancing </w:t>
      </w:r>
      <w:r w:rsidR="00F71FB6">
        <w:rPr>
          <w:i/>
          <w:sz w:val="24"/>
        </w:rPr>
        <w:t xml:space="preserve">STI </w:t>
      </w:r>
      <w:r w:rsidRPr="00AC1EAA">
        <w:rPr>
          <w:i/>
          <w:sz w:val="24"/>
        </w:rPr>
        <w:t>Linkage</w:t>
      </w:r>
      <w:r w:rsidRPr="00AC1EAA">
        <w:rPr>
          <w:sz w:val="24"/>
        </w:rPr>
        <w:t xml:space="preserve"> </w:t>
      </w:r>
      <w:r w:rsidR="00807B27">
        <w:rPr>
          <w:sz w:val="24"/>
        </w:rPr>
        <w:t>evaluation data collection activity</w:t>
      </w:r>
      <w:r w:rsidRPr="00AC1EAA">
        <w:rPr>
          <w:sz w:val="24"/>
        </w:rPr>
        <w:t xml:space="preserve"> </w:t>
      </w:r>
      <w:r w:rsidR="00807B27">
        <w:rPr>
          <w:sz w:val="24"/>
        </w:rPr>
        <w:t>described</w:t>
      </w:r>
      <w:r w:rsidRPr="00AC1EAA">
        <w:rPr>
          <w:sz w:val="24"/>
        </w:rPr>
        <w:t xml:space="preserve"> in this OMB package</w:t>
      </w:r>
      <w:r>
        <w:rPr>
          <w:sz w:val="24"/>
        </w:rPr>
        <w:t xml:space="preserve">. </w:t>
      </w:r>
      <w:r w:rsidR="00F97DB7">
        <w:rPr>
          <w:sz w:val="24"/>
        </w:rPr>
        <w:t xml:space="preserve"> </w:t>
      </w:r>
      <w:r w:rsidRPr="00AC1EAA">
        <w:rPr>
          <w:sz w:val="24"/>
        </w:rPr>
        <w:t xml:space="preserve">Total burden </w:t>
      </w:r>
      <w:r>
        <w:rPr>
          <w:sz w:val="24"/>
        </w:rPr>
        <w:t xml:space="preserve">hours </w:t>
      </w:r>
      <w:r w:rsidRPr="00AC1EAA">
        <w:rPr>
          <w:sz w:val="24"/>
        </w:rPr>
        <w:t xml:space="preserve">for this entire OMB package is </w:t>
      </w:r>
      <w:r w:rsidR="00663281">
        <w:rPr>
          <w:sz w:val="24"/>
        </w:rPr>
        <w:t>80</w:t>
      </w:r>
      <w:r w:rsidRPr="00AC1EAA" w:rsidR="00663281">
        <w:rPr>
          <w:sz w:val="24"/>
        </w:rPr>
        <w:t xml:space="preserve"> </w:t>
      </w:r>
      <w:r w:rsidRPr="00AC1EAA">
        <w:rPr>
          <w:sz w:val="24"/>
        </w:rPr>
        <w:t>hours</w:t>
      </w:r>
      <w:r>
        <w:rPr>
          <w:sz w:val="24"/>
        </w:rPr>
        <w:t xml:space="preserve"> </w:t>
      </w:r>
      <w:r w:rsidRPr="00B941B6">
        <w:rPr>
          <w:sz w:val="24"/>
        </w:rPr>
        <w:t xml:space="preserve">and </w:t>
      </w:r>
      <w:r w:rsidR="00663281">
        <w:rPr>
          <w:sz w:val="24"/>
        </w:rPr>
        <w:t>$</w:t>
      </w:r>
      <w:r w:rsidRPr="00663281" w:rsidR="00663281">
        <w:rPr>
          <w:sz w:val="24"/>
        </w:rPr>
        <w:t>3,822.38</w:t>
      </w:r>
      <w:r w:rsidRPr="00AC1EAA">
        <w:rPr>
          <w:sz w:val="24"/>
        </w:rPr>
        <w:t xml:space="preserve">, shown in </w:t>
      </w:r>
      <w:r w:rsidRPr="005474C8">
        <w:rPr>
          <w:b/>
          <w:i/>
          <w:sz w:val="24"/>
        </w:rPr>
        <w:t xml:space="preserve">Exhibit </w:t>
      </w:r>
      <w:r w:rsidR="004865BE">
        <w:rPr>
          <w:b/>
          <w:i/>
          <w:sz w:val="24"/>
        </w:rPr>
        <w:t>5</w:t>
      </w:r>
      <w:r w:rsidRPr="00AC1EAA">
        <w:rPr>
          <w:sz w:val="24"/>
        </w:rPr>
        <w:t xml:space="preserve">. </w:t>
      </w:r>
      <w:r w:rsidR="00F97DB7">
        <w:rPr>
          <w:sz w:val="24"/>
        </w:rPr>
        <w:t xml:space="preserve"> </w:t>
      </w:r>
      <w:r>
        <w:rPr>
          <w:sz w:val="24"/>
        </w:rPr>
        <w:t xml:space="preserve">Data collection for Year 1 will only involve semi-structured interviews and those annualized burden hours are shown in </w:t>
      </w:r>
      <w:r w:rsidRPr="005474C8">
        <w:rPr>
          <w:b/>
          <w:i/>
          <w:sz w:val="24"/>
        </w:rPr>
        <w:t xml:space="preserve">Exhibit </w:t>
      </w:r>
      <w:r w:rsidR="004865BE">
        <w:rPr>
          <w:b/>
          <w:i/>
          <w:sz w:val="24"/>
        </w:rPr>
        <w:t>6</w:t>
      </w:r>
      <w:r>
        <w:rPr>
          <w:sz w:val="24"/>
        </w:rPr>
        <w:t xml:space="preserve">. Years 2 and 3 will be inclusive of additional data collection activities and </w:t>
      </w:r>
      <w:r w:rsidRPr="005474C8">
        <w:rPr>
          <w:b/>
          <w:i/>
          <w:sz w:val="24"/>
        </w:rPr>
        <w:t xml:space="preserve">Exhibit </w:t>
      </w:r>
      <w:r w:rsidR="004865BE">
        <w:rPr>
          <w:b/>
          <w:i/>
          <w:sz w:val="24"/>
        </w:rPr>
        <w:t>7</w:t>
      </w:r>
      <w:r>
        <w:rPr>
          <w:sz w:val="24"/>
        </w:rPr>
        <w:t xml:space="preserve"> reflects the annualized burden hours for those years. </w:t>
      </w:r>
      <w:r w:rsidR="00F97DB7">
        <w:rPr>
          <w:sz w:val="24"/>
        </w:rPr>
        <w:t xml:space="preserve"> </w:t>
      </w:r>
      <w:r w:rsidRPr="00BF4233" w:rsidR="00ED2739">
        <w:rPr>
          <w:sz w:val="24"/>
        </w:rPr>
        <w:t>Time estimates are based on experience with similar instruments in other studies of comparable organizations.</w:t>
      </w:r>
      <w:r w:rsidR="00ED2739">
        <w:rPr>
          <w:sz w:val="24"/>
        </w:rPr>
        <w:t xml:space="preserve"> </w:t>
      </w:r>
    </w:p>
    <w:p w:rsidR="008C37FA" w:rsidP="008C37FA" w:rsidRDefault="008C37FA" w14:paraId="5945E5E2" w14:textId="77777777">
      <w:pPr>
        <w:widowControl/>
        <w:tabs>
          <w:tab w:val="num" w:pos="720"/>
        </w:tabs>
        <w:rPr>
          <w:b/>
          <w:i/>
          <w:sz w:val="24"/>
        </w:rPr>
      </w:pPr>
    </w:p>
    <w:p w:rsidRPr="00ED45E1" w:rsidR="008C37FA" w:rsidP="00ED45E1" w:rsidRDefault="008C37FA" w14:paraId="5AF4989D" w14:textId="3C42A990">
      <w:pPr>
        <w:widowControl/>
        <w:tabs>
          <w:tab w:val="num" w:pos="720"/>
        </w:tabs>
        <w:rPr>
          <w:sz w:val="24"/>
        </w:rPr>
      </w:pPr>
      <w:r w:rsidRPr="000E1985">
        <w:rPr>
          <w:b/>
          <w:i/>
          <w:sz w:val="24"/>
        </w:rPr>
        <w:t xml:space="preserve">Exhibit </w:t>
      </w:r>
      <w:r w:rsidR="004865BE">
        <w:rPr>
          <w:b/>
          <w:i/>
          <w:sz w:val="24"/>
        </w:rPr>
        <w:t>5</w:t>
      </w:r>
      <w:r w:rsidRPr="000E1985">
        <w:rPr>
          <w:b/>
          <w:i/>
          <w:sz w:val="24"/>
        </w:rPr>
        <w:t>. Total Data Collection Burden Hours</w:t>
      </w:r>
      <w:r>
        <w:rPr>
          <w:b/>
          <w:i/>
          <w:sz w:val="24"/>
        </w:rPr>
        <w:t xml:space="preserve"> </w:t>
      </w:r>
    </w:p>
    <w:tbl>
      <w:tblPr>
        <w:tblW w:w="7319"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val="04A0" w:firstRow="1" w:lastRow="0" w:firstColumn="1" w:lastColumn="0" w:noHBand="0" w:noVBand="1"/>
      </w:tblPr>
      <w:tblGrid>
        <w:gridCol w:w="3032"/>
        <w:gridCol w:w="2080"/>
        <w:gridCol w:w="2207"/>
      </w:tblGrid>
      <w:tr w:rsidRPr="00C63AB8" w:rsidR="00B941B6" w:rsidTr="00FD4CAC" w14:paraId="15248FF9" w14:textId="77777777">
        <w:trPr>
          <w:trHeight w:val="231"/>
        </w:trPr>
        <w:tc>
          <w:tcPr>
            <w:tcW w:w="3032" w:type="dxa"/>
            <w:tcBorders>
              <w:top w:val="single" w:color="auto" w:sz="8" w:space="0"/>
              <w:left w:val="single" w:color="auto" w:sz="8" w:space="0"/>
              <w:bottom w:val="single" w:color="auto" w:sz="8" w:space="0"/>
              <w:right w:val="single" w:color="auto" w:sz="8" w:space="0"/>
            </w:tcBorders>
            <w:shd w:val="clear" w:color="auto" w:fill="4BACC6" w:themeFill="accent5"/>
            <w:tcMar>
              <w:top w:w="0" w:type="dxa"/>
              <w:left w:w="108" w:type="dxa"/>
              <w:bottom w:w="0" w:type="dxa"/>
              <w:right w:w="108" w:type="dxa"/>
            </w:tcMar>
          </w:tcPr>
          <w:p w:rsidRPr="00C63AB8" w:rsidR="00B941B6" w:rsidP="00D3255C" w:rsidRDefault="00B941B6" w14:paraId="748FAB9A" w14:textId="77777777">
            <w:pPr>
              <w:keepNext/>
              <w:keepLines/>
              <w:rPr>
                <w:rFonts w:ascii="Arial Narrow" w:hAnsi="Arial Narrow"/>
                <w:b/>
                <w:color w:val="FFFFFF" w:themeColor="background1"/>
                <w:sz w:val="22"/>
                <w:szCs w:val="22"/>
              </w:rPr>
            </w:pPr>
            <w:r w:rsidRPr="00C63AB8">
              <w:rPr>
                <w:rFonts w:ascii="Arial Narrow" w:hAnsi="Arial Narrow"/>
                <w:b/>
                <w:color w:val="FFFFFF" w:themeColor="background1"/>
                <w:sz w:val="22"/>
                <w:szCs w:val="22"/>
              </w:rPr>
              <w:t>Study Name</w:t>
            </w:r>
          </w:p>
        </w:tc>
        <w:tc>
          <w:tcPr>
            <w:tcW w:w="2080" w:type="dxa"/>
            <w:tcBorders>
              <w:top w:val="single" w:color="auto" w:sz="8" w:space="0"/>
              <w:left w:val="single" w:color="auto" w:sz="8" w:space="0"/>
              <w:bottom w:val="single" w:color="auto" w:sz="8" w:space="0"/>
              <w:right w:val="single" w:color="auto" w:sz="8" w:space="0"/>
            </w:tcBorders>
            <w:shd w:val="clear" w:color="auto" w:fill="4BACC6" w:themeFill="accent5"/>
            <w:tcMar>
              <w:top w:w="0" w:type="dxa"/>
              <w:left w:w="108" w:type="dxa"/>
              <w:bottom w:w="0" w:type="dxa"/>
              <w:right w:w="108" w:type="dxa"/>
            </w:tcMar>
          </w:tcPr>
          <w:p w:rsidRPr="00C63AB8" w:rsidR="00B941B6" w:rsidP="00D3255C" w:rsidRDefault="00B941B6" w14:paraId="7E545D69" w14:textId="77777777">
            <w:pPr>
              <w:keepNext/>
              <w:keepLines/>
              <w:jc w:val="center"/>
              <w:rPr>
                <w:rFonts w:ascii="Arial Narrow" w:hAnsi="Arial Narrow"/>
                <w:b/>
                <w:color w:val="FFFFFF" w:themeColor="background1"/>
                <w:sz w:val="22"/>
                <w:szCs w:val="22"/>
              </w:rPr>
            </w:pPr>
            <w:r w:rsidRPr="00C63AB8">
              <w:rPr>
                <w:rFonts w:ascii="Arial Narrow" w:hAnsi="Arial Narrow"/>
                <w:b/>
                <w:color w:val="FFFFFF" w:themeColor="background1"/>
                <w:sz w:val="22"/>
                <w:szCs w:val="22"/>
              </w:rPr>
              <w:t>Total Burden Hours</w:t>
            </w:r>
          </w:p>
        </w:tc>
        <w:tc>
          <w:tcPr>
            <w:tcW w:w="2207" w:type="dxa"/>
            <w:tcBorders>
              <w:top w:val="single" w:color="auto" w:sz="8" w:space="0"/>
              <w:left w:val="single" w:color="auto" w:sz="8" w:space="0"/>
              <w:bottom w:val="single" w:color="auto" w:sz="8" w:space="0"/>
              <w:right w:val="single" w:color="auto" w:sz="8" w:space="0"/>
            </w:tcBorders>
            <w:shd w:val="clear" w:color="auto" w:fill="4BACC6" w:themeFill="accent5"/>
          </w:tcPr>
          <w:p w:rsidRPr="00C63AB8" w:rsidR="00B941B6" w:rsidP="00D3255C" w:rsidRDefault="00B941B6" w14:paraId="05908AAC" w14:textId="77777777">
            <w:pPr>
              <w:keepNext/>
              <w:keepLines/>
              <w:jc w:val="center"/>
              <w:rPr>
                <w:rFonts w:ascii="Arial Narrow" w:hAnsi="Arial Narrow"/>
                <w:b/>
                <w:color w:val="FFFFFF" w:themeColor="background1"/>
                <w:sz w:val="22"/>
                <w:szCs w:val="22"/>
              </w:rPr>
            </w:pPr>
            <w:r w:rsidRPr="00C63AB8">
              <w:rPr>
                <w:rFonts w:ascii="Arial Narrow" w:hAnsi="Arial Narrow"/>
                <w:b/>
                <w:color w:val="FFFFFF" w:themeColor="background1"/>
                <w:sz w:val="22"/>
                <w:szCs w:val="22"/>
              </w:rPr>
              <w:t>Total Wage Burden</w:t>
            </w:r>
          </w:p>
        </w:tc>
      </w:tr>
      <w:tr w:rsidRPr="00C63AB8" w:rsidR="00B941B6" w:rsidTr="00FD4CAC" w14:paraId="0A132EB8" w14:textId="77777777">
        <w:trPr>
          <w:trHeight w:val="231"/>
        </w:trPr>
        <w:tc>
          <w:tcPr>
            <w:tcW w:w="30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C63AB8" w:rsidR="00B941B6" w:rsidP="00D3255C" w:rsidRDefault="00B941B6" w14:paraId="36B412BB" w14:textId="46641B79">
            <w:pPr>
              <w:keepNext/>
              <w:keepLines/>
              <w:jc w:val="center"/>
              <w:rPr>
                <w:rFonts w:ascii="Arial Narrow" w:hAnsi="Arial Narrow"/>
                <w:sz w:val="22"/>
                <w:szCs w:val="22"/>
              </w:rPr>
            </w:pPr>
            <w:r w:rsidRPr="00C63AB8">
              <w:rPr>
                <w:rFonts w:ascii="Arial Narrow" w:hAnsi="Arial Narrow"/>
                <w:sz w:val="22"/>
                <w:szCs w:val="22"/>
              </w:rPr>
              <w:t xml:space="preserve">Enhancing </w:t>
            </w:r>
            <w:r w:rsidR="00F71FB6">
              <w:rPr>
                <w:rFonts w:ascii="Arial Narrow" w:hAnsi="Arial Narrow"/>
                <w:sz w:val="22"/>
                <w:szCs w:val="22"/>
              </w:rPr>
              <w:t xml:space="preserve">STI </w:t>
            </w:r>
            <w:r w:rsidRPr="00C63AB8">
              <w:rPr>
                <w:rFonts w:ascii="Arial Narrow" w:hAnsi="Arial Narrow"/>
                <w:sz w:val="22"/>
                <w:szCs w:val="22"/>
              </w:rPr>
              <w:t>Linkage Evaluation</w:t>
            </w:r>
          </w:p>
        </w:tc>
        <w:tc>
          <w:tcPr>
            <w:tcW w:w="20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C63AB8" w:rsidR="00B941B6" w:rsidP="00D3255C" w:rsidRDefault="00663281" w14:paraId="5DCC56F6" w14:textId="646FCB6F">
            <w:pPr>
              <w:keepNext/>
              <w:keepLines/>
              <w:jc w:val="center"/>
              <w:rPr>
                <w:rFonts w:ascii="Arial Narrow" w:hAnsi="Arial Narrow"/>
                <w:sz w:val="22"/>
                <w:szCs w:val="22"/>
              </w:rPr>
            </w:pPr>
            <w:r>
              <w:rPr>
                <w:rFonts w:ascii="Arial Narrow" w:hAnsi="Arial Narrow"/>
                <w:color w:val="000000"/>
                <w:sz w:val="22"/>
                <w:szCs w:val="22"/>
              </w:rPr>
              <w:t>80</w:t>
            </w:r>
          </w:p>
        </w:tc>
        <w:tc>
          <w:tcPr>
            <w:tcW w:w="2207" w:type="dxa"/>
            <w:tcBorders>
              <w:top w:val="single" w:color="auto" w:sz="8" w:space="0"/>
              <w:left w:val="single" w:color="auto" w:sz="8" w:space="0"/>
              <w:bottom w:val="single" w:color="auto" w:sz="8" w:space="0"/>
              <w:right w:val="single" w:color="auto" w:sz="8" w:space="0"/>
            </w:tcBorders>
          </w:tcPr>
          <w:p w:rsidRPr="00C63AB8" w:rsidR="00B941B6" w:rsidP="00663281" w:rsidRDefault="00663281" w14:paraId="03310180" w14:textId="2F4986C2">
            <w:pPr>
              <w:keepNext/>
              <w:keepLines/>
              <w:jc w:val="center"/>
              <w:rPr>
                <w:rFonts w:ascii="Arial Narrow" w:hAnsi="Arial Narrow"/>
                <w:color w:val="000000"/>
                <w:sz w:val="22"/>
                <w:szCs w:val="22"/>
              </w:rPr>
            </w:pPr>
            <w:r>
              <w:rPr>
                <w:rFonts w:ascii="Arial Narrow" w:hAnsi="Arial Narrow"/>
                <w:color w:val="000000"/>
                <w:sz w:val="22"/>
                <w:szCs w:val="22"/>
              </w:rPr>
              <w:t>$3,822.38</w:t>
            </w:r>
          </w:p>
        </w:tc>
      </w:tr>
    </w:tbl>
    <w:p w:rsidR="00ED2739" w:rsidP="00ED2739" w:rsidRDefault="00ED2739" w14:paraId="1A414B3C" w14:textId="77777777">
      <w:pPr>
        <w:widowControl/>
        <w:tabs>
          <w:tab w:val="num" w:pos="720"/>
        </w:tabs>
        <w:spacing w:before="120"/>
        <w:rPr>
          <w:rFonts w:ascii="Arial" w:hAnsi="Arial" w:cs="Arial"/>
          <w:b/>
          <w:sz w:val="28"/>
          <w:szCs w:val="28"/>
        </w:rPr>
      </w:pPr>
    </w:p>
    <w:p w:rsidR="00F97DB7" w:rsidRDefault="00F97DB7" w14:paraId="36EC3B0F" w14:textId="77777777">
      <w:pPr>
        <w:widowControl/>
        <w:autoSpaceDE/>
        <w:autoSpaceDN/>
        <w:adjustRightInd/>
        <w:rPr>
          <w:rFonts w:ascii="Arial" w:hAnsi="Arial" w:cs="Arial"/>
          <w:b/>
          <w:sz w:val="28"/>
          <w:szCs w:val="28"/>
        </w:rPr>
      </w:pPr>
      <w:r>
        <w:rPr>
          <w:rFonts w:ascii="Arial" w:hAnsi="Arial" w:cs="Arial"/>
          <w:b/>
          <w:sz w:val="28"/>
          <w:szCs w:val="28"/>
        </w:rPr>
        <w:br w:type="page"/>
      </w:r>
    </w:p>
    <w:p w:rsidR="00ED2739" w:rsidP="00ED2739" w:rsidRDefault="008C37FA" w14:paraId="55EFF0CC" w14:textId="2968DCD2">
      <w:pPr>
        <w:widowControl/>
        <w:tabs>
          <w:tab w:val="num" w:pos="720"/>
        </w:tabs>
        <w:spacing w:before="120"/>
        <w:rPr>
          <w:rFonts w:ascii="Arial" w:hAnsi="Arial" w:cs="Arial"/>
          <w:b/>
          <w:sz w:val="24"/>
        </w:rPr>
      </w:pPr>
      <w:r>
        <w:rPr>
          <w:rFonts w:ascii="Arial" w:hAnsi="Arial" w:cs="Arial"/>
          <w:b/>
          <w:sz w:val="28"/>
          <w:szCs w:val="28"/>
        </w:rPr>
        <w:lastRenderedPageBreak/>
        <w:t>1</w:t>
      </w:r>
      <w:r w:rsidRPr="00C45431" w:rsidR="00ED2739">
        <w:rPr>
          <w:rFonts w:ascii="Arial" w:hAnsi="Arial" w:cs="Arial"/>
          <w:b/>
          <w:sz w:val="28"/>
          <w:szCs w:val="28"/>
        </w:rPr>
        <w:t>2A.</w:t>
      </w:r>
      <w:r w:rsidRPr="00C45431" w:rsidR="00ED2739">
        <w:rPr>
          <w:rFonts w:ascii="Arial" w:hAnsi="Arial" w:cs="Arial"/>
          <w:sz w:val="24"/>
        </w:rPr>
        <w:t xml:space="preserve">        </w:t>
      </w:r>
      <w:r w:rsidRPr="00C45431" w:rsidR="00ED2739">
        <w:rPr>
          <w:rFonts w:ascii="Arial" w:hAnsi="Arial" w:cs="Arial"/>
          <w:b/>
          <w:sz w:val="24"/>
        </w:rPr>
        <w:t>Estimated Annualized Burden Hours</w:t>
      </w:r>
    </w:p>
    <w:p w:rsidR="00C32963" w:rsidP="005474C8" w:rsidRDefault="00C32963" w14:paraId="0A904B3F" w14:textId="77777777">
      <w:pPr>
        <w:widowControl/>
        <w:tabs>
          <w:tab w:val="num" w:pos="720"/>
        </w:tabs>
        <w:rPr>
          <w:sz w:val="24"/>
        </w:rPr>
      </w:pPr>
    </w:p>
    <w:p w:rsidR="00ED45E1" w:rsidP="00FD4CAC" w:rsidRDefault="00C32963" w14:paraId="6D957B5E" w14:textId="60D3931C">
      <w:pPr>
        <w:widowControl/>
        <w:tabs>
          <w:tab w:val="num" w:pos="720"/>
        </w:tabs>
      </w:pPr>
      <w:r>
        <w:rPr>
          <w:sz w:val="24"/>
        </w:rPr>
        <w:t xml:space="preserve">In year one of the </w:t>
      </w:r>
      <w:r w:rsidRPr="00C63AB8">
        <w:rPr>
          <w:i/>
          <w:sz w:val="24"/>
        </w:rPr>
        <w:t xml:space="preserve">Enhancing </w:t>
      </w:r>
      <w:r w:rsidR="00F71FB6">
        <w:rPr>
          <w:i/>
          <w:sz w:val="24"/>
        </w:rPr>
        <w:t xml:space="preserve">STI </w:t>
      </w:r>
      <w:r w:rsidRPr="00C63AB8">
        <w:rPr>
          <w:i/>
          <w:sz w:val="24"/>
        </w:rPr>
        <w:t>Linkage</w:t>
      </w:r>
      <w:r>
        <w:rPr>
          <w:sz w:val="24"/>
        </w:rPr>
        <w:t xml:space="preserve"> evaluation, </w:t>
      </w:r>
      <w:r w:rsidR="00663281">
        <w:rPr>
          <w:sz w:val="24"/>
        </w:rPr>
        <w:t xml:space="preserve">individual, 60-minute </w:t>
      </w:r>
      <w:r>
        <w:rPr>
          <w:sz w:val="24"/>
        </w:rPr>
        <w:t xml:space="preserve">semi-structured interviews will be completed with </w:t>
      </w:r>
      <w:r w:rsidR="00EF04D7">
        <w:rPr>
          <w:sz w:val="24"/>
        </w:rPr>
        <w:t xml:space="preserve">up to </w:t>
      </w:r>
      <w:r w:rsidR="00855B50">
        <w:rPr>
          <w:sz w:val="24"/>
        </w:rPr>
        <w:t>eight</w:t>
      </w:r>
      <w:r>
        <w:rPr>
          <w:sz w:val="24"/>
        </w:rPr>
        <w:t xml:space="preserve"> jurisdiction TA recipients</w:t>
      </w:r>
      <w:r w:rsidR="00EF04D7">
        <w:rPr>
          <w:sz w:val="24"/>
        </w:rPr>
        <w:t xml:space="preserve"> (1-2 per jurisdiction)</w:t>
      </w:r>
      <w:r>
        <w:rPr>
          <w:sz w:val="24"/>
        </w:rPr>
        <w:t>. Because only one data collection activity will be implemented in year one, the total estimated bur</w:t>
      </w:r>
      <w:r w:rsidR="00855B50">
        <w:rPr>
          <w:sz w:val="24"/>
        </w:rPr>
        <w:t xml:space="preserve">den hour for this year is </w:t>
      </w:r>
      <w:r w:rsidR="00663281">
        <w:rPr>
          <w:sz w:val="24"/>
        </w:rPr>
        <w:t xml:space="preserve">8 </w:t>
      </w:r>
      <w:r w:rsidR="00855B50">
        <w:rPr>
          <w:sz w:val="24"/>
        </w:rPr>
        <w:t>hours.</w:t>
      </w:r>
    </w:p>
    <w:p w:rsidR="00F97DB7" w:rsidP="00AA2BA1" w:rsidRDefault="00F97DB7" w14:paraId="3AE99D54" w14:textId="77777777">
      <w:pPr>
        <w:pStyle w:val="BodyText"/>
        <w:spacing w:line="276" w:lineRule="auto"/>
        <w:rPr>
          <w:b/>
          <w:i/>
          <w:sz w:val="24"/>
        </w:rPr>
      </w:pPr>
    </w:p>
    <w:p w:rsidRPr="00AA2BA1" w:rsidR="00AA2BA1" w:rsidP="00AA2BA1" w:rsidRDefault="00AA2BA1" w14:paraId="04B9A521" w14:textId="4AB91F11">
      <w:pPr>
        <w:pStyle w:val="BodyText"/>
        <w:spacing w:line="276" w:lineRule="auto"/>
        <w:rPr>
          <w:b/>
          <w:i/>
          <w:sz w:val="24"/>
        </w:rPr>
      </w:pPr>
      <w:r w:rsidRPr="00AA2BA1">
        <w:rPr>
          <w:b/>
          <w:i/>
          <w:sz w:val="24"/>
        </w:rPr>
        <w:t xml:space="preserve">Exhibit </w:t>
      </w:r>
      <w:r w:rsidR="004865BE">
        <w:rPr>
          <w:b/>
          <w:i/>
          <w:sz w:val="24"/>
        </w:rPr>
        <w:t>6</w:t>
      </w:r>
      <w:r w:rsidRPr="00AA2BA1">
        <w:rPr>
          <w:b/>
          <w:i/>
          <w:sz w:val="24"/>
        </w:rPr>
        <w:t xml:space="preserve">. Annualized Burden </w:t>
      </w:r>
      <w:r w:rsidR="00AF38C5">
        <w:rPr>
          <w:b/>
          <w:i/>
          <w:sz w:val="24"/>
        </w:rPr>
        <w:t xml:space="preserve">Hours </w:t>
      </w:r>
      <w:r w:rsidRPr="00AA2BA1">
        <w:rPr>
          <w:b/>
          <w:i/>
          <w:sz w:val="24"/>
        </w:rPr>
        <w:t>Estimate – Year 1</w:t>
      </w:r>
    </w:p>
    <w:tbl>
      <w:tblPr>
        <w:tblpPr w:leftFromText="180" w:rightFromText="180" w:vertAnchor="text" w:horzAnchor="margin" w:tblpXSpec="center" w:tblpY="34"/>
        <w:tblW w:w="109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6"/>
        <w:gridCol w:w="16"/>
        <w:gridCol w:w="2041"/>
        <w:gridCol w:w="1359"/>
        <w:gridCol w:w="1506"/>
        <w:gridCol w:w="1566"/>
        <w:gridCol w:w="1566"/>
        <w:gridCol w:w="1359"/>
      </w:tblGrid>
      <w:tr w:rsidRPr="00AA2BA1" w:rsidR="00AD659A" w:rsidTr="00F97DB7" w14:paraId="325946DD" w14:textId="77777777">
        <w:trPr>
          <w:trHeight w:val="612"/>
        </w:trPr>
        <w:tc>
          <w:tcPr>
            <w:tcW w:w="1582" w:type="dxa"/>
            <w:gridSpan w:val="2"/>
            <w:shd w:val="clear" w:color="auto" w:fill="4BACC6" w:themeFill="accent5"/>
            <w:vAlign w:val="bottom"/>
          </w:tcPr>
          <w:p w:rsidRPr="00AA2BA1" w:rsidR="00AD659A" w:rsidP="00F97DB7" w:rsidRDefault="00AD659A" w14:paraId="70F59E32" w14:textId="77777777">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Type of</w:t>
            </w:r>
          </w:p>
          <w:p w:rsidRPr="00AA2BA1" w:rsidR="00AD659A" w:rsidP="00F97DB7" w:rsidRDefault="00AD659A" w14:paraId="605BCE63" w14:textId="6A49BFEC">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Respondent</w:t>
            </w:r>
          </w:p>
        </w:tc>
        <w:tc>
          <w:tcPr>
            <w:tcW w:w="2041" w:type="dxa"/>
            <w:shd w:val="clear" w:color="auto" w:fill="4BACC6" w:themeFill="accent5"/>
            <w:vAlign w:val="bottom"/>
          </w:tcPr>
          <w:p w:rsidRPr="00AA2BA1" w:rsidR="00AD659A" w:rsidP="00F97DB7" w:rsidRDefault="00AD659A" w14:paraId="3D09856E" w14:textId="77777777">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Form</w:t>
            </w:r>
          </w:p>
          <w:p w:rsidRPr="00AA2BA1" w:rsidR="00AD659A" w:rsidP="00F97DB7" w:rsidRDefault="00AD659A" w14:paraId="7D69A029" w14:textId="270AF445">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Name</w:t>
            </w:r>
          </w:p>
        </w:tc>
        <w:tc>
          <w:tcPr>
            <w:tcW w:w="1359" w:type="dxa"/>
            <w:shd w:val="clear" w:color="auto" w:fill="4BACC6" w:themeFill="accent5"/>
            <w:vAlign w:val="bottom"/>
          </w:tcPr>
          <w:p w:rsidRPr="00AA2BA1" w:rsidR="00AD659A" w:rsidP="00F97DB7" w:rsidRDefault="00AD659A" w14:paraId="198C391C" w14:textId="011B3C7B">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No. of Respondents</w:t>
            </w:r>
          </w:p>
        </w:tc>
        <w:tc>
          <w:tcPr>
            <w:tcW w:w="1506" w:type="dxa"/>
            <w:shd w:val="clear" w:color="auto" w:fill="4BACC6" w:themeFill="accent5"/>
            <w:vAlign w:val="bottom"/>
          </w:tcPr>
          <w:p w:rsidRPr="00AA2BA1" w:rsidR="00AD659A" w:rsidP="00F97DB7" w:rsidRDefault="00AD659A" w14:paraId="115D227C" w14:textId="63A73A8C">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No. Responses</w:t>
            </w:r>
          </w:p>
          <w:p w:rsidRPr="00AA2BA1" w:rsidR="00AD659A" w:rsidP="00F97DB7" w:rsidRDefault="00AD659A" w14:paraId="5D5C155B" w14:textId="10102DA6">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per Respondent</w:t>
            </w:r>
          </w:p>
        </w:tc>
        <w:tc>
          <w:tcPr>
            <w:tcW w:w="1566" w:type="dxa"/>
            <w:shd w:val="clear" w:color="auto" w:fill="4BACC6" w:themeFill="accent5"/>
            <w:vAlign w:val="bottom"/>
          </w:tcPr>
          <w:p w:rsidRPr="00AA2BA1" w:rsidR="00AD659A" w:rsidP="00F97DB7" w:rsidRDefault="00AD659A" w14:paraId="14205B2D" w14:textId="73414379">
            <w:pPr>
              <w:widowControl/>
              <w:tabs>
                <w:tab w:val="num" w:pos="1080"/>
              </w:tabs>
              <w:jc w:val="center"/>
              <w:rPr>
                <w:rFonts w:ascii="Arial Narrow" w:hAnsi="Arial Narrow" w:cs="Arial"/>
                <w:b/>
                <w:bCs/>
                <w:color w:val="FFFFFF" w:themeColor="background1"/>
                <w:sz w:val="22"/>
              </w:rPr>
            </w:pPr>
            <w:r>
              <w:rPr>
                <w:rFonts w:ascii="Arial Narrow" w:hAnsi="Arial Narrow" w:cs="Arial"/>
                <w:b/>
                <w:bCs/>
                <w:color w:val="FFFFFF" w:themeColor="background1"/>
                <w:sz w:val="22"/>
              </w:rPr>
              <w:t>Total Responses</w:t>
            </w:r>
          </w:p>
        </w:tc>
        <w:tc>
          <w:tcPr>
            <w:tcW w:w="1566" w:type="dxa"/>
            <w:shd w:val="clear" w:color="auto" w:fill="4BACC6" w:themeFill="accent5"/>
            <w:vAlign w:val="bottom"/>
          </w:tcPr>
          <w:p w:rsidRPr="00AA2BA1" w:rsidR="00AD659A" w:rsidP="00F97DB7" w:rsidRDefault="00AD659A" w14:paraId="06646A77" w14:textId="13D2AC15">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Average Burden per Response</w:t>
            </w:r>
          </w:p>
          <w:p w:rsidRPr="00AA2BA1" w:rsidR="00AD659A" w:rsidP="00F97DB7" w:rsidRDefault="00AD659A" w14:paraId="55550A1B" w14:textId="77777777">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(in hours)</w:t>
            </w:r>
          </w:p>
        </w:tc>
        <w:tc>
          <w:tcPr>
            <w:tcW w:w="1359" w:type="dxa"/>
            <w:shd w:val="clear" w:color="auto" w:fill="4BACC6" w:themeFill="accent5"/>
            <w:vAlign w:val="bottom"/>
          </w:tcPr>
          <w:p w:rsidRPr="00AA2BA1" w:rsidR="00AD659A" w:rsidP="00F97DB7" w:rsidRDefault="00AD659A" w14:paraId="3A719476" w14:textId="77777777">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Total Burden Hours</w:t>
            </w:r>
          </w:p>
        </w:tc>
      </w:tr>
      <w:tr w:rsidRPr="000B1F25" w:rsidR="00AD659A" w:rsidTr="00AD659A" w14:paraId="67B3F5E9" w14:textId="77777777">
        <w:trPr>
          <w:trHeight w:val="223"/>
        </w:trPr>
        <w:tc>
          <w:tcPr>
            <w:tcW w:w="1566" w:type="dxa"/>
            <w:shd w:val="clear" w:color="auto" w:fill="BFBFBF" w:themeFill="background1" w:themeFillShade="BF"/>
          </w:tcPr>
          <w:p w:rsidRPr="00020113" w:rsidR="00AD659A" w:rsidP="00996440" w:rsidRDefault="00AD659A" w14:paraId="6C78CF37" w14:textId="77777777">
            <w:pPr>
              <w:widowControl/>
              <w:tabs>
                <w:tab w:val="num" w:pos="1080"/>
              </w:tabs>
              <w:spacing w:before="120"/>
              <w:jc w:val="center"/>
              <w:rPr>
                <w:rFonts w:ascii="Arial Narrow" w:hAnsi="Arial Narrow" w:cs="Arial"/>
                <w:b/>
                <w:bCs/>
                <w:i/>
                <w:sz w:val="22"/>
              </w:rPr>
            </w:pPr>
          </w:p>
        </w:tc>
        <w:tc>
          <w:tcPr>
            <w:tcW w:w="9413" w:type="dxa"/>
            <w:gridSpan w:val="7"/>
            <w:shd w:val="clear" w:color="auto" w:fill="BFBFBF" w:themeFill="background1" w:themeFillShade="BF"/>
            <w:vAlign w:val="center"/>
          </w:tcPr>
          <w:p w:rsidRPr="00020113" w:rsidR="00AD659A" w:rsidP="00996440" w:rsidRDefault="00AD659A" w14:paraId="4962A07F" w14:textId="38569401">
            <w:pPr>
              <w:widowControl/>
              <w:tabs>
                <w:tab w:val="num" w:pos="1080"/>
              </w:tabs>
              <w:spacing w:before="120"/>
              <w:jc w:val="center"/>
              <w:rPr>
                <w:rFonts w:ascii="Arial Narrow" w:hAnsi="Arial Narrow" w:cs="Arial"/>
                <w:b/>
                <w:bCs/>
                <w:i/>
                <w:sz w:val="22"/>
              </w:rPr>
            </w:pPr>
            <w:r w:rsidRPr="00020113">
              <w:rPr>
                <w:rFonts w:ascii="Arial Narrow" w:hAnsi="Arial Narrow" w:cs="Arial"/>
                <w:b/>
                <w:bCs/>
                <w:i/>
                <w:sz w:val="22"/>
              </w:rPr>
              <w:t>Activit</w:t>
            </w:r>
            <w:r>
              <w:rPr>
                <w:rFonts w:ascii="Arial Narrow" w:hAnsi="Arial Narrow" w:cs="Arial"/>
                <w:b/>
                <w:bCs/>
                <w:i/>
                <w:sz w:val="22"/>
              </w:rPr>
              <w:t xml:space="preserve">ies Requiring </w:t>
            </w:r>
            <w:r w:rsidRPr="00020113">
              <w:rPr>
                <w:rFonts w:ascii="Arial Narrow" w:hAnsi="Arial Narrow" w:cs="Arial"/>
                <w:b/>
                <w:bCs/>
                <w:i/>
                <w:sz w:val="22"/>
              </w:rPr>
              <w:t>OMB Approval</w:t>
            </w:r>
            <w:r>
              <w:rPr>
                <w:rFonts w:ascii="Arial Narrow" w:hAnsi="Arial Narrow" w:cs="Arial"/>
                <w:b/>
                <w:bCs/>
                <w:i/>
                <w:sz w:val="22"/>
              </w:rPr>
              <w:t xml:space="preserve"> (n &gt;10 for each form in Years 2 and 3)</w:t>
            </w:r>
          </w:p>
        </w:tc>
      </w:tr>
      <w:tr w:rsidRPr="000B1F25" w:rsidR="00AD659A" w:rsidTr="00AD659A" w14:paraId="1F15630F" w14:textId="77777777">
        <w:trPr>
          <w:trHeight w:val="223"/>
        </w:trPr>
        <w:tc>
          <w:tcPr>
            <w:tcW w:w="1582" w:type="dxa"/>
            <w:gridSpan w:val="2"/>
            <w:vAlign w:val="center"/>
          </w:tcPr>
          <w:p w:rsidRPr="000B1F25" w:rsidR="00AD659A" w:rsidP="00996440" w:rsidRDefault="00AD659A" w14:paraId="08564E80" w14:textId="77777777">
            <w:pPr>
              <w:widowControl/>
              <w:tabs>
                <w:tab w:val="num" w:pos="1080"/>
              </w:tabs>
              <w:spacing w:before="120"/>
              <w:rPr>
                <w:rFonts w:ascii="Arial Narrow" w:hAnsi="Arial Narrow" w:cs="Arial"/>
                <w:sz w:val="22"/>
              </w:rPr>
            </w:pPr>
            <w:r>
              <w:rPr>
                <w:rFonts w:ascii="Arial Narrow" w:hAnsi="Arial Narrow" w:cs="Arial"/>
                <w:b/>
                <w:bCs/>
                <w:sz w:val="22"/>
              </w:rPr>
              <w:t>Jurisdiction TA Recipient</w:t>
            </w:r>
          </w:p>
        </w:tc>
        <w:tc>
          <w:tcPr>
            <w:tcW w:w="2041" w:type="dxa"/>
            <w:vAlign w:val="center"/>
          </w:tcPr>
          <w:p w:rsidRPr="001A63E9" w:rsidR="00AD659A" w:rsidP="00996440" w:rsidRDefault="00AD659A" w14:paraId="720E2863" w14:textId="07540217">
            <w:pPr>
              <w:tabs>
                <w:tab w:val="num" w:pos="1080"/>
              </w:tabs>
              <w:spacing w:before="120"/>
              <w:jc w:val="center"/>
              <w:rPr>
                <w:rFonts w:ascii="Arial Narrow" w:hAnsi="Arial Narrow" w:cs="Arial"/>
                <w:bCs/>
                <w:sz w:val="22"/>
              </w:rPr>
            </w:pPr>
            <w:r w:rsidRPr="001A63E9">
              <w:rPr>
                <w:rFonts w:ascii="Arial Narrow" w:hAnsi="Arial Narrow"/>
                <w:sz w:val="22"/>
              </w:rPr>
              <w:t>Jurisdiction TA Recipient  Semi-Structured Interview Guide</w:t>
            </w:r>
          </w:p>
        </w:tc>
        <w:tc>
          <w:tcPr>
            <w:tcW w:w="1359" w:type="dxa"/>
            <w:vAlign w:val="center"/>
          </w:tcPr>
          <w:p w:rsidRPr="0078630D" w:rsidR="00AD659A" w:rsidP="00996440" w:rsidRDefault="00AD659A" w14:paraId="24305E65" w14:textId="77777777">
            <w:pPr>
              <w:widowControl/>
              <w:tabs>
                <w:tab w:val="num" w:pos="1080"/>
              </w:tabs>
              <w:spacing w:before="120"/>
              <w:jc w:val="right"/>
              <w:rPr>
                <w:rFonts w:ascii="Arial Narrow" w:hAnsi="Arial Narrow" w:cs="Arial"/>
                <w:bCs/>
                <w:sz w:val="22"/>
              </w:rPr>
            </w:pPr>
            <w:r>
              <w:rPr>
                <w:rFonts w:ascii="Arial Narrow" w:hAnsi="Arial Narrow" w:cs="Arial"/>
                <w:bCs/>
                <w:sz w:val="22"/>
              </w:rPr>
              <w:t>8</w:t>
            </w:r>
          </w:p>
        </w:tc>
        <w:tc>
          <w:tcPr>
            <w:tcW w:w="1506" w:type="dxa"/>
            <w:vAlign w:val="center"/>
          </w:tcPr>
          <w:p w:rsidRPr="0078630D" w:rsidR="00AD659A" w:rsidP="00996440" w:rsidRDefault="00AD659A" w14:paraId="6EA2090D" w14:textId="77777777">
            <w:pPr>
              <w:widowControl/>
              <w:tabs>
                <w:tab w:val="num" w:pos="1080"/>
              </w:tabs>
              <w:spacing w:before="120"/>
              <w:jc w:val="right"/>
              <w:rPr>
                <w:rFonts w:ascii="Arial Narrow" w:hAnsi="Arial Narrow" w:cs="Arial"/>
                <w:bCs/>
                <w:sz w:val="22"/>
              </w:rPr>
            </w:pPr>
            <w:r w:rsidRPr="0078630D">
              <w:rPr>
                <w:rFonts w:ascii="Arial Narrow" w:hAnsi="Arial Narrow" w:cs="Arial"/>
                <w:bCs/>
                <w:sz w:val="22"/>
              </w:rPr>
              <w:t>1</w:t>
            </w:r>
          </w:p>
        </w:tc>
        <w:tc>
          <w:tcPr>
            <w:tcW w:w="1566" w:type="dxa"/>
            <w:vAlign w:val="center"/>
          </w:tcPr>
          <w:p w:rsidRPr="0078630D" w:rsidR="00AD659A" w:rsidP="00996440" w:rsidRDefault="00AD659A" w14:paraId="62BBCBB4" w14:textId="15DE056F">
            <w:pPr>
              <w:widowControl/>
              <w:tabs>
                <w:tab w:val="num" w:pos="1080"/>
              </w:tabs>
              <w:spacing w:before="120"/>
              <w:jc w:val="right"/>
              <w:rPr>
                <w:rFonts w:ascii="Arial Narrow" w:hAnsi="Arial Narrow" w:cs="Arial"/>
                <w:bCs/>
                <w:sz w:val="22"/>
              </w:rPr>
            </w:pPr>
            <w:r>
              <w:rPr>
                <w:rFonts w:ascii="Arial Narrow" w:hAnsi="Arial Narrow" w:cs="Arial"/>
                <w:bCs/>
                <w:sz w:val="22"/>
              </w:rPr>
              <w:t>8</w:t>
            </w:r>
          </w:p>
        </w:tc>
        <w:tc>
          <w:tcPr>
            <w:tcW w:w="1566" w:type="dxa"/>
            <w:vAlign w:val="center"/>
          </w:tcPr>
          <w:p w:rsidRPr="0078630D" w:rsidR="00AD659A" w:rsidP="00996440" w:rsidRDefault="00AD659A" w14:paraId="5942390C" w14:textId="71B25D8D">
            <w:pPr>
              <w:widowControl/>
              <w:tabs>
                <w:tab w:val="num" w:pos="1080"/>
              </w:tabs>
              <w:spacing w:before="120"/>
              <w:jc w:val="right"/>
              <w:rPr>
                <w:rFonts w:ascii="Arial Narrow" w:hAnsi="Arial Narrow" w:cs="Arial"/>
                <w:bCs/>
                <w:sz w:val="22"/>
              </w:rPr>
            </w:pPr>
            <w:r w:rsidRPr="0078630D">
              <w:rPr>
                <w:rFonts w:ascii="Arial Narrow" w:hAnsi="Arial Narrow" w:cs="Arial"/>
                <w:bCs/>
                <w:sz w:val="22"/>
              </w:rPr>
              <w:t>1</w:t>
            </w:r>
          </w:p>
        </w:tc>
        <w:tc>
          <w:tcPr>
            <w:tcW w:w="1359" w:type="dxa"/>
            <w:vAlign w:val="center"/>
          </w:tcPr>
          <w:p w:rsidRPr="0078630D" w:rsidR="00AD659A" w:rsidP="00996440" w:rsidRDefault="00AD659A" w14:paraId="5C936EFA" w14:textId="77777777">
            <w:pPr>
              <w:widowControl/>
              <w:tabs>
                <w:tab w:val="num" w:pos="1080"/>
              </w:tabs>
              <w:spacing w:before="120"/>
              <w:jc w:val="right"/>
              <w:rPr>
                <w:rFonts w:ascii="Arial Narrow" w:hAnsi="Arial Narrow" w:cs="Arial"/>
                <w:bCs/>
                <w:sz w:val="22"/>
              </w:rPr>
            </w:pPr>
            <w:r>
              <w:rPr>
                <w:rFonts w:ascii="Arial Narrow" w:hAnsi="Arial Narrow" w:cs="Arial"/>
                <w:bCs/>
                <w:sz w:val="22"/>
              </w:rPr>
              <w:t>8</w:t>
            </w:r>
          </w:p>
        </w:tc>
      </w:tr>
      <w:tr w:rsidRPr="000B1F25" w:rsidR="001A63E9" w:rsidTr="00AD659A" w14:paraId="1A442482" w14:textId="77777777">
        <w:trPr>
          <w:trHeight w:val="223"/>
        </w:trPr>
        <w:tc>
          <w:tcPr>
            <w:tcW w:w="1582" w:type="dxa"/>
            <w:gridSpan w:val="2"/>
            <w:vAlign w:val="center"/>
          </w:tcPr>
          <w:p w:rsidR="001A63E9" w:rsidP="00996440" w:rsidRDefault="001A63E9" w14:paraId="68BEB76F" w14:textId="51D1650A">
            <w:pPr>
              <w:widowControl/>
              <w:tabs>
                <w:tab w:val="num" w:pos="1080"/>
              </w:tabs>
              <w:spacing w:before="120"/>
              <w:rPr>
                <w:rFonts w:ascii="Arial Narrow" w:hAnsi="Arial Narrow" w:cs="Arial"/>
                <w:b/>
                <w:bCs/>
                <w:sz w:val="22"/>
              </w:rPr>
            </w:pPr>
          </w:p>
        </w:tc>
        <w:tc>
          <w:tcPr>
            <w:tcW w:w="2041" w:type="dxa"/>
            <w:vAlign w:val="center"/>
          </w:tcPr>
          <w:p w:rsidRPr="001A63E9" w:rsidR="001A63E9" w:rsidP="00996440" w:rsidRDefault="001A63E9" w14:paraId="77901AAD" w14:textId="4EE32F29">
            <w:pPr>
              <w:tabs>
                <w:tab w:val="num" w:pos="1080"/>
              </w:tabs>
              <w:spacing w:before="120"/>
              <w:jc w:val="center"/>
              <w:rPr>
                <w:rFonts w:ascii="Arial Narrow" w:hAnsi="Arial Narrow"/>
                <w:sz w:val="22"/>
              </w:rPr>
            </w:pPr>
            <w:r w:rsidRPr="001A63E9">
              <w:rPr>
                <w:rFonts w:ascii="Arial Narrow" w:hAnsi="Arial Narrow"/>
                <w:sz w:val="22"/>
              </w:rPr>
              <w:t>Total</w:t>
            </w:r>
          </w:p>
        </w:tc>
        <w:tc>
          <w:tcPr>
            <w:tcW w:w="1359" w:type="dxa"/>
            <w:vAlign w:val="center"/>
          </w:tcPr>
          <w:p w:rsidR="001A63E9" w:rsidP="00996440" w:rsidRDefault="006C4152" w14:paraId="6E5C5AA0" w14:textId="3B0E620F">
            <w:pPr>
              <w:widowControl/>
              <w:tabs>
                <w:tab w:val="num" w:pos="1080"/>
              </w:tabs>
              <w:spacing w:before="120"/>
              <w:jc w:val="right"/>
              <w:rPr>
                <w:rFonts w:ascii="Arial Narrow" w:hAnsi="Arial Narrow" w:cs="Arial"/>
                <w:bCs/>
                <w:sz w:val="22"/>
              </w:rPr>
            </w:pPr>
            <w:r>
              <w:rPr>
                <w:rFonts w:ascii="Arial Narrow" w:hAnsi="Arial Narrow" w:cs="Arial"/>
                <w:bCs/>
                <w:sz w:val="22"/>
              </w:rPr>
              <w:t>8</w:t>
            </w:r>
          </w:p>
        </w:tc>
        <w:tc>
          <w:tcPr>
            <w:tcW w:w="1506" w:type="dxa"/>
            <w:vAlign w:val="center"/>
          </w:tcPr>
          <w:p w:rsidRPr="0078630D" w:rsidR="001A63E9" w:rsidP="00996440" w:rsidRDefault="001A63E9" w14:paraId="680DAF06" w14:textId="77777777">
            <w:pPr>
              <w:widowControl/>
              <w:tabs>
                <w:tab w:val="num" w:pos="1080"/>
              </w:tabs>
              <w:spacing w:before="120"/>
              <w:jc w:val="right"/>
              <w:rPr>
                <w:rFonts w:ascii="Arial Narrow" w:hAnsi="Arial Narrow" w:cs="Arial"/>
                <w:bCs/>
                <w:sz w:val="22"/>
              </w:rPr>
            </w:pPr>
          </w:p>
        </w:tc>
        <w:tc>
          <w:tcPr>
            <w:tcW w:w="1566" w:type="dxa"/>
            <w:vAlign w:val="center"/>
          </w:tcPr>
          <w:p w:rsidR="001A63E9" w:rsidP="00996440" w:rsidRDefault="006C4152" w14:paraId="70005F9B" w14:textId="180DF84D">
            <w:pPr>
              <w:widowControl/>
              <w:tabs>
                <w:tab w:val="num" w:pos="1080"/>
              </w:tabs>
              <w:spacing w:before="120"/>
              <w:jc w:val="right"/>
              <w:rPr>
                <w:rFonts w:ascii="Arial Narrow" w:hAnsi="Arial Narrow" w:cs="Arial"/>
                <w:bCs/>
                <w:sz w:val="22"/>
              </w:rPr>
            </w:pPr>
            <w:r>
              <w:rPr>
                <w:rFonts w:ascii="Arial Narrow" w:hAnsi="Arial Narrow" w:cs="Arial"/>
                <w:bCs/>
                <w:sz w:val="22"/>
              </w:rPr>
              <w:t>8</w:t>
            </w:r>
          </w:p>
        </w:tc>
        <w:tc>
          <w:tcPr>
            <w:tcW w:w="1566" w:type="dxa"/>
            <w:vAlign w:val="center"/>
          </w:tcPr>
          <w:p w:rsidRPr="0078630D" w:rsidR="001A63E9" w:rsidP="00996440" w:rsidRDefault="001A63E9" w14:paraId="5960A2C3" w14:textId="77777777">
            <w:pPr>
              <w:widowControl/>
              <w:tabs>
                <w:tab w:val="num" w:pos="1080"/>
              </w:tabs>
              <w:spacing w:before="120"/>
              <w:jc w:val="right"/>
              <w:rPr>
                <w:rFonts w:ascii="Arial Narrow" w:hAnsi="Arial Narrow" w:cs="Arial"/>
                <w:bCs/>
                <w:sz w:val="22"/>
              </w:rPr>
            </w:pPr>
          </w:p>
        </w:tc>
        <w:tc>
          <w:tcPr>
            <w:tcW w:w="1359" w:type="dxa"/>
            <w:vAlign w:val="center"/>
          </w:tcPr>
          <w:p w:rsidR="001A63E9" w:rsidP="00996440" w:rsidRDefault="001A63E9" w14:paraId="6B50EA94" w14:textId="17CD1762">
            <w:pPr>
              <w:widowControl/>
              <w:tabs>
                <w:tab w:val="num" w:pos="1080"/>
              </w:tabs>
              <w:spacing w:before="120"/>
              <w:jc w:val="right"/>
              <w:rPr>
                <w:rFonts w:ascii="Arial Narrow" w:hAnsi="Arial Narrow" w:cs="Arial"/>
                <w:bCs/>
                <w:sz w:val="22"/>
              </w:rPr>
            </w:pPr>
            <w:r>
              <w:rPr>
                <w:rFonts w:ascii="Arial Narrow" w:hAnsi="Arial Narrow" w:cs="Arial"/>
                <w:bCs/>
                <w:sz w:val="22"/>
              </w:rPr>
              <w:t>8</w:t>
            </w:r>
          </w:p>
        </w:tc>
      </w:tr>
    </w:tbl>
    <w:p w:rsidR="00855B50" w:rsidP="00855B50" w:rsidRDefault="00855B50" w14:paraId="209FA3E8" w14:textId="77777777">
      <w:pPr>
        <w:widowControl/>
        <w:tabs>
          <w:tab w:val="num" w:pos="720"/>
        </w:tabs>
        <w:rPr>
          <w:sz w:val="24"/>
        </w:rPr>
      </w:pPr>
    </w:p>
    <w:p w:rsidR="00855B50" w:rsidP="00855B50" w:rsidRDefault="00855B50" w14:paraId="34BBE6B8" w14:textId="42B7AB8D">
      <w:pPr>
        <w:widowControl/>
        <w:tabs>
          <w:tab w:val="num" w:pos="720"/>
        </w:tabs>
        <w:rPr>
          <w:sz w:val="24"/>
        </w:rPr>
      </w:pPr>
      <w:r>
        <w:rPr>
          <w:sz w:val="24"/>
        </w:rPr>
        <w:t xml:space="preserve">In years two and three of the </w:t>
      </w:r>
      <w:r w:rsidRPr="00C63AB8">
        <w:rPr>
          <w:i/>
          <w:sz w:val="24"/>
        </w:rPr>
        <w:t xml:space="preserve">Enhancing </w:t>
      </w:r>
      <w:r w:rsidR="00F71FB6">
        <w:rPr>
          <w:i/>
          <w:sz w:val="24"/>
        </w:rPr>
        <w:t xml:space="preserve">STI </w:t>
      </w:r>
      <w:r w:rsidRPr="00C63AB8">
        <w:rPr>
          <w:i/>
          <w:sz w:val="24"/>
        </w:rPr>
        <w:t>Linkage</w:t>
      </w:r>
      <w:r>
        <w:rPr>
          <w:sz w:val="24"/>
        </w:rPr>
        <w:t xml:space="preserve"> evaluation, additional data collection activities will be employed.</w:t>
      </w:r>
      <w:r w:rsidR="00F97DB7">
        <w:rPr>
          <w:sz w:val="24"/>
        </w:rPr>
        <w:t xml:space="preserve"> </w:t>
      </w:r>
      <w:r>
        <w:rPr>
          <w:sz w:val="24"/>
        </w:rPr>
        <w:t xml:space="preserve"> These include </w:t>
      </w:r>
      <w:r w:rsidR="00663281">
        <w:rPr>
          <w:sz w:val="24"/>
        </w:rPr>
        <w:t xml:space="preserve">two </w:t>
      </w:r>
      <w:r>
        <w:rPr>
          <w:sz w:val="24"/>
        </w:rPr>
        <w:t>types of semi-structured interviews with the the jurisdiction TA recipient</w:t>
      </w:r>
      <w:r w:rsidR="00EF04D7">
        <w:rPr>
          <w:sz w:val="24"/>
        </w:rPr>
        <w:t>s</w:t>
      </w:r>
      <w:r>
        <w:rPr>
          <w:sz w:val="24"/>
        </w:rPr>
        <w:t xml:space="preserve"> (</w:t>
      </w:r>
      <w:r w:rsidR="00EF04D7">
        <w:rPr>
          <w:sz w:val="24"/>
        </w:rPr>
        <w:t>twelve</w:t>
      </w:r>
      <w:r w:rsidR="00D6396E">
        <w:rPr>
          <w:sz w:val="24"/>
        </w:rPr>
        <w:t xml:space="preserve"> </w:t>
      </w:r>
      <w:r>
        <w:rPr>
          <w:sz w:val="24"/>
        </w:rPr>
        <w:t>60-minute, individual interviews</w:t>
      </w:r>
      <w:r w:rsidR="00D6396E">
        <w:rPr>
          <w:sz w:val="24"/>
        </w:rPr>
        <w:t xml:space="preserve"> per year</w:t>
      </w:r>
      <w:r>
        <w:rPr>
          <w:sz w:val="24"/>
        </w:rPr>
        <w:t>), and the policy stakeholders</w:t>
      </w:r>
      <w:r w:rsidR="00D6396E">
        <w:rPr>
          <w:sz w:val="24"/>
        </w:rPr>
        <w:t xml:space="preserve"> (twelve 30-minute individual interviews per year). </w:t>
      </w:r>
      <w:r w:rsidR="00F97DB7">
        <w:rPr>
          <w:sz w:val="24"/>
        </w:rPr>
        <w:t xml:space="preserve"> </w:t>
      </w:r>
      <w:r w:rsidR="00D6396E">
        <w:rPr>
          <w:sz w:val="24"/>
        </w:rPr>
        <w:t xml:space="preserve">A 10-minute, electronic </w:t>
      </w:r>
      <w:r>
        <w:rPr>
          <w:sz w:val="24"/>
        </w:rPr>
        <w:t>data end-user survey</w:t>
      </w:r>
      <w:r w:rsidR="00D6396E">
        <w:rPr>
          <w:sz w:val="24"/>
        </w:rPr>
        <w:t xml:space="preserve"> will be collected two times per year from 105 </w:t>
      </w:r>
      <w:r w:rsidR="00EF04D7">
        <w:rPr>
          <w:sz w:val="24"/>
        </w:rPr>
        <w:t xml:space="preserve">expected </w:t>
      </w:r>
      <w:r w:rsidR="00D6396E">
        <w:rPr>
          <w:sz w:val="24"/>
        </w:rPr>
        <w:t xml:space="preserve">respondents across the four jurisdictions. </w:t>
      </w:r>
      <w:r w:rsidR="00F97DB7">
        <w:rPr>
          <w:sz w:val="24"/>
        </w:rPr>
        <w:t xml:space="preserve"> </w:t>
      </w:r>
      <w:r w:rsidR="007E030C">
        <w:rPr>
          <w:sz w:val="24"/>
        </w:rPr>
        <w:t xml:space="preserve">The combined total burden hours for years 2 and 3 is </w:t>
      </w:r>
      <w:r w:rsidR="00663281">
        <w:rPr>
          <w:sz w:val="24"/>
        </w:rPr>
        <w:t xml:space="preserve">72 </w:t>
      </w:r>
      <w:r w:rsidR="007E030C">
        <w:rPr>
          <w:sz w:val="24"/>
        </w:rPr>
        <w:t>hours.</w:t>
      </w:r>
    </w:p>
    <w:p w:rsidR="00067B31" w:rsidP="00AA2BA1" w:rsidRDefault="00067B31" w14:paraId="0B396381" w14:textId="77777777">
      <w:pPr>
        <w:pStyle w:val="BodyText"/>
        <w:spacing w:line="276" w:lineRule="auto"/>
        <w:rPr>
          <w:b/>
          <w:i/>
          <w:sz w:val="24"/>
        </w:rPr>
      </w:pPr>
    </w:p>
    <w:p w:rsidRPr="0078630D" w:rsidR="00617998" w:rsidP="00AA2BA1" w:rsidRDefault="00AA2BA1" w14:paraId="6EABAED5" w14:textId="6B99ED81">
      <w:pPr>
        <w:pStyle w:val="BodyText"/>
        <w:spacing w:line="276" w:lineRule="auto"/>
        <w:rPr>
          <w:b/>
          <w:i/>
          <w:sz w:val="24"/>
        </w:rPr>
      </w:pPr>
      <w:r w:rsidRPr="0078630D">
        <w:rPr>
          <w:b/>
          <w:i/>
          <w:sz w:val="24"/>
        </w:rPr>
        <w:t xml:space="preserve">Exhibit </w:t>
      </w:r>
      <w:r w:rsidR="004865BE">
        <w:rPr>
          <w:b/>
          <w:i/>
          <w:sz w:val="24"/>
        </w:rPr>
        <w:t>7</w:t>
      </w:r>
      <w:r w:rsidR="005474C8">
        <w:rPr>
          <w:b/>
          <w:i/>
          <w:sz w:val="24"/>
        </w:rPr>
        <w:t xml:space="preserve">. </w:t>
      </w:r>
      <w:r w:rsidRPr="0078630D">
        <w:rPr>
          <w:b/>
          <w:i/>
          <w:sz w:val="24"/>
        </w:rPr>
        <w:t xml:space="preserve">Annualized Burden </w:t>
      </w:r>
      <w:r w:rsidR="00AF38C5">
        <w:rPr>
          <w:b/>
          <w:i/>
          <w:sz w:val="24"/>
        </w:rPr>
        <w:t xml:space="preserve">Hours </w:t>
      </w:r>
      <w:r w:rsidRPr="0078630D">
        <w:rPr>
          <w:b/>
          <w:i/>
          <w:sz w:val="24"/>
        </w:rPr>
        <w:t>Estimate – Year</w:t>
      </w:r>
      <w:r w:rsidR="000E1985">
        <w:rPr>
          <w:b/>
          <w:i/>
          <w:sz w:val="24"/>
        </w:rPr>
        <w:t>s</w:t>
      </w:r>
      <w:r w:rsidRPr="0078630D">
        <w:rPr>
          <w:b/>
          <w:i/>
          <w:sz w:val="24"/>
        </w:rPr>
        <w:t xml:space="preserve"> 2</w:t>
      </w:r>
      <w:r w:rsidR="000E1985">
        <w:rPr>
          <w:b/>
          <w:i/>
          <w:sz w:val="24"/>
        </w:rPr>
        <w:t xml:space="preserve"> and 3</w:t>
      </w:r>
    </w:p>
    <w:tbl>
      <w:tblPr>
        <w:tblpPr w:leftFromText="180" w:rightFromText="180" w:vertAnchor="text" w:horzAnchor="margin" w:tblpXSpec="center" w:tblpY="34"/>
        <w:tblW w:w="11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14"/>
        <w:gridCol w:w="1791"/>
        <w:gridCol w:w="1359"/>
        <w:gridCol w:w="1620"/>
        <w:gridCol w:w="1790"/>
        <w:gridCol w:w="1791"/>
        <w:gridCol w:w="1238"/>
      </w:tblGrid>
      <w:tr w:rsidRPr="00AA2BA1" w:rsidR="00617998" w:rsidTr="00F97DB7" w14:paraId="019D675C" w14:textId="77777777">
        <w:trPr>
          <w:trHeight w:val="612"/>
          <w:tblHeader/>
        </w:trPr>
        <w:tc>
          <w:tcPr>
            <w:tcW w:w="1614" w:type="dxa"/>
            <w:shd w:val="clear" w:color="auto" w:fill="4BACC6" w:themeFill="accent5"/>
            <w:vAlign w:val="bottom"/>
          </w:tcPr>
          <w:p w:rsidRPr="00AA2BA1" w:rsidR="00617998" w:rsidP="00F97DB7" w:rsidRDefault="00617998" w14:paraId="3917EBF1" w14:textId="77777777">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Type of</w:t>
            </w:r>
          </w:p>
          <w:p w:rsidRPr="00AA2BA1" w:rsidR="00617998" w:rsidP="00F97DB7" w:rsidRDefault="00617998" w14:paraId="65C35B68" w14:textId="77777777">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Respondent</w:t>
            </w:r>
          </w:p>
        </w:tc>
        <w:tc>
          <w:tcPr>
            <w:tcW w:w="1791" w:type="dxa"/>
            <w:shd w:val="clear" w:color="auto" w:fill="4BACC6" w:themeFill="accent5"/>
            <w:vAlign w:val="bottom"/>
          </w:tcPr>
          <w:p w:rsidRPr="00AA2BA1" w:rsidR="00617998" w:rsidP="00F97DB7" w:rsidRDefault="00617998" w14:paraId="1296A357" w14:textId="77777777">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Form</w:t>
            </w:r>
          </w:p>
          <w:p w:rsidRPr="00AA2BA1" w:rsidR="00617998" w:rsidP="00F97DB7" w:rsidRDefault="00617998" w14:paraId="3804EC11" w14:textId="77777777">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Name</w:t>
            </w:r>
          </w:p>
        </w:tc>
        <w:tc>
          <w:tcPr>
            <w:tcW w:w="1359" w:type="dxa"/>
            <w:shd w:val="clear" w:color="auto" w:fill="4BACC6" w:themeFill="accent5"/>
            <w:vAlign w:val="bottom"/>
          </w:tcPr>
          <w:p w:rsidRPr="00AA2BA1" w:rsidR="00617998" w:rsidP="00F97DB7" w:rsidRDefault="00617998" w14:paraId="2FE10924" w14:textId="77777777">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No. of Respondents</w:t>
            </w:r>
          </w:p>
        </w:tc>
        <w:tc>
          <w:tcPr>
            <w:tcW w:w="1620" w:type="dxa"/>
            <w:shd w:val="clear" w:color="auto" w:fill="4BACC6" w:themeFill="accent5"/>
            <w:vAlign w:val="bottom"/>
          </w:tcPr>
          <w:p w:rsidRPr="00AA2BA1" w:rsidR="00617998" w:rsidP="00F97DB7" w:rsidRDefault="00617998" w14:paraId="6728700F" w14:textId="77777777">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No. Responses</w:t>
            </w:r>
          </w:p>
          <w:p w:rsidRPr="00AA2BA1" w:rsidR="00617998" w:rsidP="00F97DB7" w:rsidRDefault="00617998" w14:paraId="155FE251" w14:textId="77777777">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per Respondent</w:t>
            </w:r>
          </w:p>
        </w:tc>
        <w:tc>
          <w:tcPr>
            <w:tcW w:w="1790" w:type="dxa"/>
            <w:shd w:val="clear" w:color="auto" w:fill="4BACC6" w:themeFill="accent5"/>
            <w:vAlign w:val="bottom"/>
          </w:tcPr>
          <w:p w:rsidRPr="00AA2BA1" w:rsidR="00617998" w:rsidP="00F97DB7" w:rsidRDefault="00617998" w14:paraId="173B9B6D" w14:textId="2E5BDD6D">
            <w:pPr>
              <w:widowControl/>
              <w:tabs>
                <w:tab w:val="num" w:pos="1080"/>
              </w:tabs>
              <w:jc w:val="center"/>
              <w:rPr>
                <w:rFonts w:ascii="Arial Narrow" w:hAnsi="Arial Narrow" w:cs="Arial"/>
                <w:b/>
                <w:bCs/>
                <w:color w:val="FFFFFF" w:themeColor="background1"/>
                <w:sz w:val="22"/>
              </w:rPr>
            </w:pPr>
            <w:r>
              <w:rPr>
                <w:rFonts w:ascii="Arial Narrow" w:hAnsi="Arial Narrow" w:cs="Arial"/>
                <w:b/>
                <w:bCs/>
                <w:color w:val="FFFFFF" w:themeColor="background1"/>
                <w:sz w:val="22"/>
              </w:rPr>
              <w:t>Total Responses</w:t>
            </w:r>
          </w:p>
        </w:tc>
        <w:tc>
          <w:tcPr>
            <w:tcW w:w="1791" w:type="dxa"/>
            <w:shd w:val="clear" w:color="auto" w:fill="4BACC6" w:themeFill="accent5"/>
            <w:vAlign w:val="bottom"/>
          </w:tcPr>
          <w:p w:rsidRPr="00AA2BA1" w:rsidR="00617998" w:rsidP="00F97DB7" w:rsidRDefault="00617998" w14:paraId="1A7A025D" w14:textId="26EAC2B0">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Average Burden per Response</w:t>
            </w:r>
          </w:p>
          <w:p w:rsidRPr="00AA2BA1" w:rsidR="00617998" w:rsidP="00F97DB7" w:rsidRDefault="00617998" w14:paraId="55B96175" w14:textId="77777777">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(in hours)</w:t>
            </w:r>
          </w:p>
        </w:tc>
        <w:tc>
          <w:tcPr>
            <w:tcW w:w="1238" w:type="dxa"/>
            <w:shd w:val="clear" w:color="auto" w:fill="4BACC6" w:themeFill="accent5"/>
            <w:vAlign w:val="bottom"/>
          </w:tcPr>
          <w:p w:rsidRPr="00AA2BA1" w:rsidR="00617998" w:rsidP="00F97DB7" w:rsidRDefault="00617998" w14:paraId="43DC9DC5" w14:textId="77777777">
            <w:pPr>
              <w:widowControl/>
              <w:tabs>
                <w:tab w:val="num" w:pos="1080"/>
              </w:tabs>
              <w:jc w:val="center"/>
              <w:rPr>
                <w:rFonts w:ascii="Arial Narrow" w:hAnsi="Arial Narrow" w:cs="Arial"/>
                <w:b/>
                <w:bCs/>
                <w:color w:val="FFFFFF" w:themeColor="background1"/>
                <w:sz w:val="22"/>
              </w:rPr>
            </w:pPr>
            <w:r w:rsidRPr="00AA2BA1">
              <w:rPr>
                <w:rFonts w:ascii="Arial Narrow" w:hAnsi="Arial Narrow" w:cs="Arial"/>
                <w:b/>
                <w:bCs/>
                <w:color w:val="FFFFFF" w:themeColor="background1"/>
                <w:sz w:val="22"/>
              </w:rPr>
              <w:t>Total Burden Hours</w:t>
            </w:r>
          </w:p>
        </w:tc>
      </w:tr>
      <w:tr w:rsidRPr="000B1F25" w:rsidR="00617998" w:rsidTr="00617998" w14:paraId="2C6F62EC" w14:textId="77777777">
        <w:trPr>
          <w:trHeight w:val="189"/>
          <w:tblHeader/>
        </w:trPr>
        <w:tc>
          <w:tcPr>
            <w:tcW w:w="1614" w:type="dxa"/>
            <w:shd w:val="clear" w:color="auto" w:fill="BFBFBF" w:themeFill="background1" w:themeFillShade="BF"/>
          </w:tcPr>
          <w:p w:rsidR="00617998" w:rsidP="001B109B" w:rsidRDefault="00617998" w14:paraId="2C8330A8" w14:textId="77777777">
            <w:pPr>
              <w:widowControl/>
              <w:tabs>
                <w:tab w:val="num" w:pos="1080"/>
              </w:tabs>
              <w:spacing w:before="120"/>
              <w:jc w:val="center"/>
              <w:rPr>
                <w:rFonts w:ascii="Arial Narrow" w:hAnsi="Arial Narrow" w:cs="Arial"/>
                <w:b/>
                <w:bCs/>
                <w:i/>
                <w:sz w:val="22"/>
              </w:rPr>
            </w:pPr>
          </w:p>
        </w:tc>
        <w:tc>
          <w:tcPr>
            <w:tcW w:w="9589" w:type="dxa"/>
            <w:gridSpan w:val="6"/>
            <w:shd w:val="clear" w:color="auto" w:fill="BFBFBF" w:themeFill="background1" w:themeFillShade="BF"/>
            <w:vAlign w:val="center"/>
          </w:tcPr>
          <w:p w:rsidR="00617998" w:rsidP="001B109B" w:rsidRDefault="00617998" w14:paraId="1BA88E7F" w14:textId="4066DC31">
            <w:pPr>
              <w:widowControl/>
              <w:tabs>
                <w:tab w:val="num" w:pos="1080"/>
              </w:tabs>
              <w:spacing w:before="120"/>
              <w:jc w:val="center"/>
              <w:rPr>
                <w:rFonts w:ascii="Arial Narrow" w:hAnsi="Arial Narrow" w:cs="Arial"/>
                <w:bCs/>
                <w:sz w:val="22"/>
              </w:rPr>
            </w:pPr>
            <w:r>
              <w:rPr>
                <w:rFonts w:ascii="Arial Narrow" w:hAnsi="Arial Narrow" w:cs="Arial"/>
                <w:b/>
                <w:bCs/>
                <w:i/>
                <w:sz w:val="22"/>
              </w:rPr>
              <w:t xml:space="preserve">Activities Requiring </w:t>
            </w:r>
            <w:r w:rsidRPr="004A6D28">
              <w:rPr>
                <w:rFonts w:ascii="Arial Narrow" w:hAnsi="Arial Narrow" w:cs="Arial"/>
                <w:b/>
                <w:bCs/>
                <w:i/>
                <w:sz w:val="22"/>
              </w:rPr>
              <w:t>OMB Approval</w:t>
            </w:r>
            <w:r>
              <w:rPr>
                <w:rFonts w:ascii="Arial Narrow" w:hAnsi="Arial Narrow" w:cs="Arial"/>
                <w:b/>
                <w:bCs/>
                <w:i/>
                <w:sz w:val="22"/>
              </w:rPr>
              <w:t xml:space="preserve"> (n &gt;10</w:t>
            </w:r>
            <w:r w:rsidR="00F438D3">
              <w:rPr>
                <w:rFonts w:ascii="Arial Narrow" w:hAnsi="Arial Narrow" w:cs="Arial"/>
                <w:b/>
                <w:bCs/>
                <w:i/>
                <w:sz w:val="22"/>
              </w:rPr>
              <w:t xml:space="preserve"> for each form</w:t>
            </w:r>
            <w:r>
              <w:rPr>
                <w:rFonts w:ascii="Arial Narrow" w:hAnsi="Arial Narrow" w:cs="Arial"/>
                <w:b/>
                <w:bCs/>
                <w:i/>
                <w:sz w:val="22"/>
              </w:rPr>
              <w:t>)</w:t>
            </w:r>
          </w:p>
        </w:tc>
      </w:tr>
      <w:tr w:rsidRPr="000B1F25" w:rsidR="00617998" w:rsidTr="00620764" w14:paraId="0B9D0F86" w14:textId="77777777">
        <w:trPr>
          <w:trHeight w:val="223"/>
          <w:tblHeader/>
        </w:trPr>
        <w:tc>
          <w:tcPr>
            <w:tcW w:w="1614" w:type="dxa"/>
            <w:vAlign w:val="center"/>
          </w:tcPr>
          <w:p w:rsidRPr="000B1F25" w:rsidR="00617998" w:rsidP="00D3255C" w:rsidRDefault="00617998" w14:paraId="257E98E1" w14:textId="77777777">
            <w:pPr>
              <w:widowControl/>
              <w:tabs>
                <w:tab w:val="num" w:pos="1080"/>
              </w:tabs>
              <w:spacing w:before="120"/>
              <w:rPr>
                <w:rFonts w:ascii="Arial Narrow" w:hAnsi="Arial Narrow" w:cs="Arial"/>
                <w:sz w:val="22"/>
              </w:rPr>
            </w:pPr>
            <w:r>
              <w:rPr>
                <w:rFonts w:ascii="Arial Narrow" w:hAnsi="Arial Narrow" w:cs="Arial"/>
                <w:b/>
                <w:bCs/>
                <w:sz w:val="22"/>
              </w:rPr>
              <w:t>Jurisdiction TA Recipient</w:t>
            </w:r>
          </w:p>
        </w:tc>
        <w:tc>
          <w:tcPr>
            <w:tcW w:w="1791" w:type="dxa"/>
            <w:vAlign w:val="center"/>
          </w:tcPr>
          <w:p w:rsidRPr="00CC1E44" w:rsidR="00617998" w:rsidP="00D3255C" w:rsidRDefault="00617998" w14:paraId="04BBB128" w14:textId="111ED169">
            <w:pPr>
              <w:tabs>
                <w:tab w:val="num" w:pos="1080"/>
              </w:tabs>
              <w:spacing w:before="120"/>
              <w:jc w:val="center"/>
              <w:rPr>
                <w:rFonts w:ascii="Arial Narrow" w:hAnsi="Arial Narrow" w:cs="Arial"/>
                <w:bCs/>
                <w:sz w:val="22"/>
              </w:rPr>
            </w:pPr>
            <w:r w:rsidRPr="00CC1E44">
              <w:rPr>
                <w:rFonts w:ascii="Arial Narrow" w:hAnsi="Arial Narrow"/>
                <w:sz w:val="22"/>
              </w:rPr>
              <w:t>Jurisdiction TA Recipient Semi-Structured Interview Guide</w:t>
            </w:r>
          </w:p>
        </w:tc>
        <w:tc>
          <w:tcPr>
            <w:tcW w:w="1359" w:type="dxa"/>
            <w:vAlign w:val="center"/>
          </w:tcPr>
          <w:p w:rsidRPr="0078630D" w:rsidR="00617998" w:rsidP="007E030C" w:rsidRDefault="00617998" w14:paraId="2F87EE99" w14:textId="77777777">
            <w:pPr>
              <w:widowControl/>
              <w:tabs>
                <w:tab w:val="num" w:pos="1080"/>
              </w:tabs>
              <w:spacing w:before="120"/>
              <w:jc w:val="right"/>
              <w:rPr>
                <w:rFonts w:ascii="Arial Narrow" w:hAnsi="Arial Narrow" w:cs="Arial"/>
                <w:bCs/>
                <w:sz w:val="22"/>
              </w:rPr>
            </w:pPr>
            <w:r w:rsidRPr="0078630D">
              <w:rPr>
                <w:rFonts w:ascii="Arial Narrow" w:hAnsi="Arial Narrow" w:cs="Arial"/>
                <w:bCs/>
                <w:sz w:val="22"/>
              </w:rPr>
              <w:t>12</w:t>
            </w:r>
          </w:p>
        </w:tc>
        <w:tc>
          <w:tcPr>
            <w:tcW w:w="1620" w:type="dxa"/>
            <w:vAlign w:val="center"/>
          </w:tcPr>
          <w:p w:rsidRPr="0078630D" w:rsidR="00617998" w:rsidP="007E030C" w:rsidRDefault="00617998" w14:paraId="0CD93DB9" w14:textId="0A7792B7">
            <w:pPr>
              <w:widowControl/>
              <w:tabs>
                <w:tab w:val="num" w:pos="1080"/>
              </w:tabs>
              <w:spacing w:before="120"/>
              <w:jc w:val="right"/>
              <w:rPr>
                <w:rFonts w:ascii="Arial Narrow" w:hAnsi="Arial Narrow" w:cs="Arial"/>
                <w:bCs/>
                <w:sz w:val="22"/>
              </w:rPr>
            </w:pPr>
            <w:r>
              <w:rPr>
                <w:rFonts w:ascii="Arial Narrow" w:hAnsi="Arial Narrow" w:cs="Arial"/>
                <w:bCs/>
                <w:sz w:val="22"/>
              </w:rPr>
              <w:t>2</w:t>
            </w:r>
          </w:p>
        </w:tc>
        <w:tc>
          <w:tcPr>
            <w:tcW w:w="1790" w:type="dxa"/>
            <w:vAlign w:val="center"/>
          </w:tcPr>
          <w:p w:rsidRPr="0078630D" w:rsidR="00617998" w:rsidP="007E030C" w:rsidRDefault="00617998" w14:paraId="3795BA3D" w14:textId="0D1BE1FF">
            <w:pPr>
              <w:widowControl/>
              <w:tabs>
                <w:tab w:val="num" w:pos="1080"/>
              </w:tabs>
              <w:spacing w:before="120"/>
              <w:jc w:val="right"/>
              <w:rPr>
                <w:rFonts w:ascii="Arial Narrow" w:hAnsi="Arial Narrow" w:cs="Arial"/>
                <w:bCs/>
                <w:sz w:val="22"/>
              </w:rPr>
            </w:pPr>
            <w:r>
              <w:rPr>
                <w:rFonts w:ascii="Arial Narrow" w:hAnsi="Arial Narrow" w:cs="Arial"/>
                <w:bCs/>
                <w:sz w:val="22"/>
              </w:rPr>
              <w:t>24</w:t>
            </w:r>
          </w:p>
        </w:tc>
        <w:tc>
          <w:tcPr>
            <w:tcW w:w="1791" w:type="dxa"/>
            <w:vAlign w:val="center"/>
          </w:tcPr>
          <w:p w:rsidRPr="0078630D" w:rsidR="00617998" w:rsidP="007E030C" w:rsidRDefault="00617998" w14:paraId="0521A965" w14:textId="3FEE6497">
            <w:pPr>
              <w:widowControl/>
              <w:tabs>
                <w:tab w:val="num" w:pos="1080"/>
              </w:tabs>
              <w:spacing w:before="120"/>
              <w:jc w:val="right"/>
              <w:rPr>
                <w:rFonts w:ascii="Arial Narrow" w:hAnsi="Arial Narrow" w:cs="Arial"/>
                <w:bCs/>
                <w:sz w:val="22"/>
              </w:rPr>
            </w:pPr>
            <w:r w:rsidRPr="0078630D">
              <w:rPr>
                <w:rFonts w:ascii="Arial Narrow" w:hAnsi="Arial Narrow" w:cs="Arial"/>
                <w:bCs/>
                <w:sz w:val="22"/>
              </w:rPr>
              <w:t>1</w:t>
            </w:r>
          </w:p>
        </w:tc>
        <w:tc>
          <w:tcPr>
            <w:tcW w:w="1238" w:type="dxa"/>
            <w:vAlign w:val="center"/>
          </w:tcPr>
          <w:p w:rsidRPr="0078630D" w:rsidR="00617998" w:rsidP="007E030C" w:rsidRDefault="00617998" w14:paraId="776C2A3B" w14:textId="1D31368D">
            <w:pPr>
              <w:widowControl/>
              <w:tabs>
                <w:tab w:val="num" w:pos="1080"/>
              </w:tabs>
              <w:spacing w:before="120"/>
              <w:jc w:val="right"/>
              <w:rPr>
                <w:rFonts w:ascii="Arial Narrow" w:hAnsi="Arial Narrow" w:cs="Arial"/>
                <w:bCs/>
                <w:sz w:val="22"/>
              </w:rPr>
            </w:pPr>
            <w:r>
              <w:rPr>
                <w:rFonts w:ascii="Arial Narrow" w:hAnsi="Arial Narrow" w:cs="Arial"/>
                <w:bCs/>
                <w:sz w:val="22"/>
              </w:rPr>
              <w:t>24</w:t>
            </w:r>
          </w:p>
        </w:tc>
      </w:tr>
      <w:tr w:rsidRPr="000B1F25" w:rsidR="00617998" w:rsidTr="00620764" w14:paraId="1FF86429" w14:textId="77777777">
        <w:trPr>
          <w:trHeight w:val="223"/>
          <w:tblHeader/>
        </w:trPr>
        <w:tc>
          <w:tcPr>
            <w:tcW w:w="1614" w:type="dxa"/>
            <w:vAlign w:val="center"/>
          </w:tcPr>
          <w:p w:rsidRPr="000B1F25" w:rsidR="00617998" w:rsidP="00D3255C" w:rsidRDefault="00617998" w14:paraId="23694559" w14:textId="77777777">
            <w:pPr>
              <w:widowControl/>
              <w:tabs>
                <w:tab w:val="num" w:pos="1080"/>
              </w:tabs>
              <w:spacing w:before="120"/>
              <w:rPr>
                <w:rFonts w:ascii="Arial Narrow" w:hAnsi="Arial Narrow" w:cs="Arial"/>
                <w:b/>
                <w:bCs/>
                <w:sz w:val="22"/>
              </w:rPr>
            </w:pPr>
            <w:r>
              <w:rPr>
                <w:rFonts w:ascii="Arial Narrow" w:hAnsi="Arial Narrow" w:cs="Arial"/>
                <w:b/>
                <w:bCs/>
                <w:sz w:val="22"/>
              </w:rPr>
              <w:t>Policy Stakeholder</w:t>
            </w:r>
          </w:p>
        </w:tc>
        <w:tc>
          <w:tcPr>
            <w:tcW w:w="1791" w:type="dxa"/>
            <w:vAlign w:val="center"/>
          </w:tcPr>
          <w:p w:rsidRPr="00CC1E44" w:rsidR="00617998" w:rsidP="00D3255C" w:rsidRDefault="00617998" w14:paraId="18962D9E" w14:textId="4BD4240E">
            <w:pPr>
              <w:widowControl/>
              <w:tabs>
                <w:tab w:val="num" w:pos="1080"/>
              </w:tabs>
              <w:spacing w:before="120"/>
              <w:jc w:val="center"/>
              <w:rPr>
                <w:rFonts w:ascii="Arial Narrow" w:hAnsi="Arial Narrow" w:cs="Arial"/>
                <w:sz w:val="22"/>
              </w:rPr>
            </w:pPr>
            <w:r w:rsidRPr="00CC1E44">
              <w:rPr>
                <w:rFonts w:ascii="Arial Narrow" w:hAnsi="Arial Narrow"/>
                <w:sz w:val="22"/>
              </w:rPr>
              <w:t>Policy Stakeholder  Semi-Structured Interview Guide</w:t>
            </w:r>
          </w:p>
        </w:tc>
        <w:tc>
          <w:tcPr>
            <w:tcW w:w="1359" w:type="dxa"/>
            <w:vAlign w:val="center"/>
          </w:tcPr>
          <w:p w:rsidRPr="0078630D" w:rsidR="00617998" w:rsidP="007E030C" w:rsidRDefault="00617998" w14:paraId="5460C869" w14:textId="77777777">
            <w:pPr>
              <w:widowControl/>
              <w:tabs>
                <w:tab w:val="num" w:pos="1080"/>
              </w:tabs>
              <w:spacing w:before="120"/>
              <w:jc w:val="right"/>
              <w:rPr>
                <w:rFonts w:ascii="Arial Narrow" w:hAnsi="Arial Narrow" w:cs="Arial"/>
                <w:bCs/>
                <w:sz w:val="22"/>
              </w:rPr>
            </w:pPr>
            <w:r w:rsidRPr="0078630D">
              <w:rPr>
                <w:rFonts w:ascii="Arial Narrow" w:hAnsi="Arial Narrow" w:cs="Arial"/>
                <w:bCs/>
                <w:sz w:val="22"/>
              </w:rPr>
              <w:t>12</w:t>
            </w:r>
          </w:p>
        </w:tc>
        <w:tc>
          <w:tcPr>
            <w:tcW w:w="1620" w:type="dxa"/>
            <w:vAlign w:val="center"/>
          </w:tcPr>
          <w:p w:rsidRPr="0078630D" w:rsidR="00617998" w:rsidP="007E030C" w:rsidRDefault="00617998" w14:paraId="1FF53EF6" w14:textId="284435A6">
            <w:pPr>
              <w:widowControl/>
              <w:tabs>
                <w:tab w:val="num" w:pos="1080"/>
              </w:tabs>
              <w:spacing w:before="120"/>
              <w:jc w:val="right"/>
              <w:rPr>
                <w:rFonts w:ascii="Arial Narrow" w:hAnsi="Arial Narrow" w:cs="Arial"/>
                <w:bCs/>
                <w:sz w:val="22"/>
              </w:rPr>
            </w:pPr>
            <w:r>
              <w:rPr>
                <w:rFonts w:ascii="Arial Narrow" w:hAnsi="Arial Narrow" w:cs="Arial"/>
                <w:bCs/>
                <w:sz w:val="22"/>
              </w:rPr>
              <w:t>2</w:t>
            </w:r>
          </w:p>
        </w:tc>
        <w:tc>
          <w:tcPr>
            <w:tcW w:w="1790" w:type="dxa"/>
            <w:vAlign w:val="center"/>
          </w:tcPr>
          <w:p w:rsidR="00617998" w:rsidP="00FD4CAC" w:rsidRDefault="00617998" w14:paraId="2BC4547B" w14:textId="455B9C31">
            <w:pPr>
              <w:widowControl/>
              <w:tabs>
                <w:tab w:val="num" w:pos="1080"/>
              </w:tabs>
              <w:spacing w:before="120"/>
              <w:jc w:val="right"/>
              <w:rPr>
                <w:rFonts w:ascii="Arial Narrow" w:hAnsi="Arial Narrow" w:cs="Arial"/>
                <w:bCs/>
                <w:sz w:val="22"/>
              </w:rPr>
            </w:pPr>
            <w:r>
              <w:rPr>
                <w:rFonts w:ascii="Arial Narrow" w:hAnsi="Arial Narrow" w:cs="Arial"/>
                <w:bCs/>
                <w:sz w:val="22"/>
              </w:rPr>
              <w:t>24</w:t>
            </w:r>
          </w:p>
        </w:tc>
        <w:tc>
          <w:tcPr>
            <w:tcW w:w="1791" w:type="dxa"/>
            <w:vAlign w:val="center"/>
          </w:tcPr>
          <w:p w:rsidRPr="0078630D" w:rsidR="00617998" w:rsidP="00FD4CAC" w:rsidRDefault="00617998" w14:paraId="1E7D1C8A" w14:textId="061697A5">
            <w:pPr>
              <w:widowControl/>
              <w:tabs>
                <w:tab w:val="num" w:pos="1080"/>
              </w:tabs>
              <w:spacing w:before="120"/>
              <w:jc w:val="right"/>
              <w:rPr>
                <w:rFonts w:ascii="Arial Narrow" w:hAnsi="Arial Narrow" w:cs="Arial"/>
                <w:bCs/>
                <w:sz w:val="22"/>
              </w:rPr>
            </w:pPr>
            <w:r>
              <w:rPr>
                <w:rFonts w:ascii="Arial Narrow" w:hAnsi="Arial Narrow" w:cs="Arial"/>
                <w:bCs/>
                <w:sz w:val="22"/>
              </w:rPr>
              <w:t>0.5</w:t>
            </w:r>
          </w:p>
        </w:tc>
        <w:tc>
          <w:tcPr>
            <w:tcW w:w="1238" w:type="dxa"/>
            <w:vAlign w:val="center"/>
          </w:tcPr>
          <w:p w:rsidRPr="0078630D" w:rsidR="00617998" w:rsidP="007E030C" w:rsidRDefault="00617998" w14:paraId="40BCA450" w14:textId="47D5BADA">
            <w:pPr>
              <w:widowControl/>
              <w:tabs>
                <w:tab w:val="num" w:pos="1080"/>
              </w:tabs>
              <w:spacing w:before="120"/>
              <w:jc w:val="right"/>
              <w:rPr>
                <w:rFonts w:ascii="Arial Narrow" w:hAnsi="Arial Narrow" w:cs="Arial"/>
                <w:bCs/>
                <w:sz w:val="22"/>
              </w:rPr>
            </w:pPr>
            <w:r>
              <w:rPr>
                <w:rFonts w:ascii="Arial Narrow" w:hAnsi="Arial Narrow" w:cs="Arial"/>
                <w:bCs/>
                <w:sz w:val="22"/>
              </w:rPr>
              <w:t>12</w:t>
            </w:r>
          </w:p>
        </w:tc>
      </w:tr>
      <w:tr w:rsidRPr="000B1F25" w:rsidR="00617998" w:rsidTr="00620764" w14:paraId="314B7047" w14:textId="77777777">
        <w:trPr>
          <w:trHeight w:val="223"/>
          <w:tblHeader/>
        </w:trPr>
        <w:tc>
          <w:tcPr>
            <w:tcW w:w="1614" w:type="dxa"/>
            <w:vAlign w:val="center"/>
          </w:tcPr>
          <w:p w:rsidRPr="000B1F25" w:rsidR="00617998" w:rsidP="00D3255C" w:rsidRDefault="00617998" w14:paraId="17273D3B" w14:textId="77777777">
            <w:pPr>
              <w:widowControl/>
              <w:tabs>
                <w:tab w:val="num" w:pos="1080"/>
              </w:tabs>
              <w:spacing w:before="120"/>
              <w:rPr>
                <w:rFonts w:ascii="Arial Narrow" w:hAnsi="Arial Narrow" w:cs="Arial"/>
                <w:b/>
                <w:bCs/>
                <w:sz w:val="22"/>
              </w:rPr>
            </w:pPr>
            <w:r>
              <w:rPr>
                <w:rFonts w:ascii="Arial Narrow" w:hAnsi="Arial Narrow" w:cs="Arial"/>
                <w:b/>
                <w:bCs/>
                <w:sz w:val="22"/>
              </w:rPr>
              <w:t>Data End-User</w:t>
            </w:r>
          </w:p>
        </w:tc>
        <w:tc>
          <w:tcPr>
            <w:tcW w:w="1791" w:type="dxa"/>
            <w:vAlign w:val="center"/>
          </w:tcPr>
          <w:p w:rsidRPr="00CC1E44" w:rsidR="00617998" w:rsidP="00D3255C" w:rsidRDefault="00617998" w14:paraId="5764CD16" w14:textId="77777777">
            <w:pPr>
              <w:widowControl/>
              <w:tabs>
                <w:tab w:val="num" w:pos="1080"/>
              </w:tabs>
              <w:spacing w:before="120"/>
              <w:jc w:val="center"/>
              <w:rPr>
                <w:rFonts w:ascii="Arial Narrow" w:hAnsi="Arial Narrow" w:cs="Arial"/>
                <w:sz w:val="22"/>
              </w:rPr>
            </w:pPr>
            <w:r w:rsidRPr="00CC1E44">
              <w:rPr>
                <w:rFonts w:ascii="Arial Narrow" w:hAnsi="Arial Narrow" w:cs="Arial"/>
                <w:sz w:val="22"/>
              </w:rPr>
              <w:t>Data End-User Survey</w:t>
            </w:r>
          </w:p>
        </w:tc>
        <w:tc>
          <w:tcPr>
            <w:tcW w:w="1359" w:type="dxa"/>
            <w:vAlign w:val="center"/>
          </w:tcPr>
          <w:p w:rsidRPr="0078630D" w:rsidR="00617998" w:rsidP="007E030C" w:rsidRDefault="00617998" w14:paraId="511C97DD" w14:textId="61DCF77E">
            <w:pPr>
              <w:widowControl/>
              <w:tabs>
                <w:tab w:val="num" w:pos="1080"/>
              </w:tabs>
              <w:spacing w:before="120"/>
              <w:jc w:val="right"/>
              <w:rPr>
                <w:rFonts w:ascii="Arial Narrow" w:hAnsi="Arial Narrow" w:cs="Arial"/>
                <w:bCs/>
                <w:sz w:val="22"/>
              </w:rPr>
            </w:pPr>
            <w:r>
              <w:rPr>
                <w:rFonts w:ascii="Arial Narrow" w:hAnsi="Arial Narrow" w:cs="Arial"/>
                <w:bCs/>
                <w:sz w:val="22"/>
              </w:rPr>
              <w:t>105</w:t>
            </w:r>
          </w:p>
        </w:tc>
        <w:tc>
          <w:tcPr>
            <w:tcW w:w="1620" w:type="dxa"/>
            <w:vAlign w:val="center"/>
          </w:tcPr>
          <w:p w:rsidRPr="0078630D" w:rsidR="00617998" w:rsidP="007E030C" w:rsidRDefault="00617998" w14:paraId="50FACF14" w14:textId="158F2BFC">
            <w:pPr>
              <w:widowControl/>
              <w:tabs>
                <w:tab w:val="num" w:pos="1080"/>
              </w:tabs>
              <w:spacing w:before="120"/>
              <w:jc w:val="right"/>
              <w:rPr>
                <w:rFonts w:ascii="Arial Narrow" w:hAnsi="Arial Narrow" w:cs="Arial"/>
                <w:bCs/>
                <w:sz w:val="22"/>
              </w:rPr>
            </w:pPr>
            <w:r>
              <w:rPr>
                <w:rFonts w:ascii="Arial Narrow" w:hAnsi="Arial Narrow" w:cs="Arial"/>
                <w:bCs/>
                <w:sz w:val="22"/>
              </w:rPr>
              <w:t>2</w:t>
            </w:r>
          </w:p>
        </w:tc>
        <w:tc>
          <w:tcPr>
            <w:tcW w:w="1790" w:type="dxa"/>
            <w:vAlign w:val="center"/>
          </w:tcPr>
          <w:p w:rsidR="00617998" w:rsidP="00FD4CAC" w:rsidRDefault="00617998" w14:paraId="15860049" w14:textId="1B1AE904">
            <w:pPr>
              <w:widowControl/>
              <w:tabs>
                <w:tab w:val="num" w:pos="1080"/>
              </w:tabs>
              <w:spacing w:before="120"/>
              <w:jc w:val="right"/>
              <w:rPr>
                <w:rFonts w:ascii="Arial Narrow" w:hAnsi="Arial Narrow" w:cs="Arial"/>
                <w:bCs/>
                <w:sz w:val="22"/>
              </w:rPr>
            </w:pPr>
            <w:r>
              <w:rPr>
                <w:rFonts w:ascii="Arial Narrow" w:hAnsi="Arial Narrow" w:cs="Arial"/>
                <w:bCs/>
                <w:sz w:val="22"/>
              </w:rPr>
              <w:t>210</w:t>
            </w:r>
          </w:p>
        </w:tc>
        <w:tc>
          <w:tcPr>
            <w:tcW w:w="1791" w:type="dxa"/>
            <w:vAlign w:val="center"/>
          </w:tcPr>
          <w:p w:rsidRPr="0078630D" w:rsidR="00617998" w:rsidP="00FD4CAC" w:rsidRDefault="00617998" w14:paraId="40E70B48" w14:textId="25E9CDB9">
            <w:pPr>
              <w:widowControl/>
              <w:tabs>
                <w:tab w:val="num" w:pos="1080"/>
              </w:tabs>
              <w:spacing w:before="120"/>
              <w:jc w:val="right"/>
              <w:rPr>
                <w:rFonts w:ascii="Arial Narrow" w:hAnsi="Arial Narrow" w:cs="Arial"/>
                <w:bCs/>
                <w:sz w:val="22"/>
              </w:rPr>
            </w:pPr>
            <w:r>
              <w:rPr>
                <w:rFonts w:ascii="Arial Narrow" w:hAnsi="Arial Narrow" w:cs="Arial"/>
                <w:bCs/>
                <w:sz w:val="22"/>
              </w:rPr>
              <w:t>0.17</w:t>
            </w:r>
          </w:p>
        </w:tc>
        <w:tc>
          <w:tcPr>
            <w:tcW w:w="1238" w:type="dxa"/>
            <w:vAlign w:val="center"/>
          </w:tcPr>
          <w:p w:rsidRPr="0078630D" w:rsidR="00617998" w:rsidP="00392C08" w:rsidRDefault="00617998" w14:paraId="7AA89AE6" w14:textId="36BB6EA1">
            <w:pPr>
              <w:widowControl/>
              <w:tabs>
                <w:tab w:val="num" w:pos="1080"/>
              </w:tabs>
              <w:spacing w:before="120"/>
              <w:jc w:val="right"/>
              <w:rPr>
                <w:rFonts w:ascii="Arial Narrow" w:hAnsi="Arial Narrow" w:cs="Arial"/>
                <w:bCs/>
                <w:sz w:val="22"/>
              </w:rPr>
            </w:pPr>
            <w:r>
              <w:rPr>
                <w:rFonts w:ascii="Arial Narrow" w:hAnsi="Arial Narrow" w:cs="Arial"/>
                <w:bCs/>
                <w:sz w:val="22"/>
              </w:rPr>
              <w:t>36</w:t>
            </w:r>
          </w:p>
        </w:tc>
      </w:tr>
      <w:tr w:rsidRPr="000B1F25" w:rsidR="00CC1E44" w:rsidTr="00620764" w14:paraId="1F48C6ED" w14:textId="77777777">
        <w:trPr>
          <w:trHeight w:val="223"/>
          <w:tblHeader/>
        </w:trPr>
        <w:tc>
          <w:tcPr>
            <w:tcW w:w="1614" w:type="dxa"/>
            <w:vAlign w:val="center"/>
          </w:tcPr>
          <w:p w:rsidR="00CC1E44" w:rsidP="00D3255C" w:rsidRDefault="00CC1E44" w14:paraId="035274F4" w14:textId="74BBC1FA">
            <w:pPr>
              <w:widowControl/>
              <w:tabs>
                <w:tab w:val="num" w:pos="1080"/>
              </w:tabs>
              <w:spacing w:before="120"/>
              <w:rPr>
                <w:rFonts w:ascii="Arial Narrow" w:hAnsi="Arial Narrow" w:cs="Arial"/>
                <w:b/>
                <w:bCs/>
                <w:sz w:val="22"/>
              </w:rPr>
            </w:pPr>
          </w:p>
        </w:tc>
        <w:tc>
          <w:tcPr>
            <w:tcW w:w="1791" w:type="dxa"/>
            <w:vAlign w:val="center"/>
          </w:tcPr>
          <w:p w:rsidRPr="0074795B" w:rsidR="00CC1E44" w:rsidP="00D3255C" w:rsidRDefault="001A63E9" w14:paraId="0D5D5F21" w14:textId="2D15FC80">
            <w:pPr>
              <w:widowControl/>
              <w:tabs>
                <w:tab w:val="num" w:pos="1080"/>
              </w:tabs>
              <w:spacing w:before="120"/>
              <w:jc w:val="center"/>
              <w:rPr>
                <w:rFonts w:ascii="Arial Narrow" w:hAnsi="Arial Narrow" w:cs="Arial"/>
                <w:b/>
                <w:sz w:val="22"/>
              </w:rPr>
            </w:pPr>
            <w:r w:rsidRPr="0074795B">
              <w:rPr>
                <w:rFonts w:ascii="Arial Narrow" w:hAnsi="Arial Narrow" w:cs="Arial"/>
                <w:b/>
                <w:sz w:val="22"/>
              </w:rPr>
              <w:t>Total</w:t>
            </w:r>
          </w:p>
        </w:tc>
        <w:tc>
          <w:tcPr>
            <w:tcW w:w="1359" w:type="dxa"/>
            <w:vAlign w:val="center"/>
          </w:tcPr>
          <w:p w:rsidRPr="0074795B" w:rsidR="00CC1E44" w:rsidP="007E030C" w:rsidRDefault="00CC1E44" w14:paraId="52172817" w14:textId="6FE11D30">
            <w:pPr>
              <w:widowControl/>
              <w:tabs>
                <w:tab w:val="num" w:pos="1080"/>
              </w:tabs>
              <w:spacing w:before="120"/>
              <w:jc w:val="right"/>
              <w:rPr>
                <w:rFonts w:ascii="Arial Narrow" w:hAnsi="Arial Narrow" w:cs="Arial"/>
                <w:b/>
                <w:bCs/>
                <w:sz w:val="22"/>
              </w:rPr>
            </w:pPr>
            <w:r w:rsidRPr="0074795B">
              <w:rPr>
                <w:rFonts w:ascii="Arial Narrow" w:hAnsi="Arial Narrow" w:cs="Arial"/>
                <w:b/>
                <w:bCs/>
                <w:sz w:val="22"/>
              </w:rPr>
              <w:t>129</w:t>
            </w:r>
          </w:p>
        </w:tc>
        <w:tc>
          <w:tcPr>
            <w:tcW w:w="1620" w:type="dxa"/>
            <w:vAlign w:val="center"/>
          </w:tcPr>
          <w:p w:rsidRPr="0074795B" w:rsidR="00CC1E44" w:rsidP="007E030C" w:rsidRDefault="00CC1E44" w14:paraId="5D69E68D" w14:textId="77777777">
            <w:pPr>
              <w:widowControl/>
              <w:tabs>
                <w:tab w:val="num" w:pos="1080"/>
              </w:tabs>
              <w:spacing w:before="120"/>
              <w:jc w:val="right"/>
              <w:rPr>
                <w:rFonts w:ascii="Arial Narrow" w:hAnsi="Arial Narrow" w:cs="Arial"/>
                <w:b/>
                <w:bCs/>
                <w:sz w:val="22"/>
              </w:rPr>
            </w:pPr>
          </w:p>
        </w:tc>
        <w:tc>
          <w:tcPr>
            <w:tcW w:w="1790" w:type="dxa"/>
            <w:vAlign w:val="center"/>
          </w:tcPr>
          <w:p w:rsidRPr="0074795B" w:rsidR="00CC1E44" w:rsidP="00FD4CAC" w:rsidRDefault="00CC1E44" w14:paraId="42BE9427" w14:textId="2E361953">
            <w:pPr>
              <w:widowControl/>
              <w:tabs>
                <w:tab w:val="num" w:pos="1080"/>
              </w:tabs>
              <w:spacing w:before="120"/>
              <w:jc w:val="right"/>
              <w:rPr>
                <w:rFonts w:ascii="Arial Narrow" w:hAnsi="Arial Narrow" w:cs="Arial"/>
                <w:b/>
                <w:bCs/>
                <w:sz w:val="22"/>
              </w:rPr>
            </w:pPr>
            <w:r w:rsidRPr="0074795B">
              <w:rPr>
                <w:rFonts w:ascii="Arial Narrow" w:hAnsi="Arial Narrow" w:cs="Arial"/>
                <w:b/>
                <w:bCs/>
                <w:sz w:val="22"/>
              </w:rPr>
              <w:t>258</w:t>
            </w:r>
          </w:p>
        </w:tc>
        <w:tc>
          <w:tcPr>
            <w:tcW w:w="1791" w:type="dxa"/>
            <w:vAlign w:val="center"/>
          </w:tcPr>
          <w:p w:rsidRPr="0074795B" w:rsidR="00CC1E44" w:rsidP="00FD4CAC" w:rsidRDefault="00CC1E44" w14:paraId="24466959" w14:textId="77777777">
            <w:pPr>
              <w:widowControl/>
              <w:tabs>
                <w:tab w:val="num" w:pos="1080"/>
              </w:tabs>
              <w:spacing w:before="120"/>
              <w:jc w:val="right"/>
              <w:rPr>
                <w:rFonts w:ascii="Arial Narrow" w:hAnsi="Arial Narrow" w:cs="Arial"/>
                <w:b/>
                <w:bCs/>
                <w:sz w:val="22"/>
              </w:rPr>
            </w:pPr>
          </w:p>
        </w:tc>
        <w:tc>
          <w:tcPr>
            <w:tcW w:w="1238" w:type="dxa"/>
            <w:vAlign w:val="center"/>
          </w:tcPr>
          <w:p w:rsidRPr="0074795B" w:rsidR="00CC1E44" w:rsidP="00392C08" w:rsidRDefault="00CC1E44" w14:paraId="3C443241" w14:textId="0A61C916">
            <w:pPr>
              <w:widowControl/>
              <w:tabs>
                <w:tab w:val="num" w:pos="1080"/>
              </w:tabs>
              <w:spacing w:before="120"/>
              <w:jc w:val="right"/>
              <w:rPr>
                <w:rFonts w:ascii="Arial Narrow" w:hAnsi="Arial Narrow" w:cs="Arial"/>
                <w:b/>
                <w:bCs/>
                <w:sz w:val="22"/>
              </w:rPr>
            </w:pPr>
            <w:r w:rsidRPr="0074795B">
              <w:rPr>
                <w:rFonts w:ascii="Arial Narrow" w:hAnsi="Arial Narrow" w:cs="Arial"/>
                <w:b/>
                <w:bCs/>
                <w:sz w:val="22"/>
              </w:rPr>
              <w:t>72</w:t>
            </w:r>
          </w:p>
        </w:tc>
      </w:tr>
    </w:tbl>
    <w:p w:rsidR="00ED2739" w:rsidP="00A85E8D" w:rsidRDefault="00ED2739" w14:paraId="63130AF8" w14:textId="575B69C2">
      <w:pPr>
        <w:widowControl/>
        <w:spacing w:before="120"/>
        <w:rPr>
          <w:rFonts w:ascii="Arial" w:hAnsi="Arial" w:cs="Arial"/>
          <w:b/>
          <w:sz w:val="24"/>
        </w:rPr>
      </w:pPr>
      <w:r w:rsidRPr="00C45431">
        <w:rPr>
          <w:rFonts w:ascii="Arial" w:hAnsi="Arial" w:cs="Arial"/>
          <w:b/>
          <w:sz w:val="28"/>
          <w:szCs w:val="28"/>
        </w:rPr>
        <w:lastRenderedPageBreak/>
        <w:t>12B</w:t>
      </w:r>
      <w:r w:rsidRPr="00C45431" w:rsidR="00D5130B">
        <w:rPr>
          <w:rFonts w:ascii="Arial" w:hAnsi="Arial" w:cs="Arial"/>
          <w:sz w:val="28"/>
          <w:szCs w:val="28"/>
        </w:rPr>
        <w:t xml:space="preserve">. </w:t>
      </w:r>
      <w:r w:rsidRPr="00067B31" w:rsidR="00D5130B">
        <w:rPr>
          <w:rFonts w:ascii="Arial" w:hAnsi="Arial" w:cs="Arial"/>
          <w:b/>
          <w:sz w:val="24"/>
        </w:rPr>
        <w:t>Estimated</w:t>
      </w:r>
      <w:r w:rsidRPr="00C45431">
        <w:rPr>
          <w:rFonts w:ascii="Arial" w:hAnsi="Arial" w:cs="Arial"/>
          <w:b/>
          <w:sz w:val="24"/>
        </w:rPr>
        <w:t xml:space="preserve"> Annualized Burden Costs</w:t>
      </w:r>
    </w:p>
    <w:p w:rsidR="007B5613" w:rsidP="007B5613" w:rsidRDefault="007B5613" w14:paraId="741A31A5" w14:textId="77777777"/>
    <w:p w:rsidR="006847ED" w:rsidP="00A85E8D" w:rsidRDefault="002C5088" w14:paraId="7208E5FF" w14:textId="1B082F2F">
      <w:pPr>
        <w:widowControl/>
        <w:spacing w:before="120"/>
        <w:rPr>
          <w:sz w:val="24"/>
        </w:rPr>
      </w:pPr>
      <w:r w:rsidRPr="00B941B6">
        <w:rPr>
          <w:b/>
          <w:i/>
          <w:sz w:val="24"/>
        </w:rPr>
        <w:t xml:space="preserve">Exhibit </w:t>
      </w:r>
      <w:r w:rsidR="004865BE">
        <w:rPr>
          <w:b/>
          <w:i/>
          <w:sz w:val="24"/>
        </w:rPr>
        <w:t>8</w:t>
      </w:r>
      <w:r w:rsidRPr="00C7318D">
        <w:rPr>
          <w:sz w:val="24"/>
        </w:rPr>
        <w:t xml:space="preserve"> </w:t>
      </w:r>
      <w:r w:rsidR="00C7318D">
        <w:rPr>
          <w:sz w:val="24"/>
        </w:rPr>
        <w:t xml:space="preserve">depicts </w:t>
      </w:r>
      <w:r w:rsidRPr="00663281" w:rsidR="00663281">
        <w:rPr>
          <w:sz w:val="24"/>
        </w:rPr>
        <w:t>$409.84</w:t>
      </w:r>
      <w:r w:rsidR="00073544">
        <w:rPr>
          <w:sz w:val="24"/>
        </w:rPr>
        <w:t xml:space="preserve"> </w:t>
      </w:r>
      <w:r w:rsidR="00C7318D">
        <w:rPr>
          <w:sz w:val="24"/>
        </w:rPr>
        <w:t>as</w:t>
      </w:r>
      <w:r w:rsidRPr="00C7318D">
        <w:rPr>
          <w:sz w:val="24"/>
        </w:rPr>
        <w:t xml:space="preserve"> the </w:t>
      </w:r>
      <w:r w:rsidRPr="00C7318D" w:rsidR="00C7318D">
        <w:rPr>
          <w:sz w:val="24"/>
        </w:rPr>
        <w:t xml:space="preserve">annualized cost burden for year 1 of the </w:t>
      </w:r>
      <w:r w:rsidRPr="00C7318D" w:rsidR="00C7318D">
        <w:rPr>
          <w:i/>
          <w:sz w:val="24"/>
        </w:rPr>
        <w:t xml:space="preserve">Enhancing </w:t>
      </w:r>
      <w:r w:rsidR="00F71FB6">
        <w:rPr>
          <w:i/>
          <w:sz w:val="24"/>
        </w:rPr>
        <w:t xml:space="preserve">STI </w:t>
      </w:r>
      <w:r w:rsidRPr="00C7318D" w:rsidR="00C7318D">
        <w:rPr>
          <w:i/>
          <w:sz w:val="24"/>
        </w:rPr>
        <w:t>Linkage</w:t>
      </w:r>
      <w:r w:rsidRPr="00C7318D" w:rsidR="00C7318D">
        <w:rPr>
          <w:sz w:val="24"/>
        </w:rPr>
        <w:t xml:space="preserve"> evaluation.</w:t>
      </w:r>
      <w:r w:rsidR="00C7318D">
        <w:rPr>
          <w:sz w:val="24"/>
        </w:rPr>
        <w:t xml:space="preserve"> </w:t>
      </w:r>
      <w:r w:rsidR="00067B31">
        <w:rPr>
          <w:sz w:val="24"/>
        </w:rPr>
        <w:t xml:space="preserve"> </w:t>
      </w:r>
      <w:r w:rsidRPr="00B941B6" w:rsidR="00C7318D">
        <w:rPr>
          <w:b/>
          <w:i/>
          <w:sz w:val="24"/>
        </w:rPr>
        <w:t xml:space="preserve">Exhibit </w:t>
      </w:r>
      <w:r w:rsidR="004865BE">
        <w:rPr>
          <w:b/>
          <w:i/>
          <w:sz w:val="24"/>
        </w:rPr>
        <w:t>9</w:t>
      </w:r>
      <w:r w:rsidRPr="00C7318D" w:rsidR="00C7318D">
        <w:rPr>
          <w:sz w:val="24"/>
        </w:rPr>
        <w:t xml:space="preserve"> </w:t>
      </w:r>
      <w:r w:rsidR="00C63AB8">
        <w:rPr>
          <w:sz w:val="24"/>
        </w:rPr>
        <w:t>presents</w:t>
      </w:r>
      <w:r w:rsidR="00C7318D">
        <w:rPr>
          <w:sz w:val="24"/>
        </w:rPr>
        <w:t xml:space="preserve"> </w:t>
      </w:r>
      <w:r w:rsidRPr="00663281" w:rsidR="00663281">
        <w:rPr>
          <w:sz w:val="24"/>
        </w:rPr>
        <w:t>$3,412.44</w:t>
      </w:r>
      <w:r w:rsidR="00073544">
        <w:rPr>
          <w:sz w:val="24"/>
        </w:rPr>
        <w:t xml:space="preserve"> </w:t>
      </w:r>
      <w:r w:rsidR="00C7318D">
        <w:rPr>
          <w:sz w:val="24"/>
        </w:rPr>
        <w:t>as</w:t>
      </w:r>
      <w:r w:rsidRPr="00C7318D" w:rsidR="00C7318D">
        <w:rPr>
          <w:sz w:val="24"/>
        </w:rPr>
        <w:t xml:space="preserve"> the </w:t>
      </w:r>
      <w:r w:rsidR="00C63AB8">
        <w:rPr>
          <w:sz w:val="24"/>
        </w:rPr>
        <w:t xml:space="preserve">combined </w:t>
      </w:r>
      <w:r w:rsidRPr="00C7318D" w:rsidR="00C7318D">
        <w:rPr>
          <w:sz w:val="24"/>
        </w:rPr>
        <w:t>annualized cost burden for year</w:t>
      </w:r>
      <w:r w:rsidR="00C7318D">
        <w:rPr>
          <w:sz w:val="24"/>
        </w:rPr>
        <w:t xml:space="preserve">s 2 and 3 </w:t>
      </w:r>
      <w:r w:rsidRPr="00C7318D" w:rsidR="00C7318D">
        <w:rPr>
          <w:sz w:val="24"/>
        </w:rPr>
        <w:t xml:space="preserve">of the </w:t>
      </w:r>
      <w:r w:rsidRPr="00C7318D" w:rsidR="00C7318D">
        <w:rPr>
          <w:i/>
          <w:sz w:val="24"/>
        </w:rPr>
        <w:t xml:space="preserve">Enhancing </w:t>
      </w:r>
      <w:r w:rsidR="00F71FB6">
        <w:rPr>
          <w:i/>
          <w:sz w:val="24"/>
        </w:rPr>
        <w:t xml:space="preserve">STI </w:t>
      </w:r>
      <w:r w:rsidRPr="00C7318D" w:rsidR="00C7318D">
        <w:rPr>
          <w:i/>
          <w:sz w:val="24"/>
        </w:rPr>
        <w:t>Linkage</w:t>
      </w:r>
      <w:r w:rsidRPr="00C7318D" w:rsidR="00C7318D">
        <w:rPr>
          <w:sz w:val="24"/>
        </w:rPr>
        <w:t xml:space="preserve"> evaluation.</w:t>
      </w:r>
      <w:r w:rsidR="00C7318D">
        <w:rPr>
          <w:sz w:val="24"/>
        </w:rPr>
        <w:t xml:space="preserve"> </w:t>
      </w:r>
      <w:r w:rsidR="00067B31">
        <w:rPr>
          <w:sz w:val="24"/>
        </w:rPr>
        <w:t xml:space="preserve"> </w:t>
      </w:r>
      <w:r w:rsidRPr="000655BF" w:rsidR="00C7318D">
        <w:rPr>
          <w:sz w:val="24"/>
        </w:rPr>
        <w:t xml:space="preserve">There are no direct costs to respondents other than their time to complete the </w:t>
      </w:r>
      <w:r w:rsidR="00C7318D">
        <w:rPr>
          <w:sz w:val="24"/>
        </w:rPr>
        <w:t xml:space="preserve">data collection </w:t>
      </w:r>
      <w:r w:rsidRPr="000655BF" w:rsidR="00C7318D">
        <w:rPr>
          <w:sz w:val="24"/>
        </w:rPr>
        <w:t>instrument</w:t>
      </w:r>
      <w:r w:rsidR="00C7318D">
        <w:rPr>
          <w:sz w:val="24"/>
        </w:rPr>
        <w:t>s</w:t>
      </w:r>
      <w:r w:rsidRPr="000655BF" w:rsidR="00C7318D">
        <w:rPr>
          <w:sz w:val="24"/>
        </w:rPr>
        <w:t>.</w:t>
      </w:r>
      <w:r w:rsidR="00C7318D">
        <w:rPr>
          <w:sz w:val="24"/>
        </w:rPr>
        <w:t xml:space="preserve"> </w:t>
      </w:r>
      <w:r w:rsidR="00067B31">
        <w:rPr>
          <w:sz w:val="24"/>
        </w:rPr>
        <w:t xml:space="preserve"> </w:t>
      </w:r>
      <w:r>
        <w:rPr>
          <w:sz w:val="24"/>
        </w:rPr>
        <w:t>Hourly wage rates are based on the mean hourly wage rates as reported in the 2019</w:t>
      </w:r>
      <w:r w:rsidRPr="002C5088">
        <w:rPr>
          <w:sz w:val="24"/>
        </w:rPr>
        <w:t xml:space="preserve"> Occupational Employment (OES) by the Bureau of Labor Statistics (BLS) found at</w:t>
      </w:r>
      <w:r w:rsidRPr="002C5088">
        <w:t xml:space="preserve"> </w:t>
      </w:r>
      <w:hyperlink w:history="1" w:anchor="b29-0000.htm" r:id="rId13">
        <w:r w:rsidRPr="00BF544F">
          <w:rPr>
            <w:rStyle w:val="Hyperlink"/>
            <w:sz w:val="24"/>
          </w:rPr>
          <w:t>https://www.bls.gov/oes/current/oes_nat.htm#b29-0000.htm</w:t>
        </w:r>
      </w:hyperlink>
      <w:r>
        <w:rPr>
          <w:sz w:val="24"/>
        </w:rPr>
        <w:t xml:space="preserve">.  </w:t>
      </w:r>
    </w:p>
    <w:p w:rsidR="00ED45E1" w:rsidP="00A85E8D" w:rsidRDefault="00ED45E1" w14:paraId="1FC6F457" w14:textId="77777777">
      <w:pPr>
        <w:widowControl/>
        <w:spacing w:before="120"/>
        <w:rPr>
          <w:b/>
          <w:i/>
          <w:sz w:val="24"/>
          <w:szCs w:val="28"/>
        </w:rPr>
      </w:pPr>
    </w:p>
    <w:p w:rsidRPr="005474C8" w:rsidR="00AD5336" w:rsidP="00A85E8D" w:rsidRDefault="005474C8" w14:paraId="0E7D3227" w14:textId="0D1A6C0C">
      <w:pPr>
        <w:widowControl/>
        <w:spacing w:before="120"/>
        <w:rPr>
          <w:sz w:val="24"/>
          <w:szCs w:val="28"/>
        </w:rPr>
      </w:pPr>
      <w:r w:rsidRPr="00AD5336">
        <w:rPr>
          <w:b/>
          <w:i/>
          <w:sz w:val="24"/>
          <w:szCs w:val="28"/>
        </w:rPr>
        <w:t xml:space="preserve">Exhibit </w:t>
      </w:r>
      <w:r w:rsidR="004865BE">
        <w:rPr>
          <w:b/>
          <w:i/>
          <w:sz w:val="24"/>
          <w:szCs w:val="28"/>
        </w:rPr>
        <w:t>8</w:t>
      </w:r>
      <w:r w:rsidRPr="00AD5336">
        <w:rPr>
          <w:b/>
          <w:i/>
          <w:sz w:val="24"/>
          <w:szCs w:val="28"/>
        </w:rPr>
        <w:t>. Annuali</w:t>
      </w:r>
      <w:r w:rsidRPr="00AD5336" w:rsidR="00C756F5">
        <w:rPr>
          <w:b/>
          <w:i/>
          <w:sz w:val="24"/>
          <w:szCs w:val="28"/>
        </w:rPr>
        <w:t xml:space="preserve">zed </w:t>
      </w:r>
      <w:r w:rsidRPr="00AD5336" w:rsidR="00AD5336">
        <w:rPr>
          <w:b/>
          <w:i/>
          <w:sz w:val="24"/>
          <w:szCs w:val="28"/>
        </w:rPr>
        <w:t>Cost Burden – Year 1</w:t>
      </w:r>
    </w:p>
    <w:tbl>
      <w:tblPr>
        <w:tblW w:w="80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357"/>
        <w:gridCol w:w="1807"/>
        <w:gridCol w:w="2347"/>
      </w:tblGrid>
      <w:tr w:rsidRPr="00AD5336" w:rsidR="00AD5336" w:rsidTr="00B6695B" w14:paraId="534D9DBC" w14:textId="77777777">
        <w:trPr>
          <w:trHeight w:val="773"/>
        </w:trPr>
        <w:tc>
          <w:tcPr>
            <w:tcW w:w="2520" w:type="dxa"/>
            <w:shd w:val="clear" w:color="auto" w:fill="4BACC6" w:themeFill="accent5"/>
            <w:vAlign w:val="center"/>
          </w:tcPr>
          <w:p w:rsidRPr="00AD5336" w:rsidR="00ED2739" w:rsidP="00AD5336" w:rsidRDefault="00ED2739" w14:paraId="6C98B870" w14:textId="77777777">
            <w:pPr>
              <w:widowControl/>
              <w:rPr>
                <w:rFonts w:ascii="Arial Narrow" w:hAnsi="Arial Narrow" w:cs="Arial"/>
                <w:b/>
                <w:bCs/>
                <w:color w:val="FFFFFF" w:themeColor="background1"/>
                <w:sz w:val="22"/>
              </w:rPr>
            </w:pPr>
            <w:r w:rsidRPr="00AD5336">
              <w:rPr>
                <w:rFonts w:ascii="Arial Narrow" w:hAnsi="Arial Narrow" w:cs="Arial"/>
                <w:b/>
                <w:bCs/>
                <w:color w:val="FFFFFF" w:themeColor="background1"/>
                <w:sz w:val="22"/>
              </w:rPr>
              <w:t>Type of</w:t>
            </w:r>
          </w:p>
          <w:p w:rsidRPr="00AD5336" w:rsidR="00ED2739" w:rsidP="00AD5336" w:rsidRDefault="00ED2739" w14:paraId="2A717399" w14:textId="6B033766">
            <w:pPr>
              <w:widowControl/>
              <w:rPr>
                <w:rFonts w:ascii="Arial Narrow" w:hAnsi="Arial Narrow" w:cs="Arial"/>
                <w:b/>
                <w:bCs/>
                <w:color w:val="FFFFFF" w:themeColor="background1"/>
                <w:sz w:val="22"/>
              </w:rPr>
            </w:pPr>
            <w:r w:rsidRPr="00AD5336">
              <w:rPr>
                <w:rFonts w:ascii="Arial Narrow" w:hAnsi="Arial Narrow" w:cs="Arial"/>
                <w:b/>
                <w:bCs/>
                <w:color w:val="FFFFFF" w:themeColor="background1"/>
                <w:sz w:val="22"/>
              </w:rPr>
              <w:t>Respondent</w:t>
            </w:r>
          </w:p>
        </w:tc>
        <w:tc>
          <w:tcPr>
            <w:tcW w:w="1357" w:type="dxa"/>
            <w:shd w:val="clear" w:color="auto" w:fill="4BACC6" w:themeFill="accent5"/>
            <w:vAlign w:val="center"/>
          </w:tcPr>
          <w:p w:rsidRPr="00AD5336" w:rsidR="00ED2739" w:rsidP="00AD5336" w:rsidRDefault="00ED2739" w14:paraId="5D6C7338" w14:textId="77777777">
            <w:pPr>
              <w:widowControl/>
              <w:rPr>
                <w:rFonts w:ascii="Arial Narrow" w:hAnsi="Arial Narrow" w:cs="Arial"/>
                <w:b/>
                <w:bCs/>
                <w:color w:val="FFFFFF" w:themeColor="background1"/>
                <w:sz w:val="22"/>
              </w:rPr>
            </w:pPr>
            <w:r w:rsidRPr="00AD5336">
              <w:rPr>
                <w:rFonts w:ascii="Arial Narrow" w:hAnsi="Arial Narrow" w:cs="Arial"/>
                <w:b/>
                <w:bCs/>
                <w:color w:val="FFFFFF" w:themeColor="background1"/>
                <w:sz w:val="22"/>
              </w:rPr>
              <w:t>Total Burden</w:t>
            </w:r>
          </w:p>
          <w:p w:rsidRPr="00AD5336" w:rsidR="00ED2739" w:rsidP="00AD5336" w:rsidRDefault="00ED2739" w14:paraId="55F1F55C" w14:textId="21967F72">
            <w:pPr>
              <w:widowControl/>
              <w:rPr>
                <w:rFonts w:ascii="Arial Narrow" w:hAnsi="Arial Narrow" w:cs="Arial"/>
                <w:color w:val="FFFFFF" w:themeColor="background1"/>
                <w:sz w:val="22"/>
              </w:rPr>
            </w:pPr>
            <w:r w:rsidRPr="00AD5336">
              <w:rPr>
                <w:rFonts w:ascii="Arial Narrow" w:hAnsi="Arial Narrow" w:cs="Arial"/>
                <w:b/>
                <w:bCs/>
                <w:color w:val="FFFFFF" w:themeColor="background1"/>
                <w:sz w:val="22"/>
              </w:rPr>
              <w:t>Hours</w:t>
            </w:r>
          </w:p>
        </w:tc>
        <w:tc>
          <w:tcPr>
            <w:tcW w:w="1807" w:type="dxa"/>
            <w:shd w:val="clear" w:color="auto" w:fill="4BACC6" w:themeFill="accent5"/>
            <w:vAlign w:val="center"/>
          </w:tcPr>
          <w:p w:rsidRPr="00AD5336" w:rsidR="00ED2739" w:rsidP="00AD5336" w:rsidRDefault="00ED2739" w14:paraId="3E5EAA1B" w14:textId="77777777">
            <w:pPr>
              <w:widowControl/>
              <w:rPr>
                <w:rFonts w:ascii="Arial Narrow" w:hAnsi="Arial Narrow" w:cs="Arial"/>
                <w:b/>
                <w:bCs/>
                <w:color w:val="FFFFFF" w:themeColor="background1"/>
                <w:sz w:val="22"/>
              </w:rPr>
            </w:pPr>
            <w:r w:rsidRPr="00AD5336">
              <w:rPr>
                <w:rFonts w:ascii="Arial Narrow" w:hAnsi="Arial Narrow" w:cs="Arial"/>
                <w:b/>
                <w:bCs/>
                <w:color w:val="FFFFFF" w:themeColor="background1"/>
                <w:sz w:val="22"/>
              </w:rPr>
              <w:t>Hourly</w:t>
            </w:r>
          </w:p>
          <w:p w:rsidRPr="00AD5336" w:rsidR="00ED2739" w:rsidP="00AD5336" w:rsidRDefault="00ED2739" w14:paraId="23DA3FF4" w14:textId="25A40179">
            <w:pPr>
              <w:widowControl/>
              <w:rPr>
                <w:rFonts w:ascii="Arial Narrow" w:hAnsi="Arial Narrow" w:cs="Arial"/>
                <w:b/>
                <w:bCs/>
                <w:color w:val="FFFFFF" w:themeColor="background1"/>
                <w:sz w:val="22"/>
              </w:rPr>
            </w:pPr>
            <w:r w:rsidRPr="00AD5336">
              <w:rPr>
                <w:rFonts w:ascii="Arial Narrow" w:hAnsi="Arial Narrow" w:cs="Arial"/>
                <w:b/>
                <w:bCs/>
                <w:color w:val="FFFFFF" w:themeColor="background1"/>
                <w:sz w:val="22"/>
              </w:rPr>
              <w:t>Wage Rate</w:t>
            </w:r>
          </w:p>
        </w:tc>
        <w:tc>
          <w:tcPr>
            <w:tcW w:w="2347" w:type="dxa"/>
            <w:shd w:val="clear" w:color="auto" w:fill="4BACC6" w:themeFill="accent5"/>
            <w:vAlign w:val="center"/>
          </w:tcPr>
          <w:p w:rsidRPr="00AD5336" w:rsidR="00ED2739" w:rsidP="00AD5336" w:rsidRDefault="00ED2739" w14:paraId="1690FD2E" w14:textId="1FD93642">
            <w:pPr>
              <w:widowControl/>
              <w:rPr>
                <w:rFonts w:ascii="Arial Narrow" w:hAnsi="Arial Narrow" w:cs="Arial"/>
                <w:b/>
                <w:bCs/>
                <w:color w:val="FFFFFF" w:themeColor="background1"/>
                <w:sz w:val="22"/>
              </w:rPr>
            </w:pPr>
            <w:r w:rsidRPr="00AD5336">
              <w:rPr>
                <w:rFonts w:ascii="Arial Narrow" w:hAnsi="Arial Narrow" w:cs="Arial"/>
                <w:b/>
                <w:bCs/>
                <w:color w:val="FFFFFF" w:themeColor="background1"/>
                <w:sz w:val="22"/>
              </w:rPr>
              <w:t>Total Respondent Costs</w:t>
            </w:r>
          </w:p>
        </w:tc>
      </w:tr>
      <w:tr w:rsidRPr="00AD5336" w:rsidR="00ED2739" w:rsidTr="00B6695B" w14:paraId="7B9A263B" w14:textId="77777777">
        <w:trPr>
          <w:trHeight w:val="355"/>
        </w:trPr>
        <w:tc>
          <w:tcPr>
            <w:tcW w:w="2520" w:type="dxa"/>
          </w:tcPr>
          <w:p w:rsidRPr="00AD5336" w:rsidR="00ED2739" w:rsidP="00D16F2B" w:rsidRDefault="00B6695B" w14:paraId="532DA0DB" w14:textId="49AFC43A">
            <w:pPr>
              <w:spacing w:before="120"/>
              <w:rPr>
                <w:rFonts w:ascii="Arial Narrow" w:hAnsi="Arial Narrow" w:cs="Arial"/>
                <w:sz w:val="22"/>
              </w:rPr>
            </w:pPr>
            <w:r>
              <w:rPr>
                <w:rFonts w:ascii="Arial Narrow" w:hAnsi="Arial Narrow" w:cs="Arial"/>
                <w:sz w:val="22"/>
              </w:rPr>
              <w:t xml:space="preserve">Administrative Services Manager </w:t>
            </w:r>
            <w:r w:rsidR="00811340">
              <w:rPr>
                <w:rFonts w:ascii="Arial Narrow" w:hAnsi="Arial Narrow" w:cs="Arial"/>
                <w:sz w:val="22"/>
                <w:vertAlign w:val="superscript"/>
              </w:rPr>
              <w:t>a</w:t>
            </w:r>
          </w:p>
        </w:tc>
        <w:tc>
          <w:tcPr>
            <w:tcW w:w="1357" w:type="dxa"/>
          </w:tcPr>
          <w:p w:rsidRPr="00AD5336" w:rsidR="00ED2739" w:rsidP="007E030C" w:rsidRDefault="007E030C" w14:paraId="1880D1EB" w14:textId="5DF9D8E1">
            <w:pPr>
              <w:spacing w:before="120"/>
              <w:jc w:val="right"/>
              <w:rPr>
                <w:rFonts w:ascii="Arial Narrow" w:hAnsi="Arial Narrow" w:cs="Arial"/>
                <w:sz w:val="22"/>
              </w:rPr>
            </w:pPr>
            <w:r>
              <w:rPr>
                <w:rFonts w:ascii="Arial Narrow" w:hAnsi="Arial Narrow" w:cs="Arial"/>
                <w:sz w:val="22"/>
              </w:rPr>
              <w:t>8</w:t>
            </w:r>
          </w:p>
        </w:tc>
        <w:tc>
          <w:tcPr>
            <w:tcW w:w="1807" w:type="dxa"/>
          </w:tcPr>
          <w:p w:rsidRPr="00AD5336" w:rsidR="00ED2739" w:rsidP="00E50884" w:rsidRDefault="007A7B0B" w14:paraId="2101EE7A" w14:textId="6F5C8DBF">
            <w:pPr>
              <w:spacing w:before="120"/>
              <w:jc w:val="right"/>
              <w:rPr>
                <w:rFonts w:ascii="Arial Narrow" w:hAnsi="Arial Narrow" w:cs="Arial"/>
                <w:sz w:val="22"/>
              </w:rPr>
            </w:pPr>
            <w:r>
              <w:rPr>
                <w:rFonts w:ascii="Arial Narrow" w:hAnsi="Arial Narrow" w:cs="Arial"/>
                <w:sz w:val="22"/>
              </w:rPr>
              <w:t>$51.23</w:t>
            </w:r>
          </w:p>
        </w:tc>
        <w:tc>
          <w:tcPr>
            <w:tcW w:w="2347" w:type="dxa"/>
          </w:tcPr>
          <w:p w:rsidRPr="00AD5336" w:rsidR="00ED2739" w:rsidP="00E50884" w:rsidRDefault="007E030C" w14:paraId="62268A72" w14:textId="55020EE5">
            <w:pPr>
              <w:spacing w:before="120"/>
              <w:jc w:val="right"/>
              <w:rPr>
                <w:rFonts w:ascii="Arial Narrow" w:hAnsi="Arial Narrow" w:cs="Arial"/>
                <w:sz w:val="22"/>
              </w:rPr>
            </w:pPr>
            <w:r>
              <w:rPr>
                <w:rFonts w:ascii="Arial Narrow" w:hAnsi="Arial Narrow" w:cs="Arial"/>
                <w:sz w:val="22"/>
              </w:rPr>
              <w:t>$409.84</w:t>
            </w:r>
          </w:p>
        </w:tc>
      </w:tr>
      <w:tr w:rsidRPr="00AD5336" w:rsidR="00ED2739" w:rsidTr="00B6695B" w14:paraId="61497876" w14:textId="1AFF4740">
        <w:trPr>
          <w:trHeight w:val="401"/>
        </w:trPr>
        <w:tc>
          <w:tcPr>
            <w:tcW w:w="2520" w:type="dxa"/>
            <w:tcBorders>
              <w:top w:val="single" w:color="auto" w:sz="18" w:space="0"/>
            </w:tcBorders>
          </w:tcPr>
          <w:p w:rsidRPr="00AD5336" w:rsidR="00ED2739" w:rsidP="00E50884" w:rsidRDefault="00ED2739" w14:paraId="63B99812" w14:textId="23E17630">
            <w:pPr>
              <w:widowControl/>
              <w:spacing w:before="120"/>
              <w:rPr>
                <w:rFonts w:ascii="Arial Narrow" w:hAnsi="Arial Narrow" w:cs="Arial"/>
                <w:b/>
                <w:sz w:val="22"/>
              </w:rPr>
            </w:pPr>
            <w:r w:rsidRPr="00AD5336">
              <w:rPr>
                <w:rFonts w:ascii="Arial Narrow" w:hAnsi="Arial Narrow" w:cs="Arial"/>
                <w:b/>
                <w:sz w:val="22"/>
              </w:rPr>
              <w:t>Total</w:t>
            </w:r>
          </w:p>
        </w:tc>
        <w:tc>
          <w:tcPr>
            <w:tcW w:w="1357" w:type="dxa"/>
            <w:tcBorders>
              <w:top w:val="single" w:color="auto" w:sz="18" w:space="0"/>
            </w:tcBorders>
          </w:tcPr>
          <w:p w:rsidRPr="00AD5336" w:rsidR="00ED2739" w:rsidP="00C63AB8" w:rsidRDefault="00811340" w14:paraId="620BE771" w14:textId="7707C3ED">
            <w:pPr>
              <w:widowControl/>
              <w:spacing w:before="120"/>
              <w:jc w:val="right"/>
              <w:rPr>
                <w:rFonts w:ascii="Arial Narrow" w:hAnsi="Arial Narrow" w:cs="Arial"/>
                <w:b/>
                <w:sz w:val="22"/>
              </w:rPr>
            </w:pPr>
            <w:r>
              <w:rPr>
                <w:rFonts w:ascii="Arial Narrow" w:hAnsi="Arial Narrow" w:cs="Arial"/>
                <w:b/>
                <w:sz w:val="22"/>
              </w:rPr>
              <w:t>8</w:t>
            </w:r>
          </w:p>
        </w:tc>
        <w:tc>
          <w:tcPr>
            <w:tcW w:w="1807" w:type="dxa"/>
            <w:tcBorders>
              <w:top w:val="single" w:color="auto" w:sz="18" w:space="0"/>
            </w:tcBorders>
          </w:tcPr>
          <w:p w:rsidRPr="00AD5336" w:rsidR="00ED2739" w:rsidP="00E50884" w:rsidRDefault="00ED2739" w14:paraId="7DBAD262" w14:textId="186D7C93">
            <w:pPr>
              <w:widowControl/>
              <w:spacing w:before="120"/>
              <w:jc w:val="right"/>
              <w:rPr>
                <w:rFonts w:ascii="Arial Narrow" w:hAnsi="Arial Narrow" w:cs="Arial"/>
                <w:b/>
                <w:sz w:val="22"/>
              </w:rPr>
            </w:pPr>
          </w:p>
        </w:tc>
        <w:tc>
          <w:tcPr>
            <w:tcW w:w="2347" w:type="dxa"/>
            <w:tcBorders>
              <w:top w:val="single" w:color="auto" w:sz="18" w:space="0"/>
            </w:tcBorders>
          </w:tcPr>
          <w:p w:rsidRPr="00AD5336" w:rsidR="00ED2739" w:rsidP="00E50884" w:rsidRDefault="00663281" w14:paraId="0325EEDE" w14:textId="7FF459A6">
            <w:pPr>
              <w:widowControl/>
              <w:spacing w:before="120"/>
              <w:jc w:val="right"/>
              <w:rPr>
                <w:rFonts w:ascii="Arial Narrow" w:hAnsi="Arial Narrow" w:cs="Arial"/>
                <w:b/>
                <w:sz w:val="22"/>
              </w:rPr>
            </w:pPr>
            <w:r>
              <w:rPr>
                <w:rFonts w:ascii="Arial Narrow" w:hAnsi="Arial Narrow" w:cs="Arial"/>
                <w:b/>
                <w:sz w:val="22"/>
              </w:rPr>
              <w:t xml:space="preserve"> </w:t>
            </w:r>
            <w:r w:rsidR="00811340">
              <w:rPr>
                <w:rFonts w:ascii="Arial Narrow" w:hAnsi="Arial Narrow" w:cs="Arial"/>
                <w:b/>
                <w:sz w:val="22"/>
              </w:rPr>
              <w:t>$409.84</w:t>
            </w:r>
          </w:p>
        </w:tc>
      </w:tr>
    </w:tbl>
    <w:p w:rsidR="00D16F2B" w:rsidP="00D16F2B" w:rsidRDefault="00811340" w14:paraId="2B8EB9A4" w14:textId="3B1E19A5">
      <w:pPr>
        <w:rPr>
          <w:sz w:val="16"/>
        </w:rPr>
      </w:pPr>
      <w:r>
        <w:rPr>
          <w:sz w:val="16"/>
          <w:vertAlign w:val="superscript"/>
        </w:rPr>
        <w:t>a</w:t>
      </w:r>
      <w:r w:rsidRPr="00C610E9" w:rsidR="00D16F2B">
        <w:rPr>
          <w:sz w:val="16"/>
        </w:rPr>
        <w:t xml:space="preserve"> </w:t>
      </w:r>
      <w:r w:rsidR="00D16F2B">
        <w:rPr>
          <w:sz w:val="16"/>
        </w:rPr>
        <w:t>Jurisdiction TA Recipients</w:t>
      </w:r>
      <w:r w:rsidRPr="00D16F2B" w:rsidR="00D16F2B">
        <w:rPr>
          <w:sz w:val="16"/>
        </w:rPr>
        <w:t xml:space="preserve"> were classified as the </w:t>
      </w:r>
      <w:r w:rsidR="00C610E9">
        <w:rPr>
          <w:sz w:val="16"/>
        </w:rPr>
        <w:t>administrative services manager</w:t>
      </w:r>
      <w:r w:rsidRPr="00D16F2B" w:rsidR="00D16F2B">
        <w:rPr>
          <w:sz w:val="16"/>
        </w:rPr>
        <w:t xml:space="preserve"> respondent type and the identified hourly wage is based on the mean hourly wage for management analysts as reported in the 2019 OES by the BLS found at </w:t>
      </w:r>
      <w:hyperlink w:history="1" w:anchor="b29-0000.htm.b" r:id="rId14">
        <w:r w:rsidRPr="00C610E9" w:rsidR="00C610E9">
          <w:rPr>
            <w:rStyle w:val="Hyperlink"/>
            <w:sz w:val="16"/>
          </w:rPr>
          <w:t>https://www.bls.gov/oes/current/oes_nat.htm#b29-0000.htm</w:t>
        </w:r>
        <w:r w:rsidRPr="00E965B0" w:rsidR="00C610E9">
          <w:rPr>
            <w:rStyle w:val="Hyperlink"/>
            <w:sz w:val="16"/>
          </w:rPr>
          <w:t>.b</w:t>
        </w:r>
      </w:hyperlink>
      <w:r w:rsidR="00C610E9">
        <w:rPr>
          <w:sz w:val="16"/>
        </w:rPr>
        <w:t xml:space="preserve">. </w:t>
      </w:r>
    </w:p>
    <w:p w:rsidR="00D16F2B" w:rsidP="00AD5336" w:rsidRDefault="00D16F2B" w14:paraId="17A2EA3B" w14:textId="77777777">
      <w:pPr>
        <w:rPr>
          <w:sz w:val="16"/>
        </w:rPr>
      </w:pPr>
    </w:p>
    <w:p w:rsidRPr="00D16F2B" w:rsidR="00D16F2B" w:rsidP="00AD5336" w:rsidRDefault="00D16F2B" w14:paraId="61F19F86" w14:textId="77777777">
      <w:pPr>
        <w:rPr>
          <w:sz w:val="16"/>
        </w:rPr>
      </w:pPr>
    </w:p>
    <w:p w:rsidR="00AD5336" w:rsidP="00AD5336" w:rsidRDefault="00AD5336" w14:paraId="0E01F6E0" w14:textId="0CCA947A">
      <w:pPr>
        <w:widowControl/>
        <w:spacing w:before="120"/>
        <w:rPr>
          <w:b/>
          <w:i/>
          <w:sz w:val="24"/>
          <w:szCs w:val="28"/>
        </w:rPr>
      </w:pPr>
      <w:r w:rsidRPr="00AD5336">
        <w:rPr>
          <w:b/>
          <w:i/>
          <w:sz w:val="24"/>
          <w:szCs w:val="28"/>
        </w:rPr>
        <w:t xml:space="preserve">Exhibit </w:t>
      </w:r>
      <w:r w:rsidR="004865BE">
        <w:rPr>
          <w:b/>
          <w:i/>
          <w:sz w:val="24"/>
          <w:szCs w:val="28"/>
        </w:rPr>
        <w:t>9</w:t>
      </w:r>
      <w:r w:rsidRPr="00AD5336">
        <w:rPr>
          <w:b/>
          <w:i/>
          <w:sz w:val="24"/>
          <w:szCs w:val="28"/>
        </w:rPr>
        <w:t xml:space="preserve">. Annualized Cost Burden – Years 2 </w:t>
      </w:r>
      <w:r w:rsidR="007E030C">
        <w:rPr>
          <w:b/>
          <w:i/>
          <w:sz w:val="24"/>
          <w:szCs w:val="28"/>
        </w:rPr>
        <w:t>–</w:t>
      </w:r>
      <w:r w:rsidRPr="00AD5336">
        <w:rPr>
          <w:b/>
          <w:i/>
          <w:sz w:val="24"/>
          <w:szCs w:val="28"/>
        </w:rPr>
        <w:t xml:space="preserve"> 3</w:t>
      </w:r>
    </w:p>
    <w:tbl>
      <w:tblPr>
        <w:tblW w:w="80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357"/>
        <w:gridCol w:w="1807"/>
        <w:gridCol w:w="2347"/>
      </w:tblGrid>
      <w:tr w:rsidRPr="00AD5336" w:rsidR="007E030C" w:rsidTr="00A17A4D" w14:paraId="6E55507D" w14:textId="77777777">
        <w:trPr>
          <w:trHeight w:val="773"/>
        </w:trPr>
        <w:tc>
          <w:tcPr>
            <w:tcW w:w="2520" w:type="dxa"/>
            <w:shd w:val="clear" w:color="auto" w:fill="4BACC6" w:themeFill="accent5"/>
            <w:vAlign w:val="center"/>
          </w:tcPr>
          <w:p w:rsidRPr="00AD5336" w:rsidR="007E030C" w:rsidP="00A17A4D" w:rsidRDefault="007E030C" w14:paraId="6361DC61" w14:textId="77777777">
            <w:pPr>
              <w:widowControl/>
              <w:rPr>
                <w:rFonts w:ascii="Arial Narrow" w:hAnsi="Arial Narrow" w:cs="Arial"/>
                <w:b/>
                <w:bCs/>
                <w:color w:val="FFFFFF" w:themeColor="background1"/>
                <w:sz w:val="22"/>
              </w:rPr>
            </w:pPr>
            <w:r w:rsidRPr="00AD5336">
              <w:rPr>
                <w:rFonts w:ascii="Arial Narrow" w:hAnsi="Arial Narrow" w:cs="Arial"/>
                <w:b/>
                <w:bCs/>
                <w:color w:val="FFFFFF" w:themeColor="background1"/>
                <w:sz w:val="22"/>
              </w:rPr>
              <w:t>Type of</w:t>
            </w:r>
          </w:p>
          <w:p w:rsidRPr="00AD5336" w:rsidR="007E030C" w:rsidP="00A17A4D" w:rsidRDefault="007E030C" w14:paraId="3C50567F" w14:textId="77777777">
            <w:pPr>
              <w:widowControl/>
              <w:rPr>
                <w:rFonts w:ascii="Arial Narrow" w:hAnsi="Arial Narrow" w:cs="Arial"/>
                <w:b/>
                <w:bCs/>
                <w:color w:val="FFFFFF" w:themeColor="background1"/>
                <w:sz w:val="22"/>
              </w:rPr>
            </w:pPr>
            <w:r w:rsidRPr="00AD5336">
              <w:rPr>
                <w:rFonts w:ascii="Arial Narrow" w:hAnsi="Arial Narrow" w:cs="Arial"/>
                <w:b/>
                <w:bCs/>
                <w:color w:val="FFFFFF" w:themeColor="background1"/>
                <w:sz w:val="22"/>
              </w:rPr>
              <w:t>Respondent</w:t>
            </w:r>
          </w:p>
        </w:tc>
        <w:tc>
          <w:tcPr>
            <w:tcW w:w="1357" w:type="dxa"/>
            <w:shd w:val="clear" w:color="auto" w:fill="4BACC6" w:themeFill="accent5"/>
            <w:vAlign w:val="center"/>
          </w:tcPr>
          <w:p w:rsidRPr="00AD5336" w:rsidR="007E030C" w:rsidP="00A17A4D" w:rsidRDefault="007E030C" w14:paraId="71131722" w14:textId="77777777">
            <w:pPr>
              <w:widowControl/>
              <w:rPr>
                <w:rFonts w:ascii="Arial Narrow" w:hAnsi="Arial Narrow" w:cs="Arial"/>
                <w:b/>
                <w:bCs/>
                <w:color w:val="FFFFFF" w:themeColor="background1"/>
                <w:sz w:val="22"/>
              </w:rPr>
            </w:pPr>
            <w:r w:rsidRPr="00AD5336">
              <w:rPr>
                <w:rFonts w:ascii="Arial Narrow" w:hAnsi="Arial Narrow" w:cs="Arial"/>
                <w:b/>
                <w:bCs/>
                <w:color w:val="FFFFFF" w:themeColor="background1"/>
                <w:sz w:val="22"/>
              </w:rPr>
              <w:t>Total Burden</w:t>
            </w:r>
          </w:p>
          <w:p w:rsidRPr="00AD5336" w:rsidR="007E030C" w:rsidP="00A17A4D" w:rsidRDefault="007E030C" w14:paraId="046B5AC2" w14:textId="77777777">
            <w:pPr>
              <w:widowControl/>
              <w:rPr>
                <w:rFonts w:ascii="Arial Narrow" w:hAnsi="Arial Narrow" w:cs="Arial"/>
                <w:color w:val="FFFFFF" w:themeColor="background1"/>
                <w:sz w:val="22"/>
              </w:rPr>
            </w:pPr>
            <w:r w:rsidRPr="00AD5336">
              <w:rPr>
                <w:rFonts w:ascii="Arial Narrow" w:hAnsi="Arial Narrow" w:cs="Arial"/>
                <w:b/>
                <w:bCs/>
                <w:color w:val="FFFFFF" w:themeColor="background1"/>
                <w:sz w:val="22"/>
              </w:rPr>
              <w:t>Hours</w:t>
            </w:r>
          </w:p>
        </w:tc>
        <w:tc>
          <w:tcPr>
            <w:tcW w:w="1807" w:type="dxa"/>
            <w:shd w:val="clear" w:color="auto" w:fill="4BACC6" w:themeFill="accent5"/>
            <w:vAlign w:val="center"/>
          </w:tcPr>
          <w:p w:rsidRPr="00AD5336" w:rsidR="007E030C" w:rsidP="00A17A4D" w:rsidRDefault="007E030C" w14:paraId="25856B11" w14:textId="77777777">
            <w:pPr>
              <w:widowControl/>
              <w:rPr>
                <w:rFonts w:ascii="Arial Narrow" w:hAnsi="Arial Narrow" w:cs="Arial"/>
                <w:b/>
                <w:bCs/>
                <w:color w:val="FFFFFF" w:themeColor="background1"/>
                <w:sz w:val="22"/>
              </w:rPr>
            </w:pPr>
            <w:r w:rsidRPr="00AD5336">
              <w:rPr>
                <w:rFonts w:ascii="Arial Narrow" w:hAnsi="Arial Narrow" w:cs="Arial"/>
                <w:b/>
                <w:bCs/>
                <w:color w:val="FFFFFF" w:themeColor="background1"/>
                <w:sz w:val="22"/>
              </w:rPr>
              <w:t>Hourly</w:t>
            </w:r>
          </w:p>
          <w:p w:rsidRPr="00AD5336" w:rsidR="007E030C" w:rsidP="00A17A4D" w:rsidRDefault="007E030C" w14:paraId="0A69338F" w14:textId="77777777">
            <w:pPr>
              <w:widowControl/>
              <w:rPr>
                <w:rFonts w:ascii="Arial Narrow" w:hAnsi="Arial Narrow" w:cs="Arial"/>
                <w:b/>
                <w:bCs/>
                <w:color w:val="FFFFFF" w:themeColor="background1"/>
                <w:sz w:val="22"/>
              </w:rPr>
            </w:pPr>
            <w:r w:rsidRPr="00AD5336">
              <w:rPr>
                <w:rFonts w:ascii="Arial Narrow" w:hAnsi="Arial Narrow" w:cs="Arial"/>
                <w:b/>
                <w:bCs/>
                <w:color w:val="FFFFFF" w:themeColor="background1"/>
                <w:sz w:val="22"/>
              </w:rPr>
              <w:t>Wage Rate</w:t>
            </w:r>
          </w:p>
        </w:tc>
        <w:tc>
          <w:tcPr>
            <w:tcW w:w="2347" w:type="dxa"/>
            <w:shd w:val="clear" w:color="auto" w:fill="4BACC6" w:themeFill="accent5"/>
            <w:vAlign w:val="center"/>
          </w:tcPr>
          <w:p w:rsidRPr="00AD5336" w:rsidR="007E030C" w:rsidP="00A17A4D" w:rsidRDefault="007E030C" w14:paraId="00EBBA43" w14:textId="77777777">
            <w:pPr>
              <w:widowControl/>
              <w:rPr>
                <w:rFonts w:ascii="Arial Narrow" w:hAnsi="Arial Narrow" w:cs="Arial"/>
                <w:b/>
                <w:bCs/>
                <w:color w:val="FFFFFF" w:themeColor="background1"/>
                <w:sz w:val="22"/>
              </w:rPr>
            </w:pPr>
            <w:r w:rsidRPr="00AD5336">
              <w:rPr>
                <w:rFonts w:ascii="Arial Narrow" w:hAnsi="Arial Narrow" w:cs="Arial"/>
                <w:b/>
                <w:bCs/>
                <w:color w:val="FFFFFF" w:themeColor="background1"/>
                <w:sz w:val="22"/>
              </w:rPr>
              <w:t>Total Respondent Costs</w:t>
            </w:r>
          </w:p>
        </w:tc>
      </w:tr>
      <w:tr w:rsidRPr="00AD5336" w:rsidR="007E030C" w:rsidTr="00A17A4D" w14:paraId="04CF3F15" w14:textId="77777777">
        <w:trPr>
          <w:trHeight w:val="355"/>
        </w:trPr>
        <w:tc>
          <w:tcPr>
            <w:tcW w:w="2520" w:type="dxa"/>
          </w:tcPr>
          <w:p w:rsidRPr="00AD5336" w:rsidR="007E030C" w:rsidP="0044771A" w:rsidRDefault="007E030C" w14:paraId="59FDB56F" w14:textId="546C94FB">
            <w:pPr>
              <w:spacing w:before="120"/>
              <w:rPr>
                <w:rFonts w:ascii="Arial Narrow" w:hAnsi="Arial Narrow" w:cs="Arial"/>
                <w:sz w:val="22"/>
              </w:rPr>
            </w:pPr>
          </w:p>
        </w:tc>
        <w:tc>
          <w:tcPr>
            <w:tcW w:w="1357" w:type="dxa"/>
          </w:tcPr>
          <w:p w:rsidRPr="00AD5336" w:rsidR="007E030C" w:rsidP="00A17A4D" w:rsidRDefault="007E030C" w14:paraId="75264999" w14:textId="649C4283">
            <w:pPr>
              <w:spacing w:before="120"/>
              <w:jc w:val="right"/>
              <w:rPr>
                <w:rFonts w:ascii="Arial Narrow" w:hAnsi="Arial Narrow" w:cs="Arial"/>
                <w:sz w:val="22"/>
              </w:rPr>
            </w:pPr>
          </w:p>
        </w:tc>
        <w:tc>
          <w:tcPr>
            <w:tcW w:w="1807" w:type="dxa"/>
          </w:tcPr>
          <w:p w:rsidRPr="00AD5336" w:rsidR="007E030C" w:rsidP="00A17A4D" w:rsidRDefault="007E030C" w14:paraId="58E27076" w14:textId="59B099EB">
            <w:pPr>
              <w:spacing w:before="120"/>
              <w:jc w:val="right"/>
              <w:rPr>
                <w:rFonts w:ascii="Arial Narrow" w:hAnsi="Arial Narrow" w:cs="Arial"/>
                <w:sz w:val="22"/>
              </w:rPr>
            </w:pPr>
          </w:p>
        </w:tc>
        <w:tc>
          <w:tcPr>
            <w:tcW w:w="2347" w:type="dxa"/>
          </w:tcPr>
          <w:p w:rsidRPr="00AD5336" w:rsidR="007E030C" w:rsidP="00A17A4D" w:rsidRDefault="007E030C" w14:paraId="02013EB4" w14:textId="670DAFA6">
            <w:pPr>
              <w:spacing w:before="120"/>
              <w:jc w:val="right"/>
              <w:rPr>
                <w:rFonts w:ascii="Arial Narrow" w:hAnsi="Arial Narrow" w:cs="Arial"/>
                <w:sz w:val="22"/>
              </w:rPr>
            </w:pPr>
          </w:p>
        </w:tc>
      </w:tr>
      <w:tr w:rsidRPr="00AD5336" w:rsidR="007E030C" w:rsidTr="00A17A4D" w14:paraId="366D1FB4" w14:textId="77777777">
        <w:trPr>
          <w:trHeight w:val="355"/>
        </w:trPr>
        <w:tc>
          <w:tcPr>
            <w:tcW w:w="2520" w:type="dxa"/>
          </w:tcPr>
          <w:p w:rsidRPr="00AD5336" w:rsidR="007E030C" w:rsidP="0044771A" w:rsidRDefault="007E030C" w14:paraId="1DB3CB3F" w14:textId="131866FF">
            <w:pPr>
              <w:spacing w:before="120"/>
              <w:rPr>
                <w:rFonts w:ascii="Arial Narrow" w:hAnsi="Arial Narrow" w:cs="Arial"/>
                <w:sz w:val="22"/>
              </w:rPr>
            </w:pPr>
            <w:r>
              <w:rPr>
                <w:rFonts w:ascii="Arial Narrow" w:hAnsi="Arial Narrow" w:cs="Arial"/>
                <w:sz w:val="22"/>
              </w:rPr>
              <w:t xml:space="preserve">Administrative Services Manager </w:t>
            </w:r>
            <w:r w:rsidR="00811340">
              <w:rPr>
                <w:rFonts w:ascii="Arial Narrow" w:hAnsi="Arial Narrow" w:cs="Arial"/>
                <w:sz w:val="22"/>
                <w:vertAlign w:val="superscript"/>
              </w:rPr>
              <w:t>a</w:t>
            </w:r>
          </w:p>
        </w:tc>
        <w:tc>
          <w:tcPr>
            <w:tcW w:w="1357" w:type="dxa"/>
          </w:tcPr>
          <w:p w:rsidRPr="00AD5336" w:rsidR="007E030C" w:rsidP="0044771A" w:rsidRDefault="00E71093" w14:paraId="1588E65A" w14:textId="23689862">
            <w:pPr>
              <w:spacing w:before="120"/>
              <w:jc w:val="right"/>
              <w:rPr>
                <w:rFonts w:ascii="Arial Narrow" w:hAnsi="Arial Narrow" w:cs="Arial"/>
                <w:sz w:val="22"/>
              </w:rPr>
            </w:pPr>
            <w:r>
              <w:rPr>
                <w:rFonts w:ascii="Arial Narrow" w:hAnsi="Arial Narrow" w:cs="Arial"/>
                <w:sz w:val="22"/>
              </w:rPr>
              <w:t>36</w:t>
            </w:r>
          </w:p>
        </w:tc>
        <w:tc>
          <w:tcPr>
            <w:tcW w:w="1807" w:type="dxa"/>
          </w:tcPr>
          <w:p w:rsidRPr="00AD5336" w:rsidR="007E030C" w:rsidP="00A17A4D" w:rsidRDefault="007E030C" w14:paraId="3FF9D74F" w14:textId="77777777">
            <w:pPr>
              <w:spacing w:before="120"/>
              <w:jc w:val="right"/>
              <w:rPr>
                <w:rFonts w:ascii="Arial Narrow" w:hAnsi="Arial Narrow" w:cs="Arial"/>
                <w:sz w:val="22"/>
              </w:rPr>
            </w:pPr>
            <w:r>
              <w:rPr>
                <w:rFonts w:ascii="Arial Narrow" w:hAnsi="Arial Narrow" w:cs="Arial"/>
                <w:sz w:val="22"/>
              </w:rPr>
              <w:t>$51.23</w:t>
            </w:r>
          </w:p>
        </w:tc>
        <w:tc>
          <w:tcPr>
            <w:tcW w:w="2347" w:type="dxa"/>
          </w:tcPr>
          <w:p w:rsidRPr="00AD5336" w:rsidR="007E030C" w:rsidP="00E71093" w:rsidRDefault="00C63AB8" w14:paraId="6EC5D444" w14:textId="13329A20">
            <w:pPr>
              <w:spacing w:before="120"/>
              <w:jc w:val="right"/>
              <w:rPr>
                <w:rFonts w:ascii="Arial Narrow" w:hAnsi="Arial Narrow" w:cs="Arial"/>
                <w:sz w:val="22"/>
              </w:rPr>
            </w:pPr>
            <w:r>
              <w:rPr>
                <w:rFonts w:ascii="Arial Narrow" w:hAnsi="Arial Narrow" w:cs="Arial"/>
                <w:sz w:val="22"/>
              </w:rPr>
              <w:t>$</w:t>
            </w:r>
            <w:r w:rsidR="00E71093">
              <w:rPr>
                <w:rFonts w:ascii="Arial Narrow" w:hAnsi="Arial Narrow" w:cs="Arial"/>
                <w:sz w:val="22"/>
              </w:rPr>
              <w:t>1,844.28</w:t>
            </w:r>
          </w:p>
        </w:tc>
      </w:tr>
      <w:tr w:rsidRPr="00AD5336" w:rsidR="007E030C" w:rsidTr="00A17A4D" w14:paraId="4B43A8A0" w14:textId="77777777">
        <w:trPr>
          <w:trHeight w:val="355"/>
        </w:trPr>
        <w:tc>
          <w:tcPr>
            <w:tcW w:w="2520" w:type="dxa"/>
            <w:tcBorders>
              <w:bottom w:val="single" w:color="auto" w:sz="4" w:space="0"/>
            </w:tcBorders>
          </w:tcPr>
          <w:p w:rsidRPr="00AD5336" w:rsidR="007E030C" w:rsidP="00392C08" w:rsidRDefault="007E030C" w14:paraId="04114745" w14:textId="2A34097F">
            <w:pPr>
              <w:spacing w:before="120"/>
              <w:rPr>
                <w:rFonts w:ascii="Arial Narrow" w:hAnsi="Arial Narrow" w:cs="Arial"/>
                <w:sz w:val="22"/>
              </w:rPr>
            </w:pPr>
            <w:r>
              <w:rPr>
                <w:rFonts w:ascii="Arial Narrow" w:hAnsi="Arial Narrow" w:cs="Arial"/>
                <w:sz w:val="22"/>
              </w:rPr>
              <w:t xml:space="preserve">Operations Research Analyst </w:t>
            </w:r>
            <w:r w:rsidR="00663281">
              <w:rPr>
                <w:rFonts w:ascii="Arial Narrow" w:hAnsi="Arial Narrow" w:cs="Arial"/>
                <w:sz w:val="22"/>
                <w:vertAlign w:val="superscript"/>
              </w:rPr>
              <w:t>b</w:t>
            </w:r>
          </w:p>
        </w:tc>
        <w:tc>
          <w:tcPr>
            <w:tcW w:w="1357" w:type="dxa"/>
            <w:tcBorders>
              <w:bottom w:val="single" w:color="auto" w:sz="4" w:space="0"/>
            </w:tcBorders>
          </w:tcPr>
          <w:p w:rsidRPr="00AD5336" w:rsidR="007E030C" w:rsidP="00C63AB8" w:rsidRDefault="00663281" w14:paraId="25E7D312" w14:textId="7542BB46">
            <w:pPr>
              <w:spacing w:before="120"/>
              <w:jc w:val="right"/>
              <w:rPr>
                <w:rFonts w:ascii="Arial Narrow" w:hAnsi="Arial Narrow" w:cs="Arial"/>
                <w:sz w:val="22"/>
              </w:rPr>
            </w:pPr>
            <w:r>
              <w:rPr>
                <w:rFonts w:ascii="Arial Narrow" w:hAnsi="Arial Narrow" w:cs="Arial"/>
                <w:sz w:val="22"/>
              </w:rPr>
              <w:t>36</w:t>
            </w:r>
          </w:p>
        </w:tc>
        <w:tc>
          <w:tcPr>
            <w:tcW w:w="1807" w:type="dxa"/>
            <w:tcBorders>
              <w:bottom w:val="single" w:color="auto" w:sz="4" w:space="0"/>
            </w:tcBorders>
          </w:tcPr>
          <w:p w:rsidRPr="00AD5336" w:rsidR="007E030C" w:rsidP="00A17A4D" w:rsidRDefault="007E030C" w14:paraId="49992B6F" w14:textId="77777777">
            <w:pPr>
              <w:spacing w:before="120"/>
              <w:jc w:val="right"/>
              <w:rPr>
                <w:rFonts w:ascii="Arial Narrow" w:hAnsi="Arial Narrow" w:cs="Arial"/>
                <w:sz w:val="22"/>
              </w:rPr>
            </w:pPr>
            <w:r>
              <w:rPr>
                <w:rFonts w:ascii="Arial Narrow" w:hAnsi="Arial Narrow" w:cs="Arial"/>
                <w:sz w:val="22"/>
              </w:rPr>
              <w:t>$43.56</w:t>
            </w:r>
          </w:p>
        </w:tc>
        <w:tc>
          <w:tcPr>
            <w:tcW w:w="2347" w:type="dxa"/>
            <w:tcBorders>
              <w:bottom w:val="single" w:color="auto" w:sz="4" w:space="0"/>
            </w:tcBorders>
          </w:tcPr>
          <w:p w:rsidRPr="00AD5336" w:rsidR="007E030C" w:rsidP="00B941B6" w:rsidRDefault="00663281" w14:paraId="14242F9F" w14:textId="2B5787C3">
            <w:pPr>
              <w:spacing w:before="120"/>
              <w:jc w:val="right"/>
              <w:rPr>
                <w:rFonts w:ascii="Arial Narrow" w:hAnsi="Arial Narrow" w:cs="Arial"/>
                <w:sz w:val="22"/>
              </w:rPr>
            </w:pPr>
            <w:r>
              <w:rPr>
                <w:rFonts w:ascii="Arial Narrow" w:hAnsi="Arial Narrow" w:cs="Arial"/>
                <w:sz w:val="22"/>
              </w:rPr>
              <w:t>$1,568.16</w:t>
            </w:r>
          </w:p>
        </w:tc>
      </w:tr>
      <w:tr w:rsidRPr="00AD5336" w:rsidR="007E030C" w:rsidTr="00A17A4D" w14:paraId="3DA52368" w14:textId="77777777">
        <w:trPr>
          <w:trHeight w:val="401"/>
        </w:trPr>
        <w:tc>
          <w:tcPr>
            <w:tcW w:w="2520" w:type="dxa"/>
            <w:tcBorders>
              <w:top w:val="single" w:color="auto" w:sz="18" w:space="0"/>
            </w:tcBorders>
          </w:tcPr>
          <w:p w:rsidRPr="00AD5336" w:rsidR="007E030C" w:rsidP="00A17A4D" w:rsidRDefault="007E030C" w14:paraId="7DA8CEFF" w14:textId="77777777">
            <w:pPr>
              <w:widowControl/>
              <w:spacing w:before="120"/>
              <w:rPr>
                <w:rFonts w:ascii="Arial Narrow" w:hAnsi="Arial Narrow" w:cs="Arial"/>
                <w:b/>
                <w:sz w:val="22"/>
              </w:rPr>
            </w:pPr>
            <w:r w:rsidRPr="00AD5336">
              <w:rPr>
                <w:rFonts w:ascii="Arial Narrow" w:hAnsi="Arial Narrow" w:cs="Arial"/>
                <w:b/>
                <w:sz w:val="22"/>
              </w:rPr>
              <w:t>Total</w:t>
            </w:r>
          </w:p>
        </w:tc>
        <w:tc>
          <w:tcPr>
            <w:tcW w:w="1357" w:type="dxa"/>
            <w:tcBorders>
              <w:top w:val="single" w:color="auto" w:sz="18" w:space="0"/>
            </w:tcBorders>
          </w:tcPr>
          <w:p w:rsidRPr="00AD5336" w:rsidR="007E030C" w:rsidP="00C63AB8" w:rsidRDefault="00663281" w14:paraId="501A1AC6" w14:textId="13383F29">
            <w:pPr>
              <w:widowControl/>
              <w:spacing w:before="120"/>
              <w:jc w:val="right"/>
              <w:rPr>
                <w:rFonts w:ascii="Arial Narrow" w:hAnsi="Arial Narrow" w:cs="Arial"/>
                <w:b/>
                <w:sz w:val="22"/>
              </w:rPr>
            </w:pPr>
            <w:r>
              <w:rPr>
                <w:rFonts w:ascii="Arial Narrow" w:hAnsi="Arial Narrow" w:cs="Arial"/>
                <w:b/>
                <w:sz w:val="22"/>
              </w:rPr>
              <w:t>72</w:t>
            </w:r>
          </w:p>
        </w:tc>
        <w:tc>
          <w:tcPr>
            <w:tcW w:w="1807" w:type="dxa"/>
            <w:tcBorders>
              <w:top w:val="single" w:color="auto" w:sz="18" w:space="0"/>
            </w:tcBorders>
          </w:tcPr>
          <w:p w:rsidRPr="00AD5336" w:rsidR="007E030C" w:rsidP="00A17A4D" w:rsidRDefault="007E030C" w14:paraId="14820DCD" w14:textId="77777777">
            <w:pPr>
              <w:widowControl/>
              <w:spacing w:before="120"/>
              <w:jc w:val="right"/>
              <w:rPr>
                <w:rFonts w:ascii="Arial Narrow" w:hAnsi="Arial Narrow" w:cs="Arial"/>
                <w:b/>
                <w:sz w:val="22"/>
              </w:rPr>
            </w:pPr>
          </w:p>
        </w:tc>
        <w:tc>
          <w:tcPr>
            <w:tcW w:w="2347" w:type="dxa"/>
            <w:tcBorders>
              <w:top w:val="single" w:color="auto" w:sz="18" w:space="0"/>
            </w:tcBorders>
          </w:tcPr>
          <w:p w:rsidRPr="00AD5336" w:rsidR="007E030C" w:rsidP="00B941B6" w:rsidRDefault="00663281" w14:paraId="5C582C37" w14:textId="2FBDBD48">
            <w:pPr>
              <w:widowControl/>
              <w:spacing w:before="120"/>
              <w:jc w:val="right"/>
              <w:rPr>
                <w:rFonts w:ascii="Arial Narrow" w:hAnsi="Arial Narrow" w:cs="Arial"/>
                <w:b/>
                <w:sz w:val="22"/>
              </w:rPr>
            </w:pPr>
            <w:r>
              <w:rPr>
                <w:rFonts w:ascii="Arial Narrow" w:hAnsi="Arial Narrow" w:cs="Arial"/>
                <w:b/>
                <w:sz w:val="22"/>
              </w:rPr>
              <w:t xml:space="preserve"> $3,412.44</w:t>
            </w:r>
          </w:p>
        </w:tc>
      </w:tr>
    </w:tbl>
    <w:p w:rsidR="00B7236F" w:rsidP="00C610E9" w:rsidRDefault="00811340" w14:paraId="0B00E7D2" w14:textId="7CC34455">
      <w:pPr>
        <w:rPr>
          <w:sz w:val="16"/>
        </w:rPr>
      </w:pPr>
      <w:r>
        <w:rPr>
          <w:sz w:val="16"/>
          <w:vertAlign w:val="superscript"/>
        </w:rPr>
        <w:t>a</w:t>
      </w:r>
      <w:r w:rsidR="00C610E9">
        <w:rPr>
          <w:sz w:val="24"/>
        </w:rPr>
        <w:t xml:space="preserve"> </w:t>
      </w:r>
      <w:r w:rsidR="00C610E9">
        <w:rPr>
          <w:sz w:val="16"/>
        </w:rPr>
        <w:t>Jurisdiction TA Recipients</w:t>
      </w:r>
      <w:r w:rsidRPr="00D16F2B" w:rsidR="00C610E9">
        <w:rPr>
          <w:sz w:val="16"/>
        </w:rPr>
        <w:t xml:space="preserve"> </w:t>
      </w:r>
      <w:r w:rsidR="00C610E9">
        <w:rPr>
          <w:sz w:val="16"/>
        </w:rPr>
        <w:t xml:space="preserve">and Policy Stakeholders </w:t>
      </w:r>
      <w:r w:rsidRPr="00D16F2B" w:rsidR="00C610E9">
        <w:rPr>
          <w:sz w:val="16"/>
        </w:rPr>
        <w:t xml:space="preserve">were classified as the </w:t>
      </w:r>
      <w:r w:rsidR="00C610E9">
        <w:rPr>
          <w:sz w:val="16"/>
        </w:rPr>
        <w:t>administrative services manager</w:t>
      </w:r>
      <w:r w:rsidRPr="00D16F2B" w:rsidR="00C610E9">
        <w:rPr>
          <w:sz w:val="16"/>
        </w:rPr>
        <w:t xml:space="preserve"> respondent type and the identified hourly wage is based on the mean hourly wage for </w:t>
      </w:r>
      <w:r w:rsidR="00B7236F">
        <w:rPr>
          <w:sz w:val="16"/>
        </w:rPr>
        <w:t>administrative service managers</w:t>
      </w:r>
      <w:r w:rsidRPr="00D16F2B" w:rsidR="00C610E9">
        <w:rPr>
          <w:sz w:val="16"/>
        </w:rPr>
        <w:t xml:space="preserve"> as reported in the 2019 OES by the BLS found at </w:t>
      </w:r>
      <w:hyperlink w:history="1" w:anchor="b29-0000.htm.b" r:id="rId15">
        <w:r w:rsidRPr="00C610E9" w:rsidR="00C610E9">
          <w:rPr>
            <w:rStyle w:val="Hyperlink"/>
            <w:sz w:val="16"/>
          </w:rPr>
          <w:t>https://www.bls.gov/oes/current/oes_nat.htm#b29-0000.htm</w:t>
        </w:r>
        <w:r w:rsidRPr="00E965B0" w:rsidR="00C610E9">
          <w:rPr>
            <w:rStyle w:val="Hyperlink"/>
            <w:sz w:val="16"/>
          </w:rPr>
          <w:t>.b</w:t>
        </w:r>
      </w:hyperlink>
      <w:r w:rsidR="00C610E9">
        <w:rPr>
          <w:sz w:val="16"/>
        </w:rPr>
        <w:t>.</w:t>
      </w:r>
    </w:p>
    <w:p w:rsidRPr="00AD5336" w:rsidR="007E030C" w:rsidP="00B7236F" w:rsidRDefault="00663281" w14:paraId="62BAF92B" w14:textId="2E488106">
      <w:pPr>
        <w:rPr>
          <w:b/>
          <w:i/>
          <w:sz w:val="24"/>
          <w:szCs w:val="28"/>
        </w:rPr>
      </w:pPr>
      <w:r>
        <w:rPr>
          <w:sz w:val="16"/>
          <w:vertAlign w:val="superscript"/>
        </w:rPr>
        <w:t>b</w:t>
      </w:r>
      <w:r w:rsidR="00B7236F">
        <w:rPr>
          <w:sz w:val="16"/>
        </w:rPr>
        <w:t>Data End-Users were c</w:t>
      </w:r>
      <w:r w:rsidRPr="00D16F2B" w:rsidR="00B7236F">
        <w:rPr>
          <w:sz w:val="16"/>
        </w:rPr>
        <w:t xml:space="preserve">lassified as the </w:t>
      </w:r>
      <w:r w:rsidR="00B7236F">
        <w:rPr>
          <w:sz w:val="16"/>
        </w:rPr>
        <w:t>operations research analyst</w:t>
      </w:r>
      <w:r w:rsidRPr="00D16F2B" w:rsidR="00B7236F">
        <w:rPr>
          <w:sz w:val="16"/>
        </w:rPr>
        <w:t xml:space="preserve"> respondent type and the identified hourly wage is based on the mean hourly wage for </w:t>
      </w:r>
      <w:r w:rsidR="00B7236F">
        <w:rPr>
          <w:sz w:val="16"/>
        </w:rPr>
        <w:t xml:space="preserve">operations research analysts </w:t>
      </w:r>
      <w:r w:rsidRPr="00D16F2B" w:rsidR="00B7236F">
        <w:rPr>
          <w:sz w:val="16"/>
        </w:rPr>
        <w:t xml:space="preserve">as reported in the 2019 OES by the BLS found at </w:t>
      </w:r>
      <w:hyperlink w:history="1" w:anchor="b29-0000.htm.b" r:id="rId16">
        <w:r w:rsidRPr="00C610E9" w:rsidR="00B7236F">
          <w:rPr>
            <w:rStyle w:val="Hyperlink"/>
            <w:sz w:val="16"/>
          </w:rPr>
          <w:t>https://www.bls.gov/oes/current/oes_nat.htm#b29-0000.htm</w:t>
        </w:r>
        <w:r w:rsidRPr="00E965B0" w:rsidR="00B7236F">
          <w:rPr>
            <w:rStyle w:val="Hyperlink"/>
            <w:sz w:val="16"/>
          </w:rPr>
          <w:t>.b</w:t>
        </w:r>
      </w:hyperlink>
      <w:r w:rsidR="00B7236F">
        <w:rPr>
          <w:sz w:val="16"/>
        </w:rPr>
        <w:t>.</w:t>
      </w:r>
      <w:r w:rsidR="00C610E9">
        <w:rPr>
          <w:sz w:val="16"/>
        </w:rPr>
        <w:t xml:space="preserve"> </w:t>
      </w:r>
    </w:p>
    <w:p w:rsidRPr="00ED2739" w:rsidR="00ED2739" w:rsidP="00024782" w:rsidRDefault="00ED2739" w14:paraId="55054AC4" w14:textId="76541205">
      <w:pPr>
        <w:numPr>
          <w:ilvl w:val="0"/>
          <w:numId w:val="1"/>
        </w:numPr>
        <w:spacing w:before="240"/>
        <w:rPr>
          <w:b/>
          <w:sz w:val="24"/>
          <w:u w:val="single"/>
        </w:rPr>
      </w:pPr>
      <w:r w:rsidRPr="00ED2739">
        <w:rPr>
          <w:b/>
          <w:sz w:val="24"/>
          <w:u w:val="single"/>
        </w:rPr>
        <w:t>Estimates of other Total Annual Cost Burden to Respondents or Recordkeepers/Capital Costs</w:t>
      </w:r>
    </w:p>
    <w:p w:rsidR="00F348E7" w:rsidP="00ED2739" w:rsidRDefault="00F348E7" w14:paraId="44F96411" w14:textId="77777777">
      <w:pPr>
        <w:pStyle w:val="BodyText"/>
        <w:spacing w:line="276" w:lineRule="auto"/>
        <w:rPr>
          <w:sz w:val="24"/>
        </w:rPr>
      </w:pPr>
    </w:p>
    <w:p w:rsidR="00ED2739" w:rsidP="00ED2739" w:rsidRDefault="00ED2739" w14:paraId="47122349" w14:textId="5E992ACA">
      <w:pPr>
        <w:pStyle w:val="BodyText"/>
        <w:spacing w:line="276" w:lineRule="auto"/>
        <w:rPr>
          <w:sz w:val="24"/>
        </w:rPr>
      </w:pPr>
      <w:r>
        <w:rPr>
          <w:sz w:val="24"/>
        </w:rPr>
        <w:t>Other than their time, there is no cost to respondents</w:t>
      </w:r>
      <w:r w:rsidRPr="00130C9D">
        <w:rPr>
          <w:sz w:val="24"/>
        </w:rPr>
        <w:t>.</w:t>
      </w:r>
    </w:p>
    <w:p w:rsidRPr="00BF4233" w:rsidR="00067B31" w:rsidP="00ED2739" w:rsidRDefault="00067B31" w14:paraId="350B5F46" w14:textId="77777777">
      <w:pPr>
        <w:pStyle w:val="BodyText"/>
        <w:spacing w:line="276" w:lineRule="auto"/>
        <w:rPr>
          <w:sz w:val="24"/>
        </w:rPr>
      </w:pPr>
    </w:p>
    <w:p w:rsidR="00F348E7" w:rsidP="00F348E7" w:rsidRDefault="009B3794" w14:paraId="7AACF4FE" w14:textId="77777777">
      <w:pPr>
        <w:numPr>
          <w:ilvl w:val="0"/>
          <w:numId w:val="1"/>
        </w:numPr>
        <w:spacing w:before="240"/>
        <w:rPr>
          <w:b/>
          <w:sz w:val="24"/>
        </w:rPr>
      </w:pPr>
      <w:r w:rsidRPr="00545B2E">
        <w:rPr>
          <w:b/>
          <w:sz w:val="24"/>
          <w:u w:val="single"/>
        </w:rPr>
        <w:lastRenderedPageBreak/>
        <w:t>Annualized Cost to Federal Government</w:t>
      </w:r>
    </w:p>
    <w:p w:rsidRPr="00F348E7" w:rsidR="00595E17" w:rsidP="00F348E7" w:rsidRDefault="00595E17" w14:paraId="5153E1CE" w14:textId="7C118F4A">
      <w:pPr>
        <w:spacing w:before="240"/>
        <w:rPr>
          <w:b/>
          <w:sz w:val="24"/>
        </w:rPr>
      </w:pPr>
      <w:r w:rsidRPr="00F348E7">
        <w:rPr>
          <w:sz w:val="24"/>
        </w:rPr>
        <w:t>The total cost of this fixed-price contract that supports this three-year informat</w:t>
      </w:r>
      <w:r w:rsidRPr="00F348E7" w:rsidR="00B22255">
        <w:rPr>
          <w:sz w:val="24"/>
        </w:rPr>
        <w:t>ion collection is $1,814,168, annualized to $604,723</w:t>
      </w:r>
      <w:r w:rsidRPr="00F348E7">
        <w:rPr>
          <w:sz w:val="24"/>
        </w:rPr>
        <w:t xml:space="preserve">. </w:t>
      </w:r>
      <w:r w:rsidR="00067B31">
        <w:rPr>
          <w:sz w:val="24"/>
        </w:rPr>
        <w:t xml:space="preserve"> </w:t>
      </w:r>
      <w:r w:rsidRPr="00F348E7">
        <w:rPr>
          <w:sz w:val="24"/>
        </w:rPr>
        <w:t>This includes the labor costs to design the evaluation, develop the data collection instruments, conduct pilot data collection, scale up the full evaluation, and to analyze the survey, interview, document review, aggregate statistics, and cost data</w:t>
      </w:r>
      <w:r w:rsidRPr="00F348E7" w:rsidR="00B22255">
        <w:rPr>
          <w:sz w:val="24"/>
        </w:rPr>
        <w:t>. Additionally</w:t>
      </w:r>
      <w:r w:rsidRPr="00F348E7">
        <w:rPr>
          <w:sz w:val="24"/>
        </w:rPr>
        <w:t>, there will be the</w:t>
      </w:r>
      <w:r w:rsidRPr="00F348E7" w:rsidR="00B22255">
        <w:rPr>
          <w:sz w:val="24"/>
        </w:rPr>
        <w:t xml:space="preserve"> cost for</w:t>
      </w:r>
      <w:r w:rsidRPr="00F348E7">
        <w:rPr>
          <w:sz w:val="24"/>
        </w:rPr>
        <w:t xml:space="preserve"> a GS 14 (Step 6) at 5% time </w:t>
      </w:r>
      <w:r w:rsidRPr="00F348E7" w:rsidR="00B22255">
        <w:rPr>
          <w:sz w:val="24"/>
        </w:rPr>
        <w:t>(approximately $5,424</w:t>
      </w:r>
      <w:r w:rsidRPr="00F348E7">
        <w:rPr>
          <w:sz w:val="24"/>
        </w:rPr>
        <w:t>) time to monitor the project.</w:t>
      </w:r>
      <w:r w:rsidR="00067B31">
        <w:rPr>
          <w:sz w:val="24"/>
        </w:rPr>
        <w:t xml:space="preserve"> </w:t>
      </w:r>
      <w:r w:rsidRPr="00F348E7">
        <w:rPr>
          <w:sz w:val="24"/>
        </w:rPr>
        <w:t xml:space="preserve"> The average annual total cost of the project is $</w:t>
      </w:r>
      <w:r w:rsidRPr="00F348E7" w:rsidR="00C173C2">
        <w:rPr>
          <w:sz w:val="24"/>
        </w:rPr>
        <w:t xml:space="preserve">610,147 and the total cost of the three-year project is </w:t>
      </w:r>
      <w:r w:rsidR="0034110F">
        <w:rPr>
          <w:sz w:val="24"/>
        </w:rPr>
        <w:t>$</w:t>
      </w:r>
      <w:r w:rsidRPr="00F348E7" w:rsidR="00C173C2">
        <w:rPr>
          <w:sz w:val="24"/>
        </w:rPr>
        <w:t>1,830,441</w:t>
      </w:r>
      <w:r w:rsidRPr="00F348E7">
        <w:rPr>
          <w:sz w:val="24"/>
        </w:rPr>
        <w:t>.</w:t>
      </w:r>
    </w:p>
    <w:p w:rsidRPr="00545B2E" w:rsidR="00D1726F" w:rsidP="008C13C5" w:rsidRDefault="00D1726F" w14:paraId="24F6103C" w14:textId="77777777">
      <w:pPr>
        <w:spacing w:line="276" w:lineRule="auto"/>
        <w:rPr>
          <w:sz w:val="24"/>
        </w:rPr>
      </w:pPr>
    </w:p>
    <w:p w:rsidRPr="00545B2E" w:rsidR="00EA5156" w:rsidP="00024782" w:rsidRDefault="009B3794" w14:paraId="45A9A0D2" w14:textId="77777777">
      <w:pPr>
        <w:numPr>
          <w:ilvl w:val="0"/>
          <w:numId w:val="1"/>
        </w:numPr>
        <w:rPr>
          <w:b/>
          <w:sz w:val="24"/>
          <w:u w:val="single"/>
        </w:rPr>
      </w:pPr>
      <w:r w:rsidRPr="00545B2E">
        <w:rPr>
          <w:b/>
          <w:sz w:val="24"/>
          <w:u w:val="single"/>
        </w:rPr>
        <w:t>Explanation for Program Changes or Adjustments</w:t>
      </w:r>
    </w:p>
    <w:p w:rsidR="00F348E7" w:rsidP="00D1726F" w:rsidRDefault="00F348E7" w14:paraId="79CB720E" w14:textId="77777777">
      <w:pPr>
        <w:pStyle w:val="BodyTextIndent"/>
        <w:ind w:left="0"/>
        <w:rPr>
          <w:rFonts w:ascii="Times New Roman" w:hAnsi="Times New Roman"/>
        </w:rPr>
      </w:pPr>
    </w:p>
    <w:p w:rsidR="009B3794" w:rsidP="00D1726F" w:rsidRDefault="00EA5156" w14:paraId="0D2323F7" w14:textId="0CE375A8">
      <w:pPr>
        <w:pStyle w:val="BodyTextIndent"/>
        <w:ind w:left="0"/>
        <w:rPr>
          <w:rFonts w:ascii="Times New Roman" w:hAnsi="Times New Roman"/>
        </w:rPr>
      </w:pPr>
      <w:r w:rsidRPr="00545B2E">
        <w:rPr>
          <w:rFonts w:ascii="Times New Roman" w:hAnsi="Times New Roman"/>
        </w:rPr>
        <w:t>This is a new information collection.</w:t>
      </w:r>
    </w:p>
    <w:p w:rsidRPr="00545B2E" w:rsidR="00B37CE1" w:rsidP="00D1726F" w:rsidRDefault="00B37CE1" w14:paraId="685463DD" w14:textId="77777777">
      <w:pPr>
        <w:pStyle w:val="BodyTextIndent"/>
        <w:ind w:left="0"/>
        <w:rPr>
          <w:rFonts w:ascii="Times New Roman" w:hAnsi="Times New Roman"/>
        </w:rPr>
      </w:pPr>
    </w:p>
    <w:p w:rsidRPr="00D23FFA" w:rsidR="00AD27C4" w:rsidP="00024782" w:rsidRDefault="009B3794" w14:paraId="42F53E4A" w14:textId="077CA025">
      <w:pPr>
        <w:numPr>
          <w:ilvl w:val="0"/>
          <w:numId w:val="1"/>
        </w:numPr>
        <w:rPr>
          <w:b/>
          <w:sz w:val="24"/>
          <w:u w:val="single"/>
        </w:rPr>
      </w:pPr>
      <w:r w:rsidRPr="00D23FFA">
        <w:rPr>
          <w:b/>
          <w:sz w:val="24"/>
          <w:u w:val="single"/>
        </w:rPr>
        <w:t>Plans for Tabulation</w:t>
      </w:r>
      <w:r w:rsidRPr="00D23FFA" w:rsidR="002118B4">
        <w:rPr>
          <w:b/>
          <w:sz w:val="24"/>
          <w:u w:val="single"/>
        </w:rPr>
        <w:t xml:space="preserve">, </w:t>
      </w:r>
      <w:r w:rsidRPr="00D23FFA">
        <w:rPr>
          <w:b/>
          <w:sz w:val="24"/>
          <w:u w:val="single"/>
        </w:rPr>
        <w:t>Publication</w:t>
      </w:r>
      <w:r w:rsidRPr="00D23FFA" w:rsidR="002118B4">
        <w:rPr>
          <w:b/>
          <w:sz w:val="24"/>
          <w:u w:val="single"/>
        </w:rPr>
        <w:t>,</w:t>
      </w:r>
      <w:r w:rsidRPr="00D23FFA">
        <w:rPr>
          <w:b/>
          <w:sz w:val="24"/>
          <w:u w:val="single"/>
        </w:rPr>
        <w:t xml:space="preserve"> and Project Time Schedule</w:t>
      </w:r>
    </w:p>
    <w:p w:rsidR="00864491" w:rsidP="00B37CE1" w:rsidRDefault="00864491" w14:paraId="774589B5" w14:textId="77777777">
      <w:pPr>
        <w:rPr>
          <w:sz w:val="24"/>
        </w:rPr>
      </w:pPr>
    </w:p>
    <w:p w:rsidR="007B5613" w:rsidP="007B5613" w:rsidRDefault="00FA1E9F" w14:paraId="06877B42" w14:textId="3DC7AD33">
      <w:pPr>
        <w:pStyle w:val="BodyText"/>
        <w:rPr>
          <w:sz w:val="24"/>
        </w:rPr>
      </w:pPr>
      <w:r>
        <w:rPr>
          <w:sz w:val="24"/>
        </w:rPr>
        <w:t>A</w:t>
      </w:r>
      <w:r w:rsidRPr="00545B2E" w:rsidR="00442B41">
        <w:rPr>
          <w:sz w:val="24"/>
        </w:rPr>
        <w:t xml:space="preserve"> mixed-methods evaluation of the data collected</w:t>
      </w:r>
      <w:r>
        <w:rPr>
          <w:sz w:val="24"/>
        </w:rPr>
        <w:t xml:space="preserve"> will be conducted</w:t>
      </w:r>
      <w:r w:rsidRPr="00545B2E" w:rsidR="00442B41">
        <w:rPr>
          <w:sz w:val="24"/>
        </w:rPr>
        <w:t xml:space="preserve">. </w:t>
      </w:r>
      <w:r w:rsidR="00067B31">
        <w:rPr>
          <w:sz w:val="24"/>
        </w:rPr>
        <w:t xml:space="preserve"> </w:t>
      </w:r>
      <w:r w:rsidRPr="00545B2E" w:rsidR="008851D0">
        <w:rPr>
          <w:sz w:val="24"/>
        </w:rPr>
        <w:t>At the end of each year (and again at the end of the evaluation itself), summative reports, project briefs and briefing materials appropriate for and actionable to stakeholders involved</w:t>
      </w:r>
      <w:r>
        <w:rPr>
          <w:sz w:val="24"/>
        </w:rPr>
        <w:t xml:space="preserve"> will be developed</w:t>
      </w:r>
      <w:r w:rsidRPr="00545B2E" w:rsidR="008851D0">
        <w:rPr>
          <w:sz w:val="24"/>
        </w:rPr>
        <w:t xml:space="preserve">. </w:t>
      </w:r>
      <w:r w:rsidR="00067B31">
        <w:rPr>
          <w:sz w:val="24"/>
        </w:rPr>
        <w:t xml:space="preserve"> </w:t>
      </w:r>
      <w:r w:rsidRPr="00545B2E" w:rsidR="008851D0">
        <w:rPr>
          <w:sz w:val="24"/>
        </w:rPr>
        <w:t xml:space="preserve">All final materials will be made Section 508-compliant prior to dissemination. </w:t>
      </w:r>
      <w:r w:rsidR="00067B31">
        <w:rPr>
          <w:sz w:val="24"/>
        </w:rPr>
        <w:t xml:space="preserve"> </w:t>
      </w:r>
      <w:r>
        <w:rPr>
          <w:sz w:val="24"/>
        </w:rPr>
        <w:t xml:space="preserve">The contractor </w:t>
      </w:r>
      <w:r w:rsidRPr="00545B2E" w:rsidR="008851D0">
        <w:rPr>
          <w:sz w:val="24"/>
        </w:rPr>
        <w:t xml:space="preserve">will also collaborate with HRSA HAB to develop materials that would be of interest to HRSA HAB’s website (TargetHIV), the AIDS Education and Training Center National Coordinator Resource Center website, and other venues to be determined during the period of performance that will fit within </w:t>
      </w:r>
      <w:r w:rsidR="00067B31">
        <w:rPr>
          <w:sz w:val="24"/>
        </w:rPr>
        <w:t xml:space="preserve">the project’s allocated budget. </w:t>
      </w:r>
      <w:r w:rsidRPr="00545B2E" w:rsidR="008851D0">
        <w:rPr>
          <w:sz w:val="24"/>
        </w:rPr>
        <w:t>This also includes publications in peer-reviewed journals, as appropriate.</w:t>
      </w:r>
      <w:r w:rsidR="006847ED">
        <w:rPr>
          <w:sz w:val="24"/>
        </w:rPr>
        <w:t xml:space="preserve"> </w:t>
      </w:r>
      <w:r w:rsidR="00067B31">
        <w:rPr>
          <w:sz w:val="24"/>
        </w:rPr>
        <w:t xml:space="preserve"> </w:t>
      </w:r>
      <w:r w:rsidRPr="006847ED" w:rsidR="006847ED">
        <w:rPr>
          <w:b/>
          <w:bCs/>
          <w:i/>
          <w:sz w:val="24"/>
        </w:rPr>
        <w:t xml:space="preserve">Exhibit </w:t>
      </w:r>
      <w:r w:rsidR="004865BE">
        <w:rPr>
          <w:b/>
          <w:bCs/>
          <w:i/>
          <w:sz w:val="24"/>
        </w:rPr>
        <w:t>10</w:t>
      </w:r>
      <w:r w:rsidRPr="000655BF" w:rsidR="006847ED">
        <w:rPr>
          <w:b/>
          <w:bCs/>
          <w:sz w:val="24"/>
        </w:rPr>
        <w:t xml:space="preserve"> </w:t>
      </w:r>
      <w:r w:rsidRPr="000655BF" w:rsidR="006847ED">
        <w:rPr>
          <w:bCs/>
          <w:sz w:val="24"/>
        </w:rPr>
        <w:t xml:space="preserve">represents a timeline </w:t>
      </w:r>
      <w:r w:rsidRPr="000655BF" w:rsidR="006847ED">
        <w:rPr>
          <w:sz w:val="24"/>
        </w:rPr>
        <w:t xml:space="preserve">for data collection and reporting benchmarks for the </w:t>
      </w:r>
      <w:r w:rsidRPr="00AD5336" w:rsidR="00AD5336">
        <w:rPr>
          <w:i/>
          <w:sz w:val="24"/>
        </w:rPr>
        <w:t xml:space="preserve">Enhancing </w:t>
      </w:r>
      <w:r w:rsidR="00F71FB6">
        <w:rPr>
          <w:i/>
          <w:sz w:val="24"/>
        </w:rPr>
        <w:t xml:space="preserve">STI </w:t>
      </w:r>
      <w:r w:rsidRPr="00AD5336" w:rsidR="00AD5336">
        <w:rPr>
          <w:i/>
          <w:sz w:val="24"/>
        </w:rPr>
        <w:t>Linkage</w:t>
      </w:r>
      <w:r w:rsidR="00AD5336">
        <w:rPr>
          <w:sz w:val="24"/>
        </w:rPr>
        <w:t xml:space="preserve"> </w:t>
      </w:r>
      <w:r w:rsidR="008C37FA">
        <w:rPr>
          <w:sz w:val="24"/>
        </w:rPr>
        <w:t>evaluation</w:t>
      </w:r>
      <w:r w:rsidRPr="000655BF" w:rsidR="006847ED">
        <w:rPr>
          <w:sz w:val="24"/>
        </w:rPr>
        <w:t>.</w:t>
      </w:r>
    </w:p>
    <w:p w:rsidR="00ED45E1" w:rsidP="007B5613" w:rsidRDefault="00ED45E1" w14:paraId="3B1ABE94" w14:textId="77777777">
      <w:pPr>
        <w:pStyle w:val="BodyText"/>
        <w:rPr>
          <w:b/>
          <w:i/>
          <w:sz w:val="24"/>
        </w:rPr>
      </w:pPr>
    </w:p>
    <w:p w:rsidRPr="007B5613" w:rsidR="00ED2739" w:rsidP="007B5613" w:rsidRDefault="006847ED" w14:paraId="633C4A21" w14:textId="135E0108">
      <w:pPr>
        <w:pStyle w:val="BodyText"/>
        <w:rPr>
          <w:sz w:val="24"/>
        </w:rPr>
      </w:pPr>
      <w:r w:rsidRPr="006847ED">
        <w:rPr>
          <w:b/>
          <w:i/>
          <w:sz w:val="24"/>
        </w:rPr>
        <w:t xml:space="preserve">Exhibit </w:t>
      </w:r>
      <w:r w:rsidR="004865BE">
        <w:rPr>
          <w:b/>
          <w:i/>
          <w:sz w:val="24"/>
        </w:rPr>
        <w:t>10</w:t>
      </w:r>
      <w:r w:rsidRPr="006847ED">
        <w:rPr>
          <w:b/>
          <w:i/>
          <w:sz w:val="24"/>
        </w:rPr>
        <w:t xml:space="preserve">. Time Schedule for Enhancing </w:t>
      </w:r>
      <w:r w:rsidR="00F71FB6">
        <w:rPr>
          <w:b/>
          <w:i/>
          <w:sz w:val="24"/>
        </w:rPr>
        <w:t xml:space="preserve">STI </w:t>
      </w:r>
      <w:r w:rsidRPr="006847ED">
        <w:rPr>
          <w:b/>
          <w:i/>
          <w:sz w:val="24"/>
        </w:rPr>
        <w:t>Linkage Data Collection</w:t>
      </w:r>
    </w:p>
    <w:tbl>
      <w:tblPr>
        <w:tblW w:w="10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6"/>
        <w:gridCol w:w="2861"/>
        <w:gridCol w:w="4864"/>
      </w:tblGrid>
      <w:tr w:rsidRPr="006847ED" w:rsidR="006847ED" w:rsidTr="007B5613" w14:paraId="1D733A05" w14:textId="77777777">
        <w:trPr>
          <w:trHeight w:val="414"/>
          <w:tblHeader/>
        </w:trPr>
        <w:tc>
          <w:tcPr>
            <w:tcW w:w="5487" w:type="dxa"/>
            <w:gridSpan w:val="2"/>
            <w:shd w:val="clear" w:color="auto" w:fill="4BACC6" w:themeFill="accent5"/>
            <w:vAlign w:val="center"/>
          </w:tcPr>
          <w:p w:rsidRPr="006847ED" w:rsidR="00AD27C4" w:rsidP="006847ED" w:rsidRDefault="00AD27C4" w14:paraId="3B27E865" w14:textId="77777777">
            <w:pPr>
              <w:widowControl/>
              <w:autoSpaceDE/>
              <w:autoSpaceDN/>
              <w:adjustRightInd/>
              <w:spacing w:line="276" w:lineRule="auto"/>
              <w:rPr>
                <w:rFonts w:ascii="Arial Narrow" w:hAnsi="Arial Narrow"/>
                <w:b/>
                <w:color w:val="FFFFFF" w:themeColor="background1"/>
                <w:sz w:val="22"/>
              </w:rPr>
            </w:pPr>
            <w:r w:rsidRPr="006847ED">
              <w:rPr>
                <w:rFonts w:ascii="Arial Narrow" w:hAnsi="Arial Narrow"/>
                <w:b/>
                <w:color w:val="FFFFFF" w:themeColor="background1"/>
                <w:sz w:val="22"/>
              </w:rPr>
              <w:t>Activity/Deliverable</w:t>
            </w:r>
          </w:p>
        </w:tc>
        <w:tc>
          <w:tcPr>
            <w:tcW w:w="4864" w:type="dxa"/>
            <w:shd w:val="clear" w:color="auto" w:fill="4BACC6" w:themeFill="accent5"/>
            <w:vAlign w:val="center"/>
          </w:tcPr>
          <w:p w:rsidRPr="006847ED" w:rsidR="00AD27C4" w:rsidP="006847ED" w:rsidRDefault="00AD27C4" w14:paraId="050B4C1A" w14:textId="7E42B45D">
            <w:pPr>
              <w:widowControl/>
              <w:autoSpaceDE/>
              <w:autoSpaceDN/>
              <w:adjustRightInd/>
              <w:spacing w:line="276" w:lineRule="auto"/>
              <w:rPr>
                <w:rFonts w:ascii="Arial Narrow" w:hAnsi="Arial Narrow"/>
                <w:b/>
                <w:color w:val="FFFFFF" w:themeColor="background1"/>
                <w:sz w:val="22"/>
              </w:rPr>
            </w:pPr>
            <w:r w:rsidRPr="006847ED">
              <w:rPr>
                <w:rFonts w:ascii="Arial Narrow" w:hAnsi="Arial Narrow"/>
                <w:b/>
                <w:color w:val="FFFFFF" w:themeColor="background1"/>
                <w:sz w:val="22"/>
              </w:rPr>
              <w:t xml:space="preserve">Target </w:t>
            </w:r>
            <w:r w:rsidRPr="006847ED" w:rsidR="00AE2DFD">
              <w:rPr>
                <w:rFonts w:ascii="Arial Narrow" w:hAnsi="Arial Narrow"/>
                <w:b/>
                <w:color w:val="FFFFFF" w:themeColor="background1"/>
                <w:sz w:val="22"/>
              </w:rPr>
              <w:t>Timeline</w:t>
            </w:r>
          </w:p>
        </w:tc>
      </w:tr>
      <w:tr w:rsidRPr="006847ED" w:rsidR="00E670D6" w:rsidTr="007B5613" w14:paraId="1DF6A76F" w14:textId="77777777">
        <w:trPr>
          <w:trHeight w:val="148"/>
        </w:trPr>
        <w:tc>
          <w:tcPr>
            <w:tcW w:w="5487" w:type="dxa"/>
            <w:gridSpan w:val="2"/>
            <w:shd w:val="clear" w:color="auto" w:fill="auto"/>
          </w:tcPr>
          <w:p w:rsidRPr="006847ED" w:rsidR="00E670D6" w:rsidP="006847ED" w:rsidRDefault="00E670D6" w14:paraId="44D991F1" w14:textId="62185CDB">
            <w:pPr>
              <w:widowControl/>
              <w:autoSpaceDE/>
              <w:autoSpaceDN/>
              <w:adjustRightInd/>
              <w:spacing w:line="276" w:lineRule="auto"/>
              <w:rPr>
                <w:rFonts w:ascii="Arial Narrow" w:hAnsi="Arial Narrow"/>
                <w:sz w:val="22"/>
              </w:rPr>
            </w:pPr>
            <w:r w:rsidRPr="006847ED">
              <w:rPr>
                <w:rFonts w:ascii="Arial Narrow" w:hAnsi="Arial Narrow"/>
                <w:sz w:val="22"/>
              </w:rPr>
              <w:t xml:space="preserve">Preparation for </w:t>
            </w:r>
            <w:r w:rsidR="006847ED">
              <w:rPr>
                <w:rFonts w:ascii="Arial Narrow" w:hAnsi="Arial Narrow"/>
                <w:sz w:val="22"/>
              </w:rPr>
              <w:t>Qualitative Analysis</w:t>
            </w:r>
            <w:r w:rsidRPr="006847ED">
              <w:rPr>
                <w:rFonts w:ascii="Arial Narrow" w:hAnsi="Arial Narrow"/>
                <w:sz w:val="22"/>
              </w:rPr>
              <w:t xml:space="preserve"> </w:t>
            </w:r>
            <w:r w:rsidR="005C568F">
              <w:rPr>
                <w:rFonts w:ascii="Arial Narrow" w:hAnsi="Arial Narrow"/>
                <w:sz w:val="22"/>
              </w:rPr>
              <w:t>and Instrument Refinement</w:t>
            </w:r>
          </w:p>
        </w:tc>
        <w:tc>
          <w:tcPr>
            <w:tcW w:w="4864" w:type="dxa"/>
            <w:shd w:val="clear" w:color="auto" w:fill="auto"/>
            <w:vAlign w:val="center"/>
          </w:tcPr>
          <w:p w:rsidRPr="006847ED" w:rsidR="00E670D6" w:rsidP="006847ED" w:rsidRDefault="00E670D6" w14:paraId="69C0A13E" w14:textId="62E01055">
            <w:pPr>
              <w:widowControl/>
              <w:autoSpaceDE/>
              <w:autoSpaceDN/>
              <w:adjustRightInd/>
              <w:spacing w:line="276" w:lineRule="auto"/>
              <w:rPr>
                <w:rFonts w:ascii="Arial Narrow" w:hAnsi="Arial Narrow"/>
                <w:sz w:val="22"/>
              </w:rPr>
            </w:pPr>
            <w:r w:rsidRPr="006847ED">
              <w:rPr>
                <w:rFonts w:ascii="Arial Narrow" w:hAnsi="Arial Narrow"/>
                <w:sz w:val="22"/>
              </w:rPr>
              <w:t xml:space="preserve">April – </w:t>
            </w:r>
            <w:r w:rsidR="005C568F">
              <w:rPr>
                <w:rFonts w:ascii="Arial Narrow" w:hAnsi="Arial Narrow"/>
                <w:sz w:val="22"/>
              </w:rPr>
              <w:t>July</w:t>
            </w:r>
            <w:r w:rsidRPr="006847ED">
              <w:rPr>
                <w:rFonts w:ascii="Arial Narrow" w:hAnsi="Arial Narrow"/>
                <w:sz w:val="22"/>
              </w:rPr>
              <w:t xml:space="preserve"> 2020 </w:t>
            </w:r>
          </w:p>
        </w:tc>
      </w:tr>
      <w:tr w:rsidRPr="006847ED" w:rsidR="006847ED" w:rsidTr="007B5613" w14:paraId="6734DDBD" w14:textId="77777777">
        <w:trPr>
          <w:trHeight w:val="214"/>
        </w:trPr>
        <w:tc>
          <w:tcPr>
            <w:tcW w:w="2626" w:type="dxa"/>
            <w:vMerge w:val="restart"/>
            <w:shd w:val="clear" w:color="auto" w:fill="auto"/>
            <w:vAlign w:val="center"/>
          </w:tcPr>
          <w:p w:rsidRPr="006847ED" w:rsidR="006847ED" w:rsidP="006847ED" w:rsidRDefault="006847ED" w14:paraId="30F744A0" w14:textId="4118CCBE">
            <w:pPr>
              <w:widowControl/>
              <w:autoSpaceDE/>
              <w:autoSpaceDN/>
              <w:adjustRightInd/>
              <w:spacing w:line="276" w:lineRule="auto"/>
              <w:rPr>
                <w:rFonts w:ascii="Arial Narrow" w:hAnsi="Arial Narrow"/>
                <w:sz w:val="22"/>
              </w:rPr>
            </w:pPr>
            <w:r>
              <w:rPr>
                <w:rFonts w:ascii="Arial Narrow" w:hAnsi="Arial Narrow"/>
                <w:sz w:val="22"/>
              </w:rPr>
              <w:t xml:space="preserve">Semi-Structured Interviews </w:t>
            </w:r>
          </w:p>
        </w:tc>
        <w:tc>
          <w:tcPr>
            <w:tcW w:w="2860" w:type="dxa"/>
            <w:shd w:val="clear" w:color="auto" w:fill="auto"/>
            <w:vAlign w:val="center"/>
          </w:tcPr>
          <w:p w:rsidRPr="006847ED" w:rsidR="006847ED" w:rsidP="006847ED" w:rsidRDefault="006847ED" w14:paraId="7BE6AC75" w14:textId="6F735C94">
            <w:pPr>
              <w:widowControl/>
              <w:autoSpaceDE/>
              <w:autoSpaceDN/>
              <w:adjustRightInd/>
              <w:spacing w:line="276" w:lineRule="auto"/>
              <w:rPr>
                <w:rFonts w:ascii="Arial Narrow" w:hAnsi="Arial Narrow"/>
                <w:sz w:val="22"/>
              </w:rPr>
            </w:pPr>
            <w:r w:rsidRPr="006847ED">
              <w:rPr>
                <w:rFonts w:ascii="Arial Narrow" w:hAnsi="Arial Narrow"/>
                <w:sz w:val="22"/>
              </w:rPr>
              <w:t>TAP Interviews</w:t>
            </w:r>
          </w:p>
        </w:tc>
        <w:tc>
          <w:tcPr>
            <w:tcW w:w="4864" w:type="dxa"/>
            <w:shd w:val="clear" w:color="auto" w:fill="auto"/>
            <w:vAlign w:val="center"/>
          </w:tcPr>
          <w:p w:rsidRPr="006847ED" w:rsidR="006847ED" w:rsidP="006847ED" w:rsidRDefault="005C568F" w14:paraId="5B730933" w14:textId="6A5EFF6D">
            <w:pPr>
              <w:widowControl/>
              <w:autoSpaceDE/>
              <w:autoSpaceDN/>
              <w:adjustRightInd/>
              <w:spacing w:line="276" w:lineRule="auto"/>
              <w:rPr>
                <w:rFonts w:ascii="Arial Narrow" w:hAnsi="Arial Narrow"/>
                <w:sz w:val="22"/>
              </w:rPr>
            </w:pPr>
            <w:r>
              <w:rPr>
                <w:rFonts w:ascii="Arial Narrow" w:hAnsi="Arial Narrow"/>
                <w:sz w:val="22"/>
              </w:rPr>
              <w:t xml:space="preserve">August 2020; </w:t>
            </w:r>
            <w:r w:rsidRPr="006847ED" w:rsidR="006847ED">
              <w:rPr>
                <w:rFonts w:ascii="Arial Narrow" w:hAnsi="Arial Narrow"/>
                <w:sz w:val="22"/>
              </w:rPr>
              <w:t xml:space="preserve">February – March 2021; February – March 2022 </w:t>
            </w:r>
          </w:p>
        </w:tc>
      </w:tr>
      <w:tr w:rsidRPr="006847ED" w:rsidR="006847ED" w:rsidTr="007B5613" w14:paraId="7A657FAC" w14:textId="77777777">
        <w:trPr>
          <w:trHeight w:val="214"/>
        </w:trPr>
        <w:tc>
          <w:tcPr>
            <w:tcW w:w="2626" w:type="dxa"/>
            <w:vMerge/>
            <w:shd w:val="clear" w:color="auto" w:fill="auto"/>
          </w:tcPr>
          <w:p w:rsidR="006847ED" w:rsidP="00E670D6" w:rsidRDefault="006847ED" w14:paraId="68E67BD4" w14:textId="77777777">
            <w:pPr>
              <w:widowControl/>
              <w:autoSpaceDE/>
              <w:autoSpaceDN/>
              <w:adjustRightInd/>
              <w:spacing w:line="276" w:lineRule="auto"/>
              <w:rPr>
                <w:rFonts w:ascii="Arial Narrow" w:hAnsi="Arial Narrow"/>
                <w:sz w:val="22"/>
              </w:rPr>
            </w:pPr>
          </w:p>
        </w:tc>
        <w:tc>
          <w:tcPr>
            <w:tcW w:w="2860" w:type="dxa"/>
            <w:shd w:val="clear" w:color="auto" w:fill="auto"/>
            <w:vAlign w:val="center"/>
          </w:tcPr>
          <w:p w:rsidRPr="006847ED" w:rsidR="006847ED" w:rsidP="006847ED" w:rsidRDefault="006847ED" w14:paraId="6D295F16" w14:textId="1C8C4A06">
            <w:pPr>
              <w:widowControl/>
              <w:autoSpaceDE/>
              <w:autoSpaceDN/>
              <w:adjustRightInd/>
              <w:spacing w:line="276" w:lineRule="auto"/>
              <w:rPr>
                <w:rFonts w:ascii="Arial Narrow" w:hAnsi="Arial Narrow"/>
                <w:sz w:val="22"/>
              </w:rPr>
            </w:pPr>
            <w:r w:rsidRPr="006847ED">
              <w:rPr>
                <w:rFonts w:ascii="Arial Narrow" w:hAnsi="Arial Narrow"/>
                <w:sz w:val="22"/>
              </w:rPr>
              <w:t>Jurisdiction Interviews</w:t>
            </w:r>
          </w:p>
        </w:tc>
        <w:tc>
          <w:tcPr>
            <w:tcW w:w="4864" w:type="dxa"/>
            <w:shd w:val="clear" w:color="auto" w:fill="auto"/>
            <w:vAlign w:val="center"/>
          </w:tcPr>
          <w:p w:rsidRPr="006847ED" w:rsidR="006847ED" w:rsidP="006847ED" w:rsidRDefault="005C568F" w14:paraId="6731BE7C" w14:textId="0120A747">
            <w:pPr>
              <w:widowControl/>
              <w:autoSpaceDE/>
              <w:autoSpaceDN/>
              <w:adjustRightInd/>
              <w:spacing w:line="276" w:lineRule="auto"/>
              <w:rPr>
                <w:rFonts w:ascii="Arial Narrow" w:hAnsi="Arial Narrow"/>
                <w:sz w:val="22"/>
              </w:rPr>
            </w:pPr>
            <w:r>
              <w:rPr>
                <w:rFonts w:ascii="Arial Narrow" w:hAnsi="Arial Narrow"/>
                <w:sz w:val="22"/>
              </w:rPr>
              <w:t xml:space="preserve">July 2020; </w:t>
            </w:r>
            <w:r w:rsidRPr="006847ED" w:rsidR="006847ED">
              <w:rPr>
                <w:rFonts w:ascii="Arial Narrow" w:hAnsi="Arial Narrow"/>
                <w:sz w:val="22"/>
              </w:rPr>
              <w:t>March – May 2021;</w:t>
            </w:r>
            <w:r w:rsidR="00B6695B">
              <w:rPr>
                <w:rFonts w:ascii="Arial Narrow" w:hAnsi="Arial Narrow"/>
                <w:sz w:val="22"/>
              </w:rPr>
              <w:t xml:space="preserve"> </w:t>
            </w:r>
            <w:r w:rsidRPr="006847ED" w:rsidR="006847ED">
              <w:rPr>
                <w:rFonts w:ascii="Arial Narrow" w:hAnsi="Arial Narrow"/>
                <w:sz w:val="22"/>
              </w:rPr>
              <w:t>March – May 2022</w:t>
            </w:r>
          </w:p>
        </w:tc>
      </w:tr>
      <w:tr w:rsidRPr="006847ED" w:rsidR="006847ED" w:rsidTr="007B5613" w14:paraId="4C1609F1" w14:textId="77777777">
        <w:trPr>
          <w:trHeight w:val="214"/>
        </w:trPr>
        <w:tc>
          <w:tcPr>
            <w:tcW w:w="2626" w:type="dxa"/>
            <w:vMerge/>
            <w:shd w:val="clear" w:color="auto" w:fill="auto"/>
          </w:tcPr>
          <w:p w:rsidR="006847ED" w:rsidP="00E670D6" w:rsidRDefault="006847ED" w14:paraId="22DFE784" w14:textId="77777777">
            <w:pPr>
              <w:widowControl/>
              <w:autoSpaceDE/>
              <w:autoSpaceDN/>
              <w:adjustRightInd/>
              <w:spacing w:line="276" w:lineRule="auto"/>
              <w:rPr>
                <w:rFonts w:ascii="Arial Narrow" w:hAnsi="Arial Narrow"/>
                <w:sz w:val="22"/>
              </w:rPr>
            </w:pPr>
          </w:p>
        </w:tc>
        <w:tc>
          <w:tcPr>
            <w:tcW w:w="2860" w:type="dxa"/>
            <w:shd w:val="clear" w:color="auto" w:fill="auto"/>
            <w:vAlign w:val="center"/>
          </w:tcPr>
          <w:p w:rsidRPr="006847ED" w:rsidR="006847ED" w:rsidP="006847ED" w:rsidRDefault="006847ED" w14:paraId="02C17A84" w14:textId="45E0DF3B">
            <w:pPr>
              <w:widowControl/>
              <w:autoSpaceDE/>
              <w:autoSpaceDN/>
              <w:adjustRightInd/>
              <w:spacing w:line="276" w:lineRule="auto"/>
              <w:rPr>
                <w:rFonts w:ascii="Arial Narrow" w:hAnsi="Arial Narrow"/>
                <w:sz w:val="22"/>
              </w:rPr>
            </w:pPr>
            <w:r>
              <w:rPr>
                <w:rFonts w:ascii="Arial Narrow" w:hAnsi="Arial Narrow"/>
                <w:sz w:val="22"/>
              </w:rPr>
              <w:t>Policy Stakeholder</w:t>
            </w:r>
            <w:r w:rsidRPr="006847ED">
              <w:rPr>
                <w:rFonts w:ascii="Arial Narrow" w:hAnsi="Arial Narrow"/>
                <w:sz w:val="22"/>
              </w:rPr>
              <w:t xml:space="preserve"> Interviews</w:t>
            </w:r>
          </w:p>
        </w:tc>
        <w:tc>
          <w:tcPr>
            <w:tcW w:w="4864" w:type="dxa"/>
            <w:shd w:val="clear" w:color="auto" w:fill="auto"/>
            <w:vAlign w:val="center"/>
          </w:tcPr>
          <w:p w:rsidRPr="006847ED" w:rsidR="006847ED" w:rsidP="006847ED" w:rsidRDefault="006847ED" w14:paraId="5385B8F9" w14:textId="5E02BB8F">
            <w:pPr>
              <w:widowControl/>
              <w:autoSpaceDE/>
              <w:autoSpaceDN/>
              <w:adjustRightInd/>
              <w:spacing w:line="276" w:lineRule="auto"/>
              <w:rPr>
                <w:rFonts w:ascii="Arial Narrow" w:hAnsi="Arial Narrow"/>
                <w:sz w:val="22"/>
              </w:rPr>
            </w:pPr>
            <w:r w:rsidRPr="006847ED">
              <w:rPr>
                <w:rFonts w:ascii="Arial Narrow" w:hAnsi="Arial Narrow"/>
                <w:sz w:val="22"/>
              </w:rPr>
              <w:t>January – May 202</w:t>
            </w:r>
            <w:r>
              <w:rPr>
                <w:rFonts w:ascii="Arial Narrow" w:hAnsi="Arial Narrow"/>
                <w:sz w:val="22"/>
              </w:rPr>
              <w:t>1; January – May 2022</w:t>
            </w:r>
          </w:p>
        </w:tc>
      </w:tr>
      <w:tr w:rsidRPr="006847ED" w:rsidR="00390351" w:rsidTr="007B5613" w14:paraId="64E1FC3C" w14:textId="77777777">
        <w:trPr>
          <w:trHeight w:val="456"/>
        </w:trPr>
        <w:tc>
          <w:tcPr>
            <w:tcW w:w="5487" w:type="dxa"/>
            <w:gridSpan w:val="2"/>
            <w:shd w:val="clear" w:color="auto" w:fill="auto"/>
            <w:vAlign w:val="center"/>
          </w:tcPr>
          <w:p w:rsidRPr="006847ED" w:rsidR="00390351" w:rsidP="006847ED" w:rsidRDefault="007F7CF6" w14:paraId="5703BDDD" w14:textId="3C12E6DF">
            <w:pPr>
              <w:widowControl/>
              <w:autoSpaceDE/>
              <w:autoSpaceDN/>
              <w:adjustRightInd/>
              <w:spacing w:line="276" w:lineRule="auto"/>
              <w:rPr>
                <w:rFonts w:ascii="Arial Narrow" w:hAnsi="Arial Narrow"/>
                <w:sz w:val="22"/>
              </w:rPr>
            </w:pPr>
            <w:r w:rsidRPr="006847ED">
              <w:rPr>
                <w:rFonts w:ascii="Arial Narrow" w:hAnsi="Arial Narrow"/>
                <w:sz w:val="22"/>
              </w:rPr>
              <w:t>Document Review</w:t>
            </w:r>
          </w:p>
        </w:tc>
        <w:tc>
          <w:tcPr>
            <w:tcW w:w="4864" w:type="dxa"/>
            <w:shd w:val="clear" w:color="auto" w:fill="auto"/>
            <w:vAlign w:val="center"/>
          </w:tcPr>
          <w:p w:rsidRPr="006847ED" w:rsidR="00390351" w:rsidP="006847ED" w:rsidRDefault="005C568F" w14:paraId="4597A000" w14:textId="629796D0">
            <w:pPr>
              <w:widowControl/>
              <w:autoSpaceDE/>
              <w:autoSpaceDN/>
              <w:adjustRightInd/>
              <w:spacing w:line="276" w:lineRule="auto"/>
              <w:rPr>
                <w:rFonts w:ascii="Arial Narrow" w:hAnsi="Arial Narrow"/>
                <w:sz w:val="22"/>
              </w:rPr>
            </w:pPr>
            <w:r>
              <w:rPr>
                <w:rFonts w:ascii="Arial Narrow" w:hAnsi="Arial Narrow"/>
                <w:sz w:val="22"/>
              </w:rPr>
              <w:t xml:space="preserve">September 2020; </w:t>
            </w:r>
            <w:r w:rsidRPr="006847ED" w:rsidR="007F7CF6">
              <w:rPr>
                <w:rFonts w:ascii="Arial Narrow" w:hAnsi="Arial Narrow"/>
                <w:sz w:val="22"/>
              </w:rPr>
              <w:t>March – May 2021; March – May 2022</w:t>
            </w:r>
          </w:p>
        </w:tc>
      </w:tr>
      <w:tr w:rsidRPr="006847ED" w:rsidR="007F7CF6" w:rsidTr="007B5613" w14:paraId="5B01E0B5" w14:textId="77777777">
        <w:trPr>
          <w:trHeight w:val="299"/>
        </w:trPr>
        <w:tc>
          <w:tcPr>
            <w:tcW w:w="5487" w:type="dxa"/>
            <w:gridSpan w:val="2"/>
            <w:shd w:val="clear" w:color="auto" w:fill="auto"/>
            <w:vAlign w:val="center"/>
          </w:tcPr>
          <w:p w:rsidRPr="006847ED" w:rsidR="007F7CF6" w:rsidP="00EE09EB" w:rsidRDefault="007F7CF6" w14:paraId="10BCEF1A" w14:textId="271C6CC8">
            <w:pPr>
              <w:widowControl/>
              <w:autoSpaceDE/>
              <w:autoSpaceDN/>
              <w:adjustRightInd/>
              <w:spacing w:line="276" w:lineRule="auto"/>
              <w:rPr>
                <w:rFonts w:ascii="Arial Narrow" w:hAnsi="Arial Narrow"/>
                <w:sz w:val="22"/>
              </w:rPr>
            </w:pPr>
            <w:r w:rsidRPr="006847ED">
              <w:rPr>
                <w:rFonts w:ascii="Arial Narrow" w:hAnsi="Arial Narrow"/>
                <w:sz w:val="22"/>
              </w:rPr>
              <w:t xml:space="preserve">Data-End User </w:t>
            </w:r>
            <w:r w:rsidR="00EE09EB">
              <w:rPr>
                <w:rFonts w:ascii="Arial Narrow" w:hAnsi="Arial Narrow"/>
                <w:sz w:val="22"/>
              </w:rPr>
              <w:t>Survey</w:t>
            </w:r>
          </w:p>
        </w:tc>
        <w:tc>
          <w:tcPr>
            <w:tcW w:w="4864" w:type="dxa"/>
            <w:shd w:val="clear" w:color="auto" w:fill="auto"/>
            <w:vAlign w:val="center"/>
          </w:tcPr>
          <w:p w:rsidRPr="006847ED" w:rsidR="007F7CF6" w:rsidP="006847ED" w:rsidRDefault="007F7CF6" w14:paraId="3B2D7C2F" w14:textId="465703B8">
            <w:pPr>
              <w:widowControl/>
              <w:autoSpaceDE/>
              <w:autoSpaceDN/>
              <w:adjustRightInd/>
              <w:spacing w:line="276" w:lineRule="auto"/>
              <w:rPr>
                <w:rFonts w:ascii="Arial Narrow" w:hAnsi="Arial Narrow"/>
                <w:sz w:val="22"/>
              </w:rPr>
            </w:pPr>
            <w:r w:rsidRPr="006847ED">
              <w:rPr>
                <w:rFonts w:ascii="Arial Narrow" w:hAnsi="Arial Narrow"/>
                <w:sz w:val="22"/>
              </w:rPr>
              <w:t>May – August 2021;</w:t>
            </w:r>
            <w:r w:rsidR="006847ED">
              <w:rPr>
                <w:rFonts w:ascii="Arial Narrow" w:hAnsi="Arial Narrow"/>
                <w:sz w:val="22"/>
              </w:rPr>
              <w:t xml:space="preserve"> </w:t>
            </w:r>
            <w:r w:rsidRPr="006847ED">
              <w:rPr>
                <w:rFonts w:ascii="Arial Narrow" w:hAnsi="Arial Narrow"/>
                <w:sz w:val="22"/>
              </w:rPr>
              <w:t xml:space="preserve">February – May 2022 </w:t>
            </w:r>
          </w:p>
        </w:tc>
      </w:tr>
      <w:tr w:rsidRPr="006847ED" w:rsidR="007F7CF6" w:rsidTr="007B5613" w14:paraId="24BE8EE8" w14:textId="77777777">
        <w:trPr>
          <w:trHeight w:val="306"/>
        </w:trPr>
        <w:tc>
          <w:tcPr>
            <w:tcW w:w="5487" w:type="dxa"/>
            <w:gridSpan w:val="2"/>
            <w:shd w:val="clear" w:color="auto" w:fill="auto"/>
            <w:vAlign w:val="center"/>
          </w:tcPr>
          <w:p w:rsidRPr="006847ED" w:rsidR="007F7CF6" w:rsidP="006847ED" w:rsidRDefault="007F7CF6" w14:paraId="7E9309FB" w14:textId="13C2D728">
            <w:pPr>
              <w:widowControl/>
              <w:autoSpaceDE/>
              <w:autoSpaceDN/>
              <w:adjustRightInd/>
              <w:spacing w:line="276" w:lineRule="auto"/>
              <w:rPr>
                <w:rFonts w:ascii="Arial Narrow" w:hAnsi="Arial Narrow"/>
                <w:sz w:val="22"/>
              </w:rPr>
            </w:pPr>
            <w:r w:rsidRPr="006847ED">
              <w:rPr>
                <w:rFonts w:ascii="Arial Narrow" w:hAnsi="Arial Narrow"/>
                <w:sz w:val="22"/>
              </w:rPr>
              <w:t>Aggregate Statistics</w:t>
            </w:r>
          </w:p>
        </w:tc>
        <w:tc>
          <w:tcPr>
            <w:tcW w:w="4864" w:type="dxa"/>
            <w:shd w:val="clear" w:color="auto" w:fill="auto"/>
            <w:vAlign w:val="center"/>
          </w:tcPr>
          <w:p w:rsidRPr="006847ED" w:rsidR="00A01732" w:rsidP="006847ED" w:rsidRDefault="005C568F" w14:paraId="69F2DABE" w14:textId="48DF8B22">
            <w:pPr>
              <w:widowControl/>
              <w:autoSpaceDE/>
              <w:autoSpaceDN/>
              <w:adjustRightInd/>
              <w:spacing w:line="276" w:lineRule="auto"/>
              <w:rPr>
                <w:rFonts w:ascii="Arial Narrow" w:hAnsi="Arial Narrow"/>
                <w:sz w:val="22"/>
              </w:rPr>
            </w:pPr>
            <w:r>
              <w:rPr>
                <w:rFonts w:ascii="Arial Narrow" w:hAnsi="Arial Narrow"/>
                <w:sz w:val="22"/>
              </w:rPr>
              <w:t>September</w:t>
            </w:r>
            <w:r w:rsidRPr="006847ED" w:rsidR="00A01732">
              <w:rPr>
                <w:rFonts w:ascii="Arial Narrow" w:hAnsi="Arial Narrow"/>
                <w:sz w:val="22"/>
              </w:rPr>
              <w:t xml:space="preserve"> 2020 – July 2022 </w:t>
            </w:r>
          </w:p>
        </w:tc>
      </w:tr>
      <w:tr w:rsidRPr="006847ED" w:rsidR="007F7CF6" w:rsidTr="007B5613" w14:paraId="21819ED3" w14:textId="77777777">
        <w:trPr>
          <w:trHeight w:val="299"/>
        </w:trPr>
        <w:tc>
          <w:tcPr>
            <w:tcW w:w="5487" w:type="dxa"/>
            <w:gridSpan w:val="2"/>
            <w:shd w:val="clear" w:color="auto" w:fill="auto"/>
            <w:vAlign w:val="center"/>
          </w:tcPr>
          <w:p w:rsidRPr="006847ED" w:rsidR="007F7CF6" w:rsidP="006847ED" w:rsidRDefault="005C568F" w14:paraId="01A46D93" w14:textId="79D69BF6">
            <w:pPr>
              <w:widowControl/>
              <w:autoSpaceDE/>
              <w:autoSpaceDN/>
              <w:adjustRightInd/>
              <w:spacing w:line="276" w:lineRule="auto"/>
              <w:rPr>
                <w:rFonts w:ascii="Arial Narrow" w:hAnsi="Arial Narrow"/>
                <w:sz w:val="22"/>
              </w:rPr>
            </w:pPr>
            <w:r>
              <w:rPr>
                <w:rFonts w:ascii="Arial Narrow" w:hAnsi="Arial Narrow"/>
                <w:sz w:val="22"/>
              </w:rPr>
              <w:t>Personnel Time Reporting</w:t>
            </w:r>
            <w:r w:rsidRPr="006847ED" w:rsidR="007F7CF6">
              <w:rPr>
                <w:rFonts w:ascii="Arial Narrow" w:hAnsi="Arial Narrow"/>
                <w:sz w:val="22"/>
              </w:rPr>
              <w:t xml:space="preserve"> </w:t>
            </w:r>
          </w:p>
        </w:tc>
        <w:tc>
          <w:tcPr>
            <w:tcW w:w="4864" w:type="dxa"/>
            <w:shd w:val="clear" w:color="auto" w:fill="auto"/>
            <w:vAlign w:val="center"/>
          </w:tcPr>
          <w:p w:rsidRPr="006847ED" w:rsidR="007F7CF6" w:rsidP="006847ED" w:rsidRDefault="005C568F" w14:paraId="1C0C5E12" w14:textId="392A3018">
            <w:pPr>
              <w:widowControl/>
              <w:autoSpaceDE/>
              <w:autoSpaceDN/>
              <w:adjustRightInd/>
              <w:spacing w:line="276" w:lineRule="auto"/>
              <w:rPr>
                <w:rFonts w:ascii="Arial Narrow" w:hAnsi="Arial Narrow"/>
                <w:sz w:val="22"/>
              </w:rPr>
            </w:pPr>
            <w:r>
              <w:rPr>
                <w:rFonts w:ascii="Arial Narrow" w:hAnsi="Arial Narrow"/>
                <w:sz w:val="22"/>
              </w:rPr>
              <w:t>September</w:t>
            </w:r>
            <w:r w:rsidRPr="006847ED" w:rsidR="00A01732">
              <w:rPr>
                <w:rFonts w:ascii="Arial Narrow" w:hAnsi="Arial Narrow"/>
                <w:sz w:val="22"/>
              </w:rPr>
              <w:t xml:space="preserve"> 2020 – July 2022</w:t>
            </w:r>
          </w:p>
        </w:tc>
      </w:tr>
    </w:tbl>
    <w:p w:rsidR="00ED45E1" w:rsidP="00ED45E1" w:rsidRDefault="00ED45E1" w14:paraId="0C0E0990" w14:textId="77777777">
      <w:pPr>
        <w:ind w:left="360"/>
        <w:rPr>
          <w:b/>
          <w:sz w:val="24"/>
          <w:u w:val="single"/>
        </w:rPr>
      </w:pPr>
    </w:p>
    <w:p w:rsidRPr="00545B2E" w:rsidR="00EA5156" w:rsidP="00024782" w:rsidRDefault="009B3794" w14:paraId="0A51F5F6" w14:textId="77777777">
      <w:pPr>
        <w:numPr>
          <w:ilvl w:val="0"/>
          <w:numId w:val="1"/>
        </w:numPr>
        <w:rPr>
          <w:b/>
          <w:sz w:val="24"/>
          <w:u w:val="single"/>
        </w:rPr>
      </w:pPr>
      <w:r w:rsidRPr="00545B2E">
        <w:rPr>
          <w:b/>
          <w:sz w:val="24"/>
          <w:u w:val="single"/>
        </w:rPr>
        <w:t>Reason(s) Display of OMB Expiration Date is Inappropriate</w:t>
      </w:r>
    </w:p>
    <w:p w:rsidR="00D1726F" w:rsidP="00D1726F" w:rsidRDefault="008D4C48" w14:paraId="1DDC6605" w14:textId="2D24448E">
      <w:pPr>
        <w:pStyle w:val="BodyTextIndent"/>
        <w:ind w:left="0"/>
        <w:rPr>
          <w:rFonts w:ascii="Times New Roman" w:hAnsi="Times New Roman"/>
        </w:rPr>
      </w:pPr>
      <w:r w:rsidRPr="008D4C48">
        <w:t xml:space="preserve"> </w:t>
      </w:r>
      <w:r w:rsidRPr="008D4C48">
        <w:rPr>
          <w:rFonts w:ascii="Times New Roman" w:hAnsi="Times New Roman"/>
        </w:rPr>
        <w:t>The OMB number and Expiration date will be displayed on every</w:t>
      </w:r>
      <w:r w:rsidR="00ED45E1">
        <w:rPr>
          <w:rFonts w:ascii="Times New Roman" w:hAnsi="Times New Roman"/>
        </w:rPr>
        <w:t xml:space="preserve"> page of every </w:t>
      </w:r>
      <w:r>
        <w:rPr>
          <w:rFonts w:ascii="Times New Roman" w:hAnsi="Times New Roman"/>
        </w:rPr>
        <w:t>form/instrument.</w:t>
      </w:r>
    </w:p>
    <w:p w:rsidRPr="00545B2E" w:rsidR="00EA5156" w:rsidP="00024782" w:rsidRDefault="009B3794" w14:paraId="260BD30A" w14:textId="77777777">
      <w:pPr>
        <w:numPr>
          <w:ilvl w:val="0"/>
          <w:numId w:val="1"/>
        </w:numPr>
        <w:rPr>
          <w:b/>
          <w:sz w:val="24"/>
          <w:u w:val="single"/>
        </w:rPr>
      </w:pPr>
      <w:r w:rsidRPr="00545B2E">
        <w:rPr>
          <w:b/>
          <w:sz w:val="24"/>
          <w:u w:val="single"/>
        </w:rPr>
        <w:lastRenderedPageBreak/>
        <w:t>Exceptions to Certificati</w:t>
      </w:r>
      <w:bookmarkStart w:name="_GoBack" w:id="4"/>
      <w:bookmarkEnd w:id="4"/>
      <w:r w:rsidRPr="00545B2E">
        <w:rPr>
          <w:b/>
          <w:sz w:val="24"/>
          <w:u w:val="single"/>
        </w:rPr>
        <w:t>on for Paperwork Reduction Act Submissions</w:t>
      </w:r>
    </w:p>
    <w:p w:rsidR="001D0BD9" w:rsidP="00D1726F" w:rsidRDefault="001D0BD9" w14:paraId="32C1633F" w14:textId="77777777">
      <w:pPr>
        <w:rPr>
          <w:sz w:val="24"/>
        </w:rPr>
      </w:pPr>
    </w:p>
    <w:p w:rsidR="00024782" w:rsidP="007B5613" w:rsidRDefault="00EA5156" w14:paraId="3A5FE071" w14:textId="4BF56FC6">
      <w:pPr>
        <w:rPr>
          <w:rFonts w:ascii="Arial" w:hAnsi="Arial" w:cs="Arial"/>
          <w:b/>
          <w:sz w:val="24"/>
        </w:rPr>
      </w:pPr>
      <w:r w:rsidRPr="00D1726F">
        <w:rPr>
          <w:sz w:val="24"/>
        </w:rPr>
        <w:t>There are no exceptions to the certification.</w:t>
      </w:r>
    </w:p>
    <w:sectPr w:rsidR="00024782" w:rsidSect="00F53884">
      <w:footerReference w:type="default" r:id="rId17"/>
      <w:endnotePr>
        <w:numFmt w:val="decimal"/>
      </w:endnotePr>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7547D" w14:textId="77777777" w:rsidR="00F53884" w:rsidRDefault="00F53884">
      <w:r>
        <w:separator/>
      </w:r>
    </w:p>
  </w:endnote>
  <w:endnote w:type="continuationSeparator" w:id="0">
    <w:p w14:paraId="63232BF6" w14:textId="77777777" w:rsidR="00F53884" w:rsidRDefault="00F5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748021"/>
      <w:docPartObj>
        <w:docPartGallery w:val="Page Numbers (Bottom of Page)"/>
        <w:docPartUnique/>
      </w:docPartObj>
    </w:sdtPr>
    <w:sdtEndPr>
      <w:rPr>
        <w:noProof/>
      </w:rPr>
    </w:sdtEndPr>
    <w:sdtContent>
      <w:p w14:paraId="32CC6152" w14:textId="42C59957" w:rsidR="00F53884" w:rsidRDefault="00F53884">
        <w:pPr>
          <w:pStyle w:val="Footer"/>
          <w:jc w:val="center"/>
        </w:pPr>
        <w:r>
          <w:fldChar w:fldCharType="begin"/>
        </w:r>
        <w:r>
          <w:instrText xml:space="preserve"> PAGE   \* MERGEFORMAT </w:instrText>
        </w:r>
        <w:r>
          <w:fldChar w:fldCharType="separate"/>
        </w:r>
        <w:r w:rsidR="00067B31">
          <w:rPr>
            <w:noProof/>
          </w:rPr>
          <w:t>6</w:t>
        </w:r>
        <w:r>
          <w:rPr>
            <w:noProof/>
          </w:rPr>
          <w:fldChar w:fldCharType="end"/>
        </w:r>
      </w:p>
    </w:sdtContent>
  </w:sdt>
  <w:p w14:paraId="7EFF43AC" w14:textId="77777777" w:rsidR="00F53884" w:rsidRDefault="00F53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329BF" w14:textId="77777777" w:rsidR="00F53884" w:rsidRDefault="00F53884">
    <w:pPr>
      <w:spacing w:line="240" w:lineRule="exact"/>
    </w:pPr>
  </w:p>
  <w:p w14:paraId="23957B73" w14:textId="2654BD87" w:rsidR="00F53884" w:rsidRDefault="00F53884">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67B31">
      <w:rPr>
        <w:noProof/>
        <w:sz w:val="24"/>
      </w:rPr>
      <w:t>18</w:t>
    </w:r>
    <w:r>
      <w:rPr>
        <w:sz w:val="24"/>
      </w:rPr>
      <w:fldChar w:fldCharType="end"/>
    </w:r>
  </w:p>
  <w:p w14:paraId="38ADB661" w14:textId="77777777" w:rsidR="00F53884" w:rsidRDefault="00F53884">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06A0C" w14:textId="77777777" w:rsidR="00F53884" w:rsidRDefault="00F53884">
      <w:r>
        <w:separator/>
      </w:r>
    </w:p>
  </w:footnote>
  <w:footnote w:type="continuationSeparator" w:id="0">
    <w:p w14:paraId="047D0360" w14:textId="77777777" w:rsidR="00F53884" w:rsidRDefault="00F53884">
      <w:r>
        <w:continuationSeparator/>
      </w:r>
    </w:p>
  </w:footnote>
  <w:footnote w:id="1">
    <w:p w14:paraId="3C03D958" w14:textId="77777777" w:rsidR="00F53884" w:rsidRPr="00362F98" w:rsidRDefault="00F53884" w:rsidP="001D1016">
      <w:pPr>
        <w:pStyle w:val="FootnoteText"/>
      </w:pPr>
      <w:r w:rsidRPr="00362F98">
        <w:rPr>
          <w:rStyle w:val="FootnoteReference"/>
        </w:rPr>
        <w:footnoteRef/>
      </w:r>
      <w:r w:rsidRPr="00362F98">
        <w:t xml:space="preserve"> Health Resources and Services Administration. Ryan White HIV/AIDS Program Annual Client-Level Data Report 201</w:t>
      </w:r>
      <w:r>
        <w:t>6</w:t>
      </w:r>
      <w:r w:rsidRPr="16CFCEB2">
        <w:t xml:space="preserve">. </w:t>
      </w:r>
      <w:hyperlink r:id="rId1" w:history="1">
        <w:r w:rsidRPr="00362F98">
          <w:rPr>
            <w:rStyle w:val="Hyperlink"/>
          </w:rPr>
          <w:t>http://hab.hrsa.gov/data/data-reports</w:t>
        </w:r>
      </w:hyperlink>
      <w:r w:rsidRPr="00362F98">
        <w:t xml:space="preserve">. Published </w:t>
      </w:r>
      <w:r>
        <w:t>December 2018</w:t>
      </w:r>
      <w:r w:rsidRPr="00362F98">
        <w:t xml:space="preserve">. Accessed </w:t>
      </w:r>
      <w:r>
        <w:t>September 9, 2019.</w:t>
      </w:r>
      <w:r w:rsidRPr="16CFCEB2">
        <w:t xml:space="preserve"> </w:t>
      </w:r>
    </w:p>
  </w:footnote>
  <w:footnote w:id="2">
    <w:p w14:paraId="0E24B685" w14:textId="44F6B97F" w:rsidR="00F53884" w:rsidRPr="00FE6208" w:rsidRDefault="00F53884">
      <w:pPr>
        <w:pStyle w:val="FootnoteText"/>
        <w:rPr>
          <w:sz w:val="14"/>
          <w:szCs w:val="14"/>
        </w:rPr>
      </w:pPr>
      <w:r w:rsidRPr="00FE6208">
        <w:rPr>
          <w:rStyle w:val="FootnoteReference"/>
          <w:sz w:val="14"/>
          <w:szCs w:val="14"/>
        </w:rPr>
        <w:footnoteRef/>
      </w:r>
      <w:r w:rsidRPr="00FE6208">
        <w:rPr>
          <w:sz w:val="14"/>
          <w:szCs w:val="14"/>
        </w:rPr>
        <w:t xml:space="preserve"> https://hab.hrsa.gov/about-ryan-white-hivaids-program/part-f-special-projects-national-significance-spns-program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7655F" w14:textId="3273254F" w:rsidR="00F53884" w:rsidRPr="00334340" w:rsidRDefault="00F53884" w:rsidP="00334340">
    <w:pPr>
      <w:pStyle w:val="Header"/>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DF02ED"/>
    <w:multiLevelType w:val="multilevel"/>
    <w:tmpl w:val="DDEA02AE"/>
    <w:styleLink w:val="LFO13"/>
    <w:lvl w:ilvl="0">
      <w:numFmt w:val="bullet"/>
      <w:pStyle w:val="Table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15651AA"/>
    <w:multiLevelType w:val="hybridMultilevel"/>
    <w:tmpl w:val="604226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6B4230"/>
    <w:multiLevelType w:val="multilevel"/>
    <w:tmpl w:val="D318FE4A"/>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D6D1FB6"/>
    <w:multiLevelType w:val="hybridMultilevel"/>
    <w:tmpl w:val="6B8A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33C2464C"/>
    <w:multiLevelType w:val="hybridMultilevel"/>
    <w:tmpl w:val="1646CC9C"/>
    <w:lvl w:ilvl="0" w:tplc="36581596">
      <w:start w:val="1"/>
      <w:numFmt w:val="bullet"/>
      <w:lvlText w:val=""/>
      <w:lvlJc w:val="left"/>
      <w:pPr>
        <w:ind w:left="360" w:hanging="360"/>
      </w:pPr>
      <w:rPr>
        <w:rFonts w:ascii="Symbol" w:hAnsi="Symbol" w:hint="default"/>
        <w:caps w:val="0"/>
        <w:strike w:val="0"/>
        <w:dstrike w:val="0"/>
        <w:vanish w:val="0"/>
        <w:color w:val="C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F32B9B"/>
    <w:multiLevelType w:val="hybridMultilevel"/>
    <w:tmpl w:val="5E3EEEAC"/>
    <w:lvl w:ilvl="0" w:tplc="EA4CFFF2">
      <w:start w:val="1"/>
      <w:numFmt w:val="bullet"/>
      <w:pStyle w:val="TableBullet2"/>
      <w:lvlText w:val=""/>
      <w:lvlJc w:val="left"/>
      <w:pPr>
        <w:ind w:left="720" w:hanging="360"/>
      </w:pPr>
      <w:rPr>
        <w:rFonts w:ascii="Symbol" w:hAnsi="Symbol" w:hint="default"/>
        <w:caps w:val="0"/>
        <w:strike w:val="0"/>
        <w:dstrike w:val="0"/>
        <w:vanish w:val="0"/>
        <w:color w:val="0D0D0D" w:themeColor="text1" w:themeTint="F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A1D7109"/>
    <w:multiLevelType w:val="hybridMultilevel"/>
    <w:tmpl w:val="64AA5CC4"/>
    <w:lvl w:ilvl="0" w:tplc="463CE3E8">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DD36F2"/>
    <w:multiLevelType w:val="hybridMultilevel"/>
    <w:tmpl w:val="5826060A"/>
    <w:lvl w:ilvl="0" w:tplc="2F4E2F80">
      <w:start w:val="1"/>
      <w:numFmt w:val="bullet"/>
      <w:pStyle w:val="BulletsLas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6DDA1F15"/>
    <w:multiLevelType w:val="hybridMultilevel"/>
    <w:tmpl w:val="49B04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71E40EB5"/>
    <w:multiLevelType w:val="hybridMultilevel"/>
    <w:tmpl w:val="6666BF7E"/>
    <w:lvl w:ilvl="0" w:tplc="EBF84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C4159"/>
    <w:multiLevelType w:val="hybridMultilevel"/>
    <w:tmpl w:val="6E4C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7AD63DA6"/>
    <w:multiLevelType w:val="singleLevel"/>
    <w:tmpl w:val="0AE8B99A"/>
    <w:lvl w:ilvl="0">
      <w:start w:val="1"/>
      <w:numFmt w:val="bullet"/>
      <w:pStyle w:val="Bullets"/>
      <w:lvlText w:val=""/>
      <w:lvlJc w:val="left"/>
      <w:pPr>
        <w:ind w:left="360" w:hanging="360"/>
      </w:pPr>
      <w:rPr>
        <w:rFonts w:ascii="Symbol" w:hAnsi="Symbol" w:hint="default"/>
        <w:color w:val="DA291C"/>
        <w:sz w:val="22"/>
      </w:rPr>
    </w:lvl>
  </w:abstractNum>
  <w:abstractNum w:abstractNumId="27" w15:restartNumberingAfterBreak="0">
    <w:nsid w:val="7C2E488E"/>
    <w:multiLevelType w:val="hybridMultilevel"/>
    <w:tmpl w:val="84DEA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2"/>
  </w:num>
  <w:num w:numId="3">
    <w:abstractNumId w:val="2"/>
  </w:num>
  <w:num w:numId="4">
    <w:abstractNumId w:val="0"/>
  </w:num>
  <w:num w:numId="5">
    <w:abstractNumId w:val="18"/>
  </w:num>
  <w:num w:numId="6">
    <w:abstractNumId w:val="16"/>
  </w:num>
  <w:num w:numId="7">
    <w:abstractNumId w:val="17"/>
  </w:num>
  <w:num w:numId="8">
    <w:abstractNumId w:val="25"/>
  </w:num>
  <w:num w:numId="9">
    <w:abstractNumId w:val="24"/>
  </w:num>
  <w:num w:numId="10">
    <w:abstractNumId w:val="1"/>
  </w:num>
  <w:num w:numId="11">
    <w:abstractNumId w:val="10"/>
  </w:num>
  <w:num w:numId="12">
    <w:abstractNumId w:val="21"/>
  </w:num>
  <w:num w:numId="13">
    <w:abstractNumId w:val="19"/>
  </w:num>
  <w:num w:numId="14">
    <w:abstractNumId w:val="14"/>
  </w:num>
  <w:num w:numId="15">
    <w:abstractNumId w:val="7"/>
  </w:num>
  <w:num w:numId="16">
    <w:abstractNumId w:val="15"/>
  </w:num>
  <w:num w:numId="17">
    <w:abstractNumId w:val="26"/>
  </w:num>
  <w:num w:numId="18">
    <w:abstractNumId w:val="22"/>
  </w:num>
  <w:num w:numId="19">
    <w:abstractNumId w:val="13"/>
  </w:num>
  <w:num w:numId="20">
    <w:abstractNumId w:val="6"/>
  </w:num>
  <w:num w:numId="21">
    <w:abstractNumId w:val="4"/>
  </w:num>
  <w:num w:numId="22">
    <w:abstractNumId w:val="23"/>
  </w:num>
  <w:num w:numId="23">
    <w:abstractNumId w:val="27"/>
  </w:num>
  <w:num w:numId="24">
    <w:abstractNumId w:val="5"/>
  </w:num>
  <w:num w:numId="25">
    <w:abstractNumId w:val="9"/>
  </w:num>
  <w:num w:numId="26">
    <w:abstractNumId w:val="8"/>
  </w:num>
  <w:num w:numId="27">
    <w:abstractNumId w:val="20"/>
  </w:num>
  <w:num w:numId="28">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1727"/>
    <w:rsid w:val="00005106"/>
    <w:rsid w:val="00015505"/>
    <w:rsid w:val="00020113"/>
    <w:rsid w:val="00024782"/>
    <w:rsid w:val="000346ED"/>
    <w:rsid w:val="00040287"/>
    <w:rsid w:val="00047976"/>
    <w:rsid w:val="0005336C"/>
    <w:rsid w:val="00055B81"/>
    <w:rsid w:val="00060185"/>
    <w:rsid w:val="00063201"/>
    <w:rsid w:val="00066514"/>
    <w:rsid w:val="00067B31"/>
    <w:rsid w:val="00071026"/>
    <w:rsid w:val="00073544"/>
    <w:rsid w:val="00097F16"/>
    <w:rsid w:val="000A716D"/>
    <w:rsid w:val="000B1F25"/>
    <w:rsid w:val="000B3A0B"/>
    <w:rsid w:val="000B4F7E"/>
    <w:rsid w:val="000C286C"/>
    <w:rsid w:val="000C544D"/>
    <w:rsid w:val="000C6B78"/>
    <w:rsid w:val="000E1985"/>
    <w:rsid w:val="000F0FE0"/>
    <w:rsid w:val="000F53A0"/>
    <w:rsid w:val="0010135F"/>
    <w:rsid w:val="00104727"/>
    <w:rsid w:val="00130899"/>
    <w:rsid w:val="001325B2"/>
    <w:rsid w:val="00171894"/>
    <w:rsid w:val="001863C3"/>
    <w:rsid w:val="00191375"/>
    <w:rsid w:val="001920C3"/>
    <w:rsid w:val="001946EA"/>
    <w:rsid w:val="001955EB"/>
    <w:rsid w:val="001A63E9"/>
    <w:rsid w:val="001B109B"/>
    <w:rsid w:val="001C1FF3"/>
    <w:rsid w:val="001C558C"/>
    <w:rsid w:val="001C7794"/>
    <w:rsid w:val="001D0BD9"/>
    <w:rsid w:val="001D1016"/>
    <w:rsid w:val="001D4856"/>
    <w:rsid w:val="001D6BF4"/>
    <w:rsid w:val="0020222D"/>
    <w:rsid w:val="00207C88"/>
    <w:rsid w:val="002118B4"/>
    <w:rsid w:val="00211D80"/>
    <w:rsid w:val="00212EF3"/>
    <w:rsid w:val="0023019D"/>
    <w:rsid w:val="0023596B"/>
    <w:rsid w:val="0024232D"/>
    <w:rsid w:val="00244852"/>
    <w:rsid w:val="00245D73"/>
    <w:rsid w:val="002500AC"/>
    <w:rsid w:val="00250D50"/>
    <w:rsid w:val="00253644"/>
    <w:rsid w:val="00260946"/>
    <w:rsid w:val="002640E7"/>
    <w:rsid w:val="00267B7D"/>
    <w:rsid w:val="00297A14"/>
    <w:rsid w:val="002A04C8"/>
    <w:rsid w:val="002A2FE6"/>
    <w:rsid w:val="002A3286"/>
    <w:rsid w:val="002A345C"/>
    <w:rsid w:val="002B73CD"/>
    <w:rsid w:val="002C4898"/>
    <w:rsid w:val="002C5088"/>
    <w:rsid w:val="002D2B6B"/>
    <w:rsid w:val="002D2DC5"/>
    <w:rsid w:val="002E110A"/>
    <w:rsid w:val="002E4F82"/>
    <w:rsid w:val="002F2DC4"/>
    <w:rsid w:val="00304708"/>
    <w:rsid w:val="003119ED"/>
    <w:rsid w:val="00311E30"/>
    <w:rsid w:val="003162F4"/>
    <w:rsid w:val="00322313"/>
    <w:rsid w:val="00323AD2"/>
    <w:rsid w:val="00333964"/>
    <w:rsid w:val="00334340"/>
    <w:rsid w:val="00334555"/>
    <w:rsid w:val="00340F13"/>
    <w:rsid w:val="0034110F"/>
    <w:rsid w:val="00355658"/>
    <w:rsid w:val="00361957"/>
    <w:rsid w:val="00376738"/>
    <w:rsid w:val="00385179"/>
    <w:rsid w:val="00390351"/>
    <w:rsid w:val="00391E16"/>
    <w:rsid w:val="00392BFC"/>
    <w:rsid w:val="00392C08"/>
    <w:rsid w:val="003A1EE6"/>
    <w:rsid w:val="003D23B1"/>
    <w:rsid w:val="003E1B82"/>
    <w:rsid w:val="003E7449"/>
    <w:rsid w:val="003F0C84"/>
    <w:rsid w:val="003F748A"/>
    <w:rsid w:val="00425C4A"/>
    <w:rsid w:val="00427D66"/>
    <w:rsid w:val="00435E52"/>
    <w:rsid w:val="00436EAC"/>
    <w:rsid w:val="00442B41"/>
    <w:rsid w:val="00447377"/>
    <w:rsid w:val="0044771A"/>
    <w:rsid w:val="00450715"/>
    <w:rsid w:val="00460C07"/>
    <w:rsid w:val="004622AD"/>
    <w:rsid w:val="00464ED7"/>
    <w:rsid w:val="00472185"/>
    <w:rsid w:val="00472847"/>
    <w:rsid w:val="004746CA"/>
    <w:rsid w:val="00475C5E"/>
    <w:rsid w:val="00480B56"/>
    <w:rsid w:val="00485665"/>
    <w:rsid w:val="004865BE"/>
    <w:rsid w:val="00490720"/>
    <w:rsid w:val="004979EC"/>
    <w:rsid w:val="004B3DE2"/>
    <w:rsid w:val="004D65DC"/>
    <w:rsid w:val="004E1A67"/>
    <w:rsid w:val="004E687D"/>
    <w:rsid w:val="004F6A1D"/>
    <w:rsid w:val="004F7D4F"/>
    <w:rsid w:val="00501099"/>
    <w:rsid w:val="005019F5"/>
    <w:rsid w:val="00502290"/>
    <w:rsid w:val="00503BAB"/>
    <w:rsid w:val="00504BBC"/>
    <w:rsid w:val="00514700"/>
    <w:rsid w:val="00541C3F"/>
    <w:rsid w:val="005426F5"/>
    <w:rsid w:val="00545B2E"/>
    <w:rsid w:val="005474C8"/>
    <w:rsid w:val="005502DC"/>
    <w:rsid w:val="00560C1D"/>
    <w:rsid w:val="005658C4"/>
    <w:rsid w:val="00565D0C"/>
    <w:rsid w:val="00590953"/>
    <w:rsid w:val="0059146F"/>
    <w:rsid w:val="00595E17"/>
    <w:rsid w:val="005A7518"/>
    <w:rsid w:val="005B2B22"/>
    <w:rsid w:val="005C1FC6"/>
    <w:rsid w:val="005C568F"/>
    <w:rsid w:val="005D0F9E"/>
    <w:rsid w:val="005D3803"/>
    <w:rsid w:val="005D7625"/>
    <w:rsid w:val="005E1765"/>
    <w:rsid w:val="00604FEA"/>
    <w:rsid w:val="00613CE3"/>
    <w:rsid w:val="00617998"/>
    <w:rsid w:val="00620764"/>
    <w:rsid w:val="00622188"/>
    <w:rsid w:val="006231D4"/>
    <w:rsid w:val="00624019"/>
    <w:rsid w:val="00627FFD"/>
    <w:rsid w:val="006545B1"/>
    <w:rsid w:val="00663281"/>
    <w:rsid w:val="00670662"/>
    <w:rsid w:val="00680D76"/>
    <w:rsid w:val="00681F7D"/>
    <w:rsid w:val="00683C5B"/>
    <w:rsid w:val="006847ED"/>
    <w:rsid w:val="006A573B"/>
    <w:rsid w:val="006C14DB"/>
    <w:rsid w:val="006C4152"/>
    <w:rsid w:val="006D2487"/>
    <w:rsid w:val="006F3D83"/>
    <w:rsid w:val="00713B7C"/>
    <w:rsid w:val="00715501"/>
    <w:rsid w:val="0073114C"/>
    <w:rsid w:val="00735D97"/>
    <w:rsid w:val="0073632F"/>
    <w:rsid w:val="0074795B"/>
    <w:rsid w:val="0075517D"/>
    <w:rsid w:val="00764AB5"/>
    <w:rsid w:val="007726DD"/>
    <w:rsid w:val="007745C7"/>
    <w:rsid w:val="00777361"/>
    <w:rsid w:val="00781B48"/>
    <w:rsid w:val="007824AF"/>
    <w:rsid w:val="0078630D"/>
    <w:rsid w:val="007A3C4F"/>
    <w:rsid w:val="007A7B0B"/>
    <w:rsid w:val="007B2A08"/>
    <w:rsid w:val="007B5613"/>
    <w:rsid w:val="007C3570"/>
    <w:rsid w:val="007D25A4"/>
    <w:rsid w:val="007D64DC"/>
    <w:rsid w:val="007D65A5"/>
    <w:rsid w:val="007E030C"/>
    <w:rsid w:val="007F047A"/>
    <w:rsid w:val="007F2388"/>
    <w:rsid w:val="007F57E2"/>
    <w:rsid w:val="007F7CF6"/>
    <w:rsid w:val="008002AB"/>
    <w:rsid w:val="008031B8"/>
    <w:rsid w:val="0080729A"/>
    <w:rsid w:val="00807B27"/>
    <w:rsid w:val="00811340"/>
    <w:rsid w:val="00821AC9"/>
    <w:rsid w:val="00855A98"/>
    <w:rsid w:val="00855B50"/>
    <w:rsid w:val="00857C7A"/>
    <w:rsid w:val="00864491"/>
    <w:rsid w:val="0087691B"/>
    <w:rsid w:val="008851D0"/>
    <w:rsid w:val="008A0D30"/>
    <w:rsid w:val="008A33C1"/>
    <w:rsid w:val="008A50A2"/>
    <w:rsid w:val="008A644D"/>
    <w:rsid w:val="008A7262"/>
    <w:rsid w:val="008B04CA"/>
    <w:rsid w:val="008C13C5"/>
    <w:rsid w:val="008C37FA"/>
    <w:rsid w:val="008D2D67"/>
    <w:rsid w:val="008D4C48"/>
    <w:rsid w:val="008E1BF2"/>
    <w:rsid w:val="00910887"/>
    <w:rsid w:val="00925841"/>
    <w:rsid w:val="00934108"/>
    <w:rsid w:val="00935E77"/>
    <w:rsid w:val="00937115"/>
    <w:rsid w:val="00953119"/>
    <w:rsid w:val="00960AAC"/>
    <w:rsid w:val="009701EC"/>
    <w:rsid w:val="009740BA"/>
    <w:rsid w:val="0097510A"/>
    <w:rsid w:val="009836FA"/>
    <w:rsid w:val="00995972"/>
    <w:rsid w:val="00996440"/>
    <w:rsid w:val="009B10C7"/>
    <w:rsid w:val="009B2766"/>
    <w:rsid w:val="009B3794"/>
    <w:rsid w:val="009B7E4D"/>
    <w:rsid w:val="009C0EE3"/>
    <w:rsid w:val="009C3E53"/>
    <w:rsid w:val="009D1C89"/>
    <w:rsid w:val="009D7D91"/>
    <w:rsid w:val="009F18A2"/>
    <w:rsid w:val="009F64D4"/>
    <w:rsid w:val="00A01732"/>
    <w:rsid w:val="00A116FA"/>
    <w:rsid w:val="00A1688A"/>
    <w:rsid w:val="00A16AA1"/>
    <w:rsid w:val="00A17A4D"/>
    <w:rsid w:val="00A224EC"/>
    <w:rsid w:val="00A2461D"/>
    <w:rsid w:val="00A34E34"/>
    <w:rsid w:val="00A4459F"/>
    <w:rsid w:val="00A45F96"/>
    <w:rsid w:val="00A47C1D"/>
    <w:rsid w:val="00A56713"/>
    <w:rsid w:val="00A7086C"/>
    <w:rsid w:val="00A7451A"/>
    <w:rsid w:val="00A74DDF"/>
    <w:rsid w:val="00A83B97"/>
    <w:rsid w:val="00A85E8D"/>
    <w:rsid w:val="00A92CAB"/>
    <w:rsid w:val="00AA2BA1"/>
    <w:rsid w:val="00AA4C41"/>
    <w:rsid w:val="00AA6F5D"/>
    <w:rsid w:val="00AB0A98"/>
    <w:rsid w:val="00AC1EAA"/>
    <w:rsid w:val="00AD27C4"/>
    <w:rsid w:val="00AD3D8B"/>
    <w:rsid w:val="00AD5336"/>
    <w:rsid w:val="00AD659A"/>
    <w:rsid w:val="00AD748E"/>
    <w:rsid w:val="00AE2DFD"/>
    <w:rsid w:val="00AE5BD2"/>
    <w:rsid w:val="00AE7154"/>
    <w:rsid w:val="00AF1905"/>
    <w:rsid w:val="00AF23C9"/>
    <w:rsid w:val="00AF2C40"/>
    <w:rsid w:val="00AF37AA"/>
    <w:rsid w:val="00AF38C5"/>
    <w:rsid w:val="00B17735"/>
    <w:rsid w:val="00B22255"/>
    <w:rsid w:val="00B27974"/>
    <w:rsid w:val="00B37CE1"/>
    <w:rsid w:val="00B60D11"/>
    <w:rsid w:val="00B655C6"/>
    <w:rsid w:val="00B6695B"/>
    <w:rsid w:val="00B7236F"/>
    <w:rsid w:val="00B84C27"/>
    <w:rsid w:val="00B87687"/>
    <w:rsid w:val="00B87D8B"/>
    <w:rsid w:val="00B941B6"/>
    <w:rsid w:val="00B95525"/>
    <w:rsid w:val="00BA1A0C"/>
    <w:rsid w:val="00BB268A"/>
    <w:rsid w:val="00BB57C0"/>
    <w:rsid w:val="00BC5A95"/>
    <w:rsid w:val="00BD084F"/>
    <w:rsid w:val="00BD59DC"/>
    <w:rsid w:val="00BD626F"/>
    <w:rsid w:val="00BD6BF1"/>
    <w:rsid w:val="00BD7960"/>
    <w:rsid w:val="00BF3A71"/>
    <w:rsid w:val="00BF74E9"/>
    <w:rsid w:val="00C001B4"/>
    <w:rsid w:val="00C05BAF"/>
    <w:rsid w:val="00C102D9"/>
    <w:rsid w:val="00C12045"/>
    <w:rsid w:val="00C173C2"/>
    <w:rsid w:val="00C2106B"/>
    <w:rsid w:val="00C267E1"/>
    <w:rsid w:val="00C27D8F"/>
    <w:rsid w:val="00C32963"/>
    <w:rsid w:val="00C3458A"/>
    <w:rsid w:val="00C35AC4"/>
    <w:rsid w:val="00C45431"/>
    <w:rsid w:val="00C610E9"/>
    <w:rsid w:val="00C63AB8"/>
    <w:rsid w:val="00C65A17"/>
    <w:rsid w:val="00C7318D"/>
    <w:rsid w:val="00C74B86"/>
    <w:rsid w:val="00C756F5"/>
    <w:rsid w:val="00C81694"/>
    <w:rsid w:val="00C91FFB"/>
    <w:rsid w:val="00C947DC"/>
    <w:rsid w:val="00CA1074"/>
    <w:rsid w:val="00CA3DA6"/>
    <w:rsid w:val="00CB14B8"/>
    <w:rsid w:val="00CC1E44"/>
    <w:rsid w:val="00CD36E7"/>
    <w:rsid w:val="00CE59D8"/>
    <w:rsid w:val="00CE5AA9"/>
    <w:rsid w:val="00CE67F2"/>
    <w:rsid w:val="00D06534"/>
    <w:rsid w:val="00D068F2"/>
    <w:rsid w:val="00D11CA3"/>
    <w:rsid w:val="00D16F2B"/>
    <w:rsid w:val="00D1726F"/>
    <w:rsid w:val="00D23FFA"/>
    <w:rsid w:val="00D25EE6"/>
    <w:rsid w:val="00D26EF7"/>
    <w:rsid w:val="00D31E25"/>
    <w:rsid w:val="00D3255C"/>
    <w:rsid w:val="00D41142"/>
    <w:rsid w:val="00D4304F"/>
    <w:rsid w:val="00D448A6"/>
    <w:rsid w:val="00D46313"/>
    <w:rsid w:val="00D46682"/>
    <w:rsid w:val="00D5130B"/>
    <w:rsid w:val="00D56CC2"/>
    <w:rsid w:val="00D6193D"/>
    <w:rsid w:val="00D6396E"/>
    <w:rsid w:val="00D679B1"/>
    <w:rsid w:val="00D71839"/>
    <w:rsid w:val="00D74B86"/>
    <w:rsid w:val="00D87624"/>
    <w:rsid w:val="00D924E4"/>
    <w:rsid w:val="00D92E1D"/>
    <w:rsid w:val="00DB3223"/>
    <w:rsid w:val="00DB4A04"/>
    <w:rsid w:val="00DB5104"/>
    <w:rsid w:val="00DB7177"/>
    <w:rsid w:val="00DC57CF"/>
    <w:rsid w:val="00DC7D2C"/>
    <w:rsid w:val="00DE3A45"/>
    <w:rsid w:val="00DE7EC1"/>
    <w:rsid w:val="00DF097D"/>
    <w:rsid w:val="00DF2628"/>
    <w:rsid w:val="00E00CEE"/>
    <w:rsid w:val="00E073D6"/>
    <w:rsid w:val="00E203FA"/>
    <w:rsid w:val="00E31AD6"/>
    <w:rsid w:val="00E34A1F"/>
    <w:rsid w:val="00E36D31"/>
    <w:rsid w:val="00E45C89"/>
    <w:rsid w:val="00E50884"/>
    <w:rsid w:val="00E62F08"/>
    <w:rsid w:val="00E670D6"/>
    <w:rsid w:val="00E71093"/>
    <w:rsid w:val="00E7163A"/>
    <w:rsid w:val="00E745D9"/>
    <w:rsid w:val="00E85359"/>
    <w:rsid w:val="00E87554"/>
    <w:rsid w:val="00E876DD"/>
    <w:rsid w:val="00E90750"/>
    <w:rsid w:val="00E950D6"/>
    <w:rsid w:val="00E962DB"/>
    <w:rsid w:val="00EA32EA"/>
    <w:rsid w:val="00EA5156"/>
    <w:rsid w:val="00EB0ED7"/>
    <w:rsid w:val="00EB588A"/>
    <w:rsid w:val="00EC38CD"/>
    <w:rsid w:val="00ED18EA"/>
    <w:rsid w:val="00ED2739"/>
    <w:rsid w:val="00ED2824"/>
    <w:rsid w:val="00ED45E1"/>
    <w:rsid w:val="00EE09EB"/>
    <w:rsid w:val="00EE343C"/>
    <w:rsid w:val="00EE3927"/>
    <w:rsid w:val="00EE529C"/>
    <w:rsid w:val="00EE5A46"/>
    <w:rsid w:val="00EF04D7"/>
    <w:rsid w:val="00F07896"/>
    <w:rsid w:val="00F103A4"/>
    <w:rsid w:val="00F13750"/>
    <w:rsid w:val="00F25403"/>
    <w:rsid w:val="00F33366"/>
    <w:rsid w:val="00F348E7"/>
    <w:rsid w:val="00F35651"/>
    <w:rsid w:val="00F4221E"/>
    <w:rsid w:val="00F429EC"/>
    <w:rsid w:val="00F438D3"/>
    <w:rsid w:val="00F51B7F"/>
    <w:rsid w:val="00F51FE8"/>
    <w:rsid w:val="00F52D64"/>
    <w:rsid w:val="00F53884"/>
    <w:rsid w:val="00F63967"/>
    <w:rsid w:val="00F71FB6"/>
    <w:rsid w:val="00F774AF"/>
    <w:rsid w:val="00F77B17"/>
    <w:rsid w:val="00F84A17"/>
    <w:rsid w:val="00F97DB7"/>
    <w:rsid w:val="00FA1E9F"/>
    <w:rsid w:val="00FB7360"/>
    <w:rsid w:val="00FC380A"/>
    <w:rsid w:val="00FD4CAC"/>
    <w:rsid w:val="00FE271C"/>
    <w:rsid w:val="00FE6208"/>
    <w:rsid w:val="00FE6C30"/>
    <w:rsid w:val="00FF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38022FE"/>
  <w15:docId w15:val="{8C3647E8-07D1-4DEE-9415-EA06FE6F4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FC380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C380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aliases w:val="Primary Bullet List"/>
    <w:basedOn w:val="Normal"/>
    <w:link w:val="ListParagraphChar"/>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CommentReference">
    <w:name w:val="annotation reference"/>
    <w:basedOn w:val="DefaultParagraphFont"/>
    <w:uiPriority w:val="99"/>
    <w:semiHidden/>
    <w:unhideWhenUsed/>
    <w:rsid w:val="00475C5E"/>
    <w:rPr>
      <w:sz w:val="16"/>
      <w:szCs w:val="16"/>
    </w:rPr>
  </w:style>
  <w:style w:type="paragraph" w:styleId="CommentText">
    <w:name w:val="annotation text"/>
    <w:basedOn w:val="Normal"/>
    <w:link w:val="CommentTextChar"/>
    <w:semiHidden/>
    <w:unhideWhenUsed/>
    <w:rsid w:val="00475C5E"/>
    <w:rPr>
      <w:szCs w:val="20"/>
    </w:rPr>
  </w:style>
  <w:style w:type="character" w:customStyle="1" w:styleId="CommentTextChar">
    <w:name w:val="Comment Text Char"/>
    <w:basedOn w:val="DefaultParagraphFont"/>
    <w:link w:val="CommentText"/>
    <w:semiHidden/>
    <w:rsid w:val="00475C5E"/>
  </w:style>
  <w:style w:type="paragraph" w:styleId="CommentSubject">
    <w:name w:val="annotation subject"/>
    <w:basedOn w:val="CommentText"/>
    <w:next w:val="CommentText"/>
    <w:link w:val="CommentSubjectChar"/>
    <w:semiHidden/>
    <w:unhideWhenUsed/>
    <w:rsid w:val="00475C5E"/>
    <w:rPr>
      <w:b/>
      <w:bCs/>
    </w:rPr>
  </w:style>
  <w:style w:type="character" w:customStyle="1" w:styleId="CommentSubjectChar">
    <w:name w:val="Comment Subject Char"/>
    <w:basedOn w:val="CommentTextChar"/>
    <w:link w:val="CommentSubject"/>
    <w:semiHidden/>
    <w:rsid w:val="00475C5E"/>
    <w:rPr>
      <w:b/>
      <w:bCs/>
    </w:rPr>
  </w:style>
  <w:style w:type="paragraph" w:styleId="BodyText">
    <w:name w:val="Body Text"/>
    <w:basedOn w:val="Normal"/>
    <w:link w:val="BodyTextChar"/>
    <w:unhideWhenUsed/>
    <w:rsid w:val="00FC380A"/>
    <w:pPr>
      <w:spacing w:after="120"/>
    </w:pPr>
  </w:style>
  <w:style w:type="character" w:customStyle="1" w:styleId="BodyTextChar">
    <w:name w:val="Body Text Char"/>
    <w:basedOn w:val="DefaultParagraphFont"/>
    <w:link w:val="BodyText"/>
    <w:rsid w:val="00FC380A"/>
    <w:rPr>
      <w:szCs w:val="24"/>
    </w:rPr>
  </w:style>
  <w:style w:type="paragraph" w:customStyle="1" w:styleId="Bullets">
    <w:name w:val="Bullets"/>
    <w:basedOn w:val="BodyText"/>
    <w:link w:val="BulletsChar"/>
    <w:qFormat/>
    <w:rsid w:val="00FC380A"/>
    <w:pPr>
      <w:widowControl/>
      <w:numPr>
        <w:numId w:val="17"/>
      </w:numPr>
      <w:tabs>
        <w:tab w:val="left" w:pos="360"/>
      </w:tabs>
      <w:autoSpaceDE/>
      <w:autoSpaceDN/>
      <w:adjustRightInd/>
    </w:pPr>
    <w:rPr>
      <w:sz w:val="22"/>
      <w:szCs w:val="20"/>
      <w:lang w:val="en"/>
    </w:rPr>
  </w:style>
  <w:style w:type="character" w:customStyle="1" w:styleId="BulletsChar">
    <w:name w:val="Bullets Char"/>
    <w:link w:val="Bullets"/>
    <w:rsid w:val="00FC380A"/>
    <w:rPr>
      <w:sz w:val="22"/>
      <w:lang w:val="en"/>
    </w:rPr>
  </w:style>
  <w:style w:type="character" w:customStyle="1" w:styleId="ListParagraphChar">
    <w:name w:val="List Paragraph Char"/>
    <w:aliases w:val="Primary Bullet List Char"/>
    <w:link w:val="ListParagraph"/>
    <w:uiPriority w:val="34"/>
    <w:locked/>
    <w:rsid w:val="00FC380A"/>
    <w:rPr>
      <w:szCs w:val="24"/>
    </w:rPr>
  </w:style>
  <w:style w:type="paragraph" w:customStyle="1" w:styleId="BulletsLast">
    <w:name w:val="BulletsLast"/>
    <w:basedOn w:val="Bullets"/>
    <w:qFormat/>
    <w:rsid w:val="00FC380A"/>
    <w:pPr>
      <w:numPr>
        <w:numId w:val="19"/>
      </w:numPr>
      <w:tabs>
        <w:tab w:val="num" w:pos="2160"/>
      </w:tabs>
      <w:spacing w:after="240"/>
      <w:ind w:left="2160"/>
    </w:pPr>
  </w:style>
  <w:style w:type="character" w:customStyle="1" w:styleId="Heading2Char">
    <w:name w:val="Heading 2 Char"/>
    <w:basedOn w:val="DefaultParagraphFont"/>
    <w:link w:val="Heading2"/>
    <w:semiHidden/>
    <w:rsid w:val="00FC380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C380A"/>
    <w:rPr>
      <w:rFonts w:asciiTheme="majorHAnsi" w:eastAsiaTheme="majorEastAsia" w:hAnsiTheme="majorHAnsi" w:cstheme="majorBidi"/>
      <w:color w:val="243F60" w:themeColor="accent1" w:themeShade="7F"/>
      <w:sz w:val="24"/>
      <w:szCs w:val="24"/>
    </w:rPr>
  </w:style>
  <w:style w:type="paragraph" w:customStyle="1" w:styleId="P1-StandPara">
    <w:name w:val="P1-Stand Para"/>
    <w:link w:val="P1-StandParaChar"/>
    <w:rsid w:val="007D65A5"/>
    <w:pPr>
      <w:spacing w:line="480" w:lineRule="auto"/>
      <w:ind w:firstLine="720"/>
    </w:pPr>
    <w:rPr>
      <w:sz w:val="22"/>
    </w:rPr>
  </w:style>
  <w:style w:type="character" w:customStyle="1" w:styleId="P1-StandParaChar">
    <w:name w:val="P1-Stand Para Char"/>
    <w:link w:val="P1-StandPara"/>
    <w:rsid w:val="007D65A5"/>
    <w:rPr>
      <w:sz w:val="22"/>
    </w:rPr>
  </w:style>
  <w:style w:type="paragraph" w:styleId="FootnoteText">
    <w:name w:val="footnote text"/>
    <w:basedOn w:val="Normal"/>
    <w:link w:val="FootnoteTextChar"/>
    <w:semiHidden/>
    <w:unhideWhenUsed/>
    <w:rsid w:val="00F77B17"/>
    <w:rPr>
      <w:szCs w:val="20"/>
    </w:rPr>
  </w:style>
  <w:style w:type="character" w:customStyle="1" w:styleId="FootnoteTextChar">
    <w:name w:val="Footnote Text Char"/>
    <w:basedOn w:val="DefaultParagraphFont"/>
    <w:link w:val="FootnoteText"/>
    <w:semiHidden/>
    <w:rsid w:val="00F77B17"/>
  </w:style>
  <w:style w:type="paragraph" w:styleId="Revision">
    <w:name w:val="Revision"/>
    <w:hidden/>
    <w:uiPriority w:val="99"/>
    <w:semiHidden/>
    <w:rsid w:val="00C12045"/>
    <w:rPr>
      <w:szCs w:val="24"/>
    </w:rPr>
  </w:style>
  <w:style w:type="character" w:customStyle="1" w:styleId="BodyTextIndentChar">
    <w:name w:val="Body Text Indent Char"/>
    <w:basedOn w:val="DefaultParagraphFont"/>
    <w:link w:val="BodyTextIndent"/>
    <w:rsid w:val="00ED2739"/>
    <w:rPr>
      <w:rFonts w:ascii="Baskerville Old Face" w:hAnsi="Baskerville Old Face"/>
      <w:sz w:val="24"/>
      <w:szCs w:val="24"/>
    </w:rPr>
  </w:style>
  <w:style w:type="paragraph" w:customStyle="1" w:styleId="EndNoteBibliography">
    <w:name w:val="EndNote Bibliography"/>
    <w:basedOn w:val="Normal"/>
    <w:link w:val="EndNoteBibliographyChar"/>
    <w:rsid w:val="00024782"/>
    <w:pPr>
      <w:widowControl/>
      <w:autoSpaceDE/>
      <w:autoSpaceDN/>
      <w:adjustRightInd/>
      <w:spacing w:after="180"/>
    </w:pPr>
    <w:rPr>
      <w:noProof/>
      <w:sz w:val="22"/>
      <w:szCs w:val="20"/>
    </w:rPr>
  </w:style>
  <w:style w:type="character" w:customStyle="1" w:styleId="EndNoteBibliographyChar">
    <w:name w:val="EndNote Bibliography Char"/>
    <w:basedOn w:val="DefaultParagraphFont"/>
    <w:link w:val="EndNoteBibliography"/>
    <w:rsid w:val="00024782"/>
    <w:rPr>
      <w:noProof/>
      <w:sz w:val="22"/>
    </w:rPr>
  </w:style>
  <w:style w:type="paragraph" w:customStyle="1" w:styleId="TableText">
    <w:name w:val="Table Text"/>
    <w:basedOn w:val="Normal"/>
    <w:qFormat/>
    <w:rsid w:val="00E50884"/>
    <w:pPr>
      <w:widowControl/>
      <w:autoSpaceDE/>
      <w:autoSpaceDN/>
      <w:adjustRightInd/>
      <w:spacing w:before="20" w:after="20"/>
    </w:pPr>
    <w:rPr>
      <w:rFonts w:ascii="Arial Narrow" w:hAnsi="Arial Narrow"/>
      <w:szCs w:val="20"/>
    </w:rPr>
  </w:style>
  <w:style w:type="paragraph" w:customStyle="1" w:styleId="TableBullets">
    <w:name w:val="Table Bullets"/>
    <w:basedOn w:val="ListParagraph"/>
    <w:qFormat/>
    <w:rsid w:val="00E50884"/>
    <w:pPr>
      <w:widowControl/>
      <w:numPr>
        <w:numId w:val="24"/>
      </w:numPr>
      <w:autoSpaceDE/>
      <w:autoSpaceDN/>
      <w:adjustRightInd/>
      <w:ind w:left="259" w:hanging="259"/>
    </w:pPr>
    <w:rPr>
      <w:rFonts w:ascii="Arial Narrow" w:eastAsiaTheme="minorHAnsi" w:hAnsi="Arial Narrow"/>
      <w:szCs w:val="20"/>
    </w:rPr>
  </w:style>
  <w:style w:type="paragraph" w:customStyle="1" w:styleId="TableColumnHeader">
    <w:name w:val="Table Column Header"/>
    <w:basedOn w:val="Normal"/>
    <w:qFormat/>
    <w:rsid w:val="00E50884"/>
    <w:pPr>
      <w:widowControl/>
      <w:autoSpaceDE/>
      <w:autoSpaceDN/>
      <w:adjustRightInd/>
      <w:spacing w:before="20" w:after="20"/>
      <w:jc w:val="center"/>
    </w:pPr>
    <w:rPr>
      <w:rFonts w:ascii="Arial Narrow" w:hAnsi="Arial Narrow"/>
      <w:b/>
      <w:color w:val="FFFFFF" w:themeColor="background1"/>
      <w:szCs w:val="20"/>
    </w:rPr>
  </w:style>
  <w:style w:type="paragraph" w:customStyle="1" w:styleId="TableBullet2">
    <w:name w:val="Table Bullet2"/>
    <w:basedOn w:val="TableBullets"/>
    <w:qFormat/>
    <w:rsid w:val="00E50884"/>
    <w:pPr>
      <w:numPr>
        <w:numId w:val="25"/>
      </w:numPr>
      <w:ind w:left="612"/>
    </w:pPr>
  </w:style>
  <w:style w:type="paragraph" w:styleId="Caption">
    <w:name w:val="caption"/>
    <w:basedOn w:val="Normal"/>
    <w:next w:val="Normal"/>
    <w:semiHidden/>
    <w:unhideWhenUsed/>
    <w:qFormat/>
    <w:rsid w:val="004F7D4F"/>
    <w:pPr>
      <w:keepNext/>
      <w:widowControl/>
      <w:suppressAutoHyphens/>
      <w:autoSpaceDE/>
      <w:adjustRightInd/>
      <w:spacing w:after="240"/>
    </w:pPr>
    <w:rPr>
      <w:rFonts w:eastAsia="Calibri" w:cs="Arial"/>
      <w:b/>
      <w:bCs/>
      <w:sz w:val="22"/>
      <w:szCs w:val="22"/>
    </w:rPr>
  </w:style>
  <w:style w:type="paragraph" w:customStyle="1" w:styleId="Tablebullet">
    <w:name w:val="Table_bullet"/>
    <w:basedOn w:val="ListParagraph"/>
    <w:rsid w:val="004F7D4F"/>
    <w:pPr>
      <w:keepNext/>
      <w:keepLines/>
      <w:widowControl/>
      <w:numPr>
        <w:numId w:val="28"/>
      </w:numPr>
      <w:tabs>
        <w:tab w:val="num" w:pos="360"/>
      </w:tabs>
      <w:suppressAutoHyphens/>
      <w:autoSpaceDE/>
      <w:adjustRightInd/>
      <w:spacing w:line="200" w:lineRule="exact"/>
      <w:ind w:firstLine="0"/>
    </w:pPr>
    <w:rPr>
      <w:rFonts w:ascii="Arial" w:hAnsi="Arial" w:cs="Arial"/>
      <w:sz w:val="18"/>
      <w:szCs w:val="18"/>
    </w:rPr>
  </w:style>
  <w:style w:type="numbering" w:customStyle="1" w:styleId="LFO13">
    <w:name w:val="LFO13"/>
    <w:rsid w:val="004F7D4F"/>
    <w:pPr>
      <w:numPr>
        <w:numId w:val="28"/>
      </w:numPr>
    </w:pPr>
  </w:style>
  <w:style w:type="paragraph" w:styleId="HTMLPreformatted">
    <w:name w:val="HTML Preformatted"/>
    <w:basedOn w:val="Normal"/>
    <w:link w:val="HTMLPreformattedChar"/>
    <w:rsid w:val="000E19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Cs w:val="20"/>
    </w:rPr>
  </w:style>
  <w:style w:type="character" w:customStyle="1" w:styleId="HTMLPreformattedChar">
    <w:name w:val="HTML Preformatted Char"/>
    <w:basedOn w:val="DefaultParagraphFont"/>
    <w:link w:val="HTMLPreformatted"/>
    <w:rsid w:val="000E1985"/>
    <w:rPr>
      <w:rFonts w:ascii="Courier New" w:eastAsia="Courier New" w:hAnsi="Courier New" w:cs="Courier New"/>
    </w:rPr>
  </w:style>
  <w:style w:type="character" w:styleId="FollowedHyperlink">
    <w:name w:val="FollowedHyperlink"/>
    <w:basedOn w:val="DefaultParagraphFont"/>
    <w:semiHidden/>
    <w:unhideWhenUsed/>
    <w:rsid w:val="00C7318D"/>
    <w:rPr>
      <w:color w:val="800080" w:themeColor="followedHyperlink"/>
      <w:u w:val="single"/>
    </w:rPr>
  </w:style>
  <w:style w:type="character" w:customStyle="1" w:styleId="BodyTextFi">
    <w:name w:val="Body Text Fi"/>
    <w:rsid w:val="00E073D6"/>
  </w:style>
  <w:style w:type="paragraph" w:styleId="Header">
    <w:name w:val="header"/>
    <w:basedOn w:val="Normal"/>
    <w:link w:val="HeaderChar"/>
    <w:unhideWhenUsed/>
    <w:rsid w:val="00334340"/>
    <w:pPr>
      <w:tabs>
        <w:tab w:val="center" w:pos="4680"/>
        <w:tab w:val="right" w:pos="9360"/>
      </w:tabs>
    </w:pPr>
  </w:style>
  <w:style w:type="character" w:customStyle="1" w:styleId="HeaderChar">
    <w:name w:val="Header Char"/>
    <w:basedOn w:val="DefaultParagraphFont"/>
    <w:link w:val="Header"/>
    <w:rsid w:val="00334340"/>
    <w:rPr>
      <w:szCs w:val="24"/>
    </w:rPr>
  </w:style>
  <w:style w:type="paragraph" w:styleId="Footer">
    <w:name w:val="footer"/>
    <w:basedOn w:val="Normal"/>
    <w:link w:val="FooterChar"/>
    <w:uiPriority w:val="99"/>
    <w:unhideWhenUsed/>
    <w:rsid w:val="00334340"/>
    <w:pPr>
      <w:tabs>
        <w:tab w:val="center" w:pos="4680"/>
        <w:tab w:val="right" w:pos="9360"/>
      </w:tabs>
    </w:pPr>
  </w:style>
  <w:style w:type="character" w:customStyle="1" w:styleId="FooterChar">
    <w:name w:val="Footer Char"/>
    <w:basedOn w:val="DefaultParagraphFont"/>
    <w:link w:val="Footer"/>
    <w:uiPriority w:val="99"/>
    <w:rsid w:val="0033434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5358">
      <w:bodyDiv w:val="1"/>
      <w:marLeft w:val="0"/>
      <w:marRight w:val="0"/>
      <w:marTop w:val="0"/>
      <w:marBottom w:val="0"/>
      <w:divBdr>
        <w:top w:val="none" w:sz="0" w:space="0" w:color="auto"/>
        <w:left w:val="none" w:sz="0" w:space="0" w:color="auto"/>
        <w:bottom w:val="none" w:sz="0" w:space="0" w:color="auto"/>
        <w:right w:val="none" w:sz="0" w:space="0" w:color="auto"/>
      </w:divBdr>
    </w:div>
    <w:div w:id="1322857160">
      <w:bodyDiv w:val="1"/>
      <w:marLeft w:val="0"/>
      <w:marRight w:val="0"/>
      <w:marTop w:val="0"/>
      <w:marBottom w:val="0"/>
      <w:divBdr>
        <w:top w:val="none" w:sz="0" w:space="0" w:color="auto"/>
        <w:left w:val="none" w:sz="0" w:space="0" w:color="auto"/>
        <w:bottom w:val="none" w:sz="0" w:space="0" w:color="auto"/>
        <w:right w:val="none" w:sz="0" w:space="0" w:color="auto"/>
      </w:divBdr>
    </w:div>
    <w:div w:id="1542134410">
      <w:bodyDiv w:val="1"/>
      <w:marLeft w:val="0"/>
      <w:marRight w:val="0"/>
      <w:marTop w:val="0"/>
      <w:marBottom w:val="0"/>
      <w:divBdr>
        <w:top w:val="none" w:sz="0" w:space="0" w:color="auto"/>
        <w:left w:val="none" w:sz="0" w:space="0" w:color="auto"/>
        <w:bottom w:val="none" w:sz="0" w:space="0" w:color="auto"/>
        <w:right w:val="none" w:sz="0" w:space="0" w:color="auto"/>
      </w:divBdr>
    </w:div>
    <w:div w:id="1771582087">
      <w:bodyDiv w:val="1"/>
      <w:marLeft w:val="0"/>
      <w:marRight w:val="0"/>
      <w:marTop w:val="0"/>
      <w:marBottom w:val="0"/>
      <w:divBdr>
        <w:top w:val="none" w:sz="0" w:space="0" w:color="auto"/>
        <w:left w:val="none" w:sz="0" w:space="0" w:color="auto"/>
        <w:bottom w:val="none" w:sz="0" w:space="0" w:color="auto"/>
        <w:right w:val="none" w:sz="0" w:space="0" w:color="auto"/>
      </w:divBdr>
    </w:div>
    <w:div w:id="19634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ls.gov/oes/current/oes_nat.ht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current/oes_nat.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hab.hrsa.gov/data/data-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9d6993e14b204fb31e4487d44b22996e">
  <xsd:schema xmlns:xsd="http://www.w3.org/2001/XMLSchema" xmlns:xs="http://www.w3.org/2001/XMLSchema" xmlns:p="http://schemas.microsoft.com/office/2006/metadata/properties" xmlns:ns2="4967143e-3350-4318-8b8c-f9b56d178eaa" targetNamespace="http://schemas.microsoft.com/office/2006/metadata/properties" ma:root="true" ma:fieldsID="b779926b1b46d28034126aeaef576f56"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9447-424B-46F1-97B6-0598EFE31B15}">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4967143e-3350-4318-8b8c-f9b56d178eaa"/>
    <ds:schemaRef ds:uri="http://www.w3.org/XML/1998/namespace"/>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9783BCDC-5D85-4CEA-8E83-048C78C92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1D0C9-7D5E-454D-BB52-004B0AC0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6460</Words>
  <Characters>38243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44614</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Elyana N.  Bowman</cp:lastModifiedBy>
  <cp:revision>13</cp:revision>
  <cp:lastPrinted>2010-10-14T13:41:00Z</cp:lastPrinted>
  <dcterms:created xsi:type="dcterms:W3CDTF">2020-10-02T18:27:00Z</dcterms:created>
  <dcterms:modified xsi:type="dcterms:W3CDTF">2020-10-28T14:47:00Z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