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0A6" w:rsidP="001E30A6" w:rsidRDefault="001E30A6" w14:paraId="238736CB" w14:textId="77777777">
      <w:pPr>
        <w:shd w:val="clear" w:color="auto" w:fill="FFFFFF"/>
        <w:spacing w:line="480" w:lineRule="auto"/>
        <w:jc w:val="center"/>
      </w:pPr>
      <w:r>
        <w:t>United States Food and Drug Administration</w:t>
      </w:r>
    </w:p>
    <w:p w:rsidR="001E30A6" w:rsidP="001E30A6" w:rsidRDefault="001E30A6" w14:paraId="154DC445" w14:textId="77777777">
      <w:pPr>
        <w:autoSpaceDE w:val="0"/>
        <w:autoSpaceDN w:val="0"/>
        <w:adjustRightInd w:val="0"/>
        <w:spacing w:line="480" w:lineRule="auto"/>
        <w:jc w:val="center"/>
        <w:rPr>
          <w:bCs/>
        </w:rPr>
      </w:pPr>
      <w:r>
        <w:rPr>
          <w:bCs/>
        </w:rPr>
        <w:t>Endorser Status and Explicitness of Payment in Direct-to-Consumer Promotion</w:t>
      </w:r>
    </w:p>
    <w:p w:rsidR="001E30A6" w:rsidP="001E30A6" w:rsidRDefault="001E30A6" w14:paraId="63F6C8DA" w14:textId="77777777">
      <w:pPr>
        <w:shd w:val="clear" w:color="auto" w:fill="FFFFFF"/>
        <w:spacing w:line="480" w:lineRule="auto"/>
        <w:jc w:val="center"/>
      </w:pPr>
      <w:r>
        <w:t>OMB Control No. 0910-NEW</w:t>
      </w:r>
    </w:p>
    <w:p w:rsidR="001E30A6" w:rsidP="00B871CD" w:rsidRDefault="001E30A6" w14:paraId="0A1D4173" w14:textId="56646154">
      <w:pPr>
        <w:shd w:val="clear" w:color="auto" w:fill="FFFFFF"/>
        <w:spacing w:line="480" w:lineRule="auto"/>
        <w:jc w:val="center"/>
      </w:pPr>
      <w:r>
        <w:t>SUPPORTING STATEMENT</w:t>
      </w:r>
    </w:p>
    <w:p w:rsidR="00CA557D" w:rsidP="00CA557D" w:rsidRDefault="00096DAF" w14:paraId="42A1FBDC" w14:textId="13E9718B">
      <w:pPr>
        <w:spacing w:before="100" w:beforeAutospacing="1" w:after="100" w:afterAutospacing="1"/>
      </w:pPr>
      <w:r w:rsidRPr="00B871CD">
        <w:rPr>
          <w:b/>
        </w:rPr>
        <w:t xml:space="preserve">Part </w:t>
      </w:r>
      <w:r w:rsidRPr="00B871CD" w:rsidR="00CA557D">
        <w:rPr>
          <w:b/>
        </w:rPr>
        <w:t>B.</w:t>
      </w:r>
      <w:r w:rsidRPr="000E36BA" w:rsidR="00CA557D">
        <w:tab/>
        <w:t xml:space="preserve">Statistical Methods </w:t>
      </w:r>
    </w:p>
    <w:p w:rsidRPr="003D351D" w:rsidR="003D351D" w:rsidP="003D351D" w:rsidRDefault="00CA557D" w14:paraId="71484DB1" w14:textId="77777777">
      <w:pPr>
        <w:widowControl w:val="0"/>
        <w:numPr>
          <w:ilvl w:val="0"/>
          <w:numId w:val="1"/>
        </w:numPr>
        <w:autoSpaceDE w:val="0"/>
        <w:autoSpaceDN w:val="0"/>
        <w:adjustRightInd w:val="0"/>
        <w:spacing w:before="100" w:beforeAutospacing="1" w:after="100" w:afterAutospacing="1"/>
      </w:pPr>
      <w:r w:rsidRPr="00307250">
        <w:rPr>
          <w:u w:val="single"/>
        </w:rPr>
        <w:t>Respondent Universe and Sampling Methods</w:t>
      </w:r>
    </w:p>
    <w:p w:rsidR="00681947" w:rsidP="00B871CD" w:rsidRDefault="00756549" w14:paraId="42B54259" w14:textId="1D0535EB">
      <w:pPr>
        <w:ind w:left="630"/>
      </w:pPr>
      <w:r w:rsidRPr="005D20D3">
        <w:t xml:space="preserve">Populations selected for the Study 1 pretest and main study will be drawn from Kantar Lightspeed’s proprietary LifePoints Panel, which reaches over 21,000,000 people in the United States using double opt-in methods. </w:t>
      </w:r>
      <w:r w:rsidRPr="005D20D3" w:rsidR="00681947">
        <w:t xml:space="preserve">Kantar Lightspeed will purposefully pull a sample of respondents from their LifePoints Panel based on Census quotas and benchmarks specified by Westat and FDA. The sample will include respondents who are 18 or older, who are comfortable reading in English, </w:t>
      </w:r>
      <w:r w:rsidR="00681947">
        <w:t xml:space="preserve">and </w:t>
      </w:r>
      <w:r w:rsidRPr="005D20D3" w:rsidR="00681947">
        <w:t>who are either extremely familiar or very familiar with the celebrity endorser used in the print ad</w:t>
      </w:r>
      <w:r w:rsidR="00681947">
        <w:t xml:space="preserve">. The sample will comprise </w:t>
      </w:r>
      <w:r w:rsidRPr="005D20D3" w:rsidR="00681947">
        <w:t>50% male and 50% female</w:t>
      </w:r>
      <w:r w:rsidR="00681947">
        <w:t xml:space="preserve"> participants</w:t>
      </w:r>
      <w:r w:rsidRPr="005D20D3" w:rsidR="00681947">
        <w:t xml:space="preserve">. Responses will be monitored, and if the desired diversity across race, ethnicity, and education are not being achieved, then quotas will be implemented to supplement the sample. </w:t>
      </w:r>
    </w:p>
    <w:p w:rsidR="00C924B6" w:rsidP="00B871CD" w:rsidRDefault="00C924B6" w14:paraId="1D94B986" w14:textId="6D9E1CEC">
      <w:pPr>
        <w:ind w:left="630"/>
      </w:pPr>
    </w:p>
    <w:p w:rsidRPr="005D20D3" w:rsidR="00C924B6" w:rsidP="00B871CD" w:rsidRDefault="00C924B6" w14:paraId="583E3B12" w14:textId="442FD983">
      <w:pPr>
        <w:ind w:left="630"/>
      </w:pPr>
      <w:r w:rsidRPr="005D20D3">
        <w:t xml:space="preserve">For the Study 1 pretest and main study, potential respondents will complete an online screener at the beginning of the web questionnaire. Those who are eligible to participate will receive a message on their screen indicating they qualified for the study and will immediately begin viewing the fictitious print ad. The online screener questions are presented in Appendix </w:t>
      </w:r>
      <w:r w:rsidR="009D781C">
        <w:t>B</w:t>
      </w:r>
      <w:r w:rsidRPr="005D20D3">
        <w:t xml:space="preserve">.  </w:t>
      </w:r>
    </w:p>
    <w:p w:rsidRPr="005D20D3" w:rsidR="00C924B6" w:rsidP="00B871CD" w:rsidRDefault="00C924B6" w14:paraId="666D0318" w14:textId="77777777">
      <w:pPr>
        <w:ind w:left="630"/>
      </w:pPr>
    </w:p>
    <w:p w:rsidRPr="005D20D3" w:rsidR="00C924B6" w:rsidP="00B871CD" w:rsidRDefault="00C924B6" w14:paraId="7F1C9C96" w14:textId="77777777">
      <w:pPr>
        <w:ind w:left="630"/>
      </w:pPr>
      <w:r w:rsidRPr="005D20D3">
        <w:t xml:space="preserve">In order to encourage respondents to complete the Study 1 pretest and main study surveys, up to two reminder emails will be sent to the selected sample within 3 days of the survey launch date. </w:t>
      </w:r>
    </w:p>
    <w:p w:rsidRPr="005D20D3" w:rsidR="00756549" w:rsidP="00B871CD" w:rsidRDefault="00756549" w14:paraId="4142BDF9" w14:textId="77777777">
      <w:pPr>
        <w:ind w:left="630"/>
      </w:pPr>
    </w:p>
    <w:p w:rsidRPr="005D20D3" w:rsidR="00681947" w:rsidP="00B871CD" w:rsidRDefault="00756549" w14:paraId="41123AE2" w14:textId="4A2FDEBE">
      <w:pPr>
        <w:ind w:left="630"/>
      </w:pPr>
      <w:r w:rsidRPr="005D20D3">
        <w:t xml:space="preserve">Study 2 will use different populations for the pretest and the main study. The Study 2 pretest sample will be drawn from Kantar Lightspeed’s proprietary LifePoints Panel. Respondents selected for Study 2 pretest will be adult females age 18 years or older, who are comfortable reading in English, daily or weekly users of Instagram, and extremely or very familiar with either Tonya Michelle, the influencer used in the fictitious Instagram post, or at least one other well-known influencer that targets a similar audience. </w:t>
      </w:r>
      <w:r w:rsidRPr="005D20D3" w:rsidR="00681947">
        <w:t xml:space="preserve">For the Study 2 pretest, Kantar Lightspeed will also purposefully pull a sample of respondents from their LifePoints Panel based on Census quotas and benchmarks specified by Westat and FDA. As with Study 1, responses will be monitored, and if the desired diversity across race, ethnicity, and education are not being achieved, then quotas will be implemented to supplement the sample. </w:t>
      </w:r>
    </w:p>
    <w:p w:rsidR="00681947" w:rsidP="007070C8" w:rsidRDefault="00681947" w14:paraId="4883226E" w14:textId="77777777"/>
    <w:p w:rsidRPr="005D20D3" w:rsidR="00681947" w:rsidP="00B871CD" w:rsidRDefault="00756549" w14:paraId="3BFD0C4D" w14:textId="442A67C9">
      <w:pPr>
        <w:ind w:left="630"/>
      </w:pPr>
      <w:r w:rsidRPr="005D20D3">
        <w:lastRenderedPageBreak/>
        <w:t>The Study 2 main study sample will comprise</w:t>
      </w:r>
      <w:r w:rsidR="00A1681B">
        <w:t xml:space="preserve"> influencer</w:t>
      </w:r>
      <w:r w:rsidRPr="005D20D3">
        <w:t xml:space="preserve"> Tonya Michelle’s Instagram followers. Respondents selected for Study 2 main study will be adult females age 18 years or older, who are comfortable reading in English, daily or weekly users of Instagram, and extremely or very familiar with Tonya Michelle.</w:t>
      </w:r>
      <w:r w:rsidR="00681947">
        <w:t xml:space="preserve"> </w:t>
      </w:r>
      <w:r w:rsidRPr="005D20D3" w:rsidR="00681947">
        <w:t xml:space="preserve">The influencer will post a series of notices that mention her journey with endometriosis and ask her followers to complete a survey for a study being conducted by the FDA about prescription drug education materials. The survey link will be provided to interested respondents in the influencer’s Instagram bio. (See Appendix </w:t>
      </w:r>
      <w:r w:rsidR="009D781C">
        <w:t>C</w:t>
      </w:r>
      <w:r w:rsidRPr="005D20D3" w:rsidR="00681947">
        <w:t xml:space="preserve"> for Study 2 recruitment Instagram posts and Instagram stories.) </w:t>
      </w:r>
    </w:p>
    <w:p w:rsidRPr="005D20D3" w:rsidR="00756549" w:rsidP="00B871CD" w:rsidRDefault="00756549" w14:paraId="768804BE" w14:textId="77777777">
      <w:pPr>
        <w:ind w:left="630"/>
      </w:pPr>
    </w:p>
    <w:p w:rsidRPr="005D20D3" w:rsidR="00756549" w:rsidP="00B871CD" w:rsidRDefault="00756549" w14:paraId="7D2AD8A7" w14:textId="1FCCA117">
      <w:pPr>
        <w:ind w:left="630"/>
      </w:pPr>
      <w:r w:rsidRPr="005D20D3">
        <w:t xml:space="preserve">For the Study 2 pretest and main study, potential respondents will also complete an online screener at the beginning of the web questionnaire. Again, those who are eligible to participate will receive a message on their screen indicating they qualified for the study and will </w:t>
      </w:r>
      <w:r w:rsidR="009D5E24">
        <w:t>then</w:t>
      </w:r>
      <w:r w:rsidRPr="005D20D3">
        <w:t xml:space="preserve"> view the fictitious Instagram post. The online screener questions are presented in Appendix </w:t>
      </w:r>
      <w:r w:rsidR="009D781C">
        <w:t>B</w:t>
      </w:r>
      <w:r w:rsidRPr="005D20D3">
        <w:t>.</w:t>
      </w:r>
    </w:p>
    <w:p w:rsidRPr="005D20D3" w:rsidR="00756549" w:rsidP="00B871CD" w:rsidRDefault="00756549" w14:paraId="6FC6694A" w14:textId="77777777">
      <w:pPr>
        <w:ind w:left="630"/>
      </w:pPr>
    </w:p>
    <w:p w:rsidRPr="005D20D3" w:rsidR="00756549" w:rsidP="00B871CD" w:rsidRDefault="00756549" w14:paraId="29C22802" w14:textId="3DD2C408">
      <w:pPr>
        <w:ind w:left="630"/>
      </w:pPr>
      <w:r w:rsidRPr="005D20D3">
        <w:t xml:space="preserve">For Study 2, it is important to note that the recruitment criteria will be different between the pretest and the main study. For the Study 2 pretest, potential respondents will be terminated if they select “Not at all familiar” and/or “Somewhat familiar” for all of the influencers listed. In addition, potential respondents who report using Instagram “Less Often,” will also be terminated from the pretest. For the Study 2 main study, potential respondents will be terminated if they are not at all familiar or only somewhat familiar with </w:t>
      </w:r>
      <w:r w:rsidRPr="00A1681B">
        <w:t>Tonya Michelle</w:t>
      </w:r>
      <w:r w:rsidRPr="005D20D3">
        <w:t>.</w:t>
      </w:r>
    </w:p>
    <w:p w:rsidRPr="005D20D3" w:rsidR="00756549" w:rsidP="00B871CD" w:rsidRDefault="00756549" w14:paraId="18858C67" w14:textId="77777777">
      <w:pPr>
        <w:ind w:left="630"/>
      </w:pPr>
    </w:p>
    <w:p w:rsidR="00756549" w:rsidP="00B871CD" w:rsidRDefault="00756549" w14:paraId="5667FD52" w14:textId="7FF038C3">
      <w:pPr>
        <w:ind w:left="630"/>
      </w:pPr>
      <w:r w:rsidRPr="005D20D3">
        <w:t xml:space="preserve">In order to encourage respondents to complete the Study 2 pretest survey, up to two reminder emails will be sent to the selected sample, within </w:t>
      </w:r>
      <w:r w:rsidR="009D5E24">
        <w:t>three</w:t>
      </w:r>
      <w:r w:rsidRPr="005D20D3" w:rsidR="009D5E24">
        <w:t xml:space="preserve"> </w:t>
      </w:r>
      <w:r w:rsidRPr="005D20D3">
        <w:t>days of the survey launch date. In order to do the same for the Study 2 main study, the influencer will post two recruitment Instagram posts and three recruitment Instagram stories over the study field period.</w:t>
      </w:r>
    </w:p>
    <w:p w:rsidR="00C924B6" w:rsidP="007070C8" w:rsidRDefault="00C924B6" w14:paraId="77C836E5" w14:textId="56EED52B"/>
    <w:p w:rsidRPr="005D20D3" w:rsidR="00C924B6" w:rsidP="00B871CD" w:rsidRDefault="00C924B6" w14:paraId="4F452E50" w14:textId="341F5A6C">
      <w:pPr>
        <w:ind w:left="630"/>
      </w:pPr>
      <w:r w:rsidRPr="005D20D3">
        <w:t>For both Study 1 and Study 2, participants will be excluded from participation if they work for a pharmaceutical, advertising or market research company and/or are employed by the U.S. Department of Health and Human Services.</w:t>
      </w:r>
      <w:r w:rsidR="001E30A6">
        <w:t xml:space="preserve"> </w:t>
      </w:r>
    </w:p>
    <w:p w:rsidRPr="00E00EA0" w:rsidR="00CA557D" w:rsidP="00CA557D" w:rsidRDefault="00CA557D" w14:paraId="5AE1ADF5" w14:textId="77777777">
      <w:pPr>
        <w:numPr>
          <w:ilvl w:val="0"/>
          <w:numId w:val="1"/>
        </w:numPr>
        <w:spacing w:before="100" w:beforeAutospacing="1" w:after="100" w:afterAutospacing="1"/>
        <w:rPr>
          <w:u w:val="single"/>
        </w:rPr>
      </w:pPr>
      <w:r w:rsidRPr="00E00EA0">
        <w:rPr>
          <w:u w:val="single"/>
        </w:rPr>
        <w:t>Procedures for the Collection of Information</w:t>
      </w:r>
    </w:p>
    <w:p w:rsidRPr="006D7E73" w:rsidR="00CA557D" w:rsidP="00B871CD" w:rsidRDefault="006D7E73" w14:paraId="1EDB7AB4" w14:textId="77777777">
      <w:pPr>
        <w:ind w:left="630"/>
        <w:contextualSpacing/>
      </w:pPr>
      <w:r>
        <w:t xml:space="preserve">Part A of the supporting statement described the rationale for conducting the study. </w:t>
      </w:r>
    </w:p>
    <w:p w:rsidR="00CA557D" w:rsidP="00B871CD" w:rsidRDefault="00CA557D" w14:paraId="64FF180A" w14:textId="77777777">
      <w:pPr>
        <w:ind w:left="630"/>
        <w:contextualSpacing/>
        <w:jc w:val="center"/>
        <w:rPr>
          <w:b/>
        </w:rPr>
      </w:pPr>
    </w:p>
    <w:p w:rsidR="00D4292A" w:rsidP="00B871CD" w:rsidRDefault="00D4292A" w14:paraId="33BDEFC4" w14:textId="7130E8E9">
      <w:pPr>
        <w:ind w:left="630"/>
      </w:pPr>
      <w:r w:rsidRPr="004B4E4D">
        <w:t>We propose to extend previous research by examining four types of endorsers in two separate studies (celebrity, physician, patient, non-celebrity influencer</w:t>
      </w:r>
      <w:r w:rsidRPr="004B4E4D">
        <w:rPr>
          <w:rStyle w:val="FootnoteReference"/>
        </w:rPr>
        <w:footnoteReference w:id="1"/>
      </w:r>
      <w:r w:rsidRPr="004B4E4D">
        <w:t>) and examining whether the presence of a disclosure of their payment status influences participant reactions. We propose to also test two different types of disclosure language—one direct and more consumer-friendly, and one less direct.</w:t>
      </w:r>
    </w:p>
    <w:p w:rsidR="007070C8" w:rsidP="007070C8" w:rsidRDefault="007070C8" w14:paraId="7C64256E" w14:textId="77777777">
      <w:pPr>
        <w:ind w:firstLine="630"/>
      </w:pPr>
    </w:p>
    <w:p w:rsidR="00D4292A" w:rsidP="007070C8" w:rsidRDefault="00D4292A" w14:paraId="18A3F62A" w14:textId="28FCF7A8">
      <w:pPr>
        <w:contextualSpacing/>
      </w:pPr>
      <w:r>
        <w:tab/>
        <w:t>To complete this research, we propose the following concurrent studies.</w:t>
      </w:r>
      <w:r>
        <w:rPr>
          <w:rStyle w:val="FootnoteReference"/>
        </w:rPr>
        <w:footnoteReference w:id="2"/>
      </w:r>
    </w:p>
    <w:p w:rsidR="007070C8" w:rsidP="007070C8" w:rsidRDefault="007070C8" w14:paraId="0BB5A3E7" w14:textId="77777777">
      <w:pPr>
        <w:contextualSpacing/>
      </w:pPr>
    </w:p>
    <w:p w:rsidR="00D4292A" w:rsidP="00D4292A" w:rsidRDefault="00D4292A" w14:paraId="6527796E" w14:textId="4DF5F5F6">
      <w:pPr>
        <w:spacing w:line="480" w:lineRule="auto"/>
        <w:contextualSpacing/>
      </w:pPr>
      <w:r>
        <w:t xml:space="preserve">Study </w:t>
      </w:r>
      <w:r w:rsidR="008B4282">
        <w:t>1</w:t>
      </w:r>
    </w:p>
    <w:p w:rsidRPr="00EA17ED" w:rsidR="00D4292A" w:rsidP="00D4292A" w:rsidRDefault="00D4292A" w14:paraId="366A5870" w14:textId="3F7AFD26">
      <w:pPr>
        <w:rPr>
          <w:rStyle w:val="Strong"/>
        </w:rPr>
      </w:pPr>
      <w:r w:rsidRPr="00EA17ED">
        <w:rPr>
          <w:rStyle w:val="Strong"/>
        </w:rPr>
        <w:t>Table 1</w:t>
      </w:r>
      <w:r w:rsidR="00C711CF">
        <w:rPr>
          <w:rStyle w:val="Strong"/>
        </w:rPr>
        <w:t>a</w:t>
      </w:r>
      <w:r w:rsidRPr="00EA17ED">
        <w:rPr>
          <w:rStyle w:val="Strong"/>
        </w:rPr>
        <w:t xml:space="preserve">: Study </w:t>
      </w:r>
      <w:r w:rsidR="00C775E3">
        <w:rPr>
          <w:rStyle w:val="Strong"/>
        </w:rPr>
        <w:t>1</w:t>
      </w:r>
      <w:r w:rsidRPr="00EA17ED">
        <w:rPr>
          <w:rStyle w:val="Strong"/>
        </w:rPr>
        <w:t xml:space="preserve"> Design – Pretest (</w:t>
      </w:r>
      <w:r w:rsidRPr="00EA17ED">
        <w:rPr>
          <w:b/>
        </w:rPr>
        <w:t>0.80 power, 0.10 alpha, small effect size f=.2)</w:t>
      </w:r>
    </w:p>
    <w:tbl>
      <w:tblPr>
        <w:tblStyle w:val="TableGrid"/>
        <w:tblW w:w="0" w:type="auto"/>
        <w:tblLook w:val="04A0" w:firstRow="1" w:lastRow="0" w:firstColumn="1" w:lastColumn="0" w:noHBand="0" w:noVBand="1"/>
      </w:tblPr>
      <w:tblGrid>
        <w:gridCol w:w="1685"/>
        <w:gridCol w:w="1602"/>
        <w:gridCol w:w="1627"/>
        <w:gridCol w:w="1494"/>
        <w:gridCol w:w="1417"/>
      </w:tblGrid>
      <w:tr w:rsidRPr="00EA17ED" w:rsidR="00D4292A" w:rsidTr="004C19CB" w14:paraId="123C8261" w14:textId="77777777">
        <w:tc>
          <w:tcPr>
            <w:tcW w:w="1685" w:type="dxa"/>
            <w:vMerge w:val="restart"/>
          </w:tcPr>
          <w:p w:rsidRPr="00EA17ED" w:rsidR="00D4292A" w:rsidP="004C19CB" w:rsidRDefault="00D4292A" w14:paraId="28CF949C" w14:textId="77777777"/>
          <w:p w:rsidR="00D4292A" w:rsidP="004C19CB" w:rsidRDefault="00D4292A" w14:paraId="3E84E8EF" w14:textId="77777777">
            <w:r>
              <w:t>Payment</w:t>
            </w:r>
          </w:p>
          <w:p w:rsidRPr="00EA17ED" w:rsidR="00D4292A" w:rsidP="004C19CB" w:rsidRDefault="00D4292A" w14:paraId="0BE8DE83" w14:textId="77777777">
            <w:r w:rsidRPr="00EA17ED">
              <w:t>Disclosure</w:t>
            </w:r>
          </w:p>
        </w:tc>
        <w:tc>
          <w:tcPr>
            <w:tcW w:w="4723" w:type="dxa"/>
            <w:gridSpan w:val="3"/>
          </w:tcPr>
          <w:p w:rsidRPr="00EA17ED" w:rsidR="00D4292A" w:rsidP="004C19CB" w:rsidRDefault="00D4292A" w14:paraId="7FACF837" w14:textId="77777777">
            <w:pPr>
              <w:jc w:val="center"/>
            </w:pPr>
            <w:r w:rsidRPr="00EA17ED">
              <w:t>Endorser</w:t>
            </w:r>
          </w:p>
        </w:tc>
        <w:tc>
          <w:tcPr>
            <w:tcW w:w="1417" w:type="dxa"/>
          </w:tcPr>
          <w:p w:rsidRPr="00EA17ED" w:rsidR="00D4292A" w:rsidP="004C19CB" w:rsidRDefault="00D4292A" w14:paraId="29BB51C4" w14:textId="77777777">
            <w:pPr>
              <w:jc w:val="center"/>
            </w:pPr>
            <w:r w:rsidRPr="00EA17ED">
              <w:t>Total</w:t>
            </w:r>
          </w:p>
        </w:tc>
      </w:tr>
      <w:tr w:rsidRPr="00EA17ED" w:rsidR="00D4292A" w:rsidTr="004C19CB" w14:paraId="095ABDC1" w14:textId="77777777">
        <w:tc>
          <w:tcPr>
            <w:tcW w:w="1685" w:type="dxa"/>
            <w:vMerge/>
          </w:tcPr>
          <w:p w:rsidRPr="00EA17ED" w:rsidR="00D4292A" w:rsidP="004C19CB" w:rsidRDefault="00D4292A" w14:paraId="3662833A" w14:textId="77777777"/>
        </w:tc>
        <w:tc>
          <w:tcPr>
            <w:tcW w:w="1602" w:type="dxa"/>
          </w:tcPr>
          <w:p w:rsidR="00D4292A" w:rsidP="004C19CB" w:rsidRDefault="00D4292A" w14:paraId="7C51268D" w14:textId="77777777">
            <w:pPr>
              <w:jc w:val="center"/>
            </w:pPr>
          </w:p>
          <w:p w:rsidRPr="00EA17ED" w:rsidR="00D4292A" w:rsidP="004C19CB" w:rsidRDefault="00D4292A" w14:paraId="5040F14C" w14:textId="77777777">
            <w:pPr>
              <w:jc w:val="center"/>
            </w:pPr>
            <w:r w:rsidRPr="00EA17ED">
              <w:t>Celebrity</w:t>
            </w:r>
          </w:p>
        </w:tc>
        <w:tc>
          <w:tcPr>
            <w:tcW w:w="1627" w:type="dxa"/>
          </w:tcPr>
          <w:p w:rsidR="00D4292A" w:rsidP="004C19CB" w:rsidRDefault="00D4292A" w14:paraId="6675D709" w14:textId="77777777">
            <w:pPr>
              <w:jc w:val="center"/>
            </w:pPr>
          </w:p>
          <w:p w:rsidRPr="00EA17ED" w:rsidR="00D4292A" w:rsidP="004C19CB" w:rsidRDefault="00D4292A" w14:paraId="51C759B9" w14:textId="77777777">
            <w:pPr>
              <w:jc w:val="center"/>
            </w:pPr>
            <w:r w:rsidRPr="00EA17ED">
              <w:t>Physician</w:t>
            </w:r>
          </w:p>
        </w:tc>
        <w:tc>
          <w:tcPr>
            <w:tcW w:w="1494" w:type="dxa"/>
          </w:tcPr>
          <w:p w:rsidR="00D4292A" w:rsidP="004C19CB" w:rsidRDefault="00D4292A" w14:paraId="67C9E5CC" w14:textId="77777777">
            <w:pPr>
              <w:jc w:val="center"/>
            </w:pPr>
          </w:p>
          <w:p w:rsidRPr="00EA17ED" w:rsidR="00D4292A" w:rsidP="004C19CB" w:rsidRDefault="00D4292A" w14:paraId="4781A9E9" w14:textId="77777777">
            <w:pPr>
              <w:jc w:val="center"/>
            </w:pPr>
            <w:r w:rsidRPr="00EA17ED">
              <w:t>Patient</w:t>
            </w:r>
          </w:p>
        </w:tc>
        <w:tc>
          <w:tcPr>
            <w:tcW w:w="1417" w:type="dxa"/>
          </w:tcPr>
          <w:p w:rsidRPr="00EA17ED" w:rsidR="00D4292A" w:rsidP="004C19CB" w:rsidRDefault="00D4292A" w14:paraId="54603193" w14:textId="77777777">
            <w:pPr>
              <w:jc w:val="center"/>
            </w:pPr>
          </w:p>
        </w:tc>
      </w:tr>
      <w:tr w:rsidRPr="00EA17ED" w:rsidR="00D4292A" w:rsidTr="004C19CB" w14:paraId="3AAFE88F" w14:textId="77777777">
        <w:tc>
          <w:tcPr>
            <w:tcW w:w="1685" w:type="dxa"/>
          </w:tcPr>
          <w:p w:rsidRPr="00EA17ED" w:rsidR="00D4292A" w:rsidP="004C19CB" w:rsidRDefault="00D4292A" w14:paraId="792E576C" w14:textId="77777777">
            <w:r w:rsidRPr="00EA17ED">
              <w:t>Present</w:t>
            </w:r>
          </w:p>
        </w:tc>
        <w:tc>
          <w:tcPr>
            <w:tcW w:w="1602" w:type="dxa"/>
          </w:tcPr>
          <w:p w:rsidRPr="00EA17ED" w:rsidR="00D4292A" w:rsidP="004C19CB" w:rsidRDefault="00D4292A" w14:paraId="01DCC0ED" w14:textId="77777777">
            <w:pPr>
              <w:jc w:val="center"/>
            </w:pPr>
            <w:r w:rsidRPr="00EA17ED">
              <w:t>50</w:t>
            </w:r>
          </w:p>
        </w:tc>
        <w:tc>
          <w:tcPr>
            <w:tcW w:w="1627" w:type="dxa"/>
          </w:tcPr>
          <w:p w:rsidRPr="00EA17ED" w:rsidR="00D4292A" w:rsidP="004C19CB" w:rsidRDefault="00D4292A" w14:paraId="0CE1ECCA" w14:textId="77777777">
            <w:pPr>
              <w:jc w:val="center"/>
            </w:pPr>
            <w:r w:rsidRPr="00EA17ED">
              <w:t>50</w:t>
            </w:r>
          </w:p>
        </w:tc>
        <w:tc>
          <w:tcPr>
            <w:tcW w:w="1494" w:type="dxa"/>
          </w:tcPr>
          <w:p w:rsidRPr="00EA17ED" w:rsidR="00D4292A" w:rsidP="004C19CB" w:rsidRDefault="00D4292A" w14:paraId="5245A6B3" w14:textId="77777777">
            <w:pPr>
              <w:jc w:val="center"/>
            </w:pPr>
            <w:r w:rsidRPr="00EA17ED">
              <w:t>50</w:t>
            </w:r>
          </w:p>
        </w:tc>
        <w:tc>
          <w:tcPr>
            <w:tcW w:w="1417" w:type="dxa"/>
          </w:tcPr>
          <w:p w:rsidRPr="00EA17ED" w:rsidR="00D4292A" w:rsidP="004C19CB" w:rsidRDefault="00D4292A" w14:paraId="5518FD07" w14:textId="77777777">
            <w:pPr>
              <w:jc w:val="center"/>
            </w:pPr>
            <w:r w:rsidRPr="00EA17ED">
              <w:t>1</w:t>
            </w:r>
            <w:r>
              <w:t>50</w:t>
            </w:r>
          </w:p>
        </w:tc>
      </w:tr>
      <w:tr w:rsidRPr="00EA17ED" w:rsidR="00D4292A" w:rsidTr="004C19CB" w14:paraId="20A41CB7" w14:textId="77777777">
        <w:tc>
          <w:tcPr>
            <w:tcW w:w="1685" w:type="dxa"/>
            <w:tcBorders>
              <w:bottom w:val="single" w:color="auto" w:sz="4" w:space="0"/>
            </w:tcBorders>
          </w:tcPr>
          <w:p w:rsidRPr="00EA17ED" w:rsidR="00D4292A" w:rsidP="004C19CB" w:rsidRDefault="00D4292A" w14:paraId="097988D3" w14:textId="77777777">
            <w:r w:rsidRPr="00EA17ED">
              <w:t>Absent</w:t>
            </w:r>
          </w:p>
        </w:tc>
        <w:tc>
          <w:tcPr>
            <w:tcW w:w="1602" w:type="dxa"/>
            <w:tcBorders>
              <w:bottom w:val="single" w:color="auto" w:sz="4" w:space="0"/>
            </w:tcBorders>
          </w:tcPr>
          <w:p w:rsidRPr="00EA17ED" w:rsidR="00D4292A" w:rsidP="004C19CB" w:rsidRDefault="00D4292A" w14:paraId="1682B616" w14:textId="77777777">
            <w:pPr>
              <w:jc w:val="center"/>
            </w:pPr>
            <w:r w:rsidRPr="00EA17ED">
              <w:t>33</w:t>
            </w:r>
          </w:p>
        </w:tc>
        <w:tc>
          <w:tcPr>
            <w:tcW w:w="1627" w:type="dxa"/>
            <w:tcBorders>
              <w:bottom w:val="single" w:color="auto" w:sz="4" w:space="0"/>
            </w:tcBorders>
          </w:tcPr>
          <w:p w:rsidRPr="00EA17ED" w:rsidR="00D4292A" w:rsidP="004C19CB" w:rsidRDefault="00D4292A" w14:paraId="2F901CA5" w14:textId="77777777">
            <w:pPr>
              <w:jc w:val="center"/>
            </w:pPr>
            <w:r w:rsidRPr="00EA17ED">
              <w:t>33</w:t>
            </w:r>
          </w:p>
        </w:tc>
        <w:tc>
          <w:tcPr>
            <w:tcW w:w="1494" w:type="dxa"/>
            <w:tcBorders>
              <w:bottom w:val="single" w:color="auto" w:sz="4" w:space="0"/>
            </w:tcBorders>
          </w:tcPr>
          <w:p w:rsidRPr="00EA17ED" w:rsidR="00D4292A" w:rsidP="004C19CB" w:rsidRDefault="00D4292A" w14:paraId="46A7B7B0" w14:textId="77777777">
            <w:pPr>
              <w:jc w:val="center"/>
            </w:pPr>
            <w:r w:rsidRPr="00EA17ED">
              <w:t>33</w:t>
            </w:r>
          </w:p>
        </w:tc>
        <w:tc>
          <w:tcPr>
            <w:tcW w:w="1417" w:type="dxa"/>
            <w:tcBorders>
              <w:bottom w:val="single" w:color="auto" w:sz="4" w:space="0"/>
            </w:tcBorders>
          </w:tcPr>
          <w:p w:rsidRPr="00EA17ED" w:rsidR="00D4292A" w:rsidP="004C19CB" w:rsidRDefault="00D4292A" w14:paraId="2B3EBB4C" w14:textId="77777777">
            <w:pPr>
              <w:jc w:val="center"/>
            </w:pPr>
            <w:r w:rsidRPr="00EA17ED">
              <w:t>99</w:t>
            </w:r>
          </w:p>
        </w:tc>
      </w:tr>
      <w:tr w:rsidRPr="00EA17ED" w:rsidR="00D4292A" w:rsidTr="004C19CB" w14:paraId="04B22F0B" w14:textId="77777777">
        <w:tc>
          <w:tcPr>
            <w:tcW w:w="1685" w:type="dxa"/>
            <w:tcBorders>
              <w:bottom w:val="single" w:color="auto" w:sz="4" w:space="0"/>
            </w:tcBorders>
          </w:tcPr>
          <w:p w:rsidRPr="00EA17ED" w:rsidR="00D4292A" w:rsidP="004C19CB" w:rsidRDefault="00D4292A" w14:paraId="52EE649B" w14:textId="77777777">
            <w:r w:rsidRPr="00EA17ED">
              <w:t>Total</w:t>
            </w:r>
          </w:p>
        </w:tc>
        <w:tc>
          <w:tcPr>
            <w:tcW w:w="1602" w:type="dxa"/>
            <w:tcBorders>
              <w:bottom w:val="single" w:color="auto" w:sz="4" w:space="0"/>
            </w:tcBorders>
          </w:tcPr>
          <w:p w:rsidRPr="00EA17ED" w:rsidR="00D4292A" w:rsidP="004C19CB" w:rsidRDefault="00D4292A" w14:paraId="1E967D21" w14:textId="77777777">
            <w:pPr>
              <w:jc w:val="center"/>
            </w:pPr>
            <w:r w:rsidRPr="00EA17ED">
              <w:t>83</w:t>
            </w:r>
          </w:p>
        </w:tc>
        <w:tc>
          <w:tcPr>
            <w:tcW w:w="1627" w:type="dxa"/>
            <w:tcBorders>
              <w:bottom w:val="single" w:color="auto" w:sz="4" w:space="0"/>
            </w:tcBorders>
          </w:tcPr>
          <w:p w:rsidRPr="00EA17ED" w:rsidR="00D4292A" w:rsidP="004C19CB" w:rsidRDefault="00D4292A" w14:paraId="0E4B2745" w14:textId="77777777">
            <w:pPr>
              <w:jc w:val="center"/>
            </w:pPr>
            <w:r w:rsidRPr="00EA17ED">
              <w:t>83</w:t>
            </w:r>
          </w:p>
        </w:tc>
        <w:tc>
          <w:tcPr>
            <w:tcW w:w="1494" w:type="dxa"/>
            <w:tcBorders>
              <w:bottom w:val="single" w:color="auto" w:sz="4" w:space="0"/>
            </w:tcBorders>
          </w:tcPr>
          <w:p w:rsidRPr="00EA17ED" w:rsidR="00D4292A" w:rsidP="004C19CB" w:rsidRDefault="00D4292A" w14:paraId="742E3218" w14:textId="77777777">
            <w:pPr>
              <w:jc w:val="center"/>
            </w:pPr>
            <w:r w:rsidRPr="00EA17ED">
              <w:t>83</w:t>
            </w:r>
          </w:p>
        </w:tc>
        <w:tc>
          <w:tcPr>
            <w:tcW w:w="1417" w:type="dxa"/>
            <w:tcBorders>
              <w:bottom w:val="single" w:color="auto" w:sz="4" w:space="0"/>
            </w:tcBorders>
          </w:tcPr>
          <w:p w:rsidRPr="00EA17ED" w:rsidR="00D4292A" w:rsidP="004C19CB" w:rsidRDefault="00D4292A" w14:paraId="2B44AD1E" w14:textId="77777777">
            <w:pPr>
              <w:jc w:val="center"/>
            </w:pPr>
            <w:r w:rsidRPr="00EA17ED">
              <w:t>24</w:t>
            </w:r>
            <w:r>
              <w:t>9</w:t>
            </w:r>
          </w:p>
        </w:tc>
      </w:tr>
    </w:tbl>
    <w:p w:rsidRPr="00EA17ED" w:rsidR="00D4292A" w:rsidP="00D4292A" w:rsidRDefault="00D4292A" w14:paraId="42C375FD" w14:textId="77777777"/>
    <w:p w:rsidRPr="00EA17ED" w:rsidR="00D4292A" w:rsidP="00D4292A" w:rsidRDefault="00D4292A" w14:paraId="5F923F34" w14:textId="77777777"/>
    <w:p w:rsidR="00D4292A" w:rsidP="00D4292A" w:rsidRDefault="00D4292A" w14:paraId="088F94FF" w14:textId="77777777">
      <w:pPr>
        <w:rPr>
          <w:rStyle w:val="Strong"/>
        </w:rPr>
      </w:pPr>
    </w:p>
    <w:p w:rsidRPr="00EA17ED" w:rsidR="00D4292A" w:rsidP="00D4292A" w:rsidRDefault="00D4292A" w14:paraId="0753ABB8" w14:textId="728C2F19">
      <w:pPr>
        <w:rPr>
          <w:rStyle w:val="Strong"/>
        </w:rPr>
      </w:pPr>
      <w:r w:rsidRPr="00EA17ED">
        <w:rPr>
          <w:rStyle w:val="Strong"/>
        </w:rPr>
        <w:t xml:space="preserve">Table </w:t>
      </w:r>
      <w:r w:rsidR="00C711CF">
        <w:rPr>
          <w:rStyle w:val="Strong"/>
        </w:rPr>
        <w:t>1b</w:t>
      </w:r>
      <w:r w:rsidRPr="00EA17ED">
        <w:rPr>
          <w:rStyle w:val="Strong"/>
        </w:rPr>
        <w:t xml:space="preserve">: Study </w:t>
      </w:r>
      <w:r w:rsidR="008B4282">
        <w:rPr>
          <w:rStyle w:val="Strong"/>
        </w:rPr>
        <w:t>1</w:t>
      </w:r>
      <w:r w:rsidRPr="00EA17ED">
        <w:rPr>
          <w:rStyle w:val="Strong"/>
        </w:rPr>
        <w:t xml:space="preserve"> Design – Main Study (</w:t>
      </w:r>
      <w:r w:rsidRPr="00EA17ED">
        <w:rPr>
          <w:b/>
        </w:rPr>
        <w:t>0.90 power, 0.05 alpha, small effect size f=.2)</w:t>
      </w:r>
    </w:p>
    <w:tbl>
      <w:tblPr>
        <w:tblStyle w:val="TableGrid"/>
        <w:tblW w:w="0" w:type="auto"/>
        <w:tblLook w:val="04A0" w:firstRow="1" w:lastRow="0" w:firstColumn="1" w:lastColumn="0" w:noHBand="0" w:noVBand="1"/>
      </w:tblPr>
      <w:tblGrid>
        <w:gridCol w:w="1685"/>
        <w:gridCol w:w="1602"/>
        <w:gridCol w:w="1627"/>
        <w:gridCol w:w="1494"/>
        <w:gridCol w:w="1417"/>
      </w:tblGrid>
      <w:tr w:rsidRPr="00EA17ED" w:rsidR="00D4292A" w:rsidTr="004C19CB" w14:paraId="0EEF944A" w14:textId="77777777">
        <w:tc>
          <w:tcPr>
            <w:tcW w:w="1685" w:type="dxa"/>
            <w:vMerge w:val="restart"/>
          </w:tcPr>
          <w:p w:rsidRPr="00EA17ED" w:rsidR="00D4292A" w:rsidP="004C19CB" w:rsidRDefault="00D4292A" w14:paraId="2FEF6459" w14:textId="77777777"/>
          <w:p w:rsidR="00D4292A" w:rsidP="004C19CB" w:rsidRDefault="00D4292A" w14:paraId="0DE96E25" w14:textId="77777777">
            <w:r>
              <w:t>Payment</w:t>
            </w:r>
          </w:p>
          <w:p w:rsidRPr="00EA17ED" w:rsidR="00D4292A" w:rsidP="004C19CB" w:rsidRDefault="00D4292A" w14:paraId="4F3343AD" w14:textId="77777777">
            <w:r w:rsidRPr="00EA17ED">
              <w:t>Disclosure</w:t>
            </w:r>
          </w:p>
        </w:tc>
        <w:tc>
          <w:tcPr>
            <w:tcW w:w="4723" w:type="dxa"/>
            <w:gridSpan w:val="3"/>
          </w:tcPr>
          <w:p w:rsidRPr="00EA17ED" w:rsidR="00D4292A" w:rsidP="004C19CB" w:rsidRDefault="00D4292A" w14:paraId="7CB83390" w14:textId="77777777">
            <w:pPr>
              <w:jc w:val="center"/>
            </w:pPr>
            <w:r w:rsidRPr="00EA17ED">
              <w:t>Endorser</w:t>
            </w:r>
          </w:p>
        </w:tc>
        <w:tc>
          <w:tcPr>
            <w:tcW w:w="1417" w:type="dxa"/>
          </w:tcPr>
          <w:p w:rsidRPr="00EA17ED" w:rsidR="00D4292A" w:rsidP="004C19CB" w:rsidRDefault="00D4292A" w14:paraId="419F14D9" w14:textId="77777777">
            <w:pPr>
              <w:jc w:val="center"/>
            </w:pPr>
            <w:r w:rsidRPr="00EA17ED">
              <w:t>Total</w:t>
            </w:r>
          </w:p>
        </w:tc>
      </w:tr>
      <w:tr w:rsidRPr="00EA17ED" w:rsidR="00D4292A" w:rsidTr="004C19CB" w14:paraId="2C2E7C3D" w14:textId="77777777">
        <w:tc>
          <w:tcPr>
            <w:tcW w:w="1685" w:type="dxa"/>
            <w:vMerge/>
          </w:tcPr>
          <w:p w:rsidRPr="00EA17ED" w:rsidR="00D4292A" w:rsidP="004C19CB" w:rsidRDefault="00D4292A" w14:paraId="18188AFD" w14:textId="77777777"/>
        </w:tc>
        <w:tc>
          <w:tcPr>
            <w:tcW w:w="1602" w:type="dxa"/>
          </w:tcPr>
          <w:p w:rsidR="00D4292A" w:rsidP="004C19CB" w:rsidRDefault="00D4292A" w14:paraId="0098D6EB" w14:textId="77777777">
            <w:pPr>
              <w:jc w:val="center"/>
            </w:pPr>
          </w:p>
          <w:p w:rsidRPr="00EA17ED" w:rsidR="00D4292A" w:rsidP="004C19CB" w:rsidRDefault="00D4292A" w14:paraId="0279A208" w14:textId="77777777">
            <w:pPr>
              <w:jc w:val="center"/>
            </w:pPr>
            <w:r w:rsidRPr="00EA17ED">
              <w:t>Celebrity</w:t>
            </w:r>
          </w:p>
        </w:tc>
        <w:tc>
          <w:tcPr>
            <w:tcW w:w="1627" w:type="dxa"/>
          </w:tcPr>
          <w:p w:rsidR="00D4292A" w:rsidP="004C19CB" w:rsidRDefault="00D4292A" w14:paraId="0F49CA47" w14:textId="77777777">
            <w:pPr>
              <w:jc w:val="center"/>
            </w:pPr>
          </w:p>
          <w:p w:rsidRPr="00EA17ED" w:rsidR="00D4292A" w:rsidP="004C19CB" w:rsidRDefault="00D4292A" w14:paraId="1CE1BBB4" w14:textId="77777777">
            <w:pPr>
              <w:jc w:val="center"/>
            </w:pPr>
            <w:r w:rsidRPr="00EA17ED">
              <w:t>Physician</w:t>
            </w:r>
          </w:p>
        </w:tc>
        <w:tc>
          <w:tcPr>
            <w:tcW w:w="1494" w:type="dxa"/>
          </w:tcPr>
          <w:p w:rsidR="00D4292A" w:rsidP="004C19CB" w:rsidRDefault="00D4292A" w14:paraId="1AEAB289" w14:textId="77777777">
            <w:pPr>
              <w:jc w:val="center"/>
            </w:pPr>
          </w:p>
          <w:p w:rsidRPr="00EA17ED" w:rsidR="00D4292A" w:rsidP="004C19CB" w:rsidRDefault="00D4292A" w14:paraId="38CFEE33" w14:textId="77777777">
            <w:pPr>
              <w:jc w:val="center"/>
            </w:pPr>
            <w:r w:rsidRPr="00EA17ED">
              <w:t>Patient</w:t>
            </w:r>
          </w:p>
        </w:tc>
        <w:tc>
          <w:tcPr>
            <w:tcW w:w="1417" w:type="dxa"/>
          </w:tcPr>
          <w:p w:rsidRPr="00EA17ED" w:rsidR="00D4292A" w:rsidP="004C19CB" w:rsidRDefault="00D4292A" w14:paraId="1BF1F41B" w14:textId="77777777">
            <w:pPr>
              <w:jc w:val="center"/>
            </w:pPr>
          </w:p>
        </w:tc>
      </w:tr>
      <w:tr w:rsidRPr="00EA17ED" w:rsidR="00D4292A" w:rsidTr="004C19CB" w14:paraId="07F0FDD0" w14:textId="77777777">
        <w:tc>
          <w:tcPr>
            <w:tcW w:w="1685" w:type="dxa"/>
          </w:tcPr>
          <w:p w:rsidRPr="00EA17ED" w:rsidR="00D4292A" w:rsidP="004C19CB" w:rsidRDefault="00D4292A" w14:paraId="0E60EE21" w14:textId="77777777">
            <w:r w:rsidRPr="00EA17ED">
              <w:t>Present</w:t>
            </w:r>
          </w:p>
        </w:tc>
        <w:tc>
          <w:tcPr>
            <w:tcW w:w="1602" w:type="dxa"/>
          </w:tcPr>
          <w:p w:rsidRPr="00EA17ED" w:rsidR="00D4292A" w:rsidP="004C19CB" w:rsidRDefault="00D4292A" w14:paraId="379C23C8" w14:textId="77777777">
            <w:pPr>
              <w:jc w:val="center"/>
            </w:pPr>
            <w:r w:rsidRPr="00EA17ED">
              <w:t>81</w:t>
            </w:r>
          </w:p>
        </w:tc>
        <w:tc>
          <w:tcPr>
            <w:tcW w:w="1627" w:type="dxa"/>
          </w:tcPr>
          <w:p w:rsidRPr="00EA17ED" w:rsidR="00D4292A" w:rsidP="004C19CB" w:rsidRDefault="00D4292A" w14:paraId="7C15878B" w14:textId="77777777">
            <w:pPr>
              <w:jc w:val="center"/>
            </w:pPr>
            <w:r w:rsidRPr="00EA17ED">
              <w:t>81</w:t>
            </w:r>
          </w:p>
        </w:tc>
        <w:tc>
          <w:tcPr>
            <w:tcW w:w="1494" w:type="dxa"/>
          </w:tcPr>
          <w:p w:rsidRPr="00EA17ED" w:rsidR="00D4292A" w:rsidP="004C19CB" w:rsidRDefault="00D4292A" w14:paraId="60FDE22B" w14:textId="77777777">
            <w:pPr>
              <w:jc w:val="center"/>
            </w:pPr>
            <w:r w:rsidRPr="00EA17ED">
              <w:t>81</w:t>
            </w:r>
          </w:p>
        </w:tc>
        <w:tc>
          <w:tcPr>
            <w:tcW w:w="1417" w:type="dxa"/>
          </w:tcPr>
          <w:p w:rsidRPr="00EA17ED" w:rsidR="00D4292A" w:rsidP="004C19CB" w:rsidRDefault="00D4292A" w14:paraId="06DA836F" w14:textId="77777777">
            <w:pPr>
              <w:jc w:val="center"/>
            </w:pPr>
            <w:r w:rsidRPr="00EA17ED">
              <w:t>243</w:t>
            </w:r>
          </w:p>
        </w:tc>
      </w:tr>
      <w:tr w:rsidRPr="00EA17ED" w:rsidR="00D4292A" w:rsidTr="004C19CB" w14:paraId="38ADDB12" w14:textId="77777777">
        <w:tc>
          <w:tcPr>
            <w:tcW w:w="1685" w:type="dxa"/>
            <w:tcBorders>
              <w:bottom w:val="single" w:color="auto" w:sz="4" w:space="0"/>
            </w:tcBorders>
          </w:tcPr>
          <w:p w:rsidRPr="00EA17ED" w:rsidR="00D4292A" w:rsidP="004C19CB" w:rsidRDefault="00D4292A" w14:paraId="4345C8CA" w14:textId="77777777">
            <w:r w:rsidRPr="00EA17ED">
              <w:t>Absent</w:t>
            </w:r>
          </w:p>
        </w:tc>
        <w:tc>
          <w:tcPr>
            <w:tcW w:w="1602" w:type="dxa"/>
            <w:tcBorders>
              <w:bottom w:val="single" w:color="auto" w:sz="4" w:space="0"/>
            </w:tcBorders>
          </w:tcPr>
          <w:p w:rsidRPr="00EA17ED" w:rsidR="00D4292A" w:rsidP="004C19CB" w:rsidRDefault="00D4292A" w14:paraId="6734B802" w14:textId="77777777">
            <w:pPr>
              <w:jc w:val="center"/>
            </w:pPr>
            <w:r w:rsidRPr="00EA17ED">
              <w:t>54</w:t>
            </w:r>
          </w:p>
        </w:tc>
        <w:tc>
          <w:tcPr>
            <w:tcW w:w="1627" w:type="dxa"/>
            <w:tcBorders>
              <w:bottom w:val="single" w:color="auto" w:sz="4" w:space="0"/>
            </w:tcBorders>
          </w:tcPr>
          <w:p w:rsidRPr="00EA17ED" w:rsidR="00D4292A" w:rsidP="004C19CB" w:rsidRDefault="00D4292A" w14:paraId="6C8421A1" w14:textId="77777777">
            <w:pPr>
              <w:jc w:val="center"/>
            </w:pPr>
            <w:r w:rsidRPr="00EA17ED">
              <w:t>54</w:t>
            </w:r>
          </w:p>
        </w:tc>
        <w:tc>
          <w:tcPr>
            <w:tcW w:w="1494" w:type="dxa"/>
            <w:tcBorders>
              <w:bottom w:val="single" w:color="auto" w:sz="4" w:space="0"/>
            </w:tcBorders>
          </w:tcPr>
          <w:p w:rsidRPr="00EA17ED" w:rsidR="00D4292A" w:rsidP="004C19CB" w:rsidRDefault="00D4292A" w14:paraId="240B15D3" w14:textId="77777777">
            <w:pPr>
              <w:jc w:val="center"/>
            </w:pPr>
            <w:r w:rsidRPr="00EA17ED">
              <w:t>54</w:t>
            </w:r>
          </w:p>
        </w:tc>
        <w:tc>
          <w:tcPr>
            <w:tcW w:w="1417" w:type="dxa"/>
            <w:tcBorders>
              <w:bottom w:val="single" w:color="auto" w:sz="4" w:space="0"/>
            </w:tcBorders>
          </w:tcPr>
          <w:p w:rsidRPr="00EA17ED" w:rsidR="00D4292A" w:rsidP="004C19CB" w:rsidRDefault="00D4292A" w14:paraId="58510EB3" w14:textId="77777777">
            <w:pPr>
              <w:jc w:val="center"/>
            </w:pPr>
            <w:r w:rsidRPr="00EA17ED">
              <w:t>162</w:t>
            </w:r>
          </w:p>
        </w:tc>
      </w:tr>
      <w:tr w:rsidRPr="00EA17ED" w:rsidR="00D4292A" w:rsidTr="004C19CB" w14:paraId="1845FEDF" w14:textId="77777777">
        <w:tc>
          <w:tcPr>
            <w:tcW w:w="1685" w:type="dxa"/>
            <w:tcBorders>
              <w:right w:val="nil"/>
            </w:tcBorders>
          </w:tcPr>
          <w:p w:rsidRPr="00EA17ED" w:rsidR="00D4292A" w:rsidP="004C19CB" w:rsidRDefault="00D4292A" w14:paraId="00BA068D" w14:textId="77777777">
            <w:r w:rsidRPr="00EA17ED">
              <w:t>Total</w:t>
            </w:r>
          </w:p>
        </w:tc>
        <w:tc>
          <w:tcPr>
            <w:tcW w:w="1602" w:type="dxa"/>
            <w:tcBorders>
              <w:left w:val="nil"/>
              <w:right w:val="nil"/>
            </w:tcBorders>
          </w:tcPr>
          <w:p w:rsidRPr="00EA17ED" w:rsidR="00D4292A" w:rsidP="004C19CB" w:rsidRDefault="00D4292A" w14:paraId="7B9A0DDC" w14:textId="77777777">
            <w:pPr>
              <w:jc w:val="center"/>
            </w:pPr>
            <w:r w:rsidRPr="00EA17ED">
              <w:t>135</w:t>
            </w:r>
          </w:p>
        </w:tc>
        <w:tc>
          <w:tcPr>
            <w:tcW w:w="1627" w:type="dxa"/>
            <w:tcBorders>
              <w:left w:val="nil"/>
              <w:right w:val="single" w:color="auto" w:sz="4" w:space="0"/>
            </w:tcBorders>
          </w:tcPr>
          <w:p w:rsidRPr="00EA17ED" w:rsidR="00D4292A" w:rsidP="004C19CB" w:rsidRDefault="00D4292A" w14:paraId="6012AB6E" w14:textId="77777777">
            <w:pPr>
              <w:jc w:val="center"/>
            </w:pPr>
            <w:r w:rsidRPr="00EA17ED">
              <w:t>135</w:t>
            </w:r>
          </w:p>
        </w:tc>
        <w:tc>
          <w:tcPr>
            <w:tcW w:w="1494" w:type="dxa"/>
            <w:tcBorders>
              <w:left w:val="single" w:color="auto" w:sz="4" w:space="0"/>
              <w:right w:val="single" w:color="auto" w:sz="4" w:space="0"/>
            </w:tcBorders>
          </w:tcPr>
          <w:p w:rsidRPr="00EA17ED" w:rsidR="00D4292A" w:rsidP="004C19CB" w:rsidRDefault="00D4292A" w14:paraId="47477FBD" w14:textId="77777777">
            <w:pPr>
              <w:jc w:val="center"/>
            </w:pPr>
            <w:r w:rsidRPr="00EA17ED">
              <w:t>135</w:t>
            </w:r>
          </w:p>
        </w:tc>
        <w:tc>
          <w:tcPr>
            <w:tcW w:w="1417" w:type="dxa"/>
            <w:tcBorders>
              <w:left w:val="single" w:color="auto" w:sz="4" w:space="0"/>
            </w:tcBorders>
          </w:tcPr>
          <w:p w:rsidRPr="00EA17ED" w:rsidR="00D4292A" w:rsidP="004C19CB" w:rsidRDefault="00D4292A" w14:paraId="1CFC5B44" w14:textId="77777777">
            <w:pPr>
              <w:jc w:val="center"/>
            </w:pPr>
            <w:r w:rsidRPr="00EA17ED">
              <w:t>405</w:t>
            </w:r>
          </w:p>
        </w:tc>
      </w:tr>
    </w:tbl>
    <w:p w:rsidRPr="0039566D" w:rsidR="00D4292A" w:rsidP="00D4292A" w:rsidRDefault="00D4292A" w14:paraId="504F6935" w14:textId="77777777">
      <w:pPr>
        <w:spacing w:line="480" w:lineRule="auto"/>
        <w:contextualSpacing/>
      </w:pPr>
    </w:p>
    <w:p w:rsidR="00D4292A" w:rsidP="00B871CD" w:rsidRDefault="00D4292A" w14:paraId="1183F8F0" w14:textId="47A53296">
      <w:pPr>
        <w:ind w:left="720"/>
        <w:contextualSpacing/>
      </w:pPr>
      <w:r>
        <w:t xml:space="preserve">Study </w:t>
      </w:r>
      <w:r w:rsidR="007241EB">
        <w:t>1</w:t>
      </w:r>
      <w:r>
        <w:t xml:space="preserve"> will manipulate endorser type (three levels: celebrity, physician, patient) and payment disclosure (two levels: </w:t>
      </w:r>
      <w:r w:rsidR="00CA3C7E">
        <w:t>p</w:t>
      </w:r>
      <w:r>
        <w:t>resent, absent) within a print DTC ad for a fictitious acne product. For this study, we will recruit 654 general population individuals (249 pretest; 405 main study</w:t>
      </w:r>
      <w:r w:rsidR="00CA3C7E">
        <w:t>; Tables 1 and 2</w:t>
      </w:r>
      <w:r>
        <w:t xml:space="preserve">) from the Kantar Lightspeed national nonprobability internet panel. All participants must report familiarity with the celebrity to be included in our study. The celebrity will be one who has publicly spoken out about acne. Stock photos will be used to depict a physician and a patient in the other experimental conditions. Participants will be randomly assigned to see one of the endorsers and to see the ad either with or without a payment disclosure. </w:t>
      </w:r>
      <w:bookmarkStart w:name="_Hlk20209769" w:id="0"/>
      <w:r>
        <w:t xml:space="preserve">The payment disclosure in Study 1 will be determined in cognitive testing, but will be similar to: </w:t>
      </w:r>
      <w:bookmarkStart w:name="_Hlk20209621" w:id="1"/>
      <w:r>
        <w:t>“[Endorser] has been paid to appear in this ad for Drug X.</w:t>
      </w:r>
      <w:bookmarkEnd w:id="1"/>
      <w:r>
        <w:t>”</w:t>
      </w:r>
    </w:p>
    <w:p w:rsidR="007070C8" w:rsidP="007070C8" w:rsidRDefault="007070C8" w14:paraId="08C7CB29" w14:textId="77777777">
      <w:pPr>
        <w:ind w:firstLine="720"/>
        <w:contextualSpacing/>
      </w:pPr>
    </w:p>
    <w:bookmarkEnd w:id="0"/>
    <w:p w:rsidR="00E15870" w:rsidP="00D4292A" w:rsidRDefault="00E15870" w14:paraId="5B4109F5" w14:textId="77777777">
      <w:pPr>
        <w:spacing w:line="480" w:lineRule="auto"/>
        <w:contextualSpacing/>
      </w:pPr>
    </w:p>
    <w:p w:rsidR="00D4292A" w:rsidP="00D4292A" w:rsidRDefault="00D4292A" w14:paraId="0EF1CB22" w14:textId="0534F253">
      <w:pPr>
        <w:spacing w:line="480" w:lineRule="auto"/>
        <w:contextualSpacing/>
      </w:pPr>
      <w:r>
        <w:lastRenderedPageBreak/>
        <w:t xml:space="preserve">Study </w:t>
      </w:r>
      <w:r w:rsidR="008B4282">
        <w:t>2</w:t>
      </w:r>
    </w:p>
    <w:p w:rsidRPr="00EA17ED" w:rsidR="00D4292A" w:rsidP="00D4292A" w:rsidRDefault="00D4292A" w14:paraId="6D0A96D0" w14:textId="18C3D0C8">
      <w:pPr>
        <w:rPr>
          <w:rStyle w:val="Strong"/>
        </w:rPr>
      </w:pPr>
      <w:r w:rsidRPr="00EA17ED">
        <w:rPr>
          <w:rStyle w:val="Strong"/>
        </w:rPr>
        <w:t xml:space="preserve">Table </w:t>
      </w:r>
      <w:r w:rsidR="00C711CF">
        <w:rPr>
          <w:rStyle w:val="Strong"/>
        </w:rPr>
        <w:t>2</w:t>
      </w:r>
      <w:r w:rsidRPr="00EA17ED">
        <w:rPr>
          <w:rStyle w:val="Strong"/>
        </w:rPr>
        <w:t xml:space="preserve">: Study </w:t>
      </w:r>
      <w:r w:rsidR="00C775E3">
        <w:rPr>
          <w:rStyle w:val="Strong"/>
        </w:rPr>
        <w:t>2</w:t>
      </w:r>
      <w:r w:rsidRPr="00EA17ED">
        <w:rPr>
          <w:rStyle w:val="Strong"/>
        </w:rPr>
        <w:t xml:space="preserve"> Design – Pretest (</w:t>
      </w:r>
      <w:r w:rsidRPr="00EA17ED">
        <w:rPr>
          <w:b/>
        </w:rPr>
        <w:t>0.80 power, 0.10 alpha, small effect size f=.2)</w:t>
      </w:r>
    </w:p>
    <w:tbl>
      <w:tblPr>
        <w:tblStyle w:val="TableGrid"/>
        <w:tblW w:w="0" w:type="auto"/>
        <w:tblLook w:val="04A0" w:firstRow="1" w:lastRow="0" w:firstColumn="1" w:lastColumn="0" w:noHBand="0" w:noVBand="1"/>
      </w:tblPr>
      <w:tblGrid>
        <w:gridCol w:w="2029"/>
        <w:gridCol w:w="2014"/>
        <w:gridCol w:w="1914"/>
        <w:gridCol w:w="1688"/>
      </w:tblGrid>
      <w:tr w:rsidRPr="00EA17ED" w:rsidR="00D4292A" w:rsidTr="004C19CB" w14:paraId="6D049E66" w14:textId="77777777">
        <w:tc>
          <w:tcPr>
            <w:tcW w:w="2029" w:type="dxa"/>
            <w:vMerge w:val="restart"/>
          </w:tcPr>
          <w:p w:rsidRPr="00EA17ED" w:rsidR="00D4292A" w:rsidP="004C19CB" w:rsidRDefault="00D4292A" w14:paraId="4A48A3FF" w14:textId="77777777"/>
          <w:p w:rsidR="00D4292A" w:rsidP="004C19CB" w:rsidRDefault="00D4292A" w14:paraId="5FC83FFB" w14:textId="77777777">
            <w:r>
              <w:t>Payment</w:t>
            </w:r>
          </w:p>
          <w:p w:rsidRPr="00EA17ED" w:rsidR="00D4292A" w:rsidP="004C19CB" w:rsidRDefault="00D4292A" w14:paraId="204B71ED" w14:textId="77777777">
            <w:r w:rsidRPr="00EA17ED">
              <w:t>Disclosure</w:t>
            </w:r>
          </w:p>
        </w:tc>
        <w:tc>
          <w:tcPr>
            <w:tcW w:w="3928" w:type="dxa"/>
            <w:gridSpan w:val="2"/>
          </w:tcPr>
          <w:p w:rsidRPr="00EA17ED" w:rsidR="00D4292A" w:rsidP="004C19CB" w:rsidRDefault="00D4292A" w14:paraId="095E609A" w14:textId="77777777">
            <w:pPr>
              <w:jc w:val="center"/>
            </w:pPr>
            <w:r w:rsidRPr="00EA17ED">
              <w:t>Endorser</w:t>
            </w:r>
          </w:p>
        </w:tc>
        <w:tc>
          <w:tcPr>
            <w:tcW w:w="1688" w:type="dxa"/>
          </w:tcPr>
          <w:p w:rsidRPr="00EA17ED" w:rsidR="00D4292A" w:rsidP="004C19CB" w:rsidRDefault="00D4292A" w14:paraId="04AC9CB6" w14:textId="77777777">
            <w:pPr>
              <w:jc w:val="center"/>
            </w:pPr>
            <w:r w:rsidRPr="00EA17ED">
              <w:t>Total</w:t>
            </w:r>
          </w:p>
        </w:tc>
      </w:tr>
      <w:tr w:rsidRPr="00EA17ED" w:rsidR="00D4292A" w:rsidTr="004C19CB" w14:paraId="379DC1F6" w14:textId="77777777">
        <w:tc>
          <w:tcPr>
            <w:tcW w:w="2029" w:type="dxa"/>
            <w:vMerge/>
          </w:tcPr>
          <w:p w:rsidRPr="00EA17ED" w:rsidR="00D4292A" w:rsidP="004C19CB" w:rsidRDefault="00D4292A" w14:paraId="653D964E" w14:textId="77777777"/>
        </w:tc>
        <w:tc>
          <w:tcPr>
            <w:tcW w:w="2014" w:type="dxa"/>
          </w:tcPr>
          <w:p w:rsidR="00D4292A" w:rsidP="004C19CB" w:rsidRDefault="00D4292A" w14:paraId="06BC13DE" w14:textId="77777777">
            <w:pPr>
              <w:jc w:val="center"/>
            </w:pPr>
          </w:p>
          <w:p w:rsidRPr="00EA17ED" w:rsidR="00D4292A" w:rsidP="004C19CB" w:rsidRDefault="00D4292A" w14:paraId="7852E3D7" w14:textId="77777777">
            <w:pPr>
              <w:jc w:val="center"/>
            </w:pPr>
            <w:r w:rsidRPr="00EA17ED">
              <w:t>Influencer</w:t>
            </w:r>
          </w:p>
        </w:tc>
        <w:tc>
          <w:tcPr>
            <w:tcW w:w="1914" w:type="dxa"/>
          </w:tcPr>
          <w:p w:rsidR="00D4292A" w:rsidP="004C19CB" w:rsidRDefault="00D4292A" w14:paraId="1EFBB827" w14:textId="77777777">
            <w:pPr>
              <w:jc w:val="center"/>
            </w:pPr>
          </w:p>
          <w:p w:rsidRPr="00EA17ED" w:rsidR="00D4292A" w:rsidP="004C19CB" w:rsidRDefault="00D4292A" w14:paraId="39D46C30" w14:textId="77777777">
            <w:pPr>
              <w:jc w:val="center"/>
            </w:pPr>
            <w:r w:rsidRPr="00EA17ED">
              <w:t>Patient</w:t>
            </w:r>
          </w:p>
        </w:tc>
        <w:tc>
          <w:tcPr>
            <w:tcW w:w="1688" w:type="dxa"/>
          </w:tcPr>
          <w:p w:rsidRPr="00EA17ED" w:rsidR="00D4292A" w:rsidP="004C19CB" w:rsidRDefault="00D4292A" w14:paraId="254733DF" w14:textId="77777777">
            <w:pPr>
              <w:jc w:val="center"/>
            </w:pPr>
          </w:p>
        </w:tc>
      </w:tr>
      <w:tr w:rsidRPr="00EA17ED" w:rsidR="00D4292A" w:rsidTr="004C19CB" w14:paraId="4F97462D" w14:textId="77777777">
        <w:tc>
          <w:tcPr>
            <w:tcW w:w="2029" w:type="dxa"/>
          </w:tcPr>
          <w:p w:rsidRPr="00EA17ED" w:rsidR="00D4292A" w:rsidP="004C19CB" w:rsidRDefault="00D4292A" w14:paraId="3A26CCF0" w14:textId="77777777">
            <w:r w:rsidRPr="00EA17ED">
              <w:t>Present-Direct</w:t>
            </w:r>
          </w:p>
        </w:tc>
        <w:tc>
          <w:tcPr>
            <w:tcW w:w="2014" w:type="dxa"/>
          </w:tcPr>
          <w:p w:rsidRPr="00EA17ED" w:rsidR="00D4292A" w:rsidP="004C19CB" w:rsidRDefault="00D4292A" w14:paraId="7D90F378" w14:textId="77777777">
            <w:pPr>
              <w:jc w:val="center"/>
            </w:pPr>
            <w:r w:rsidRPr="00EA17ED">
              <w:t>50</w:t>
            </w:r>
          </w:p>
        </w:tc>
        <w:tc>
          <w:tcPr>
            <w:tcW w:w="1914" w:type="dxa"/>
          </w:tcPr>
          <w:p w:rsidRPr="00EA17ED" w:rsidR="00D4292A" w:rsidP="004C19CB" w:rsidRDefault="00D4292A" w14:paraId="3CD92C18" w14:textId="77777777">
            <w:pPr>
              <w:jc w:val="center"/>
            </w:pPr>
            <w:r w:rsidRPr="00EA17ED">
              <w:t>50</w:t>
            </w:r>
          </w:p>
        </w:tc>
        <w:tc>
          <w:tcPr>
            <w:tcW w:w="1688" w:type="dxa"/>
          </w:tcPr>
          <w:p w:rsidRPr="00EA17ED" w:rsidR="00D4292A" w:rsidP="004C19CB" w:rsidRDefault="00D4292A" w14:paraId="727D64F7" w14:textId="77777777">
            <w:pPr>
              <w:jc w:val="center"/>
            </w:pPr>
            <w:r>
              <w:t>100</w:t>
            </w:r>
          </w:p>
        </w:tc>
      </w:tr>
      <w:tr w:rsidRPr="00EA17ED" w:rsidR="00D4292A" w:rsidTr="004C19CB" w14:paraId="07A072F7" w14:textId="77777777">
        <w:tc>
          <w:tcPr>
            <w:tcW w:w="2029" w:type="dxa"/>
          </w:tcPr>
          <w:p w:rsidRPr="00EA17ED" w:rsidR="00D4292A" w:rsidP="004C19CB" w:rsidRDefault="00D4292A" w14:paraId="796BFC4B" w14:textId="77777777">
            <w:r w:rsidRPr="00EA17ED">
              <w:t>Present-Indirect</w:t>
            </w:r>
          </w:p>
        </w:tc>
        <w:tc>
          <w:tcPr>
            <w:tcW w:w="2014" w:type="dxa"/>
          </w:tcPr>
          <w:p w:rsidRPr="00EA17ED" w:rsidR="00D4292A" w:rsidP="004C19CB" w:rsidRDefault="00D4292A" w14:paraId="3EBAC22E" w14:textId="77777777">
            <w:pPr>
              <w:jc w:val="center"/>
            </w:pPr>
            <w:r w:rsidRPr="00EA17ED">
              <w:t>50</w:t>
            </w:r>
          </w:p>
        </w:tc>
        <w:tc>
          <w:tcPr>
            <w:tcW w:w="1914" w:type="dxa"/>
          </w:tcPr>
          <w:p w:rsidRPr="00EA17ED" w:rsidR="00D4292A" w:rsidP="004C19CB" w:rsidRDefault="00D4292A" w14:paraId="1DB83F25" w14:textId="77777777">
            <w:pPr>
              <w:jc w:val="center"/>
            </w:pPr>
            <w:r w:rsidRPr="00EA17ED">
              <w:t>50</w:t>
            </w:r>
          </w:p>
        </w:tc>
        <w:tc>
          <w:tcPr>
            <w:tcW w:w="1688" w:type="dxa"/>
          </w:tcPr>
          <w:p w:rsidRPr="00EA17ED" w:rsidR="00D4292A" w:rsidP="004C19CB" w:rsidRDefault="00D4292A" w14:paraId="405B3F84" w14:textId="77777777">
            <w:pPr>
              <w:jc w:val="center"/>
            </w:pPr>
            <w:r>
              <w:t>100</w:t>
            </w:r>
          </w:p>
        </w:tc>
      </w:tr>
      <w:tr w:rsidRPr="00EA17ED" w:rsidR="00D4292A" w:rsidTr="004C19CB" w14:paraId="4C63C534" w14:textId="77777777">
        <w:tc>
          <w:tcPr>
            <w:tcW w:w="2029" w:type="dxa"/>
          </w:tcPr>
          <w:p w:rsidRPr="00EA17ED" w:rsidR="00D4292A" w:rsidP="004C19CB" w:rsidRDefault="00D4292A" w14:paraId="31671033" w14:textId="77777777">
            <w:r w:rsidRPr="00EA17ED">
              <w:t>Absent</w:t>
            </w:r>
          </w:p>
        </w:tc>
        <w:tc>
          <w:tcPr>
            <w:tcW w:w="2014" w:type="dxa"/>
          </w:tcPr>
          <w:p w:rsidRPr="00EA17ED" w:rsidR="00D4292A" w:rsidP="004C19CB" w:rsidRDefault="00D4292A" w14:paraId="59E53D48" w14:textId="77777777">
            <w:pPr>
              <w:jc w:val="center"/>
            </w:pPr>
            <w:r w:rsidRPr="00EA17ED">
              <w:t>33</w:t>
            </w:r>
          </w:p>
        </w:tc>
        <w:tc>
          <w:tcPr>
            <w:tcW w:w="1914" w:type="dxa"/>
          </w:tcPr>
          <w:p w:rsidRPr="00EA17ED" w:rsidR="00D4292A" w:rsidP="004C19CB" w:rsidRDefault="00D4292A" w14:paraId="4A6CDB4E" w14:textId="77777777">
            <w:pPr>
              <w:jc w:val="center"/>
            </w:pPr>
            <w:r w:rsidRPr="00EA17ED">
              <w:t>33</w:t>
            </w:r>
          </w:p>
        </w:tc>
        <w:tc>
          <w:tcPr>
            <w:tcW w:w="1688" w:type="dxa"/>
          </w:tcPr>
          <w:p w:rsidRPr="00EA17ED" w:rsidR="00D4292A" w:rsidP="004C19CB" w:rsidRDefault="00D4292A" w14:paraId="4D262B9B" w14:textId="77777777">
            <w:pPr>
              <w:jc w:val="center"/>
            </w:pPr>
            <w:r w:rsidRPr="00EA17ED">
              <w:t>66</w:t>
            </w:r>
          </w:p>
        </w:tc>
      </w:tr>
      <w:tr w:rsidRPr="00EA17ED" w:rsidR="00D4292A" w:rsidTr="004C19CB" w14:paraId="5F51B3A3" w14:textId="77777777">
        <w:tc>
          <w:tcPr>
            <w:tcW w:w="2029" w:type="dxa"/>
          </w:tcPr>
          <w:p w:rsidRPr="00EA17ED" w:rsidR="00D4292A" w:rsidP="004C19CB" w:rsidRDefault="00D4292A" w14:paraId="2A914B50" w14:textId="77777777">
            <w:r w:rsidRPr="00EA17ED">
              <w:t>Total</w:t>
            </w:r>
          </w:p>
        </w:tc>
        <w:tc>
          <w:tcPr>
            <w:tcW w:w="2014" w:type="dxa"/>
          </w:tcPr>
          <w:p w:rsidRPr="00EA17ED" w:rsidR="00D4292A" w:rsidP="004C19CB" w:rsidRDefault="00D4292A" w14:paraId="2302F35D" w14:textId="77777777">
            <w:pPr>
              <w:jc w:val="center"/>
            </w:pPr>
            <w:r w:rsidRPr="00EA17ED">
              <w:t>13</w:t>
            </w:r>
            <w:r>
              <w:t>3</w:t>
            </w:r>
          </w:p>
        </w:tc>
        <w:tc>
          <w:tcPr>
            <w:tcW w:w="1914" w:type="dxa"/>
          </w:tcPr>
          <w:p w:rsidRPr="00EA17ED" w:rsidR="00D4292A" w:rsidP="004C19CB" w:rsidRDefault="00D4292A" w14:paraId="433EEC36" w14:textId="77777777">
            <w:pPr>
              <w:jc w:val="center"/>
            </w:pPr>
            <w:r w:rsidRPr="00EA17ED">
              <w:t>13</w:t>
            </w:r>
            <w:r>
              <w:t>3</w:t>
            </w:r>
          </w:p>
        </w:tc>
        <w:tc>
          <w:tcPr>
            <w:tcW w:w="1688" w:type="dxa"/>
          </w:tcPr>
          <w:p w:rsidRPr="00EA17ED" w:rsidR="00D4292A" w:rsidP="004C19CB" w:rsidRDefault="00D4292A" w14:paraId="5FF89AA6" w14:textId="77777777">
            <w:pPr>
              <w:jc w:val="center"/>
            </w:pPr>
            <w:r w:rsidRPr="00EA17ED">
              <w:t>26</w:t>
            </w:r>
            <w:r>
              <w:t>6</w:t>
            </w:r>
          </w:p>
        </w:tc>
      </w:tr>
    </w:tbl>
    <w:p w:rsidRPr="00EA17ED" w:rsidR="00D4292A" w:rsidP="00D4292A" w:rsidRDefault="00D4292A" w14:paraId="5C654C2E" w14:textId="77777777"/>
    <w:p w:rsidR="00D4292A" w:rsidP="00D4292A" w:rsidRDefault="00D4292A" w14:paraId="447BA1E7" w14:textId="77777777">
      <w:pPr>
        <w:rPr>
          <w:rStyle w:val="Strong"/>
        </w:rPr>
      </w:pPr>
    </w:p>
    <w:p w:rsidRPr="00EA17ED" w:rsidR="00D4292A" w:rsidP="00D4292A" w:rsidRDefault="00D4292A" w14:paraId="55FEF774" w14:textId="012978DF">
      <w:r w:rsidRPr="00EA17ED">
        <w:rPr>
          <w:rStyle w:val="Strong"/>
        </w:rPr>
        <w:t xml:space="preserve">Table </w:t>
      </w:r>
      <w:r w:rsidR="00C711CF">
        <w:rPr>
          <w:rStyle w:val="Strong"/>
        </w:rPr>
        <w:t>2</w:t>
      </w:r>
      <w:r w:rsidRPr="00EA17ED">
        <w:rPr>
          <w:rStyle w:val="Strong"/>
        </w:rPr>
        <w:t xml:space="preserve">: Study </w:t>
      </w:r>
      <w:r w:rsidR="00C775E3">
        <w:rPr>
          <w:rStyle w:val="Strong"/>
        </w:rPr>
        <w:t>2</w:t>
      </w:r>
      <w:r w:rsidRPr="00EA17ED">
        <w:rPr>
          <w:rStyle w:val="Strong"/>
        </w:rPr>
        <w:t xml:space="preserve"> Design – Main Study (</w:t>
      </w:r>
      <w:r w:rsidRPr="00EA17ED">
        <w:rPr>
          <w:b/>
        </w:rPr>
        <w:t>0.90 power, 0.05 alpha, small effect size f=.2)</w:t>
      </w:r>
    </w:p>
    <w:tbl>
      <w:tblPr>
        <w:tblStyle w:val="TableGrid"/>
        <w:tblW w:w="0" w:type="auto"/>
        <w:tblLook w:val="04A0" w:firstRow="1" w:lastRow="0" w:firstColumn="1" w:lastColumn="0" w:noHBand="0" w:noVBand="1"/>
      </w:tblPr>
      <w:tblGrid>
        <w:gridCol w:w="2029"/>
        <w:gridCol w:w="2014"/>
        <w:gridCol w:w="1914"/>
        <w:gridCol w:w="1688"/>
      </w:tblGrid>
      <w:tr w:rsidRPr="00EA17ED" w:rsidR="00D4292A" w:rsidTr="004C19CB" w14:paraId="484E74A0" w14:textId="77777777">
        <w:tc>
          <w:tcPr>
            <w:tcW w:w="2029" w:type="dxa"/>
            <w:vMerge w:val="restart"/>
          </w:tcPr>
          <w:p w:rsidRPr="00EA17ED" w:rsidR="00D4292A" w:rsidP="004C19CB" w:rsidRDefault="00D4292A" w14:paraId="3168037E" w14:textId="77777777"/>
          <w:p w:rsidR="00D4292A" w:rsidP="004C19CB" w:rsidRDefault="00D4292A" w14:paraId="7E5AD741" w14:textId="77777777">
            <w:r>
              <w:t>Payment</w:t>
            </w:r>
          </w:p>
          <w:p w:rsidRPr="00EA17ED" w:rsidR="00D4292A" w:rsidP="004C19CB" w:rsidRDefault="00D4292A" w14:paraId="7E00DAAF" w14:textId="77777777">
            <w:r w:rsidRPr="00EA17ED">
              <w:t>Disclosure</w:t>
            </w:r>
          </w:p>
        </w:tc>
        <w:tc>
          <w:tcPr>
            <w:tcW w:w="3928" w:type="dxa"/>
            <w:gridSpan w:val="2"/>
          </w:tcPr>
          <w:p w:rsidRPr="00EA17ED" w:rsidR="00D4292A" w:rsidP="004C19CB" w:rsidRDefault="00D4292A" w14:paraId="01D2785E" w14:textId="77777777">
            <w:pPr>
              <w:jc w:val="center"/>
            </w:pPr>
            <w:r w:rsidRPr="00EA17ED">
              <w:t>Endorser</w:t>
            </w:r>
          </w:p>
        </w:tc>
        <w:tc>
          <w:tcPr>
            <w:tcW w:w="1688" w:type="dxa"/>
          </w:tcPr>
          <w:p w:rsidRPr="00EA17ED" w:rsidR="00D4292A" w:rsidP="004C19CB" w:rsidRDefault="00D4292A" w14:paraId="02606D51" w14:textId="77777777">
            <w:pPr>
              <w:jc w:val="center"/>
            </w:pPr>
            <w:r w:rsidRPr="00EA17ED">
              <w:t>Total</w:t>
            </w:r>
          </w:p>
        </w:tc>
      </w:tr>
      <w:tr w:rsidRPr="00EA17ED" w:rsidR="00D4292A" w:rsidTr="004C19CB" w14:paraId="5CE12973" w14:textId="77777777">
        <w:tc>
          <w:tcPr>
            <w:tcW w:w="2029" w:type="dxa"/>
            <w:vMerge/>
          </w:tcPr>
          <w:p w:rsidRPr="00EA17ED" w:rsidR="00D4292A" w:rsidP="004C19CB" w:rsidRDefault="00D4292A" w14:paraId="04DCF172" w14:textId="77777777"/>
        </w:tc>
        <w:tc>
          <w:tcPr>
            <w:tcW w:w="2014" w:type="dxa"/>
          </w:tcPr>
          <w:p w:rsidR="00D4292A" w:rsidP="004C19CB" w:rsidRDefault="00D4292A" w14:paraId="2B274DA6" w14:textId="77777777">
            <w:pPr>
              <w:jc w:val="center"/>
            </w:pPr>
          </w:p>
          <w:p w:rsidRPr="00EA17ED" w:rsidR="00D4292A" w:rsidP="004C19CB" w:rsidRDefault="00D4292A" w14:paraId="1DDAABBA" w14:textId="77777777">
            <w:pPr>
              <w:jc w:val="center"/>
            </w:pPr>
            <w:r w:rsidRPr="00EA17ED">
              <w:t>Influencer</w:t>
            </w:r>
          </w:p>
        </w:tc>
        <w:tc>
          <w:tcPr>
            <w:tcW w:w="1914" w:type="dxa"/>
          </w:tcPr>
          <w:p w:rsidR="00D4292A" w:rsidP="004C19CB" w:rsidRDefault="00D4292A" w14:paraId="68FAD0EA" w14:textId="77777777">
            <w:pPr>
              <w:jc w:val="center"/>
            </w:pPr>
          </w:p>
          <w:p w:rsidRPr="00EA17ED" w:rsidR="00D4292A" w:rsidP="004C19CB" w:rsidRDefault="00D4292A" w14:paraId="792D92BF" w14:textId="77777777">
            <w:pPr>
              <w:jc w:val="center"/>
            </w:pPr>
            <w:r w:rsidRPr="00EA17ED">
              <w:t>Patient</w:t>
            </w:r>
          </w:p>
        </w:tc>
        <w:tc>
          <w:tcPr>
            <w:tcW w:w="1688" w:type="dxa"/>
          </w:tcPr>
          <w:p w:rsidRPr="00EA17ED" w:rsidR="00D4292A" w:rsidP="004C19CB" w:rsidRDefault="00D4292A" w14:paraId="64639F3F" w14:textId="77777777">
            <w:pPr>
              <w:jc w:val="center"/>
            </w:pPr>
          </w:p>
        </w:tc>
      </w:tr>
      <w:tr w:rsidRPr="00EA17ED" w:rsidR="00D4292A" w:rsidTr="004C19CB" w14:paraId="5202F595" w14:textId="77777777">
        <w:tc>
          <w:tcPr>
            <w:tcW w:w="2029" w:type="dxa"/>
          </w:tcPr>
          <w:p w:rsidRPr="00EA17ED" w:rsidR="00D4292A" w:rsidP="004C19CB" w:rsidRDefault="00D4292A" w14:paraId="44FFFA64" w14:textId="77777777">
            <w:r w:rsidRPr="00EA17ED">
              <w:t>Present-Direct</w:t>
            </w:r>
          </w:p>
        </w:tc>
        <w:tc>
          <w:tcPr>
            <w:tcW w:w="2014" w:type="dxa"/>
          </w:tcPr>
          <w:p w:rsidRPr="00EA17ED" w:rsidR="00D4292A" w:rsidP="004C19CB" w:rsidRDefault="00D4292A" w14:paraId="2B35B176" w14:textId="77777777">
            <w:pPr>
              <w:jc w:val="center"/>
            </w:pPr>
            <w:r w:rsidRPr="00EA17ED">
              <w:t>81</w:t>
            </w:r>
          </w:p>
        </w:tc>
        <w:tc>
          <w:tcPr>
            <w:tcW w:w="1914" w:type="dxa"/>
          </w:tcPr>
          <w:p w:rsidRPr="00EA17ED" w:rsidR="00D4292A" w:rsidP="004C19CB" w:rsidRDefault="00D4292A" w14:paraId="45E5BB42" w14:textId="77777777">
            <w:pPr>
              <w:jc w:val="center"/>
            </w:pPr>
            <w:r w:rsidRPr="00EA17ED">
              <w:t>81</w:t>
            </w:r>
          </w:p>
        </w:tc>
        <w:tc>
          <w:tcPr>
            <w:tcW w:w="1688" w:type="dxa"/>
          </w:tcPr>
          <w:p w:rsidRPr="00EA17ED" w:rsidR="00D4292A" w:rsidP="004C19CB" w:rsidRDefault="00D4292A" w14:paraId="194DA015" w14:textId="77777777">
            <w:pPr>
              <w:jc w:val="center"/>
            </w:pPr>
            <w:r w:rsidRPr="00EA17ED">
              <w:t>162</w:t>
            </w:r>
          </w:p>
        </w:tc>
      </w:tr>
      <w:tr w:rsidRPr="00EA17ED" w:rsidR="00D4292A" w:rsidTr="004C19CB" w14:paraId="59A01E66" w14:textId="77777777">
        <w:tc>
          <w:tcPr>
            <w:tcW w:w="2029" w:type="dxa"/>
          </w:tcPr>
          <w:p w:rsidRPr="00EA17ED" w:rsidR="00D4292A" w:rsidP="004C19CB" w:rsidRDefault="00D4292A" w14:paraId="5694388F" w14:textId="77777777">
            <w:r w:rsidRPr="00EA17ED">
              <w:t>Present-Indirect</w:t>
            </w:r>
          </w:p>
        </w:tc>
        <w:tc>
          <w:tcPr>
            <w:tcW w:w="2014" w:type="dxa"/>
          </w:tcPr>
          <w:p w:rsidRPr="00EA17ED" w:rsidR="00D4292A" w:rsidP="004C19CB" w:rsidRDefault="00D4292A" w14:paraId="0F4AA137" w14:textId="77777777">
            <w:pPr>
              <w:jc w:val="center"/>
            </w:pPr>
            <w:r w:rsidRPr="00EA17ED">
              <w:t>81</w:t>
            </w:r>
          </w:p>
        </w:tc>
        <w:tc>
          <w:tcPr>
            <w:tcW w:w="1914" w:type="dxa"/>
          </w:tcPr>
          <w:p w:rsidRPr="00EA17ED" w:rsidR="00D4292A" w:rsidP="004C19CB" w:rsidRDefault="00D4292A" w14:paraId="3D177799" w14:textId="77777777">
            <w:pPr>
              <w:jc w:val="center"/>
            </w:pPr>
            <w:r w:rsidRPr="00EA17ED">
              <w:t>81</w:t>
            </w:r>
          </w:p>
        </w:tc>
        <w:tc>
          <w:tcPr>
            <w:tcW w:w="1688" w:type="dxa"/>
          </w:tcPr>
          <w:p w:rsidRPr="00EA17ED" w:rsidR="00D4292A" w:rsidP="004C19CB" w:rsidRDefault="00D4292A" w14:paraId="48540066" w14:textId="77777777">
            <w:pPr>
              <w:jc w:val="center"/>
            </w:pPr>
            <w:r w:rsidRPr="00EA17ED">
              <w:t>162</w:t>
            </w:r>
          </w:p>
        </w:tc>
      </w:tr>
      <w:tr w:rsidRPr="00EA17ED" w:rsidR="00D4292A" w:rsidTr="004C19CB" w14:paraId="43312A83" w14:textId="77777777">
        <w:tc>
          <w:tcPr>
            <w:tcW w:w="2029" w:type="dxa"/>
          </w:tcPr>
          <w:p w:rsidRPr="00EA17ED" w:rsidR="00D4292A" w:rsidP="004C19CB" w:rsidRDefault="00D4292A" w14:paraId="6EBB049F" w14:textId="77777777">
            <w:r w:rsidRPr="00EA17ED">
              <w:t>Absent</w:t>
            </w:r>
          </w:p>
        </w:tc>
        <w:tc>
          <w:tcPr>
            <w:tcW w:w="2014" w:type="dxa"/>
          </w:tcPr>
          <w:p w:rsidRPr="00EA17ED" w:rsidR="00D4292A" w:rsidP="004C19CB" w:rsidRDefault="00D4292A" w14:paraId="17AD323D" w14:textId="77777777">
            <w:pPr>
              <w:jc w:val="center"/>
            </w:pPr>
            <w:r w:rsidRPr="00EA17ED">
              <w:t>54</w:t>
            </w:r>
          </w:p>
        </w:tc>
        <w:tc>
          <w:tcPr>
            <w:tcW w:w="1914" w:type="dxa"/>
          </w:tcPr>
          <w:p w:rsidRPr="00EA17ED" w:rsidR="00D4292A" w:rsidP="004C19CB" w:rsidRDefault="00D4292A" w14:paraId="6A6D05FB" w14:textId="77777777">
            <w:pPr>
              <w:jc w:val="center"/>
            </w:pPr>
            <w:r w:rsidRPr="00EA17ED">
              <w:t>54</w:t>
            </w:r>
          </w:p>
        </w:tc>
        <w:tc>
          <w:tcPr>
            <w:tcW w:w="1688" w:type="dxa"/>
          </w:tcPr>
          <w:p w:rsidRPr="00EA17ED" w:rsidR="00D4292A" w:rsidP="004C19CB" w:rsidRDefault="00D4292A" w14:paraId="738B5462" w14:textId="77777777">
            <w:pPr>
              <w:jc w:val="center"/>
            </w:pPr>
            <w:r w:rsidRPr="00EA17ED">
              <w:t>108</w:t>
            </w:r>
          </w:p>
        </w:tc>
      </w:tr>
      <w:tr w:rsidRPr="00EA17ED" w:rsidR="00D4292A" w:rsidTr="004C19CB" w14:paraId="2D10A1B0" w14:textId="77777777">
        <w:tc>
          <w:tcPr>
            <w:tcW w:w="2029" w:type="dxa"/>
          </w:tcPr>
          <w:p w:rsidRPr="00EA17ED" w:rsidR="00D4292A" w:rsidP="004C19CB" w:rsidRDefault="00D4292A" w14:paraId="5038C79E" w14:textId="77777777">
            <w:r w:rsidRPr="00EA17ED">
              <w:t>Total</w:t>
            </w:r>
          </w:p>
        </w:tc>
        <w:tc>
          <w:tcPr>
            <w:tcW w:w="2014" w:type="dxa"/>
          </w:tcPr>
          <w:p w:rsidRPr="00EA17ED" w:rsidR="00D4292A" w:rsidP="004C19CB" w:rsidRDefault="00D4292A" w14:paraId="2D4EE50C" w14:textId="77777777">
            <w:pPr>
              <w:jc w:val="center"/>
            </w:pPr>
            <w:r w:rsidRPr="00EA17ED">
              <w:t>216</w:t>
            </w:r>
          </w:p>
        </w:tc>
        <w:tc>
          <w:tcPr>
            <w:tcW w:w="1914" w:type="dxa"/>
          </w:tcPr>
          <w:p w:rsidRPr="00EA17ED" w:rsidR="00D4292A" w:rsidP="004C19CB" w:rsidRDefault="00D4292A" w14:paraId="46B5BF5F" w14:textId="77777777">
            <w:pPr>
              <w:jc w:val="center"/>
            </w:pPr>
            <w:r w:rsidRPr="00EA17ED">
              <w:t>216</w:t>
            </w:r>
          </w:p>
        </w:tc>
        <w:tc>
          <w:tcPr>
            <w:tcW w:w="1688" w:type="dxa"/>
          </w:tcPr>
          <w:p w:rsidRPr="00EA17ED" w:rsidR="00D4292A" w:rsidP="004C19CB" w:rsidRDefault="00D4292A" w14:paraId="457B7A53" w14:textId="77777777">
            <w:pPr>
              <w:jc w:val="center"/>
            </w:pPr>
            <w:r w:rsidRPr="00EA17ED">
              <w:t>432</w:t>
            </w:r>
          </w:p>
        </w:tc>
      </w:tr>
    </w:tbl>
    <w:p w:rsidR="00D4292A" w:rsidP="00D4292A" w:rsidRDefault="00D4292A" w14:paraId="7217A71D" w14:textId="77777777">
      <w:pPr>
        <w:spacing w:line="480" w:lineRule="auto"/>
        <w:contextualSpacing/>
      </w:pPr>
    </w:p>
    <w:p w:rsidR="00D4292A" w:rsidP="00B871CD" w:rsidRDefault="00D4292A" w14:paraId="1072FCFF" w14:textId="3805AB92">
      <w:pPr>
        <w:ind w:left="720"/>
        <w:contextualSpacing/>
      </w:pPr>
      <w:r>
        <w:t xml:space="preserve">In Study </w:t>
      </w:r>
      <w:r w:rsidR="007241EB">
        <w:t>2</w:t>
      </w:r>
      <w:bookmarkStart w:name="_GoBack" w:id="2"/>
      <w:bookmarkEnd w:id="2"/>
      <w:r>
        <w:t>, we will also manipulate endorser type, examining a patient and an internet influencer, one who provides online content to a number of followers. We will also manipulate the explicitness of the payment disclosure, resulting in a 2 (endorser: influencer, patient) by 3 (payment disclosure: present-direct, present-indirect, absent) between-subjects design. The disclosure will be direct (e.g., “Paid ad…”), indirect (e.g., #sp for “sponsored”), or absent. The setting for this study will be an Instagram post for a fictitious endometriosis product. This study partially replicates Study A and extends it by further examining the explicitness of payment as another manipulated variable and using a different set of endorser types and in a different promotional setting.</w:t>
      </w:r>
    </w:p>
    <w:p w:rsidR="007070C8" w:rsidP="00B871CD" w:rsidRDefault="007070C8" w14:paraId="2D301960" w14:textId="77777777">
      <w:pPr>
        <w:ind w:left="720"/>
        <w:contextualSpacing/>
      </w:pPr>
    </w:p>
    <w:p w:rsidR="00D4292A" w:rsidP="00B871CD" w:rsidRDefault="00D4292A" w14:paraId="2660870C" w14:textId="379CD8A4">
      <w:pPr>
        <w:ind w:left="720"/>
        <w:contextualSpacing/>
      </w:pPr>
      <w:r>
        <w:t xml:space="preserve">For Study </w:t>
      </w:r>
      <w:r w:rsidR="00E15870">
        <w:t>2</w:t>
      </w:r>
      <w:r>
        <w:t>, we will recruit 698 (266 pretest; 432 main study</w:t>
      </w:r>
      <w:r w:rsidR="00CA3C7E">
        <w:t>; Tables 2 and 3</w:t>
      </w:r>
      <w:r>
        <w:t xml:space="preserve">) followers of an internet influencer who maintains an Instagram page with </w:t>
      </w:r>
      <w:r w:rsidRPr="000A3348">
        <w:t xml:space="preserve">more than </w:t>
      </w:r>
      <w:r>
        <w:t>500,000</w:t>
      </w:r>
      <w:r w:rsidRPr="000A3348">
        <w:t xml:space="preserve"> followers </w:t>
      </w:r>
      <w:r w:rsidRPr="00976F00">
        <w:t>and has posted about endometriosis</w:t>
      </w:r>
      <w:r>
        <w:t>. As in the first study, we are not revealing the influencer’s identity in this public forum to maintain the integrity of the study.</w:t>
      </w:r>
    </w:p>
    <w:p w:rsidR="007070C8" w:rsidP="007070C8" w:rsidRDefault="007070C8" w14:paraId="3C4C05E5" w14:textId="77777777">
      <w:pPr>
        <w:ind w:firstLine="720"/>
        <w:contextualSpacing/>
      </w:pPr>
    </w:p>
    <w:p w:rsidR="00D4292A" w:rsidP="00B871CD" w:rsidRDefault="00D4292A" w14:paraId="6029AAFA" w14:textId="1BFF56F9">
      <w:pPr>
        <w:pStyle w:val="NoSpacing"/>
        <w:ind w:left="720"/>
        <w:contextualSpacing/>
        <w:rPr>
          <w:sz w:val="23"/>
          <w:szCs w:val="23"/>
        </w:rPr>
      </w:pPr>
      <w:r>
        <w:t>In both studies, we are interested in the role of endorsement and disclosure of payment status on participants’ recall, benefit and risk perceptions, and behavioral intentions. Participants will view one promotional piece and answer questions via the Internet. The study is expected to take less than 20 minutes to complete. Dependent variables will include a</w:t>
      </w:r>
      <w:r>
        <w:rPr>
          <w:sz w:val="23"/>
          <w:szCs w:val="23"/>
        </w:rPr>
        <w:t>ttention to disclosure statement and risk/benefit information; retention of risk/benefit information; recognition of piece as promotion and endorser as paid; perceived benefits and risks, attitudes toward the product, endorser, and ad; and behavioral intentions such as asking a doctor about the drug</w:t>
      </w:r>
      <w:bookmarkStart w:name="_Hlk50640591" w:id="3"/>
      <w:r w:rsidR="007070C8">
        <w:rPr>
          <w:sz w:val="23"/>
          <w:szCs w:val="23"/>
        </w:rPr>
        <w:t>.</w:t>
      </w:r>
      <w:r w:rsidR="0099593F">
        <w:rPr>
          <w:sz w:val="23"/>
          <w:szCs w:val="23"/>
        </w:rPr>
        <w:t xml:space="preserve"> </w:t>
      </w:r>
    </w:p>
    <w:p w:rsidRPr="009042CD" w:rsidR="007070C8" w:rsidP="007070C8" w:rsidRDefault="007070C8" w14:paraId="38503781" w14:textId="77777777">
      <w:pPr>
        <w:pStyle w:val="NoSpacing"/>
        <w:ind w:firstLine="720"/>
        <w:contextualSpacing/>
        <w:rPr>
          <w:szCs w:val="24"/>
        </w:rPr>
      </w:pPr>
    </w:p>
    <w:bookmarkEnd w:id="3"/>
    <w:p w:rsidRPr="00C82FAA" w:rsidR="00C82FAA" w:rsidP="00FA2D4F" w:rsidRDefault="00DA51EF" w14:paraId="1760BE59" w14:textId="5B77C6F3">
      <w:pPr>
        <w:spacing w:line="276" w:lineRule="auto"/>
        <w:contextualSpacing/>
        <w:jc w:val="center"/>
        <w:rPr>
          <w:b/>
        </w:rPr>
      </w:pPr>
      <w:r>
        <w:rPr>
          <w:b/>
        </w:rPr>
        <w:t>Research Questions</w:t>
      </w:r>
    </w:p>
    <w:p w:rsidR="00650747" w:rsidP="00650747" w:rsidRDefault="00650747" w14:paraId="2FBC51F8" w14:textId="77777777"/>
    <w:p w:rsidRPr="00276051" w:rsidR="00650747" w:rsidP="00B871CD" w:rsidRDefault="00650747" w14:paraId="66A159DA" w14:textId="77777777">
      <w:pPr>
        <w:ind w:left="1170" w:hanging="450"/>
      </w:pPr>
      <w:r w:rsidRPr="00276051">
        <w:t>1</w:t>
      </w:r>
      <w:r>
        <w:t>A</w:t>
      </w:r>
      <w:r w:rsidRPr="00276051">
        <w:t xml:space="preserve">. </w:t>
      </w:r>
      <w:r w:rsidRPr="00873D54">
        <w:t>Does the type of endorser influence attitudes toward the endorser, attitudes related to the ad, attitudes to the prescription drug, and/or behavioral intentions?</w:t>
      </w:r>
    </w:p>
    <w:p w:rsidR="00650747" w:rsidP="00B871CD" w:rsidRDefault="00650747" w14:paraId="5700FA54" w14:textId="77777777">
      <w:pPr>
        <w:ind w:left="1170" w:hanging="450"/>
      </w:pPr>
    </w:p>
    <w:p w:rsidRPr="00276051" w:rsidR="00650747" w:rsidP="00B871CD" w:rsidRDefault="00650747" w14:paraId="5B904533" w14:textId="77777777">
      <w:pPr>
        <w:ind w:left="1170" w:hanging="450"/>
      </w:pPr>
      <w:r w:rsidRPr="00276051">
        <w:t>1</w:t>
      </w:r>
      <w:r>
        <w:t>B</w:t>
      </w:r>
      <w:r w:rsidRPr="00276051">
        <w:t xml:space="preserve">. Does the type of endorser influence viewers’ attention to, </w:t>
      </w:r>
      <w:r>
        <w:t>retention of</w:t>
      </w:r>
      <w:r w:rsidRPr="00276051">
        <w:t>, and perceptions about the risks and benefits of the prescription drug advertised?</w:t>
      </w:r>
    </w:p>
    <w:p w:rsidRPr="00276051" w:rsidR="00650747" w:rsidP="00B871CD" w:rsidRDefault="00650747" w14:paraId="48BBA9D1" w14:textId="77777777">
      <w:pPr>
        <w:ind w:left="1170" w:hanging="450"/>
      </w:pPr>
    </w:p>
    <w:p w:rsidR="00650747" w:rsidP="00B871CD" w:rsidRDefault="00650747" w14:paraId="626E8D2B" w14:textId="77777777">
      <w:pPr>
        <w:ind w:left="1170" w:hanging="450"/>
      </w:pPr>
      <w:r w:rsidRPr="00276051">
        <w:t xml:space="preserve">2A. Do participants notice a payment disclosure? </w:t>
      </w:r>
    </w:p>
    <w:p w:rsidR="00650747" w:rsidP="00B871CD" w:rsidRDefault="00650747" w14:paraId="462A8715" w14:textId="77777777">
      <w:pPr>
        <w:ind w:left="1170" w:hanging="450"/>
      </w:pPr>
    </w:p>
    <w:p w:rsidR="00650747" w:rsidP="00B871CD" w:rsidRDefault="00650747" w14:paraId="688D1003" w14:textId="77777777">
      <w:pPr>
        <w:ind w:left="1170" w:hanging="450"/>
      </w:pPr>
      <w:r w:rsidRPr="00276051">
        <w:t xml:space="preserve">2B. </w:t>
      </w:r>
      <w:r w:rsidRPr="008B5381">
        <w:t>Does the presence and language of a disclosure, which explicitly reveals that the endorser was paid, influence attitudes related to the ads, and/or behavioral intentions?</w:t>
      </w:r>
    </w:p>
    <w:p w:rsidRPr="00276051" w:rsidR="00650747" w:rsidP="00B871CD" w:rsidRDefault="00650747" w14:paraId="06AC25B3" w14:textId="77777777">
      <w:pPr>
        <w:ind w:left="1170" w:hanging="450"/>
      </w:pPr>
    </w:p>
    <w:p w:rsidRPr="008B5381" w:rsidR="00650747" w:rsidP="00B871CD" w:rsidRDefault="00650747" w14:paraId="152EF901" w14:textId="77777777">
      <w:pPr>
        <w:ind w:left="1170" w:hanging="450"/>
      </w:pPr>
      <w:r w:rsidRPr="00276051">
        <w:t xml:space="preserve">2C. </w:t>
      </w:r>
      <w:r w:rsidRPr="008B5381">
        <w:t>Does the presence and language of a disclosure, which explicitly reveals that the endorser was paid, influence viewers’ attention to, retention</w:t>
      </w:r>
      <w:r>
        <w:t xml:space="preserve"> of</w:t>
      </w:r>
      <w:r w:rsidRPr="008B5381">
        <w:t xml:space="preserve">, and </w:t>
      </w:r>
      <w:r>
        <w:t>perceived</w:t>
      </w:r>
      <w:r w:rsidRPr="008B5381">
        <w:t xml:space="preserve"> risks and benefits of the prescription drug advertised?</w:t>
      </w:r>
    </w:p>
    <w:p w:rsidR="00650747" w:rsidP="00B871CD" w:rsidRDefault="00650747" w14:paraId="46135EF3" w14:textId="77777777">
      <w:pPr>
        <w:ind w:left="1170" w:hanging="450"/>
      </w:pPr>
    </w:p>
    <w:p w:rsidR="00650747" w:rsidP="00B871CD" w:rsidRDefault="00650747" w14:paraId="702E63F8" w14:textId="77777777">
      <w:pPr>
        <w:ind w:left="1170" w:hanging="450"/>
      </w:pPr>
      <w:r w:rsidRPr="00276051">
        <w:t xml:space="preserve">3. </w:t>
      </w:r>
      <w:r>
        <w:tab/>
      </w:r>
      <w:r w:rsidRPr="00D843D4">
        <w:t>Does the presence and language of a disclosure, which explicitly reveals that the endorser was paid, influence attitudes toward the endorser? Does that then influence attitudes toward</w:t>
      </w:r>
      <w:r>
        <w:t xml:space="preserve"> </w:t>
      </w:r>
      <w:r w:rsidRPr="00D843D4">
        <w:t>the product and risk/benefit perceptions?</w:t>
      </w:r>
    </w:p>
    <w:p w:rsidR="00650747" w:rsidP="00B871CD" w:rsidRDefault="00650747" w14:paraId="3EBE1D2D" w14:textId="77777777">
      <w:pPr>
        <w:ind w:left="1170" w:hanging="450"/>
      </w:pPr>
    </w:p>
    <w:p w:rsidRPr="00276051" w:rsidR="00650747" w:rsidP="00B871CD" w:rsidRDefault="00650747" w14:paraId="1E721966" w14:textId="77777777">
      <w:pPr>
        <w:ind w:left="1170" w:hanging="450"/>
      </w:pPr>
      <w:r>
        <w:t xml:space="preserve">4. </w:t>
      </w:r>
      <w:r>
        <w:tab/>
      </w:r>
      <w:r w:rsidRPr="00D843D4">
        <w:t>Do endorser type and disclosure interact to influence attitudes toward the endorser? Does that then influence attitudes toward the product and risk/benefit perceptions?</w:t>
      </w:r>
    </w:p>
    <w:p w:rsidR="00650747" w:rsidP="00B871CD" w:rsidRDefault="00650747" w14:paraId="1A450D90" w14:textId="77777777">
      <w:pPr>
        <w:ind w:left="1170" w:hanging="450"/>
      </w:pPr>
    </w:p>
    <w:p w:rsidRPr="00172005" w:rsidR="00650747" w:rsidP="00B871CD" w:rsidRDefault="00650747" w14:paraId="662606EE" w14:textId="77777777">
      <w:pPr>
        <w:ind w:left="1170" w:hanging="450"/>
      </w:pPr>
      <w:r>
        <w:t xml:space="preserve">5. </w:t>
      </w:r>
      <w:r>
        <w:tab/>
      </w:r>
      <w:r w:rsidRPr="00172005">
        <w:t>What variables moderate the relationship between endorser and payment disclosure?</w:t>
      </w:r>
    </w:p>
    <w:p w:rsidRPr="00792203" w:rsidR="00650747" w:rsidP="00650747" w:rsidRDefault="00650747" w14:paraId="37173561" w14:textId="77777777">
      <w:pPr>
        <w:spacing w:line="276" w:lineRule="auto"/>
        <w:contextualSpacing/>
      </w:pPr>
    </w:p>
    <w:p w:rsidR="00CA557D" w:rsidP="00B871CD" w:rsidRDefault="00CA557D" w14:paraId="3F030260" w14:textId="77777777">
      <w:pPr>
        <w:spacing w:line="276" w:lineRule="auto"/>
        <w:ind w:left="450"/>
        <w:rPr>
          <w:b/>
        </w:rPr>
      </w:pPr>
      <w:r w:rsidRPr="008B019A">
        <w:rPr>
          <w:b/>
        </w:rPr>
        <w:t>Analysis Plan</w:t>
      </w:r>
    </w:p>
    <w:p w:rsidRPr="00ED3252" w:rsidR="006C57B1" w:rsidP="00B871CD" w:rsidRDefault="006C57B1" w14:paraId="4D7C18F4" w14:textId="77777777">
      <w:pPr>
        <w:spacing w:line="276" w:lineRule="auto"/>
        <w:ind w:left="450"/>
        <w:rPr>
          <w:b/>
        </w:rPr>
      </w:pPr>
    </w:p>
    <w:p w:rsidRPr="00ED3252" w:rsidR="0097740B" w:rsidP="00B871CD" w:rsidRDefault="00D04BF2" w14:paraId="7F376230" w14:textId="1C43450E">
      <w:pPr>
        <w:spacing w:after="240"/>
        <w:ind w:left="450"/>
        <w:contextualSpacing/>
      </w:pPr>
      <w:r w:rsidRPr="00ED3252">
        <w:t xml:space="preserve">For ordinal or continuous dependent variables (such as a scale indicating the amount of risk information read by the respondent in the advertisement), 2-way ANOVAs will be conducted to assess both the main effects and the interaction effects of the two independent variables. For dichotomous dependent variables, logistic regression models will be used to include both experimental factors for determining statistically significant differences between groups. </w:t>
      </w:r>
    </w:p>
    <w:p w:rsidR="00B8669C" w:rsidP="00B871CD" w:rsidRDefault="00B8669C" w14:paraId="08DD70CC" w14:textId="323D0506">
      <w:pPr>
        <w:spacing w:after="240"/>
        <w:ind w:left="450"/>
        <w:contextualSpacing/>
        <w:rPr>
          <w:sz w:val="23"/>
          <w:szCs w:val="23"/>
        </w:rPr>
      </w:pPr>
    </w:p>
    <w:p w:rsidRPr="00ED3252" w:rsidR="00B8669C" w:rsidP="00B871CD" w:rsidRDefault="00B8669C" w14:paraId="69F67285" w14:textId="17E372AA">
      <w:pPr>
        <w:spacing w:after="240"/>
        <w:ind w:left="450"/>
        <w:contextualSpacing/>
      </w:pPr>
      <w:r w:rsidRPr="00ED3252">
        <w:t xml:space="preserve">In addition, we will also plan </w:t>
      </w:r>
      <w:r w:rsidR="00CA3C7E">
        <w:t xml:space="preserve">a </w:t>
      </w:r>
      <w:r w:rsidRPr="00ED3252">
        <w:t xml:space="preserve">priori contrasts to make comparisons between specific groups. </w:t>
      </w:r>
    </w:p>
    <w:p w:rsidR="00B8669C" w:rsidP="00B871CD" w:rsidRDefault="00B8669C" w14:paraId="0056C2E0" w14:textId="1B7EB21E">
      <w:pPr>
        <w:spacing w:after="240"/>
        <w:ind w:left="450"/>
        <w:contextualSpacing/>
        <w:rPr>
          <w:sz w:val="23"/>
          <w:szCs w:val="23"/>
        </w:rPr>
      </w:pPr>
    </w:p>
    <w:p w:rsidR="00B8669C" w:rsidP="00B871CD" w:rsidRDefault="00CA3C7E" w14:paraId="0A1D14CF" w14:textId="34CFB204">
      <w:pPr>
        <w:spacing w:after="240"/>
        <w:ind w:left="450"/>
        <w:contextualSpacing/>
        <w:rPr>
          <w:color w:val="000000"/>
        </w:rPr>
      </w:pPr>
      <w:r>
        <w:t>Finally, w</w:t>
      </w:r>
      <w:r w:rsidRPr="00ED3252" w:rsidR="00B8669C">
        <w:t xml:space="preserve">e will conduct mediation and moderation analyses. </w:t>
      </w:r>
      <w:r w:rsidRPr="00B8669C" w:rsidR="00B8669C">
        <w:rPr>
          <w:color w:val="000000"/>
        </w:rPr>
        <w:t>Mediation analysis will be performed using the PROC CAUSLMED procedure in SAS 9.4.</w:t>
      </w:r>
    </w:p>
    <w:p w:rsidR="00B8669C" w:rsidP="00B8669C" w:rsidRDefault="00B8669C" w14:paraId="48A299CB" w14:textId="20F2DC16">
      <w:pPr>
        <w:spacing w:after="240"/>
        <w:contextualSpacing/>
        <w:rPr>
          <w:color w:val="000000"/>
        </w:rPr>
      </w:pPr>
    </w:p>
    <w:p w:rsidRPr="00ED3252" w:rsidR="00B8669C" w:rsidP="00B871CD" w:rsidRDefault="00CA3C7E" w14:paraId="1FF1FB94" w14:textId="08AE5693">
      <w:pPr>
        <w:spacing w:after="240"/>
        <w:ind w:left="450"/>
        <w:contextualSpacing/>
      </w:pPr>
      <w:r>
        <w:t>For moderation analyses, w</w:t>
      </w:r>
      <w:r w:rsidRPr="00ED3252" w:rsidR="00B8669C">
        <w:t xml:space="preserve">e will fit a regression including the independent variable, the moderating variable, and their interaction. Significance of the interaction term suggests that </w:t>
      </w:r>
      <w:r w:rsidRPr="00ED3252" w:rsidR="00B8669C">
        <w:lastRenderedPageBreak/>
        <w:t>the moderator variable (e.g. disease state involvement) moderates the relationship between the independent variable and the study outcome variable.</w:t>
      </w:r>
    </w:p>
    <w:p w:rsidR="00B8669C" w:rsidP="00B871CD" w:rsidRDefault="00B8669C" w14:paraId="4AE33440" w14:textId="77777777">
      <w:pPr>
        <w:spacing w:after="240"/>
        <w:ind w:left="450"/>
        <w:contextualSpacing/>
        <w:rPr>
          <w:highlight w:val="green"/>
        </w:rPr>
      </w:pPr>
    </w:p>
    <w:p w:rsidRPr="006E688A" w:rsidR="00CA557D" w:rsidP="00B871CD" w:rsidRDefault="00CA557D" w14:paraId="7EF71ACB" w14:textId="77777777">
      <w:pPr>
        <w:ind w:left="450"/>
        <w:rPr>
          <w:b/>
        </w:rPr>
      </w:pPr>
      <w:r w:rsidRPr="00821AA1">
        <w:rPr>
          <w:b/>
        </w:rPr>
        <w:t>Power</w:t>
      </w:r>
    </w:p>
    <w:p w:rsidRPr="006E688A" w:rsidR="00F46038" w:rsidP="00B871CD" w:rsidRDefault="00F46038" w14:paraId="2A4858ED" w14:textId="71EC5C30">
      <w:pPr>
        <w:ind w:left="1170"/>
      </w:pPr>
    </w:p>
    <w:p w:rsidRPr="005D20D3" w:rsidR="00280532" w:rsidP="00B871CD" w:rsidRDefault="00280532" w14:paraId="688EAADF" w14:textId="50EDCC2A">
      <w:pPr>
        <w:ind w:left="450"/>
      </w:pPr>
      <w:r w:rsidRPr="005D20D3">
        <w:t>The necessary sample size for the Study 1 and Study 2 pretests was determined by conducting two power analyses using an alpha level of 0.10, a power of 0.80 and a small effect size of f = 0.2. Based on these analyses, we estimate needing a total of 24</w:t>
      </w:r>
      <w:r w:rsidR="00ED3252">
        <w:t>9</w:t>
      </w:r>
      <w:r w:rsidRPr="005D20D3">
        <w:t xml:space="preserve"> completed surveys for the Study 1 pretest and 26</w:t>
      </w:r>
      <w:r w:rsidR="00ED3252">
        <w:t>6</w:t>
      </w:r>
      <w:r w:rsidRPr="005D20D3">
        <w:t xml:space="preserve"> completed surveys for the Study 2 pretest in order to detect a small effect size. </w:t>
      </w:r>
      <w:r w:rsidRPr="00773174">
        <w:t>For case allocation, the literature suggests that some proportion of consumers may not recall seeing the disclosure statement in the advertisement (see, for example, Boerman</w:t>
      </w:r>
      <w:r>
        <w:t>, Willemsen, &amp; Van Der Aa, 2017</w:t>
      </w:r>
      <w:r w:rsidR="006A4B25">
        <w:t>, footnote 2</w:t>
      </w:r>
      <w:r>
        <w:t>). Therefore, r</w:t>
      </w:r>
      <w:r w:rsidRPr="00773174">
        <w:t>ather than allotting equal numbers of cases to each condition, we will assign more cases to the disclosure present condition</w:t>
      </w:r>
      <w:r>
        <w:t>s</w:t>
      </w:r>
      <w:r w:rsidRPr="00773174">
        <w:t xml:space="preserve"> to increase power in these cells</w:t>
      </w:r>
      <w:r>
        <w:t xml:space="preserve"> for the pretests</w:t>
      </w:r>
      <w:r w:rsidRPr="00773174">
        <w:t>.</w:t>
      </w:r>
      <w:r>
        <w:t xml:space="preserve"> </w:t>
      </w:r>
      <w:r w:rsidRPr="005D20D3">
        <w:t xml:space="preserve">Tables </w:t>
      </w:r>
      <w:r w:rsidR="00CA3C7E">
        <w:t>1</w:t>
      </w:r>
      <w:r w:rsidRPr="005D20D3" w:rsidR="00CA3C7E">
        <w:t xml:space="preserve"> </w:t>
      </w:r>
      <w:r w:rsidRPr="005D20D3">
        <w:t xml:space="preserve">and </w:t>
      </w:r>
      <w:r w:rsidR="00CA3C7E">
        <w:t>2</w:t>
      </w:r>
      <w:r w:rsidRPr="005D20D3">
        <w:t xml:space="preserve"> </w:t>
      </w:r>
      <w:r w:rsidR="00CA3C7E">
        <w:t>above</w:t>
      </w:r>
      <w:r w:rsidRPr="005D20D3">
        <w:t xml:space="preserve"> provide further details of the Study 1 and Study 2 pretest sample allocations by cell. </w:t>
      </w:r>
    </w:p>
    <w:p w:rsidRPr="005D20D3" w:rsidR="00280532" w:rsidP="00280532" w:rsidRDefault="00280532" w14:paraId="2BE48A31" w14:textId="77777777">
      <w:pPr>
        <w:spacing w:line="360" w:lineRule="atLeast"/>
      </w:pPr>
    </w:p>
    <w:p w:rsidRPr="005D20D3" w:rsidR="00280532" w:rsidP="00B871CD" w:rsidRDefault="00280532" w14:paraId="79964D1E" w14:textId="2A0F89D0">
      <w:pPr>
        <w:ind w:left="450"/>
      </w:pPr>
      <w:r w:rsidRPr="005D20D3">
        <w:t>The needed sample size for the Study 1 and Study 2 main studies was ascertained by conducting two power analyses using an alpha level of 0.05, a power of 0.90 and a small effect size of f = 0.2. Based on these analyses, we estimate needing 405 completed surveys for the Study 1 main study and 432 completed surveys for the Study 2 main study to detect a small effect size.</w:t>
      </w:r>
      <w:r>
        <w:t xml:space="preserve"> Again, since the literature suggests that some proportion of consumers may not recall seeing the disclosure statement in the advertisement (Boerman et al., 2017), </w:t>
      </w:r>
      <w:r w:rsidRPr="00773174">
        <w:t>we will assign more cases to the disclosure present condition</w:t>
      </w:r>
      <w:r>
        <w:t>s in the main studies</w:t>
      </w:r>
      <w:r w:rsidRPr="00773174">
        <w:t xml:space="preserve"> to increase power in these cells</w:t>
      </w:r>
      <w:r>
        <w:t>.</w:t>
      </w:r>
      <w:r w:rsidRPr="005D20D3">
        <w:t xml:space="preserve"> Tables </w:t>
      </w:r>
      <w:r w:rsidR="00CA3C7E">
        <w:t>2</w:t>
      </w:r>
      <w:r w:rsidRPr="005D20D3" w:rsidR="00CA3C7E">
        <w:t xml:space="preserve"> </w:t>
      </w:r>
      <w:r w:rsidRPr="005D20D3">
        <w:t xml:space="preserve">and </w:t>
      </w:r>
      <w:r w:rsidR="00CA3C7E">
        <w:t>4</w:t>
      </w:r>
      <w:r w:rsidRPr="005D20D3" w:rsidR="00CA3C7E">
        <w:t xml:space="preserve"> </w:t>
      </w:r>
      <w:r w:rsidR="00CA3C7E">
        <w:t>above</w:t>
      </w:r>
      <w:r w:rsidRPr="005D20D3" w:rsidR="00CA3C7E">
        <w:t xml:space="preserve"> </w:t>
      </w:r>
      <w:r w:rsidRPr="005D20D3">
        <w:t xml:space="preserve">provide further details of the Study 1 and Study 2 main study sample allocations by cell. </w:t>
      </w:r>
    </w:p>
    <w:p w:rsidRPr="005D20D3" w:rsidR="00280532" w:rsidP="00280532" w:rsidRDefault="00280532" w14:paraId="61B56201" w14:textId="77777777">
      <w:pPr>
        <w:spacing w:line="360" w:lineRule="atLeast"/>
      </w:pPr>
    </w:p>
    <w:p w:rsidR="00CA557D" w:rsidP="00C749AB" w:rsidRDefault="00CA557D" w14:paraId="29CE690F" w14:textId="56D5673E">
      <w:pPr>
        <w:numPr>
          <w:ilvl w:val="0"/>
          <w:numId w:val="1"/>
        </w:numPr>
        <w:spacing w:before="100" w:beforeAutospacing="1" w:after="100" w:afterAutospacing="1"/>
        <w:contextualSpacing/>
        <w:rPr>
          <w:u w:val="single"/>
        </w:rPr>
      </w:pPr>
      <w:r w:rsidRPr="00E00EA0">
        <w:rPr>
          <w:u w:val="single"/>
        </w:rPr>
        <w:t>Methods to Maximize Response Rates and Deal with Non</w:t>
      </w:r>
      <w:r>
        <w:rPr>
          <w:u w:val="single"/>
        </w:rPr>
        <w:t>-</w:t>
      </w:r>
      <w:r w:rsidR="00C61410">
        <w:rPr>
          <w:u w:val="single"/>
        </w:rPr>
        <w:t>R</w:t>
      </w:r>
      <w:r w:rsidRPr="00E00EA0">
        <w:rPr>
          <w:u w:val="single"/>
        </w:rPr>
        <w:t>esponse</w:t>
      </w:r>
    </w:p>
    <w:p w:rsidRPr="00E00EA0" w:rsidR="0097740B" w:rsidP="00C749AB" w:rsidRDefault="0097740B" w14:paraId="507BE5E4" w14:textId="77777777">
      <w:pPr>
        <w:spacing w:before="100" w:beforeAutospacing="1" w:after="100" w:afterAutospacing="1"/>
        <w:ind w:left="630"/>
        <w:contextualSpacing/>
        <w:rPr>
          <w:u w:val="single"/>
        </w:rPr>
      </w:pPr>
    </w:p>
    <w:p w:rsidR="00742CBC" w:rsidP="00B871CD" w:rsidRDefault="006F1D35" w14:paraId="33442FF1" w14:textId="44BED2FA">
      <w:pPr>
        <w:ind w:left="630"/>
        <w:contextualSpacing/>
      </w:pPr>
      <w:r>
        <w:rPr>
          <w:color w:val="000000"/>
        </w:rPr>
        <w:t>Both the pretest</w:t>
      </w:r>
      <w:r w:rsidR="00742CBC">
        <w:rPr>
          <w:color w:val="000000"/>
        </w:rPr>
        <w:t xml:space="preserve"> and main </w:t>
      </w:r>
      <w:r w:rsidR="009C5007">
        <w:rPr>
          <w:color w:val="000000"/>
        </w:rPr>
        <w:t>s</w:t>
      </w:r>
      <w:r>
        <w:rPr>
          <w:color w:val="000000"/>
        </w:rPr>
        <w:t>tudies</w:t>
      </w:r>
      <w:r w:rsidR="00A14827">
        <w:rPr>
          <w:color w:val="000000"/>
        </w:rPr>
        <w:t xml:space="preserve"> will be administered </w:t>
      </w:r>
      <w:r>
        <w:rPr>
          <w:color w:val="000000"/>
        </w:rPr>
        <w:t>via Internet</w:t>
      </w:r>
      <w:r w:rsidR="00742CBC">
        <w:rPr>
          <w:color w:val="000000"/>
        </w:rPr>
        <w:t>. To help ensure that the participation rate is as high as possible</w:t>
      </w:r>
      <w:r w:rsidR="00742CBC">
        <w:t>, FDA and the contractor will</w:t>
      </w:r>
      <w:r w:rsidRPr="005C7016" w:rsidR="00742CBC">
        <w:t>:</w:t>
      </w:r>
    </w:p>
    <w:p w:rsidR="00074EED" w:rsidP="00C749AB" w:rsidRDefault="00074EED" w14:paraId="1C0BE85B" w14:textId="77777777">
      <w:pPr>
        <w:ind w:firstLine="630"/>
        <w:contextualSpacing/>
      </w:pPr>
    </w:p>
    <w:p w:rsidR="00742CBC" w:rsidP="00C749AB" w:rsidRDefault="00742CBC" w14:paraId="59F0042B" w14:textId="77777777">
      <w:pPr>
        <w:pStyle w:val="ListParagraph"/>
        <w:numPr>
          <w:ilvl w:val="0"/>
          <w:numId w:val="3"/>
        </w:numPr>
        <w:tabs>
          <w:tab w:val="left" w:pos="1080"/>
        </w:tabs>
        <w:ind w:left="1080" w:hanging="360"/>
      </w:pPr>
      <w:r w:rsidRPr="005C7016">
        <w:t>Design a</w:t>
      </w:r>
      <w:r>
        <w:t xml:space="preserve"> </w:t>
      </w:r>
      <w:r w:rsidRPr="005C7016">
        <w:t>protocol that minimizes burden (short in length, clearly written, and with appealing graphics)</w:t>
      </w:r>
      <w:r>
        <w:t>;</w:t>
      </w:r>
      <w:r w:rsidRPr="005C7016">
        <w:t xml:space="preserve"> </w:t>
      </w:r>
    </w:p>
    <w:p w:rsidR="00074EED" w:rsidP="006F1D35" w:rsidRDefault="00074EED" w14:paraId="015B87C7" w14:textId="77777777">
      <w:pPr>
        <w:tabs>
          <w:tab w:val="left" w:pos="1080"/>
        </w:tabs>
      </w:pPr>
    </w:p>
    <w:p w:rsidR="00863625" w:rsidP="00C749AB" w:rsidRDefault="00863625" w14:paraId="24DF8709" w14:textId="193E2C6B">
      <w:pPr>
        <w:pStyle w:val="ListParagraph"/>
        <w:numPr>
          <w:ilvl w:val="0"/>
          <w:numId w:val="3"/>
        </w:numPr>
        <w:tabs>
          <w:tab w:val="left" w:pos="1080"/>
        </w:tabs>
        <w:ind w:left="1080" w:hanging="360"/>
      </w:pPr>
      <w:r>
        <w:t>Use incentive rates that meet industry standards.</w:t>
      </w:r>
      <w:r w:rsidRPr="00863625">
        <w:t xml:space="preserve"> </w:t>
      </w:r>
      <w:r>
        <w:t>In addition to offsetting respondent burden, u</w:t>
      </w:r>
      <w:r w:rsidRPr="007D4D0E">
        <w:t xml:space="preserve">sing market-rate incentives </w:t>
      </w:r>
      <w:r>
        <w:t xml:space="preserve">tends to increase response rates, reduce sampling bias, and reduce nonresponse bias. </w:t>
      </w:r>
    </w:p>
    <w:p w:rsidR="00742CBC" w:rsidP="00C749AB" w:rsidRDefault="00742CBC" w14:paraId="18C32004" w14:textId="77777777">
      <w:pPr>
        <w:autoSpaceDE w:val="0"/>
        <w:autoSpaceDN w:val="0"/>
        <w:adjustRightInd w:val="0"/>
        <w:ind w:firstLine="720"/>
        <w:contextualSpacing/>
        <w:rPr>
          <w:color w:val="000000"/>
        </w:rPr>
      </w:pPr>
    </w:p>
    <w:p w:rsidRPr="0075483A" w:rsidR="00742CBC" w:rsidP="00B871CD" w:rsidRDefault="00A14827" w14:paraId="59D532B6" w14:textId="5E0EC98D">
      <w:pPr>
        <w:autoSpaceDE w:val="0"/>
        <w:autoSpaceDN w:val="0"/>
        <w:adjustRightInd w:val="0"/>
        <w:ind w:left="720"/>
        <w:contextualSpacing/>
        <w:rPr>
          <w:color w:val="000000"/>
        </w:rPr>
      </w:pPr>
      <w:r w:rsidRPr="000A2639">
        <w:t xml:space="preserve">Participants in the pretest and main studies will be convenience samples, rather than probability-based samples of U.S. adults. Rather, the strength of the experimental </w:t>
      </w:r>
      <w:r>
        <w:t>design used in</w:t>
      </w:r>
      <w:r w:rsidRPr="000A2639">
        <w:t xml:space="preserve"> this study lies in its internal validity, on which meaningful estimates of differences across </w:t>
      </w:r>
      <w:r w:rsidR="005B5FC4">
        <w:t xml:space="preserve">manipulated </w:t>
      </w:r>
      <w:r w:rsidRPr="000A2639">
        <w:t xml:space="preserve">conditions can be produced and </w:t>
      </w:r>
      <w:r w:rsidRPr="00CA0D91">
        <w:t>generalized.</w:t>
      </w:r>
      <w:r w:rsidR="00863625">
        <w:t xml:space="preserve"> </w:t>
      </w:r>
      <w:r w:rsidR="005B5FC4">
        <w:t xml:space="preserve">This is a counterpoint to observational survey methodologies where estimating population parameters is the primary focus of statistical analysis. The </w:t>
      </w:r>
      <w:r w:rsidR="00085C29">
        <w:t>recruitment procedures</w:t>
      </w:r>
      <w:r w:rsidR="005B5FC4">
        <w:t xml:space="preserve"> in this study</w:t>
      </w:r>
      <w:r w:rsidR="00085C29">
        <w:t xml:space="preserve"> are not </w:t>
      </w:r>
      <w:r w:rsidR="00AA0B66">
        <w:t xml:space="preserve">intended to fit the criteria for </w:t>
      </w:r>
      <w:r w:rsidR="00085C29">
        <w:t>survey sampling</w:t>
      </w:r>
      <w:r w:rsidR="00AA0B66">
        <w:t>, where each unit in the sampling frame has an</w:t>
      </w:r>
      <w:r w:rsidR="00085C29">
        <w:t xml:space="preserve"> </w:t>
      </w:r>
      <w:r w:rsidR="00AA0B66">
        <w:t xml:space="preserve">equal probability of being selected to participate. </w:t>
      </w:r>
      <w:r w:rsidR="00E94724">
        <w:rPr>
          <w:color w:val="000000"/>
        </w:rPr>
        <w:t xml:space="preserve">In an </w:t>
      </w:r>
      <w:r w:rsidR="00E94724">
        <w:rPr>
          <w:color w:val="000000"/>
        </w:rPr>
        <w:lastRenderedPageBreak/>
        <w:t>observational survey study, r</w:t>
      </w:r>
      <w:r w:rsidRPr="0075483A" w:rsidR="00742CBC">
        <w:rPr>
          <w:color w:val="000000"/>
        </w:rPr>
        <w:t>esponse rates are ofte</w:t>
      </w:r>
      <w:r w:rsidR="00742CBC">
        <w:rPr>
          <w:color w:val="000000"/>
        </w:rPr>
        <w:t xml:space="preserve">n used as a proxy measure </w:t>
      </w:r>
      <w:r w:rsidRPr="0075483A" w:rsidR="00742CBC">
        <w:rPr>
          <w:color w:val="000000"/>
        </w:rPr>
        <w:t>for survey quality, with lower response rates indicating poorer q</w:t>
      </w:r>
      <w:r w:rsidR="00742CBC">
        <w:rPr>
          <w:color w:val="000000"/>
        </w:rPr>
        <w:t xml:space="preserve">uality. </w:t>
      </w:r>
      <w:r w:rsidR="005B5FC4">
        <w:rPr>
          <w:color w:val="000000"/>
        </w:rPr>
        <w:t xml:space="preserve">Nonresponse bias analysis is also commonly </w:t>
      </w:r>
      <w:r w:rsidRPr="0075483A" w:rsidR="005B5FC4">
        <w:rPr>
          <w:color w:val="000000"/>
        </w:rPr>
        <w:t>used</w:t>
      </w:r>
      <w:r w:rsidR="005B5FC4">
        <w:rPr>
          <w:color w:val="000000"/>
        </w:rPr>
        <w:t xml:space="preserve"> to determine the potential for </w:t>
      </w:r>
      <w:r w:rsidRPr="0075483A" w:rsidR="005B5FC4">
        <w:rPr>
          <w:color w:val="000000"/>
        </w:rPr>
        <w:t xml:space="preserve">nonresponse </w:t>
      </w:r>
      <w:r w:rsidR="005B5FC4">
        <w:rPr>
          <w:color w:val="000000"/>
        </w:rPr>
        <w:t xml:space="preserve">sampling error in </w:t>
      </w:r>
      <w:r w:rsidRPr="0075483A" w:rsidR="005B5FC4">
        <w:rPr>
          <w:color w:val="000000"/>
        </w:rPr>
        <w:t>survey estimates</w:t>
      </w:r>
      <w:r w:rsidR="005B5FC4">
        <w:rPr>
          <w:color w:val="000000"/>
        </w:rPr>
        <w:t xml:space="preserve">. </w:t>
      </w:r>
      <w:r w:rsidR="00742CBC">
        <w:rPr>
          <w:color w:val="000000"/>
        </w:rPr>
        <w:t xml:space="preserve">However, </w:t>
      </w:r>
      <w:r w:rsidR="00E94724">
        <w:rPr>
          <w:color w:val="000000"/>
        </w:rPr>
        <w:t xml:space="preserve">concerns about </w:t>
      </w:r>
      <w:r w:rsidR="005B5FC4">
        <w:rPr>
          <w:color w:val="000000"/>
        </w:rPr>
        <w:t>sampling error</w:t>
      </w:r>
      <w:r w:rsidR="00E94724">
        <w:rPr>
          <w:color w:val="000000"/>
        </w:rPr>
        <w:t xml:space="preserve"> do not generally apply to</w:t>
      </w:r>
      <w:r w:rsidR="005B5FC4">
        <w:rPr>
          <w:color w:val="000000"/>
        </w:rPr>
        <w:t xml:space="preserve"> experimental designs</w:t>
      </w:r>
      <w:r w:rsidR="00E94724">
        <w:rPr>
          <w:color w:val="000000"/>
        </w:rPr>
        <w:t>, where the parameters of interest are under the control of the researcher—rather than being pre-established characteristics of the participants—and each participant has an equal probability of being assigned to any of the experimental conditions</w:t>
      </w:r>
      <w:r w:rsidR="005B5FC4">
        <w:rPr>
          <w:color w:val="000000"/>
        </w:rPr>
        <w:t xml:space="preserve">.  </w:t>
      </w:r>
    </w:p>
    <w:p w:rsidR="00742CBC" w:rsidP="00B871CD" w:rsidRDefault="00742CBC" w14:paraId="10AFF64C" w14:textId="77777777">
      <w:pPr>
        <w:autoSpaceDE w:val="0"/>
        <w:autoSpaceDN w:val="0"/>
        <w:adjustRightInd w:val="0"/>
        <w:ind w:left="720" w:firstLine="720"/>
        <w:contextualSpacing/>
        <w:rPr>
          <w:color w:val="000000"/>
        </w:rPr>
      </w:pPr>
    </w:p>
    <w:p w:rsidR="00742CBC" w:rsidP="00B871CD" w:rsidRDefault="00A817B8" w14:paraId="2DC0D2FE" w14:textId="6A939BC2">
      <w:pPr>
        <w:autoSpaceDE w:val="0"/>
        <w:autoSpaceDN w:val="0"/>
        <w:adjustRightInd w:val="0"/>
        <w:ind w:left="720"/>
        <w:contextualSpacing/>
        <w:rPr>
          <w:color w:val="000000"/>
        </w:rPr>
      </w:pPr>
      <w:r>
        <w:rPr>
          <w:color w:val="000000"/>
        </w:rPr>
        <w:t>Generally, t</w:t>
      </w:r>
      <w:r w:rsidRPr="0075483A" w:rsidR="00742CBC">
        <w:rPr>
          <w:color w:val="000000"/>
        </w:rPr>
        <w:t xml:space="preserve">here are several approaches to </w:t>
      </w:r>
      <w:r>
        <w:rPr>
          <w:color w:val="000000"/>
        </w:rPr>
        <w:t xml:space="preserve">conducting a </w:t>
      </w:r>
      <w:r w:rsidRPr="0075483A" w:rsidR="00742CBC">
        <w:rPr>
          <w:color w:val="000000"/>
        </w:rPr>
        <w:t>nonrespon</w:t>
      </w:r>
      <w:r w:rsidR="00742CBC">
        <w:rPr>
          <w:color w:val="000000"/>
        </w:rPr>
        <w:t xml:space="preserve">se bias analysis, </w:t>
      </w:r>
      <w:r w:rsidRPr="0075483A" w:rsidR="00742CBC">
        <w:rPr>
          <w:color w:val="000000"/>
        </w:rPr>
        <w:t>such as comparing response rates by subgroups, comparing re</w:t>
      </w:r>
      <w:r w:rsidR="00742CBC">
        <w:rPr>
          <w:color w:val="000000"/>
        </w:rPr>
        <w:t xml:space="preserve">spondents and nonrespondents on </w:t>
      </w:r>
      <w:r w:rsidRPr="0075483A" w:rsidR="00742CBC">
        <w:rPr>
          <w:color w:val="000000"/>
        </w:rPr>
        <w:t>frame</w:t>
      </w:r>
      <w:r w:rsidR="00742CBC">
        <w:rPr>
          <w:color w:val="000000"/>
        </w:rPr>
        <w:t xml:space="preserve"> </w:t>
      </w:r>
      <w:r w:rsidRPr="0075483A" w:rsidR="00742CBC">
        <w:rPr>
          <w:color w:val="000000"/>
        </w:rPr>
        <w:t>variables, and conducting a nonresponse follow-up study</w:t>
      </w:r>
      <w:r w:rsidR="00742CBC">
        <w:rPr>
          <w:rStyle w:val="FootnoteReference"/>
          <w:color w:val="000000"/>
        </w:rPr>
        <w:footnoteReference w:id="3"/>
      </w:r>
      <w:r w:rsidR="0097740B">
        <w:rPr>
          <w:color w:val="000000"/>
        </w:rPr>
        <w:t>.</w:t>
      </w:r>
      <w:r w:rsidRPr="0075483A" w:rsidR="00742CBC">
        <w:rPr>
          <w:color w:val="000000"/>
        </w:rPr>
        <w:t xml:space="preserve"> For the proposed project, we</w:t>
      </w:r>
      <w:r w:rsidR="00742CBC">
        <w:rPr>
          <w:color w:val="000000"/>
        </w:rPr>
        <w:t xml:space="preserve"> will </w:t>
      </w:r>
      <w:r>
        <w:rPr>
          <w:color w:val="000000"/>
        </w:rPr>
        <w:t xml:space="preserve">examine nonresponse for its descriptive value by </w:t>
      </w:r>
      <w:r w:rsidRPr="0052445F" w:rsidR="00852366">
        <w:rPr>
          <w:color w:val="000000"/>
        </w:rPr>
        <w:t xml:space="preserve">comparing our full sample with population estimates for age, race, </w:t>
      </w:r>
      <w:r w:rsidR="006A4B25">
        <w:rPr>
          <w:color w:val="000000"/>
        </w:rPr>
        <w:t xml:space="preserve">and </w:t>
      </w:r>
      <w:r w:rsidRPr="0052445F" w:rsidR="00852366">
        <w:rPr>
          <w:color w:val="000000"/>
        </w:rPr>
        <w:t>gender</w:t>
      </w:r>
      <w:r w:rsidR="006A4B25">
        <w:rPr>
          <w:color w:val="000000"/>
        </w:rPr>
        <w:t xml:space="preserve"> (Study 1)</w:t>
      </w:r>
      <w:r w:rsidR="0052445F">
        <w:rPr>
          <w:color w:val="000000"/>
        </w:rPr>
        <w:t>.</w:t>
      </w:r>
    </w:p>
    <w:p w:rsidR="0097740B" w:rsidP="00C749AB" w:rsidRDefault="0097740B" w14:paraId="533A0DCA" w14:textId="77777777">
      <w:pPr>
        <w:autoSpaceDE w:val="0"/>
        <w:autoSpaceDN w:val="0"/>
        <w:adjustRightInd w:val="0"/>
        <w:ind w:firstLine="720"/>
        <w:contextualSpacing/>
        <w:rPr>
          <w:color w:val="000000"/>
        </w:rPr>
      </w:pPr>
    </w:p>
    <w:p w:rsidR="00CA557D" w:rsidP="00C749AB" w:rsidRDefault="00CA557D" w14:paraId="11F504D2" w14:textId="77777777">
      <w:pPr>
        <w:numPr>
          <w:ilvl w:val="0"/>
          <w:numId w:val="1"/>
        </w:numPr>
        <w:spacing w:before="100" w:beforeAutospacing="1" w:after="100" w:afterAutospacing="1"/>
        <w:contextualSpacing/>
        <w:rPr>
          <w:u w:val="single"/>
        </w:rPr>
      </w:pPr>
      <w:r w:rsidRPr="00E00EA0">
        <w:rPr>
          <w:u w:val="single"/>
        </w:rPr>
        <w:t>Test of Procedures or Methods to be Undertaken</w:t>
      </w:r>
    </w:p>
    <w:p w:rsidRPr="00E00EA0" w:rsidR="0097740B" w:rsidP="00C749AB" w:rsidRDefault="0097740B" w14:paraId="41E5C18B" w14:textId="77777777">
      <w:pPr>
        <w:spacing w:before="100" w:beforeAutospacing="1" w:after="100" w:afterAutospacing="1"/>
        <w:ind w:left="630"/>
        <w:contextualSpacing/>
        <w:rPr>
          <w:u w:val="single"/>
        </w:rPr>
      </w:pPr>
    </w:p>
    <w:p w:rsidR="00CA557D" w:rsidP="00B871CD" w:rsidRDefault="00AE6821" w14:paraId="7FC6A2E9" w14:textId="4C42E86A">
      <w:pPr>
        <w:ind w:firstLine="630"/>
        <w:contextualSpacing/>
      </w:pPr>
      <w:r>
        <w:t>Nine</w:t>
      </w:r>
      <w:r w:rsidR="00444633">
        <w:t xml:space="preserve"> cognitive interviews </w:t>
      </w:r>
      <w:r w:rsidR="003B212C">
        <w:t>were</w:t>
      </w:r>
      <w:r w:rsidR="00444633">
        <w:t xml:space="preserve"> conducted </w:t>
      </w:r>
      <w:r w:rsidR="00FF72A6">
        <w:t>to assess questionnaire flow</w:t>
      </w:r>
      <w:r w:rsidR="0063543A">
        <w:t xml:space="preserve"> and wording</w:t>
      </w:r>
      <w:r w:rsidR="00444633">
        <w:t xml:space="preserve">.  </w:t>
      </w:r>
    </w:p>
    <w:p w:rsidRPr="00FC728D" w:rsidR="0097740B" w:rsidP="00C749AB" w:rsidRDefault="0097740B" w14:paraId="752FF19F" w14:textId="77777777">
      <w:pPr>
        <w:ind w:firstLine="630"/>
        <w:contextualSpacing/>
      </w:pPr>
    </w:p>
    <w:p w:rsidRPr="00C749AB" w:rsidR="00CA557D" w:rsidP="00C749AB" w:rsidRDefault="00CA557D" w14:paraId="0264AE73" w14:textId="77777777">
      <w:pPr>
        <w:numPr>
          <w:ilvl w:val="0"/>
          <w:numId w:val="1"/>
        </w:numPr>
        <w:spacing w:before="100" w:beforeAutospacing="1" w:after="100" w:afterAutospacing="1"/>
        <w:contextualSpacing/>
      </w:pPr>
      <w:r w:rsidRPr="00E00EA0">
        <w:rPr>
          <w:u w:val="single"/>
        </w:rPr>
        <w:t>Individuals Consulted on Statistical Aspects and Individuals Collecting and/or Analyzing Data</w:t>
      </w:r>
    </w:p>
    <w:p w:rsidRPr="00901043" w:rsidR="0097740B" w:rsidP="00C749AB" w:rsidRDefault="0097740B" w14:paraId="263EC0EC" w14:textId="77777777">
      <w:pPr>
        <w:spacing w:before="100" w:beforeAutospacing="1" w:after="100" w:afterAutospacing="1"/>
        <w:ind w:left="630"/>
        <w:contextualSpacing/>
      </w:pPr>
    </w:p>
    <w:p w:rsidR="003E7CB2" w:rsidP="00B871CD" w:rsidRDefault="00CA557D" w14:paraId="6AF0A2F2" w14:textId="453D4346">
      <w:pPr>
        <w:spacing w:before="100" w:beforeAutospacing="1" w:after="100" w:afterAutospacing="1"/>
        <w:ind w:left="630"/>
        <w:contextualSpacing/>
      </w:pPr>
      <w:r w:rsidRPr="000F1691">
        <w:t xml:space="preserve">The contractor, </w:t>
      </w:r>
      <w:r w:rsidR="00D4292A">
        <w:t>Westat</w:t>
      </w:r>
      <w:r w:rsidRPr="000F1691">
        <w:t>,</w:t>
      </w:r>
      <w:r>
        <w:t xml:space="preserve"> will collect and analyze</w:t>
      </w:r>
      <w:r w:rsidRPr="000F1691">
        <w:t xml:space="preserve"> </w:t>
      </w:r>
      <w:r>
        <w:t xml:space="preserve">the data </w:t>
      </w:r>
      <w:r w:rsidRPr="000F1691">
        <w:t>on behalf of FDA as a task order under Contract HHSF223</w:t>
      </w:r>
      <w:r w:rsidR="000F73D3">
        <w:t>201</w:t>
      </w:r>
      <w:r w:rsidR="0063543A">
        <w:t>51000</w:t>
      </w:r>
      <w:r w:rsidR="00D4292A">
        <w:t>1</w:t>
      </w:r>
      <w:r w:rsidR="0063543A">
        <w:t>B</w:t>
      </w:r>
      <w:r w:rsidRPr="000F1691">
        <w:t xml:space="preserve">. </w:t>
      </w:r>
      <w:r w:rsidR="00D4292A">
        <w:t>Jennifer Berktold</w:t>
      </w:r>
      <w:r>
        <w:t>, Ph.D</w:t>
      </w:r>
      <w:r w:rsidRPr="00423C0D">
        <w:t>.</w:t>
      </w:r>
      <w:r w:rsidR="00C816ED">
        <w:t>,</w:t>
      </w:r>
      <w:r w:rsidRPr="00423C0D">
        <w:t xml:space="preserve"> </w:t>
      </w:r>
      <w:r w:rsidRPr="00D4292A" w:rsidR="00D4292A">
        <w:t>301-294-3964</w:t>
      </w:r>
      <w:r w:rsidRPr="00423C0D">
        <w:rPr>
          <w:noProof/>
        </w:rPr>
        <w:t xml:space="preserve">, </w:t>
      </w:r>
      <w:r w:rsidRPr="00423C0D">
        <w:t>is the Project Director for this project</w:t>
      </w:r>
      <w:r w:rsidRPr="00423C0D">
        <w:rPr>
          <w:noProof/>
        </w:rPr>
        <w:t xml:space="preserve">. </w:t>
      </w:r>
      <w:r w:rsidRPr="000F1691">
        <w:rPr>
          <w:noProof/>
        </w:rPr>
        <w:t>Data</w:t>
      </w:r>
      <w:r w:rsidRPr="000F1691">
        <w:rPr>
          <w:noProof/>
          <w:color w:val="000080"/>
        </w:rPr>
        <w:t xml:space="preserve"> </w:t>
      </w:r>
      <w:r w:rsidRPr="000F1691">
        <w:t>analysis will be overseen by</w:t>
      </w:r>
      <w:r>
        <w:t xml:space="preserve"> the Research Team, Office of Prescription Drug Promotion (OPDP), Office of Medical Policy, CDER, FDA, and coordinated by </w:t>
      </w:r>
      <w:r w:rsidR="00D05FD9">
        <w:t>Amie C. O’Donoghue</w:t>
      </w:r>
      <w:r w:rsidR="00C816ED">
        <w:t>, Ph.D., 301-79</w:t>
      </w:r>
      <w:r w:rsidR="00D05FD9">
        <w:t>6-0574</w:t>
      </w:r>
      <w:r w:rsidR="00FC728D">
        <w:t>,</w:t>
      </w:r>
      <w:r w:rsidR="00C816ED">
        <w:t xml:space="preserve"> and </w:t>
      </w:r>
      <w:r w:rsidR="00D4292A">
        <w:t>Helen W. Sullivan</w:t>
      </w:r>
      <w:r>
        <w:t xml:space="preserve">, Ph.D., </w:t>
      </w:r>
      <w:r w:rsidR="00D4292A">
        <w:t xml:space="preserve">M.P.H., </w:t>
      </w:r>
      <w:r w:rsidR="00787D62">
        <w:t>301-796-</w:t>
      </w:r>
      <w:r w:rsidR="00D4292A">
        <w:t>4188</w:t>
      </w:r>
      <w:r>
        <w:t>.</w:t>
      </w:r>
      <w:r w:rsidR="0099593F">
        <w:t xml:space="preserve"> </w:t>
      </w:r>
    </w:p>
    <w:sectPr w:rsidR="003E7CB2" w:rsidSect="00852CDF">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14BEF" w14:textId="77777777" w:rsidR="00F9432C" w:rsidRDefault="00F9432C" w:rsidP="00CA557D">
      <w:r>
        <w:separator/>
      </w:r>
    </w:p>
  </w:endnote>
  <w:endnote w:type="continuationSeparator" w:id="0">
    <w:p w14:paraId="0FA96EC5" w14:textId="77777777" w:rsidR="00F9432C" w:rsidRDefault="00F9432C" w:rsidP="00CA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NeueLT-Ligh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DBFB" w14:textId="77777777" w:rsidR="008A538B" w:rsidRDefault="008A538B" w:rsidP="00852C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B10BD" w14:textId="77777777" w:rsidR="008A538B" w:rsidRDefault="008A5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39BB1" w14:textId="65864E96" w:rsidR="008A538B" w:rsidRDefault="008A538B" w:rsidP="00852C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0D01">
      <w:rPr>
        <w:rStyle w:val="PageNumber"/>
        <w:noProof/>
      </w:rPr>
      <w:t>1</w:t>
    </w:r>
    <w:r>
      <w:rPr>
        <w:rStyle w:val="PageNumber"/>
      </w:rPr>
      <w:fldChar w:fldCharType="end"/>
    </w:r>
  </w:p>
  <w:p w14:paraId="70F8AA7E" w14:textId="77777777" w:rsidR="008A538B" w:rsidRDefault="008A5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A07E3" w14:textId="77777777" w:rsidR="00F9432C" w:rsidRDefault="00F9432C" w:rsidP="00CA557D">
      <w:r>
        <w:separator/>
      </w:r>
    </w:p>
  </w:footnote>
  <w:footnote w:type="continuationSeparator" w:id="0">
    <w:p w14:paraId="3C447010" w14:textId="77777777" w:rsidR="00F9432C" w:rsidRDefault="00F9432C" w:rsidP="00CA557D">
      <w:r>
        <w:continuationSeparator/>
      </w:r>
    </w:p>
  </w:footnote>
  <w:footnote w:id="1">
    <w:p w14:paraId="39912DEF" w14:textId="20A76976" w:rsidR="00D4292A" w:rsidRPr="005C3960" w:rsidRDefault="00D4292A" w:rsidP="00D4292A">
      <w:pPr>
        <w:pStyle w:val="FootnoteText"/>
      </w:pPr>
      <w:r w:rsidRPr="007F7C39">
        <w:rPr>
          <w:rStyle w:val="FootnoteReference"/>
        </w:rPr>
        <w:footnoteRef/>
      </w:r>
      <w:r>
        <w:t xml:space="preserve">A </w:t>
      </w:r>
      <w:r w:rsidRPr="007F7C39">
        <w:t>“</w:t>
      </w:r>
      <w:r>
        <w:t xml:space="preserve">non-celebrity </w:t>
      </w:r>
      <w:r w:rsidR="00394262">
        <w:t>i</w:t>
      </w:r>
      <w:r w:rsidRPr="007F7C39">
        <w:t xml:space="preserve">nfluencer” is a person who has gained a following on a blog, a Twitter feed, or other social media </w:t>
      </w:r>
      <w:r>
        <w:t>outlet</w:t>
      </w:r>
      <w:r w:rsidRPr="007F7C39">
        <w:t>.</w:t>
      </w:r>
    </w:p>
    <w:p w14:paraId="119BFFFF" w14:textId="77777777" w:rsidR="00D4292A" w:rsidRPr="007F7C39" w:rsidRDefault="00D4292A" w:rsidP="00D4292A">
      <w:pPr>
        <w:pStyle w:val="FootnoteText"/>
      </w:pPr>
    </w:p>
  </w:footnote>
  <w:footnote w:id="2">
    <w:p w14:paraId="28B888C5" w14:textId="307C03B8" w:rsidR="00D4292A" w:rsidRDefault="00D4292A" w:rsidP="00D4292A">
      <w:pPr>
        <w:pStyle w:val="FootnoteText"/>
      </w:pPr>
      <w:r>
        <w:rPr>
          <w:rStyle w:val="FootnoteReference"/>
        </w:rPr>
        <w:footnoteRef/>
      </w:r>
      <w:r w:rsidRPr="00276051">
        <w:t xml:space="preserve">For case allocation, the literature suggests that some proportion of consumers may not recall seeing the disclosure statement in the advertisement (see, for example, </w:t>
      </w:r>
      <w:r w:rsidR="00CA7850" w:rsidRPr="00CA7850">
        <w:t xml:space="preserve">Boerman, S.C., L.M. Willemsen, and E.P. Van Der Aa (2017). “This post is sponsored” Effects of Sponsorship Disclosure on Persuasion Knowledge and Electronic Word of Mouth in the Context of Facebook.” </w:t>
      </w:r>
      <w:r w:rsidR="00CA7850" w:rsidRPr="00CA7850">
        <w:rPr>
          <w:i/>
        </w:rPr>
        <w:t xml:space="preserve">Journal of Interactive Marketing, </w:t>
      </w:r>
      <w:r w:rsidR="00CA7850" w:rsidRPr="00CA7850">
        <w:t>38, pp. 82–92.</w:t>
      </w:r>
      <w:r w:rsidRPr="00CA7850">
        <w:t>)</w:t>
      </w:r>
      <w:r w:rsidRPr="00276051">
        <w:t>. Rather than allotting equal numbers of cases to each condition, we will assign more cases to the disclosure present condition to increase power in these cells.</w:t>
      </w:r>
    </w:p>
  </w:footnote>
  <w:footnote w:id="3">
    <w:p w14:paraId="0BAE9E59" w14:textId="77777777" w:rsidR="008A538B" w:rsidRPr="00385D1F" w:rsidRDefault="008A538B" w:rsidP="00742CBC">
      <w:pPr>
        <w:pStyle w:val="FootnoteText"/>
      </w:pPr>
      <w:r>
        <w:rPr>
          <w:rStyle w:val="FootnoteReference"/>
        </w:rPr>
        <w:footnoteRef/>
      </w:r>
      <w:r>
        <w:t xml:space="preserve"> Office of Management and Budget, </w:t>
      </w:r>
      <w:r w:rsidRPr="00385D1F">
        <w:rPr>
          <w:i/>
        </w:rPr>
        <w:t>Standards and Guidelines for Statistical Surveys</w:t>
      </w:r>
      <w:r>
        <w:t xml:space="preserve">, September, 2006.  </w:t>
      </w:r>
      <w:hyperlink r:id="rId1" w:history="1">
        <w:r w:rsidRPr="000764CC">
          <w:rPr>
            <w:rStyle w:val="Hyperlink"/>
          </w:rPr>
          <w:t>www.whitehouse.gov/sites/default/files/omb/inforeg/statpc</w:t>
        </w:r>
      </w:hyperlink>
      <w:r>
        <w:t>.  Last accessed April 18,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34062"/>
    <w:multiLevelType w:val="hybridMultilevel"/>
    <w:tmpl w:val="4FE0C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02856"/>
    <w:multiLevelType w:val="hybridMultilevel"/>
    <w:tmpl w:val="2B1EA6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2E06039"/>
    <w:multiLevelType w:val="multilevel"/>
    <w:tmpl w:val="154ED458"/>
    <w:numStyleLink w:val="Format4"/>
  </w:abstractNum>
  <w:abstractNum w:abstractNumId="3" w15:restartNumberingAfterBreak="0">
    <w:nsid w:val="199B0AED"/>
    <w:multiLevelType w:val="multilevel"/>
    <w:tmpl w:val="154ED458"/>
    <w:styleLink w:val="Format4"/>
    <w:lvl w:ilvl="0">
      <w:start w:val="1"/>
      <w:numFmt w:val="decimal"/>
      <w:pStyle w:val="Heading1"/>
      <w:lvlText w:val="%1."/>
      <w:lvlJc w:val="left"/>
      <w:pPr>
        <w:ind w:left="324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8FD062F"/>
    <w:multiLevelType w:val="hybridMultilevel"/>
    <w:tmpl w:val="EEB07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BD56C8"/>
    <w:multiLevelType w:val="hybridMultilevel"/>
    <w:tmpl w:val="6342564E"/>
    <w:lvl w:ilvl="0" w:tplc="FA263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A624E3"/>
    <w:multiLevelType w:val="hybridMultilevel"/>
    <w:tmpl w:val="B54A8118"/>
    <w:lvl w:ilvl="0" w:tplc="B4EE98C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EB65D4"/>
    <w:multiLevelType w:val="hybridMultilevel"/>
    <w:tmpl w:val="0026FC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97385B"/>
    <w:multiLevelType w:val="multilevel"/>
    <w:tmpl w:val="6870F082"/>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0948A1"/>
    <w:multiLevelType w:val="hybridMultilevel"/>
    <w:tmpl w:val="F66A055E"/>
    <w:lvl w:ilvl="0" w:tplc="51C44CB6">
      <w:numFmt w:val="bullet"/>
      <w:lvlText w:val="•"/>
      <w:lvlJc w:val="left"/>
      <w:pPr>
        <w:ind w:left="1440" w:hanging="720"/>
      </w:pPr>
      <w:rPr>
        <w:rFonts w:ascii="HelveticaNeueLT-Light" w:eastAsia="Times New Roman" w:hAnsi="HelveticaNeueLT-Ligh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9B20AB"/>
    <w:multiLevelType w:val="hybridMultilevel"/>
    <w:tmpl w:val="E4FE9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986D98"/>
    <w:multiLevelType w:val="hybridMultilevel"/>
    <w:tmpl w:val="5128DC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C45EFC"/>
    <w:multiLevelType w:val="hybridMultilevel"/>
    <w:tmpl w:val="FD2C1BE6"/>
    <w:lvl w:ilvl="0" w:tplc="0409000F">
      <w:start w:val="1"/>
      <w:numFmt w:val="decimal"/>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C2616C"/>
    <w:multiLevelType w:val="hybridMultilevel"/>
    <w:tmpl w:val="522A8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F183FF5"/>
    <w:multiLevelType w:val="hybridMultilevel"/>
    <w:tmpl w:val="D3E2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665988"/>
    <w:multiLevelType w:val="hybridMultilevel"/>
    <w:tmpl w:val="F7D07226"/>
    <w:lvl w:ilvl="0" w:tplc="91723930">
      <w:start w:val="1"/>
      <w:numFmt w:val="bullet"/>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6E67CF"/>
    <w:multiLevelType w:val="hybridMultilevel"/>
    <w:tmpl w:val="7CAE7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9"/>
  </w:num>
  <w:num w:numId="4">
    <w:abstractNumId w:val="1"/>
  </w:num>
  <w:num w:numId="5">
    <w:abstractNumId w:val="13"/>
  </w:num>
  <w:num w:numId="6">
    <w:abstractNumId w:val="3"/>
  </w:num>
  <w:num w:numId="7">
    <w:abstractNumId w:val="2"/>
  </w:num>
  <w:num w:numId="8">
    <w:abstractNumId w:val="14"/>
  </w:num>
  <w:num w:numId="9">
    <w:abstractNumId w:val="16"/>
  </w:num>
  <w:num w:numId="10">
    <w:abstractNumId w:val="6"/>
  </w:num>
  <w:num w:numId="11">
    <w:abstractNumId w:val="12"/>
  </w:num>
  <w:num w:numId="12">
    <w:abstractNumId w:val="4"/>
  </w:num>
  <w:num w:numId="13">
    <w:abstractNumId w:val="15"/>
  </w:num>
  <w:num w:numId="14">
    <w:abstractNumId w:val="11"/>
  </w:num>
  <w:num w:numId="15">
    <w:abstractNumId w:val="10"/>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57D"/>
    <w:rsid w:val="0000253E"/>
    <w:rsid w:val="00012E3E"/>
    <w:rsid w:val="00035D92"/>
    <w:rsid w:val="00074EED"/>
    <w:rsid w:val="000753E5"/>
    <w:rsid w:val="0007565D"/>
    <w:rsid w:val="00085C29"/>
    <w:rsid w:val="00085F3B"/>
    <w:rsid w:val="00087C35"/>
    <w:rsid w:val="000933B1"/>
    <w:rsid w:val="00096DAF"/>
    <w:rsid w:val="000972AF"/>
    <w:rsid w:val="00097FAF"/>
    <w:rsid w:val="000A76F6"/>
    <w:rsid w:val="000A7CC7"/>
    <w:rsid w:val="000C6DC7"/>
    <w:rsid w:val="000E33F2"/>
    <w:rsid w:val="000F1F66"/>
    <w:rsid w:val="000F73D3"/>
    <w:rsid w:val="000F7AA6"/>
    <w:rsid w:val="00121F0F"/>
    <w:rsid w:val="0012488B"/>
    <w:rsid w:val="0013231C"/>
    <w:rsid w:val="00134422"/>
    <w:rsid w:val="00135951"/>
    <w:rsid w:val="00135C86"/>
    <w:rsid w:val="001574FB"/>
    <w:rsid w:val="00173EA6"/>
    <w:rsid w:val="00181F3B"/>
    <w:rsid w:val="00187029"/>
    <w:rsid w:val="001B01BF"/>
    <w:rsid w:val="001B1004"/>
    <w:rsid w:val="001B43A6"/>
    <w:rsid w:val="001C1659"/>
    <w:rsid w:val="001C6B82"/>
    <w:rsid w:val="001D028C"/>
    <w:rsid w:val="001D43EE"/>
    <w:rsid w:val="001E30A6"/>
    <w:rsid w:val="001F07C5"/>
    <w:rsid w:val="00211DFB"/>
    <w:rsid w:val="00265EB4"/>
    <w:rsid w:val="00267224"/>
    <w:rsid w:val="00280532"/>
    <w:rsid w:val="00282179"/>
    <w:rsid w:val="002A1D6D"/>
    <w:rsid w:val="002B576B"/>
    <w:rsid w:val="002C5730"/>
    <w:rsid w:val="002D046B"/>
    <w:rsid w:val="002E046B"/>
    <w:rsid w:val="002E0B97"/>
    <w:rsid w:val="002E4F7A"/>
    <w:rsid w:val="002F6CE9"/>
    <w:rsid w:val="0030047C"/>
    <w:rsid w:val="00302438"/>
    <w:rsid w:val="00302C84"/>
    <w:rsid w:val="00307250"/>
    <w:rsid w:val="00307531"/>
    <w:rsid w:val="0031211F"/>
    <w:rsid w:val="0031420C"/>
    <w:rsid w:val="0034036A"/>
    <w:rsid w:val="003439D6"/>
    <w:rsid w:val="00357349"/>
    <w:rsid w:val="003627A7"/>
    <w:rsid w:val="00363CF7"/>
    <w:rsid w:val="0036408D"/>
    <w:rsid w:val="00380AFC"/>
    <w:rsid w:val="00382B87"/>
    <w:rsid w:val="00394262"/>
    <w:rsid w:val="003B212C"/>
    <w:rsid w:val="003B6518"/>
    <w:rsid w:val="003C2B5D"/>
    <w:rsid w:val="003C4B50"/>
    <w:rsid w:val="003D351D"/>
    <w:rsid w:val="003E58D6"/>
    <w:rsid w:val="003E7CB2"/>
    <w:rsid w:val="003F1AB6"/>
    <w:rsid w:val="003F6667"/>
    <w:rsid w:val="00402FA5"/>
    <w:rsid w:val="00403E48"/>
    <w:rsid w:val="00411439"/>
    <w:rsid w:val="00444633"/>
    <w:rsid w:val="004466A5"/>
    <w:rsid w:val="00446A2C"/>
    <w:rsid w:val="00451DF1"/>
    <w:rsid w:val="004526D6"/>
    <w:rsid w:val="004539BD"/>
    <w:rsid w:val="004550B9"/>
    <w:rsid w:val="00457ED6"/>
    <w:rsid w:val="0046731B"/>
    <w:rsid w:val="00470207"/>
    <w:rsid w:val="00473190"/>
    <w:rsid w:val="00484958"/>
    <w:rsid w:val="00486D95"/>
    <w:rsid w:val="00487D0D"/>
    <w:rsid w:val="004B02EF"/>
    <w:rsid w:val="004C1045"/>
    <w:rsid w:val="004C1969"/>
    <w:rsid w:val="004C6BFB"/>
    <w:rsid w:val="004D06F2"/>
    <w:rsid w:val="004D1804"/>
    <w:rsid w:val="004E3F66"/>
    <w:rsid w:val="004F053D"/>
    <w:rsid w:val="005026ED"/>
    <w:rsid w:val="00515BD8"/>
    <w:rsid w:val="005160EC"/>
    <w:rsid w:val="00523A0D"/>
    <w:rsid w:val="0052413A"/>
    <w:rsid w:val="0052445F"/>
    <w:rsid w:val="00532C9F"/>
    <w:rsid w:val="00533AA8"/>
    <w:rsid w:val="00552406"/>
    <w:rsid w:val="00552D02"/>
    <w:rsid w:val="00563287"/>
    <w:rsid w:val="005872B9"/>
    <w:rsid w:val="005B5FC4"/>
    <w:rsid w:val="005C3C96"/>
    <w:rsid w:val="005D47BB"/>
    <w:rsid w:val="005E1EB8"/>
    <w:rsid w:val="005E7E7C"/>
    <w:rsid w:val="005F1773"/>
    <w:rsid w:val="005F75B5"/>
    <w:rsid w:val="00604567"/>
    <w:rsid w:val="00620AEC"/>
    <w:rsid w:val="0063475B"/>
    <w:rsid w:val="0063543A"/>
    <w:rsid w:val="00640380"/>
    <w:rsid w:val="00644483"/>
    <w:rsid w:val="00650747"/>
    <w:rsid w:val="00655947"/>
    <w:rsid w:val="006714F2"/>
    <w:rsid w:val="00672A09"/>
    <w:rsid w:val="006814CC"/>
    <w:rsid w:val="00681947"/>
    <w:rsid w:val="00696B2E"/>
    <w:rsid w:val="006A3A1C"/>
    <w:rsid w:val="006A4B25"/>
    <w:rsid w:val="006B44C9"/>
    <w:rsid w:val="006B4F7F"/>
    <w:rsid w:val="006B5E78"/>
    <w:rsid w:val="006B7681"/>
    <w:rsid w:val="006C57B1"/>
    <w:rsid w:val="006C61A3"/>
    <w:rsid w:val="006D3FDB"/>
    <w:rsid w:val="006D5D5A"/>
    <w:rsid w:val="006D7E73"/>
    <w:rsid w:val="006E688A"/>
    <w:rsid w:val="006F1D35"/>
    <w:rsid w:val="0070177A"/>
    <w:rsid w:val="007070C8"/>
    <w:rsid w:val="00720F77"/>
    <w:rsid w:val="00723D1C"/>
    <w:rsid w:val="007241EB"/>
    <w:rsid w:val="00732BFC"/>
    <w:rsid w:val="00742CBC"/>
    <w:rsid w:val="00746C39"/>
    <w:rsid w:val="007539B3"/>
    <w:rsid w:val="0075408F"/>
    <w:rsid w:val="00756549"/>
    <w:rsid w:val="00760C09"/>
    <w:rsid w:val="007667F0"/>
    <w:rsid w:val="00781EEA"/>
    <w:rsid w:val="00787D62"/>
    <w:rsid w:val="00790AD0"/>
    <w:rsid w:val="00795FCC"/>
    <w:rsid w:val="007A5EDE"/>
    <w:rsid w:val="007B5B5C"/>
    <w:rsid w:val="007F3092"/>
    <w:rsid w:val="00800D07"/>
    <w:rsid w:val="00800D62"/>
    <w:rsid w:val="00827736"/>
    <w:rsid w:val="008331F1"/>
    <w:rsid w:val="008335C0"/>
    <w:rsid w:val="00835A14"/>
    <w:rsid w:val="00841C8C"/>
    <w:rsid w:val="008433D4"/>
    <w:rsid w:val="0084795C"/>
    <w:rsid w:val="00852366"/>
    <w:rsid w:val="00852CDF"/>
    <w:rsid w:val="00856C02"/>
    <w:rsid w:val="008605DD"/>
    <w:rsid w:val="00863625"/>
    <w:rsid w:val="00867E7D"/>
    <w:rsid w:val="00870AD5"/>
    <w:rsid w:val="008A2674"/>
    <w:rsid w:val="008A538B"/>
    <w:rsid w:val="008B4282"/>
    <w:rsid w:val="008C7DBD"/>
    <w:rsid w:val="008D428B"/>
    <w:rsid w:val="008D614C"/>
    <w:rsid w:val="008D6BA6"/>
    <w:rsid w:val="008E2E04"/>
    <w:rsid w:val="008E7392"/>
    <w:rsid w:val="008F30B8"/>
    <w:rsid w:val="008F534F"/>
    <w:rsid w:val="009028C9"/>
    <w:rsid w:val="009032BE"/>
    <w:rsid w:val="0093788A"/>
    <w:rsid w:val="00943885"/>
    <w:rsid w:val="009443DB"/>
    <w:rsid w:val="00965785"/>
    <w:rsid w:val="0097421F"/>
    <w:rsid w:val="0097740B"/>
    <w:rsid w:val="009779AE"/>
    <w:rsid w:val="0099593F"/>
    <w:rsid w:val="009C5007"/>
    <w:rsid w:val="009C74F7"/>
    <w:rsid w:val="009C79C2"/>
    <w:rsid w:val="009D34E6"/>
    <w:rsid w:val="009D5E24"/>
    <w:rsid w:val="009D7512"/>
    <w:rsid w:val="009D781C"/>
    <w:rsid w:val="009E28FF"/>
    <w:rsid w:val="009E6E41"/>
    <w:rsid w:val="009F6B4E"/>
    <w:rsid w:val="009F7857"/>
    <w:rsid w:val="00A03022"/>
    <w:rsid w:val="00A032C3"/>
    <w:rsid w:val="00A03DB5"/>
    <w:rsid w:val="00A052F4"/>
    <w:rsid w:val="00A0640A"/>
    <w:rsid w:val="00A14827"/>
    <w:rsid w:val="00A156BA"/>
    <w:rsid w:val="00A1681B"/>
    <w:rsid w:val="00A175A1"/>
    <w:rsid w:val="00A37368"/>
    <w:rsid w:val="00A4530C"/>
    <w:rsid w:val="00A46214"/>
    <w:rsid w:val="00A528A4"/>
    <w:rsid w:val="00A56ECB"/>
    <w:rsid w:val="00A61F79"/>
    <w:rsid w:val="00A743EA"/>
    <w:rsid w:val="00A750F4"/>
    <w:rsid w:val="00A817B8"/>
    <w:rsid w:val="00A81BF5"/>
    <w:rsid w:val="00A823F0"/>
    <w:rsid w:val="00A8705B"/>
    <w:rsid w:val="00A8790A"/>
    <w:rsid w:val="00A945CC"/>
    <w:rsid w:val="00A95D36"/>
    <w:rsid w:val="00AA03A0"/>
    <w:rsid w:val="00AA0B66"/>
    <w:rsid w:val="00AA7F76"/>
    <w:rsid w:val="00AB64CE"/>
    <w:rsid w:val="00AC233E"/>
    <w:rsid w:val="00AD6959"/>
    <w:rsid w:val="00AE6821"/>
    <w:rsid w:val="00B0212F"/>
    <w:rsid w:val="00B0778B"/>
    <w:rsid w:val="00B078EC"/>
    <w:rsid w:val="00B16F03"/>
    <w:rsid w:val="00B239CB"/>
    <w:rsid w:val="00B27E63"/>
    <w:rsid w:val="00B3168B"/>
    <w:rsid w:val="00B364B7"/>
    <w:rsid w:val="00B41328"/>
    <w:rsid w:val="00B41BC9"/>
    <w:rsid w:val="00B42CD6"/>
    <w:rsid w:val="00B4529A"/>
    <w:rsid w:val="00B5770D"/>
    <w:rsid w:val="00B63289"/>
    <w:rsid w:val="00B6745B"/>
    <w:rsid w:val="00B843F4"/>
    <w:rsid w:val="00B8669C"/>
    <w:rsid w:val="00B871CD"/>
    <w:rsid w:val="00B92C62"/>
    <w:rsid w:val="00B955E5"/>
    <w:rsid w:val="00BA66F5"/>
    <w:rsid w:val="00BB034A"/>
    <w:rsid w:val="00BB46E4"/>
    <w:rsid w:val="00BB56FF"/>
    <w:rsid w:val="00BD3067"/>
    <w:rsid w:val="00BD3FFB"/>
    <w:rsid w:val="00BD66AF"/>
    <w:rsid w:val="00BE0592"/>
    <w:rsid w:val="00BF4B94"/>
    <w:rsid w:val="00C06B96"/>
    <w:rsid w:val="00C260AB"/>
    <w:rsid w:val="00C360BA"/>
    <w:rsid w:val="00C46F2F"/>
    <w:rsid w:val="00C61410"/>
    <w:rsid w:val="00C711CF"/>
    <w:rsid w:val="00C749AB"/>
    <w:rsid w:val="00C775E3"/>
    <w:rsid w:val="00C816ED"/>
    <w:rsid w:val="00C82FAA"/>
    <w:rsid w:val="00C84E37"/>
    <w:rsid w:val="00C924B6"/>
    <w:rsid w:val="00C95513"/>
    <w:rsid w:val="00CA3C7E"/>
    <w:rsid w:val="00CA465E"/>
    <w:rsid w:val="00CA557D"/>
    <w:rsid w:val="00CA7850"/>
    <w:rsid w:val="00CB0A88"/>
    <w:rsid w:val="00CB4414"/>
    <w:rsid w:val="00CB5084"/>
    <w:rsid w:val="00CB6A7E"/>
    <w:rsid w:val="00CC623A"/>
    <w:rsid w:val="00CD0271"/>
    <w:rsid w:val="00CD4AA2"/>
    <w:rsid w:val="00CF3B12"/>
    <w:rsid w:val="00CF698F"/>
    <w:rsid w:val="00CF7713"/>
    <w:rsid w:val="00D04BF2"/>
    <w:rsid w:val="00D05FD9"/>
    <w:rsid w:val="00D150EB"/>
    <w:rsid w:val="00D15EFA"/>
    <w:rsid w:val="00D2339E"/>
    <w:rsid w:val="00D27AB9"/>
    <w:rsid w:val="00D402C8"/>
    <w:rsid w:val="00D4292A"/>
    <w:rsid w:val="00D454A6"/>
    <w:rsid w:val="00D50B4C"/>
    <w:rsid w:val="00D550F2"/>
    <w:rsid w:val="00D56E09"/>
    <w:rsid w:val="00D631DF"/>
    <w:rsid w:val="00D73460"/>
    <w:rsid w:val="00D86E4E"/>
    <w:rsid w:val="00D90CFC"/>
    <w:rsid w:val="00DA0D01"/>
    <w:rsid w:val="00DA3192"/>
    <w:rsid w:val="00DA51EF"/>
    <w:rsid w:val="00DC050F"/>
    <w:rsid w:val="00DC3BE2"/>
    <w:rsid w:val="00DC422C"/>
    <w:rsid w:val="00DC7562"/>
    <w:rsid w:val="00DE7FC5"/>
    <w:rsid w:val="00DF16D8"/>
    <w:rsid w:val="00E02C41"/>
    <w:rsid w:val="00E04A08"/>
    <w:rsid w:val="00E10EC2"/>
    <w:rsid w:val="00E13C7B"/>
    <w:rsid w:val="00E150E1"/>
    <w:rsid w:val="00E15870"/>
    <w:rsid w:val="00E16C73"/>
    <w:rsid w:val="00E211B2"/>
    <w:rsid w:val="00E6730D"/>
    <w:rsid w:val="00E70990"/>
    <w:rsid w:val="00E7546D"/>
    <w:rsid w:val="00E80558"/>
    <w:rsid w:val="00E85613"/>
    <w:rsid w:val="00E906FC"/>
    <w:rsid w:val="00E94724"/>
    <w:rsid w:val="00E9716A"/>
    <w:rsid w:val="00E97D7B"/>
    <w:rsid w:val="00EA2299"/>
    <w:rsid w:val="00EB59F5"/>
    <w:rsid w:val="00EB6226"/>
    <w:rsid w:val="00ED1A1B"/>
    <w:rsid w:val="00ED3252"/>
    <w:rsid w:val="00ED7D9B"/>
    <w:rsid w:val="00EF24E2"/>
    <w:rsid w:val="00EF4E38"/>
    <w:rsid w:val="00F228B4"/>
    <w:rsid w:val="00F32C47"/>
    <w:rsid w:val="00F35222"/>
    <w:rsid w:val="00F44E4B"/>
    <w:rsid w:val="00F46038"/>
    <w:rsid w:val="00F47AB2"/>
    <w:rsid w:val="00F52B05"/>
    <w:rsid w:val="00F73507"/>
    <w:rsid w:val="00F87C75"/>
    <w:rsid w:val="00F934C9"/>
    <w:rsid w:val="00F94131"/>
    <w:rsid w:val="00F9432C"/>
    <w:rsid w:val="00FA130E"/>
    <w:rsid w:val="00FA2BB2"/>
    <w:rsid w:val="00FA2D4F"/>
    <w:rsid w:val="00FA6774"/>
    <w:rsid w:val="00FB3BE0"/>
    <w:rsid w:val="00FB3E4E"/>
    <w:rsid w:val="00FC3DA7"/>
    <w:rsid w:val="00FC728D"/>
    <w:rsid w:val="00FD144A"/>
    <w:rsid w:val="00FF17A8"/>
    <w:rsid w:val="00FF4548"/>
    <w:rsid w:val="00FF4A31"/>
    <w:rsid w:val="00FF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A29A"/>
  <w15:docId w15:val="{051C962A-9953-410A-92B7-0951F325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57D"/>
    <w:rPr>
      <w:sz w:val="24"/>
      <w:szCs w:val="24"/>
    </w:rPr>
  </w:style>
  <w:style w:type="paragraph" w:styleId="Heading1">
    <w:name w:val="heading 1"/>
    <w:basedOn w:val="Normal"/>
    <w:next w:val="Normal"/>
    <w:link w:val="Heading1Char"/>
    <w:qFormat/>
    <w:rsid w:val="002A1D6D"/>
    <w:pPr>
      <w:keepNext/>
      <w:numPr>
        <w:numId w:val="7"/>
      </w:numPr>
      <w:spacing w:before="240" w:after="240"/>
      <w:jc w:val="center"/>
      <w:outlineLvl w:val="0"/>
    </w:pPr>
    <w:rPr>
      <w:rFonts w:ascii="Verdana" w:eastAsia="MS Mincho" w:hAnsi="Verdana"/>
      <w:b/>
      <w:caps/>
      <w:kern w:val="28"/>
      <w:sz w:val="26"/>
      <w:szCs w:val="28"/>
      <w:lang w:val="x-none" w:eastAsia="x-none"/>
    </w:rPr>
  </w:style>
  <w:style w:type="paragraph" w:styleId="Heading2">
    <w:name w:val="heading 2"/>
    <w:next w:val="Normal"/>
    <w:link w:val="Heading2Char"/>
    <w:qFormat/>
    <w:rsid w:val="002A1D6D"/>
    <w:pPr>
      <w:keepNext/>
      <w:keepLines/>
      <w:numPr>
        <w:ilvl w:val="1"/>
        <w:numId w:val="7"/>
      </w:numPr>
      <w:spacing w:before="240" w:after="120"/>
      <w:outlineLvl w:val="1"/>
    </w:pPr>
    <w:rPr>
      <w:rFonts w:ascii="Verdana" w:eastAsia="MS Mincho" w:hAnsi="Verdana"/>
      <w:b/>
      <w:sz w:val="24"/>
      <w:szCs w:val="24"/>
    </w:rPr>
  </w:style>
  <w:style w:type="paragraph" w:styleId="Heading3">
    <w:name w:val="heading 3"/>
    <w:next w:val="Normal"/>
    <w:link w:val="Heading3Char"/>
    <w:qFormat/>
    <w:rsid w:val="002A1D6D"/>
    <w:pPr>
      <w:keepNext/>
      <w:keepLines/>
      <w:numPr>
        <w:ilvl w:val="2"/>
        <w:numId w:val="7"/>
      </w:numPr>
      <w:spacing w:before="240" w:after="120"/>
      <w:outlineLvl w:val="2"/>
    </w:pPr>
    <w:rPr>
      <w:rFonts w:ascii="Verdana" w:eastAsia="MS Mincho" w:hAnsi="Verdan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557D"/>
    <w:pPr>
      <w:spacing w:before="100" w:beforeAutospacing="1" w:after="100" w:afterAutospacing="1"/>
    </w:pPr>
  </w:style>
  <w:style w:type="paragraph" w:styleId="Footer">
    <w:name w:val="footer"/>
    <w:basedOn w:val="Normal"/>
    <w:link w:val="FooterChar"/>
    <w:rsid w:val="00CA557D"/>
    <w:pPr>
      <w:tabs>
        <w:tab w:val="center" w:pos="4320"/>
        <w:tab w:val="right" w:pos="8640"/>
      </w:tabs>
    </w:pPr>
  </w:style>
  <w:style w:type="character" w:customStyle="1" w:styleId="FooterChar">
    <w:name w:val="Footer Char"/>
    <w:link w:val="Footer"/>
    <w:rsid w:val="00CA557D"/>
    <w:rPr>
      <w:sz w:val="24"/>
      <w:szCs w:val="24"/>
    </w:rPr>
  </w:style>
  <w:style w:type="character" w:styleId="PageNumber">
    <w:name w:val="page number"/>
    <w:rsid w:val="00CA557D"/>
  </w:style>
  <w:style w:type="character" w:styleId="CommentReference">
    <w:name w:val="annotation reference"/>
    <w:uiPriority w:val="99"/>
    <w:rsid w:val="00CA557D"/>
    <w:rPr>
      <w:sz w:val="16"/>
      <w:szCs w:val="16"/>
    </w:rPr>
  </w:style>
  <w:style w:type="paragraph" w:styleId="CommentText">
    <w:name w:val="annotation text"/>
    <w:basedOn w:val="Normal"/>
    <w:link w:val="CommentTextChar"/>
    <w:rsid w:val="00CA557D"/>
    <w:rPr>
      <w:sz w:val="20"/>
      <w:szCs w:val="20"/>
    </w:rPr>
  </w:style>
  <w:style w:type="character" w:customStyle="1" w:styleId="CommentTextChar">
    <w:name w:val="Comment Text Char"/>
    <w:basedOn w:val="DefaultParagraphFont"/>
    <w:link w:val="CommentText"/>
    <w:rsid w:val="00CA557D"/>
  </w:style>
  <w:style w:type="paragraph" w:styleId="FootnoteText">
    <w:name w:val="footnote text"/>
    <w:aliases w:val="F1"/>
    <w:basedOn w:val="Normal"/>
    <w:link w:val="FootnoteTextChar"/>
    <w:uiPriority w:val="99"/>
    <w:rsid w:val="00CA557D"/>
    <w:pPr>
      <w:widowControl w:val="0"/>
    </w:pPr>
    <w:rPr>
      <w:snapToGrid w:val="0"/>
      <w:sz w:val="20"/>
      <w:szCs w:val="20"/>
    </w:rPr>
  </w:style>
  <w:style w:type="character" w:customStyle="1" w:styleId="FootnoteTextChar">
    <w:name w:val="Footnote Text Char"/>
    <w:aliases w:val="F1 Char"/>
    <w:link w:val="FootnoteText"/>
    <w:uiPriority w:val="99"/>
    <w:rsid w:val="00CA557D"/>
    <w:rPr>
      <w:snapToGrid w:val="0"/>
    </w:rPr>
  </w:style>
  <w:style w:type="character" w:styleId="FootnoteReference">
    <w:name w:val="footnote reference"/>
    <w:uiPriority w:val="99"/>
    <w:rsid w:val="00CA557D"/>
    <w:rPr>
      <w:vertAlign w:val="superscript"/>
    </w:rPr>
  </w:style>
  <w:style w:type="paragraph" w:styleId="BalloonText">
    <w:name w:val="Balloon Text"/>
    <w:basedOn w:val="Normal"/>
    <w:link w:val="BalloonTextChar"/>
    <w:uiPriority w:val="99"/>
    <w:semiHidden/>
    <w:unhideWhenUsed/>
    <w:rsid w:val="00CA557D"/>
    <w:rPr>
      <w:rFonts w:ascii="Tahoma" w:hAnsi="Tahoma" w:cs="Tahoma"/>
      <w:sz w:val="16"/>
      <w:szCs w:val="16"/>
    </w:rPr>
  </w:style>
  <w:style w:type="character" w:customStyle="1" w:styleId="BalloonTextChar">
    <w:name w:val="Balloon Text Char"/>
    <w:link w:val="BalloonText"/>
    <w:uiPriority w:val="99"/>
    <w:semiHidden/>
    <w:rsid w:val="00CA557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816ED"/>
    <w:rPr>
      <w:b/>
      <w:bCs/>
    </w:rPr>
  </w:style>
  <w:style w:type="character" w:customStyle="1" w:styleId="CommentSubjectChar">
    <w:name w:val="Comment Subject Char"/>
    <w:link w:val="CommentSubject"/>
    <w:uiPriority w:val="99"/>
    <w:semiHidden/>
    <w:rsid w:val="00C816ED"/>
    <w:rPr>
      <w:b/>
      <w:bCs/>
    </w:rPr>
  </w:style>
  <w:style w:type="paragraph" w:styleId="ListParagraph">
    <w:name w:val="List Paragraph"/>
    <w:basedOn w:val="Normal"/>
    <w:uiPriority w:val="34"/>
    <w:qFormat/>
    <w:rsid w:val="0052413A"/>
    <w:pPr>
      <w:ind w:left="720"/>
      <w:contextualSpacing/>
    </w:pPr>
  </w:style>
  <w:style w:type="character" w:styleId="Hyperlink">
    <w:name w:val="Hyperlink"/>
    <w:uiPriority w:val="99"/>
    <w:rsid w:val="0052413A"/>
    <w:rPr>
      <w:rFonts w:cs="Times New Roman"/>
      <w:color w:val="0000FF"/>
      <w:u w:val="single"/>
    </w:rPr>
  </w:style>
  <w:style w:type="paragraph" w:customStyle="1" w:styleId="Default">
    <w:name w:val="Default"/>
    <w:rsid w:val="008D428B"/>
    <w:pPr>
      <w:autoSpaceDE w:val="0"/>
      <w:autoSpaceDN w:val="0"/>
      <w:adjustRightInd w:val="0"/>
    </w:pPr>
    <w:rPr>
      <w:color w:val="000000"/>
      <w:sz w:val="24"/>
      <w:szCs w:val="24"/>
    </w:rPr>
  </w:style>
  <w:style w:type="table" w:customStyle="1" w:styleId="Graytablecomplex">
    <w:name w:val="Gray_table_complex"/>
    <w:basedOn w:val="TableNormal"/>
    <w:rsid w:val="006D7E73"/>
    <w:rPr>
      <w:rFonts w:ascii="Arial" w:hAnsi="Arial"/>
    </w:rPr>
    <w:tblPr>
      <w:tblBorders>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pPr>
      <w:tblPr/>
      <w:tcPr>
        <w:tcBorders>
          <w:top w:val="single" w:sz="4" w:space="0" w:color="FFFFFF" w:themeColor="background1"/>
          <w:insideV w:val="single" w:sz="4" w:space="0" w:color="FFFFFF" w:themeColor="background1"/>
        </w:tcBorders>
        <w:shd w:val="clear" w:color="auto" w:fill="0A357E"/>
      </w:tcPr>
    </w:tblStylePr>
    <w:tblStylePr w:type="lastRow">
      <w:tblPr/>
      <w:tcPr>
        <w:tcBorders>
          <w:bottom w:val="single" w:sz="12" w:space="0" w:color="auto"/>
        </w:tcBorders>
      </w:tcPr>
    </w:tblStylePr>
    <w:tblStylePr w:type="firstCol">
      <w:tblPr/>
      <w:tcPr>
        <w:shd w:val="clear" w:color="auto" w:fill="D9D9D9"/>
      </w:tcPr>
    </w:tblStylePr>
  </w:style>
  <w:style w:type="paragraph" w:customStyle="1" w:styleId="BodyText1">
    <w:name w:val="Body Text1"/>
    <w:basedOn w:val="Normal"/>
    <w:rsid w:val="009D7512"/>
    <w:pPr>
      <w:spacing w:after="240" w:line="320" w:lineRule="exact"/>
      <w:ind w:firstLine="720"/>
    </w:pPr>
    <w:rPr>
      <w:sz w:val="22"/>
      <w:szCs w:val="20"/>
    </w:rPr>
  </w:style>
  <w:style w:type="character" w:customStyle="1" w:styleId="apple-converted-space">
    <w:name w:val="apple-converted-space"/>
    <w:basedOn w:val="DefaultParagraphFont"/>
    <w:rsid w:val="00F46038"/>
  </w:style>
  <w:style w:type="character" w:customStyle="1" w:styleId="highlight">
    <w:name w:val="highlight"/>
    <w:basedOn w:val="DefaultParagraphFont"/>
    <w:rsid w:val="00F46038"/>
  </w:style>
  <w:style w:type="paragraph" w:customStyle="1" w:styleId="TableTitle">
    <w:name w:val="Table Title"/>
    <w:basedOn w:val="Caption"/>
    <w:rsid w:val="00085F3B"/>
    <w:pPr>
      <w:keepNext/>
      <w:keepLines/>
      <w:spacing w:before="320" w:after="120"/>
      <w:ind w:left="1440" w:hanging="1440"/>
    </w:pPr>
    <w:rPr>
      <w:rFonts w:ascii="Verdana" w:eastAsia="MS Mincho" w:hAnsi="Verdana"/>
      <w:color w:val="auto"/>
      <w:sz w:val="20"/>
      <w:szCs w:val="20"/>
    </w:rPr>
  </w:style>
  <w:style w:type="paragraph" w:styleId="BodyText">
    <w:name w:val="Body Text"/>
    <w:basedOn w:val="Normal"/>
    <w:link w:val="BodyTextChar1"/>
    <w:rsid w:val="00085F3B"/>
    <w:pPr>
      <w:spacing w:after="160" w:line="320" w:lineRule="exact"/>
    </w:pPr>
    <w:rPr>
      <w:rFonts w:ascii="Verdana" w:eastAsia="MS Mincho" w:hAnsi="Verdana"/>
      <w:snapToGrid w:val="0"/>
      <w:sz w:val="20"/>
      <w:szCs w:val="20"/>
    </w:rPr>
  </w:style>
  <w:style w:type="character" w:customStyle="1" w:styleId="BodyTextChar">
    <w:name w:val="Body Text Char"/>
    <w:basedOn w:val="DefaultParagraphFont"/>
    <w:uiPriority w:val="99"/>
    <w:semiHidden/>
    <w:rsid w:val="00085F3B"/>
    <w:rPr>
      <w:sz w:val="24"/>
      <w:szCs w:val="24"/>
    </w:rPr>
  </w:style>
  <w:style w:type="character" w:customStyle="1" w:styleId="BodyTextChar1">
    <w:name w:val="Body Text Char1"/>
    <w:link w:val="BodyText"/>
    <w:rsid w:val="00085F3B"/>
    <w:rPr>
      <w:rFonts w:ascii="Verdana" w:eastAsia="MS Mincho" w:hAnsi="Verdana"/>
      <w:snapToGrid w:val="0"/>
    </w:rPr>
  </w:style>
  <w:style w:type="paragraph" w:customStyle="1" w:styleId="TableText">
    <w:name w:val="Table Text"/>
    <w:basedOn w:val="Normal"/>
    <w:qFormat/>
    <w:rsid w:val="00085F3B"/>
    <w:pPr>
      <w:spacing w:before="60" w:after="60"/>
    </w:pPr>
    <w:rPr>
      <w:rFonts w:ascii="Verdana" w:eastAsia="MS Mincho" w:hAnsi="Verdana"/>
      <w:sz w:val="18"/>
      <w:szCs w:val="20"/>
    </w:rPr>
  </w:style>
  <w:style w:type="paragraph" w:customStyle="1" w:styleId="TableHeaders">
    <w:name w:val="Table Headers"/>
    <w:qFormat/>
    <w:rsid w:val="00085F3B"/>
    <w:pPr>
      <w:spacing w:before="80" w:after="80"/>
      <w:jc w:val="center"/>
    </w:pPr>
    <w:rPr>
      <w:rFonts w:ascii="Verdana" w:hAnsi="Verdana"/>
      <w:b/>
      <w:sz w:val="18"/>
    </w:rPr>
  </w:style>
  <w:style w:type="paragraph" w:styleId="Caption">
    <w:name w:val="caption"/>
    <w:basedOn w:val="Normal"/>
    <w:next w:val="Normal"/>
    <w:uiPriority w:val="35"/>
    <w:semiHidden/>
    <w:unhideWhenUsed/>
    <w:qFormat/>
    <w:rsid w:val="00085F3B"/>
    <w:pPr>
      <w:spacing w:after="200"/>
    </w:pPr>
    <w:rPr>
      <w:b/>
      <w:bCs/>
      <w:color w:val="4F81BD" w:themeColor="accent1"/>
      <w:sz w:val="18"/>
      <w:szCs w:val="18"/>
    </w:rPr>
  </w:style>
  <w:style w:type="character" w:customStyle="1" w:styleId="Heading1Char">
    <w:name w:val="Heading 1 Char"/>
    <w:basedOn w:val="DefaultParagraphFont"/>
    <w:link w:val="Heading1"/>
    <w:rsid w:val="002A1D6D"/>
    <w:rPr>
      <w:rFonts w:ascii="Verdana" w:eastAsia="MS Mincho" w:hAnsi="Verdana"/>
      <w:b/>
      <w:caps/>
      <w:kern w:val="28"/>
      <w:sz w:val="26"/>
      <w:szCs w:val="28"/>
      <w:lang w:val="x-none" w:eastAsia="x-none"/>
    </w:rPr>
  </w:style>
  <w:style w:type="character" w:customStyle="1" w:styleId="Heading2Char">
    <w:name w:val="Heading 2 Char"/>
    <w:basedOn w:val="DefaultParagraphFont"/>
    <w:link w:val="Heading2"/>
    <w:rsid w:val="002A1D6D"/>
    <w:rPr>
      <w:rFonts w:ascii="Verdana" w:eastAsia="MS Mincho" w:hAnsi="Verdana"/>
      <w:b/>
      <w:sz w:val="24"/>
      <w:szCs w:val="24"/>
    </w:rPr>
  </w:style>
  <w:style w:type="character" w:customStyle="1" w:styleId="Heading3Char">
    <w:name w:val="Heading 3 Char"/>
    <w:basedOn w:val="DefaultParagraphFont"/>
    <w:link w:val="Heading3"/>
    <w:rsid w:val="002A1D6D"/>
    <w:rPr>
      <w:rFonts w:ascii="Verdana" w:eastAsia="MS Mincho" w:hAnsi="Verdana"/>
      <w:b/>
      <w:i/>
      <w:sz w:val="22"/>
    </w:rPr>
  </w:style>
  <w:style w:type="numbering" w:customStyle="1" w:styleId="Format4">
    <w:name w:val="Format4"/>
    <w:rsid w:val="002A1D6D"/>
    <w:pPr>
      <w:numPr>
        <w:numId w:val="6"/>
      </w:numPr>
    </w:pPr>
  </w:style>
  <w:style w:type="paragraph" w:customStyle="1" w:styleId="biblio">
    <w:name w:val="biblio"/>
    <w:basedOn w:val="Normal"/>
    <w:rsid w:val="00742CBC"/>
    <w:pPr>
      <w:keepLines/>
      <w:spacing w:after="240"/>
      <w:ind w:left="720" w:hanging="720"/>
    </w:pPr>
    <w:rPr>
      <w:rFonts w:ascii="Calibri" w:hAnsi="Calibri"/>
      <w:sz w:val="22"/>
      <w:szCs w:val="20"/>
    </w:rPr>
  </w:style>
  <w:style w:type="paragraph" w:customStyle="1" w:styleId="ExhibitSource">
    <w:name w:val="ExhibitSource"/>
    <w:basedOn w:val="Normal"/>
    <w:qFormat/>
    <w:rsid w:val="00C82FAA"/>
    <w:pPr>
      <w:spacing w:after="120" w:line="276" w:lineRule="auto"/>
    </w:pPr>
    <w:rPr>
      <w:rFonts w:ascii="Calibri" w:eastAsia="Calibri" w:hAnsi="Calibri" w:cs="Arial"/>
      <w:sz w:val="22"/>
      <w:szCs w:val="22"/>
    </w:rPr>
  </w:style>
  <w:style w:type="paragraph" w:customStyle="1" w:styleId="Tabletext0">
    <w:name w:val="Table text"/>
    <w:qFormat/>
    <w:rsid w:val="00A175A1"/>
    <w:pPr>
      <w:spacing w:before="40" w:after="40"/>
    </w:pPr>
    <w:rPr>
      <w:rFonts w:ascii="Arial" w:hAnsi="Arial"/>
      <w:sz w:val="18"/>
    </w:rPr>
  </w:style>
  <w:style w:type="paragraph" w:customStyle="1" w:styleId="exhibitsource1">
    <w:name w:val="exhibit source1"/>
    <w:basedOn w:val="Normal"/>
    <w:rsid w:val="00A175A1"/>
    <w:pPr>
      <w:keepLines/>
      <w:spacing w:before="120"/>
      <w:ind w:left="187" w:hanging="187"/>
    </w:pPr>
    <w:rPr>
      <w:rFonts w:ascii="Arial" w:hAnsi="Arial"/>
      <w:sz w:val="18"/>
      <w:szCs w:val="20"/>
    </w:rPr>
  </w:style>
  <w:style w:type="paragraph" w:customStyle="1" w:styleId="bodytextpsg">
    <w:name w:val="body text_psg"/>
    <w:basedOn w:val="Normal"/>
    <w:link w:val="bodytextpsgChar"/>
    <w:rsid w:val="00363CF7"/>
    <w:pPr>
      <w:spacing w:before="120" w:after="120"/>
      <w:ind w:firstLine="432"/>
    </w:pPr>
    <w:rPr>
      <w:sz w:val="22"/>
      <w:szCs w:val="20"/>
    </w:rPr>
  </w:style>
  <w:style w:type="character" w:customStyle="1" w:styleId="bodytextpsgChar">
    <w:name w:val="body text_psg Char"/>
    <w:link w:val="bodytextpsg"/>
    <w:rsid w:val="00363CF7"/>
    <w:rPr>
      <w:sz w:val="22"/>
    </w:rPr>
  </w:style>
  <w:style w:type="paragraph" w:customStyle="1" w:styleId="ExhibitTitle">
    <w:name w:val="Exhibit Title"/>
    <w:basedOn w:val="Normal"/>
    <w:link w:val="ExhibitTitleChar"/>
    <w:qFormat/>
    <w:rsid w:val="00B42CD6"/>
    <w:pPr>
      <w:keepNext/>
      <w:keepLines/>
      <w:spacing w:before="240" w:after="120" w:line="260" w:lineRule="exact"/>
      <w:ind w:left="1080" w:hanging="1080"/>
    </w:pPr>
    <w:rPr>
      <w:rFonts w:ascii="Arial" w:hAnsi="Arial"/>
      <w:b/>
      <w:snapToGrid w:val="0"/>
      <w:sz w:val="22"/>
      <w:szCs w:val="20"/>
    </w:rPr>
  </w:style>
  <w:style w:type="character" w:customStyle="1" w:styleId="ExhibitTitleChar">
    <w:name w:val="Exhibit Title Char"/>
    <w:link w:val="ExhibitTitle"/>
    <w:rsid w:val="00B42CD6"/>
    <w:rPr>
      <w:rFonts w:ascii="Arial" w:hAnsi="Arial"/>
      <w:b/>
      <w:snapToGrid w:val="0"/>
      <w:sz w:val="22"/>
    </w:rPr>
  </w:style>
  <w:style w:type="paragraph" w:styleId="TOC1">
    <w:name w:val="toc 1"/>
    <w:basedOn w:val="Normal"/>
    <w:next w:val="Normal"/>
    <w:autoRedefine/>
    <w:uiPriority w:val="39"/>
    <w:unhideWhenUsed/>
    <w:rsid w:val="003D351D"/>
    <w:pPr>
      <w:spacing w:after="100" w:line="276" w:lineRule="auto"/>
    </w:pPr>
    <w:rPr>
      <w:rFonts w:asciiTheme="minorHAnsi" w:eastAsiaTheme="minorHAnsi" w:hAnsiTheme="minorHAnsi" w:cstheme="minorBidi"/>
      <w:sz w:val="22"/>
      <w:szCs w:val="22"/>
    </w:rPr>
  </w:style>
  <w:style w:type="table" w:styleId="TableGrid">
    <w:name w:val="Table Grid"/>
    <w:basedOn w:val="TableNormal"/>
    <w:uiPriority w:val="39"/>
    <w:rsid w:val="006E68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fter12">
    <w:name w:val="Body Text_after12"/>
    <w:basedOn w:val="BodyText"/>
    <w:qFormat/>
    <w:rsid w:val="006E688A"/>
    <w:pPr>
      <w:spacing w:before="240" w:after="200" w:line="276" w:lineRule="auto"/>
      <w:ind w:firstLine="360"/>
    </w:pPr>
    <w:rPr>
      <w:rFonts w:asciiTheme="minorHAnsi" w:eastAsiaTheme="minorHAnsi" w:hAnsiTheme="minorHAnsi"/>
      <w:snapToGrid/>
      <w:sz w:val="22"/>
      <w:szCs w:val="22"/>
    </w:rPr>
  </w:style>
  <w:style w:type="character" w:styleId="Strong">
    <w:name w:val="Strong"/>
    <w:basedOn w:val="DefaultParagraphFont"/>
    <w:uiPriority w:val="22"/>
    <w:qFormat/>
    <w:rsid w:val="00D4292A"/>
    <w:rPr>
      <w:b/>
      <w:bCs/>
    </w:rPr>
  </w:style>
  <w:style w:type="paragraph" w:styleId="NoSpacing">
    <w:name w:val="No Spacing"/>
    <w:uiPriority w:val="1"/>
    <w:qFormat/>
    <w:rsid w:val="00D4292A"/>
    <w:rPr>
      <w:rFonts w:eastAsia="Calibri"/>
      <w:sz w:val="24"/>
      <w:szCs w:val="22"/>
    </w:rPr>
  </w:style>
  <w:style w:type="paragraph" w:styleId="Revision">
    <w:name w:val="Revision"/>
    <w:hidden/>
    <w:uiPriority w:val="99"/>
    <w:semiHidden/>
    <w:rsid w:val="00B955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7325">
      <w:bodyDiv w:val="1"/>
      <w:marLeft w:val="0"/>
      <w:marRight w:val="0"/>
      <w:marTop w:val="0"/>
      <w:marBottom w:val="0"/>
      <w:divBdr>
        <w:top w:val="none" w:sz="0" w:space="0" w:color="auto"/>
        <w:left w:val="none" w:sz="0" w:space="0" w:color="auto"/>
        <w:bottom w:val="none" w:sz="0" w:space="0" w:color="auto"/>
        <w:right w:val="none" w:sz="0" w:space="0" w:color="auto"/>
      </w:divBdr>
    </w:div>
    <w:div w:id="135876719">
      <w:bodyDiv w:val="1"/>
      <w:marLeft w:val="0"/>
      <w:marRight w:val="0"/>
      <w:marTop w:val="0"/>
      <w:marBottom w:val="0"/>
      <w:divBdr>
        <w:top w:val="none" w:sz="0" w:space="0" w:color="auto"/>
        <w:left w:val="none" w:sz="0" w:space="0" w:color="auto"/>
        <w:bottom w:val="none" w:sz="0" w:space="0" w:color="auto"/>
        <w:right w:val="none" w:sz="0" w:space="0" w:color="auto"/>
      </w:divBdr>
    </w:div>
    <w:div w:id="375592585">
      <w:bodyDiv w:val="1"/>
      <w:marLeft w:val="0"/>
      <w:marRight w:val="0"/>
      <w:marTop w:val="0"/>
      <w:marBottom w:val="0"/>
      <w:divBdr>
        <w:top w:val="none" w:sz="0" w:space="0" w:color="auto"/>
        <w:left w:val="none" w:sz="0" w:space="0" w:color="auto"/>
        <w:bottom w:val="none" w:sz="0" w:space="0" w:color="auto"/>
        <w:right w:val="none" w:sz="0" w:space="0" w:color="auto"/>
      </w:divBdr>
    </w:div>
    <w:div w:id="1090662442">
      <w:bodyDiv w:val="1"/>
      <w:marLeft w:val="0"/>
      <w:marRight w:val="0"/>
      <w:marTop w:val="0"/>
      <w:marBottom w:val="0"/>
      <w:divBdr>
        <w:top w:val="none" w:sz="0" w:space="0" w:color="auto"/>
        <w:left w:val="none" w:sz="0" w:space="0" w:color="auto"/>
        <w:bottom w:val="none" w:sz="0" w:space="0" w:color="auto"/>
        <w:right w:val="none" w:sz="0" w:space="0" w:color="auto"/>
      </w:divBdr>
    </w:div>
    <w:div w:id="1226719673">
      <w:bodyDiv w:val="1"/>
      <w:marLeft w:val="0"/>
      <w:marRight w:val="0"/>
      <w:marTop w:val="0"/>
      <w:marBottom w:val="0"/>
      <w:divBdr>
        <w:top w:val="none" w:sz="0" w:space="0" w:color="auto"/>
        <w:left w:val="none" w:sz="0" w:space="0" w:color="auto"/>
        <w:bottom w:val="none" w:sz="0" w:space="0" w:color="auto"/>
        <w:right w:val="none" w:sz="0" w:space="0" w:color="auto"/>
      </w:divBdr>
    </w:div>
    <w:div w:id="1282305498">
      <w:bodyDiv w:val="1"/>
      <w:marLeft w:val="0"/>
      <w:marRight w:val="0"/>
      <w:marTop w:val="0"/>
      <w:marBottom w:val="0"/>
      <w:divBdr>
        <w:top w:val="none" w:sz="0" w:space="0" w:color="auto"/>
        <w:left w:val="none" w:sz="0" w:space="0" w:color="auto"/>
        <w:bottom w:val="none" w:sz="0" w:space="0" w:color="auto"/>
        <w:right w:val="none" w:sz="0" w:space="0" w:color="auto"/>
      </w:divBdr>
    </w:div>
    <w:div w:id="1523350929">
      <w:bodyDiv w:val="1"/>
      <w:marLeft w:val="0"/>
      <w:marRight w:val="0"/>
      <w:marTop w:val="0"/>
      <w:marBottom w:val="0"/>
      <w:divBdr>
        <w:top w:val="none" w:sz="0" w:space="0" w:color="auto"/>
        <w:left w:val="none" w:sz="0" w:space="0" w:color="auto"/>
        <w:bottom w:val="none" w:sz="0" w:space="0" w:color="auto"/>
        <w:right w:val="none" w:sz="0" w:space="0" w:color="auto"/>
      </w:divBdr>
    </w:div>
    <w:div w:id="1899435913">
      <w:bodyDiv w:val="1"/>
      <w:marLeft w:val="0"/>
      <w:marRight w:val="0"/>
      <w:marTop w:val="0"/>
      <w:marBottom w:val="0"/>
      <w:divBdr>
        <w:top w:val="none" w:sz="0" w:space="0" w:color="auto"/>
        <w:left w:val="none" w:sz="0" w:space="0" w:color="auto"/>
        <w:bottom w:val="none" w:sz="0" w:space="0" w:color="auto"/>
        <w:right w:val="none" w:sz="0" w:space="0" w:color="auto"/>
      </w:divBdr>
    </w:div>
    <w:div w:id="206493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inforeg/stat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726D7-5134-4917-A58D-7D5E53B9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2381</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15928</CharactersWithSpaces>
  <SharedDoc>false</SharedDoc>
  <HLinks>
    <vt:vector size="12" baseType="variant">
      <vt:variant>
        <vt:i4>983134</vt:i4>
      </vt:variant>
      <vt:variant>
        <vt:i4>3</vt:i4>
      </vt:variant>
      <vt:variant>
        <vt:i4>0</vt:i4>
      </vt:variant>
      <vt:variant>
        <vt:i4>5</vt:i4>
      </vt:variant>
      <vt:variant>
        <vt:lpwstr>http://www.whitehouse.gov/sites/default/files/omb/inforeg/statpc</vt:lpwstr>
      </vt:variant>
      <vt:variant>
        <vt:lpwstr/>
      </vt:variant>
      <vt:variant>
        <vt:i4>5767246</vt:i4>
      </vt:variant>
      <vt:variant>
        <vt:i4>0</vt:i4>
      </vt:variant>
      <vt:variant>
        <vt:i4>0</vt:i4>
      </vt:variant>
      <vt:variant>
        <vt:i4>5</vt:i4>
      </vt:variant>
      <vt:variant>
        <vt:lpwstr>http://www.ncss.com/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Aikin, Kathryn J</dc:creator>
  <cp:lastModifiedBy>Mizrachi, Ila</cp:lastModifiedBy>
  <cp:revision>6</cp:revision>
  <dcterms:created xsi:type="dcterms:W3CDTF">2020-10-23T17:42:00Z</dcterms:created>
  <dcterms:modified xsi:type="dcterms:W3CDTF">2020-10-23T17:48:00Z</dcterms:modified>
</cp:coreProperties>
</file>