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141393971"/>
        <w:docPartObj>
          <w:docPartGallery w:val="Cover Pages"/>
          <w:docPartUnique/>
        </w:docPartObj>
      </w:sdtPr>
      <w:sdtEndPr/>
      <w:sdtContent>
        <w:p w:rsidR="00FE6EA5" w:rsidRDefault="00FE6EA5" w14:paraId="13B77232" w14:textId="77777777"/>
        <w:p w:rsidR="00195414" w:rsidP="00195414" w:rsidRDefault="007773A0" w14:paraId="7FA49A23" w14:textId="2E95F22D"/>
      </w:sdtContent>
    </w:sdt>
    <w:p w:rsidRPr="00195414" w:rsidR="00E35DD1" w:rsidP="00F75931" w:rsidRDefault="00E35DD1" w14:paraId="68BA36D6" w14:textId="77777777">
      <w:pPr>
        <w:jc w:val="center"/>
        <w:rPr>
          <w:rFonts w:eastAsia="Times New Roman" w:cs="Times New Roman"/>
        </w:rPr>
      </w:pPr>
      <w:r w:rsidRPr="00E35DD1">
        <w:t>Supporting Statement A for</w:t>
      </w:r>
    </w:p>
    <w:p w:rsidRPr="00E35DD1" w:rsidR="00E35DD1" w:rsidP="00F75931" w:rsidRDefault="00E35DD1" w14:paraId="4AD68EFA" w14:textId="77777777">
      <w:pPr>
        <w:pStyle w:val="P1-StandPara"/>
        <w:tabs>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F75931" w:rsidR="00F75931" w:rsidP="00F75931" w:rsidRDefault="00F75931" w14:paraId="140BA3C0" w14:textId="77777777">
      <w:pPr>
        <w:pStyle w:val="P1-StandPara"/>
        <w:tabs>
          <w:tab w:val="left" w:pos="720"/>
          <w:tab w:val="right" w:leader="dot" w:pos="9504"/>
        </w:tabs>
        <w:spacing w:before="120" w:after="120"/>
        <w:ind w:firstLine="0"/>
        <w:jc w:val="center"/>
        <w:rPr>
          <w:rFonts w:asciiTheme="minorHAnsi" w:hAnsiTheme="minorHAnsi"/>
          <w:szCs w:val="22"/>
        </w:rPr>
      </w:pPr>
      <w:r w:rsidRPr="00F75931">
        <w:rPr>
          <w:rFonts w:asciiTheme="minorHAnsi" w:hAnsiTheme="minorHAnsi"/>
          <w:szCs w:val="22"/>
        </w:rPr>
        <w:t>Prevention Research Expertise Survey</w:t>
      </w:r>
    </w:p>
    <w:p w:rsidR="00E35DD1" w:rsidP="00F75931" w:rsidRDefault="00F75931" w14:paraId="2437E17E" w14:textId="1D95B805">
      <w:pPr>
        <w:pStyle w:val="P1-StandPara"/>
        <w:tabs>
          <w:tab w:val="left" w:pos="720"/>
          <w:tab w:val="right" w:leader="dot" w:pos="9504"/>
        </w:tabs>
        <w:spacing w:before="120" w:after="120"/>
        <w:ind w:firstLine="0"/>
        <w:jc w:val="center"/>
        <w:rPr>
          <w:rFonts w:asciiTheme="minorHAnsi" w:hAnsiTheme="minorHAnsi"/>
          <w:szCs w:val="22"/>
        </w:rPr>
      </w:pPr>
      <w:r w:rsidRPr="00F75931">
        <w:rPr>
          <w:rFonts w:asciiTheme="minorHAnsi" w:hAnsiTheme="minorHAnsi"/>
          <w:szCs w:val="22"/>
        </w:rPr>
        <w:t>National Institutes of Health, Office of Disease Prevention (ODP)</w:t>
      </w:r>
    </w:p>
    <w:p w:rsidRPr="00E35DD1" w:rsidR="00976490" w:rsidP="00767C53" w:rsidRDefault="00FF30CE" w14:paraId="0ED25BFE" w14:textId="670D4809">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Pr="00F75931" w:rsidR="00F75931">
        <w:rPr>
          <w:rFonts w:asciiTheme="minorHAnsi" w:hAnsiTheme="minorHAnsi"/>
          <w:szCs w:val="22"/>
        </w:rPr>
        <w:t>0925-0728, Expiration date 11/30/2020</w:t>
      </w:r>
    </w:p>
    <w:p w:rsidR="00024899" w:rsidP="00E35DD1" w:rsidRDefault="00E35DD1" w14:paraId="680B9135"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1ECE92EB" w14:textId="6EF32132">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A52412">
        <w:rPr>
          <w:rFonts w:asciiTheme="minorHAnsi" w:hAnsiTheme="minorHAnsi"/>
          <w:szCs w:val="22"/>
        </w:rPr>
        <w:t>October 5, 2020</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Pr="006053C2" w:rsidR="006053C2" w:rsidP="009145A9" w:rsidRDefault="007B7A5E" w14:paraId="3AD7608C" w14:textId="685F0068">
      <w:pPr>
        <w:spacing w:before="120" w:after="0" w:line="240" w:lineRule="auto"/>
        <w:ind w:left="360"/>
        <w:rPr>
          <w:highlight w:val="yellow"/>
        </w:rPr>
      </w:pPr>
      <w:r w:rsidRPr="009145A9">
        <w:rPr>
          <w:b/>
          <w:bCs/>
          <w:highlight w:val="yellow"/>
        </w:rPr>
        <w:t xml:space="preserve">X </w:t>
      </w:r>
      <w:r>
        <w:rPr>
          <w:highlight w:val="yellow"/>
        </w:rPr>
        <w:t xml:space="preserve">    </w:t>
      </w:r>
      <w:r w:rsidRPr="006053C2" w:rsidR="00FF30CE">
        <w:rPr>
          <w:highlight w:val="yellow"/>
        </w:rPr>
        <w:t>Revision</w:t>
      </w:r>
    </w:p>
    <w:p w:rsidR="006053C2" w:rsidP="007B7A5E" w:rsidRDefault="006053C2" w14:paraId="6557FB05" w14:textId="77777777">
      <w:pPr>
        <w:numPr>
          <w:ilvl w:val="0"/>
          <w:numId w:val="11"/>
        </w:numPr>
        <w:spacing w:after="0" w:line="240" w:lineRule="auto"/>
      </w:pPr>
      <w:r>
        <w:t>Reinstatement with Change</w:t>
      </w:r>
    </w:p>
    <w:p w:rsidR="006053C2" w:rsidP="007B7A5E" w:rsidRDefault="006053C2" w14:paraId="7B45DEAE" w14:textId="77777777">
      <w:pPr>
        <w:numPr>
          <w:ilvl w:val="0"/>
          <w:numId w:val="11"/>
        </w:numPr>
        <w:spacing w:after="0" w:line="240" w:lineRule="auto"/>
      </w:pPr>
      <w:r>
        <w:t>Reinstatement without Change</w:t>
      </w:r>
    </w:p>
    <w:p w:rsidR="00FF30CE" w:rsidP="006005D0" w:rsidRDefault="006053C2" w14:paraId="45BA54F5" w14:textId="5022ED1B">
      <w:pPr>
        <w:numPr>
          <w:ilvl w:val="0"/>
          <w:numId w:val="11"/>
        </w:numPr>
        <w:spacing w:after="0" w:line="240" w:lineRule="auto"/>
        <w:ind w:left="360" w:firstLine="0"/>
      </w:pPr>
      <w:r>
        <w:t>Extension</w:t>
      </w:r>
      <w:r w:rsidR="00FF30CE">
        <w:tab/>
      </w:r>
      <w:r w:rsidR="00FF30CE">
        <w:tab/>
      </w:r>
      <w:r w:rsidR="00FF30CE">
        <w:tab/>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1E8DCC95">
      <w:pPr>
        <w:numPr>
          <w:ilvl w:val="0"/>
          <w:numId w:val="11"/>
        </w:numPr>
        <w:spacing w:after="0" w:line="240" w:lineRule="auto"/>
      </w:pPr>
      <w:r>
        <w:t>Existing</w:t>
      </w:r>
      <w:r w:rsidR="000A139A">
        <w:t xml:space="preserve"> w/o OMB approval</w:t>
      </w:r>
    </w:p>
    <w:p w:rsidRPr="00E35DD1" w:rsidR="00E35DD1" w:rsidP="00E35DD1" w:rsidRDefault="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E35DD1"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E35DD1" w:rsidR="00E35DD1" w:rsidP="00BE76A7" w:rsidRDefault="00E35DD1" w14:paraId="684ABDC4" w14:textId="12163BEA">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F75931">
        <w:rPr>
          <w:rFonts w:asciiTheme="minorHAnsi" w:hAnsiTheme="minorHAnsi"/>
          <w:szCs w:val="22"/>
        </w:rPr>
        <w:t xml:space="preserve"> </w:t>
      </w:r>
      <w:r w:rsidR="00A52412">
        <w:rPr>
          <w:rFonts w:asciiTheme="minorHAnsi" w:hAnsiTheme="minorHAnsi"/>
          <w:szCs w:val="22"/>
        </w:rPr>
        <w:t>Keisha L. Shropshire, ODP Project Clearance Liaison</w:t>
      </w:r>
    </w:p>
    <w:p w:rsidRPr="00E35DD1" w:rsidR="00E35DD1" w:rsidP="00BE76A7" w:rsidRDefault="00E35DD1" w14:paraId="165F09E8" w14:textId="32914F7C">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F75931">
        <w:rPr>
          <w:rFonts w:asciiTheme="minorHAnsi" w:hAnsiTheme="minorHAnsi"/>
          <w:szCs w:val="22"/>
        </w:rPr>
        <w:t xml:space="preserve"> </w:t>
      </w:r>
      <w:r w:rsidRPr="00417522" w:rsidR="00F75931">
        <w:rPr>
          <w:rFonts w:asciiTheme="minorHAnsi" w:hAnsiTheme="minorHAnsi"/>
          <w:szCs w:val="22"/>
        </w:rPr>
        <w:t>6100 Executive Blvd, Suite 2B03, MSC 7523, Bethesda MD 20892</w:t>
      </w:r>
    </w:p>
    <w:p w:rsidRPr="00E35DD1" w:rsidR="00E35DD1" w:rsidP="00BE76A7" w:rsidRDefault="00E35DD1" w14:paraId="570BCCDE" w14:textId="17B73D4B">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F75931">
        <w:rPr>
          <w:rFonts w:asciiTheme="minorHAnsi" w:hAnsiTheme="minorHAnsi"/>
          <w:szCs w:val="22"/>
        </w:rPr>
        <w:t xml:space="preserve"> </w:t>
      </w:r>
      <w:r w:rsidRPr="00417522" w:rsidR="00F75931">
        <w:rPr>
          <w:rFonts w:asciiTheme="minorHAnsi" w:hAnsiTheme="minorHAnsi"/>
          <w:szCs w:val="22"/>
        </w:rPr>
        <w:t>(301) 827–5561</w:t>
      </w:r>
    </w:p>
    <w:p w:rsidRPr="00E35DD1" w:rsidR="00E35DD1" w:rsidP="00BE76A7" w:rsidRDefault="00E35DD1" w14:paraId="7ABF3457" w14:textId="6CE4648E">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F75931">
        <w:rPr>
          <w:rFonts w:asciiTheme="minorHAnsi" w:hAnsiTheme="minorHAnsi"/>
          <w:szCs w:val="22"/>
        </w:rPr>
        <w:t xml:space="preserve"> </w:t>
      </w:r>
      <w:r w:rsidRPr="00417522" w:rsidR="00F75931">
        <w:rPr>
          <w:rFonts w:asciiTheme="minorHAnsi" w:hAnsiTheme="minorHAnsi"/>
          <w:szCs w:val="22"/>
        </w:rPr>
        <w:t>(301) 480–7660</w:t>
      </w:r>
    </w:p>
    <w:p w:rsidRPr="00FA64F8" w:rsidR="00E35DD1" w:rsidP="00BE76A7" w:rsidRDefault="00E35DD1" w14:paraId="1447E9B1" w14:textId="033E8F90">
      <w:pPr>
        <w:pStyle w:val="P1-StandPara"/>
        <w:tabs>
          <w:tab w:val="left" w:pos="720"/>
          <w:tab w:val="right" w:leader="dot" w:pos="9504"/>
        </w:tabs>
        <w:spacing w:before="120" w:line="240" w:lineRule="auto"/>
        <w:ind w:firstLine="0"/>
        <w:rPr>
          <w:rFonts w:asciiTheme="minorHAnsi" w:hAnsiTheme="minorHAnsi" w:cstheme="minorHAnsi"/>
          <w:szCs w:val="22"/>
        </w:rPr>
      </w:pPr>
      <w:r w:rsidRPr="00FA64F8">
        <w:rPr>
          <w:rFonts w:asciiTheme="minorHAnsi" w:hAnsiTheme="minorHAnsi" w:cstheme="minorHAnsi"/>
          <w:szCs w:val="22"/>
        </w:rPr>
        <w:t>Email:</w:t>
      </w:r>
      <w:r w:rsidRPr="00FA64F8" w:rsidR="00F75931">
        <w:rPr>
          <w:rFonts w:asciiTheme="minorHAnsi" w:hAnsiTheme="minorHAnsi" w:cstheme="minorHAnsi"/>
          <w:szCs w:val="22"/>
        </w:rPr>
        <w:t xml:space="preserve"> </w:t>
      </w:r>
      <w:hyperlink w:history="1" r:id="rId12">
        <w:r w:rsidRPr="00817EC7" w:rsidR="00A52412">
          <w:rPr>
            <w:rStyle w:val="Hyperlink"/>
            <w:rFonts w:asciiTheme="minorHAnsi" w:hAnsiTheme="minorHAnsi" w:cstheme="minorHAnsi"/>
            <w:szCs w:val="22"/>
          </w:rPr>
          <w:t>odp_prapubliccomments@od.nih.gov</w:t>
        </w:r>
      </w:hyperlink>
    </w:p>
    <w:p w:rsidR="00CF42F9" w:rsidP="00E35DD1" w:rsidRDefault="00CF42F9" w14:paraId="49D71FC8" w14:textId="36E2E3A7">
      <w:pPr>
        <w:pStyle w:val="P1-StandPara"/>
        <w:tabs>
          <w:tab w:val="left" w:pos="720"/>
          <w:tab w:val="right" w:leader="dot" w:pos="9504"/>
        </w:tabs>
        <w:spacing w:before="120" w:after="120"/>
        <w:rPr>
          <w:rFonts w:asciiTheme="minorHAnsi" w:hAnsiTheme="minorHAnsi"/>
          <w:b/>
          <w:szCs w:val="22"/>
          <w:u w:val="single"/>
        </w:rPr>
      </w:pPr>
    </w:p>
    <w:p w:rsidR="00A52412" w:rsidP="00E35DD1" w:rsidRDefault="00A52412" w14:paraId="39444E97" w14:textId="77777777">
      <w:pPr>
        <w:pStyle w:val="P1-StandPara"/>
        <w:tabs>
          <w:tab w:val="left" w:pos="720"/>
          <w:tab w:val="right" w:leader="dot" w:pos="9504"/>
        </w:tabs>
        <w:spacing w:before="120" w:after="120"/>
        <w:rPr>
          <w:rFonts w:asciiTheme="minorHAnsi" w:hAnsiTheme="minorHAnsi"/>
          <w:b/>
          <w:szCs w:val="22"/>
          <w:u w:val="single"/>
        </w:rPr>
      </w:pPr>
    </w:p>
    <w:p w:rsidRPr="00E35DD1" w:rsidR="00E35DD1" w:rsidP="00E35DD1" w:rsidRDefault="00E35DD1" w14:paraId="245B699E" w14:textId="24D99288">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7D11BF" w:rsidR="006A45F9" w:rsidP="00E35DD1" w:rsidRDefault="006A45F9" w14:paraId="1FDE63E2" w14:textId="088D3904">
      <w:pPr>
        <w:pStyle w:val="P1-StandPara"/>
        <w:ind w:firstLine="0"/>
        <w:rPr>
          <w:rFonts w:asciiTheme="minorHAnsi" w:hAnsiTheme="minorHAnsi"/>
          <w:b/>
          <w:i/>
          <w:szCs w:val="22"/>
        </w:rPr>
      </w:pPr>
    </w:p>
    <w:p w:rsidR="00376FBD" w:rsidP="00E35DD1" w:rsidRDefault="00E35DD1" w14:paraId="31AA879B" w14:textId="1D6400A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376FBD" w:rsidRDefault="00376FBD" w14:paraId="20796840" w14:textId="25A758B3">
      <w:r>
        <w:br w:type="page"/>
      </w:r>
    </w:p>
    <w:p w:rsidR="00140813" w:rsidP="003D5637" w:rsidRDefault="00140813" w14:paraId="7A4136F3" w14:textId="7DA69575">
      <w:pPr>
        <w:contextualSpacing/>
      </w:pPr>
      <w:bookmarkStart w:name="_Hlk52377595" w:id="1"/>
      <w:r>
        <w:lastRenderedPageBreak/>
        <w:t xml:space="preserve">Attachment </w:t>
      </w:r>
      <w:r w:rsidR="00745568">
        <w:t>1</w:t>
      </w:r>
      <w:r w:rsidR="003D5637">
        <w:t>:</w:t>
      </w:r>
      <w:r>
        <w:t xml:space="preserve"> Screenshots of Revised Prevention Research Expertise Survey</w:t>
      </w:r>
    </w:p>
    <w:bookmarkEnd w:id="1"/>
    <w:p w:rsidR="00745568" w:rsidP="003D5637" w:rsidRDefault="00745568" w14:paraId="5EF10361" w14:textId="1289EBBC">
      <w:pPr>
        <w:contextualSpacing/>
      </w:pPr>
      <w:r>
        <w:t>Attachment 2: P</w:t>
      </w:r>
      <w:r w:rsidR="00E2054C">
        <w:t xml:space="preserve">rivacy </w:t>
      </w:r>
      <w:r>
        <w:t>I</w:t>
      </w:r>
      <w:r w:rsidR="00E2054C">
        <w:t xml:space="preserve">mpact </w:t>
      </w:r>
      <w:r>
        <w:t>A</w:t>
      </w:r>
      <w:r w:rsidR="00E2054C">
        <w:t>ssessment (PIA)</w:t>
      </w:r>
    </w:p>
    <w:p w:rsidR="00745568" w:rsidP="003D5637" w:rsidRDefault="00745568" w14:paraId="5793FDE6" w14:textId="052E1457">
      <w:pPr>
        <w:contextualSpacing/>
      </w:pPr>
      <w:r>
        <w:t>Attachment 3: Consultants and Advisors</w:t>
      </w:r>
    </w:p>
    <w:p w:rsidR="00140813" w:rsidP="003D5637" w:rsidRDefault="00140813" w14:paraId="5642E2B4" w14:textId="19AD65D9">
      <w:pPr>
        <w:contextualSpacing/>
      </w:pPr>
      <w:r>
        <w:t xml:space="preserve">Attachment </w:t>
      </w:r>
      <w:r w:rsidR="00745568">
        <w:t>4</w:t>
      </w:r>
      <w:r w:rsidR="003D5637">
        <w:t>:</w:t>
      </w:r>
      <w:r>
        <w:t xml:space="preserve"> </w:t>
      </w:r>
      <w:r w:rsidR="00745568">
        <w:t xml:space="preserve">Privacy Act </w:t>
      </w:r>
      <w:r>
        <w:t>Memo</w:t>
      </w:r>
    </w:p>
    <w:p w:rsidR="00376FBD" w:rsidP="003D5637" w:rsidRDefault="00140813" w14:paraId="2002A3AB" w14:textId="2C29034F">
      <w:pPr>
        <w:contextualSpacing/>
      </w:pPr>
      <w:r>
        <w:t xml:space="preserve">Attachment </w:t>
      </w:r>
      <w:r w:rsidR="00745568">
        <w:t>5</w:t>
      </w:r>
      <w:r w:rsidR="003D5637">
        <w:t>:</w:t>
      </w:r>
      <w:r>
        <w:t xml:space="preserve"> Participant Emails</w:t>
      </w:r>
      <w:r w:rsidR="00376FBD">
        <w:br w:type="page"/>
      </w:r>
    </w:p>
    <w:p w:rsidR="00976490" w:rsidP="00BE76A7" w:rsidRDefault="00976490" w14:paraId="6C67AC7F"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A6245" w:rsidRDefault="006A45F9" w14:paraId="605173DA" w14:textId="77777777">
      <w:pPr>
        <w:pStyle w:val="P1-StandPara"/>
        <w:tabs>
          <w:tab w:val="left" w:pos="720"/>
          <w:tab w:val="right" w:leader="dot" w:pos="9504"/>
        </w:tabs>
        <w:spacing w:after="160" w:line="259"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Pr="00611DA6" w:rsidR="00CF42F9" w:rsidP="00611DA6" w:rsidRDefault="00611DA6" w14:paraId="3D7A21F0" w14:textId="7C76BD19">
      <w:r w:rsidRPr="00611DA6">
        <w:t xml:space="preserve">The Office of Disease Prevention (ODP) at the National Institutes of Health (NIH) is responsible for assessing, facilitating, and stimulating research in disease prevention and health promotion, and disseminating the results of this research to improve public health. </w:t>
      </w:r>
      <w:r w:rsidR="00B601F5">
        <w:t xml:space="preserve">Among the ODP’s </w:t>
      </w:r>
      <w:r w:rsidRPr="00611DA6">
        <w:t>priorit</w:t>
      </w:r>
      <w:r w:rsidR="00B601F5">
        <w:t>ies</w:t>
      </w:r>
      <w:r w:rsidRPr="00611DA6">
        <w:t xml:space="preserve"> is promot</w:t>
      </w:r>
      <w:r w:rsidR="00587493">
        <w:t>ing</w:t>
      </w:r>
      <w:r w:rsidRPr="00611DA6">
        <w:t xml:space="preserve"> the use of the best available methods in prevention research and support</w:t>
      </w:r>
      <w:r w:rsidR="00587493">
        <w:t>ing</w:t>
      </w:r>
      <w:r w:rsidRPr="00611DA6">
        <w:t xml:space="preserve"> the development of better methods. One of our strategies is to help NIH Scientific Review Officers (SROs) identify experts in prevention science methods to include on their review panels. This strengthen</w:t>
      </w:r>
      <w:r w:rsidR="008C0C7D">
        <w:t>s</w:t>
      </w:r>
      <w:r w:rsidRPr="00611DA6">
        <w:t xml:space="preserve"> </w:t>
      </w:r>
      <w:r w:rsidR="00587493">
        <w:t xml:space="preserve">the </w:t>
      </w:r>
      <w:r w:rsidRPr="00611DA6">
        <w:t>panels and improve</w:t>
      </w:r>
      <w:r w:rsidR="00C827BC">
        <w:t>s</w:t>
      </w:r>
      <w:r w:rsidRPr="00611DA6">
        <w:t xml:space="preserve"> the quality of prevention research supported by NIH. To identify experts in prevention science methods, we developed online </w:t>
      </w:r>
      <w:r w:rsidR="00FF7C38">
        <w:t xml:space="preserve">survey </w:t>
      </w:r>
      <w:r w:rsidRPr="00611DA6">
        <w:t xml:space="preserve">software that allows us to collect researchers’ names, contact information, and resumes, as well as </w:t>
      </w:r>
      <w:r w:rsidR="00C376D3">
        <w:t xml:space="preserve">allows </w:t>
      </w:r>
      <w:r w:rsidRPr="00611DA6">
        <w:t>those researchers</w:t>
      </w:r>
      <w:r w:rsidR="00FF7C38">
        <w:t xml:space="preserve"> to</w:t>
      </w:r>
      <w:r w:rsidRPr="00611DA6">
        <w:t xml:space="preserve"> identify their level of expertise in a variety of prevention science methods and content areas. The data collected with this</w:t>
      </w:r>
      <w:r w:rsidR="00FF7C38">
        <w:t xml:space="preserve"> survey</w:t>
      </w:r>
      <w:r w:rsidRPr="00611DA6">
        <w:t xml:space="preserve"> software </w:t>
      </w:r>
      <w:r w:rsidR="00C376D3">
        <w:t>populate</w:t>
      </w:r>
      <w:r w:rsidRPr="00611DA6">
        <w:t xml:space="preserve"> a web-based Directory that SROs can use to identify researchers with expertise in specific prevention science methods and content areas for invitation to serve on </w:t>
      </w:r>
      <w:r w:rsidR="00FF7C38">
        <w:t>an</w:t>
      </w:r>
      <w:r w:rsidRPr="00611DA6">
        <w:t xml:space="preserve"> NIH review panels. This </w:t>
      </w:r>
      <w:r w:rsidR="00C827BC">
        <w:t>Directory</w:t>
      </w:r>
      <w:r w:rsidRPr="00611DA6">
        <w:t xml:space="preserve"> is also shared with review staff in the other </w:t>
      </w:r>
      <w:r w:rsidR="00193BEB">
        <w:t xml:space="preserve">NIH </w:t>
      </w:r>
      <w:r w:rsidRPr="00611DA6">
        <w:t>Institutes</w:t>
      </w:r>
      <w:r w:rsidR="00193BEB">
        <w:t xml:space="preserve">, </w:t>
      </w:r>
      <w:r w:rsidRPr="00611DA6">
        <w:t>Centers</w:t>
      </w:r>
      <w:r w:rsidR="00193BEB">
        <w:t>, and Offices</w:t>
      </w:r>
      <w:r w:rsidRPr="00611DA6">
        <w:t xml:space="preserve">, as well as other DHHS agencies. </w:t>
      </w:r>
      <w:r w:rsidRPr="00B902B1">
        <w:rPr>
          <w:highlight w:val="yellow"/>
        </w:rPr>
        <w:t xml:space="preserve">We are seeking OMB approval for </w:t>
      </w:r>
      <w:r w:rsidRPr="00B902B1" w:rsidR="006053C2">
        <w:rPr>
          <w:highlight w:val="yellow"/>
        </w:rPr>
        <w:t xml:space="preserve">a </w:t>
      </w:r>
      <w:r w:rsidRPr="00B902B1">
        <w:rPr>
          <w:highlight w:val="yellow"/>
        </w:rPr>
        <w:t>revision to our data collection plan for the next 3 years.</w:t>
      </w:r>
    </w:p>
    <w:p w:rsidRPr="00E35DD1" w:rsidR="000F3043" w:rsidP="00BA6245" w:rsidRDefault="000F3043" w14:paraId="278F4695" w14:textId="77777777">
      <w:pPr>
        <w:pStyle w:val="P1-StandPara"/>
        <w:tabs>
          <w:tab w:val="left" w:pos="720"/>
          <w:tab w:val="right" w:leader="dot" w:pos="9504"/>
        </w:tabs>
        <w:spacing w:after="160" w:line="259" w:lineRule="auto"/>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Pr="00EF585A" w:rsidR="00EF585A" w:rsidP="00EF585A" w:rsidRDefault="00EF585A" w14:paraId="399B8272" w14:textId="77777777">
      <w:r w:rsidRPr="00EF585A">
        <w:t xml:space="preserve">The NIH Office of Disease Prevention (ODP) Prevention Research Expertise Survey (PRES) program was developed to (1) identify methodologists with expertise in content areas related to prevention science, (2) identify mid- and senior- level researchers who may have an interest in serving on review panels, and (3) to enrich the existing pool of NIH reviewers by including researchers with methodological and prevention science expertise that review prevention applications.   </w:t>
      </w:r>
    </w:p>
    <w:p w:rsidRPr="00EF585A" w:rsidR="00EF585A" w:rsidP="00EF585A" w:rsidRDefault="00EF585A" w14:paraId="1DE82536" w14:textId="752589D1">
      <w:r w:rsidRPr="00EF585A">
        <w:t xml:space="preserve">Researchers interested in providing their information for the PRES program </w:t>
      </w:r>
      <w:r w:rsidR="006C5EA3">
        <w:t xml:space="preserve">take the </w:t>
      </w:r>
      <w:r w:rsidR="007F465A">
        <w:t xml:space="preserve">online </w:t>
      </w:r>
      <w:r w:rsidR="006C5EA3">
        <w:t xml:space="preserve">survey and </w:t>
      </w:r>
      <w:r w:rsidRPr="00EF585A">
        <w:t xml:space="preserve">submit their identifying information, content and methodological areas of expertise, Curriculum Vitae (CV) or professional resumes, and willingness to serve on a review panel. They are included in the </w:t>
      </w:r>
      <w:r w:rsidR="00CC6F34">
        <w:t xml:space="preserve">linked </w:t>
      </w:r>
      <w:r w:rsidRPr="00EF585A">
        <w:t xml:space="preserve">PRES </w:t>
      </w:r>
      <w:r w:rsidR="00D96F9E">
        <w:t>D</w:t>
      </w:r>
      <w:r w:rsidR="00C45FAA">
        <w:t>irectory</w:t>
      </w:r>
      <w:r w:rsidRPr="00EF585A">
        <w:t xml:space="preserve"> based on their self-reported level of expertise in methodological and prevention science content areas, as well as the information provided in their CVs</w:t>
      </w:r>
      <w:r w:rsidR="00C45FAA">
        <w:t xml:space="preserve">, which are </w:t>
      </w:r>
      <w:r w:rsidRPr="00EF585A">
        <w:t xml:space="preserve">commonly used </w:t>
      </w:r>
      <w:r w:rsidR="00C45FAA">
        <w:t>by researchers and other professionals</w:t>
      </w:r>
      <w:r w:rsidRPr="00EF585A">
        <w:t xml:space="preserve"> </w:t>
      </w:r>
      <w:r w:rsidR="00B20106">
        <w:t>to</w:t>
      </w:r>
      <w:r w:rsidRPr="00EF585A" w:rsidR="00B20106">
        <w:t xml:space="preserve"> </w:t>
      </w:r>
      <w:r w:rsidRPr="00EF585A">
        <w:t xml:space="preserve">record work history and </w:t>
      </w:r>
      <w:r w:rsidR="00C45FAA">
        <w:t xml:space="preserve">professional </w:t>
      </w:r>
      <w:r w:rsidRPr="00EF585A">
        <w:t xml:space="preserve">accomplishments. </w:t>
      </w:r>
      <w:r w:rsidR="00C45FAA">
        <w:t xml:space="preserve">NIH </w:t>
      </w:r>
      <w:r>
        <w:t>Scientific</w:t>
      </w:r>
      <w:r w:rsidRPr="00EF585A">
        <w:t xml:space="preserve"> Review Officers (SROs) </w:t>
      </w:r>
      <w:r w:rsidR="004F1BDD">
        <w:t xml:space="preserve">regularly </w:t>
      </w:r>
      <w:r w:rsidRPr="00EF585A">
        <w:t xml:space="preserve">review the CVs of </w:t>
      </w:r>
      <w:r w:rsidR="00B20106">
        <w:t>potential reviewers</w:t>
      </w:r>
      <w:r w:rsidRPr="00EF585A">
        <w:t xml:space="preserve"> </w:t>
      </w:r>
      <w:r w:rsidR="00C45FAA">
        <w:t>to assess their</w:t>
      </w:r>
      <w:r w:rsidRPr="00EF585A">
        <w:t xml:space="preserve"> current employment, publication history, grants received, and other professional achievements, all of which </w:t>
      </w:r>
      <w:r w:rsidR="008151C9">
        <w:t>provide</w:t>
      </w:r>
      <w:r w:rsidRPr="00EF585A" w:rsidR="008151C9">
        <w:t xml:space="preserve"> </w:t>
      </w:r>
      <w:r w:rsidR="008151C9">
        <w:t>valuable</w:t>
      </w:r>
      <w:r w:rsidRPr="00EF585A">
        <w:t xml:space="preserve"> </w:t>
      </w:r>
      <w:r w:rsidR="008151C9">
        <w:t>information when</w:t>
      </w:r>
      <w:r w:rsidRPr="00EF585A" w:rsidR="008151C9">
        <w:t xml:space="preserve"> </w:t>
      </w:r>
      <w:r w:rsidRPr="00EF585A">
        <w:t xml:space="preserve">evaluating </w:t>
      </w:r>
      <w:r w:rsidR="007B02E9">
        <w:t xml:space="preserve">the appropriateness of an </w:t>
      </w:r>
      <w:r w:rsidR="008151C9">
        <w:t>individual</w:t>
      </w:r>
      <w:r w:rsidRPr="00EF585A">
        <w:t xml:space="preserve"> to serve on </w:t>
      </w:r>
      <w:r w:rsidR="007B02E9">
        <w:t xml:space="preserve">a </w:t>
      </w:r>
      <w:r w:rsidRPr="00EF585A">
        <w:t xml:space="preserve">review panel. The legislative authority </w:t>
      </w:r>
      <w:r w:rsidR="00C45FAA">
        <w:t xml:space="preserve">allowing the </w:t>
      </w:r>
      <w:r w:rsidRPr="00EF585A">
        <w:t>collect</w:t>
      </w:r>
      <w:r w:rsidR="00C45FAA">
        <w:t>ion</w:t>
      </w:r>
      <w:r w:rsidRPr="00EF585A">
        <w:t xml:space="preserve"> </w:t>
      </w:r>
      <w:r w:rsidR="0082346D">
        <w:t>of</w:t>
      </w:r>
      <w:r w:rsidRPr="00EF585A">
        <w:t xml:space="preserve"> information from potential reviewers to determine their appropriateness to serve on grant application review panels is </w:t>
      </w:r>
      <w:r w:rsidRPr="00EF585A">
        <w:rPr>
          <w:i/>
          <w:iCs/>
        </w:rPr>
        <w:t>42 USC Section 241: Research and Investigations General</w:t>
      </w:r>
      <w:r w:rsidRPr="00EF585A">
        <w:t>.</w:t>
      </w:r>
    </w:p>
    <w:p w:rsidRPr="00E35DD1" w:rsidR="00EF585A" w:rsidP="00EF585A" w:rsidRDefault="008B2AAD" w14:paraId="73316AA8" w14:textId="490C47BF">
      <w:r>
        <w:t>The SROs</w:t>
      </w:r>
      <w:r w:rsidRPr="00EF585A" w:rsidR="00EF585A">
        <w:t xml:space="preserve"> </w:t>
      </w:r>
      <w:r w:rsidR="00A2080B">
        <w:t xml:space="preserve">will </w:t>
      </w:r>
      <w:r w:rsidRPr="00EF585A" w:rsidR="00EF585A">
        <w:t xml:space="preserve">continue to have access to researchers’ CVs and self-reported assessment of methodological and prevention science content expertise through the PRES Directory. PRES program staff </w:t>
      </w:r>
      <w:r w:rsidR="008E6C05">
        <w:t xml:space="preserve">will </w:t>
      </w:r>
      <w:r w:rsidRPr="00EF585A" w:rsidR="00EF585A">
        <w:t xml:space="preserve">continue to maintain PRES and </w:t>
      </w:r>
      <w:r w:rsidR="009316A2">
        <w:t xml:space="preserve">the </w:t>
      </w:r>
      <w:r w:rsidR="00CC6F34">
        <w:t xml:space="preserve">linked </w:t>
      </w:r>
      <w:r w:rsidR="009316A2">
        <w:t>PRES</w:t>
      </w:r>
      <w:r w:rsidRPr="00EF585A" w:rsidR="009316A2">
        <w:t xml:space="preserve"> </w:t>
      </w:r>
      <w:r w:rsidRPr="00EF585A" w:rsidR="00EF585A">
        <w:t>Directory</w:t>
      </w:r>
      <w:r w:rsidR="00CC6F34">
        <w:t>,</w:t>
      </w:r>
      <w:r w:rsidRPr="00EF585A" w:rsidR="00EF585A">
        <w:t xml:space="preserve"> and these data </w:t>
      </w:r>
      <w:r w:rsidR="008E6C05">
        <w:t>will continue to be</w:t>
      </w:r>
      <w:r w:rsidRPr="00EF585A" w:rsidR="00EF585A">
        <w:t xml:space="preserve"> available to SROs as they recruit members of their review </w:t>
      </w:r>
      <w:r w:rsidR="00747B44">
        <w:t>panels</w:t>
      </w:r>
      <w:r w:rsidRPr="00EF585A" w:rsidR="00EF585A">
        <w:t>. In summary, PRES participants’ contact information, CV, and methodological and prevention science content areas of expertise must be collected for inclusion in the PRES program.</w:t>
      </w:r>
    </w:p>
    <w:p w:rsidRPr="00714BFA" w:rsidR="000F3043" w:rsidP="000F3043" w:rsidRDefault="000F3043" w14:paraId="6713C5AA" w14:textId="77777777">
      <w:pPr>
        <w:pStyle w:val="Heading2"/>
        <w:spacing w:line="480" w:lineRule="auto"/>
        <w:rPr>
          <w:rFonts w:asciiTheme="minorHAnsi" w:hAnsiTheme="minorHAnsi" w:cstheme="minorHAnsi"/>
          <w:b/>
          <w:color w:val="auto"/>
          <w:sz w:val="22"/>
          <w:szCs w:val="22"/>
        </w:rPr>
      </w:pPr>
      <w:bookmarkStart w:name="_Toc443881743" w:id="2"/>
      <w:bookmarkStart w:name="_Toc451592232" w:id="3"/>
      <w:bookmarkStart w:name="_Toc5610273" w:id="4"/>
      <w:bookmarkStart w:name="_Toc99178779" w:id="5"/>
      <w:r w:rsidRPr="00714BFA">
        <w:rPr>
          <w:rFonts w:asciiTheme="minorHAnsi" w:hAnsiTheme="minorHAnsi" w:cstheme="minorHAnsi"/>
          <w:b/>
          <w:color w:val="auto"/>
          <w:sz w:val="22"/>
          <w:szCs w:val="22"/>
        </w:rPr>
        <w:t>A.2    Purpose and Use of the Information</w:t>
      </w:r>
      <w:bookmarkEnd w:id="2"/>
      <w:bookmarkEnd w:id="3"/>
      <w:bookmarkEnd w:id="4"/>
      <w:bookmarkEnd w:id="5"/>
      <w:r w:rsidRPr="00714BFA">
        <w:rPr>
          <w:rFonts w:asciiTheme="minorHAnsi" w:hAnsiTheme="minorHAnsi" w:cstheme="minorHAnsi"/>
          <w:b/>
          <w:color w:val="auto"/>
          <w:sz w:val="22"/>
          <w:szCs w:val="22"/>
        </w:rPr>
        <w:t xml:space="preserve"> Collection</w:t>
      </w:r>
    </w:p>
    <w:p w:rsidR="00821B6C" w:rsidP="00A00CF8" w:rsidRDefault="00DC26B7" w14:paraId="1D97AAB4" w14:textId="214926FD">
      <w:pPr>
        <w:rPr>
          <w:iCs/>
        </w:rPr>
      </w:pPr>
      <w:r>
        <w:rPr>
          <w:iCs/>
        </w:rPr>
        <w:t>Our most recent</w:t>
      </w:r>
      <w:r w:rsidR="00696B50">
        <w:rPr>
          <w:iCs/>
        </w:rPr>
        <w:t xml:space="preserve"> renewal and substantive revision request</w:t>
      </w:r>
      <w:r>
        <w:rPr>
          <w:iCs/>
        </w:rPr>
        <w:t xml:space="preserve"> </w:t>
      </w:r>
      <w:r w:rsidR="00F316F1">
        <w:rPr>
          <w:iCs/>
        </w:rPr>
        <w:t>was approved by OMB on November 17, 2017</w:t>
      </w:r>
      <w:r>
        <w:rPr>
          <w:iCs/>
        </w:rPr>
        <w:t xml:space="preserve">. Since then, </w:t>
      </w:r>
      <w:r w:rsidR="00F316F1">
        <w:rPr>
          <w:iCs/>
        </w:rPr>
        <w:t xml:space="preserve">we have </w:t>
      </w:r>
      <w:r w:rsidR="00880871">
        <w:rPr>
          <w:iCs/>
        </w:rPr>
        <w:t>submitted two non-substanti</w:t>
      </w:r>
      <w:r w:rsidR="008E5AD7">
        <w:rPr>
          <w:iCs/>
        </w:rPr>
        <w:t>ve</w:t>
      </w:r>
      <w:r w:rsidR="00880871">
        <w:rPr>
          <w:iCs/>
        </w:rPr>
        <w:t xml:space="preserve"> change requests, both of which were approved</w:t>
      </w:r>
      <w:r>
        <w:rPr>
          <w:iCs/>
        </w:rPr>
        <w:t xml:space="preserve"> by the OMB</w:t>
      </w:r>
      <w:r w:rsidR="00880871">
        <w:rPr>
          <w:iCs/>
        </w:rPr>
        <w:t xml:space="preserve">. </w:t>
      </w:r>
    </w:p>
    <w:p w:rsidR="001E1F6E" w:rsidP="00A00CF8" w:rsidRDefault="00880871" w14:paraId="34981870" w14:textId="7A1877FA">
      <w:pPr>
        <w:rPr>
          <w:iCs/>
        </w:rPr>
      </w:pPr>
      <w:r>
        <w:rPr>
          <w:iCs/>
        </w:rPr>
        <w:t>The first non-substan</w:t>
      </w:r>
      <w:r w:rsidR="008E5AD7">
        <w:rPr>
          <w:iCs/>
        </w:rPr>
        <w:t>tive</w:t>
      </w:r>
      <w:r>
        <w:rPr>
          <w:iCs/>
        </w:rPr>
        <w:t xml:space="preserve"> change request was </w:t>
      </w:r>
      <w:r w:rsidR="00320E75">
        <w:rPr>
          <w:iCs/>
        </w:rPr>
        <w:t xml:space="preserve">approved on </w:t>
      </w:r>
      <w:r w:rsidR="00F759FF">
        <w:rPr>
          <w:iCs/>
        </w:rPr>
        <w:t xml:space="preserve">December </w:t>
      </w:r>
      <w:r w:rsidR="00320E75">
        <w:rPr>
          <w:iCs/>
        </w:rPr>
        <w:t>12</w:t>
      </w:r>
      <w:r w:rsidR="00F759FF">
        <w:rPr>
          <w:iCs/>
        </w:rPr>
        <w:t xml:space="preserve">, </w:t>
      </w:r>
      <w:r w:rsidR="00320E75">
        <w:rPr>
          <w:iCs/>
        </w:rPr>
        <w:t>2017. The</w:t>
      </w:r>
      <w:r w:rsidR="00036CF6">
        <w:rPr>
          <w:iCs/>
        </w:rPr>
        <w:t>se</w:t>
      </w:r>
      <w:r w:rsidR="00320E75">
        <w:rPr>
          <w:iCs/>
        </w:rPr>
        <w:t xml:space="preserve"> approved modifications </w:t>
      </w:r>
      <w:r w:rsidR="00D9717C">
        <w:rPr>
          <w:iCs/>
        </w:rPr>
        <w:t>clarified the language on the landing page of the survey</w:t>
      </w:r>
      <w:r w:rsidR="00436529">
        <w:rPr>
          <w:iCs/>
        </w:rPr>
        <w:t xml:space="preserve"> (i.e., PRES)</w:t>
      </w:r>
      <w:r w:rsidR="00D9717C">
        <w:rPr>
          <w:iCs/>
        </w:rPr>
        <w:t xml:space="preserve">, which provides background and rationale about the survey, to (1) make it easier for returning survey respondents to understand and navigate the </w:t>
      </w:r>
      <w:r w:rsidR="00036CF6">
        <w:rPr>
          <w:iCs/>
        </w:rPr>
        <w:t>survey, (2) more accurately reflect the information in the Privacy Act Notifications Statement, and (3) improve the flow between concepts.</w:t>
      </w:r>
      <w:r w:rsidR="00320E75">
        <w:rPr>
          <w:iCs/>
        </w:rPr>
        <w:t xml:space="preserve"> </w:t>
      </w:r>
      <w:r w:rsidR="00036CF6">
        <w:rPr>
          <w:iCs/>
        </w:rPr>
        <w:t>It also updated</w:t>
      </w:r>
      <w:r w:rsidR="007E2C2D">
        <w:rPr>
          <w:iCs/>
        </w:rPr>
        <w:t xml:space="preserve"> and clarified</w:t>
      </w:r>
      <w:r w:rsidR="00036CF6">
        <w:rPr>
          <w:iCs/>
        </w:rPr>
        <w:t xml:space="preserve"> the promotional </w:t>
      </w:r>
      <w:r w:rsidR="007E2C2D">
        <w:rPr>
          <w:iCs/>
        </w:rPr>
        <w:t xml:space="preserve">language used in emails to communicate with prospective </w:t>
      </w:r>
      <w:r w:rsidR="00046F36">
        <w:rPr>
          <w:iCs/>
        </w:rPr>
        <w:t xml:space="preserve">survey </w:t>
      </w:r>
      <w:r w:rsidR="007E2C2D">
        <w:rPr>
          <w:iCs/>
        </w:rPr>
        <w:t xml:space="preserve">participants. </w:t>
      </w:r>
    </w:p>
    <w:p w:rsidR="007E2C2D" w:rsidP="00A00CF8" w:rsidRDefault="007E2C2D" w14:paraId="22E02299" w14:textId="58FD7E3C">
      <w:pPr>
        <w:rPr>
          <w:iCs/>
        </w:rPr>
      </w:pPr>
      <w:r>
        <w:rPr>
          <w:iCs/>
        </w:rPr>
        <w:t>The second non-substanti</w:t>
      </w:r>
      <w:r w:rsidR="008E5AD7">
        <w:rPr>
          <w:iCs/>
        </w:rPr>
        <w:t>ve</w:t>
      </w:r>
      <w:r>
        <w:rPr>
          <w:iCs/>
        </w:rPr>
        <w:t xml:space="preserve"> change request was approved on </w:t>
      </w:r>
      <w:r w:rsidR="00F759FF">
        <w:rPr>
          <w:iCs/>
        </w:rPr>
        <w:t xml:space="preserve">December </w:t>
      </w:r>
      <w:r w:rsidR="00217F45">
        <w:rPr>
          <w:iCs/>
        </w:rPr>
        <w:t>7</w:t>
      </w:r>
      <w:r w:rsidR="00F759FF">
        <w:rPr>
          <w:iCs/>
        </w:rPr>
        <w:t xml:space="preserve">, </w:t>
      </w:r>
      <w:r w:rsidR="00217F45">
        <w:rPr>
          <w:iCs/>
        </w:rPr>
        <w:t xml:space="preserve">2018. These </w:t>
      </w:r>
      <w:r w:rsidR="005D2448">
        <w:rPr>
          <w:iCs/>
        </w:rPr>
        <w:t>approved modifications added a question to the “Create My Profile” page of the survey about the geographic region (i.e., state, U.S. territory, or outside the U.S.)</w:t>
      </w:r>
      <w:r w:rsidR="00D51C8D">
        <w:rPr>
          <w:iCs/>
        </w:rPr>
        <w:t xml:space="preserve"> of the institution where </w:t>
      </w:r>
      <w:r w:rsidR="001E1F6E">
        <w:rPr>
          <w:iCs/>
        </w:rPr>
        <w:t xml:space="preserve">the respondent </w:t>
      </w:r>
      <w:r w:rsidR="00D51C8D">
        <w:rPr>
          <w:iCs/>
        </w:rPr>
        <w:t>work</w:t>
      </w:r>
      <w:r w:rsidR="001E1F6E">
        <w:rPr>
          <w:iCs/>
        </w:rPr>
        <w:t xml:space="preserve">s. This information </w:t>
      </w:r>
      <w:r w:rsidR="00F759FF">
        <w:rPr>
          <w:iCs/>
        </w:rPr>
        <w:t>helps</w:t>
      </w:r>
      <w:r w:rsidR="0086398D">
        <w:rPr>
          <w:iCs/>
        </w:rPr>
        <w:t xml:space="preserve"> SROs fulfill their official duties and comply with Federal Advisory Committee Act requirements that review panels</w:t>
      </w:r>
      <w:r w:rsidR="00F759FF">
        <w:rPr>
          <w:iCs/>
        </w:rPr>
        <w:t xml:space="preserve"> need to</w:t>
      </w:r>
      <w:r w:rsidR="0086398D">
        <w:rPr>
          <w:iCs/>
        </w:rPr>
        <w:t xml:space="preserve"> </w:t>
      </w:r>
      <w:r w:rsidR="00F759FF">
        <w:rPr>
          <w:iCs/>
        </w:rPr>
        <w:t>be balanced by geographic region. Th</w:t>
      </w:r>
      <w:r w:rsidR="001E1F6E">
        <w:rPr>
          <w:iCs/>
        </w:rPr>
        <w:t>e</w:t>
      </w:r>
      <w:r w:rsidR="00F759FF">
        <w:rPr>
          <w:iCs/>
        </w:rPr>
        <w:t xml:space="preserve"> non-substanti</w:t>
      </w:r>
      <w:r w:rsidR="008E5AD7">
        <w:rPr>
          <w:iCs/>
        </w:rPr>
        <w:t>ve</w:t>
      </w:r>
      <w:r w:rsidR="00F759FF">
        <w:rPr>
          <w:iCs/>
        </w:rPr>
        <w:t xml:space="preserve"> change request also </w:t>
      </w:r>
      <w:r w:rsidR="00D51C8D">
        <w:rPr>
          <w:iCs/>
        </w:rPr>
        <w:t>combined the information spread across two pages into a single page</w:t>
      </w:r>
      <w:r w:rsidR="0086398D">
        <w:rPr>
          <w:iCs/>
        </w:rPr>
        <w:t>, which shortened the survey</w:t>
      </w:r>
      <w:r w:rsidR="00F759FF">
        <w:rPr>
          <w:iCs/>
        </w:rPr>
        <w:t xml:space="preserve"> for respondents</w:t>
      </w:r>
      <w:r w:rsidR="00475E44">
        <w:rPr>
          <w:iCs/>
        </w:rPr>
        <w:t>.</w:t>
      </w:r>
      <w:r w:rsidR="002A2F13">
        <w:rPr>
          <w:iCs/>
        </w:rPr>
        <w:t xml:space="preserve"> </w:t>
      </w:r>
    </w:p>
    <w:p w:rsidR="00EB3402" w:rsidP="00E4724A" w:rsidRDefault="00F759FF" w14:paraId="61DFA288" w14:textId="26C86D27">
      <w:pPr>
        <w:rPr>
          <w:iCs/>
        </w:rPr>
      </w:pPr>
      <w:r>
        <w:rPr>
          <w:iCs/>
        </w:rPr>
        <w:t>Since the last renewal and substanti</w:t>
      </w:r>
      <w:r w:rsidR="008E5AD7">
        <w:rPr>
          <w:iCs/>
        </w:rPr>
        <w:t>ve</w:t>
      </w:r>
      <w:r>
        <w:rPr>
          <w:iCs/>
        </w:rPr>
        <w:t xml:space="preserve"> revision request</w:t>
      </w:r>
      <w:r w:rsidR="00DC26B7">
        <w:rPr>
          <w:iCs/>
        </w:rPr>
        <w:t xml:space="preserve"> </w:t>
      </w:r>
      <w:r w:rsidR="00BB3945">
        <w:rPr>
          <w:iCs/>
        </w:rPr>
        <w:t>(</w:t>
      </w:r>
      <w:r>
        <w:rPr>
          <w:iCs/>
        </w:rPr>
        <w:t>approved by OMB on November 17, 2017</w:t>
      </w:r>
      <w:r w:rsidR="00BB3945">
        <w:rPr>
          <w:iCs/>
        </w:rPr>
        <w:t>)</w:t>
      </w:r>
      <w:r>
        <w:rPr>
          <w:iCs/>
        </w:rPr>
        <w:t xml:space="preserve">, </w:t>
      </w:r>
      <w:r w:rsidRPr="00EB0E81" w:rsidR="00EB0E81">
        <w:rPr>
          <w:iCs/>
        </w:rPr>
        <w:t xml:space="preserve">roughly </w:t>
      </w:r>
      <w:r w:rsidR="00D139E9">
        <w:rPr>
          <w:iCs/>
        </w:rPr>
        <w:t>1,600</w:t>
      </w:r>
      <w:r w:rsidRPr="00EB0E81" w:rsidR="00EB0E81">
        <w:rPr>
          <w:iCs/>
        </w:rPr>
        <w:t xml:space="preserve"> </w:t>
      </w:r>
      <w:r w:rsidR="00284283">
        <w:rPr>
          <w:iCs/>
        </w:rPr>
        <w:t xml:space="preserve">new </w:t>
      </w:r>
      <w:r w:rsidRPr="00EB0E81" w:rsidR="00EB0E81">
        <w:rPr>
          <w:iCs/>
        </w:rPr>
        <w:t xml:space="preserve">investigators </w:t>
      </w:r>
      <w:r w:rsidR="00BD2539">
        <w:rPr>
          <w:iCs/>
        </w:rPr>
        <w:t>have completed PR</w:t>
      </w:r>
      <w:r w:rsidR="00D139E9">
        <w:rPr>
          <w:iCs/>
        </w:rPr>
        <w:t>E</w:t>
      </w:r>
      <w:r w:rsidR="00BD2539">
        <w:rPr>
          <w:iCs/>
        </w:rPr>
        <w:t xml:space="preserve">S </w:t>
      </w:r>
      <w:r w:rsidR="00D139E9">
        <w:rPr>
          <w:iCs/>
        </w:rPr>
        <w:t>(for approximately 4,300</w:t>
      </w:r>
      <w:r w:rsidR="00CD491A">
        <w:rPr>
          <w:iCs/>
        </w:rPr>
        <w:t xml:space="preserve"> total respondents</w:t>
      </w:r>
      <w:r w:rsidR="00D139E9">
        <w:rPr>
          <w:iCs/>
        </w:rPr>
        <w:t xml:space="preserve">) </w:t>
      </w:r>
      <w:r w:rsidRPr="00EB0E81" w:rsidR="00EB0E81">
        <w:rPr>
          <w:iCs/>
        </w:rPr>
        <w:t xml:space="preserve">and approximately </w:t>
      </w:r>
      <w:r w:rsidR="00D139E9">
        <w:rPr>
          <w:iCs/>
        </w:rPr>
        <w:t>200</w:t>
      </w:r>
      <w:r w:rsidRPr="00EB0E81" w:rsidR="00D139E9">
        <w:rPr>
          <w:iCs/>
        </w:rPr>
        <w:t xml:space="preserve"> </w:t>
      </w:r>
      <w:r w:rsidRPr="00EB0E81" w:rsidR="00EB0E81">
        <w:rPr>
          <w:iCs/>
        </w:rPr>
        <w:t xml:space="preserve">NIH SROs are using the </w:t>
      </w:r>
      <w:r w:rsidR="00BD2539">
        <w:rPr>
          <w:iCs/>
        </w:rPr>
        <w:t>PRES Directory</w:t>
      </w:r>
      <w:r w:rsidRPr="00EB0E81" w:rsidR="00EB0E81">
        <w:rPr>
          <w:iCs/>
        </w:rPr>
        <w:t xml:space="preserve">. Based on feedback we received from both NIH staff and survey respondents </w:t>
      </w:r>
      <w:r w:rsidR="009D1E9B">
        <w:rPr>
          <w:iCs/>
        </w:rPr>
        <w:t xml:space="preserve">about how to improve the survey </w:t>
      </w:r>
      <w:r w:rsidRPr="00EB0E81" w:rsidR="00EB0E81">
        <w:rPr>
          <w:iCs/>
        </w:rPr>
        <w:t xml:space="preserve">during this </w:t>
      </w:r>
      <w:r w:rsidR="008F598B">
        <w:rPr>
          <w:iCs/>
        </w:rPr>
        <w:t>three-year period</w:t>
      </w:r>
      <w:r w:rsidRPr="00EB0E81" w:rsidR="00EB0E81">
        <w:rPr>
          <w:iCs/>
        </w:rPr>
        <w:t xml:space="preserve">, we have refined the list of existing topics and identified additional topics to include in the survey </w:t>
      </w:r>
      <w:r w:rsidR="000B52A5">
        <w:rPr>
          <w:iCs/>
        </w:rPr>
        <w:t xml:space="preserve">(outlined below) </w:t>
      </w:r>
      <w:r w:rsidRPr="00EB0E81" w:rsidR="00EB0E81">
        <w:rPr>
          <w:iCs/>
        </w:rPr>
        <w:t xml:space="preserve">to help SROs better identify investigators to serve on review panels. </w:t>
      </w:r>
    </w:p>
    <w:p w:rsidR="00BE0B16" w:rsidP="00E4724A" w:rsidRDefault="00EB03D1" w14:paraId="2805A2F6" w14:textId="62E4853D">
      <w:pPr>
        <w:rPr>
          <w:iCs/>
        </w:rPr>
      </w:pPr>
      <w:r>
        <w:rPr>
          <w:iCs/>
          <w:highlight w:val="yellow"/>
        </w:rPr>
        <w:t>T</w:t>
      </w:r>
      <w:r w:rsidRPr="000B52A5" w:rsidR="00576C29">
        <w:rPr>
          <w:iCs/>
          <w:highlight w:val="yellow"/>
        </w:rPr>
        <w:t>he</w:t>
      </w:r>
      <w:r w:rsidRPr="000B52A5" w:rsidR="00EB0E81">
        <w:rPr>
          <w:iCs/>
          <w:highlight w:val="yellow"/>
        </w:rPr>
        <w:t xml:space="preserve"> purpose of this OMB clearance request is </w:t>
      </w:r>
      <w:r w:rsidR="00817EC7">
        <w:rPr>
          <w:iCs/>
          <w:highlight w:val="yellow"/>
        </w:rPr>
        <w:t xml:space="preserve">for continued collection of existing data and to </w:t>
      </w:r>
      <w:r w:rsidRPr="000B52A5" w:rsidR="00576C29">
        <w:rPr>
          <w:iCs/>
          <w:highlight w:val="yellow"/>
        </w:rPr>
        <w:t>update PRES</w:t>
      </w:r>
      <w:r w:rsidRPr="000B52A5" w:rsidR="00233E75">
        <w:rPr>
          <w:iCs/>
          <w:highlight w:val="yellow"/>
        </w:rPr>
        <w:t xml:space="preserve"> </w:t>
      </w:r>
      <w:r w:rsidR="00817EC7">
        <w:rPr>
          <w:iCs/>
          <w:highlight w:val="yellow"/>
        </w:rPr>
        <w:t>in order to</w:t>
      </w:r>
      <w:r w:rsidRPr="000B52A5" w:rsidR="00817EC7">
        <w:rPr>
          <w:iCs/>
          <w:highlight w:val="yellow"/>
        </w:rPr>
        <w:t xml:space="preserve"> </w:t>
      </w:r>
      <w:r w:rsidRPr="000B52A5" w:rsidR="00EB0E81">
        <w:rPr>
          <w:iCs/>
          <w:highlight w:val="yellow"/>
        </w:rPr>
        <w:t xml:space="preserve">collect additional </w:t>
      </w:r>
      <w:r w:rsidRPr="000B52A5" w:rsidR="00233E75">
        <w:rPr>
          <w:iCs/>
          <w:highlight w:val="yellow"/>
        </w:rPr>
        <w:t xml:space="preserve">areas of expertise </w:t>
      </w:r>
      <w:r w:rsidRPr="000B52A5" w:rsidR="00E75A8E">
        <w:rPr>
          <w:iCs/>
          <w:highlight w:val="yellow"/>
        </w:rPr>
        <w:t xml:space="preserve">not </w:t>
      </w:r>
      <w:r w:rsidRPr="000B52A5" w:rsidR="00576C29">
        <w:rPr>
          <w:iCs/>
          <w:highlight w:val="yellow"/>
        </w:rPr>
        <w:t xml:space="preserve">captured </w:t>
      </w:r>
      <w:r w:rsidRPr="000B52A5" w:rsidR="00E75A8E">
        <w:rPr>
          <w:iCs/>
          <w:highlight w:val="yellow"/>
        </w:rPr>
        <w:t xml:space="preserve">in the current version of </w:t>
      </w:r>
      <w:r w:rsidRPr="000B52A5" w:rsidR="00670529">
        <w:rPr>
          <w:iCs/>
          <w:highlight w:val="yellow"/>
        </w:rPr>
        <w:t>PRES</w:t>
      </w:r>
      <w:r w:rsidRPr="000B52A5" w:rsidR="00E75A8E">
        <w:rPr>
          <w:iCs/>
          <w:highlight w:val="yellow"/>
        </w:rPr>
        <w:t xml:space="preserve">. </w:t>
      </w:r>
      <w:r w:rsidRPr="000B52A5" w:rsidR="00E4724A">
        <w:rPr>
          <w:iCs/>
          <w:highlight w:val="yellow"/>
        </w:rPr>
        <w:t xml:space="preserve">This includes updating the </w:t>
      </w:r>
      <w:r w:rsidRPr="000B52A5" w:rsidR="00EB0E81">
        <w:rPr>
          <w:iCs/>
          <w:highlight w:val="yellow"/>
        </w:rPr>
        <w:t>study design topics (2 new, 3 deleted</w:t>
      </w:r>
      <w:r w:rsidRPr="000B52A5" w:rsidR="00532A28">
        <w:rPr>
          <w:iCs/>
          <w:highlight w:val="yellow"/>
        </w:rPr>
        <w:t>, 3 revised</w:t>
      </w:r>
      <w:r w:rsidRPr="000B52A5" w:rsidR="00EB0E81">
        <w:rPr>
          <w:iCs/>
          <w:highlight w:val="yellow"/>
        </w:rPr>
        <w:t>), research methods topics (5 new, 12 deleted</w:t>
      </w:r>
      <w:r w:rsidRPr="000B52A5" w:rsidR="00532A28">
        <w:rPr>
          <w:iCs/>
          <w:highlight w:val="yellow"/>
        </w:rPr>
        <w:t xml:space="preserve">, </w:t>
      </w:r>
      <w:r w:rsidRPr="000B52A5" w:rsidR="000C5F5D">
        <w:rPr>
          <w:iCs/>
          <w:highlight w:val="yellow"/>
        </w:rPr>
        <w:t>15 revised</w:t>
      </w:r>
      <w:r w:rsidRPr="000B52A5" w:rsidR="00EB0E81">
        <w:rPr>
          <w:iCs/>
          <w:highlight w:val="yellow"/>
        </w:rPr>
        <w:t xml:space="preserve">), content topics (7 new, </w:t>
      </w:r>
      <w:r w:rsidRPr="000B52A5" w:rsidR="000C5F5D">
        <w:rPr>
          <w:iCs/>
          <w:highlight w:val="yellow"/>
        </w:rPr>
        <w:t xml:space="preserve">15 </w:t>
      </w:r>
      <w:r w:rsidRPr="000B52A5" w:rsidR="00EB0E81">
        <w:rPr>
          <w:iCs/>
          <w:highlight w:val="yellow"/>
        </w:rPr>
        <w:t>deleted</w:t>
      </w:r>
      <w:r w:rsidRPr="000B52A5" w:rsidR="000C5F5D">
        <w:rPr>
          <w:iCs/>
          <w:highlight w:val="yellow"/>
        </w:rPr>
        <w:t>, 9 revised</w:t>
      </w:r>
      <w:r w:rsidRPr="000B52A5" w:rsidR="00EB0E81">
        <w:rPr>
          <w:iCs/>
          <w:highlight w:val="yellow"/>
        </w:rPr>
        <w:t xml:space="preserve">), settings (1 new), and populations (1 deleted). </w:t>
      </w:r>
      <w:r w:rsidRPr="000B52A5" w:rsidR="00D43E13">
        <w:rPr>
          <w:iCs/>
          <w:highlight w:val="yellow"/>
        </w:rPr>
        <w:t>Overall, these changes represent a net change of 16 fewer topics in PRES than what is found in the currently approved version</w:t>
      </w:r>
      <w:r w:rsidRPr="000B52A5" w:rsidR="004E4616">
        <w:rPr>
          <w:iCs/>
          <w:highlight w:val="yellow"/>
        </w:rPr>
        <w:t>: a</w:t>
      </w:r>
      <w:r w:rsidRPr="000B52A5" w:rsidR="00EB3402">
        <w:rPr>
          <w:iCs/>
          <w:highlight w:val="yellow"/>
        </w:rPr>
        <w:t xml:space="preserve"> total of 15 topics </w:t>
      </w:r>
      <w:r w:rsidR="00810814">
        <w:rPr>
          <w:iCs/>
          <w:highlight w:val="yellow"/>
        </w:rPr>
        <w:t xml:space="preserve">will be </w:t>
      </w:r>
      <w:r w:rsidRPr="000B52A5" w:rsidR="00EB3402">
        <w:rPr>
          <w:iCs/>
          <w:highlight w:val="yellow"/>
        </w:rPr>
        <w:t xml:space="preserve">added and 31 topics </w:t>
      </w:r>
      <w:r w:rsidR="00810814">
        <w:rPr>
          <w:iCs/>
          <w:highlight w:val="yellow"/>
        </w:rPr>
        <w:t xml:space="preserve">will be </w:t>
      </w:r>
      <w:r w:rsidRPr="000B52A5" w:rsidR="00EB3402">
        <w:rPr>
          <w:iCs/>
          <w:highlight w:val="yellow"/>
        </w:rPr>
        <w:t xml:space="preserve">removed; 27 topics </w:t>
      </w:r>
      <w:r w:rsidR="00810814">
        <w:rPr>
          <w:iCs/>
          <w:highlight w:val="yellow"/>
        </w:rPr>
        <w:t>will</w:t>
      </w:r>
      <w:r w:rsidRPr="000B52A5" w:rsidR="00810814">
        <w:rPr>
          <w:iCs/>
          <w:highlight w:val="yellow"/>
        </w:rPr>
        <w:t xml:space="preserve"> </w:t>
      </w:r>
      <w:r w:rsidRPr="000B52A5" w:rsidR="00EB3402">
        <w:rPr>
          <w:iCs/>
          <w:highlight w:val="yellow"/>
        </w:rPr>
        <w:t xml:space="preserve">be revised. </w:t>
      </w:r>
      <w:r w:rsidRPr="000B52A5" w:rsidR="00EB0E81">
        <w:rPr>
          <w:iCs/>
          <w:highlight w:val="yellow"/>
        </w:rPr>
        <w:t>Using SRO feedback, we are also revising a question about NIH review experience, which will make it easier for investigators to communicate their level of interest in serving on review panels and therefore help SROs better identify investigators to serve on review panels</w:t>
      </w:r>
      <w:r w:rsidR="00BA016A">
        <w:rPr>
          <w:iCs/>
          <w:highlight w:val="yellow"/>
        </w:rPr>
        <w:t xml:space="preserve"> </w:t>
      </w:r>
      <w:r w:rsidRPr="00B902B1" w:rsidR="00BA016A">
        <w:rPr>
          <w:iCs/>
          <w:highlight w:val="yellow"/>
        </w:rPr>
        <w:t>(</w:t>
      </w:r>
      <w:bookmarkStart w:name="_Hlk52374533" w:id="6"/>
      <w:r w:rsidRPr="00B902B1" w:rsidR="00BA016A">
        <w:rPr>
          <w:iCs/>
          <w:highlight w:val="yellow"/>
        </w:rPr>
        <w:t xml:space="preserve">see Attachment </w:t>
      </w:r>
      <w:r w:rsidR="00745568">
        <w:rPr>
          <w:iCs/>
          <w:highlight w:val="yellow"/>
        </w:rPr>
        <w:t>1</w:t>
      </w:r>
      <w:r w:rsidRPr="0021737C" w:rsidR="00BA016A">
        <w:rPr>
          <w:iCs/>
          <w:highlight w:val="yellow"/>
        </w:rPr>
        <w:t xml:space="preserve">, in which </w:t>
      </w:r>
      <w:r w:rsidRPr="00B902B1" w:rsidR="00BA016A">
        <w:rPr>
          <w:iCs/>
          <w:highlight w:val="yellow"/>
        </w:rPr>
        <w:t>new topics ar</w:t>
      </w:r>
      <w:r w:rsidR="00BA016A">
        <w:rPr>
          <w:iCs/>
          <w:highlight w:val="yellow"/>
        </w:rPr>
        <w:t xml:space="preserve">e </w:t>
      </w:r>
      <w:r w:rsidRPr="000B52A5" w:rsidR="00BA016A">
        <w:rPr>
          <w:iCs/>
          <w:highlight w:val="yellow"/>
        </w:rPr>
        <w:t xml:space="preserve">marked as “New” and revised topics </w:t>
      </w:r>
      <w:r w:rsidR="00BA016A">
        <w:rPr>
          <w:iCs/>
          <w:highlight w:val="yellow"/>
        </w:rPr>
        <w:t xml:space="preserve">are </w:t>
      </w:r>
      <w:r w:rsidRPr="000B52A5" w:rsidR="00BA016A">
        <w:rPr>
          <w:iCs/>
          <w:highlight w:val="yellow"/>
        </w:rPr>
        <w:t xml:space="preserve">marked as “Revised”; </w:t>
      </w:r>
      <w:bookmarkEnd w:id="6"/>
      <w:r w:rsidRPr="000B52A5" w:rsidR="00BA016A">
        <w:rPr>
          <w:iCs/>
          <w:highlight w:val="yellow"/>
        </w:rPr>
        <w:t>additional details can also be found in section A.15 below)</w:t>
      </w:r>
      <w:r w:rsidRPr="000B52A5" w:rsidR="00EB0E81">
        <w:rPr>
          <w:iCs/>
          <w:highlight w:val="yellow"/>
        </w:rPr>
        <w:t>.</w:t>
      </w:r>
      <w:r w:rsidRPr="00EB0E81" w:rsidR="00EB0E81">
        <w:rPr>
          <w:iCs/>
        </w:rPr>
        <w:t xml:space="preserve"> </w:t>
      </w:r>
      <w:r w:rsidR="00233FED">
        <w:rPr>
          <w:iCs/>
        </w:rPr>
        <w:t>These changes</w:t>
      </w:r>
      <w:r w:rsidRPr="00EB0E81" w:rsidR="00233FED">
        <w:rPr>
          <w:iCs/>
        </w:rPr>
        <w:t xml:space="preserve"> </w:t>
      </w:r>
      <w:r w:rsidRPr="00EB0E81" w:rsidR="00EB0E81">
        <w:rPr>
          <w:iCs/>
        </w:rPr>
        <w:t xml:space="preserve">will be </w:t>
      </w:r>
      <w:r w:rsidR="00233FED">
        <w:rPr>
          <w:iCs/>
        </w:rPr>
        <w:t xml:space="preserve">made </w:t>
      </w:r>
      <w:r w:rsidR="00E758C1">
        <w:rPr>
          <w:iCs/>
        </w:rPr>
        <w:t>in</w:t>
      </w:r>
      <w:r w:rsidRPr="00EB0E81" w:rsidR="00EB0E81">
        <w:rPr>
          <w:iCs/>
        </w:rPr>
        <w:t xml:space="preserve"> the</w:t>
      </w:r>
      <w:r w:rsidR="00EB14C3">
        <w:rPr>
          <w:iCs/>
        </w:rPr>
        <w:t xml:space="preserve"> existing and</w:t>
      </w:r>
      <w:r w:rsidRPr="00EB0E81" w:rsidR="00EB0E81">
        <w:rPr>
          <w:iCs/>
        </w:rPr>
        <w:t xml:space="preserve"> already </w:t>
      </w:r>
      <w:r w:rsidR="00233FED">
        <w:rPr>
          <w:iCs/>
        </w:rPr>
        <w:t>operational online software platform used for</w:t>
      </w:r>
      <w:r w:rsidRPr="00EB0E81" w:rsidR="00233FED">
        <w:rPr>
          <w:iCs/>
        </w:rPr>
        <w:t xml:space="preserve"> </w:t>
      </w:r>
      <w:r w:rsidRPr="00EB0E81" w:rsidR="00EB0E81">
        <w:rPr>
          <w:iCs/>
        </w:rPr>
        <w:t>PRES</w:t>
      </w:r>
      <w:r w:rsidR="00233FED">
        <w:rPr>
          <w:iCs/>
        </w:rPr>
        <w:t xml:space="preserve"> and the PRES Directory</w:t>
      </w:r>
      <w:r w:rsidRPr="00EB0E81" w:rsidR="00EB0E81">
        <w:rPr>
          <w:iCs/>
        </w:rPr>
        <w:t xml:space="preserve"> in a systematic way that reduces burden on the participants and governmental costs associated with </w:t>
      </w:r>
      <w:r w:rsidRPr="00EB0E81" w:rsidR="003D5637">
        <w:rPr>
          <w:iCs/>
        </w:rPr>
        <w:t>processing.</w:t>
      </w:r>
      <w:r w:rsidR="00BE0B16">
        <w:rPr>
          <w:iCs/>
        </w:rPr>
        <w:t xml:space="preserve"> </w:t>
      </w:r>
      <w:r w:rsidR="00E4724A">
        <w:rPr>
          <w:iCs/>
        </w:rPr>
        <w:t xml:space="preserve">We will continue to make the data available to NIH and DHHS staff who are granted accounts in the PRES Directory and are not requesting any changes to the online software platform used for PRES or the PRES Directory. </w:t>
      </w:r>
      <w:r w:rsidRPr="00EB0E81" w:rsidR="00E4724A">
        <w:rPr>
          <w:iCs/>
        </w:rPr>
        <w:t xml:space="preserve"> </w:t>
      </w:r>
      <w:r w:rsidDel="00E4724A" w:rsidR="00E4724A">
        <w:rPr>
          <w:rStyle w:val="CommentReference"/>
        </w:rPr>
        <w:t xml:space="preserve"> </w:t>
      </w:r>
    </w:p>
    <w:p w:rsidRPr="00E35DD1" w:rsidR="00A00CF8" w:rsidP="0035130C" w:rsidRDefault="00A00CF8" w14:paraId="771476A4" w14:textId="77777777">
      <w:pPr>
        <w:rPr>
          <w:b/>
          <w:color w:val="000000" w:themeColor="text1"/>
        </w:rPr>
      </w:pPr>
      <w:r w:rsidRPr="00E35DD1">
        <w:rPr>
          <w:b/>
          <w:color w:val="000000" w:themeColor="text1"/>
        </w:rPr>
        <w:t>A.3     Use of Information Technology and Burden Reduction</w:t>
      </w:r>
    </w:p>
    <w:p w:rsidRPr="00B8020D" w:rsidR="00B8020D" w:rsidP="00B8020D" w:rsidRDefault="00B8020D" w14:paraId="5D8D9160" w14:textId="264EB7B7">
      <w:r w:rsidRPr="00B8020D">
        <w:t xml:space="preserve">Survey Completion via Email - Burden for Prevention Researchers. Those interested in </w:t>
      </w:r>
      <w:r w:rsidR="00046F36">
        <w:t>participating in</w:t>
      </w:r>
      <w:r w:rsidRPr="00B8020D" w:rsidR="00046F36">
        <w:t xml:space="preserve"> </w:t>
      </w:r>
      <w:r w:rsidRPr="00B8020D">
        <w:t xml:space="preserve">the PRES program </w:t>
      </w:r>
      <w:r w:rsidR="00FE2C61">
        <w:t>are</w:t>
      </w:r>
      <w:r w:rsidRPr="00B8020D">
        <w:t xml:space="preserve"> directed to the ODP website to complete the survey</w:t>
      </w:r>
      <w:r w:rsidR="00436529">
        <w:t xml:space="preserve"> (i.e., PRES)</w:t>
      </w:r>
      <w:r w:rsidRPr="00B8020D">
        <w:t>. An online survey is more cost-effective and efficient than transmitting information between scientists and PRES program staff by mail</w:t>
      </w:r>
      <w:r w:rsidR="00FE77DE">
        <w:t xml:space="preserve"> or phone</w:t>
      </w:r>
      <w:r w:rsidRPr="00B8020D">
        <w:t>. The software program has already been developed</w:t>
      </w:r>
      <w:r w:rsidR="00A17241">
        <w:t>, approved by the OMB,</w:t>
      </w:r>
      <w:r w:rsidRPr="00B8020D">
        <w:t xml:space="preserve"> and is currently in use. The </w:t>
      </w:r>
      <w:r w:rsidR="00FE2C61">
        <w:t>online survey</w:t>
      </w:r>
      <w:r w:rsidRPr="00B8020D" w:rsidR="00FE2C61">
        <w:t xml:space="preserve"> </w:t>
      </w:r>
      <w:r w:rsidR="00FE2C61">
        <w:t>instructs</w:t>
      </w:r>
      <w:r w:rsidRPr="00B8020D">
        <w:t xml:space="preserve"> users to complete a user profile and assess their expertise in seven areas: study designs, research methods, content areas, research settings, population focus, geographic region of research, and the income category of the region/country in which the research is performed. </w:t>
      </w:r>
      <w:r w:rsidR="009B0269">
        <w:t xml:space="preserve">Based on usability testing and previous approved versions of the survey, </w:t>
      </w:r>
      <w:r w:rsidRPr="00B8020D">
        <w:t xml:space="preserve">the total estimated time burden for users </w:t>
      </w:r>
      <w:r w:rsidR="000631D2">
        <w:t>remains</w:t>
      </w:r>
      <w:r w:rsidRPr="00B8020D" w:rsidR="000631D2">
        <w:t xml:space="preserve"> </w:t>
      </w:r>
      <w:r w:rsidRPr="00B8020D">
        <w:t xml:space="preserve">approximately </w:t>
      </w:r>
      <w:r w:rsidR="000631D2">
        <w:t>25</w:t>
      </w:r>
      <w:r w:rsidRPr="00B8020D" w:rsidR="000631D2">
        <w:t xml:space="preserve"> </w:t>
      </w:r>
      <w:r w:rsidRPr="00B8020D">
        <w:t>minutes.</w:t>
      </w:r>
    </w:p>
    <w:p w:rsidRPr="00B8020D" w:rsidR="00B8020D" w:rsidP="00B8020D" w:rsidRDefault="00B8020D" w14:paraId="0EF76845" w14:textId="73D8737D">
      <w:r w:rsidRPr="00B8020D">
        <w:t xml:space="preserve">Privacy Impact Assessment. In January 2015, the Privacy Impact Assessment (PIA) Form was created for the NIH ODP </w:t>
      </w:r>
      <w:r w:rsidR="00C43556">
        <w:t>PRES</w:t>
      </w:r>
      <w:r w:rsidRPr="00B8020D">
        <w:t xml:space="preserve"> program and submitted to </w:t>
      </w:r>
      <w:r w:rsidR="00A43921">
        <w:t xml:space="preserve">and signed by </w:t>
      </w:r>
      <w:r w:rsidRPr="00B8020D">
        <w:t xml:space="preserve">the NIH Senior Official for Privacy (see Attachment </w:t>
      </w:r>
      <w:r w:rsidR="00745568">
        <w:t>2</w:t>
      </w:r>
      <w:r w:rsidRPr="00B8020D">
        <w:t>). The PIA included the development of a database of respondents</w:t>
      </w:r>
      <w:r w:rsidR="00436529">
        <w:t xml:space="preserve"> (i.e., the PRES Directory)</w:t>
      </w:r>
      <w:r w:rsidRPr="00B8020D">
        <w:t xml:space="preserve"> for the PRES program. </w:t>
      </w:r>
      <w:r w:rsidRPr="00B8020D" w:rsidR="00C43556">
        <w:t xml:space="preserve">The online survey software </w:t>
      </w:r>
      <w:r w:rsidR="00C43556">
        <w:t xml:space="preserve">saves </w:t>
      </w:r>
      <w:r w:rsidR="006946AB">
        <w:t>the</w:t>
      </w:r>
      <w:r w:rsidR="00C43556">
        <w:t xml:space="preserve"> </w:t>
      </w:r>
      <w:r w:rsidRPr="00B8020D" w:rsidR="00C43556">
        <w:t>information</w:t>
      </w:r>
      <w:r w:rsidR="006946AB">
        <w:t xml:space="preserve"> submitted by respondents</w:t>
      </w:r>
      <w:r w:rsidRPr="00B8020D" w:rsidR="00C43556">
        <w:t xml:space="preserve"> to the </w:t>
      </w:r>
      <w:r w:rsidR="00C43556">
        <w:t xml:space="preserve">linked </w:t>
      </w:r>
      <w:r w:rsidRPr="00B8020D" w:rsidR="00C43556">
        <w:t xml:space="preserve">PRES Directory, </w:t>
      </w:r>
      <w:r w:rsidR="00C43556">
        <w:t>which can only be accessed using an official</w:t>
      </w:r>
      <w:r w:rsidR="00FE77DE">
        <w:t xml:space="preserve"> government-issued</w:t>
      </w:r>
      <w:r w:rsidR="00C43556">
        <w:t xml:space="preserve"> </w:t>
      </w:r>
      <w:r w:rsidRPr="005D7F9F" w:rsidR="00C43556">
        <w:t>HHS ID Badge/PIV Card</w:t>
      </w:r>
      <w:r w:rsidRPr="00B8020D" w:rsidR="00C43556">
        <w:t xml:space="preserve"> </w:t>
      </w:r>
      <w:r w:rsidR="00C43556">
        <w:t xml:space="preserve">by </w:t>
      </w:r>
      <w:r w:rsidRPr="00B8020D" w:rsidR="00C43556">
        <w:t>authorized NIH and DHHS staff for whom an account has been created in the PRES Directory.</w:t>
      </w:r>
      <w:r w:rsidR="00C43556">
        <w:t xml:space="preserve"> </w:t>
      </w:r>
      <w:r w:rsidR="00BB0464">
        <w:t>T</w:t>
      </w:r>
      <w:r w:rsidRPr="00B8020D">
        <w:t>he</w:t>
      </w:r>
      <w:r w:rsidR="00ED49FE">
        <w:t xml:space="preserve"> PRES Directory</w:t>
      </w:r>
      <w:r w:rsidRPr="00B8020D">
        <w:t xml:space="preserve"> includes applicants’ names</w:t>
      </w:r>
      <w:r w:rsidR="007566F3">
        <w:t>;</w:t>
      </w:r>
      <w:r w:rsidRPr="00B8020D">
        <w:t xml:space="preserve"> email address</w:t>
      </w:r>
      <w:r w:rsidR="007566F3">
        <w:t>;</w:t>
      </w:r>
      <w:r w:rsidRPr="00B8020D">
        <w:t xml:space="preserve"> academic institution</w:t>
      </w:r>
      <w:r w:rsidR="007566F3">
        <w:t xml:space="preserve">, </w:t>
      </w:r>
      <w:r w:rsidRPr="00B8020D">
        <w:t xml:space="preserve">position, </w:t>
      </w:r>
      <w:r w:rsidR="007566F3">
        <w:t xml:space="preserve">and state; </w:t>
      </w:r>
      <w:r w:rsidRPr="00B8020D">
        <w:t>areas of expertise</w:t>
      </w:r>
      <w:r w:rsidR="007566F3">
        <w:t>;</w:t>
      </w:r>
      <w:r w:rsidRPr="00B8020D">
        <w:t xml:space="preserve"> </w:t>
      </w:r>
      <w:r w:rsidR="00FE77DE">
        <w:t xml:space="preserve">as well as their </w:t>
      </w:r>
      <w:r w:rsidRPr="00B8020D">
        <w:t>NIH eRA Commons ID and CV</w:t>
      </w:r>
      <w:r w:rsidR="00FE77DE">
        <w:t xml:space="preserve">, </w:t>
      </w:r>
      <w:r w:rsidRPr="00B8020D">
        <w:t xml:space="preserve">if they chose to include it. </w:t>
      </w:r>
    </w:p>
    <w:p w:rsidRPr="00C4161B" w:rsidR="00685B30" w:rsidP="00685B30" w:rsidRDefault="00685B30" w14:paraId="2634512F" w14:textId="77777777">
      <w:pPr>
        <w:pStyle w:val="Heading2"/>
        <w:spacing w:line="480" w:lineRule="auto"/>
        <w:ind w:left="720" w:hanging="720"/>
        <w:rPr>
          <w:rFonts w:asciiTheme="minorHAnsi" w:hAnsiTheme="minorHAnsi"/>
          <w:b/>
          <w:color w:val="auto"/>
          <w:sz w:val="22"/>
          <w:szCs w:val="22"/>
        </w:rPr>
      </w:pPr>
      <w:bookmarkStart w:name="_Toc443881745" w:id="7"/>
      <w:bookmarkStart w:name="_Toc451592234" w:id="8"/>
      <w:bookmarkStart w:name="_Toc5610275" w:id="9"/>
      <w:bookmarkStart w:name="_Toc99178781" w:id="10"/>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7"/>
      <w:bookmarkEnd w:id="8"/>
      <w:bookmarkEnd w:id="9"/>
      <w:bookmarkEnd w:id="10"/>
    </w:p>
    <w:p w:rsidRPr="00E35DD1" w:rsidR="005D7F9F" w:rsidP="00685B30" w:rsidRDefault="004B4699" w14:paraId="4E35DD53" w14:textId="1300734D">
      <w:r>
        <w:t xml:space="preserve">PRES requires each researcher to </w:t>
      </w:r>
      <w:r w:rsidR="002F4F30">
        <w:t>create a profile with basic contact information</w:t>
      </w:r>
      <w:r w:rsidR="00FE2C61">
        <w:t xml:space="preserve"> and</w:t>
      </w:r>
      <w:r w:rsidR="002F4F30">
        <w:t xml:space="preserve"> </w:t>
      </w:r>
      <w:r>
        <w:t xml:space="preserve">complete </w:t>
      </w:r>
      <w:r w:rsidR="002F4F30">
        <w:t xml:space="preserve">the </w:t>
      </w:r>
      <w:r>
        <w:t>online survey</w:t>
      </w:r>
      <w:r w:rsidR="009E1349">
        <w:t>; it also provides</w:t>
      </w:r>
      <w:r w:rsidR="002F4F30">
        <w:t xml:space="preserve"> the option </w:t>
      </w:r>
      <w:r w:rsidR="009E1349">
        <w:t xml:space="preserve">to </w:t>
      </w:r>
      <w:r>
        <w:t xml:space="preserve">submit a CV. </w:t>
      </w:r>
      <w:r w:rsidRPr="005D7F9F" w:rsidR="005D7F9F">
        <w:t xml:space="preserve">Some of the information gleaned from researchers’ CVs might also be available through university websites, IMPACII, social media sites, professional association websites, or via telephone or email contact with the applicant. </w:t>
      </w:r>
      <w:r>
        <w:t xml:space="preserve">However, </w:t>
      </w:r>
      <w:r w:rsidR="00390B44">
        <w:t xml:space="preserve">some of </w:t>
      </w:r>
      <w:r>
        <w:t>t</w:t>
      </w:r>
      <w:r w:rsidRPr="005D7F9F" w:rsidR="005D7F9F">
        <w:t>hese sources are used inconsistently</w:t>
      </w:r>
      <w:r w:rsidR="00390B44">
        <w:t xml:space="preserve"> or</w:t>
      </w:r>
      <w:r w:rsidRPr="005D7F9F" w:rsidR="005D7F9F">
        <w:t xml:space="preserve"> may include outdated or incomplete information</w:t>
      </w:r>
      <w:r w:rsidR="00390B44">
        <w:t>, which can introduce variations into the way in potential reviewers are evaluated.</w:t>
      </w:r>
      <w:r w:rsidRPr="005D7F9F" w:rsidR="005D7F9F">
        <w:t xml:space="preserve"> </w:t>
      </w:r>
      <w:r w:rsidR="006C1B1F">
        <w:t xml:space="preserve">When respondents </w:t>
      </w:r>
      <w:r w:rsidR="00A43921">
        <w:t>c</w:t>
      </w:r>
      <w:r w:rsidRPr="005D7F9F" w:rsidR="005D7F9F">
        <w:t>omplet</w:t>
      </w:r>
      <w:r w:rsidR="006C1B1F">
        <w:t>e</w:t>
      </w:r>
      <w:r w:rsidRPr="005D7F9F" w:rsidR="005D7F9F">
        <w:t xml:space="preserve"> the online survey and upload a CV</w:t>
      </w:r>
      <w:r w:rsidR="00A43921">
        <w:t xml:space="preserve">, it </w:t>
      </w:r>
      <w:r w:rsidRPr="005D7F9F" w:rsidR="005D7F9F">
        <w:t xml:space="preserve">standardizes the process and provides SROs with </w:t>
      </w:r>
      <w:r w:rsidR="00D01F45">
        <w:t xml:space="preserve">authoritative information in </w:t>
      </w:r>
      <w:r w:rsidRPr="005D7F9F" w:rsidR="005D7F9F">
        <w:t xml:space="preserve">one place </w:t>
      </w:r>
      <w:r w:rsidR="00ED190E">
        <w:t>where they can</w:t>
      </w:r>
      <w:r w:rsidRPr="005D7F9F" w:rsidR="00ED190E">
        <w:t xml:space="preserve"> </w:t>
      </w:r>
      <w:r w:rsidRPr="005D7F9F" w:rsidR="005D7F9F">
        <w:t xml:space="preserve">find mid- and senior- level methodological experts for review panels. The information </w:t>
      </w:r>
      <w:r w:rsidR="005D7F9F">
        <w:t>about</w:t>
      </w:r>
      <w:r w:rsidRPr="005D7F9F" w:rsidR="005D7F9F">
        <w:t xml:space="preserve"> the respondent’s level of expertise for content areas and methodological topics that </w:t>
      </w:r>
      <w:r w:rsidR="00FE2C61">
        <w:t>is</w:t>
      </w:r>
      <w:r w:rsidRPr="005D7F9F" w:rsidR="005D7F9F">
        <w:t xml:space="preserve"> gathered through the PRES </w:t>
      </w:r>
      <w:r w:rsidR="0007338A">
        <w:t xml:space="preserve">program </w:t>
      </w:r>
      <w:r w:rsidRPr="005D7F9F" w:rsidR="005D7F9F">
        <w:t>is not available from any other source or agency.</w:t>
      </w:r>
    </w:p>
    <w:p w:rsidR="0007338A" w:rsidP="00A263FA" w:rsidRDefault="00685B30" w14:paraId="6AEEC530" w14:textId="37D4EABF">
      <w:pPr>
        <w:pStyle w:val="Heading2"/>
        <w:spacing w:line="480" w:lineRule="auto"/>
        <w:ind w:left="720" w:hanging="720"/>
      </w:pPr>
      <w:bookmarkStart w:name="_Toc443881746" w:id="11"/>
      <w:bookmarkStart w:name="_Toc451592235" w:id="12"/>
      <w:bookmarkStart w:name="_Toc5610276" w:id="13"/>
      <w:bookmarkStart w:name="_Toc99178782" w:id="14"/>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1"/>
      <w:bookmarkEnd w:id="12"/>
      <w:bookmarkEnd w:id="13"/>
      <w:bookmarkEnd w:id="14"/>
    </w:p>
    <w:p w:rsidRPr="0007338A" w:rsidR="0007338A" w:rsidP="0007338A" w:rsidRDefault="0007338A" w14:paraId="27BF29EE" w14:textId="135400EE">
      <w:r w:rsidRPr="0007338A">
        <w:t xml:space="preserve">Researchers from small organizations </w:t>
      </w:r>
      <w:r w:rsidR="00ED190E">
        <w:t>are</w:t>
      </w:r>
      <w:r w:rsidRPr="0007338A">
        <w:t xml:space="preserve"> eligible to complete the online survey, but participation is voluntary. The information being requested of all prevention researchers has been held to the minimum required for evaluation of appropriateness for inclusion in the PRES </w:t>
      </w:r>
      <w:r w:rsidR="00D32E9B">
        <w:t>Directory</w:t>
      </w:r>
      <w:r w:rsidRPr="0007338A" w:rsidR="00CF5987">
        <w:t xml:space="preserve"> </w:t>
      </w:r>
      <w:r w:rsidRPr="0007338A">
        <w:t>and NIH review panels.</w:t>
      </w:r>
    </w:p>
    <w:p w:rsidRPr="00C4161B" w:rsidR="00685B30" w:rsidP="00685B30" w:rsidRDefault="00685B30" w14:paraId="4DCCFE87" w14:textId="77777777">
      <w:pPr>
        <w:pStyle w:val="Heading2"/>
        <w:spacing w:line="480" w:lineRule="auto"/>
        <w:ind w:left="720" w:hanging="720"/>
        <w:rPr>
          <w:rFonts w:asciiTheme="minorHAnsi" w:hAnsiTheme="minorHAnsi"/>
          <w:b/>
          <w:color w:val="auto"/>
          <w:sz w:val="22"/>
          <w:szCs w:val="22"/>
        </w:rPr>
      </w:pPr>
      <w:bookmarkStart w:name="_Toc443881747" w:id="15"/>
      <w:bookmarkStart w:name="_Toc451592236" w:id="16"/>
      <w:bookmarkStart w:name="_Toc5610277" w:id="17"/>
      <w:bookmarkStart w:name="_Toc99178783" w:id="18"/>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5"/>
      <w:bookmarkEnd w:id="16"/>
      <w:bookmarkEnd w:id="17"/>
      <w:bookmarkEnd w:id="18"/>
    </w:p>
    <w:p w:rsidR="0007338A" w:rsidP="0007338A" w:rsidRDefault="0007338A" w14:paraId="0DAA9B12" w14:textId="0CD050F9">
      <w:r>
        <w:t xml:space="preserve">Frequency of Survey Completion. Prevention researchers complete the survey and upload their CVs only once. If those researchers gain more expertise, change jobs, and/or </w:t>
      </w:r>
      <w:r w:rsidR="00346E5C">
        <w:t xml:space="preserve">get new </w:t>
      </w:r>
      <w:r>
        <w:t xml:space="preserve">contact information after completing the survey, they can update their information using the same online mechanism by signing into their profile and updating any pertinent sections (including their profile and specific areas of expertise).  </w:t>
      </w:r>
    </w:p>
    <w:p w:rsidR="0007338A" w:rsidP="0007338A" w:rsidRDefault="0007338A" w14:paraId="650BC413" w14:textId="63CC3EDD">
      <w:r>
        <w:t xml:space="preserve">Consequence of not collecting information. As described in Section A.4, some of the information gleaned from researchers’ CVs might also be available through university websites, IMPACII, social media sites, professional association websites, or via telephone or email contact with the applicant. </w:t>
      </w:r>
      <w:r w:rsidR="009B708C">
        <w:t>However, some of t</w:t>
      </w:r>
      <w:r>
        <w:t>hese sources are used inconsistently</w:t>
      </w:r>
      <w:r w:rsidR="009B708C">
        <w:t xml:space="preserve"> or</w:t>
      </w:r>
      <w:r>
        <w:t xml:space="preserve"> may include outdated or incomplete information, </w:t>
      </w:r>
      <w:r w:rsidR="009B708C">
        <w:t>which</w:t>
      </w:r>
      <w:r w:rsidR="0075174C">
        <w:t xml:space="preserve"> can</w:t>
      </w:r>
      <w:r w:rsidR="00CF5987">
        <w:t xml:space="preserve"> introduce variation</w:t>
      </w:r>
      <w:r w:rsidR="0075174C">
        <w:t>s</w:t>
      </w:r>
      <w:r w:rsidR="00CF5987">
        <w:t xml:space="preserve"> </w:t>
      </w:r>
      <w:r w:rsidR="00F241D5">
        <w:t xml:space="preserve">into </w:t>
      </w:r>
      <w:r w:rsidR="00CF5987">
        <w:t xml:space="preserve">the </w:t>
      </w:r>
      <w:r w:rsidR="00D76449">
        <w:t xml:space="preserve">way </w:t>
      </w:r>
      <w:r>
        <w:t xml:space="preserve">in </w:t>
      </w:r>
      <w:r w:rsidR="00687A43">
        <w:t xml:space="preserve">potential </w:t>
      </w:r>
      <w:r>
        <w:t xml:space="preserve">reviewers are evaluated. </w:t>
      </w:r>
      <w:r w:rsidR="00390B44">
        <w:t xml:space="preserve">When respondents </w:t>
      </w:r>
      <w:r w:rsidR="00D76449">
        <w:t>c</w:t>
      </w:r>
      <w:r>
        <w:t>omplet</w:t>
      </w:r>
      <w:r w:rsidR="00390B44">
        <w:t>e</w:t>
      </w:r>
      <w:r>
        <w:t xml:space="preserve"> the online survey and upload a CV</w:t>
      </w:r>
      <w:r w:rsidR="00D76449">
        <w:t>, it</w:t>
      </w:r>
      <w:r>
        <w:t xml:space="preserve"> standardizes the process and provides SROs with </w:t>
      </w:r>
      <w:r w:rsidR="00684245">
        <w:t xml:space="preserve">authoritative information in </w:t>
      </w:r>
      <w:r>
        <w:t xml:space="preserve">one place </w:t>
      </w:r>
      <w:r w:rsidR="003E4BF1">
        <w:t>where they can</w:t>
      </w:r>
      <w:r>
        <w:t xml:space="preserve"> find mid- and senior- level methodological experts </w:t>
      </w:r>
      <w:r w:rsidR="00687A43">
        <w:t xml:space="preserve">to serve on </w:t>
      </w:r>
      <w:r>
        <w:t xml:space="preserve">review panels. </w:t>
      </w:r>
    </w:p>
    <w:p w:rsidRPr="00E35DD1" w:rsidR="0007338A" w:rsidP="0007338A" w:rsidRDefault="0007338A" w14:paraId="2833E1B8" w14:textId="1EFC47E4">
      <w:r>
        <w:t xml:space="preserve">The online survey and CV also greatly </w:t>
      </w:r>
      <w:r w:rsidR="005329AC">
        <w:t>reduce</w:t>
      </w:r>
      <w:r>
        <w:t xml:space="preserve"> staff time that would </w:t>
      </w:r>
      <w:r w:rsidR="00640934">
        <w:t xml:space="preserve">otherwise </w:t>
      </w:r>
      <w:r>
        <w:t xml:space="preserve">be needed to conduct detailed online searches for information on each </w:t>
      </w:r>
      <w:r w:rsidR="00687A43">
        <w:t>potential reviewer</w:t>
      </w:r>
      <w:r>
        <w:t xml:space="preserve">. Given the high volume of prevention researchers, it is more cost-effective to ask PRES participants to provide their CVs and information </w:t>
      </w:r>
      <w:r w:rsidR="00687A43">
        <w:t xml:space="preserve">about </w:t>
      </w:r>
      <w:r>
        <w:t>their degree</w:t>
      </w:r>
      <w:r w:rsidR="00684245">
        <w:t>(s)</w:t>
      </w:r>
      <w:r>
        <w:t xml:space="preserve">, training, methodological and content area expertise, and willingness to serve on a NIH study section, than </w:t>
      </w:r>
      <w:r w:rsidR="00352320">
        <w:t xml:space="preserve">it is </w:t>
      </w:r>
      <w:r>
        <w:t xml:space="preserve">to hire staff to conduct individualized online searches to verify the qualifications of each </w:t>
      </w:r>
      <w:r w:rsidR="00640934">
        <w:t>researcher</w:t>
      </w:r>
      <w:r>
        <w:t xml:space="preserve">. It also prevents the </w:t>
      </w:r>
      <w:r w:rsidR="00640934">
        <w:t xml:space="preserve">issue </w:t>
      </w:r>
      <w:r>
        <w:t xml:space="preserve">of </w:t>
      </w:r>
      <w:r w:rsidR="00164720">
        <w:t>staff potentially</w:t>
      </w:r>
      <w:r w:rsidR="00A140E6">
        <w:t xml:space="preserve"> </w:t>
      </w:r>
      <w:r w:rsidR="007E5B69">
        <w:t xml:space="preserve">using </w:t>
      </w:r>
      <w:r w:rsidR="00684245">
        <w:t xml:space="preserve">the </w:t>
      </w:r>
      <w:r w:rsidR="007E5B69">
        <w:t xml:space="preserve">wrong </w:t>
      </w:r>
      <w:r>
        <w:t>information</w:t>
      </w:r>
      <w:r w:rsidR="00A140E6">
        <w:t xml:space="preserve"> from an online search</w:t>
      </w:r>
      <w:r>
        <w:t xml:space="preserve"> </w:t>
      </w:r>
      <w:r w:rsidR="00F241D5">
        <w:t xml:space="preserve">for </w:t>
      </w:r>
      <w:r w:rsidR="00687A43">
        <w:t>researchers</w:t>
      </w:r>
      <w:r>
        <w:t xml:space="preserve"> with similar name</w:t>
      </w:r>
      <w:r w:rsidR="00F241D5">
        <w:t>s</w:t>
      </w:r>
      <w:r>
        <w:t xml:space="preserve">. Finally, providing all information at the time of </w:t>
      </w:r>
      <w:r w:rsidR="00684245">
        <w:t xml:space="preserve">the </w:t>
      </w:r>
      <w:r>
        <w:t xml:space="preserve">survey submission reduces the number of times that ODP PRES program staff or SROs </w:t>
      </w:r>
      <w:r w:rsidR="007E5B69">
        <w:t xml:space="preserve">need to </w:t>
      </w:r>
      <w:r>
        <w:t>contact the PRES participant to verify or to request additional information.</w:t>
      </w:r>
    </w:p>
    <w:p w:rsidR="00685B30" w:rsidP="00A263FA" w:rsidRDefault="00E67B10" w14:paraId="635EB124" w14:textId="7E3E772D">
      <w:pPr>
        <w:pStyle w:val="Heading2"/>
        <w:spacing w:line="480" w:lineRule="auto"/>
      </w:pPr>
      <w:bookmarkStart w:name="_Toc443881748" w:id="19"/>
      <w:bookmarkStart w:name="_Toc451592237" w:id="20"/>
      <w:bookmarkStart w:name="_Toc5610278" w:id="21"/>
      <w:bookmarkStart w:name="_Toc99178784" w:id="22"/>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9"/>
      <w:bookmarkEnd w:id="20"/>
      <w:bookmarkEnd w:id="21"/>
      <w:bookmarkEnd w:id="22"/>
    </w:p>
    <w:p w:rsidRPr="00E35DD1" w:rsidR="0065288F" w:rsidP="0065288F" w:rsidRDefault="0065288F" w14:paraId="51D5636F" w14:textId="2B281566">
      <w:r w:rsidRPr="0065288F">
        <w:t xml:space="preserve">The software </w:t>
      </w:r>
      <w:r w:rsidR="005D0A60">
        <w:t>for PRES and the linked PRES Directory</w:t>
      </w:r>
      <w:r w:rsidRPr="0065288F">
        <w:t xml:space="preserve"> fully complies with all guidelines stated in 5 CFR 1320.5. No special circumstances</w:t>
      </w:r>
      <w:r w:rsidR="00F241D5">
        <w:t xml:space="preserve"> are applicable</w:t>
      </w:r>
      <w:r w:rsidRPr="0065288F">
        <w:t>.</w:t>
      </w:r>
    </w:p>
    <w:p w:rsidRPr="0036208F" w:rsidR="0036208F" w:rsidP="00A263FA" w:rsidRDefault="00685B30" w14:paraId="25A28A2C" w14:textId="0ACDA893">
      <w:pPr>
        <w:pStyle w:val="Heading2"/>
        <w:spacing w:line="480" w:lineRule="auto"/>
        <w:rPr>
          <w:rFonts w:asciiTheme="minorHAnsi" w:hAnsiTheme="minorHAnsi"/>
          <w:szCs w:val="22"/>
        </w:rPr>
      </w:pPr>
      <w:bookmarkStart w:name="_Toc443881749" w:id="23"/>
      <w:bookmarkStart w:name="_Toc451592238" w:id="24"/>
      <w:bookmarkStart w:name="_Toc5610279" w:id="25"/>
      <w:bookmarkStart w:name="_Toc99178785" w:id="26"/>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3"/>
    <w:bookmarkEnd w:id="24"/>
    <w:bookmarkEnd w:id="25"/>
    <w:bookmarkEnd w:id="26"/>
    <w:p w:rsidRPr="0036208F" w:rsidR="0065288F" w:rsidP="00685B30" w:rsidRDefault="0065288F" w14:paraId="2AE610B6" w14:textId="6F70BCE7">
      <w:r w:rsidRPr="0065288F">
        <w:t xml:space="preserve">This proposed information collection published in the Federal Register on </w:t>
      </w:r>
      <w:r w:rsidRPr="002749EE" w:rsidR="004B4699">
        <w:rPr>
          <w:rFonts w:cstheme="minorHAnsi"/>
        </w:rPr>
        <w:t xml:space="preserve">August </w:t>
      </w:r>
      <w:r w:rsidR="002749EE">
        <w:rPr>
          <w:rFonts w:cstheme="minorHAnsi"/>
        </w:rPr>
        <w:t>6</w:t>
      </w:r>
      <w:r w:rsidRPr="0065288F">
        <w:t xml:space="preserve">, </w:t>
      </w:r>
      <w:r w:rsidRPr="002749EE">
        <w:rPr>
          <w:rFonts w:cstheme="minorHAnsi"/>
        </w:rPr>
        <w:t>20</w:t>
      </w:r>
      <w:r w:rsidRPr="002749EE" w:rsidR="004B4699">
        <w:rPr>
          <w:rFonts w:cstheme="minorHAnsi"/>
        </w:rPr>
        <w:t>20</w:t>
      </w:r>
      <w:r w:rsidRPr="002749EE">
        <w:rPr>
          <w:rFonts w:cstheme="minorHAnsi"/>
        </w:rPr>
        <w:t xml:space="preserve">, </w:t>
      </w:r>
      <w:r w:rsidRPr="002749EE" w:rsidR="002749EE">
        <w:rPr>
          <w:rFonts w:cstheme="minorHAnsi"/>
        </w:rPr>
        <w:t>Vol. 85, No. 152</w:t>
      </w:r>
      <w:r w:rsidR="002749EE">
        <w:rPr>
          <w:rFonts w:cstheme="minorHAnsi"/>
        </w:rPr>
        <w:t xml:space="preserve">, pages </w:t>
      </w:r>
      <w:r w:rsidRPr="002749EE" w:rsidR="002749EE">
        <w:rPr>
          <w:rFonts w:cstheme="minorHAnsi"/>
          <w:color w:val="333333"/>
        </w:rPr>
        <w:t>47805-47806</w:t>
      </w:r>
      <w:r w:rsidRPr="0065288F">
        <w:t>, and allowed 60 days for public comment. No public comments were received.</w:t>
      </w:r>
    </w:p>
    <w:p w:rsidR="0036208F" w:rsidP="00A263FA" w:rsidRDefault="0036208F" w14:paraId="3E326CCB" w14:textId="0EC8B552">
      <w:pPr>
        <w:pStyle w:val="Heading2"/>
        <w:spacing w:line="480" w:lineRule="auto"/>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781F43" w:rsidP="0065288F" w:rsidRDefault="0065288F" w14:paraId="04B7720B" w14:textId="77777777">
      <w:pPr>
        <w:rPr>
          <w:iCs/>
        </w:rPr>
      </w:pPr>
      <w:r w:rsidRPr="0065288F">
        <w:rPr>
          <w:b/>
          <w:iCs/>
        </w:rPr>
        <w:t>Consultation with advisors regarding the program.</w:t>
      </w:r>
      <w:r w:rsidRPr="0065288F">
        <w:rPr>
          <w:iCs/>
        </w:rPr>
        <w:t xml:space="preserve"> </w:t>
      </w:r>
    </w:p>
    <w:p w:rsidR="00686C34" w:rsidP="0065288F" w:rsidRDefault="00686C34" w14:paraId="66CCF90A" w14:textId="569175A3">
      <w:pPr>
        <w:rPr>
          <w:iCs/>
        </w:rPr>
      </w:pPr>
      <w:r>
        <w:rPr>
          <w:iCs/>
        </w:rPr>
        <w:t>T</w:t>
      </w:r>
      <w:r w:rsidRPr="0065288F">
        <w:rPr>
          <w:iCs/>
        </w:rPr>
        <w:t xml:space="preserve">he plan to develop </w:t>
      </w:r>
      <w:r w:rsidR="00F241D5">
        <w:rPr>
          <w:iCs/>
        </w:rPr>
        <w:t xml:space="preserve">the </w:t>
      </w:r>
      <w:r w:rsidRPr="0065288F">
        <w:rPr>
          <w:iCs/>
        </w:rPr>
        <w:t xml:space="preserve">PRES </w:t>
      </w:r>
      <w:r w:rsidR="00B16091">
        <w:rPr>
          <w:iCs/>
        </w:rPr>
        <w:t>program</w:t>
      </w:r>
      <w:r w:rsidRPr="0065288F">
        <w:rPr>
          <w:iCs/>
        </w:rPr>
        <w:t xml:space="preserve"> was discussed with and approved by the Associate Director for Prevention and Director of the </w:t>
      </w:r>
      <w:r w:rsidR="004A49F6">
        <w:rPr>
          <w:iCs/>
        </w:rPr>
        <w:t xml:space="preserve">NIH </w:t>
      </w:r>
      <w:r w:rsidRPr="0065288F">
        <w:rPr>
          <w:iCs/>
        </w:rPr>
        <w:t>Office of Disease Prevention, Dr. David M. Murray</w:t>
      </w:r>
      <w:r>
        <w:rPr>
          <w:iCs/>
        </w:rPr>
        <w:t xml:space="preserve">. </w:t>
      </w:r>
      <w:r w:rsidR="00781F43">
        <w:rPr>
          <w:iCs/>
        </w:rPr>
        <w:t xml:space="preserve">The ODP conducted extensive </w:t>
      </w:r>
      <w:r w:rsidR="00C47BD7">
        <w:rPr>
          <w:iCs/>
        </w:rPr>
        <w:t xml:space="preserve">consultations </w:t>
      </w:r>
      <w:r w:rsidR="006936E7">
        <w:rPr>
          <w:iCs/>
        </w:rPr>
        <w:t xml:space="preserve">with several prevention researchers, senior-level methodologists, SROs, and NIH Program staff </w:t>
      </w:r>
      <w:r w:rsidR="00C47BD7">
        <w:rPr>
          <w:iCs/>
        </w:rPr>
        <w:t xml:space="preserve">when the PRES program was first developed in 2014 and again </w:t>
      </w:r>
      <w:r w:rsidR="00137EE2">
        <w:rPr>
          <w:iCs/>
        </w:rPr>
        <w:t xml:space="preserve">for the last full renewal </w:t>
      </w:r>
      <w:r w:rsidR="00F6550D">
        <w:rPr>
          <w:iCs/>
        </w:rPr>
        <w:t>and substanti</w:t>
      </w:r>
      <w:r w:rsidR="004A49F6">
        <w:rPr>
          <w:iCs/>
        </w:rPr>
        <w:t>ve</w:t>
      </w:r>
      <w:r w:rsidR="00F6550D">
        <w:rPr>
          <w:iCs/>
        </w:rPr>
        <w:t xml:space="preserve"> revision </w:t>
      </w:r>
      <w:r w:rsidR="00C47BD7">
        <w:rPr>
          <w:iCs/>
        </w:rPr>
        <w:t xml:space="preserve">in 2017. </w:t>
      </w:r>
      <w:r w:rsidR="00CB125E">
        <w:rPr>
          <w:iCs/>
        </w:rPr>
        <w:t>In preparation for this renewal and revision request, the ODP conducted additional</w:t>
      </w:r>
      <w:r w:rsidR="00C47BD7">
        <w:rPr>
          <w:iCs/>
        </w:rPr>
        <w:t xml:space="preserve"> con</w:t>
      </w:r>
      <w:r>
        <w:rPr>
          <w:iCs/>
        </w:rPr>
        <w:t xml:space="preserve">sultations </w:t>
      </w:r>
      <w:r w:rsidR="004E6CC2">
        <w:rPr>
          <w:iCs/>
        </w:rPr>
        <w:t>about</w:t>
      </w:r>
      <w:r w:rsidR="00EB3981">
        <w:rPr>
          <w:iCs/>
        </w:rPr>
        <w:t xml:space="preserve"> the data collection tool</w:t>
      </w:r>
      <w:r w:rsidR="004E6CC2">
        <w:rPr>
          <w:iCs/>
        </w:rPr>
        <w:t xml:space="preserve"> (i.e., PRES)</w:t>
      </w:r>
      <w:r w:rsidR="00EB3981">
        <w:rPr>
          <w:iCs/>
        </w:rPr>
        <w:t xml:space="preserve">, </w:t>
      </w:r>
      <w:r w:rsidR="00CB125E">
        <w:rPr>
          <w:iCs/>
        </w:rPr>
        <w:t xml:space="preserve">user </w:t>
      </w:r>
      <w:r w:rsidR="00EB3981">
        <w:rPr>
          <w:iCs/>
        </w:rPr>
        <w:t>satisfaction</w:t>
      </w:r>
      <w:r w:rsidR="00445B0B">
        <w:rPr>
          <w:iCs/>
        </w:rPr>
        <w:t>,</w:t>
      </w:r>
      <w:r w:rsidR="00EB3981">
        <w:rPr>
          <w:iCs/>
        </w:rPr>
        <w:t xml:space="preserve"> and </w:t>
      </w:r>
      <w:r w:rsidR="004E6CC2">
        <w:rPr>
          <w:iCs/>
        </w:rPr>
        <w:t>potential</w:t>
      </w:r>
      <w:r w:rsidR="00EB3981">
        <w:rPr>
          <w:iCs/>
        </w:rPr>
        <w:t xml:space="preserve"> changes</w:t>
      </w:r>
      <w:r w:rsidR="004E6CC2">
        <w:rPr>
          <w:iCs/>
        </w:rPr>
        <w:t xml:space="preserve"> to PRES</w:t>
      </w:r>
      <w:r w:rsidR="003738A0">
        <w:rPr>
          <w:iCs/>
        </w:rPr>
        <w:t xml:space="preserve"> (see Attachment 3)</w:t>
      </w:r>
      <w:r w:rsidR="00EB3981">
        <w:rPr>
          <w:iCs/>
        </w:rPr>
        <w:t xml:space="preserve">. </w:t>
      </w:r>
      <w:r w:rsidR="00617752">
        <w:rPr>
          <w:iCs/>
        </w:rPr>
        <w:t>As outlined below, the</w:t>
      </w:r>
      <w:r w:rsidRPr="0065288F" w:rsidR="00617752">
        <w:rPr>
          <w:iCs/>
        </w:rPr>
        <w:t xml:space="preserve"> requested revisions to </w:t>
      </w:r>
      <w:r w:rsidR="0015565D">
        <w:rPr>
          <w:iCs/>
        </w:rPr>
        <w:t xml:space="preserve">the </w:t>
      </w:r>
      <w:r w:rsidRPr="0065288F" w:rsidR="00617752">
        <w:rPr>
          <w:iCs/>
        </w:rPr>
        <w:t xml:space="preserve">data collection for PRES are based on feedback </w:t>
      </w:r>
      <w:r w:rsidR="00AE779E">
        <w:rPr>
          <w:iCs/>
        </w:rPr>
        <w:t xml:space="preserve">both </w:t>
      </w:r>
      <w:r w:rsidRPr="0065288F" w:rsidR="00617752">
        <w:rPr>
          <w:iCs/>
        </w:rPr>
        <w:t>from</w:t>
      </w:r>
      <w:r w:rsidR="00AE779E">
        <w:rPr>
          <w:iCs/>
        </w:rPr>
        <w:t xml:space="preserve"> </w:t>
      </w:r>
      <w:r w:rsidR="00617752">
        <w:rPr>
          <w:iCs/>
        </w:rPr>
        <w:t xml:space="preserve">NIH staff </w:t>
      </w:r>
      <w:r w:rsidR="00FE3512">
        <w:rPr>
          <w:iCs/>
        </w:rPr>
        <w:t>who used the PRES Directory and</w:t>
      </w:r>
      <w:r w:rsidR="00617752">
        <w:rPr>
          <w:iCs/>
        </w:rPr>
        <w:t xml:space="preserve"> from survey respondents </w:t>
      </w:r>
      <w:r w:rsidR="00FE3512">
        <w:rPr>
          <w:iCs/>
        </w:rPr>
        <w:t xml:space="preserve">who completed the survey since the last </w:t>
      </w:r>
      <w:r w:rsidR="00C04E65">
        <w:rPr>
          <w:iCs/>
        </w:rPr>
        <w:t xml:space="preserve">full </w:t>
      </w:r>
      <w:r w:rsidR="00AE779E">
        <w:rPr>
          <w:iCs/>
        </w:rPr>
        <w:t xml:space="preserve">OMB </w:t>
      </w:r>
      <w:r w:rsidR="00C04E65">
        <w:rPr>
          <w:iCs/>
        </w:rPr>
        <w:t xml:space="preserve">approval </w:t>
      </w:r>
      <w:r w:rsidR="00AE779E">
        <w:rPr>
          <w:iCs/>
        </w:rPr>
        <w:t>in November 2017</w:t>
      </w:r>
      <w:r w:rsidR="00617752">
        <w:rPr>
          <w:iCs/>
        </w:rPr>
        <w:t>.</w:t>
      </w:r>
    </w:p>
    <w:p w:rsidR="0065288F" w:rsidP="00BD153B" w:rsidRDefault="00686C34" w14:paraId="3F2906AB" w14:textId="365B2C46">
      <w:pPr>
        <w:rPr>
          <w:iCs/>
        </w:rPr>
      </w:pPr>
      <w:r>
        <w:rPr>
          <w:iCs/>
        </w:rPr>
        <w:t xml:space="preserve">To assess the utility of the PRES program </w:t>
      </w:r>
      <w:r w:rsidR="00AE779E">
        <w:rPr>
          <w:iCs/>
        </w:rPr>
        <w:t>to NIH SROs</w:t>
      </w:r>
      <w:r w:rsidR="00B61075">
        <w:rPr>
          <w:iCs/>
        </w:rPr>
        <w:t xml:space="preserve">, the ODP consulted with </w:t>
      </w:r>
      <w:r w:rsidRPr="0065288F" w:rsidR="00261F83">
        <w:rPr>
          <w:iCs/>
        </w:rPr>
        <w:t xml:space="preserve">Dr. </w:t>
      </w:r>
      <w:r w:rsidR="00261F83">
        <w:rPr>
          <w:iCs/>
        </w:rPr>
        <w:t>Valerie Durrant,</w:t>
      </w:r>
      <w:r w:rsidRPr="0065288F" w:rsidR="00261F83">
        <w:rPr>
          <w:iCs/>
        </w:rPr>
        <w:t xml:space="preserve"> </w:t>
      </w:r>
      <w:r w:rsidRPr="0065288F" w:rsidR="0065288F">
        <w:rPr>
          <w:iCs/>
        </w:rPr>
        <w:t>Director</w:t>
      </w:r>
      <w:r w:rsidR="00261F83">
        <w:rPr>
          <w:iCs/>
        </w:rPr>
        <w:t>,</w:t>
      </w:r>
      <w:r w:rsidRPr="0065288F" w:rsidR="0065288F">
        <w:rPr>
          <w:iCs/>
        </w:rPr>
        <w:t xml:space="preserve"> </w:t>
      </w:r>
      <w:r w:rsidRPr="0065288F" w:rsidR="00261F83">
        <w:rPr>
          <w:iCs/>
        </w:rPr>
        <w:t>Division of AIDS, Behavioral and Population Sciences</w:t>
      </w:r>
      <w:r w:rsidR="00261F83">
        <w:rPr>
          <w:iCs/>
        </w:rPr>
        <w:t>,</w:t>
      </w:r>
      <w:r w:rsidRPr="0065288F" w:rsidR="00261F83">
        <w:rPr>
          <w:iCs/>
        </w:rPr>
        <w:t xml:space="preserve"> </w:t>
      </w:r>
      <w:r w:rsidR="00B61075">
        <w:rPr>
          <w:iCs/>
        </w:rPr>
        <w:t xml:space="preserve">NIH </w:t>
      </w:r>
      <w:r w:rsidRPr="0065288F" w:rsidR="0065288F">
        <w:rPr>
          <w:iCs/>
        </w:rPr>
        <w:t>C</w:t>
      </w:r>
      <w:r w:rsidR="00B61075">
        <w:rPr>
          <w:iCs/>
        </w:rPr>
        <w:t>enter for Scientific Review</w:t>
      </w:r>
      <w:r w:rsidRPr="0065288F" w:rsidR="0065288F">
        <w:rPr>
          <w:iCs/>
        </w:rPr>
        <w:t>;</w:t>
      </w:r>
      <w:r w:rsidR="00261F83">
        <w:rPr>
          <w:iCs/>
        </w:rPr>
        <w:t xml:space="preserve"> Dr. Ruth Grossman,</w:t>
      </w:r>
      <w:r w:rsidRPr="0065288F" w:rsidR="0065288F">
        <w:rPr>
          <w:iCs/>
        </w:rPr>
        <w:t xml:space="preserve"> </w:t>
      </w:r>
      <w:r w:rsidR="008611A5">
        <w:rPr>
          <w:iCs/>
        </w:rPr>
        <w:t>Scientific Review Officer</w:t>
      </w:r>
      <w:r w:rsidR="00261F83">
        <w:rPr>
          <w:iCs/>
        </w:rPr>
        <w:t xml:space="preserve">, Scientific Review Branch, </w:t>
      </w:r>
      <w:r w:rsidR="008611A5">
        <w:rPr>
          <w:iCs/>
        </w:rPr>
        <w:t xml:space="preserve">National Institute of General Medical Sciences; </w:t>
      </w:r>
      <w:r w:rsidRPr="0065288F" w:rsidR="0065288F">
        <w:rPr>
          <w:iCs/>
        </w:rPr>
        <w:t xml:space="preserve">the staff of the </w:t>
      </w:r>
      <w:r w:rsidR="008611A5">
        <w:rPr>
          <w:iCs/>
        </w:rPr>
        <w:t>NIH Office of Dietary Supplements</w:t>
      </w:r>
      <w:r w:rsidR="005A28A4">
        <w:rPr>
          <w:iCs/>
        </w:rPr>
        <w:t>;</w:t>
      </w:r>
      <w:r w:rsidR="008611A5">
        <w:rPr>
          <w:iCs/>
        </w:rPr>
        <w:t xml:space="preserve"> and the</w:t>
      </w:r>
      <w:r w:rsidR="005A28A4">
        <w:rPr>
          <w:iCs/>
        </w:rPr>
        <w:t xml:space="preserve"> staff of the</w:t>
      </w:r>
      <w:r w:rsidR="008611A5">
        <w:rPr>
          <w:iCs/>
        </w:rPr>
        <w:t xml:space="preserve"> NIH Office of AIDS Research. </w:t>
      </w:r>
      <w:r w:rsidRPr="0065288F" w:rsidR="0065288F">
        <w:rPr>
          <w:iCs/>
        </w:rPr>
        <w:t xml:space="preserve">Their </w:t>
      </w:r>
      <w:r w:rsidR="002429E7">
        <w:rPr>
          <w:iCs/>
        </w:rPr>
        <w:t>review and feedback</w:t>
      </w:r>
      <w:r w:rsidRPr="0065288F" w:rsidR="0065288F">
        <w:rPr>
          <w:iCs/>
        </w:rPr>
        <w:t xml:space="preserve"> </w:t>
      </w:r>
      <w:r w:rsidR="007170B5">
        <w:rPr>
          <w:iCs/>
        </w:rPr>
        <w:t>were</w:t>
      </w:r>
      <w:r w:rsidR="00BE3A57">
        <w:rPr>
          <w:iCs/>
        </w:rPr>
        <w:t xml:space="preserve"> based on use of the </w:t>
      </w:r>
      <w:r w:rsidR="003D2A31">
        <w:rPr>
          <w:iCs/>
        </w:rPr>
        <w:t>PRES</w:t>
      </w:r>
      <w:r w:rsidR="00BE3A57">
        <w:rPr>
          <w:iCs/>
        </w:rPr>
        <w:t xml:space="preserve"> program </w:t>
      </w:r>
      <w:r w:rsidR="008C520C">
        <w:rPr>
          <w:iCs/>
        </w:rPr>
        <w:t>during the previous approval period</w:t>
      </w:r>
      <w:r w:rsidR="00897D2B">
        <w:rPr>
          <w:iCs/>
        </w:rPr>
        <w:t>,</w:t>
      </w:r>
      <w:r w:rsidR="008C520C">
        <w:rPr>
          <w:iCs/>
        </w:rPr>
        <w:t xml:space="preserve"> </w:t>
      </w:r>
      <w:r w:rsidR="00BE3A57">
        <w:rPr>
          <w:iCs/>
        </w:rPr>
        <w:t xml:space="preserve">as well as </w:t>
      </w:r>
      <w:r w:rsidR="000B5568">
        <w:rPr>
          <w:iCs/>
        </w:rPr>
        <w:t xml:space="preserve">first-hand </w:t>
      </w:r>
      <w:r w:rsidR="003D2A31">
        <w:rPr>
          <w:iCs/>
        </w:rPr>
        <w:t xml:space="preserve">knowledge of the </w:t>
      </w:r>
      <w:r w:rsidR="00741A7E">
        <w:rPr>
          <w:iCs/>
        </w:rPr>
        <w:t xml:space="preserve">types of </w:t>
      </w:r>
      <w:r w:rsidR="003D2A31">
        <w:rPr>
          <w:iCs/>
        </w:rPr>
        <w:t>research projects submitted to the NIH.</w:t>
      </w:r>
      <w:r w:rsidR="00BE3A57">
        <w:rPr>
          <w:iCs/>
        </w:rPr>
        <w:t xml:space="preserve"> </w:t>
      </w:r>
      <w:r w:rsidRPr="00BA6245" w:rsidR="00741A7E">
        <w:rPr>
          <w:iCs/>
          <w:highlight w:val="yellow"/>
        </w:rPr>
        <w:t>Their recommendations</w:t>
      </w:r>
      <w:r w:rsidRPr="00BA6245" w:rsidR="00B25D9F">
        <w:rPr>
          <w:iCs/>
          <w:highlight w:val="yellow"/>
        </w:rPr>
        <w:t xml:space="preserve"> </w:t>
      </w:r>
      <w:r w:rsidRPr="00BA6245" w:rsidR="00E50A3C">
        <w:rPr>
          <w:iCs/>
          <w:highlight w:val="yellow"/>
        </w:rPr>
        <w:t xml:space="preserve">include </w:t>
      </w:r>
      <w:r w:rsidRPr="00BA6245" w:rsidR="001917B0">
        <w:rPr>
          <w:iCs/>
          <w:highlight w:val="yellow"/>
        </w:rPr>
        <w:t>add</w:t>
      </w:r>
      <w:r w:rsidRPr="00BA6245" w:rsidR="00E50A3C">
        <w:rPr>
          <w:iCs/>
          <w:highlight w:val="yellow"/>
        </w:rPr>
        <w:t>ing</w:t>
      </w:r>
      <w:r w:rsidRPr="00BA6245" w:rsidR="001917B0">
        <w:rPr>
          <w:iCs/>
          <w:highlight w:val="yellow"/>
        </w:rPr>
        <w:t xml:space="preserve"> new topics and refin</w:t>
      </w:r>
      <w:r w:rsidRPr="00BA6245" w:rsidR="00E50A3C">
        <w:rPr>
          <w:iCs/>
          <w:highlight w:val="yellow"/>
        </w:rPr>
        <w:t>ing</w:t>
      </w:r>
      <w:r w:rsidRPr="00BA6245" w:rsidR="001917B0">
        <w:rPr>
          <w:iCs/>
          <w:highlight w:val="yellow"/>
        </w:rPr>
        <w:t xml:space="preserve"> language about NIH review experience</w:t>
      </w:r>
      <w:r w:rsidRPr="00BA6245" w:rsidR="00E50A3C">
        <w:rPr>
          <w:iCs/>
          <w:highlight w:val="yellow"/>
        </w:rPr>
        <w:t xml:space="preserve"> to help SROs better identify researchers to serve on review panels</w:t>
      </w:r>
      <w:r w:rsidRPr="00BA6245" w:rsidR="00687432">
        <w:rPr>
          <w:iCs/>
          <w:highlight w:val="yellow"/>
        </w:rPr>
        <w:t>. This feedback has</w:t>
      </w:r>
      <w:r w:rsidRPr="00BA6245" w:rsidR="007170B5">
        <w:rPr>
          <w:iCs/>
          <w:highlight w:val="yellow"/>
        </w:rPr>
        <w:t xml:space="preserve"> been</w:t>
      </w:r>
      <w:r w:rsidRPr="00BA6245" w:rsidR="00363299">
        <w:rPr>
          <w:iCs/>
          <w:highlight w:val="yellow"/>
        </w:rPr>
        <w:t xml:space="preserve"> </w:t>
      </w:r>
      <w:r w:rsidRPr="00BA6245" w:rsidR="0065288F">
        <w:rPr>
          <w:iCs/>
          <w:highlight w:val="yellow"/>
        </w:rPr>
        <w:t xml:space="preserve">incorporated into the </w:t>
      </w:r>
      <w:r w:rsidRPr="00BA6245" w:rsidR="00B25D9F">
        <w:rPr>
          <w:iCs/>
          <w:highlight w:val="yellow"/>
        </w:rPr>
        <w:t xml:space="preserve">current revision request </w:t>
      </w:r>
      <w:r w:rsidRPr="00BA6245" w:rsidR="0065288F">
        <w:rPr>
          <w:iCs/>
          <w:highlight w:val="yellow"/>
        </w:rPr>
        <w:t>for the survey</w:t>
      </w:r>
      <w:r w:rsidRPr="0065288F" w:rsidR="0065288F">
        <w:rPr>
          <w:iCs/>
        </w:rPr>
        <w:t xml:space="preserve"> </w:t>
      </w:r>
      <w:r w:rsidR="007E2E27">
        <w:rPr>
          <w:iCs/>
        </w:rPr>
        <w:t>(</w:t>
      </w:r>
      <w:r w:rsidRPr="00BA6245" w:rsidR="007E2E27">
        <w:rPr>
          <w:iCs/>
        </w:rPr>
        <w:t xml:space="preserve">see Attachment </w:t>
      </w:r>
      <w:r w:rsidR="00745568">
        <w:rPr>
          <w:iCs/>
        </w:rPr>
        <w:t>1</w:t>
      </w:r>
      <w:r w:rsidR="007E2E27">
        <w:rPr>
          <w:iCs/>
        </w:rPr>
        <w:t xml:space="preserve">). </w:t>
      </w:r>
    </w:p>
    <w:p w:rsidRPr="0065288F" w:rsidR="0065288F" w:rsidP="00BD153B" w:rsidRDefault="00423C95" w14:paraId="01ADE682" w14:textId="62BE5896">
      <w:pPr>
        <w:rPr>
          <w:iCs/>
        </w:rPr>
      </w:pPr>
      <w:r w:rsidRPr="00BD153B">
        <w:rPr>
          <w:iCs/>
        </w:rPr>
        <w:t xml:space="preserve">To gather participant </w:t>
      </w:r>
      <w:r w:rsidRPr="00CF3A3E">
        <w:rPr>
          <w:iCs/>
        </w:rPr>
        <w:t xml:space="preserve">feedback about the </w:t>
      </w:r>
      <w:r w:rsidRPr="00687432">
        <w:rPr>
          <w:iCs/>
        </w:rPr>
        <w:t xml:space="preserve">survey, </w:t>
      </w:r>
      <w:r w:rsidRPr="00551BDA" w:rsidR="00F8567E">
        <w:rPr>
          <w:iCs/>
        </w:rPr>
        <w:t xml:space="preserve">respondents are given the opportunity </w:t>
      </w:r>
      <w:r w:rsidRPr="00551BDA" w:rsidR="00BD153B">
        <w:rPr>
          <w:iCs/>
        </w:rPr>
        <w:t xml:space="preserve">in two sections </w:t>
      </w:r>
      <w:r w:rsidR="004A49F6">
        <w:rPr>
          <w:iCs/>
        </w:rPr>
        <w:t xml:space="preserve">of the survey </w:t>
      </w:r>
      <w:r w:rsidRPr="00551BDA" w:rsidR="00BD153B">
        <w:rPr>
          <w:iCs/>
        </w:rPr>
        <w:t xml:space="preserve">(Step 3 </w:t>
      </w:r>
      <w:r w:rsidR="007B32D4">
        <w:rPr>
          <w:iCs/>
        </w:rPr>
        <w:t>-</w:t>
      </w:r>
      <w:r w:rsidRPr="00551BDA" w:rsidR="00BD153B">
        <w:rPr>
          <w:iCs/>
        </w:rPr>
        <w:t xml:space="preserve"> Research Methods and Step 4 </w:t>
      </w:r>
      <w:r w:rsidR="007B32D4">
        <w:rPr>
          <w:iCs/>
        </w:rPr>
        <w:t>-</w:t>
      </w:r>
      <w:r w:rsidRPr="00551BDA" w:rsidR="00BD153B">
        <w:rPr>
          <w:iCs/>
        </w:rPr>
        <w:t xml:space="preserve"> Content Topics) </w:t>
      </w:r>
      <w:r w:rsidRPr="00551BDA" w:rsidR="00F8567E">
        <w:rPr>
          <w:iCs/>
        </w:rPr>
        <w:t xml:space="preserve">to </w:t>
      </w:r>
      <w:r w:rsidRPr="00551BDA" w:rsidR="00576629">
        <w:rPr>
          <w:iCs/>
        </w:rPr>
        <w:t>propose</w:t>
      </w:r>
      <w:r w:rsidRPr="00551BDA" w:rsidR="00302663">
        <w:rPr>
          <w:iCs/>
        </w:rPr>
        <w:t xml:space="preserve"> new topics</w:t>
      </w:r>
      <w:r w:rsidRPr="00551BDA" w:rsidR="000B5568">
        <w:rPr>
          <w:iCs/>
        </w:rPr>
        <w:t xml:space="preserve"> </w:t>
      </w:r>
      <w:r w:rsidRPr="00551BDA" w:rsidR="00302663">
        <w:rPr>
          <w:iCs/>
        </w:rPr>
        <w:t xml:space="preserve">for </w:t>
      </w:r>
      <w:r w:rsidRPr="00551BDA" w:rsidR="000B5568">
        <w:rPr>
          <w:iCs/>
        </w:rPr>
        <w:t xml:space="preserve">consideration in </w:t>
      </w:r>
      <w:r w:rsidRPr="00551BDA" w:rsidR="00302663">
        <w:rPr>
          <w:iCs/>
        </w:rPr>
        <w:t xml:space="preserve">future </w:t>
      </w:r>
      <w:r w:rsidR="00551BDA">
        <w:rPr>
          <w:iCs/>
        </w:rPr>
        <w:t>versions</w:t>
      </w:r>
      <w:r w:rsidRPr="00551BDA" w:rsidR="00551BDA">
        <w:rPr>
          <w:iCs/>
        </w:rPr>
        <w:t xml:space="preserve"> </w:t>
      </w:r>
      <w:r w:rsidRPr="00551BDA" w:rsidR="00302663">
        <w:rPr>
          <w:iCs/>
        </w:rPr>
        <w:t>of the survey</w:t>
      </w:r>
      <w:r w:rsidRPr="00551BDA" w:rsidR="00F8567E">
        <w:rPr>
          <w:iCs/>
        </w:rPr>
        <w:t xml:space="preserve">. The </w:t>
      </w:r>
      <w:r w:rsidRPr="00551BDA" w:rsidR="00B25D9F">
        <w:rPr>
          <w:iCs/>
        </w:rPr>
        <w:t xml:space="preserve">ODP </w:t>
      </w:r>
      <w:r w:rsidRPr="00551BDA" w:rsidR="0044280C">
        <w:rPr>
          <w:iCs/>
        </w:rPr>
        <w:t xml:space="preserve">tabulated and </w:t>
      </w:r>
      <w:r w:rsidRPr="00551BDA" w:rsidR="00B25D9F">
        <w:rPr>
          <w:iCs/>
        </w:rPr>
        <w:t>evaluate</w:t>
      </w:r>
      <w:r w:rsidRPr="00551BDA" w:rsidR="00F8567E">
        <w:rPr>
          <w:iCs/>
        </w:rPr>
        <w:t xml:space="preserve">d </w:t>
      </w:r>
      <w:r w:rsidRPr="00551BDA" w:rsidR="007B32D4">
        <w:rPr>
          <w:iCs/>
        </w:rPr>
        <w:t>all</w:t>
      </w:r>
      <w:r w:rsidRPr="00551BDA" w:rsidR="00F8567E">
        <w:rPr>
          <w:iCs/>
        </w:rPr>
        <w:t xml:space="preserve"> the suggestions submitted by respondents since the last </w:t>
      </w:r>
      <w:r w:rsidR="00551BDA">
        <w:rPr>
          <w:iCs/>
        </w:rPr>
        <w:t>full</w:t>
      </w:r>
      <w:r w:rsidRPr="00551BDA" w:rsidR="00551BDA">
        <w:rPr>
          <w:iCs/>
        </w:rPr>
        <w:t xml:space="preserve"> </w:t>
      </w:r>
      <w:r w:rsidRPr="00551BDA" w:rsidR="00F8567E">
        <w:rPr>
          <w:iCs/>
        </w:rPr>
        <w:t xml:space="preserve">OMB </w:t>
      </w:r>
      <w:r w:rsidR="00551BDA">
        <w:rPr>
          <w:iCs/>
        </w:rPr>
        <w:t>approval</w:t>
      </w:r>
      <w:r w:rsidRPr="00551BDA" w:rsidR="00551BDA">
        <w:rPr>
          <w:iCs/>
        </w:rPr>
        <w:t xml:space="preserve"> </w:t>
      </w:r>
      <w:r w:rsidRPr="00551BDA" w:rsidR="00F8567E">
        <w:rPr>
          <w:iCs/>
        </w:rPr>
        <w:t xml:space="preserve">in </w:t>
      </w:r>
      <w:r w:rsidRPr="00551BDA" w:rsidR="000B5568">
        <w:rPr>
          <w:iCs/>
        </w:rPr>
        <w:t>November</w:t>
      </w:r>
      <w:r w:rsidRPr="00551BDA" w:rsidR="00A50FF2">
        <w:rPr>
          <w:iCs/>
        </w:rPr>
        <w:t xml:space="preserve"> </w:t>
      </w:r>
      <w:r w:rsidRPr="00551BDA" w:rsidR="00F8567E">
        <w:rPr>
          <w:iCs/>
        </w:rPr>
        <w:t>2017</w:t>
      </w:r>
      <w:r w:rsidRPr="00551BDA" w:rsidR="004B01E2">
        <w:rPr>
          <w:iCs/>
        </w:rPr>
        <w:t xml:space="preserve"> and</w:t>
      </w:r>
      <w:r w:rsidRPr="00551BDA" w:rsidR="00302663">
        <w:rPr>
          <w:iCs/>
        </w:rPr>
        <w:t xml:space="preserve"> compared the</w:t>
      </w:r>
      <w:r w:rsidRPr="00551BDA" w:rsidR="004B01E2">
        <w:rPr>
          <w:iCs/>
        </w:rPr>
        <w:t>se</w:t>
      </w:r>
      <w:r w:rsidRPr="00551BDA" w:rsidR="00302663">
        <w:rPr>
          <w:iCs/>
        </w:rPr>
        <w:t xml:space="preserve"> suggestions to the topics already included in the survey</w:t>
      </w:r>
      <w:r w:rsidRPr="00551BDA" w:rsidR="004B01E2">
        <w:rPr>
          <w:iCs/>
        </w:rPr>
        <w:t xml:space="preserve"> to eliminate any overlap or redundancy. </w:t>
      </w:r>
      <w:r w:rsidR="004B01E2">
        <w:rPr>
          <w:iCs/>
        </w:rPr>
        <w:t>B</w:t>
      </w:r>
      <w:r w:rsidR="00576629">
        <w:rPr>
          <w:iCs/>
        </w:rPr>
        <w:t xml:space="preserve">ased on this </w:t>
      </w:r>
      <w:r w:rsidR="00FF4B45">
        <w:rPr>
          <w:iCs/>
        </w:rPr>
        <w:t>review, the ODP</w:t>
      </w:r>
      <w:r w:rsidR="000B5568">
        <w:rPr>
          <w:iCs/>
        </w:rPr>
        <w:t xml:space="preserve"> has</w:t>
      </w:r>
      <w:r w:rsidR="00302663">
        <w:rPr>
          <w:iCs/>
        </w:rPr>
        <w:t xml:space="preserve"> </w:t>
      </w:r>
      <w:r w:rsidRPr="00BA6245" w:rsidR="00302663">
        <w:rPr>
          <w:iCs/>
          <w:highlight w:val="yellow"/>
        </w:rPr>
        <w:t xml:space="preserve">incorporated several new topics </w:t>
      </w:r>
      <w:r w:rsidRPr="00BA6245" w:rsidR="00E825CC">
        <w:rPr>
          <w:iCs/>
          <w:highlight w:val="yellow"/>
        </w:rPr>
        <w:t xml:space="preserve">and revised the </w:t>
      </w:r>
      <w:r w:rsidRPr="00BA6245" w:rsidR="000D4D77">
        <w:rPr>
          <w:iCs/>
          <w:highlight w:val="yellow"/>
        </w:rPr>
        <w:t xml:space="preserve">wording of others </w:t>
      </w:r>
      <w:r w:rsidRPr="00BA6245" w:rsidR="00463224">
        <w:rPr>
          <w:iCs/>
          <w:highlight w:val="yellow"/>
        </w:rPr>
        <w:t xml:space="preserve">to improve clarity and </w:t>
      </w:r>
      <w:r w:rsidRPr="00BA6245" w:rsidR="0009658F">
        <w:rPr>
          <w:iCs/>
          <w:highlight w:val="yellow"/>
        </w:rPr>
        <w:t xml:space="preserve">accuracy </w:t>
      </w:r>
      <w:r w:rsidRPr="00BA6245" w:rsidR="00302663">
        <w:rPr>
          <w:iCs/>
          <w:highlight w:val="yellow"/>
        </w:rPr>
        <w:t>in the current revision request</w:t>
      </w:r>
      <w:r w:rsidR="007E2E27">
        <w:rPr>
          <w:iCs/>
        </w:rPr>
        <w:t xml:space="preserve"> (</w:t>
      </w:r>
      <w:r w:rsidRPr="00AC431D" w:rsidR="007E2E27">
        <w:rPr>
          <w:iCs/>
        </w:rPr>
        <w:t xml:space="preserve">see Attachment </w:t>
      </w:r>
      <w:r w:rsidR="00745568">
        <w:rPr>
          <w:iCs/>
        </w:rPr>
        <w:t>1</w:t>
      </w:r>
      <w:r w:rsidR="007E2E27">
        <w:rPr>
          <w:iCs/>
        </w:rPr>
        <w:t>)</w:t>
      </w:r>
      <w:r w:rsidR="00302663">
        <w:rPr>
          <w:iCs/>
        </w:rPr>
        <w:t xml:space="preserve">. </w:t>
      </w:r>
      <w:r w:rsidR="00551BDA">
        <w:rPr>
          <w:iCs/>
        </w:rPr>
        <w:t xml:space="preserve">Survey respondents will continue to have the opportunity to propose new topics over the course of the next </w:t>
      </w:r>
      <w:r w:rsidR="00A06087">
        <w:rPr>
          <w:iCs/>
        </w:rPr>
        <w:t xml:space="preserve">approval </w:t>
      </w:r>
      <w:r w:rsidR="00551BDA">
        <w:rPr>
          <w:iCs/>
        </w:rPr>
        <w:t>period and the ODP will review suggestions on a regular basis in order to assess the need for changes to the survey in the future.</w:t>
      </w:r>
    </w:p>
    <w:p w:rsidRPr="00E35DD1" w:rsidR="00685B30" w:rsidP="000D4D77" w:rsidRDefault="00685B30" w14:paraId="06EE05E1" w14:textId="77777777">
      <w:pPr>
        <w:pStyle w:val="P1-StandPara"/>
        <w:spacing w:after="160" w:line="259" w:lineRule="auto"/>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Pr="00E35DD1" w:rsidR="000B5568" w:rsidP="00685B30" w:rsidRDefault="000B5568" w14:paraId="1C72768E" w14:textId="688A5F9B">
      <w:r w:rsidRPr="000B5568">
        <w:t>The opportunity to participate in the PRES program is voluntary.  No compensation is provided for completion of the survey.</w:t>
      </w:r>
    </w:p>
    <w:p w:rsidRPr="005E2A36" w:rsidR="005E2A36" w:rsidP="000D4D77" w:rsidRDefault="00685B30" w14:paraId="31DCCC73" w14:textId="64A176E7">
      <w:pPr>
        <w:pStyle w:val="P1-StandPara"/>
        <w:ind w:firstLine="0"/>
        <w:rPr>
          <w:rFonts w:asciiTheme="minorHAnsi" w:hAnsiTheme="minorHAnsi"/>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r w:rsidR="0036208F">
        <w:rPr>
          <w:rFonts w:asciiTheme="minorHAnsi" w:hAnsiTheme="minorHAnsi"/>
          <w:szCs w:val="22"/>
        </w:rPr>
        <w:t xml:space="preserve"> </w:t>
      </w:r>
    </w:p>
    <w:p w:rsidRPr="005E2A36" w:rsidR="005E2A36" w:rsidP="005E2A36" w:rsidRDefault="005E2A36" w14:paraId="5EBDE844" w14:textId="431BA0B9">
      <w:pPr>
        <w:pStyle w:val="P1-StandPara"/>
        <w:spacing w:line="240" w:lineRule="auto"/>
        <w:ind w:firstLine="0"/>
        <w:rPr>
          <w:rFonts w:asciiTheme="minorHAnsi" w:hAnsiTheme="minorHAnsi"/>
          <w:b/>
          <w:szCs w:val="22"/>
        </w:rPr>
      </w:pPr>
      <w:r w:rsidRPr="005E2A36">
        <w:rPr>
          <w:rFonts w:asciiTheme="minorHAnsi" w:hAnsiTheme="minorHAnsi"/>
          <w:b/>
          <w:szCs w:val="22"/>
        </w:rPr>
        <w:t>System of Record</w:t>
      </w:r>
      <w:r w:rsidRPr="005E2A36">
        <w:rPr>
          <w:rFonts w:asciiTheme="minorHAnsi" w:hAnsiTheme="minorHAnsi"/>
          <w:szCs w:val="22"/>
        </w:rPr>
        <w:t xml:space="preserve">. The Privacy Act </w:t>
      </w:r>
      <w:r w:rsidR="00E2054C">
        <w:rPr>
          <w:rFonts w:asciiTheme="minorHAnsi" w:hAnsiTheme="minorHAnsi"/>
          <w:szCs w:val="22"/>
        </w:rPr>
        <w:t xml:space="preserve">Memo </w:t>
      </w:r>
      <w:r w:rsidRPr="005E2A36">
        <w:rPr>
          <w:rFonts w:asciiTheme="minorHAnsi" w:hAnsiTheme="minorHAnsi"/>
          <w:szCs w:val="22"/>
        </w:rPr>
        <w:t xml:space="preserve">Systems of Record Notice that covers the information collection is 09-25-0036, titled, Extramural Awards and Chartered Advisory Committees (IMPAC 2), Contract Information (DCIS), and Cooperative Agreement Information, HHS/NIH published September 26, 2002 vol. 67 pgs. 60742-60784 (See Attachment </w:t>
      </w:r>
      <w:r w:rsidR="003738A0">
        <w:rPr>
          <w:rFonts w:asciiTheme="minorHAnsi" w:hAnsiTheme="minorHAnsi"/>
          <w:szCs w:val="22"/>
        </w:rPr>
        <w:t>4</w:t>
      </w:r>
      <w:r w:rsidRPr="005E2A36">
        <w:rPr>
          <w:rFonts w:asciiTheme="minorHAnsi" w:hAnsiTheme="minorHAnsi"/>
          <w:szCs w:val="22"/>
        </w:rPr>
        <w:t xml:space="preserve">). </w:t>
      </w:r>
    </w:p>
    <w:p w:rsidRPr="005E2A36" w:rsidR="005E2A36" w:rsidP="005E2A36" w:rsidRDefault="005E2A36" w14:paraId="36846B6B" w14:textId="77777777">
      <w:pPr>
        <w:pStyle w:val="P1-StandPara"/>
        <w:spacing w:line="240" w:lineRule="auto"/>
        <w:ind w:firstLine="0"/>
        <w:rPr>
          <w:rFonts w:asciiTheme="minorHAnsi" w:hAnsiTheme="minorHAnsi"/>
          <w:b/>
          <w:szCs w:val="22"/>
        </w:rPr>
      </w:pPr>
    </w:p>
    <w:p w:rsidRPr="005E2A36" w:rsidR="005E2A36" w:rsidP="005E2A36" w:rsidRDefault="005E2A36" w14:paraId="1119C53C" w14:textId="4DBB18DD">
      <w:pPr>
        <w:pStyle w:val="P1-StandPara"/>
        <w:spacing w:line="240" w:lineRule="auto"/>
        <w:ind w:firstLine="0"/>
        <w:rPr>
          <w:rFonts w:asciiTheme="minorHAnsi" w:hAnsiTheme="minorHAnsi"/>
          <w:b/>
          <w:szCs w:val="22"/>
        </w:rPr>
      </w:pPr>
      <w:r w:rsidRPr="005E2A36">
        <w:rPr>
          <w:rFonts w:asciiTheme="minorHAnsi" w:hAnsiTheme="minorHAnsi"/>
          <w:szCs w:val="22"/>
        </w:rPr>
        <w:t xml:space="preserve">To maximize the protection of their personal information, investigators </w:t>
      </w:r>
      <w:r w:rsidR="00353DFC">
        <w:rPr>
          <w:rFonts w:asciiTheme="minorHAnsi" w:hAnsiTheme="minorHAnsi"/>
          <w:szCs w:val="22"/>
        </w:rPr>
        <w:t>are</w:t>
      </w:r>
      <w:r w:rsidRPr="005E2A36">
        <w:rPr>
          <w:rFonts w:asciiTheme="minorHAnsi" w:hAnsiTheme="minorHAnsi"/>
          <w:szCs w:val="22"/>
        </w:rPr>
        <w:t xml:space="preserve"> asked to complete a user profile that include</w:t>
      </w:r>
      <w:r w:rsidR="000A5EAA">
        <w:rPr>
          <w:rFonts w:asciiTheme="minorHAnsi" w:hAnsiTheme="minorHAnsi"/>
          <w:szCs w:val="22"/>
        </w:rPr>
        <w:t>s</w:t>
      </w:r>
      <w:r w:rsidRPr="005E2A36">
        <w:rPr>
          <w:rFonts w:asciiTheme="minorHAnsi" w:hAnsiTheme="minorHAnsi"/>
          <w:szCs w:val="22"/>
        </w:rPr>
        <w:t xml:space="preserve"> creati</w:t>
      </w:r>
      <w:r w:rsidR="000A5EAA">
        <w:rPr>
          <w:rFonts w:asciiTheme="minorHAnsi" w:hAnsiTheme="minorHAnsi"/>
          <w:szCs w:val="22"/>
        </w:rPr>
        <w:t>ng</w:t>
      </w:r>
      <w:r w:rsidRPr="005E2A36">
        <w:rPr>
          <w:rFonts w:asciiTheme="minorHAnsi" w:hAnsiTheme="minorHAnsi"/>
          <w:szCs w:val="22"/>
        </w:rPr>
        <w:t xml:space="preserve"> a username and password</w:t>
      </w:r>
      <w:r w:rsidR="00CC3EEB">
        <w:rPr>
          <w:rFonts w:asciiTheme="minorHAnsi" w:hAnsiTheme="minorHAnsi"/>
          <w:szCs w:val="22"/>
        </w:rPr>
        <w:t xml:space="preserve"> </w:t>
      </w:r>
      <w:r w:rsidR="00D260BC">
        <w:rPr>
          <w:rFonts w:asciiTheme="minorHAnsi" w:hAnsiTheme="minorHAnsi"/>
          <w:szCs w:val="22"/>
        </w:rPr>
        <w:t>before they</w:t>
      </w:r>
      <w:r w:rsidRPr="005E2A36" w:rsidR="00CC3EEB">
        <w:rPr>
          <w:rFonts w:asciiTheme="minorHAnsi" w:hAnsiTheme="minorHAnsi"/>
          <w:szCs w:val="22"/>
        </w:rPr>
        <w:t xml:space="preserve"> </w:t>
      </w:r>
      <w:r w:rsidR="000A5EAA">
        <w:rPr>
          <w:rFonts w:asciiTheme="minorHAnsi" w:hAnsiTheme="minorHAnsi"/>
          <w:szCs w:val="22"/>
        </w:rPr>
        <w:t>tak</w:t>
      </w:r>
      <w:r w:rsidR="00D260BC">
        <w:rPr>
          <w:rFonts w:asciiTheme="minorHAnsi" w:hAnsiTheme="minorHAnsi"/>
          <w:szCs w:val="22"/>
        </w:rPr>
        <w:t>e</w:t>
      </w:r>
      <w:r w:rsidRPr="005E2A36" w:rsidR="00CC3EEB">
        <w:rPr>
          <w:rFonts w:asciiTheme="minorHAnsi" w:hAnsiTheme="minorHAnsi"/>
          <w:szCs w:val="22"/>
        </w:rPr>
        <w:t xml:space="preserve"> the survey</w:t>
      </w:r>
      <w:r w:rsidRPr="005E2A36">
        <w:rPr>
          <w:rFonts w:asciiTheme="minorHAnsi" w:hAnsiTheme="minorHAnsi"/>
          <w:szCs w:val="22"/>
        </w:rPr>
        <w:t xml:space="preserve">.  </w:t>
      </w:r>
      <w:r w:rsidR="00CC3EEB">
        <w:rPr>
          <w:rFonts w:asciiTheme="minorHAnsi" w:hAnsiTheme="minorHAnsi"/>
          <w:szCs w:val="22"/>
        </w:rPr>
        <w:t>Respondents’</w:t>
      </w:r>
      <w:r w:rsidRPr="005E2A36">
        <w:rPr>
          <w:rFonts w:asciiTheme="minorHAnsi" w:hAnsiTheme="minorHAnsi"/>
          <w:szCs w:val="22"/>
        </w:rPr>
        <w:t xml:space="preserve"> CVs and additional identifying data </w:t>
      </w:r>
      <w:r w:rsidR="00A07AC9">
        <w:rPr>
          <w:rFonts w:asciiTheme="minorHAnsi" w:hAnsiTheme="minorHAnsi"/>
          <w:szCs w:val="22"/>
        </w:rPr>
        <w:t>is</w:t>
      </w:r>
      <w:r w:rsidRPr="005E2A36">
        <w:rPr>
          <w:rFonts w:asciiTheme="minorHAnsi" w:hAnsiTheme="minorHAnsi"/>
          <w:szCs w:val="22"/>
        </w:rPr>
        <w:t xml:space="preserve"> saved on a secure website </w:t>
      </w:r>
      <w:r w:rsidR="0035130C">
        <w:rPr>
          <w:rFonts w:asciiTheme="minorHAnsi" w:hAnsiTheme="minorHAnsi"/>
          <w:szCs w:val="22"/>
        </w:rPr>
        <w:t xml:space="preserve">(i.e., PRES Directory) </w:t>
      </w:r>
      <w:r w:rsidRPr="005E2A36">
        <w:rPr>
          <w:rFonts w:asciiTheme="minorHAnsi" w:hAnsiTheme="minorHAnsi"/>
          <w:szCs w:val="22"/>
        </w:rPr>
        <w:t xml:space="preserve">hosted by the NIH Office of Information Technology (OIT). This data </w:t>
      </w:r>
      <w:r w:rsidR="00A07AC9">
        <w:rPr>
          <w:rFonts w:asciiTheme="minorHAnsi" w:hAnsiTheme="minorHAnsi"/>
          <w:szCs w:val="22"/>
        </w:rPr>
        <w:t>is</w:t>
      </w:r>
      <w:r w:rsidRPr="005E2A36">
        <w:rPr>
          <w:rFonts w:asciiTheme="minorHAnsi" w:hAnsiTheme="minorHAnsi"/>
          <w:szCs w:val="22"/>
        </w:rPr>
        <w:t xml:space="preserve"> accessible only by select DHHS staff with PIV cards </w:t>
      </w:r>
      <w:r w:rsidR="00A07AC9">
        <w:rPr>
          <w:rFonts w:asciiTheme="minorHAnsi" w:hAnsiTheme="minorHAnsi"/>
          <w:szCs w:val="22"/>
        </w:rPr>
        <w:t>who</w:t>
      </w:r>
      <w:r w:rsidRPr="005E2A36" w:rsidR="00A07AC9">
        <w:rPr>
          <w:rFonts w:asciiTheme="minorHAnsi" w:hAnsiTheme="minorHAnsi"/>
          <w:szCs w:val="22"/>
        </w:rPr>
        <w:t xml:space="preserve"> </w:t>
      </w:r>
      <w:r w:rsidRPr="005E2A36">
        <w:rPr>
          <w:rFonts w:asciiTheme="minorHAnsi" w:hAnsiTheme="minorHAnsi"/>
          <w:szCs w:val="22"/>
        </w:rPr>
        <w:t xml:space="preserve">have been granted permission </w:t>
      </w:r>
      <w:r w:rsidR="00A07AC9">
        <w:rPr>
          <w:rFonts w:asciiTheme="minorHAnsi" w:hAnsiTheme="minorHAnsi"/>
          <w:szCs w:val="22"/>
        </w:rPr>
        <w:t>and had an account created for the</w:t>
      </w:r>
      <w:r w:rsidR="0035130C">
        <w:rPr>
          <w:rFonts w:asciiTheme="minorHAnsi" w:hAnsiTheme="minorHAnsi"/>
          <w:szCs w:val="22"/>
        </w:rPr>
        <w:t>m</w:t>
      </w:r>
      <w:r w:rsidR="00A07AC9">
        <w:rPr>
          <w:rFonts w:asciiTheme="minorHAnsi" w:hAnsiTheme="minorHAnsi"/>
          <w:szCs w:val="22"/>
        </w:rPr>
        <w:t xml:space="preserve"> in the PRES Directory</w:t>
      </w:r>
      <w:r w:rsidR="0035130C">
        <w:rPr>
          <w:rFonts w:asciiTheme="minorHAnsi" w:hAnsiTheme="minorHAnsi"/>
          <w:szCs w:val="22"/>
        </w:rPr>
        <w:t xml:space="preserve"> </w:t>
      </w:r>
      <w:r w:rsidRPr="005E2A36">
        <w:rPr>
          <w:rFonts w:asciiTheme="minorHAnsi" w:hAnsiTheme="minorHAnsi"/>
          <w:szCs w:val="22"/>
        </w:rPr>
        <w:t>by ODP PRES program staff. ODP PRES</w:t>
      </w:r>
      <w:r w:rsidR="00CC3EEB">
        <w:rPr>
          <w:rFonts w:asciiTheme="minorHAnsi" w:hAnsiTheme="minorHAnsi"/>
          <w:szCs w:val="22"/>
        </w:rPr>
        <w:t xml:space="preserve"> program</w:t>
      </w:r>
      <w:r w:rsidRPr="005E2A36">
        <w:rPr>
          <w:rFonts w:asciiTheme="minorHAnsi" w:hAnsiTheme="minorHAnsi"/>
          <w:szCs w:val="22"/>
        </w:rPr>
        <w:t xml:space="preserve"> staff </w:t>
      </w:r>
      <w:r w:rsidR="00A07AC9">
        <w:rPr>
          <w:rFonts w:asciiTheme="minorHAnsi" w:hAnsiTheme="minorHAnsi"/>
          <w:szCs w:val="22"/>
        </w:rPr>
        <w:t>work</w:t>
      </w:r>
      <w:r w:rsidRPr="005E2A36">
        <w:rPr>
          <w:rFonts w:asciiTheme="minorHAnsi" w:hAnsiTheme="minorHAnsi"/>
          <w:szCs w:val="22"/>
        </w:rPr>
        <w:t xml:space="preserve"> with OIT to grant select </w:t>
      </w:r>
      <w:r>
        <w:rPr>
          <w:rFonts w:asciiTheme="minorHAnsi" w:hAnsiTheme="minorHAnsi"/>
          <w:szCs w:val="22"/>
        </w:rPr>
        <w:t>DHHS staff</w:t>
      </w:r>
      <w:r w:rsidRPr="005E2A36">
        <w:rPr>
          <w:rFonts w:asciiTheme="minorHAnsi" w:hAnsiTheme="minorHAnsi"/>
          <w:szCs w:val="22"/>
        </w:rPr>
        <w:t xml:space="preserve"> access to the </w:t>
      </w:r>
      <w:r w:rsidR="00CC3EEB">
        <w:rPr>
          <w:rFonts w:asciiTheme="minorHAnsi" w:hAnsiTheme="minorHAnsi"/>
          <w:szCs w:val="22"/>
        </w:rPr>
        <w:t>PRES</w:t>
      </w:r>
      <w:r w:rsidRPr="005E2A36" w:rsidR="00CC3EEB">
        <w:rPr>
          <w:rFonts w:asciiTheme="minorHAnsi" w:hAnsiTheme="minorHAnsi"/>
          <w:szCs w:val="22"/>
        </w:rPr>
        <w:t xml:space="preserve"> </w:t>
      </w:r>
      <w:r w:rsidRPr="005E2A36">
        <w:rPr>
          <w:rFonts w:asciiTheme="minorHAnsi" w:hAnsiTheme="minorHAnsi"/>
          <w:szCs w:val="22"/>
        </w:rPr>
        <w:t>Directory and delete</w:t>
      </w:r>
      <w:r w:rsidR="00A07AC9">
        <w:rPr>
          <w:rFonts w:asciiTheme="minorHAnsi" w:hAnsiTheme="minorHAnsi"/>
          <w:szCs w:val="22"/>
        </w:rPr>
        <w:t>s</w:t>
      </w:r>
      <w:r w:rsidRPr="005E2A36">
        <w:rPr>
          <w:rFonts w:asciiTheme="minorHAnsi" w:hAnsiTheme="minorHAnsi"/>
          <w:szCs w:val="22"/>
        </w:rPr>
        <w:t xml:space="preserve"> permissions for access if an employee leaves their position. </w:t>
      </w:r>
      <w:r w:rsidR="00FA339F">
        <w:rPr>
          <w:rFonts w:asciiTheme="minorHAnsi" w:hAnsiTheme="minorHAnsi"/>
          <w:szCs w:val="22"/>
        </w:rPr>
        <w:t>In addition to needing a</w:t>
      </w:r>
      <w:r w:rsidR="009F2BEC">
        <w:rPr>
          <w:rFonts w:asciiTheme="minorHAnsi" w:hAnsiTheme="minorHAnsi"/>
          <w:szCs w:val="22"/>
        </w:rPr>
        <w:t>n</w:t>
      </w:r>
      <w:r w:rsidR="00FA339F">
        <w:rPr>
          <w:rFonts w:asciiTheme="minorHAnsi" w:hAnsiTheme="minorHAnsi"/>
          <w:szCs w:val="22"/>
        </w:rPr>
        <w:t xml:space="preserve"> </w:t>
      </w:r>
      <w:r w:rsidR="009F2BEC">
        <w:rPr>
          <w:rFonts w:asciiTheme="minorHAnsi" w:hAnsiTheme="minorHAnsi"/>
          <w:szCs w:val="22"/>
        </w:rPr>
        <w:t xml:space="preserve">account </w:t>
      </w:r>
      <w:r w:rsidR="00FA339F">
        <w:rPr>
          <w:rFonts w:asciiTheme="minorHAnsi" w:hAnsiTheme="minorHAnsi"/>
          <w:szCs w:val="22"/>
        </w:rPr>
        <w:t xml:space="preserve">in the </w:t>
      </w:r>
      <w:r w:rsidR="00CC3EEB">
        <w:rPr>
          <w:rFonts w:asciiTheme="minorHAnsi" w:hAnsiTheme="minorHAnsi"/>
          <w:szCs w:val="22"/>
        </w:rPr>
        <w:t xml:space="preserve">PRES </w:t>
      </w:r>
      <w:r w:rsidR="00FA339F">
        <w:rPr>
          <w:rFonts w:asciiTheme="minorHAnsi" w:hAnsiTheme="minorHAnsi"/>
          <w:szCs w:val="22"/>
        </w:rPr>
        <w:t xml:space="preserve">Directory, </w:t>
      </w:r>
      <w:r>
        <w:rPr>
          <w:rFonts w:asciiTheme="minorHAnsi" w:hAnsiTheme="minorHAnsi"/>
          <w:szCs w:val="22"/>
        </w:rPr>
        <w:t>DHHS</w:t>
      </w:r>
      <w:r w:rsidR="00FA339F">
        <w:rPr>
          <w:rFonts w:asciiTheme="minorHAnsi" w:hAnsiTheme="minorHAnsi"/>
          <w:szCs w:val="22"/>
        </w:rPr>
        <w:t xml:space="preserve"> staff</w:t>
      </w:r>
      <w:r w:rsidRPr="005E2A36">
        <w:rPr>
          <w:rFonts w:asciiTheme="minorHAnsi" w:hAnsiTheme="minorHAnsi"/>
          <w:szCs w:val="22"/>
        </w:rPr>
        <w:t xml:space="preserve"> </w:t>
      </w:r>
      <w:r w:rsidR="009F2BEC">
        <w:rPr>
          <w:rFonts w:asciiTheme="minorHAnsi" w:hAnsiTheme="minorHAnsi"/>
          <w:szCs w:val="22"/>
        </w:rPr>
        <w:t>are only able to</w:t>
      </w:r>
      <w:r w:rsidRPr="005E2A36" w:rsidR="009F2BEC">
        <w:rPr>
          <w:rFonts w:asciiTheme="minorHAnsi" w:hAnsiTheme="minorHAnsi"/>
          <w:szCs w:val="22"/>
        </w:rPr>
        <w:t xml:space="preserve"> </w:t>
      </w:r>
      <w:r w:rsidRPr="005E2A36">
        <w:rPr>
          <w:rFonts w:asciiTheme="minorHAnsi" w:hAnsiTheme="minorHAnsi"/>
          <w:szCs w:val="22"/>
        </w:rPr>
        <w:t>log</w:t>
      </w:r>
      <w:r w:rsidR="009F2BEC">
        <w:rPr>
          <w:rFonts w:asciiTheme="minorHAnsi" w:hAnsiTheme="minorHAnsi"/>
          <w:szCs w:val="22"/>
        </w:rPr>
        <w:t xml:space="preserve"> </w:t>
      </w:r>
      <w:r w:rsidRPr="005E2A36">
        <w:rPr>
          <w:rFonts w:asciiTheme="minorHAnsi" w:hAnsiTheme="minorHAnsi"/>
          <w:szCs w:val="22"/>
        </w:rPr>
        <w:t xml:space="preserve">into the </w:t>
      </w:r>
      <w:r w:rsidR="00CC3EEB">
        <w:rPr>
          <w:rFonts w:asciiTheme="minorHAnsi" w:hAnsiTheme="minorHAnsi"/>
          <w:szCs w:val="22"/>
        </w:rPr>
        <w:t>PRES Directory</w:t>
      </w:r>
      <w:r w:rsidRPr="005E2A36" w:rsidR="00CC3EEB">
        <w:rPr>
          <w:rFonts w:asciiTheme="minorHAnsi" w:hAnsiTheme="minorHAnsi"/>
          <w:szCs w:val="22"/>
        </w:rPr>
        <w:t xml:space="preserve"> </w:t>
      </w:r>
      <w:r w:rsidRPr="005E2A36">
        <w:rPr>
          <w:rFonts w:asciiTheme="minorHAnsi" w:hAnsiTheme="minorHAnsi"/>
          <w:szCs w:val="22"/>
        </w:rPr>
        <w:t xml:space="preserve">with their </w:t>
      </w:r>
      <w:r w:rsidR="005B68AD">
        <w:rPr>
          <w:rFonts w:asciiTheme="minorHAnsi" w:hAnsiTheme="minorHAnsi"/>
          <w:szCs w:val="22"/>
        </w:rPr>
        <w:t xml:space="preserve">government-issued </w:t>
      </w:r>
      <w:r w:rsidR="00364B8C">
        <w:rPr>
          <w:rFonts w:asciiTheme="minorHAnsi" w:hAnsiTheme="minorHAnsi"/>
          <w:szCs w:val="22"/>
        </w:rPr>
        <w:t>HHS ID Badge/</w:t>
      </w:r>
      <w:r w:rsidRPr="005E2A36">
        <w:rPr>
          <w:rFonts w:asciiTheme="minorHAnsi" w:hAnsiTheme="minorHAnsi"/>
          <w:szCs w:val="22"/>
        </w:rPr>
        <w:t>PIV cards</w:t>
      </w:r>
      <w:r w:rsidR="00FA339F">
        <w:rPr>
          <w:rFonts w:asciiTheme="minorHAnsi" w:hAnsiTheme="minorHAnsi"/>
          <w:szCs w:val="22"/>
        </w:rPr>
        <w:t xml:space="preserve"> </w:t>
      </w:r>
      <w:r w:rsidR="001135BB">
        <w:rPr>
          <w:rFonts w:asciiTheme="minorHAnsi" w:hAnsiTheme="minorHAnsi"/>
          <w:szCs w:val="22"/>
        </w:rPr>
        <w:t xml:space="preserve">while </w:t>
      </w:r>
      <w:r w:rsidR="00364B8C">
        <w:rPr>
          <w:rFonts w:asciiTheme="minorHAnsi" w:hAnsiTheme="minorHAnsi"/>
          <w:szCs w:val="22"/>
        </w:rPr>
        <w:t>on</w:t>
      </w:r>
      <w:r w:rsidR="001135BB">
        <w:rPr>
          <w:rFonts w:asciiTheme="minorHAnsi" w:hAnsiTheme="minorHAnsi"/>
          <w:szCs w:val="22"/>
        </w:rPr>
        <w:t xml:space="preserve"> the </w:t>
      </w:r>
      <w:r w:rsidR="005B68AD">
        <w:rPr>
          <w:rFonts w:asciiTheme="minorHAnsi" w:hAnsiTheme="minorHAnsi"/>
          <w:szCs w:val="22"/>
        </w:rPr>
        <w:t xml:space="preserve">official, secure </w:t>
      </w:r>
      <w:r w:rsidRPr="001135BB" w:rsidR="001135BB">
        <w:rPr>
          <w:rFonts w:asciiTheme="minorHAnsi" w:hAnsiTheme="minorHAnsi"/>
          <w:szCs w:val="22"/>
        </w:rPr>
        <w:t>VPN connection</w:t>
      </w:r>
      <w:r w:rsidRPr="005E2A36">
        <w:rPr>
          <w:rFonts w:asciiTheme="minorHAnsi" w:hAnsiTheme="minorHAnsi"/>
          <w:szCs w:val="22"/>
        </w:rPr>
        <w:t>.</w:t>
      </w:r>
    </w:p>
    <w:p w:rsidRPr="005E2A36" w:rsidR="005E2A36" w:rsidP="005E2A36" w:rsidRDefault="005E2A36" w14:paraId="24B04EB6" w14:textId="77777777">
      <w:pPr>
        <w:pStyle w:val="P1-StandPara"/>
        <w:spacing w:line="240" w:lineRule="auto"/>
        <w:ind w:firstLine="0"/>
        <w:rPr>
          <w:rFonts w:asciiTheme="minorHAnsi" w:hAnsiTheme="minorHAnsi"/>
          <w:b/>
          <w:szCs w:val="22"/>
        </w:rPr>
      </w:pPr>
    </w:p>
    <w:p w:rsidRPr="005E2A36" w:rsidR="005E2A36" w:rsidP="005E2A36" w:rsidRDefault="005E2A36" w14:paraId="1AC873A3" w14:textId="1DB5BF56">
      <w:pPr>
        <w:pStyle w:val="P1-StandPara"/>
        <w:spacing w:line="240" w:lineRule="auto"/>
        <w:ind w:firstLine="0"/>
        <w:rPr>
          <w:rFonts w:asciiTheme="minorHAnsi" w:hAnsiTheme="minorHAnsi"/>
          <w:b/>
          <w:szCs w:val="22"/>
        </w:rPr>
      </w:pPr>
      <w:r w:rsidRPr="005E2A36">
        <w:rPr>
          <w:rFonts w:asciiTheme="minorHAnsi" w:hAnsiTheme="minorHAnsi"/>
          <w:szCs w:val="22"/>
        </w:rPr>
        <w:t>Since PRES was</w:t>
      </w:r>
      <w:r w:rsidR="00364B8C">
        <w:rPr>
          <w:rFonts w:asciiTheme="minorHAnsi" w:hAnsiTheme="minorHAnsi"/>
          <w:szCs w:val="22"/>
        </w:rPr>
        <w:t xml:space="preserve"> originally</w:t>
      </w:r>
      <w:r w:rsidRPr="005E2A36">
        <w:rPr>
          <w:rFonts w:asciiTheme="minorHAnsi" w:hAnsiTheme="minorHAnsi"/>
          <w:szCs w:val="22"/>
        </w:rPr>
        <w:t xml:space="preserve"> approved for use by OMB in late 2015, the website has included a statement regarding privacy as part of the introduction to completing the survey. Th</w:t>
      </w:r>
      <w:r w:rsidR="0035130C">
        <w:rPr>
          <w:rFonts w:asciiTheme="minorHAnsi" w:hAnsiTheme="minorHAnsi"/>
          <w:szCs w:val="22"/>
        </w:rPr>
        <w:t>is</w:t>
      </w:r>
      <w:r w:rsidRPr="005E2A36">
        <w:rPr>
          <w:rFonts w:asciiTheme="minorHAnsi" w:hAnsiTheme="minorHAnsi"/>
          <w:szCs w:val="22"/>
        </w:rPr>
        <w:t xml:space="preserve"> statement indicates that the information provided will be kept private to the extent allowed by law and not disclosed to anyone but the ODP PRES program </w:t>
      </w:r>
      <w:r w:rsidR="001371AC">
        <w:rPr>
          <w:rFonts w:asciiTheme="minorHAnsi" w:hAnsiTheme="minorHAnsi"/>
          <w:szCs w:val="22"/>
        </w:rPr>
        <w:t>staff</w:t>
      </w:r>
      <w:r w:rsidRPr="005E2A36">
        <w:rPr>
          <w:rFonts w:asciiTheme="minorHAnsi" w:hAnsiTheme="minorHAnsi"/>
          <w:szCs w:val="22"/>
        </w:rPr>
        <w:t xml:space="preserve"> and DHHS staff who evaluate submissions except as otherwise required by law. We also included in the introduction to the survey a statement that clearly states that 42 USC Section 241: Research and Investigations General provides legislative authority to collect information for the PRES program, that participation in the program is strictly voluntary, and that no consequence exists for choosing not to participate.  </w:t>
      </w:r>
    </w:p>
    <w:p w:rsidRPr="005E2A36" w:rsidR="005E2A36" w:rsidP="005E2A36" w:rsidRDefault="005E2A36" w14:paraId="1708EDB0" w14:textId="77777777">
      <w:pPr>
        <w:pStyle w:val="P1-StandPara"/>
        <w:spacing w:line="240" w:lineRule="auto"/>
        <w:ind w:firstLine="0"/>
        <w:rPr>
          <w:rFonts w:asciiTheme="minorHAnsi" w:hAnsiTheme="minorHAnsi"/>
          <w:b/>
          <w:szCs w:val="22"/>
        </w:rPr>
      </w:pPr>
    </w:p>
    <w:p w:rsidRPr="005E2A36" w:rsidR="005E2A36" w:rsidP="005E2A36" w:rsidRDefault="005E2A36" w14:paraId="4C9338A0" w14:textId="24364564">
      <w:pPr>
        <w:pStyle w:val="P1-StandPara"/>
        <w:spacing w:line="240" w:lineRule="auto"/>
        <w:ind w:firstLine="0"/>
        <w:rPr>
          <w:rFonts w:asciiTheme="minorHAnsi" w:hAnsiTheme="minorHAnsi"/>
          <w:szCs w:val="22"/>
        </w:rPr>
      </w:pPr>
      <w:r w:rsidRPr="005E2A36">
        <w:rPr>
          <w:rFonts w:asciiTheme="minorHAnsi" w:hAnsiTheme="minorHAnsi"/>
          <w:szCs w:val="22"/>
        </w:rPr>
        <w:t>Prevention Research Expertise Survey and Electronic Directory. The information retained in the searchable Directory includes investigators’ names, job title, email address</w:t>
      </w:r>
      <w:r w:rsidR="00364B8C">
        <w:rPr>
          <w:rFonts w:asciiTheme="minorHAnsi" w:hAnsiTheme="minorHAnsi"/>
          <w:szCs w:val="22"/>
        </w:rPr>
        <w:t>,</w:t>
      </w:r>
      <w:r w:rsidRPr="005E2A36">
        <w:rPr>
          <w:rFonts w:asciiTheme="minorHAnsi" w:hAnsiTheme="minorHAnsi"/>
          <w:szCs w:val="22"/>
        </w:rPr>
        <w:t xml:space="preserve"> and institution</w:t>
      </w:r>
      <w:r w:rsidR="00364B8C">
        <w:rPr>
          <w:rFonts w:asciiTheme="minorHAnsi" w:hAnsiTheme="minorHAnsi"/>
          <w:szCs w:val="22"/>
        </w:rPr>
        <w:t xml:space="preserve"> name and </w:t>
      </w:r>
      <w:r w:rsidR="00651427">
        <w:rPr>
          <w:rFonts w:asciiTheme="minorHAnsi" w:hAnsiTheme="minorHAnsi"/>
          <w:szCs w:val="22"/>
        </w:rPr>
        <w:t>location (state only)</w:t>
      </w:r>
      <w:r w:rsidRPr="005E2A36">
        <w:rPr>
          <w:rFonts w:asciiTheme="minorHAnsi" w:hAnsiTheme="minorHAnsi"/>
          <w:szCs w:val="22"/>
        </w:rPr>
        <w:t xml:space="preserve">. We </w:t>
      </w:r>
      <w:r w:rsidR="001371AC">
        <w:rPr>
          <w:rFonts w:asciiTheme="minorHAnsi" w:hAnsiTheme="minorHAnsi"/>
          <w:szCs w:val="22"/>
        </w:rPr>
        <w:t>do</w:t>
      </w:r>
      <w:r w:rsidRPr="005E2A36">
        <w:rPr>
          <w:rFonts w:asciiTheme="minorHAnsi" w:hAnsiTheme="minorHAnsi"/>
          <w:szCs w:val="22"/>
        </w:rPr>
        <w:t xml:space="preserve"> not collect date of birth, social security number, home address, race, ethnicity, or gender. We have chosen not to collect race and ethnicity data two reasons: (1) the information provided </w:t>
      </w:r>
      <w:r w:rsidR="00B16091">
        <w:rPr>
          <w:rFonts w:asciiTheme="minorHAnsi" w:hAnsiTheme="minorHAnsi"/>
          <w:szCs w:val="22"/>
        </w:rPr>
        <w:t>by</w:t>
      </w:r>
      <w:r w:rsidRPr="005E2A36">
        <w:rPr>
          <w:rFonts w:asciiTheme="minorHAnsi" w:hAnsiTheme="minorHAnsi"/>
          <w:szCs w:val="22"/>
        </w:rPr>
        <w:t xml:space="preserve"> PRES </w:t>
      </w:r>
      <w:r w:rsidR="00962D26">
        <w:rPr>
          <w:rFonts w:asciiTheme="minorHAnsi" w:hAnsiTheme="minorHAnsi"/>
          <w:szCs w:val="22"/>
        </w:rPr>
        <w:t>respondents</w:t>
      </w:r>
      <w:r w:rsidRPr="005E2A36">
        <w:rPr>
          <w:rFonts w:asciiTheme="minorHAnsi" w:hAnsiTheme="minorHAnsi"/>
          <w:szCs w:val="22"/>
        </w:rPr>
        <w:t xml:space="preserve"> </w:t>
      </w:r>
      <w:r w:rsidR="00FB3117">
        <w:rPr>
          <w:rFonts w:asciiTheme="minorHAnsi" w:hAnsiTheme="minorHAnsi"/>
          <w:szCs w:val="22"/>
        </w:rPr>
        <w:t>is</w:t>
      </w:r>
      <w:r w:rsidRPr="005E2A36">
        <w:rPr>
          <w:rFonts w:asciiTheme="minorHAnsi" w:hAnsiTheme="minorHAnsi"/>
          <w:szCs w:val="22"/>
        </w:rPr>
        <w:t xml:space="preserve"> made available to SROs for the purpose of potential inclusion in study review panels. We want to avoid potential bias as well as the appearance of bias based on race/ethnicity in their selection process. (2) When investigators create NIH eRA Commons accounts, they have the option to choose whether or not to disclose information regarding race and ethnicity. Access to those data is limited to protect the applicant. However, when data summaries by race/ethnicity are needed for program evaluation purposes, only approved personnel with specific responsibility for data summaries can access those data. </w:t>
      </w:r>
      <w:r w:rsidR="001371AC">
        <w:rPr>
          <w:rFonts w:asciiTheme="minorHAnsi" w:hAnsiTheme="minorHAnsi"/>
          <w:szCs w:val="22"/>
        </w:rPr>
        <w:t xml:space="preserve">ODP </w:t>
      </w:r>
      <w:r w:rsidRPr="005E2A36">
        <w:rPr>
          <w:rFonts w:asciiTheme="minorHAnsi" w:hAnsiTheme="minorHAnsi"/>
          <w:szCs w:val="22"/>
        </w:rPr>
        <w:t xml:space="preserve">PRES program staff </w:t>
      </w:r>
      <w:r w:rsidR="00FB3117">
        <w:rPr>
          <w:rFonts w:asciiTheme="minorHAnsi" w:hAnsiTheme="minorHAnsi"/>
          <w:szCs w:val="22"/>
        </w:rPr>
        <w:t>do</w:t>
      </w:r>
      <w:r w:rsidRPr="005E2A36" w:rsidR="00FB3117">
        <w:rPr>
          <w:rFonts w:asciiTheme="minorHAnsi" w:hAnsiTheme="minorHAnsi"/>
          <w:szCs w:val="22"/>
        </w:rPr>
        <w:t xml:space="preserve"> </w:t>
      </w:r>
      <w:r w:rsidRPr="005E2A36">
        <w:rPr>
          <w:rFonts w:asciiTheme="minorHAnsi" w:hAnsiTheme="minorHAnsi"/>
          <w:szCs w:val="22"/>
        </w:rPr>
        <w:t xml:space="preserve">not have access to sensitive data from individual PRES participants. </w:t>
      </w:r>
    </w:p>
    <w:p w:rsidRPr="005E2A36" w:rsidR="005E2A36" w:rsidP="005E2A36" w:rsidRDefault="005E2A36" w14:paraId="46F03B19" w14:textId="77777777">
      <w:pPr>
        <w:pStyle w:val="P1-StandPara"/>
        <w:spacing w:line="240" w:lineRule="auto"/>
        <w:ind w:firstLine="0"/>
        <w:rPr>
          <w:rFonts w:asciiTheme="minorHAnsi" w:hAnsiTheme="minorHAnsi"/>
          <w:szCs w:val="22"/>
        </w:rPr>
      </w:pPr>
    </w:p>
    <w:p w:rsidRPr="005E2A36" w:rsidR="005E2A36" w:rsidP="005E2A36" w:rsidRDefault="005E2A36" w14:paraId="7CB4FAB8" w14:textId="382592F1">
      <w:pPr>
        <w:pStyle w:val="P1-StandPara"/>
        <w:spacing w:line="240" w:lineRule="auto"/>
        <w:ind w:firstLine="0"/>
        <w:rPr>
          <w:rFonts w:asciiTheme="minorHAnsi" w:hAnsiTheme="minorHAnsi"/>
          <w:b/>
          <w:szCs w:val="22"/>
        </w:rPr>
      </w:pPr>
      <w:r w:rsidRPr="005E2A36">
        <w:rPr>
          <w:rFonts w:asciiTheme="minorHAnsi" w:hAnsiTheme="minorHAnsi"/>
          <w:szCs w:val="22"/>
        </w:rPr>
        <w:t>The information collected via the online survey is the same information used by SROs to vet all other potential review panel members. In the course of</w:t>
      </w:r>
      <w:r w:rsidR="00FB3117">
        <w:rPr>
          <w:rFonts w:asciiTheme="minorHAnsi" w:hAnsiTheme="minorHAnsi"/>
          <w:szCs w:val="22"/>
        </w:rPr>
        <w:t xml:space="preserve"> their</w:t>
      </w:r>
      <w:r w:rsidRPr="005E2A36">
        <w:rPr>
          <w:rFonts w:asciiTheme="minorHAnsi" w:hAnsiTheme="minorHAnsi"/>
          <w:szCs w:val="22"/>
        </w:rPr>
        <w:t xml:space="preserve"> daily job duties, SROs gather information on potential reviewers including education and job title, professional accomplishments, publications, and any other information that represents the expertise of the potential reviewer.</w:t>
      </w:r>
      <w:r w:rsidR="00F548B1">
        <w:rPr>
          <w:rFonts w:asciiTheme="minorHAnsi" w:hAnsiTheme="minorHAnsi"/>
          <w:szCs w:val="22"/>
        </w:rPr>
        <w:t xml:space="preserve"> </w:t>
      </w:r>
      <w:r w:rsidRPr="005E2A36" w:rsidR="00F548B1">
        <w:rPr>
          <w:rFonts w:asciiTheme="minorHAnsi" w:hAnsiTheme="minorHAnsi"/>
          <w:szCs w:val="22"/>
        </w:rPr>
        <w:t>Summaries are periodically tallied in an aggregate form for administrative use regarding the institutions at which investigators are employed. Names of individual investigators are not included in these summaries. The information from participants is not used for research or survey purposes.</w:t>
      </w:r>
    </w:p>
    <w:p w:rsidRPr="00E35DD1" w:rsidR="00E35DD1" w:rsidP="00E35DD1" w:rsidRDefault="00E35DD1" w14:paraId="63CCC42F" w14:textId="77777777">
      <w:pPr>
        <w:pStyle w:val="P1-StandPara"/>
        <w:spacing w:line="240" w:lineRule="auto"/>
        <w:ind w:firstLine="0"/>
        <w:rPr>
          <w:rFonts w:asciiTheme="minorHAnsi" w:hAnsiTheme="minorHAnsi"/>
          <w:szCs w:val="22"/>
        </w:rPr>
      </w:pPr>
    </w:p>
    <w:p w:rsidR="00685B30" w:rsidP="00D40C84" w:rsidRDefault="00685B30" w14:paraId="43B0244E" w14:textId="0B12E1DA">
      <w:pPr>
        <w:pStyle w:val="P1-StandPara"/>
        <w:ind w:firstLine="0"/>
        <w:rPr>
          <w:rFonts w:asciiTheme="minorHAnsi" w:hAnsiTheme="minorHAnsi"/>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Pr="00E35DD1" w:rsidR="00651427" w:rsidP="00685B30" w:rsidRDefault="00651427" w14:paraId="6E7A8635" w14:textId="3BAC75BC">
      <w:pPr>
        <w:pStyle w:val="P1-StandPara"/>
        <w:spacing w:line="240" w:lineRule="auto"/>
        <w:ind w:firstLine="0"/>
        <w:rPr>
          <w:rFonts w:asciiTheme="minorHAnsi" w:hAnsiTheme="minorHAnsi"/>
          <w:szCs w:val="22"/>
        </w:rPr>
      </w:pPr>
      <w:r w:rsidRPr="00651427">
        <w:rPr>
          <w:rFonts w:asciiTheme="minorHAnsi" w:hAnsiTheme="minorHAnsi"/>
          <w:szCs w:val="22"/>
        </w:rPr>
        <w:t>Sensitive information is not needed to determine each researcher’s fit with a prevention-focused review panel and will therefore, not be collected.</w:t>
      </w:r>
    </w:p>
    <w:p w:rsidRPr="00E35DD1" w:rsidR="00685B30" w:rsidP="00685B30" w:rsidRDefault="00685B30" w14:paraId="576DA571" w14:textId="77777777">
      <w:pPr>
        <w:pStyle w:val="P1-StandPara"/>
        <w:spacing w:line="240" w:lineRule="auto"/>
        <w:ind w:firstLine="0"/>
        <w:rPr>
          <w:rFonts w:asciiTheme="minorHAnsi" w:hAnsiTheme="minorHAnsi"/>
          <w:szCs w:val="22"/>
        </w:rPr>
      </w:pPr>
    </w:p>
    <w:p w:rsidRPr="00E35DD1" w:rsidR="00685B30" w:rsidP="00685B30" w:rsidRDefault="00685B30" w14:paraId="2470C97A" w14:textId="77777777">
      <w:pPr>
        <w:rPr>
          <w:b/>
        </w:rPr>
      </w:pPr>
      <w:r w:rsidRPr="00E35DD1">
        <w:rPr>
          <w:b/>
        </w:rPr>
        <w:t>A.12</w:t>
      </w:r>
      <w:r w:rsidR="00BF491C">
        <w:rPr>
          <w:b/>
        </w:rPr>
        <w:t>.1</w:t>
      </w:r>
      <w:r w:rsidRPr="00E35DD1">
        <w:rPr>
          <w:b/>
        </w:rPr>
        <w:tab/>
        <w:t>Estimates of Hour Burden Including Annualized Hourly Costs</w:t>
      </w:r>
    </w:p>
    <w:p w:rsidRPr="00D11C8D" w:rsidR="00D11C8D" w:rsidP="00D11C8D" w:rsidRDefault="00D11C8D" w14:paraId="0EB30D74" w14:textId="56B3C182">
      <w:pPr>
        <w:rPr>
          <w:iCs/>
        </w:rPr>
      </w:pPr>
      <w:r w:rsidRPr="00D11C8D">
        <w:rPr>
          <w:iCs/>
        </w:rPr>
        <w:t xml:space="preserve">Annual Hour Burden. Based on data and analytics </w:t>
      </w:r>
      <w:r w:rsidR="00B93F78">
        <w:rPr>
          <w:iCs/>
        </w:rPr>
        <w:t xml:space="preserve">for </w:t>
      </w:r>
      <w:r w:rsidR="000D72C1">
        <w:rPr>
          <w:iCs/>
        </w:rPr>
        <w:t xml:space="preserve">participation in </w:t>
      </w:r>
      <w:r w:rsidRPr="00D11C8D">
        <w:rPr>
          <w:iCs/>
        </w:rPr>
        <w:t xml:space="preserve">PRES </w:t>
      </w:r>
      <w:r>
        <w:rPr>
          <w:iCs/>
        </w:rPr>
        <w:t>since the last approved OMB renewal</w:t>
      </w:r>
      <w:r w:rsidR="000D72C1">
        <w:rPr>
          <w:iCs/>
        </w:rPr>
        <w:t xml:space="preserve"> and substantive revision</w:t>
      </w:r>
      <w:r>
        <w:rPr>
          <w:iCs/>
        </w:rPr>
        <w:t xml:space="preserve"> in November 2017</w:t>
      </w:r>
      <w:r w:rsidRPr="00D11C8D">
        <w:rPr>
          <w:iCs/>
        </w:rPr>
        <w:t xml:space="preserve">, it appears that the </w:t>
      </w:r>
      <w:r w:rsidR="00AA688B">
        <w:rPr>
          <w:iCs/>
        </w:rPr>
        <w:t>rate</w:t>
      </w:r>
      <w:r w:rsidRPr="00D11C8D" w:rsidR="00AA688B">
        <w:rPr>
          <w:iCs/>
        </w:rPr>
        <w:t xml:space="preserve"> </w:t>
      </w:r>
      <w:r w:rsidRPr="00D11C8D">
        <w:rPr>
          <w:iCs/>
        </w:rPr>
        <w:t xml:space="preserve">of </w:t>
      </w:r>
      <w:r w:rsidR="00AA688B">
        <w:rPr>
          <w:iCs/>
        </w:rPr>
        <w:t xml:space="preserve">participation in the </w:t>
      </w:r>
      <w:r w:rsidR="002A0132">
        <w:rPr>
          <w:iCs/>
        </w:rPr>
        <w:t xml:space="preserve">survey </w:t>
      </w:r>
      <w:r w:rsidR="00AF3389">
        <w:rPr>
          <w:iCs/>
        </w:rPr>
        <w:t>is</w:t>
      </w:r>
      <w:r w:rsidRPr="00D11C8D">
        <w:rPr>
          <w:iCs/>
        </w:rPr>
        <w:t xml:space="preserve"> approximately </w:t>
      </w:r>
      <w:r w:rsidR="009D362C">
        <w:rPr>
          <w:iCs/>
        </w:rPr>
        <w:t>50</w:t>
      </w:r>
      <w:r w:rsidRPr="00D11C8D" w:rsidR="009D362C">
        <w:rPr>
          <w:iCs/>
        </w:rPr>
        <w:t xml:space="preserve"> </w:t>
      </w:r>
      <w:r w:rsidR="00941F23">
        <w:rPr>
          <w:iCs/>
        </w:rPr>
        <w:t xml:space="preserve">new investigators </w:t>
      </w:r>
      <w:r w:rsidRPr="00D11C8D">
        <w:rPr>
          <w:iCs/>
        </w:rPr>
        <w:t xml:space="preserve">per </w:t>
      </w:r>
      <w:r w:rsidR="009D362C">
        <w:rPr>
          <w:iCs/>
        </w:rPr>
        <w:t>month</w:t>
      </w:r>
      <w:r w:rsidRPr="00D11C8D">
        <w:rPr>
          <w:iCs/>
        </w:rPr>
        <w:t xml:space="preserve"> </w:t>
      </w:r>
      <w:r w:rsidR="00AA688B">
        <w:rPr>
          <w:iCs/>
        </w:rPr>
        <w:t xml:space="preserve">(i.e., investigators </w:t>
      </w:r>
      <w:r w:rsidRPr="00D11C8D">
        <w:rPr>
          <w:iCs/>
        </w:rPr>
        <w:t>completing the survey for the first time</w:t>
      </w:r>
      <w:r w:rsidR="00AA688B">
        <w:rPr>
          <w:iCs/>
        </w:rPr>
        <w:t>)</w:t>
      </w:r>
      <w:r w:rsidRPr="00D11C8D">
        <w:rPr>
          <w:iCs/>
        </w:rPr>
        <w:t xml:space="preserve">. Assuming a constant rate, the PRES program should receive approximately </w:t>
      </w:r>
      <w:r w:rsidR="009D362C">
        <w:rPr>
          <w:iCs/>
        </w:rPr>
        <w:t>600</w:t>
      </w:r>
      <w:r w:rsidRPr="00D11C8D" w:rsidR="009D362C">
        <w:rPr>
          <w:iCs/>
        </w:rPr>
        <w:t xml:space="preserve"> </w:t>
      </w:r>
      <w:r w:rsidRPr="00D11C8D">
        <w:rPr>
          <w:iCs/>
        </w:rPr>
        <w:t>new investigator survey completions per year. Using an estimated response time of 2</w:t>
      </w:r>
      <w:r w:rsidR="009D362C">
        <w:rPr>
          <w:iCs/>
        </w:rPr>
        <w:t>5</w:t>
      </w:r>
      <w:r w:rsidRPr="00D11C8D">
        <w:rPr>
          <w:iCs/>
        </w:rPr>
        <w:t xml:space="preserve"> minutes per survey, the annual burden for </w:t>
      </w:r>
      <w:r w:rsidR="007C1874">
        <w:rPr>
          <w:iCs/>
        </w:rPr>
        <w:t>survey respondents</w:t>
      </w:r>
      <w:r w:rsidRPr="00D11C8D" w:rsidR="007C1874">
        <w:rPr>
          <w:iCs/>
        </w:rPr>
        <w:t xml:space="preserve"> </w:t>
      </w:r>
      <w:r w:rsidRPr="00D11C8D">
        <w:rPr>
          <w:iCs/>
        </w:rPr>
        <w:t>is 2</w:t>
      </w:r>
      <w:r w:rsidR="009D362C">
        <w:rPr>
          <w:iCs/>
        </w:rPr>
        <w:t>5</w:t>
      </w:r>
      <w:r w:rsidRPr="00D11C8D">
        <w:rPr>
          <w:iCs/>
        </w:rPr>
        <w:t>0 hours. Section A.3</w:t>
      </w:r>
      <w:r w:rsidR="00676DB2">
        <w:rPr>
          <w:iCs/>
        </w:rPr>
        <w:t>.</w:t>
      </w:r>
      <w:r w:rsidRPr="00D11C8D">
        <w:rPr>
          <w:iCs/>
        </w:rPr>
        <w:t xml:space="preserve"> </w:t>
      </w:r>
      <w:r w:rsidR="00676DB2">
        <w:rPr>
          <w:iCs/>
        </w:rPr>
        <w:t xml:space="preserve">above </w:t>
      </w:r>
      <w:r w:rsidRPr="00D11C8D">
        <w:rPr>
          <w:iCs/>
        </w:rPr>
        <w:t>provides additional details regarding this estimate.</w:t>
      </w:r>
      <w:r w:rsidR="00647CBC">
        <w:rPr>
          <w:iCs/>
        </w:rPr>
        <w:t xml:space="preserve"> Based on the same set of PRES participation data and analytics over the past three years, we expect roughly 1,000 r</w:t>
      </w:r>
      <w:r w:rsidRPr="00D11C8D" w:rsidR="00647CBC">
        <w:rPr>
          <w:iCs/>
        </w:rPr>
        <w:t xml:space="preserve">eturning investigators (those who have completed previous versions of the survey) will return and update their information </w:t>
      </w:r>
      <w:r w:rsidR="00647CBC">
        <w:rPr>
          <w:iCs/>
        </w:rPr>
        <w:t>per year</w:t>
      </w:r>
      <w:r w:rsidRPr="00D11C8D" w:rsidR="00647CBC">
        <w:rPr>
          <w:iCs/>
        </w:rPr>
        <w:t>.</w:t>
      </w:r>
      <w:r w:rsidRPr="00D11C8D">
        <w:rPr>
          <w:iCs/>
        </w:rPr>
        <w:t xml:space="preserve"> Returning investigators </w:t>
      </w:r>
      <w:r w:rsidR="00647CBC">
        <w:rPr>
          <w:iCs/>
        </w:rPr>
        <w:t>are</w:t>
      </w:r>
      <w:r w:rsidRPr="00D11C8D">
        <w:rPr>
          <w:iCs/>
        </w:rPr>
        <w:t xml:space="preserve"> invited to update their information based on the additional topics added (discussed in sections A</w:t>
      </w:r>
      <w:r w:rsidR="00676DB2">
        <w:rPr>
          <w:iCs/>
        </w:rPr>
        <w:t>.</w:t>
      </w:r>
      <w:r w:rsidRPr="00D11C8D">
        <w:rPr>
          <w:iCs/>
        </w:rPr>
        <w:t>2</w:t>
      </w:r>
      <w:r w:rsidR="00676DB2">
        <w:rPr>
          <w:iCs/>
        </w:rPr>
        <w:t>.</w:t>
      </w:r>
      <w:r w:rsidRPr="00D11C8D">
        <w:rPr>
          <w:iCs/>
        </w:rPr>
        <w:t xml:space="preserve"> and A</w:t>
      </w:r>
      <w:r w:rsidR="00676DB2">
        <w:rPr>
          <w:iCs/>
        </w:rPr>
        <w:t>.</w:t>
      </w:r>
      <w:r w:rsidRPr="00D11C8D">
        <w:rPr>
          <w:iCs/>
        </w:rPr>
        <w:t>15</w:t>
      </w:r>
      <w:r w:rsidR="00676DB2">
        <w:rPr>
          <w:iCs/>
        </w:rPr>
        <w:t>.</w:t>
      </w:r>
      <w:r w:rsidRPr="00D11C8D">
        <w:rPr>
          <w:iCs/>
        </w:rPr>
        <w:t xml:space="preserve">). Using an estimated response time of </w:t>
      </w:r>
      <w:r w:rsidR="00A74FDE">
        <w:rPr>
          <w:iCs/>
        </w:rPr>
        <w:t>10</w:t>
      </w:r>
      <w:r w:rsidRPr="00D11C8D">
        <w:rPr>
          <w:iCs/>
        </w:rPr>
        <w:t xml:space="preserve"> minutes per returning investigator to update their responses </w:t>
      </w:r>
      <w:r w:rsidR="00AF3389">
        <w:rPr>
          <w:iCs/>
        </w:rPr>
        <w:t>in</w:t>
      </w:r>
      <w:r w:rsidRPr="00D11C8D" w:rsidR="00AF3389">
        <w:rPr>
          <w:iCs/>
        </w:rPr>
        <w:t xml:space="preserve"> </w:t>
      </w:r>
      <w:r w:rsidRPr="00D11C8D">
        <w:rPr>
          <w:iCs/>
        </w:rPr>
        <w:t xml:space="preserve">the </w:t>
      </w:r>
      <w:r w:rsidR="00AF3389">
        <w:rPr>
          <w:iCs/>
        </w:rPr>
        <w:t>revised</w:t>
      </w:r>
      <w:r w:rsidRPr="00D11C8D" w:rsidR="00AF3389">
        <w:rPr>
          <w:iCs/>
        </w:rPr>
        <w:t xml:space="preserve"> </w:t>
      </w:r>
      <w:r w:rsidRPr="00D11C8D">
        <w:rPr>
          <w:iCs/>
        </w:rPr>
        <w:t>version</w:t>
      </w:r>
      <w:r w:rsidR="00AF3389">
        <w:rPr>
          <w:iCs/>
        </w:rPr>
        <w:t xml:space="preserve"> of the survey</w:t>
      </w:r>
      <w:r w:rsidRPr="00D11C8D">
        <w:rPr>
          <w:iCs/>
        </w:rPr>
        <w:t xml:space="preserve">, the annual burden for those </w:t>
      </w:r>
      <w:r w:rsidR="00275E81">
        <w:rPr>
          <w:iCs/>
        </w:rPr>
        <w:t>respondents</w:t>
      </w:r>
      <w:r w:rsidRPr="00D11C8D" w:rsidR="00275E81">
        <w:rPr>
          <w:iCs/>
        </w:rPr>
        <w:t xml:space="preserve"> </w:t>
      </w:r>
      <w:r w:rsidRPr="00D11C8D">
        <w:rPr>
          <w:iCs/>
        </w:rPr>
        <w:t xml:space="preserve">is </w:t>
      </w:r>
      <w:r w:rsidR="00A74FDE">
        <w:rPr>
          <w:iCs/>
        </w:rPr>
        <w:t>167</w:t>
      </w:r>
      <w:r w:rsidRPr="00D11C8D" w:rsidR="00A74FDE">
        <w:rPr>
          <w:iCs/>
        </w:rPr>
        <w:t xml:space="preserve"> </w:t>
      </w:r>
      <w:r w:rsidRPr="00D11C8D">
        <w:rPr>
          <w:iCs/>
        </w:rPr>
        <w:t>hours. Please see Table 12-1 below for details.</w:t>
      </w:r>
    </w:p>
    <w:p w:rsidR="00C24877" w:rsidP="00C24877" w:rsidRDefault="00C76FE2" w14:paraId="69E5DE25" w14:textId="0A302659">
      <w:pPr>
        <w:jc w:val="center"/>
      </w:pPr>
      <w:r>
        <w:t>Table 12-1 Estimated Annualized Burden Hours</w:t>
      </w:r>
    </w:p>
    <w:tbl>
      <w:tblPr>
        <w:tblStyle w:val="TableGrid"/>
        <w:tblW w:w="9874" w:type="dxa"/>
        <w:tblLook w:val="04A0" w:firstRow="1" w:lastRow="0" w:firstColumn="1" w:lastColumn="0" w:noHBand="0" w:noVBand="1"/>
      </w:tblPr>
      <w:tblGrid>
        <w:gridCol w:w="2163"/>
        <w:gridCol w:w="1927"/>
        <w:gridCol w:w="1928"/>
        <w:gridCol w:w="1928"/>
        <w:gridCol w:w="1928"/>
      </w:tblGrid>
      <w:tr w:rsidRPr="00B72440" w:rsidR="004712C4" w:rsidTr="006005D0" w14:paraId="02210037" w14:textId="77777777">
        <w:tc>
          <w:tcPr>
            <w:tcW w:w="2163" w:type="dxa"/>
          </w:tcPr>
          <w:p w:rsidRPr="00B72440" w:rsidR="004712C4" w:rsidP="004712C4" w:rsidRDefault="004712C4" w14:paraId="36B185F7" w14:textId="77777777">
            <w:pPr>
              <w:spacing w:after="160" w:line="259" w:lineRule="auto"/>
              <w:rPr>
                <w:b/>
                <w:iCs/>
                <w:sz w:val="22"/>
                <w:szCs w:val="22"/>
              </w:rPr>
            </w:pPr>
            <w:r w:rsidRPr="00B72440">
              <w:rPr>
                <w:b/>
                <w:iCs/>
                <w:sz w:val="22"/>
                <w:szCs w:val="22"/>
              </w:rPr>
              <w:t>Type of Respondents</w:t>
            </w:r>
          </w:p>
        </w:tc>
        <w:tc>
          <w:tcPr>
            <w:tcW w:w="1927" w:type="dxa"/>
          </w:tcPr>
          <w:p w:rsidRPr="00B72440" w:rsidR="004712C4" w:rsidP="004712C4" w:rsidRDefault="004712C4" w14:paraId="536D1338" w14:textId="77777777">
            <w:pPr>
              <w:spacing w:after="160" w:line="259" w:lineRule="auto"/>
              <w:rPr>
                <w:b/>
                <w:iCs/>
                <w:sz w:val="22"/>
                <w:szCs w:val="22"/>
              </w:rPr>
            </w:pPr>
            <w:r w:rsidRPr="00B72440">
              <w:rPr>
                <w:b/>
                <w:iCs/>
                <w:sz w:val="22"/>
                <w:szCs w:val="22"/>
              </w:rPr>
              <w:t>Number of Respondents</w:t>
            </w:r>
          </w:p>
        </w:tc>
        <w:tc>
          <w:tcPr>
            <w:tcW w:w="1928" w:type="dxa"/>
          </w:tcPr>
          <w:p w:rsidRPr="00B72440" w:rsidR="004712C4" w:rsidP="004712C4" w:rsidRDefault="004712C4" w14:paraId="1A8737EB" w14:textId="77777777">
            <w:pPr>
              <w:spacing w:after="160" w:line="259" w:lineRule="auto"/>
              <w:rPr>
                <w:b/>
                <w:iCs/>
                <w:sz w:val="22"/>
                <w:szCs w:val="22"/>
              </w:rPr>
            </w:pPr>
            <w:r w:rsidRPr="00B72440">
              <w:rPr>
                <w:b/>
                <w:iCs/>
                <w:sz w:val="22"/>
                <w:szCs w:val="22"/>
              </w:rPr>
              <w:t>Number of Responses per Respondent</w:t>
            </w:r>
          </w:p>
        </w:tc>
        <w:tc>
          <w:tcPr>
            <w:tcW w:w="1928" w:type="dxa"/>
          </w:tcPr>
          <w:p w:rsidRPr="00B72440" w:rsidR="004712C4" w:rsidP="004712C4" w:rsidRDefault="004712C4" w14:paraId="5078ED6A" w14:textId="77777777">
            <w:pPr>
              <w:spacing w:after="160" w:line="259" w:lineRule="auto"/>
              <w:rPr>
                <w:b/>
                <w:iCs/>
                <w:sz w:val="22"/>
                <w:szCs w:val="22"/>
              </w:rPr>
            </w:pPr>
            <w:r w:rsidRPr="00B72440">
              <w:rPr>
                <w:b/>
                <w:iCs/>
                <w:sz w:val="22"/>
                <w:szCs w:val="22"/>
              </w:rPr>
              <w:t>Average Burden Per Response (in hours)</w:t>
            </w:r>
          </w:p>
        </w:tc>
        <w:tc>
          <w:tcPr>
            <w:tcW w:w="1928" w:type="dxa"/>
          </w:tcPr>
          <w:p w:rsidRPr="00B72440" w:rsidR="004712C4" w:rsidP="004712C4" w:rsidRDefault="004712C4" w14:paraId="4A38DA71" w14:textId="77777777">
            <w:pPr>
              <w:spacing w:after="160" w:line="259" w:lineRule="auto"/>
              <w:rPr>
                <w:b/>
                <w:iCs/>
                <w:sz w:val="22"/>
                <w:szCs w:val="22"/>
              </w:rPr>
            </w:pPr>
            <w:r w:rsidRPr="00B72440">
              <w:rPr>
                <w:b/>
                <w:iCs/>
                <w:sz w:val="22"/>
                <w:szCs w:val="22"/>
              </w:rPr>
              <w:t xml:space="preserve">Total Annual Burden Hours </w:t>
            </w:r>
          </w:p>
        </w:tc>
      </w:tr>
      <w:tr w:rsidRPr="00B72440" w:rsidR="004712C4" w:rsidTr="006005D0" w14:paraId="4C9E41BA" w14:textId="77777777">
        <w:tc>
          <w:tcPr>
            <w:tcW w:w="2163" w:type="dxa"/>
          </w:tcPr>
          <w:p w:rsidRPr="00B72440" w:rsidR="004712C4" w:rsidP="004712C4" w:rsidRDefault="00EC2B6F" w14:paraId="4711E551" w14:textId="77777777">
            <w:pPr>
              <w:spacing w:after="160" w:line="259" w:lineRule="auto"/>
              <w:rPr>
                <w:iCs/>
                <w:sz w:val="22"/>
                <w:szCs w:val="22"/>
              </w:rPr>
            </w:pPr>
            <w:r>
              <w:rPr>
                <w:iCs/>
                <w:sz w:val="22"/>
                <w:szCs w:val="22"/>
              </w:rPr>
              <w:t xml:space="preserve">New </w:t>
            </w:r>
            <w:r w:rsidRPr="00B72440" w:rsidR="004712C4">
              <w:rPr>
                <w:iCs/>
                <w:sz w:val="22"/>
                <w:szCs w:val="22"/>
              </w:rPr>
              <w:t>Investigators</w:t>
            </w:r>
          </w:p>
        </w:tc>
        <w:tc>
          <w:tcPr>
            <w:tcW w:w="1927" w:type="dxa"/>
          </w:tcPr>
          <w:p w:rsidRPr="00B72440" w:rsidR="004712C4" w:rsidP="004712C4" w:rsidRDefault="00EC2B6F" w14:paraId="14973C22" w14:textId="5E413CD2">
            <w:pPr>
              <w:spacing w:after="160" w:line="259" w:lineRule="auto"/>
              <w:rPr>
                <w:iCs/>
                <w:sz w:val="22"/>
                <w:szCs w:val="22"/>
              </w:rPr>
            </w:pPr>
            <w:r>
              <w:rPr>
                <w:iCs/>
                <w:sz w:val="22"/>
                <w:szCs w:val="22"/>
              </w:rPr>
              <w:t>600</w:t>
            </w:r>
          </w:p>
        </w:tc>
        <w:tc>
          <w:tcPr>
            <w:tcW w:w="1928" w:type="dxa"/>
          </w:tcPr>
          <w:p w:rsidRPr="00B72440" w:rsidR="004712C4" w:rsidP="004712C4" w:rsidRDefault="004712C4" w14:paraId="08EA9775" w14:textId="77777777">
            <w:pPr>
              <w:spacing w:after="160" w:line="259" w:lineRule="auto"/>
              <w:rPr>
                <w:iCs/>
                <w:sz w:val="22"/>
                <w:szCs w:val="22"/>
              </w:rPr>
            </w:pPr>
            <w:r w:rsidRPr="00B72440">
              <w:rPr>
                <w:iCs/>
                <w:sz w:val="22"/>
                <w:szCs w:val="22"/>
              </w:rPr>
              <w:t>1</w:t>
            </w:r>
          </w:p>
        </w:tc>
        <w:tc>
          <w:tcPr>
            <w:tcW w:w="1928" w:type="dxa"/>
          </w:tcPr>
          <w:p w:rsidRPr="00B72440" w:rsidR="004712C4" w:rsidP="004712C4" w:rsidRDefault="004712C4" w14:paraId="2AC11256" w14:textId="7EC453AC">
            <w:pPr>
              <w:spacing w:after="160" w:line="259" w:lineRule="auto"/>
              <w:rPr>
                <w:iCs/>
                <w:sz w:val="22"/>
                <w:szCs w:val="22"/>
              </w:rPr>
            </w:pPr>
            <w:r w:rsidRPr="00B72440">
              <w:rPr>
                <w:iCs/>
                <w:sz w:val="22"/>
                <w:szCs w:val="22"/>
              </w:rPr>
              <w:t>2</w:t>
            </w:r>
            <w:r w:rsidR="00EC2B6F">
              <w:rPr>
                <w:iCs/>
                <w:sz w:val="22"/>
                <w:szCs w:val="22"/>
              </w:rPr>
              <w:t>5</w:t>
            </w:r>
            <w:r w:rsidRPr="00B72440">
              <w:rPr>
                <w:iCs/>
                <w:sz w:val="22"/>
                <w:szCs w:val="22"/>
              </w:rPr>
              <w:t>/60</w:t>
            </w:r>
          </w:p>
        </w:tc>
        <w:tc>
          <w:tcPr>
            <w:tcW w:w="1928" w:type="dxa"/>
          </w:tcPr>
          <w:p w:rsidRPr="00B72440" w:rsidR="004712C4" w:rsidP="004712C4" w:rsidRDefault="00F548B1" w14:paraId="4BE934E0" w14:textId="68F8B3ED">
            <w:pPr>
              <w:spacing w:after="160" w:line="259" w:lineRule="auto"/>
              <w:rPr>
                <w:iCs/>
                <w:sz w:val="22"/>
                <w:szCs w:val="22"/>
              </w:rPr>
            </w:pPr>
            <w:r>
              <w:rPr>
                <w:iCs/>
                <w:sz w:val="22"/>
                <w:szCs w:val="22"/>
              </w:rPr>
              <w:t>250</w:t>
            </w:r>
          </w:p>
        </w:tc>
      </w:tr>
      <w:tr w:rsidRPr="00B72440" w:rsidR="004712C4" w:rsidTr="006005D0" w14:paraId="3F602151" w14:textId="77777777">
        <w:tc>
          <w:tcPr>
            <w:tcW w:w="2163" w:type="dxa"/>
          </w:tcPr>
          <w:p w:rsidRPr="00B72440" w:rsidR="004712C4" w:rsidP="004712C4" w:rsidRDefault="004712C4" w14:paraId="6E4C59EE" w14:textId="77777777">
            <w:pPr>
              <w:spacing w:after="160" w:line="259" w:lineRule="auto"/>
              <w:rPr>
                <w:iCs/>
                <w:sz w:val="22"/>
                <w:szCs w:val="22"/>
              </w:rPr>
            </w:pPr>
            <w:r w:rsidRPr="00B72440">
              <w:rPr>
                <w:iCs/>
                <w:sz w:val="22"/>
                <w:szCs w:val="22"/>
              </w:rPr>
              <w:t>Returning Investigators to update information</w:t>
            </w:r>
          </w:p>
        </w:tc>
        <w:tc>
          <w:tcPr>
            <w:tcW w:w="1927" w:type="dxa"/>
          </w:tcPr>
          <w:p w:rsidRPr="00B72440" w:rsidR="004712C4" w:rsidP="004712C4" w:rsidRDefault="004712C4" w14:paraId="0222E5BE" w14:textId="7F5A9E73">
            <w:pPr>
              <w:spacing w:after="160" w:line="259" w:lineRule="auto"/>
              <w:rPr>
                <w:iCs/>
                <w:sz w:val="22"/>
                <w:szCs w:val="22"/>
              </w:rPr>
            </w:pPr>
            <w:r w:rsidRPr="00B72440">
              <w:rPr>
                <w:iCs/>
                <w:sz w:val="22"/>
                <w:szCs w:val="22"/>
              </w:rPr>
              <w:t>1</w:t>
            </w:r>
            <w:r w:rsidRPr="00B72440" w:rsidR="009A3D04">
              <w:rPr>
                <w:iCs/>
                <w:sz w:val="22"/>
                <w:szCs w:val="22"/>
              </w:rPr>
              <w:t>,</w:t>
            </w:r>
            <w:r w:rsidRPr="00B72440">
              <w:rPr>
                <w:iCs/>
                <w:sz w:val="22"/>
                <w:szCs w:val="22"/>
              </w:rPr>
              <w:t>000</w:t>
            </w:r>
          </w:p>
        </w:tc>
        <w:tc>
          <w:tcPr>
            <w:tcW w:w="1928" w:type="dxa"/>
          </w:tcPr>
          <w:p w:rsidRPr="00B72440" w:rsidR="004712C4" w:rsidP="004712C4" w:rsidRDefault="004712C4" w14:paraId="0FD45B41" w14:textId="77777777">
            <w:pPr>
              <w:spacing w:after="160" w:line="259" w:lineRule="auto"/>
              <w:rPr>
                <w:iCs/>
                <w:sz w:val="22"/>
                <w:szCs w:val="22"/>
              </w:rPr>
            </w:pPr>
            <w:r w:rsidRPr="00B72440">
              <w:rPr>
                <w:iCs/>
                <w:sz w:val="22"/>
                <w:szCs w:val="22"/>
              </w:rPr>
              <w:t>1</w:t>
            </w:r>
          </w:p>
        </w:tc>
        <w:tc>
          <w:tcPr>
            <w:tcW w:w="1928" w:type="dxa"/>
          </w:tcPr>
          <w:p w:rsidRPr="00B72440" w:rsidR="004712C4" w:rsidP="004712C4" w:rsidRDefault="009D362C" w14:paraId="60BD8D0D" w14:textId="281B8169">
            <w:pPr>
              <w:spacing w:after="160" w:line="259" w:lineRule="auto"/>
              <w:rPr>
                <w:iCs/>
                <w:sz w:val="22"/>
                <w:szCs w:val="22"/>
              </w:rPr>
            </w:pPr>
            <w:r>
              <w:rPr>
                <w:iCs/>
                <w:sz w:val="22"/>
                <w:szCs w:val="22"/>
              </w:rPr>
              <w:t>10</w:t>
            </w:r>
            <w:r w:rsidRPr="00B72440" w:rsidR="004712C4">
              <w:rPr>
                <w:iCs/>
                <w:sz w:val="22"/>
                <w:szCs w:val="22"/>
              </w:rPr>
              <w:t>/60</w:t>
            </w:r>
          </w:p>
        </w:tc>
        <w:tc>
          <w:tcPr>
            <w:tcW w:w="1928" w:type="dxa"/>
          </w:tcPr>
          <w:p w:rsidRPr="00B72440" w:rsidR="004712C4" w:rsidP="004712C4" w:rsidRDefault="009D362C" w14:paraId="62D924A8" w14:textId="42406BB7">
            <w:pPr>
              <w:spacing w:after="160" w:line="259" w:lineRule="auto"/>
              <w:rPr>
                <w:iCs/>
                <w:sz w:val="22"/>
                <w:szCs w:val="22"/>
              </w:rPr>
            </w:pPr>
            <w:r>
              <w:rPr>
                <w:iCs/>
                <w:sz w:val="22"/>
                <w:szCs w:val="22"/>
              </w:rPr>
              <w:t>167</w:t>
            </w:r>
          </w:p>
        </w:tc>
      </w:tr>
      <w:tr w:rsidRPr="00B72440" w:rsidR="004712C4" w:rsidTr="006005D0" w14:paraId="516B393D" w14:textId="77777777">
        <w:tc>
          <w:tcPr>
            <w:tcW w:w="2163" w:type="dxa"/>
          </w:tcPr>
          <w:p w:rsidRPr="00B72440" w:rsidR="004712C4" w:rsidP="004712C4" w:rsidRDefault="004712C4" w14:paraId="65EAE38F" w14:textId="77777777">
            <w:pPr>
              <w:spacing w:after="160" w:line="259" w:lineRule="auto"/>
              <w:rPr>
                <w:iCs/>
                <w:sz w:val="22"/>
                <w:szCs w:val="22"/>
              </w:rPr>
            </w:pPr>
            <w:r w:rsidRPr="00B72440">
              <w:rPr>
                <w:iCs/>
                <w:sz w:val="22"/>
                <w:szCs w:val="22"/>
              </w:rPr>
              <w:t>Total</w:t>
            </w:r>
          </w:p>
        </w:tc>
        <w:tc>
          <w:tcPr>
            <w:tcW w:w="1927" w:type="dxa"/>
          </w:tcPr>
          <w:p w:rsidRPr="00B72440" w:rsidR="004712C4" w:rsidP="004712C4" w:rsidRDefault="004712C4" w14:paraId="7F28DB8F" w14:textId="23EE0E80">
            <w:pPr>
              <w:spacing w:after="160" w:line="259" w:lineRule="auto"/>
              <w:rPr>
                <w:iCs/>
                <w:sz w:val="22"/>
                <w:szCs w:val="22"/>
              </w:rPr>
            </w:pPr>
          </w:p>
        </w:tc>
        <w:tc>
          <w:tcPr>
            <w:tcW w:w="1928" w:type="dxa"/>
          </w:tcPr>
          <w:p w:rsidRPr="00B72440" w:rsidR="004712C4" w:rsidP="004712C4" w:rsidRDefault="00EF07B0" w14:paraId="5D7BEB64" w14:textId="0BAF4634">
            <w:pPr>
              <w:spacing w:after="160" w:line="259" w:lineRule="auto"/>
              <w:rPr>
                <w:iCs/>
                <w:sz w:val="22"/>
                <w:szCs w:val="22"/>
              </w:rPr>
            </w:pPr>
            <w:r w:rsidRPr="00B72440">
              <w:rPr>
                <w:iCs/>
                <w:sz w:val="22"/>
                <w:szCs w:val="22"/>
              </w:rPr>
              <w:t>1,</w:t>
            </w:r>
            <w:r w:rsidR="00F548B1">
              <w:rPr>
                <w:iCs/>
                <w:sz w:val="22"/>
                <w:szCs w:val="22"/>
              </w:rPr>
              <w:t>60</w:t>
            </w:r>
            <w:r w:rsidRPr="00B72440" w:rsidR="00F548B1">
              <w:rPr>
                <w:iCs/>
                <w:sz w:val="22"/>
                <w:szCs w:val="22"/>
              </w:rPr>
              <w:t>0</w:t>
            </w:r>
          </w:p>
        </w:tc>
        <w:tc>
          <w:tcPr>
            <w:tcW w:w="1928" w:type="dxa"/>
            <w:shd w:val="clear" w:color="auto" w:fill="D9D9D9" w:themeFill="background1" w:themeFillShade="D9"/>
          </w:tcPr>
          <w:p w:rsidRPr="00B72440" w:rsidR="004712C4" w:rsidP="004712C4" w:rsidRDefault="004712C4" w14:paraId="760251A3" w14:textId="2AFC9D84">
            <w:pPr>
              <w:spacing w:after="160" w:line="259" w:lineRule="auto"/>
              <w:rPr>
                <w:iCs/>
                <w:sz w:val="22"/>
                <w:szCs w:val="22"/>
              </w:rPr>
            </w:pPr>
          </w:p>
        </w:tc>
        <w:tc>
          <w:tcPr>
            <w:tcW w:w="1928" w:type="dxa"/>
          </w:tcPr>
          <w:p w:rsidRPr="00B72440" w:rsidR="004712C4" w:rsidP="004712C4" w:rsidRDefault="00F548B1" w14:paraId="5202D326" w14:textId="5E24F030">
            <w:pPr>
              <w:spacing w:after="160" w:line="259" w:lineRule="auto"/>
              <w:rPr>
                <w:iCs/>
                <w:sz w:val="22"/>
                <w:szCs w:val="22"/>
              </w:rPr>
            </w:pPr>
            <w:r>
              <w:rPr>
                <w:iCs/>
                <w:sz w:val="22"/>
                <w:szCs w:val="22"/>
              </w:rPr>
              <w:t>417</w:t>
            </w:r>
          </w:p>
        </w:tc>
      </w:tr>
    </w:tbl>
    <w:p w:rsidR="005C4013" w:rsidP="0086248B" w:rsidRDefault="005C4013" w14:paraId="4D789855" w14:textId="7EAF0157">
      <w:pPr>
        <w:spacing w:after="0" w:line="240" w:lineRule="auto"/>
        <w:rPr>
          <w:rFonts w:eastAsia="Times New Roman" w:cs="Times New Roman"/>
          <w:b/>
          <w:smallCaps/>
          <w:color w:val="000000" w:themeColor="text1"/>
        </w:rPr>
      </w:pPr>
    </w:p>
    <w:p w:rsidR="00817EC7" w:rsidP="0086248B" w:rsidRDefault="00817EC7" w14:paraId="1AD35354" w14:textId="38308692">
      <w:pPr>
        <w:spacing w:after="0" w:line="240" w:lineRule="auto"/>
        <w:rPr>
          <w:rFonts w:eastAsia="Times New Roman" w:cs="Times New Roman"/>
          <w:b/>
          <w:smallCaps/>
          <w:color w:val="000000" w:themeColor="text1"/>
        </w:rPr>
      </w:pPr>
    </w:p>
    <w:p w:rsidR="00817EC7" w:rsidP="0086248B" w:rsidRDefault="00817EC7" w14:paraId="38A76CB3" w14:textId="0A01EAD1">
      <w:pPr>
        <w:spacing w:after="0" w:line="240" w:lineRule="auto"/>
        <w:rPr>
          <w:rFonts w:eastAsia="Times New Roman" w:cs="Times New Roman"/>
          <w:b/>
          <w:smallCaps/>
          <w:color w:val="000000" w:themeColor="text1"/>
        </w:rPr>
      </w:pPr>
    </w:p>
    <w:p w:rsidR="00817EC7" w:rsidP="0086248B" w:rsidRDefault="00817EC7" w14:paraId="069A1AF6" w14:textId="77777777">
      <w:pPr>
        <w:spacing w:after="0" w:line="240" w:lineRule="auto"/>
        <w:rPr>
          <w:rFonts w:eastAsia="Times New Roman" w:cs="Times New Roman"/>
          <w:b/>
          <w:smallCaps/>
          <w:color w:val="000000" w:themeColor="text1"/>
        </w:rPr>
      </w:pPr>
    </w:p>
    <w:p w:rsidR="00BF491C" w:rsidP="007D609D" w:rsidRDefault="005C4013" w14:paraId="589DBFB3" w14:textId="1D394FC2">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Pr="007D609D" w:rsidR="00057750" w:rsidP="007D609D" w:rsidRDefault="00A70829" w14:paraId="2BE406E2" w14:textId="0B0E7C36">
      <w:r>
        <w:rPr>
          <w:iCs/>
        </w:rPr>
        <w:t>According to the</w:t>
      </w:r>
      <w:r w:rsidR="000E01DE">
        <w:rPr>
          <w:iCs/>
        </w:rPr>
        <w:t xml:space="preserve"> Bureau of Labor Statistics May 2019 National Occupational Employment and Wage Estimates for the United States, the </w:t>
      </w:r>
      <w:r>
        <w:rPr>
          <w:iCs/>
        </w:rPr>
        <w:t>m</w:t>
      </w:r>
      <w:r>
        <w:t xml:space="preserve">ean hourly wage </w:t>
      </w:r>
      <w:r w:rsidR="00AF3389">
        <w:t xml:space="preserve">for </w:t>
      </w:r>
      <w:r w:rsidR="000E01DE">
        <w:t xml:space="preserve">a </w:t>
      </w:r>
      <w:r>
        <w:t xml:space="preserve">Life Scientist </w:t>
      </w:r>
      <w:r w:rsidR="000E01DE">
        <w:t xml:space="preserve">is $42.68. </w:t>
      </w:r>
      <w:r w:rsidR="00057750">
        <w:t>T</w:t>
      </w:r>
      <w:r w:rsidRPr="00F72840" w:rsidR="00F72840">
        <w:rPr>
          <w:iCs/>
        </w:rPr>
        <w:t xml:space="preserve">his number was used to calculate the annualized costs to respondents. Based on an estimate of </w:t>
      </w:r>
      <w:r w:rsidR="00192EA4">
        <w:rPr>
          <w:iCs/>
        </w:rPr>
        <w:t>1,</w:t>
      </w:r>
      <w:r w:rsidR="00A41DA9">
        <w:rPr>
          <w:iCs/>
        </w:rPr>
        <w:t>600</w:t>
      </w:r>
      <w:r w:rsidRPr="00F72840" w:rsidR="00A41DA9">
        <w:rPr>
          <w:iCs/>
        </w:rPr>
        <w:t xml:space="preserve"> </w:t>
      </w:r>
      <w:r w:rsidRPr="00F72840" w:rsidR="00F72840">
        <w:rPr>
          <w:iCs/>
        </w:rPr>
        <w:t xml:space="preserve">participants per year, and a total annual burden of </w:t>
      </w:r>
      <w:r w:rsidR="00A41DA9">
        <w:rPr>
          <w:iCs/>
        </w:rPr>
        <w:t xml:space="preserve">417 </w:t>
      </w:r>
      <w:r w:rsidRPr="00F72840" w:rsidR="00F72840">
        <w:rPr>
          <w:iCs/>
        </w:rPr>
        <w:t>hours, we estimate the total respondent cost to be $</w:t>
      </w:r>
      <w:r w:rsidR="000E478E">
        <w:rPr>
          <w:iCs/>
        </w:rPr>
        <w:t>17,797.56</w:t>
      </w:r>
      <w:r w:rsidRPr="00F72840" w:rsidR="00F72840">
        <w:rPr>
          <w:iCs/>
        </w:rPr>
        <w:t>.</w:t>
      </w:r>
    </w:p>
    <w:p w:rsidRPr="004C4835" w:rsidR="002C5D4F" w:rsidP="007D609D" w:rsidRDefault="00B93C77" w14:paraId="0EC0CC02" w14:textId="4B1A57C7">
      <w:pPr>
        <w:ind w:left="1440" w:firstLine="720"/>
      </w:pPr>
      <w:r>
        <w:t>Table 12-2 Annualized Cost to Respondents</w:t>
      </w: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B72440" w:rsidR="00986E5F" w:rsidTr="000E478E"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B72440" w:rsidR="00986E5F" w:rsidP="002C5D4F" w:rsidRDefault="00986E5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B72440" w:rsidR="00986E5F" w:rsidP="00190C83" w:rsidRDefault="00986E5F" w14:paraId="7F30ECE2" w14:textId="4F6B6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B72440" w:rsidR="00986E5F" w:rsidP="002C5D4F" w:rsidRDefault="00986E5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B72440" w:rsidR="00986E5F" w:rsidP="002C5D4F" w:rsidRDefault="00986E5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Respondent Cost</w:t>
            </w:r>
          </w:p>
        </w:tc>
      </w:tr>
      <w:tr w:rsidRPr="00B72440" w:rsidR="00986E5F" w:rsidTr="000E478E"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vAlign w:val="center"/>
          </w:tcPr>
          <w:p w:rsidRPr="00B72440" w:rsidR="00986E5F" w:rsidP="00EE4389" w:rsidRDefault="00986E5F" w14:paraId="06B5BA53" w14:textId="719288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cs="Times New Roman"/>
                <w:iCs/>
              </w:rPr>
              <w:t>Investigators</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B72440" w:rsidR="00986E5F" w:rsidP="00EE4389" w:rsidRDefault="00986E5F" w14:paraId="04B9C25F" w14:textId="6A5828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417</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B72440" w:rsidR="00986E5F" w:rsidP="00EE4389" w:rsidRDefault="00986E5F" w14:paraId="65625D2C" w14:textId="2F660C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$4</w:t>
            </w:r>
            <w:r w:rsidR="0068622E">
              <w:rPr>
                <w:rFonts w:ascii="Times New Roman" w:hAnsi="Times New Roman" w:eastAsia="Times New Roman" w:cs="Times New Roman"/>
              </w:rPr>
              <w:t>2.68</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B72440" w:rsidR="00986E5F" w:rsidP="00EE4389" w:rsidRDefault="00986E5F" w14:paraId="7413D236" w14:textId="5CB05E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w:t>
            </w:r>
            <w:r w:rsidR="0068622E">
              <w:rPr>
                <w:rFonts w:ascii="Times New Roman" w:hAnsi="Times New Roman" w:eastAsia="Times New Roman" w:cs="Times New Roman"/>
              </w:rPr>
              <w:t xml:space="preserve">17,797.56 </w:t>
            </w:r>
          </w:p>
          <w:p w:rsidRPr="00B72440" w:rsidR="00986E5F" w:rsidP="00EE4389" w:rsidRDefault="00986E5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p>
        </w:tc>
      </w:tr>
      <w:tr w:rsidRPr="00B72440" w:rsidR="00986E5F" w:rsidTr="000E478E"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B72440" w:rsidR="00986E5F" w:rsidP="002C5D4F" w:rsidRDefault="00986E5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b/>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B72440" w:rsidR="00986E5F" w:rsidP="002C5D4F" w:rsidRDefault="00986E5F" w14:paraId="74804500" w14:textId="607DAC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417</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B72440" w:rsidR="00986E5F" w:rsidP="002C5D4F" w:rsidRDefault="00986E5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B72440" w:rsidR="00986E5F" w:rsidP="002C5D4F" w:rsidRDefault="00986E5F" w14:paraId="02F92F21" w14:textId="4317E1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w:t>
            </w:r>
            <w:r w:rsidR="0068622E">
              <w:rPr>
                <w:rFonts w:ascii="Times New Roman" w:hAnsi="Times New Roman" w:eastAsia="Times New Roman" w:cs="Times New Roman"/>
              </w:rPr>
              <w:t>17,797.56</w:t>
            </w:r>
          </w:p>
        </w:tc>
      </w:tr>
    </w:tbl>
    <w:p w:rsidR="00B93C77" w:rsidP="002C5D4F" w:rsidRDefault="00B93C77" w14:paraId="36349A2E" w14:textId="77777777">
      <w:pPr>
        <w:spacing w:after="0" w:line="240" w:lineRule="auto"/>
        <w:jc w:val="center"/>
        <w:rPr>
          <w:rFonts w:eastAsia="Times New Roman" w:cs="Times New Roman"/>
        </w:rPr>
      </w:pPr>
    </w:p>
    <w:p w:rsidRPr="009747F4" w:rsidR="00B93C77" w:rsidP="00FF72FC" w:rsidRDefault="00B31022" w14:paraId="1B0B9DAC" w14:textId="1A62F9A7">
      <w:pPr>
        <w:spacing w:after="0" w:line="240" w:lineRule="auto"/>
        <w:rPr>
          <w:rFonts w:ascii="Times New Roman" w:hAnsi="Times New Roman" w:eastAsia="Times New Roman" w:cs="Times New Roman"/>
          <w:sz w:val="16"/>
          <w:szCs w:val="16"/>
          <w:highlight w:val="yellow"/>
        </w:rPr>
      </w:pPr>
      <w:r>
        <w:rPr>
          <w:rFonts w:ascii="Times New Roman" w:hAnsi="Times New Roman" w:eastAsia="Times New Roman" w:cs="Times New Roman"/>
          <w:sz w:val="16"/>
          <w:szCs w:val="16"/>
        </w:rPr>
        <w:t>*</w:t>
      </w:r>
      <w:r w:rsidRPr="003251A0" w:rsidR="002C5D4F">
        <w:rPr>
          <w:rFonts w:ascii="Times New Roman" w:hAnsi="Times New Roman" w:eastAsia="Times New Roman" w:cs="Times New Roman"/>
          <w:sz w:val="16"/>
          <w:szCs w:val="16"/>
        </w:rPr>
        <w:t xml:space="preserve">Bureau of Labor Statistics: The </w:t>
      </w:r>
      <w:r w:rsidRPr="003251A0" w:rsidR="00057750">
        <w:rPr>
          <w:rFonts w:ascii="Times New Roman" w:hAnsi="Times New Roman" w:eastAsia="Times New Roman" w:cs="Times New Roman"/>
          <w:sz w:val="16"/>
          <w:szCs w:val="16"/>
        </w:rPr>
        <w:t xml:space="preserve">Life </w:t>
      </w:r>
      <w:r w:rsidRPr="003251A0" w:rsidR="00190737">
        <w:rPr>
          <w:rFonts w:ascii="Times New Roman" w:hAnsi="Times New Roman" w:eastAsia="Times New Roman" w:cs="Times New Roman"/>
          <w:sz w:val="16"/>
          <w:szCs w:val="16"/>
        </w:rPr>
        <w:t>Scientist</w:t>
      </w:r>
      <w:r w:rsidRPr="003251A0" w:rsidR="007D609D">
        <w:rPr>
          <w:rFonts w:ascii="Times New Roman" w:hAnsi="Times New Roman" w:eastAsia="Times New Roman" w:cs="Times New Roman"/>
          <w:sz w:val="16"/>
          <w:szCs w:val="16"/>
        </w:rPr>
        <w:t xml:space="preserve"> wage</w:t>
      </w:r>
      <w:r w:rsidRPr="003251A0" w:rsidR="002C5D4F">
        <w:rPr>
          <w:rFonts w:ascii="Times New Roman" w:hAnsi="Times New Roman" w:eastAsia="Times New Roman" w:cs="Times New Roman"/>
          <w:sz w:val="16"/>
          <w:szCs w:val="16"/>
        </w:rPr>
        <w:t xml:space="preserve"> rate was obtained from </w:t>
      </w:r>
      <w:hyperlink w:history="1" w:anchor="19-0000" r:id="rId13">
        <w:r w:rsidRPr="00AF3274" w:rsidR="00190737">
          <w:rPr>
            <w:rStyle w:val="Hyperlink"/>
            <w:rFonts w:ascii="Times New Roman" w:hAnsi="Times New Roman" w:eastAsia="Times New Roman" w:cs="Times New Roman"/>
            <w:sz w:val="16"/>
            <w:szCs w:val="16"/>
          </w:rPr>
          <w:t>https://www.bls.gov/oes/2019/may/oes_nat.htm#19-0000</w:t>
        </w:r>
      </w:hyperlink>
      <w:r w:rsidR="00190737">
        <w:rPr>
          <w:rFonts w:ascii="Times New Roman" w:hAnsi="Times New Roman" w:eastAsia="Times New Roman" w:cs="Times New Roman"/>
          <w:sz w:val="16"/>
          <w:szCs w:val="16"/>
        </w:rPr>
        <w:t>. Occupation title “</w:t>
      </w:r>
      <w:r w:rsidR="007D609D">
        <w:rPr>
          <w:rFonts w:ascii="Times New Roman" w:hAnsi="Times New Roman" w:eastAsia="Times New Roman" w:cs="Times New Roman"/>
          <w:sz w:val="16"/>
          <w:szCs w:val="16"/>
        </w:rPr>
        <w:t>Life Scientists,” occupation code 19-1000.</w:t>
      </w:r>
    </w:p>
    <w:p w:rsidRPr="00B31022" w:rsidR="00B93C77" w:rsidP="00FF72FC" w:rsidRDefault="00B93C77" w14:paraId="2578B318" w14:textId="77777777">
      <w:pPr>
        <w:spacing w:after="0" w:line="240" w:lineRule="auto"/>
        <w:rPr>
          <w:rFonts w:ascii="Times New Roman" w:hAnsi="Times New Roman" w:eastAsia="Times New Roman" w:cs="Times New Roman"/>
          <w:sz w:val="16"/>
          <w:szCs w:val="16"/>
        </w:rPr>
      </w:pPr>
    </w:p>
    <w:p w:rsidRPr="00CF36BD" w:rsidR="00B93C77" w:rsidP="00FF72FC" w:rsidRDefault="00B93C77" w14:paraId="227B63D5" w14:textId="77777777">
      <w:pPr>
        <w:spacing w:after="0" w:line="240" w:lineRule="auto"/>
        <w:rPr>
          <w:rFonts w:eastAsia="Times New Roman" w:cs="Times New Roman"/>
        </w:rPr>
      </w:pPr>
    </w:p>
    <w:p w:rsidRPr="00E35DD1" w:rsidR="00FF72FC" w:rsidP="00FF72FC" w:rsidRDefault="00FF72FC" w14:paraId="72B19A1F" w14:textId="77777777">
      <w:pPr>
        <w:rPr>
          <w:b/>
        </w:rPr>
      </w:pPr>
      <w:r w:rsidRPr="00E35DD1">
        <w:rPr>
          <w:b/>
        </w:rPr>
        <w:t>A.13</w:t>
      </w:r>
      <w:r w:rsidRPr="00E35DD1">
        <w:rPr>
          <w:b/>
        </w:rPr>
        <w:tab/>
        <w:t>Estimate of Other Total Annual Cost Burden to Respondents or Record Keepers</w:t>
      </w:r>
    </w:p>
    <w:p w:rsidRPr="004703E7" w:rsidR="004703E7" w:rsidP="00FF72FC" w:rsidRDefault="004703E7" w14:paraId="3357AB10" w14:textId="269FD21B">
      <w:pPr>
        <w:rPr>
          <w:iCs/>
        </w:rPr>
      </w:pPr>
      <w:r w:rsidRPr="004703E7">
        <w:rPr>
          <w:iCs/>
        </w:rPr>
        <w:t>There are no additional cost burdens to respondents other than those described in section A.</w:t>
      </w:r>
    </w:p>
    <w:p w:rsidRPr="005C4013" w:rsidR="00FF72FC" w:rsidP="00FF72FC" w:rsidRDefault="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Pr="0037291F" w:rsidR="0037291F" w:rsidP="0037291F" w:rsidRDefault="0037291F" w14:paraId="0DBBBAA0"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W w:w="9627" w:type="dxa"/>
        <w:jc w:val="center"/>
        <w:tblCellMar>
          <w:left w:w="0" w:type="dxa"/>
          <w:right w:w="0" w:type="dxa"/>
        </w:tblCellMar>
        <w:tblLook w:val="04A0" w:firstRow="1" w:lastRow="0" w:firstColumn="1" w:lastColumn="0" w:noHBand="0" w:noVBand="1"/>
      </w:tblPr>
      <w:tblGrid>
        <w:gridCol w:w="3050"/>
        <w:gridCol w:w="1350"/>
        <w:gridCol w:w="1260"/>
        <w:gridCol w:w="1170"/>
        <w:gridCol w:w="1350"/>
        <w:gridCol w:w="1447"/>
      </w:tblGrid>
      <w:tr w:rsidRPr="00B72440" w:rsidR="000E478E" w:rsidTr="000E478E" w14:paraId="50454038" w14:textId="77777777">
        <w:trPr>
          <w:trHeight w:val="762"/>
          <w:jc w:val="center"/>
        </w:trPr>
        <w:tc>
          <w:tcPr>
            <w:tcW w:w="305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72440" w:rsidR="0037291F" w:rsidP="0037291F" w:rsidRDefault="0037291F" w14:paraId="75F33ACD" w14:textId="77777777">
            <w:pPr>
              <w:spacing w:after="0" w:line="240" w:lineRule="auto"/>
              <w:jc w:val="center"/>
              <w:rPr>
                <w:rFonts w:ascii="Times New Roman" w:hAnsi="Times New Roman" w:eastAsia="Calibri" w:cs="Times New Roman"/>
                <w:b/>
                <w:bCs/>
                <w:color w:val="000000"/>
              </w:rPr>
            </w:pPr>
            <w:r w:rsidRPr="00B72440">
              <w:rPr>
                <w:rFonts w:ascii="Times New Roman" w:hAnsi="Times New Roman" w:eastAsia="Times New Roman" w:cs="Times New Roman"/>
                <w:i/>
              </w:rPr>
              <w:t xml:space="preserve"> </w:t>
            </w:r>
            <w:r w:rsidRPr="00B72440" w:rsidR="00195414">
              <w:rPr>
                <w:rFonts w:ascii="Times New Roman" w:hAnsi="Times New Roman" w:eastAsia="Times New Roman" w:cs="Times New Roman"/>
                <w:b/>
                <w:bCs/>
                <w:color w:val="000000"/>
              </w:rPr>
              <w:t>Cost Descriptions</w:t>
            </w:r>
          </w:p>
        </w:tc>
        <w:tc>
          <w:tcPr>
            <w:tcW w:w="1350" w:type="dxa"/>
            <w:tcBorders>
              <w:top w:val="single" w:color="auto" w:sz="8" w:space="0"/>
              <w:left w:val="nil"/>
              <w:bottom w:val="single" w:color="auto" w:sz="8" w:space="0"/>
              <w:right w:val="single" w:color="auto" w:sz="8" w:space="0"/>
            </w:tcBorders>
            <w:shd w:val="clear" w:color="auto" w:fill="auto"/>
            <w:vAlign w:val="bottom"/>
          </w:tcPr>
          <w:p w:rsidRPr="00B72440" w:rsidR="0037291F" w:rsidP="000E478E" w:rsidRDefault="0037291F" w14:paraId="0F23D0E6" w14:textId="77777777">
            <w:pPr>
              <w:spacing w:after="0" w:line="240" w:lineRule="auto"/>
              <w:jc w:val="center"/>
              <w:rPr>
                <w:rFonts w:ascii="Times New Roman" w:hAnsi="Times New Roman" w:eastAsia="Calibri" w:cs="Times New Roman"/>
                <w:b/>
                <w:bCs/>
                <w:color w:val="1F497D"/>
              </w:rPr>
            </w:pPr>
          </w:p>
          <w:p w:rsidRPr="00B72440" w:rsidR="0037291F" w:rsidRDefault="0037291F" w14:paraId="6C11B5EF" w14:textId="77777777">
            <w:pPr>
              <w:spacing w:after="0" w:line="240" w:lineRule="auto"/>
              <w:jc w:val="center"/>
              <w:rPr>
                <w:rFonts w:ascii="Times New Roman" w:hAnsi="Times New Roman" w:eastAsia="Calibri" w:cs="Times New Roman"/>
                <w:b/>
                <w:bCs/>
                <w:color w:val="000000"/>
              </w:rPr>
            </w:pPr>
            <w:r w:rsidRPr="00B72440">
              <w:rPr>
                <w:rFonts w:ascii="Times New Roman" w:hAnsi="Times New Roman" w:eastAsia="Times New Roman" w:cs="Times New Roman"/>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72440" w:rsidR="0037291F" w:rsidRDefault="0037291F" w14:paraId="7E7D7C5E" w14:textId="02C02F3A">
            <w:pPr>
              <w:spacing w:after="0" w:line="240" w:lineRule="auto"/>
              <w:jc w:val="center"/>
              <w:rPr>
                <w:rFonts w:ascii="Times New Roman" w:hAnsi="Times New Roman" w:eastAsia="Calibri" w:cs="Times New Roman"/>
                <w:b/>
                <w:bCs/>
              </w:rPr>
            </w:pPr>
            <w:r w:rsidRPr="00B72440">
              <w:rPr>
                <w:rFonts w:ascii="Times New Roman" w:hAnsi="Times New Roman" w:eastAsia="Times New Roman" w:cs="Times New Roman"/>
                <w:b/>
                <w:bCs/>
              </w:rPr>
              <w:t>Salary</w:t>
            </w:r>
            <w:r w:rsidRPr="00B72440" w:rsidR="00364334">
              <w:rPr>
                <w:rFonts w:ascii="Times New Roman" w:hAnsi="Times New Roman" w:eastAsia="Times New Roman" w:cs="Times New Roman"/>
                <w:b/>
                <w:bCs/>
              </w:rPr>
              <w:t>*</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72440" w:rsidR="0037291F" w:rsidRDefault="0037291F" w14:paraId="2F192DBE" w14:textId="77777777">
            <w:pPr>
              <w:spacing w:after="0" w:line="240" w:lineRule="auto"/>
              <w:jc w:val="center"/>
              <w:rPr>
                <w:rFonts w:ascii="Times New Roman" w:hAnsi="Times New Roman" w:eastAsia="Calibri" w:cs="Times New Roman"/>
                <w:b/>
                <w:bCs/>
              </w:rPr>
            </w:pPr>
            <w:r w:rsidRPr="00B72440">
              <w:rPr>
                <w:rFonts w:ascii="Times New Roman" w:hAnsi="Times New Roman" w:eastAsia="Times New Roman" w:cs="Times New Roman"/>
                <w:b/>
                <w:bCs/>
              </w:rPr>
              <w:t>% of Effort</w:t>
            </w:r>
          </w:p>
        </w:tc>
        <w:tc>
          <w:tcPr>
            <w:tcW w:w="1350" w:type="dxa"/>
            <w:tcBorders>
              <w:top w:val="single" w:color="auto" w:sz="8" w:space="0"/>
              <w:left w:val="nil"/>
              <w:bottom w:val="single" w:color="auto" w:sz="8" w:space="0"/>
              <w:right w:val="single" w:color="auto" w:sz="8" w:space="0"/>
            </w:tcBorders>
            <w:shd w:val="clear" w:color="auto" w:fill="auto"/>
          </w:tcPr>
          <w:p w:rsidRPr="00B72440" w:rsidR="0037291F" w:rsidP="0037291F" w:rsidRDefault="0037291F" w14:paraId="73FC94C8" w14:textId="77777777">
            <w:pPr>
              <w:spacing w:after="0" w:line="240" w:lineRule="auto"/>
              <w:jc w:val="center"/>
              <w:rPr>
                <w:rFonts w:ascii="Times New Roman" w:hAnsi="Times New Roman" w:eastAsia="Times New Roman" w:cs="Times New Roman"/>
                <w:b/>
                <w:bCs/>
              </w:rPr>
            </w:pPr>
            <w:r w:rsidRPr="00B72440">
              <w:rPr>
                <w:rFonts w:ascii="Times New Roman" w:hAnsi="Times New Roman" w:eastAsia="Times New Roman" w:cs="Times New Roman"/>
                <w:b/>
                <w:bCs/>
              </w:rPr>
              <w:t>Fringe (if applicable)</w:t>
            </w:r>
          </w:p>
        </w:tc>
        <w:tc>
          <w:tcPr>
            <w:tcW w:w="1447" w:type="dxa"/>
            <w:tcBorders>
              <w:top w:val="single" w:color="auto" w:sz="8" w:space="0"/>
              <w:left w:val="nil"/>
              <w:bottom w:val="single" w:color="auto" w:sz="8" w:space="0"/>
              <w:right w:val="single" w:color="auto" w:sz="8" w:space="0"/>
            </w:tcBorders>
            <w:shd w:val="clear" w:color="auto" w:fill="auto"/>
          </w:tcPr>
          <w:p w:rsidRPr="00B72440" w:rsidR="0037291F" w:rsidP="000E478E" w:rsidRDefault="0037291F" w14:paraId="3BE4B6CA" w14:textId="77777777">
            <w:pPr>
              <w:spacing w:after="0" w:line="240" w:lineRule="auto"/>
              <w:jc w:val="center"/>
              <w:rPr>
                <w:rFonts w:ascii="Times New Roman" w:hAnsi="Times New Roman" w:eastAsia="Times New Roman" w:cs="Times New Roman"/>
                <w:b/>
                <w:bCs/>
              </w:rPr>
            </w:pPr>
            <w:r w:rsidRPr="00B72440">
              <w:rPr>
                <w:rFonts w:ascii="Times New Roman" w:hAnsi="Times New Roman" w:eastAsia="Times New Roman" w:cs="Times New Roman"/>
                <w:b/>
                <w:bCs/>
              </w:rPr>
              <w:t>Total Cost to Gov’t</w:t>
            </w:r>
          </w:p>
        </w:tc>
      </w:tr>
      <w:tr w:rsidRPr="00B72440" w:rsidR="000E478E" w:rsidTr="000E478E" w14:paraId="4575CF15"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37291F" w:rsidP="0037291F" w:rsidRDefault="0037291F" w14:paraId="0BBD8036" w14:textId="77777777">
            <w:pPr>
              <w:spacing w:after="0" w:line="240" w:lineRule="auto"/>
              <w:rPr>
                <w:rFonts w:ascii="Times New Roman" w:hAnsi="Times New Roman" w:eastAsia="Calibri" w:cs="Times New Roman"/>
                <w:b/>
                <w:color w:val="000000"/>
                <w:highlight w:val="yellow"/>
              </w:rPr>
            </w:pPr>
            <w:r w:rsidRPr="00B72440">
              <w:rPr>
                <w:rFonts w:ascii="Times New Roman" w:hAnsi="Times New Roman" w:eastAsia="Calibri" w:cs="Times New Roman"/>
                <w:b/>
                <w:color w:val="000000"/>
              </w:rPr>
              <w:t>Federal Oversight</w:t>
            </w:r>
          </w:p>
        </w:tc>
        <w:tc>
          <w:tcPr>
            <w:tcW w:w="1350" w:type="dxa"/>
            <w:tcBorders>
              <w:top w:val="nil"/>
              <w:left w:val="nil"/>
              <w:bottom w:val="single" w:color="auto" w:sz="8" w:space="0"/>
              <w:right w:val="single" w:color="auto" w:sz="8" w:space="0"/>
            </w:tcBorders>
          </w:tcPr>
          <w:p w:rsidRPr="00B72440" w:rsidR="0037291F" w:rsidP="000E478E" w:rsidRDefault="0037291F" w14:paraId="7FEC3F40" w14:textId="77777777">
            <w:pPr>
              <w:spacing w:after="0" w:line="240" w:lineRule="auto"/>
              <w:jc w:val="center"/>
              <w:rPr>
                <w:rFonts w:ascii="Times New Roman" w:hAnsi="Times New Roman" w:eastAsia="Calibri" w:cs="Times New Roman"/>
                <w:color w:val="000000"/>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37291F" w:rsidP="000E478E" w:rsidRDefault="0037291F" w14:paraId="25437DD3" w14:textId="77777777">
            <w:pPr>
              <w:spacing w:after="0" w:line="240" w:lineRule="auto"/>
              <w:jc w:val="center"/>
              <w:rPr>
                <w:rFonts w:ascii="Times New Roman" w:hAnsi="Times New Roman" w:eastAsia="Times New Roman" w:cs="Times New Roman"/>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37291F" w:rsidP="000E478E" w:rsidRDefault="0037291F" w14:paraId="293EDFFF" w14:textId="77777777">
            <w:pPr>
              <w:spacing w:after="0" w:line="240" w:lineRule="auto"/>
              <w:jc w:val="center"/>
              <w:rPr>
                <w:rFonts w:ascii="Times New Roman" w:hAnsi="Times New Roman" w:eastAsia="Times New Roman" w:cs="Times New Roman"/>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37291F" w:rsidP="0037291F" w:rsidRDefault="0037291F" w14:paraId="6C23F308"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37291F" w:rsidP="000E478E" w:rsidRDefault="0037291F" w14:paraId="3A2F58FE" w14:textId="77777777">
            <w:pPr>
              <w:spacing w:after="0" w:line="240" w:lineRule="auto"/>
              <w:jc w:val="center"/>
              <w:rPr>
                <w:rFonts w:ascii="Times New Roman" w:hAnsi="Times New Roman" w:eastAsia="Times New Roman" w:cs="Times New Roman"/>
              </w:rPr>
            </w:pPr>
          </w:p>
        </w:tc>
      </w:tr>
      <w:tr w:rsidRPr="00B72440" w:rsidR="000E478E" w:rsidTr="000E478E" w14:paraId="27551A65"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B72440" w:rsidR="004703E7" w:rsidP="00221A83" w:rsidRDefault="004703E7" w14:paraId="5396250E" w14:textId="7857F275">
            <w:pPr>
              <w:spacing w:after="0" w:line="240" w:lineRule="auto"/>
              <w:rPr>
                <w:rFonts w:ascii="Times New Roman" w:hAnsi="Times New Roman" w:eastAsia="Calibri" w:cs="Times New Roman"/>
              </w:rPr>
            </w:pPr>
            <w:r w:rsidRPr="00B72440">
              <w:rPr>
                <w:rFonts w:ascii="Times New Roman" w:hAnsi="Times New Roman" w:eastAsia="Calibri" w:cs="Times New Roman"/>
              </w:rPr>
              <w:t>PRES Administrator/Support</w:t>
            </w:r>
          </w:p>
        </w:tc>
        <w:tc>
          <w:tcPr>
            <w:tcW w:w="1350" w:type="dxa"/>
            <w:tcBorders>
              <w:top w:val="nil"/>
              <w:left w:val="nil"/>
              <w:bottom w:val="single" w:color="auto" w:sz="8" w:space="0"/>
              <w:right w:val="single" w:color="auto" w:sz="8" w:space="0"/>
            </w:tcBorders>
            <w:vAlign w:val="center"/>
          </w:tcPr>
          <w:p w:rsidRPr="00B72440" w:rsidR="004703E7" w:rsidP="000E478E" w:rsidRDefault="004703E7" w14:paraId="42186E6A" w14:textId="60FD67B1">
            <w:pPr>
              <w:spacing w:after="0" w:line="240" w:lineRule="auto"/>
              <w:jc w:val="center"/>
              <w:rPr>
                <w:rFonts w:ascii="Times New Roman" w:hAnsi="Times New Roman" w:eastAsia="Calibri" w:cs="Times New Roman"/>
              </w:rPr>
            </w:pPr>
            <w:r w:rsidRPr="00B72440">
              <w:rPr>
                <w:rFonts w:ascii="Times New Roman" w:hAnsi="Times New Roman" w:eastAsia="Calibri" w:cs="Times New Roman"/>
              </w:rPr>
              <w:t>GS13-07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B72440" w:rsidR="004703E7" w:rsidP="000E478E" w:rsidRDefault="004703E7" w14:paraId="3E50BAAA" w14:textId="661F700F">
            <w:pPr>
              <w:spacing w:after="0" w:line="240" w:lineRule="auto"/>
              <w:jc w:val="center"/>
              <w:rPr>
                <w:rFonts w:ascii="Times New Roman" w:hAnsi="Times New Roman" w:eastAsia="Calibri" w:cs="Times New Roman"/>
              </w:rPr>
            </w:pPr>
            <w:r w:rsidRPr="00B72440">
              <w:rPr>
                <w:rFonts w:ascii="Times New Roman" w:hAnsi="Times New Roman" w:eastAsia="Calibri" w:cs="Times New Roman"/>
              </w:rPr>
              <w:t>$119,006</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B72440" w:rsidR="004703E7" w:rsidP="000E478E" w:rsidRDefault="004703E7" w14:paraId="3A15E3A6" w14:textId="7E167B1A">
            <w:pPr>
              <w:spacing w:after="0" w:line="240" w:lineRule="auto"/>
              <w:jc w:val="center"/>
              <w:rPr>
                <w:rFonts w:ascii="Times New Roman" w:hAnsi="Times New Roman" w:eastAsia="Calibri" w:cs="Times New Roman"/>
              </w:rPr>
            </w:pPr>
            <w:r w:rsidRPr="00B72440">
              <w:rPr>
                <w:rFonts w:ascii="Times New Roman" w:hAnsi="Times New Roman" w:eastAsia="Calibri" w:cs="Times New Roman"/>
              </w:rPr>
              <w:t>25%</w:t>
            </w: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74CB339D"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vAlign w:val="center"/>
          </w:tcPr>
          <w:p w:rsidRPr="00B72440" w:rsidR="004703E7" w:rsidP="000E478E" w:rsidRDefault="00221A83" w14:paraId="328805D9" w14:textId="62A8FC3D">
            <w:pPr>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$29,752</w:t>
            </w:r>
          </w:p>
        </w:tc>
      </w:tr>
      <w:tr w:rsidRPr="00B72440" w:rsidR="000E478E" w:rsidTr="000E478E" w14:paraId="7A3F545A"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4703E7" w:rsidP="004703E7" w:rsidRDefault="004703E7" w14:paraId="06E24FE3" w14:textId="77777777">
            <w:pPr>
              <w:spacing w:after="0" w:line="240" w:lineRule="auto"/>
              <w:rPr>
                <w:rFonts w:ascii="Times New Roman" w:hAnsi="Times New Roman" w:eastAsia="Calibri" w:cs="Times New Roman"/>
              </w:rPr>
            </w:pPr>
          </w:p>
        </w:tc>
        <w:tc>
          <w:tcPr>
            <w:tcW w:w="1350" w:type="dxa"/>
            <w:tcBorders>
              <w:top w:val="nil"/>
              <w:left w:val="nil"/>
              <w:bottom w:val="single" w:color="auto" w:sz="8" w:space="0"/>
              <w:right w:val="single" w:color="auto" w:sz="8" w:space="0"/>
            </w:tcBorders>
          </w:tcPr>
          <w:p w:rsidRPr="00B72440" w:rsidR="004703E7" w:rsidP="000E478E" w:rsidRDefault="004703E7" w14:paraId="331F7DF9" w14:textId="77777777">
            <w:pPr>
              <w:spacing w:after="0" w:line="240" w:lineRule="auto"/>
              <w:jc w:val="center"/>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5A30905F" w14:textId="77777777">
            <w:pPr>
              <w:spacing w:after="0" w:line="240" w:lineRule="auto"/>
              <w:jc w:val="center"/>
              <w:rPr>
                <w:rFonts w:ascii="Times New Roman" w:hAnsi="Times New Roman" w:eastAsia="Calibri" w:cs="Times New Roman"/>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141F8154" w14:textId="77777777">
            <w:pPr>
              <w:spacing w:after="0" w:line="240" w:lineRule="auto"/>
              <w:jc w:val="center"/>
              <w:rPr>
                <w:rFonts w:ascii="Times New Roman" w:hAnsi="Times New Roman" w:eastAsia="Calibri" w:cs="Times New Roman"/>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17B12DD0"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4703E7" w:rsidP="000E478E" w:rsidRDefault="004703E7" w14:paraId="0337442E" w14:textId="77777777">
            <w:pPr>
              <w:spacing w:after="0" w:line="240" w:lineRule="auto"/>
              <w:jc w:val="center"/>
              <w:rPr>
                <w:rFonts w:ascii="Times New Roman" w:hAnsi="Times New Roman" w:eastAsia="Times New Roman" w:cs="Times New Roman"/>
              </w:rPr>
            </w:pPr>
          </w:p>
        </w:tc>
      </w:tr>
      <w:tr w:rsidRPr="00B72440" w:rsidR="000E478E" w:rsidTr="000E478E" w14:paraId="79F31A3C"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4703E7" w:rsidP="004703E7" w:rsidRDefault="004703E7" w14:paraId="6A93F103" w14:textId="77777777">
            <w:pPr>
              <w:spacing w:after="0" w:line="240" w:lineRule="auto"/>
              <w:rPr>
                <w:rFonts w:ascii="Times New Roman" w:hAnsi="Times New Roman" w:eastAsia="Calibri" w:cs="Times New Roman"/>
              </w:rPr>
            </w:pPr>
          </w:p>
        </w:tc>
        <w:tc>
          <w:tcPr>
            <w:tcW w:w="1350" w:type="dxa"/>
            <w:tcBorders>
              <w:top w:val="nil"/>
              <w:left w:val="nil"/>
              <w:bottom w:val="single" w:color="auto" w:sz="8" w:space="0"/>
              <w:right w:val="single" w:color="auto" w:sz="8" w:space="0"/>
            </w:tcBorders>
          </w:tcPr>
          <w:p w:rsidRPr="00B72440" w:rsidR="004703E7" w:rsidP="000E478E" w:rsidRDefault="004703E7" w14:paraId="4891FBA5" w14:textId="77777777">
            <w:pPr>
              <w:spacing w:after="0" w:line="240" w:lineRule="auto"/>
              <w:jc w:val="center"/>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236FD6F0" w14:textId="77777777">
            <w:pPr>
              <w:spacing w:after="0" w:line="240" w:lineRule="auto"/>
              <w:jc w:val="center"/>
              <w:rPr>
                <w:rFonts w:ascii="Times New Roman" w:hAnsi="Times New Roman" w:eastAsia="Calibri" w:cs="Times New Roman"/>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1495818B" w14:textId="77777777">
            <w:pPr>
              <w:spacing w:after="0" w:line="240" w:lineRule="auto"/>
              <w:jc w:val="center"/>
              <w:rPr>
                <w:rFonts w:ascii="Times New Roman" w:hAnsi="Times New Roman" w:eastAsia="Calibri" w:cs="Times New Roman"/>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4697687E"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4703E7" w:rsidP="000E478E" w:rsidRDefault="004703E7" w14:paraId="3990900D" w14:textId="77777777">
            <w:pPr>
              <w:spacing w:after="0" w:line="240" w:lineRule="auto"/>
              <w:jc w:val="center"/>
              <w:rPr>
                <w:rFonts w:ascii="Times New Roman" w:hAnsi="Times New Roman" w:eastAsia="Times New Roman" w:cs="Times New Roman"/>
              </w:rPr>
            </w:pPr>
          </w:p>
        </w:tc>
      </w:tr>
      <w:tr w:rsidRPr="00B72440" w:rsidR="000E478E" w:rsidTr="000E478E" w14:paraId="70D5FED2"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4703E7" w:rsidP="004703E7" w:rsidRDefault="004703E7" w14:paraId="7E4275FD" w14:textId="77777777">
            <w:pPr>
              <w:spacing w:after="0" w:line="240" w:lineRule="auto"/>
              <w:rPr>
                <w:rFonts w:ascii="Times New Roman" w:hAnsi="Times New Roman" w:eastAsia="Calibri" w:cs="Times New Roman"/>
                <w:b/>
              </w:rPr>
            </w:pPr>
            <w:r w:rsidRPr="00B72440">
              <w:rPr>
                <w:rFonts w:ascii="Times New Roman" w:hAnsi="Times New Roman" w:eastAsia="Calibri" w:cs="Times New Roman"/>
                <w:b/>
              </w:rPr>
              <w:t>Contractor Cost</w:t>
            </w: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0E478E" w:rsidRDefault="004703E7" w14:paraId="56B57766" w14:textId="77777777">
            <w:pPr>
              <w:spacing w:after="0" w:line="240" w:lineRule="auto"/>
              <w:jc w:val="center"/>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0AB27413" w14:textId="77777777">
            <w:pPr>
              <w:spacing w:after="0" w:line="240" w:lineRule="auto"/>
              <w:jc w:val="center"/>
              <w:rPr>
                <w:rFonts w:ascii="Times New Roman" w:hAnsi="Times New Roman" w:eastAsia="Calibri" w:cs="Times New Roman"/>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7B1BC594" w14:textId="77777777">
            <w:pPr>
              <w:spacing w:after="0" w:line="240" w:lineRule="auto"/>
              <w:jc w:val="center"/>
              <w:rPr>
                <w:rFonts w:ascii="Times New Roman" w:hAnsi="Times New Roman" w:eastAsia="Calibri" w:cs="Times New Roman"/>
              </w:rPr>
            </w:pPr>
          </w:p>
        </w:tc>
        <w:tc>
          <w:tcPr>
            <w:tcW w:w="1350" w:type="dxa"/>
            <w:tcBorders>
              <w:top w:val="nil"/>
              <w:left w:val="nil"/>
              <w:bottom w:val="single" w:color="auto" w:sz="8" w:space="0"/>
              <w:right w:val="single" w:color="auto" w:sz="8" w:space="0"/>
            </w:tcBorders>
          </w:tcPr>
          <w:p w:rsidRPr="00B72440" w:rsidR="004703E7" w:rsidP="004703E7" w:rsidRDefault="004703E7" w14:paraId="7377C64F"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4703E7" w:rsidP="000E478E" w:rsidRDefault="004703E7" w14:paraId="54FFB52A" w14:textId="77777777">
            <w:pPr>
              <w:spacing w:after="0" w:line="240" w:lineRule="auto"/>
              <w:jc w:val="center"/>
              <w:rPr>
                <w:rFonts w:ascii="Times New Roman" w:hAnsi="Times New Roman" w:eastAsia="Times New Roman" w:cs="Times New Roman"/>
              </w:rPr>
            </w:pPr>
          </w:p>
        </w:tc>
      </w:tr>
      <w:tr w:rsidRPr="00B72440" w:rsidR="000E478E" w:rsidTr="000E478E" w14:paraId="6D32B8B1"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4703E7" w:rsidP="004703E7" w:rsidRDefault="00221A83" w14:paraId="5C9DB413" w14:textId="32F63F03">
            <w:pPr>
              <w:spacing w:after="0" w:line="240" w:lineRule="auto"/>
              <w:rPr>
                <w:rFonts w:ascii="Times New Roman" w:hAnsi="Times New Roman" w:eastAsia="Calibri" w:cs="Times New Roman"/>
              </w:rPr>
            </w:pPr>
            <w:r w:rsidRPr="00B72440">
              <w:rPr>
                <w:rFonts w:ascii="Times New Roman" w:hAnsi="Times New Roman" w:eastAsia="Calibri" w:cs="Times New Roman"/>
              </w:rPr>
              <w:t>PRES Contract Total</w:t>
            </w:r>
          </w:p>
        </w:tc>
        <w:tc>
          <w:tcPr>
            <w:tcW w:w="1350" w:type="dxa"/>
            <w:tcBorders>
              <w:top w:val="nil"/>
              <w:left w:val="nil"/>
              <w:bottom w:val="single" w:color="auto" w:sz="8" w:space="0"/>
              <w:right w:val="single" w:color="auto" w:sz="8" w:space="0"/>
            </w:tcBorders>
          </w:tcPr>
          <w:p w:rsidRPr="00B72440" w:rsidR="004703E7" w:rsidP="000E478E" w:rsidRDefault="004703E7" w14:paraId="29122B6C" w14:textId="77777777">
            <w:pPr>
              <w:spacing w:after="0" w:line="240" w:lineRule="auto"/>
              <w:jc w:val="center"/>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3918A501" w14:textId="77777777">
            <w:pPr>
              <w:spacing w:after="0" w:line="240" w:lineRule="auto"/>
              <w:jc w:val="center"/>
              <w:rPr>
                <w:rFonts w:ascii="Times New Roman" w:hAnsi="Times New Roman" w:eastAsia="Calibri" w:cs="Times New Roman"/>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72440" w:rsidR="004703E7" w:rsidP="000E478E" w:rsidRDefault="004703E7" w14:paraId="017ED7E1" w14:textId="77777777">
            <w:pPr>
              <w:spacing w:after="0" w:line="240" w:lineRule="auto"/>
              <w:jc w:val="center"/>
              <w:rPr>
                <w:rFonts w:ascii="Times New Roman" w:hAnsi="Times New Roman" w:eastAsia="Calibri" w:cs="Times New Roman"/>
              </w:rPr>
            </w:pPr>
          </w:p>
        </w:tc>
        <w:tc>
          <w:tcPr>
            <w:tcW w:w="1350" w:type="dxa"/>
            <w:tcBorders>
              <w:top w:val="nil"/>
              <w:left w:val="nil"/>
              <w:bottom w:val="single" w:color="auto" w:sz="8" w:space="0"/>
              <w:right w:val="single" w:color="auto" w:sz="8" w:space="0"/>
            </w:tcBorders>
          </w:tcPr>
          <w:p w:rsidRPr="00B72440" w:rsidR="004703E7" w:rsidP="004703E7" w:rsidRDefault="004703E7" w14:paraId="7A2C9545"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4703E7" w:rsidP="000E478E" w:rsidRDefault="00E20370" w14:paraId="1B6783A9" w14:textId="54F36DFF">
            <w:pPr>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$108,000</w:t>
            </w:r>
          </w:p>
        </w:tc>
      </w:tr>
      <w:tr w:rsidRPr="00B72440" w:rsidR="000E478E" w:rsidTr="000E478E" w14:paraId="0C3AC42C"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4703E7" w:rsidP="004703E7" w:rsidRDefault="004703E7" w14:paraId="4DE45762" w14:textId="77777777">
            <w:pPr>
              <w:spacing w:after="0" w:line="240" w:lineRule="auto"/>
              <w:rPr>
                <w:rFonts w:ascii="Times New Roman" w:hAnsi="Times New Roman" w:eastAsia="Calibri" w:cs="Times New Roman"/>
              </w:rPr>
            </w:pPr>
            <w:r w:rsidRPr="00B72440">
              <w:rPr>
                <w:rFonts w:ascii="Times New Roman" w:hAnsi="Times New Roman" w:eastAsia="Calibri" w:cs="Times New Roman"/>
              </w:rPr>
              <w:t xml:space="preserve">Travel </w:t>
            </w: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4BF938D2"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72440" w:rsidR="004703E7" w:rsidP="004703E7" w:rsidRDefault="004703E7" w14:paraId="3305B18C" w14:textId="77777777">
            <w:pPr>
              <w:spacing w:after="0" w:line="240" w:lineRule="auto"/>
              <w:rPr>
                <w:rFonts w:ascii="Times New Roman" w:hAnsi="Times New Roman" w:eastAsia="Calibri" w:cs="Times New Roman"/>
              </w:rPr>
            </w:pPr>
          </w:p>
        </w:tc>
        <w:tc>
          <w:tcPr>
            <w:tcW w:w="11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72440" w:rsidR="004703E7" w:rsidP="004703E7" w:rsidRDefault="004703E7" w14:paraId="7C7918DA" w14:textId="77777777">
            <w:pPr>
              <w:spacing w:after="0" w:line="240" w:lineRule="auto"/>
              <w:rPr>
                <w:rFonts w:ascii="Times New Roman" w:hAnsi="Times New Roman" w:eastAsia="Calibri" w:cs="Times New Roman"/>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4CBB70F6"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4703E7" w:rsidP="000E478E" w:rsidRDefault="004703E7" w14:paraId="4DE95A51" w14:textId="77777777">
            <w:pPr>
              <w:spacing w:after="0" w:line="240" w:lineRule="auto"/>
              <w:jc w:val="center"/>
              <w:rPr>
                <w:rFonts w:ascii="Times New Roman" w:hAnsi="Times New Roman" w:eastAsia="Times New Roman" w:cs="Times New Roman"/>
              </w:rPr>
            </w:pPr>
          </w:p>
        </w:tc>
      </w:tr>
      <w:tr w:rsidRPr="00B72440" w:rsidR="000E478E" w:rsidTr="000E478E" w14:paraId="4AEBFF88"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72440" w:rsidR="004703E7" w:rsidP="004703E7" w:rsidRDefault="004703E7" w14:paraId="4584914B" w14:textId="77777777">
            <w:pPr>
              <w:spacing w:after="0" w:line="240" w:lineRule="auto"/>
              <w:rPr>
                <w:rFonts w:ascii="Times New Roman" w:hAnsi="Times New Roman" w:eastAsia="Calibri" w:cs="Times New Roman"/>
                <w:color w:val="1F497D"/>
                <w:highlight w:val="yellow"/>
              </w:rPr>
            </w:pPr>
            <w:r w:rsidRPr="00B72440">
              <w:rPr>
                <w:rFonts w:ascii="Times New Roman" w:hAnsi="Times New Roman" w:eastAsia="Calibri" w:cs="Times New Roman"/>
                <w:color w:val="000000"/>
              </w:rPr>
              <w:t>Other Cost</w:t>
            </w: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09C6C4C3" w14:textId="77777777">
            <w:pPr>
              <w:spacing w:after="0" w:line="240" w:lineRule="auto"/>
              <w:rPr>
                <w:rFonts w:ascii="Times New Roman" w:hAnsi="Times New Roman" w:eastAsia="Calibri" w:cs="Times New Roman"/>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72440" w:rsidR="004703E7" w:rsidP="004703E7" w:rsidRDefault="004703E7" w14:paraId="29773080" w14:textId="77777777">
            <w:pPr>
              <w:spacing w:after="0" w:line="240" w:lineRule="auto"/>
              <w:rPr>
                <w:rFonts w:ascii="Times New Roman" w:hAnsi="Times New Roman" w:eastAsia="Calibri" w:cs="Times New Roman"/>
              </w:rPr>
            </w:pPr>
          </w:p>
        </w:tc>
        <w:tc>
          <w:tcPr>
            <w:tcW w:w="11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72440" w:rsidR="004703E7" w:rsidP="004703E7" w:rsidRDefault="004703E7" w14:paraId="5C8C7929" w14:textId="77777777">
            <w:pPr>
              <w:spacing w:after="0" w:line="240" w:lineRule="auto"/>
              <w:rPr>
                <w:rFonts w:ascii="Times New Roman" w:hAnsi="Times New Roman" w:eastAsia="Calibri" w:cs="Times New Roman"/>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141111DC" w14:textId="77777777">
            <w:pPr>
              <w:spacing w:after="0" w:line="240" w:lineRule="auto"/>
              <w:rPr>
                <w:rFonts w:ascii="Times New Roman" w:hAnsi="Times New Roman" w:eastAsia="Calibri" w:cs="Times New Roman"/>
              </w:rPr>
            </w:pPr>
          </w:p>
        </w:tc>
        <w:tc>
          <w:tcPr>
            <w:tcW w:w="1447" w:type="dxa"/>
            <w:tcBorders>
              <w:top w:val="nil"/>
              <w:left w:val="nil"/>
              <w:bottom w:val="single" w:color="auto" w:sz="8" w:space="0"/>
              <w:right w:val="single" w:color="auto" w:sz="8" w:space="0"/>
            </w:tcBorders>
          </w:tcPr>
          <w:p w:rsidRPr="00B72440" w:rsidR="004703E7" w:rsidP="000E478E" w:rsidRDefault="004703E7" w14:paraId="6DE6D0FA" w14:textId="77777777">
            <w:pPr>
              <w:spacing w:after="0" w:line="240" w:lineRule="auto"/>
              <w:jc w:val="center"/>
              <w:rPr>
                <w:rFonts w:ascii="Times New Roman" w:hAnsi="Times New Roman" w:eastAsia="Calibri" w:cs="Times New Roman"/>
              </w:rPr>
            </w:pPr>
          </w:p>
        </w:tc>
      </w:tr>
      <w:tr w:rsidRPr="00B72440" w:rsidR="000E478E" w:rsidTr="000E478E" w14:paraId="776CCEBD"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72440" w:rsidR="004703E7" w:rsidP="004703E7" w:rsidRDefault="004703E7" w14:paraId="5AB6CFDC" w14:textId="77777777">
            <w:pPr>
              <w:spacing w:after="0" w:line="240" w:lineRule="auto"/>
              <w:rPr>
                <w:rFonts w:ascii="Times New Roman" w:hAnsi="Times New Roman" w:eastAsia="Calibri" w:cs="Times New Roman"/>
                <w:bCs/>
                <w:color w:val="000000"/>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32510164"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72440" w:rsidR="004703E7" w:rsidP="004703E7" w:rsidRDefault="004703E7" w14:paraId="68AF2454" w14:textId="77777777">
            <w:pPr>
              <w:spacing w:after="0" w:line="240" w:lineRule="auto"/>
              <w:rPr>
                <w:rFonts w:ascii="Times New Roman" w:hAnsi="Times New Roman" w:eastAsia="Times New Roman" w:cs="Times New Roman"/>
              </w:rPr>
            </w:pPr>
          </w:p>
        </w:tc>
        <w:tc>
          <w:tcPr>
            <w:tcW w:w="11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72440" w:rsidR="004703E7" w:rsidP="004703E7" w:rsidRDefault="004703E7" w14:paraId="2211A3E7" w14:textId="77777777">
            <w:pPr>
              <w:spacing w:after="0" w:line="240" w:lineRule="auto"/>
              <w:rPr>
                <w:rFonts w:ascii="Times New Roman" w:hAnsi="Times New Roman" w:eastAsia="Calibri" w:cs="Times New Roman"/>
                <w:b/>
              </w:rPr>
            </w:pPr>
          </w:p>
        </w:tc>
        <w:tc>
          <w:tcPr>
            <w:tcW w:w="1350" w:type="dxa"/>
            <w:tcBorders>
              <w:top w:val="nil"/>
              <w:left w:val="nil"/>
              <w:bottom w:val="single" w:color="auto" w:sz="8" w:space="0"/>
              <w:right w:val="single" w:color="auto" w:sz="8" w:space="0"/>
            </w:tcBorders>
            <w:shd w:val="clear" w:color="auto" w:fill="BFBFBF" w:themeFill="background1" w:themeFillShade="BF"/>
          </w:tcPr>
          <w:p w:rsidRPr="00B72440" w:rsidR="004703E7" w:rsidP="004703E7" w:rsidRDefault="004703E7" w14:paraId="19C99249" w14:textId="77777777">
            <w:pPr>
              <w:spacing w:after="0" w:line="240" w:lineRule="auto"/>
              <w:rPr>
                <w:rFonts w:ascii="Times New Roman" w:hAnsi="Times New Roman" w:eastAsia="Times New Roman" w:cs="Times New Roman"/>
                <w:b/>
              </w:rPr>
            </w:pPr>
          </w:p>
        </w:tc>
        <w:tc>
          <w:tcPr>
            <w:tcW w:w="1447" w:type="dxa"/>
            <w:tcBorders>
              <w:top w:val="nil"/>
              <w:left w:val="nil"/>
              <w:bottom w:val="single" w:color="auto" w:sz="8" w:space="0"/>
              <w:right w:val="single" w:color="auto" w:sz="8" w:space="0"/>
            </w:tcBorders>
          </w:tcPr>
          <w:p w:rsidRPr="00B72440" w:rsidR="004703E7" w:rsidP="000E478E" w:rsidRDefault="004703E7" w14:paraId="64FDCB4A" w14:textId="77777777">
            <w:pPr>
              <w:spacing w:after="0" w:line="240" w:lineRule="auto"/>
              <w:jc w:val="center"/>
              <w:rPr>
                <w:rFonts w:ascii="Times New Roman" w:hAnsi="Times New Roman" w:eastAsia="Times New Roman" w:cs="Times New Roman"/>
                <w:b/>
              </w:rPr>
            </w:pPr>
          </w:p>
        </w:tc>
      </w:tr>
      <w:tr w:rsidRPr="00B72440" w:rsidR="000E478E" w:rsidTr="000E478E" w14:paraId="7F34BEA2" w14:textId="77777777">
        <w:trPr>
          <w:trHeight w:val="254"/>
          <w:jc w:val="center"/>
        </w:trPr>
        <w:tc>
          <w:tcPr>
            <w:tcW w:w="30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72440" w:rsidR="004703E7" w:rsidP="004703E7" w:rsidRDefault="004703E7" w14:paraId="24442857" w14:textId="77777777">
            <w:pPr>
              <w:spacing w:after="0" w:line="240" w:lineRule="auto"/>
              <w:rPr>
                <w:rFonts w:ascii="Times New Roman" w:hAnsi="Times New Roman" w:eastAsia="Times New Roman" w:cs="Times New Roman"/>
                <w:b/>
              </w:rPr>
            </w:pPr>
            <w:r w:rsidRPr="00B72440">
              <w:rPr>
                <w:rFonts w:ascii="Times New Roman" w:hAnsi="Times New Roman" w:eastAsia="Times New Roman" w:cs="Times New Roman"/>
                <w:b/>
              </w:rPr>
              <w:t>Total</w:t>
            </w:r>
          </w:p>
        </w:tc>
        <w:tc>
          <w:tcPr>
            <w:tcW w:w="1350" w:type="dxa"/>
            <w:tcBorders>
              <w:top w:val="nil"/>
              <w:left w:val="nil"/>
              <w:bottom w:val="single" w:color="auto" w:sz="8" w:space="0"/>
              <w:right w:val="single" w:color="auto" w:sz="8" w:space="0"/>
            </w:tcBorders>
          </w:tcPr>
          <w:p w:rsidRPr="00B72440" w:rsidR="004703E7" w:rsidP="004703E7" w:rsidRDefault="004703E7" w14:paraId="65CC58DC"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72440" w:rsidR="004703E7" w:rsidP="004703E7" w:rsidRDefault="004703E7" w14:paraId="6B79E628" w14:textId="77777777">
            <w:pPr>
              <w:spacing w:after="0" w:line="240" w:lineRule="auto"/>
              <w:rPr>
                <w:rFonts w:ascii="Times New Roman" w:hAnsi="Times New Roman" w:eastAsia="Times New Roman" w:cs="Times New Roman"/>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72440" w:rsidR="004703E7" w:rsidP="004703E7" w:rsidRDefault="004703E7" w14:paraId="3E7F7E7F" w14:textId="77777777">
            <w:pPr>
              <w:spacing w:after="0" w:line="240" w:lineRule="auto"/>
              <w:rPr>
                <w:rFonts w:ascii="Times New Roman" w:hAnsi="Times New Roman" w:eastAsia="Times New Roman" w:cs="Times New Roman"/>
              </w:rPr>
            </w:pPr>
          </w:p>
        </w:tc>
        <w:tc>
          <w:tcPr>
            <w:tcW w:w="1350" w:type="dxa"/>
            <w:tcBorders>
              <w:top w:val="nil"/>
              <w:left w:val="nil"/>
              <w:bottom w:val="single" w:color="auto" w:sz="8" w:space="0"/>
              <w:right w:val="single" w:color="auto" w:sz="8" w:space="0"/>
            </w:tcBorders>
          </w:tcPr>
          <w:p w:rsidRPr="00B72440" w:rsidR="004703E7" w:rsidP="004703E7" w:rsidRDefault="004703E7" w14:paraId="3C24B29E" w14:textId="77777777">
            <w:pPr>
              <w:spacing w:after="0" w:line="240" w:lineRule="auto"/>
              <w:rPr>
                <w:rFonts w:ascii="Times New Roman" w:hAnsi="Times New Roman" w:eastAsia="Times New Roman" w:cs="Times New Roman"/>
              </w:rPr>
            </w:pPr>
          </w:p>
        </w:tc>
        <w:tc>
          <w:tcPr>
            <w:tcW w:w="1447" w:type="dxa"/>
            <w:tcBorders>
              <w:top w:val="nil"/>
              <w:left w:val="nil"/>
              <w:bottom w:val="single" w:color="auto" w:sz="8" w:space="0"/>
              <w:right w:val="single" w:color="auto" w:sz="8" w:space="0"/>
            </w:tcBorders>
          </w:tcPr>
          <w:p w:rsidRPr="00B72440" w:rsidR="004703E7" w:rsidP="000E478E" w:rsidRDefault="004E15E8" w14:paraId="66E52120" w14:textId="30DCE3DE">
            <w:pPr>
              <w:spacing w:after="0" w:line="240" w:lineRule="auto"/>
              <w:jc w:val="center"/>
              <w:rPr>
                <w:rFonts w:ascii="Times New Roman" w:hAnsi="Times New Roman" w:eastAsia="Times New Roman" w:cs="Times New Roman"/>
              </w:rPr>
            </w:pPr>
            <w:r w:rsidRPr="00B72440">
              <w:rPr>
                <w:rFonts w:ascii="Times New Roman" w:hAnsi="Times New Roman" w:eastAsia="Times New Roman" w:cs="Times New Roman"/>
              </w:rPr>
              <w:t>$137,752</w:t>
            </w:r>
          </w:p>
        </w:tc>
      </w:tr>
    </w:tbl>
    <w:p w:rsidRPr="00817EC7" w:rsidR="006B624F" w:rsidP="006B624F" w:rsidRDefault="009747F4" w14:paraId="27799FEF" w14:textId="45BFE362">
      <w:pPr>
        <w:rPr>
          <w:color w:val="002060"/>
          <w:sz w:val="20"/>
          <w:szCs w:val="20"/>
        </w:rPr>
      </w:pPr>
      <w:r w:rsidRPr="00817EC7">
        <w:rPr>
          <w:sz w:val="20"/>
          <w:szCs w:val="20"/>
        </w:rPr>
        <w:t xml:space="preserve">*the Salary in table above is cited from </w:t>
      </w:r>
      <w:r w:rsidRPr="00817EC7" w:rsidR="003251A0">
        <w:rPr>
          <w:sz w:val="20"/>
          <w:szCs w:val="20"/>
        </w:rPr>
        <w:t>https://www.opm.gov/policy-data-oversight/pay-leave/salaries-wages/salary-tables/20Tables/html/PHL.aspx</w:t>
      </w:r>
    </w:p>
    <w:p w:rsidR="0037291F" w:rsidP="00FF72FC" w:rsidRDefault="0037291F" w14:paraId="134E7E5A" w14:textId="77777777"/>
    <w:p w:rsidRPr="00E35DD1" w:rsidR="00FF72FC" w:rsidP="00FF72FC" w:rsidRDefault="00FF72FC" w14:paraId="4551EBE8" w14:textId="77777777">
      <w:pPr>
        <w:rPr>
          <w:b/>
        </w:rPr>
      </w:pPr>
      <w:r w:rsidRPr="00E35DD1">
        <w:rPr>
          <w:b/>
        </w:rPr>
        <w:t>A.15</w:t>
      </w:r>
      <w:r w:rsidRPr="00E35DD1">
        <w:rPr>
          <w:b/>
        </w:rPr>
        <w:tab/>
        <w:t>Explanation for Program Changes or Adjustments</w:t>
      </w:r>
    </w:p>
    <w:p w:rsidR="000A18C3" w:rsidP="00470DE4" w:rsidRDefault="00470DE4" w14:paraId="32770302" w14:textId="3F9B5FFE">
      <w:pPr>
        <w:rPr>
          <w:iCs/>
        </w:rPr>
      </w:pPr>
      <w:r w:rsidRPr="00470DE4">
        <w:rPr>
          <w:iCs/>
        </w:rPr>
        <w:t>This is a revision to the</w:t>
      </w:r>
      <w:r w:rsidR="005174BE">
        <w:rPr>
          <w:iCs/>
        </w:rPr>
        <w:t xml:space="preserve"> existing</w:t>
      </w:r>
      <w:r w:rsidRPr="00470DE4">
        <w:rPr>
          <w:iCs/>
        </w:rPr>
        <w:t xml:space="preserve"> PRES </w:t>
      </w:r>
      <w:r w:rsidR="009A24BA">
        <w:rPr>
          <w:iCs/>
        </w:rPr>
        <w:t>program</w:t>
      </w:r>
      <w:r w:rsidRPr="00470DE4">
        <w:rPr>
          <w:iCs/>
        </w:rPr>
        <w:t xml:space="preserve">. There are no plans to publish any of the information collected from participants. Periodic summaries of the information collected (e.g., number of participants by institution, state, or region) will be for internal use only. In those cases, information will be reported in aggregate form without individual identifiers. </w:t>
      </w:r>
    </w:p>
    <w:p w:rsidR="00DD0C77" w:rsidP="00470DE4" w:rsidRDefault="00470DE4" w14:paraId="4DEC5E24" w14:textId="6D82F02E">
      <w:pPr>
        <w:rPr>
          <w:iCs/>
        </w:rPr>
      </w:pPr>
      <w:r w:rsidRPr="00470DE4">
        <w:rPr>
          <w:iCs/>
        </w:rPr>
        <w:t xml:space="preserve">Since </w:t>
      </w:r>
      <w:r w:rsidR="00284283">
        <w:rPr>
          <w:iCs/>
        </w:rPr>
        <w:t>the last renewal and substantive revision</w:t>
      </w:r>
      <w:r w:rsidRPr="00470DE4">
        <w:rPr>
          <w:iCs/>
        </w:rPr>
        <w:t xml:space="preserve"> request</w:t>
      </w:r>
      <w:r w:rsidR="00284283">
        <w:rPr>
          <w:iCs/>
        </w:rPr>
        <w:t xml:space="preserve"> (approved by OMB on November 17, 2017)</w:t>
      </w:r>
      <w:r w:rsidRPr="00470DE4">
        <w:rPr>
          <w:iCs/>
        </w:rPr>
        <w:t xml:space="preserve">, roughly </w:t>
      </w:r>
      <w:r w:rsidR="00284283">
        <w:rPr>
          <w:iCs/>
        </w:rPr>
        <w:t>1,600 new</w:t>
      </w:r>
      <w:r w:rsidRPr="00470DE4">
        <w:rPr>
          <w:iCs/>
        </w:rPr>
        <w:t xml:space="preserve"> investigators </w:t>
      </w:r>
      <w:r w:rsidR="009A24BA">
        <w:rPr>
          <w:iCs/>
        </w:rPr>
        <w:t xml:space="preserve">have completed PRES </w:t>
      </w:r>
      <w:r w:rsidR="00284283">
        <w:rPr>
          <w:iCs/>
        </w:rPr>
        <w:t xml:space="preserve">(for approximately 4,300 total respondents) </w:t>
      </w:r>
      <w:r w:rsidRPr="00470DE4">
        <w:rPr>
          <w:iCs/>
        </w:rPr>
        <w:t xml:space="preserve">and approximately </w:t>
      </w:r>
      <w:r w:rsidR="00B93F78">
        <w:rPr>
          <w:iCs/>
        </w:rPr>
        <w:t>200</w:t>
      </w:r>
      <w:r w:rsidRPr="00470DE4" w:rsidR="00B93F78">
        <w:rPr>
          <w:iCs/>
        </w:rPr>
        <w:t xml:space="preserve"> </w:t>
      </w:r>
      <w:r w:rsidRPr="00470DE4">
        <w:rPr>
          <w:iCs/>
        </w:rPr>
        <w:t xml:space="preserve">NIH Scientific Review Officers (SROs) are using the </w:t>
      </w:r>
      <w:r w:rsidR="009A24BA">
        <w:rPr>
          <w:iCs/>
        </w:rPr>
        <w:t>PRES Directory</w:t>
      </w:r>
      <w:r w:rsidRPr="00470DE4">
        <w:rPr>
          <w:iCs/>
        </w:rPr>
        <w:t xml:space="preserve">. Based on feedback we received </w:t>
      </w:r>
      <w:r w:rsidR="009D1E9B">
        <w:rPr>
          <w:iCs/>
        </w:rPr>
        <w:t xml:space="preserve">about how to improve the survey </w:t>
      </w:r>
      <w:r w:rsidRPr="00470DE4">
        <w:rPr>
          <w:iCs/>
        </w:rPr>
        <w:t xml:space="preserve">from both NIH staff and survey respondents during this </w:t>
      </w:r>
      <w:r w:rsidR="000A18C3">
        <w:rPr>
          <w:iCs/>
        </w:rPr>
        <w:t>three-year period</w:t>
      </w:r>
      <w:r w:rsidRPr="00470DE4">
        <w:rPr>
          <w:iCs/>
        </w:rPr>
        <w:t>, we have refined the list of existing topics</w:t>
      </w:r>
      <w:r w:rsidR="00463224">
        <w:rPr>
          <w:iCs/>
        </w:rPr>
        <w:t xml:space="preserve"> by removing unclear or rarely used topics, revising the wording of some topics to increase clarity and </w:t>
      </w:r>
      <w:r w:rsidR="0009658F">
        <w:rPr>
          <w:iCs/>
        </w:rPr>
        <w:t>accuracy</w:t>
      </w:r>
      <w:r w:rsidR="00463224">
        <w:rPr>
          <w:iCs/>
        </w:rPr>
        <w:t>,</w:t>
      </w:r>
      <w:r w:rsidRPr="00470DE4">
        <w:rPr>
          <w:iCs/>
        </w:rPr>
        <w:t xml:space="preserve"> and identif</w:t>
      </w:r>
      <w:r w:rsidR="00F952FA">
        <w:rPr>
          <w:iCs/>
        </w:rPr>
        <w:t>ying</w:t>
      </w:r>
      <w:r w:rsidRPr="00470DE4">
        <w:rPr>
          <w:iCs/>
        </w:rPr>
        <w:t xml:space="preserve"> additional topics to include in the survey</w:t>
      </w:r>
      <w:r w:rsidR="000A18C3">
        <w:rPr>
          <w:iCs/>
        </w:rPr>
        <w:t xml:space="preserve"> (outline</w:t>
      </w:r>
      <w:r w:rsidR="00FA2C9A">
        <w:rPr>
          <w:iCs/>
        </w:rPr>
        <w:t>d</w:t>
      </w:r>
      <w:r w:rsidR="000A18C3">
        <w:rPr>
          <w:iCs/>
        </w:rPr>
        <w:t xml:space="preserve"> below)</w:t>
      </w:r>
      <w:r w:rsidR="00F952FA">
        <w:rPr>
          <w:iCs/>
        </w:rPr>
        <w:t xml:space="preserve">. </w:t>
      </w:r>
      <w:r w:rsidR="00DD0C77">
        <w:rPr>
          <w:iCs/>
        </w:rPr>
        <w:t>T</w:t>
      </w:r>
      <w:r w:rsidR="00F952FA">
        <w:rPr>
          <w:iCs/>
        </w:rPr>
        <w:t>hese changes are intended to make the survey simpler to take by the respondents and</w:t>
      </w:r>
      <w:r w:rsidRPr="00470DE4">
        <w:rPr>
          <w:iCs/>
        </w:rPr>
        <w:t xml:space="preserve"> to help SROs better identify investigators to serve on review panels. </w:t>
      </w:r>
    </w:p>
    <w:p w:rsidR="00DD0C77" w:rsidP="00470DE4" w:rsidRDefault="001D3E03" w14:paraId="77FA9D4C" w14:textId="44445B1C">
      <w:pPr>
        <w:rPr>
          <w:iCs/>
        </w:rPr>
      </w:pPr>
      <w:r>
        <w:rPr>
          <w:iCs/>
        </w:rPr>
        <w:t>T</w:t>
      </w:r>
      <w:r w:rsidRPr="00470DE4" w:rsidR="00470DE4">
        <w:rPr>
          <w:iCs/>
        </w:rPr>
        <w:t>he</w:t>
      </w:r>
      <w:r w:rsidR="00DD0C77">
        <w:rPr>
          <w:iCs/>
        </w:rPr>
        <w:t>refore, the</w:t>
      </w:r>
      <w:r w:rsidRPr="00470DE4" w:rsidR="00470DE4">
        <w:rPr>
          <w:iCs/>
        </w:rPr>
        <w:t xml:space="preserve"> purpose of this OMB </w:t>
      </w:r>
      <w:r w:rsidR="00DD19DA">
        <w:rPr>
          <w:iCs/>
        </w:rPr>
        <w:t xml:space="preserve">revision </w:t>
      </w:r>
      <w:r w:rsidRPr="00470DE4" w:rsidR="00470DE4">
        <w:rPr>
          <w:iCs/>
        </w:rPr>
        <w:t xml:space="preserve">request is to collect additional data </w:t>
      </w:r>
      <w:r>
        <w:rPr>
          <w:iCs/>
        </w:rPr>
        <w:t xml:space="preserve">from investigators using </w:t>
      </w:r>
      <w:r w:rsidRPr="00E117E5" w:rsidR="00E117E5">
        <w:rPr>
          <w:iCs/>
        </w:rPr>
        <w:t xml:space="preserve">the existing procedures, format, and online software platform for </w:t>
      </w:r>
      <w:r>
        <w:rPr>
          <w:iCs/>
        </w:rPr>
        <w:t xml:space="preserve">PRES and </w:t>
      </w:r>
      <w:r w:rsidR="00E117E5">
        <w:rPr>
          <w:iCs/>
        </w:rPr>
        <w:t xml:space="preserve">to </w:t>
      </w:r>
      <w:r>
        <w:rPr>
          <w:iCs/>
        </w:rPr>
        <w:t>mak</w:t>
      </w:r>
      <w:r w:rsidR="005F0091">
        <w:rPr>
          <w:iCs/>
        </w:rPr>
        <w:t>e</w:t>
      </w:r>
      <w:r>
        <w:rPr>
          <w:iCs/>
        </w:rPr>
        <w:t xml:space="preserve"> that data available to NIH and DHHS staff who are granted accounts in the PRES Directory. </w:t>
      </w:r>
      <w:r w:rsidR="00B2668C">
        <w:rPr>
          <w:iCs/>
        </w:rPr>
        <w:t xml:space="preserve">The </w:t>
      </w:r>
      <w:r w:rsidR="005F0091">
        <w:rPr>
          <w:iCs/>
        </w:rPr>
        <w:t>changes to the</w:t>
      </w:r>
      <w:r w:rsidR="00B2668C">
        <w:rPr>
          <w:iCs/>
        </w:rPr>
        <w:t xml:space="preserve"> </w:t>
      </w:r>
      <w:r w:rsidR="00E7752E">
        <w:rPr>
          <w:iCs/>
        </w:rPr>
        <w:t xml:space="preserve">survey and the additional </w:t>
      </w:r>
      <w:r w:rsidR="00B2668C">
        <w:rPr>
          <w:iCs/>
        </w:rPr>
        <w:t>information</w:t>
      </w:r>
      <w:r w:rsidR="005F0091">
        <w:rPr>
          <w:iCs/>
        </w:rPr>
        <w:t xml:space="preserve"> we seek to collect</w:t>
      </w:r>
      <w:r w:rsidR="00B2668C">
        <w:rPr>
          <w:iCs/>
        </w:rPr>
        <w:t xml:space="preserve"> </w:t>
      </w:r>
      <w:r w:rsidRPr="00470DE4" w:rsidR="00470DE4">
        <w:rPr>
          <w:iCs/>
        </w:rPr>
        <w:t>includ</w:t>
      </w:r>
      <w:r w:rsidR="005429F1">
        <w:rPr>
          <w:iCs/>
        </w:rPr>
        <w:t>e</w:t>
      </w:r>
      <w:r w:rsidRPr="00470DE4" w:rsidR="00470DE4">
        <w:rPr>
          <w:iCs/>
        </w:rPr>
        <w:t xml:space="preserve"> </w:t>
      </w:r>
      <w:r w:rsidR="005429F1">
        <w:rPr>
          <w:iCs/>
        </w:rPr>
        <w:t>updating the</w:t>
      </w:r>
      <w:r w:rsidRPr="00470DE4" w:rsidR="005429F1">
        <w:rPr>
          <w:iCs/>
        </w:rPr>
        <w:t xml:space="preserve"> </w:t>
      </w:r>
      <w:r w:rsidRPr="0037214D" w:rsidR="00470DE4">
        <w:rPr>
          <w:iCs/>
          <w:highlight w:val="yellow"/>
        </w:rPr>
        <w:t>study design topics (2 new, 3 deleted</w:t>
      </w:r>
      <w:r w:rsidRPr="0037214D" w:rsidR="005429F1">
        <w:rPr>
          <w:iCs/>
          <w:highlight w:val="yellow"/>
        </w:rPr>
        <w:t>, 3 revised</w:t>
      </w:r>
      <w:r w:rsidRPr="0037214D" w:rsidR="00470DE4">
        <w:rPr>
          <w:iCs/>
          <w:highlight w:val="yellow"/>
        </w:rPr>
        <w:t>), research methods topics (5 new, 12 deleted</w:t>
      </w:r>
      <w:r w:rsidRPr="0037214D" w:rsidR="005429F1">
        <w:rPr>
          <w:iCs/>
          <w:highlight w:val="yellow"/>
        </w:rPr>
        <w:t xml:space="preserve">, </w:t>
      </w:r>
      <w:r w:rsidR="00090FD2">
        <w:rPr>
          <w:iCs/>
          <w:highlight w:val="yellow"/>
        </w:rPr>
        <w:t>15</w:t>
      </w:r>
      <w:r w:rsidRPr="0037214D" w:rsidR="005429F1">
        <w:rPr>
          <w:iCs/>
          <w:highlight w:val="yellow"/>
        </w:rPr>
        <w:t xml:space="preserve"> revised</w:t>
      </w:r>
      <w:r w:rsidRPr="0037214D" w:rsidR="00470DE4">
        <w:rPr>
          <w:iCs/>
          <w:highlight w:val="yellow"/>
        </w:rPr>
        <w:t>), content topics (7 new, 1</w:t>
      </w:r>
      <w:r w:rsidRPr="0037214D" w:rsidR="005429F1">
        <w:rPr>
          <w:iCs/>
          <w:highlight w:val="yellow"/>
        </w:rPr>
        <w:t>5</w:t>
      </w:r>
      <w:r w:rsidRPr="0037214D" w:rsidR="00470DE4">
        <w:rPr>
          <w:iCs/>
          <w:highlight w:val="yellow"/>
        </w:rPr>
        <w:t xml:space="preserve"> deleted</w:t>
      </w:r>
      <w:r w:rsidRPr="0037214D" w:rsidR="005429F1">
        <w:rPr>
          <w:iCs/>
          <w:highlight w:val="yellow"/>
        </w:rPr>
        <w:t>, 9 revised</w:t>
      </w:r>
      <w:r w:rsidRPr="0037214D" w:rsidR="00470DE4">
        <w:rPr>
          <w:iCs/>
          <w:highlight w:val="yellow"/>
        </w:rPr>
        <w:t xml:space="preserve">), settings (1 new), and populations (1 deleted). </w:t>
      </w:r>
      <w:r w:rsidRPr="00810814" w:rsidR="005429F1">
        <w:rPr>
          <w:iCs/>
          <w:highlight w:val="yellow"/>
        </w:rPr>
        <w:t>O</w:t>
      </w:r>
      <w:r w:rsidR="005429F1">
        <w:rPr>
          <w:iCs/>
          <w:highlight w:val="yellow"/>
        </w:rPr>
        <w:t xml:space="preserve">verall, these changes represent a net change of 16 fewer topics in PRES than what is found in the currently approved version: a total of 15 topics </w:t>
      </w:r>
      <w:r w:rsidR="00810814">
        <w:rPr>
          <w:iCs/>
          <w:highlight w:val="yellow"/>
        </w:rPr>
        <w:t xml:space="preserve">will be </w:t>
      </w:r>
      <w:r w:rsidR="005429F1">
        <w:rPr>
          <w:iCs/>
          <w:highlight w:val="yellow"/>
        </w:rPr>
        <w:t>added and 31 topics</w:t>
      </w:r>
      <w:r w:rsidR="00810814">
        <w:rPr>
          <w:iCs/>
          <w:highlight w:val="yellow"/>
        </w:rPr>
        <w:t xml:space="preserve"> will be</w:t>
      </w:r>
      <w:r w:rsidR="005429F1">
        <w:rPr>
          <w:iCs/>
          <w:highlight w:val="yellow"/>
        </w:rPr>
        <w:t xml:space="preserve"> removed; 27 topics </w:t>
      </w:r>
      <w:r w:rsidR="00810814">
        <w:rPr>
          <w:iCs/>
          <w:highlight w:val="yellow"/>
        </w:rPr>
        <w:t xml:space="preserve">will </w:t>
      </w:r>
      <w:r w:rsidR="005429F1">
        <w:rPr>
          <w:iCs/>
          <w:highlight w:val="yellow"/>
        </w:rPr>
        <w:t>be revised.</w:t>
      </w:r>
      <w:r w:rsidRPr="00470DE4" w:rsidR="005429F1">
        <w:rPr>
          <w:iCs/>
        </w:rPr>
        <w:t xml:space="preserve"> </w:t>
      </w:r>
      <w:r w:rsidRPr="00470DE4" w:rsidR="00470DE4">
        <w:rPr>
          <w:iCs/>
        </w:rPr>
        <w:t xml:space="preserve">Using SRO feedback, </w:t>
      </w:r>
      <w:r w:rsidRPr="0037214D" w:rsidR="00470DE4">
        <w:rPr>
          <w:iCs/>
          <w:highlight w:val="yellow"/>
        </w:rPr>
        <w:t xml:space="preserve">we are also </w:t>
      </w:r>
      <w:r w:rsidR="008A4820">
        <w:rPr>
          <w:iCs/>
          <w:highlight w:val="yellow"/>
        </w:rPr>
        <w:t>reducing the number of possible responses</w:t>
      </w:r>
      <w:r w:rsidR="007A59D2">
        <w:rPr>
          <w:iCs/>
          <w:highlight w:val="yellow"/>
        </w:rPr>
        <w:t xml:space="preserve"> from 6 to 5</w:t>
      </w:r>
      <w:r w:rsidR="008A4820">
        <w:rPr>
          <w:iCs/>
          <w:highlight w:val="yellow"/>
        </w:rPr>
        <w:t xml:space="preserve"> </w:t>
      </w:r>
      <w:r w:rsidR="007A59D2">
        <w:rPr>
          <w:iCs/>
          <w:highlight w:val="yellow"/>
        </w:rPr>
        <w:t>for</w:t>
      </w:r>
      <w:r w:rsidRPr="00EB599A" w:rsidR="008A4820">
        <w:rPr>
          <w:iCs/>
          <w:highlight w:val="yellow"/>
        </w:rPr>
        <w:t xml:space="preserve"> </w:t>
      </w:r>
      <w:r w:rsidRPr="00EB599A" w:rsidR="00470DE4">
        <w:rPr>
          <w:iCs/>
          <w:highlight w:val="yellow"/>
        </w:rPr>
        <w:t>a question about NIH review experience</w:t>
      </w:r>
      <w:r w:rsidR="00D4150C">
        <w:rPr>
          <w:iCs/>
        </w:rPr>
        <w:t>.</w:t>
      </w:r>
      <w:r w:rsidR="008A4820">
        <w:rPr>
          <w:iCs/>
        </w:rPr>
        <w:t xml:space="preserve"> </w:t>
      </w:r>
      <w:r w:rsidR="00D4150C">
        <w:rPr>
          <w:iCs/>
        </w:rPr>
        <w:t>B</w:t>
      </w:r>
      <w:r w:rsidR="008A4820">
        <w:rPr>
          <w:iCs/>
        </w:rPr>
        <w:t xml:space="preserve">y </w:t>
      </w:r>
      <w:r w:rsidR="00EB599A">
        <w:rPr>
          <w:iCs/>
        </w:rPr>
        <w:t>revising and streamlining the wording of one of the responses</w:t>
      </w:r>
      <w:r w:rsidRPr="00470DE4" w:rsidR="00470DE4">
        <w:rPr>
          <w:iCs/>
        </w:rPr>
        <w:t xml:space="preserve">, it </w:t>
      </w:r>
      <w:r w:rsidR="00D4150C">
        <w:rPr>
          <w:iCs/>
        </w:rPr>
        <w:t xml:space="preserve">will be </w:t>
      </w:r>
      <w:r w:rsidRPr="00470DE4" w:rsidR="00470DE4">
        <w:rPr>
          <w:iCs/>
        </w:rPr>
        <w:t xml:space="preserve">easier for investigators to communicate their level of interest in serving on review panels and therefore help SROs better identify investigators to serve on review panels </w:t>
      </w:r>
      <w:r w:rsidRPr="00470DE4" w:rsidR="009B5078">
        <w:rPr>
          <w:iCs/>
        </w:rPr>
        <w:t>(</w:t>
      </w:r>
      <w:r w:rsidR="009B5078">
        <w:rPr>
          <w:iCs/>
        </w:rPr>
        <w:t>s</w:t>
      </w:r>
      <w:r w:rsidRPr="00470DE4" w:rsidR="009B5078">
        <w:rPr>
          <w:iCs/>
        </w:rPr>
        <w:t xml:space="preserve">ee </w:t>
      </w:r>
      <w:r w:rsidRPr="00562924" w:rsidR="009B5078">
        <w:rPr>
          <w:iCs/>
        </w:rPr>
        <w:t xml:space="preserve">Attachment </w:t>
      </w:r>
      <w:r w:rsidR="003738A0">
        <w:rPr>
          <w:iCs/>
        </w:rPr>
        <w:t>1</w:t>
      </w:r>
      <w:r w:rsidRPr="00562924" w:rsidR="009B5078">
        <w:rPr>
          <w:iCs/>
        </w:rPr>
        <w:t>, in which new topics are marked as “New” and revised topics are marked as “Revised</w:t>
      </w:r>
      <w:r w:rsidR="009B5078">
        <w:rPr>
          <w:iCs/>
        </w:rPr>
        <w:t>,</w:t>
      </w:r>
      <w:r w:rsidRPr="00562924" w:rsidR="009B5078">
        <w:rPr>
          <w:iCs/>
        </w:rPr>
        <w:t>”</w:t>
      </w:r>
      <w:r w:rsidRPr="00470DE4" w:rsidR="009B5078">
        <w:rPr>
          <w:iCs/>
        </w:rPr>
        <w:t xml:space="preserve"> and below for more details on the revisions)</w:t>
      </w:r>
      <w:r w:rsidR="009B5078">
        <w:rPr>
          <w:iCs/>
        </w:rPr>
        <w:t>.</w:t>
      </w:r>
    </w:p>
    <w:p w:rsidRPr="00470DE4" w:rsidR="00470DE4" w:rsidP="00470DE4" w:rsidRDefault="00470DE4" w14:paraId="2D61E1EC" w14:textId="18A29066">
      <w:pPr>
        <w:rPr>
          <w:iCs/>
        </w:rPr>
      </w:pPr>
      <w:r w:rsidRPr="00470DE4">
        <w:rPr>
          <w:iCs/>
        </w:rPr>
        <w:t>Th</w:t>
      </w:r>
      <w:r w:rsidR="00DD0C77">
        <w:rPr>
          <w:iCs/>
        </w:rPr>
        <w:t>ese changes</w:t>
      </w:r>
      <w:r w:rsidRPr="00470DE4">
        <w:rPr>
          <w:iCs/>
        </w:rPr>
        <w:t xml:space="preserve"> will be </w:t>
      </w:r>
      <w:r w:rsidR="00DD0C77">
        <w:rPr>
          <w:iCs/>
        </w:rPr>
        <w:t>made</w:t>
      </w:r>
      <w:r w:rsidRPr="00470DE4" w:rsidR="00DD0C77">
        <w:rPr>
          <w:iCs/>
        </w:rPr>
        <w:t xml:space="preserve"> </w:t>
      </w:r>
      <w:r w:rsidR="00DD0C77">
        <w:rPr>
          <w:iCs/>
        </w:rPr>
        <w:t>using</w:t>
      </w:r>
      <w:r w:rsidRPr="00470DE4" w:rsidR="00DD0C77">
        <w:rPr>
          <w:iCs/>
        </w:rPr>
        <w:t xml:space="preserve"> </w:t>
      </w:r>
      <w:r w:rsidRPr="00470DE4">
        <w:rPr>
          <w:iCs/>
        </w:rPr>
        <w:t xml:space="preserve">the </w:t>
      </w:r>
      <w:r w:rsidR="00DD0C77">
        <w:rPr>
          <w:iCs/>
        </w:rPr>
        <w:t xml:space="preserve">existing and </w:t>
      </w:r>
      <w:r w:rsidRPr="00470DE4">
        <w:rPr>
          <w:iCs/>
        </w:rPr>
        <w:t xml:space="preserve">already </w:t>
      </w:r>
      <w:r w:rsidR="00DD0C77">
        <w:rPr>
          <w:iCs/>
        </w:rPr>
        <w:t>operational</w:t>
      </w:r>
      <w:r w:rsidRPr="00470DE4">
        <w:rPr>
          <w:iCs/>
        </w:rPr>
        <w:t xml:space="preserve"> PRES online survey in a systematic way that reduces burden on the participants and governmental costs associated with processing</w:t>
      </w:r>
      <w:r w:rsidR="00E97CD1">
        <w:rPr>
          <w:iCs/>
        </w:rPr>
        <w:t>.</w:t>
      </w:r>
      <w:r w:rsidRPr="00470DE4">
        <w:rPr>
          <w:iCs/>
        </w:rPr>
        <w:t xml:space="preserve"> </w:t>
      </w:r>
    </w:p>
    <w:p w:rsidRPr="00470DE4" w:rsidR="00470DE4" w:rsidP="00470DE4" w:rsidRDefault="007D10A9" w14:paraId="1F24F70C" w14:textId="72D8FC88">
      <w:pPr>
        <w:spacing w:after="0" w:line="240" w:lineRule="auto"/>
        <w:rPr>
          <w:iCs/>
          <w:u w:val="single"/>
        </w:rPr>
      </w:pPr>
      <w:r w:rsidRPr="00E97CD1">
        <w:rPr>
          <w:iCs/>
          <w:highlight w:val="yellow"/>
          <w:u w:val="single"/>
        </w:rPr>
        <w:t>Changes</w:t>
      </w:r>
      <w:r w:rsidRPr="00E97CD1" w:rsidR="00470DE4">
        <w:rPr>
          <w:iCs/>
          <w:highlight w:val="yellow"/>
          <w:u w:val="single"/>
        </w:rPr>
        <w:t xml:space="preserve"> to</w:t>
      </w:r>
      <w:r w:rsidRPr="00E97CD1">
        <w:rPr>
          <w:iCs/>
          <w:highlight w:val="yellow"/>
          <w:u w:val="single"/>
        </w:rPr>
        <w:t xml:space="preserve"> the</w:t>
      </w:r>
      <w:r w:rsidRPr="00E97CD1" w:rsidR="00470DE4">
        <w:rPr>
          <w:iCs/>
          <w:highlight w:val="yellow"/>
          <w:u w:val="single"/>
        </w:rPr>
        <w:t xml:space="preserve"> current online survey include the addition</w:t>
      </w:r>
      <w:r w:rsidRPr="00E97CD1">
        <w:rPr>
          <w:iCs/>
          <w:highlight w:val="yellow"/>
          <w:u w:val="single"/>
        </w:rPr>
        <w:t xml:space="preserve">, </w:t>
      </w:r>
      <w:r w:rsidRPr="00E97CD1" w:rsidR="00470DE4">
        <w:rPr>
          <w:iCs/>
          <w:highlight w:val="yellow"/>
          <w:u w:val="single"/>
        </w:rPr>
        <w:t>deletion</w:t>
      </w:r>
      <w:r w:rsidRPr="00E97CD1">
        <w:rPr>
          <w:iCs/>
          <w:highlight w:val="yellow"/>
          <w:u w:val="single"/>
        </w:rPr>
        <w:t>, and revision</w:t>
      </w:r>
      <w:r w:rsidRPr="00E97CD1" w:rsidR="00470DE4">
        <w:rPr>
          <w:iCs/>
          <w:highlight w:val="yellow"/>
          <w:u w:val="single"/>
        </w:rPr>
        <w:t xml:space="preserve"> of topics listed below:</w:t>
      </w:r>
    </w:p>
    <w:p w:rsidRPr="00470DE4" w:rsidR="00470DE4" w:rsidP="00470DE4" w:rsidRDefault="00470DE4" w14:paraId="682658CE" w14:textId="77777777">
      <w:pPr>
        <w:spacing w:after="0" w:line="240" w:lineRule="auto"/>
        <w:rPr>
          <w:iCs/>
        </w:rPr>
      </w:pPr>
    </w:p>
    <w:p w:rsidRPr="00470DE4" w:rsidR="00470DE4" w:rsidP="00470DE4" w:rsidRDefault="00470DE4" w14:paraId="2229C1B0" w14:textId="77777777">
      <w:pPr>
        <w:spacing w:after="0" w:line="240" w:lineRule="auto"/>
        <w:rPr>
          <w:iCs/>
        </w:rPr>
      </w:pPr>
      <w:r w:rsidRPr="00B7411F">
        <w:rPr>
          <w:iCs/>
          <w:highlight w:val="yellow"/>
        </w:rPr>
        <w:t>Study Design Topic:</w:t>
      </w:r>
    </w:p>
    <w:p w:rsidRPr="00470DE4" w:rsidR="00470DE4" w:rsidP="00470DE4" w:rsidRDefault="00470DE4" w14:paraId="36F8312A" w14:textId="77777777">
      <w:pPr>
        <w:spacing w:after="0" w:line="240" w:lineRule="auto"/>
        <w:ind w:left="720" w:hanging="720"/>
        <w:rPr>
          <w:iCs/>
        </w:rPr>
      </w:pPr>
      <w:r w:rsidRPr="00470DE4">
        <w:rPr>
          <w:iCs/>
        </w:rPr>
        <w:tab/>
      </w:r>
      <w:r w:rsidRPr="00470DE4">
        <w:rPr>
          <w:iCs/>
          <w:highlight w:val="green"/>
        </w:rPr>
        <w:t>2 New topics</w:t>
      </w:r>
      <w:r w:rsidRPr="00470DE4">
        <w:rPr>
          <w:iCs/>
        </w:rPr>
        <w:t xml:space="preserve"> – Case Control Studies (e.g., Unmatched, Matched, Nested); Cohort Studies (e.g., Prospective, Retrospective)</w:t>
      </w:r>
    </w:p>
    <w:p w:rsidR="00470DE4" w:rsidP="00470DE4" w:rsidRDefault="00470DE4" w14:paraId="6A82E2E2" w14:textId="32211517">
      <w:pPr>
        <w:spacing w:after="0" w:line="240" w:lineRule="auto"/>
        <w:rPr>
          <w:iCs/>
        </w:rPr>
      </w:pPr>
      <w:r w:rsidRPr="00470DE4">
        <w:rPr>
          <w:iCs/>
        </w:rPr>
        <w:tab/>
      </w:r>
      <w:r w:rsidRPr="00470DE4">
        <w:rPr>
          <w:iCs/>
          <w:highlight w:val="red"/>
        </w:rPr>
        <w:t>3 Deleted topics</w:t>
      </w:r>
      <w:r w:rsidRPr="00470DE4">
        <w:rPr>
          <w:iCs/>
        </w:rPr>
        <w:t xml:space="preserve"> – Cross-Sectional Designs; Factorial Designs; Fractional Factorial Designs </w:t>
      </w:r>
    </w:p>
    <w:p w:rsidRPr="00470DE4" w:rsidR="0037214D" w:rsidP="00090FD2" w:rsidRDefault="0037214D" w14:paraId="3A32F12B" w14:textId="1EF19FB3">
      <w:pPr>
        <w:spacing w:after="0" w:line="240" w:lineRule="auto"/>
        <w:ind w:left="720"/>
        <w:rPr>
          <w:iCs/>
        </w:rPr>
      </w:pPr>
      <w:r w:rsidRPr="00090FD2">
        <w:rPr>
          <w:iCs/>
          <w:highlight w:val="cyan"/>
        </w:rPr>
        <w:t>3 Revised topics</w:t>
      </w:r>
      <w:r>
        <w:rPr>
          <w:iCs/>
        </w:rPr>
        <w:t xml:space="preserve"> – </w:t>
      </w:r>
      <w:r w:rsidRPr="0037214D">
        <w:rPr>
          <w:iCs/>
        </w:rPr>
        <w:t>Clinical Trial Designs (Individual Randomization)</w:t>
      </w:r>
      <w:r>
        <w:rPr>
          <w:iCs/>
        </w:rPr>
        <w:t xml:space="preserve">; </w:t>
      </w:r>
      <w:r w:rsidRPr="0037214D">
        <w:rPr>
          <w:iCs/>
        </w:rPr>
        <w:t>Mixed- or Multi-Method Designs for Qualitative and Quantitative Data</w:t>
      </w:r>
      <w:r>
        <w:rPr>
          <w:iCs/>
        </w:rPr>
        <w:t xml:space="preserve">; </w:t>
      </w:r>
      <w:r w:rsidRPr="0037214D">
        <w:rPr>
          <w:iCs/>
        </w:rPr>
        <w:t>Stepped-Wedge Designs</w:t>
      </w:r>
    </w:p>
    <w:p w:rsidRPr="00470DE4" w:rsidR="00470DE4" w:rsidP="00470DE4" w:rsidRDefault="00470DE4" w14:paraId="3A46F502" w14:textId="77777777">
      <w:pPr>
        <w:spacing w:after="0" w:line="240" w:lineRule="auto"/>
        <w:rPr>
          <w:iCs/>
          <w:highlight w:val="yellow"/>
        </w:rPr>
      </w:pPr>
    </w:p>
    <w:p w:rsidRPr="00470DE4" w:rsidR="00470DE4" w:rsidP="00470DE4" w:rsidRDefault="00470DE4" w14:paraId="4F321FB3" w14:textId="77777777">
      <w:pPr>
        <w:spacing w:after="0" w:line="240" w:lineRule="auto"/>
        <w:rPr>
          <w:iCs/>
        </w:rPr>
      </w:pPr>
      <w:r w:rsidRPr="00B7411F">
        <w:rPr>
          <w:iCs/>
          <w:highlight w:val="yellow"/>
        </w:rPr>
        <w:t>Research Methods:</w:t>
      </w:r>
    </w:p>
    <w:p w:rsidRPr="00470DE4" w:rsidR="00470DE4" w:rsidP="00470DE4" w:rsidRDefault="00470DE4" w14:paraId="50F6E4ED" w14:textId="77777777">
      <w:pPr>
        <w:spacing w:after="0" w:line="240" w:lineRule="auto"/>
        <w:ind w:left="720" w:hanging="720"/>
        <w:rPr>
          <w:iCs/>
        </w:rPr>
      </w:pPr>
      <w:r w:rsidRPr="00470DE4">
        <w:rPr>
          <w:iCs/>
        </w:rPr>
        <w:tab/>
      </w:r>
      <w:r w:rsidRPr="00470DE4">
        <w:rPr>
          <w:iCs/>
          <w:highlight w:val="green"/>
        </w:rPr>
        <w:t>5 New topics</w:t>
      </w:r>
      <w:r w:rsidRPr="00470DE4">
        <w:rPr>
          <w:iCs/>
        </w:rPr>
        <w:t xml:space="preserve"> – Basic Research; Data Harmonization; Multiphase Optimization Strategy (MOST); Preclinical Studies; Qualitative Methods</w:t>
      </w:r>
    </w:p>
    <w:p w:rsidR="00470DE4" w:rsidP="00470DE4" w:rsidRDefault="00470DE4" w14:paraId="2AB93C34" w14:textId="6107CA95">
      <w:pPr>
        <w:spacing w:after="0" w:line="240" w:lineRule="auto"/>
        <w:ind w:left="720" w:hanging="720"/>
        <w:rPr>
          <w:iCs/>
        </w:rPr>
      </w:pPr>
      <w:r w:rsidRPr="00470DE4">
        <w:rPr>
          <w:iCs/>
        </w:rPr>
        <w:tab/>
      </w:r>
      <w:r w:rsidRPr="00470DE4">
        <w:rPr>
          <w:iCs/>
          <w:highlight w:val="red"/>
        </w:rPr>
        <w:t>12 Deleted topics</w:t>
      </w:r>
      <w:r w:rsidRPr="00470DE4">
        <w:rPr>
          <w:iCs/>
        </w:rPr>
        <w:t xml:space="preserve"> – Alternative/Authentic Assessment; Complier Average Causal Effect (CACE) Analysis; Imaging (fMRI, MRI, CT, Ultrasound, EEG, MEG, ECG, PET, X-ray, etc.); Individual Person-Level Meta-Analysis; Integrative Data Analysis; Item Response Theory; Measurement Theory and Methods (EFA, CFA, etc.); Microsimulation Methods; Migration Analysis (Attrition, Emigration, etc.); Natural Language Processing; System Dynamics; Systems Engineering Methods</w:t>
      </w:r>
    </w:p>
    <w:p w:rsidRPr="00470DE4" w:rsidR="0037214D" w:rsidP="00090FD2" w:rsidRDefault="00A82929" w14:paraId="02F38EC6" w14:textId="2A9BDB90">
      <w:pPr>
        <w:spacing w:after="0" w:line="240" w:lineRule="auto"/>
        <w:ind w:left="720"/>
        <w:rPr>
          <w:iCs/>
        </w:rPr>
      </w:pPr>
      <w:r w:rsidRPr="00090FD2">
        <w:rPr>
          <w:iCs/>
          <w:highlight w:val="cyan"/>
        </w:rPr>
        <w:t>9 Revised topics</w:t>
      </w:r>
      <w:r>
        <w:rPr>
          <w:iCs/>
        </w:rPr>
        <w:t xml:space="preserve"> – </w:t>
      </w:r>
      <w:r w:rsidRPr="00A82929">
        <w:rPr>
          <w:iCs/>
        </w:rPr>
        <w:t>Biomarker/Risk Factor Analysis or Validation</w:t>
      </w:r>
      <w:r>
        <w:rPr>
          <w:iCs/>
        </w:rPr>
        <w:t xml:space="preserve">; </w:t>
      </w:r>
      <w:r w:rsidRPr="00A82929">
        <w:rPr>
          <w:iCs/>
        </w:rPr>
        <w:t>Data Mining/Big Data</w:t>
      </w:r>
      <w:r>
        <w:rPr>
          <w:iCs/>
        </w:rPr>
        <w:t xml:space="preserve">; </w:t>
      </w:r>
      <w:r w:rsidRPr="00A82929">
        <w:rPr>
          <w:iCs/>
        </w:rPr>
        <w:t>Electronic Health Records (EHRs)</w:t>
      </w:r>
      <w:r>
        <w:rPr>
          <w:iCs/>
        </w:rPr>
        <w:t xml:space="preserve">; </w:t>
      </w:r>
      <w:r w:rsidRPr="00A82929">
        <w:rPr>
          <w:iCs/>
        </w:rPr>
        <w:t>General Linear Modeling (e.g., Regression, Multivariate Analysis)</w:t>
      </w:r>
      <w:r>
        <w:rPr>
          <w:iCs/>
        </w:rPr>
        <w:t xml:space="preserve">; </w:t>
      </w:r>
      <w:r w:rsidRPr="00A82929">
        <w:rPr>
          <w:iCs/>
        </w:rPr>
        <w:t>Generalized Linear Modeling (e.g., Logistic, Poisson, Gamma)</w:t>
      </w:r>
      <w:r>
        <w:rPr>
          <w:iCs/>
        </w:rPr>
        <w:t xml:space="preserve">; </w:t>
      </w:r>
      <w:r w:rsidRPr="00A82929">
        <w:rPr>
          <w:iCs/>
        </w:rPr>
        <w:t>Machine Learning and Artificial Intelligence</w:t>
      </w:r>
      <w:r>
        <w:rPr>
          <w:iCs/>
        </w:rPr>
        <w:t xml:space="preserve">; </w:t>
      </w:r>
      <w:r w:rsidRPr="00FC590A" w:rsidR="00FC590A">
        <w:rPr>
          <w:iCs/>
        </w:rPr>
        <w:t>Meta-Analysis</w:t>
      </w:r>
      <w:r w:rsidR="00FC590A">
        <w:rPr>
          <w:iCs/>
        </w:rPr>
        <w:t xml:space="preserve">; </w:t>
      </w:r>
      <w:r w:rsidRPr="00FC590A" w:rsidR="00FC590A">
        <w:rPr>
          <w:iCs/>
        </w:rPr>
        <w:t>Methods for Analysis of Intensive Longitudinal Data</w:t>
      </w:r>
      <w:r w:rsidR="00FC590A">
        <w:rPr>
          <w:iCs/>
        </w:rPr>
        <w:t xml:space="preserve">; </w:t>
      </w:r>
      <w:r w:rsidRPr="00FC590A" w:rsidR="00FC590A">
        <w:rPr>
          <w:iCs/>
        </w:rPr>
        <w:t>Missing Data Methods (e.g., Imputation, Full Information Maximum Likelihood)</w:t>
      </w:r>
      <w:r w:rsidR="00FC590A">
        <w:rPr>
          <w:iCs/>
        </w:rPr>
        <w:t xml:space="preserve">; </w:t>
      </w:r>
      <w:r w:rsidRPr="00FC590A" w:rsidR="00FC590A">
        <w:rPr>
          <w:iCs/>
        </w:rPr>
        <w:t>Mixture Models (e.g., Growth and Regression Mixture Models)</w:t>
      </w:r>
      <w:r w:rsidR="00FC590A">
        <w:rPr>
          <w:iCs/>
        </w:rPr>
        <w:t xml:space="preserve">; </w:t>
      </w:r>
      <w:r w:rsidRPr="00FC590A" w:rsidR="00FC590A">
        <w:rPr>
          <w:iCs/>
        </w:rPr>
        <w:t>Mobile Health (mHealth) and Other Health Technologies</w:t>
      </w:r>
      <w:r w:rsidR="00FC590A">
        <w:rPr>
          <w:iCs/>
        </w:rPr>
        <w:t xml:space="preserve">; </w:t>
      </w:r>
      <w:r w:rsidRPr="00FC590A" w:rsidR="00FC590A">
        <w:rPr>
          <w:iCs/>
        </w:rPr>
        <w:t>Mixed-Model/Multilevel/Hierarchical Regression</w:t>
      </w:r>
      <w:r w:rsidR="00FC590A">
        <w:rPr>
          <w:iCs/>
        </w:rPr>
        <w:t xml:space="preserve">; </w:t>
      </w:r>
      <w:r w:rsidRPr="00FC590A" w:rsidR="00FC590A">
        <w:rPr>
          <w:iCs/>
        </w:rPr>
        <w:t>Power Analysis/Sample Size Estimation</w:t>
      </w:r>
      <w:r w:rsidR="00FC590A">
        <w:rPr>
          <w:iCs/>
        </w:rPr>
        <w:t xml:space="preserve">; </w:t>
      </w:r>
      <w:r w:rsidRPr="00FC590A" w:rsidR="00FC590A">
        <w:rPr>
          <w:iCs/>
        </w:rPr>
        <w:t>Propensity Score Methods</w:t>
      </w:r>
      <w:r w:rsidR="00FC590A">
        <w:rPr>
          <w:iCs/>
        </w:rPr>
        <w:t xml:space="preserve">; </w:t>
      </w:r>
      <w:r w:rsidRPr="00FC590A" w:rsidR="00FC590A">
        <w:rPr>
          <w:iCs/>
        </w:rPr>
        <w:t>Psychometric Methods and Measurement Theory (e.g., Item Response, Factor Analysis)</w:t>
      </w:r>
    </w:p>
    <w:p w:rsidRPr="00470DE4" w:rsidR="00470DE4" w:rsidP="00470DE4" w:rsidRDefault="00470DE4" w14:paraId="1F476425" w14:textId="77777777">
      <w:pPr>
        <w:spacing w:after="0" w:line="240" w:lineRule="auto"/>
        <w:rPr>
          <w:iCs/>
        </w:rPr>
      </w:pPr>
    </w:p>
    <w:p w:rsidRPr="00470DE4" w:rsidR="00470DE4" w:rsidP="00470DE4" w:rsidRDefault="00470DE4" w14:paraId="10D99D56" w14:textId="77777777">
      <w:pPr>
        <w:spacing w:after="0" w:line="240" w:lineRule="auto"/>
        <w:rPr>
          <w:iCs/>
        </w:rPr>
      </w:pPr>
      <w:r w:rsidRPr="00B7411F">
        <w:rPr>
          <w:iCs/>
          <w:highlight w:val="yellow"/>
        </w:rPr>
        <w:t>Content Topics:</w:t>
      </w:r>
    </w:p>
    <w:p w:rsidRPr="00470DE4" w:rsidR="00470DE4" w:rsidP="00470DE4" w:rsidRDefault="00470DE4" w14:paraId="0775A112" w14:textId="118C4128">
      <w:pPr>
        <w:spacing w:after="0" w:line="240" w:lineRule="auto"/>
        <w:ind w:left="720" w:hanging="720"/>
        <w:rPr>
          <w:iCs/>
        </w:rPr>
      </w:pPr>
      <w:r w:rsidRPr="00470DE4">
        <w:rPr>
          <w:iCs/>
        </w:rPr>
        <w:tab/>
      </w:r>
      <w:r w:rsidRPr="00470DE4">
        <w:rPr>
          <w:iCs/>
          <w:highlight w:val="green"/>
        </w:rPr>
        <w:t>7 New topics</w:t>
      </w:r>
      <w:r w:rsidRPr="00470DE4">
        <w:rPr>
          <w:iCs/>
        </w:rPr>
        <w:t xml:space="preserve"> – Antimicrobial Resistance; Gastrointestinal Diseases; Health Education; Pain and Pain Management; Precision Medicine; </w:t>
      </w:r>
      <w:r w:rsidRPr="00D87053" w:rsidR="00D87053">
        <w:rPr>
          <w:iCs/>
        </w:rPr>
        <w:t>Radiation Exposure or Injury</w:t>
      </w:r>
      <w:r w:rsidR="00D87053">
        <w:rPr>
          <w:iCs/>
        </w:rPr>
        <w:t xml:space="preserve">; </w:t>
      </w:r>
      <w:r w:rsidRPr="00470DE4">
        <w:rPr>
          <w:iCs/>
        </w:rPr>
        <w:t>Team Science</w:t>
      </w:r>
    </w:p>
    <w:p w:rsidR="00470DE4" w:rsidP="00470DE4" w:rsidRDefault="00470DE4" w14:paraId="46B0E530" w14:textId="0A120962">
      <w:pPr>
        <w:spacing w:after="0" w:line="240" w:lineRule="auto"/>
        <w:ind w:left="720" w:hanging="720"/>
        <w:rPr>
          <w:iCs/>
        </w:rPr>
      </w:pPr>
      <w:r w:rsidRPr="00470DE4">
        <w:rPr>
          <w:iCs/>
        </w:rPr>
        <w:tab/>
      </w:r>
      <w:r w:rsidRPr="00470DE4">
        <w:rPr>
          <w:iCs/>
          <w:highlight w:val="red"/>
        </w:rPr>
        <w:t>1</w:t>
      </w:r>
      <w:r w:rsidR="00FC590A">
        <w:rPr>
          <w:iCs/>
          <w:highlight w:val="red"/>
        </w:rPr>
        <w:t>5</w:t>
      </w:r>
      <w:r w:rsidRPr="00470DE4">
        <w:rPr>
          <w:iCs/>
          <w:highlight w:val="red"/>
        </w:rPr>
        <w:t xml:space="preserve"> Deleted topics</w:t>
      </w:r>
      <w:r w:rsidRPr="00470DE4">
        <w:rPr>
          <w:iCs/>
        </w:rPr>
        <w:t xml:space="preserve"> – Allergies; </w:t>
      </w:r>
      <w:r w:rsidRPr="00D87053" w:rsidR="00D87053">
        <w:rPr>
          <w:iCs/>
        </w:rPr>
        <w:t>Asthma and Other Respiratory Diseases</w:t>
      </w:r>
      <w:r w:rsidR="00D87053">
        <w:rPr>
          <w:iCs/>
        </w:rPr>
        <w:t xml:space="preserve">; </w:t>
      </w:r>
      <w:r w:rsidRPr="00470DE4">
        <w:rPr>
          <w:iCs/>
        </w:rPr>
        <w:t xml:space="preserve">Communication Disorders, Including Hearing, Vision, Speech; Dementia; Firearms; </w:t>
      </w:r>
      <w:r w:rsidRPr="003437CD" w:rsidR="003437CD">
        <w:rPr>
          <w:iCs/>
        </w:rPr>
        <w:t>Health Care Delivery</w:t>
      </w:r>
      <w:r w:rsidR="003437CD">
        <w:rPr>
          <w:iCs/>
        </w:rPr>
        <w:t xml:space="preserve">; </w:t>
      </w:r>
      <w:r w:rsidRPr="00470DE4">
        <w:rPr>
          <w:iCs/>
        </w:rPr>
        <w:t>Healthcare-Associated Infections; Immunology; Kidney Disorders; Metabolomics; Microbiome; Musculoskeletal Disease; Pneumonia; Public Health Preparedness; Skin Diseases</w:t>
      </w:r>
    </w:p>
    <w:p w:rsidRPr="00470DE4" w:rsidR="00D87053" w:rsidP="007A59D2" w:rsidRDefault="00D87053" w14:paraId="61A0B43A" w14:textId="70FEB4AA">
      <w:pPr>
        <w:spacing w:after="0" w:line="240" w:lineRule="auto"/>
        <w:ind w:left="720"/>
        <w:rPr>
          <w:iCs/>
        </w:rPr>
      </w:pPr>
      <w:r w:rsidRPr="007A59D2">
        <w:rPr>
          <w:iCs/>
          <w:highlight w:val="cyan"/>
        </w:rPr>
        <w:t>9 Revised topics</w:t>
      </w:r>
      <w:r>
        <w:rPr>
          <w:iCs/>
        </w:rPr>
        <w:t xml:space="preserve"> </w:t>
      </w:r>
      <w:r w:rsidR="003437CD">
        <w:rPr>
          <w:iCs/>
        </w:rPr>
        <w:t xml:space="preserve">– </w:t>
      </w:r>
      <w:r w:rsidRPr="003437CD" w:rsidR="003437CD">
        <w:rPr>
          <w:iCs/>
        </w:rPr>
        <w:t>Alzheimer's Disease and Other Dementias</w:t>
      </w:r>
      <w:r w:rsidR="003437CD">
        <w:rPr>
          <w:iCs/>
        </w:rPr>
        <w:t xml:space="preserve">; </w:t>
      </w:r>
      <w:r w:rsidRPr="003437CD" w:rsidR="003437CD">
        <w:rPr>
          <w:iCs/>
        </w:rPr>
        <w:t>Arthritis/Musculoskel</w:t>
      </w:r>
      <w:r w:rsidR="003437CD">
        <w:rPr>
          <w:iCs/>
        </w:rPr>
        <w:t>e</w:t>
      </w:r>
      <w:r w:rsidRPr="003437CD" w:rsidR="003437CD">
        <w:rPr>
          <w:iCs/>
        </w:rPr>
        <w:t>tal Disease</w:t>
      </w:r>
      <w:r w:rsidR="003437CD">
        <w:rPr>
          <w:iCs/>
        </w:rPr>
        <w:t xml:space="preserve">; </w:t>
      </w:r>
      <w:r w:rsidRPr="003437CD" w:rsidR="003437CD">
        <w:rPr>
          <w:iCs/>
        </w:rPr>
        <w:t>Genetics/Genomics</w:t>
      </w:r>
      <w:r w:rsidR="003437CD">
        <w:rPr>
          <w:iCs/>
        </w:rPr>
        <w:t xml:space="preserve">; </w:t>
      </w:r>
      <w:r w:rsidRPr="003437CD" w:rsidR="003437CD">
        <w:rPr>
          <w:iCs/>
        </w:rPr>
        <w:t>Health Services Research and Health Economics</w:t>
      </w:r>
      <w:r w:rsidR="003437CD">
        <w:rPr>
          <w:iCs/>
        </w:rPr>
        <w:t xml:space="preserve">; </w:t>
      </w:r>
      <w:r w:rsidRPr="004C566D" w:rsidR="004C566D">
        <w:rPr>
          <w:iCs/>
        </w:rPr>
        <w:t>Influenza/Pneumonia</w:t>
      </w:r>
      <w:r w:rsidR="004C566D">
        <w:rPr>
          <w:iCs/>
        </w:rPr>
        <w:t xml:space="preserve">; </w:t>
      </w:r>
      <w:r w:rsidRPr="004C566D" w:rsidR="004C566D">
        <w:rPr>
          <w:iCs/>
        </w:rPr>
        <w:t>Lung Disease (Emphysema, COPD, Asthma)</w:t>
      </w:r>
      <w:r w:rsidR="004C566D">
        <w:rPr>
          <w:iCs/>
        </w:rPr>
        <w:t xml:space="preserve">; </w:t>
      </w:r>
      <w:r w:rsidRPr="004C566D" w:rsidR="004C566D">
        <w:rPr>
          <w:iCs/>
        </w:rPr>
        <w:t>Sleep and Sleep-Related Disorders</w:t>
      </w:r>
      <w:r w:rsidR="004C566D">
        <w:rPr>
          <w:iCs/>
        </w:rPr>
        <w:t xml:space="preserve">; </w:t>
      </w:r>
      <w:r w:rsidRPr="004C566D" w:rsidR="004C566D">
        <w:rPr>
          <w:iCs/>
        </w:rPr>
        <w:t>Tobacco and Electronic Nicotine Delivery Systems</w:t>
      </w:r>
      <w:r w:rsidR="004C566D">
        <w:rPr>
          <w:iCs/>
        </w:rPr>
        <w:t xml:space="preserve">; </w:t>
      </w:r>
      <w:r w:rsidRPr="004C566D" w:rsidR="004C566D">
        <w:rPr>
          <w:iCs/>
        </w:rPr>
        <w:t>Vaccine Development and Distribution</w:t>
      </w:r>
    </w:p>
    <w:p w:rsidRPr="00470DE4" w:rsidR="00470DE4" w:rsidP="00D4150C" w:rsidRDefault="00470DE4" w14:paraId="0B553E61" w14:textId="77777777">
      <w:pPr>
        <w:spacing w:after="0" w:line="240" w:lineRule="auto"/>
        <w:rPr>
          <w:iCs/>
          <w:highlight w:val="yellow"/>
        </w:rPr>
      </w:pPr>
    </w:p>
    <w:p w:rsidRPr="00470DE4" w:rsidR="00470DE4" w:rsidP="00470DE4" w:rsidRDefault="00470DE4" w14:paraId="6046BDD8" w14:textId="77777777">
      <w:pPr>
        <w:spacing w:after="0" w:line="240" w:lineRule="auto"/>
        <w:rPr>
          <w:iCs/>
        </w:rPr>
      </w:pPr>
      <w:r w:rsidRPr="00B7411F">
        <w:rPr>
          <w:iCs/>
          <w:highlight w:val="yellow"/>
        </w:rPr>
        <w:t>Settings:</w:t>
      </w:r>
    </w:p>
    <w:p w:rsidRPr="00470DE4" w:rsidR="00470DE4" w:rsidP="00470DE4" w:rsidRDefault="00470DE4" w14:paraId="14EDE090" w14:textId="77777777">
      <w:pPr>
        <w:spacing w:after="0" w:line="240" w:lineRule="auto"/>
        <w:rPr>
          <w:iCs/>
        </w:rPr>
      </w:pPr>
      <w:r w:rsidRPr="00470DE4">
        <w:rPr>
          <w:iCs/>
        </w:rPr>
        <w:tab/>
      </w:r>
      <w:r w:rsidRPr="00470DE4">
        <w:rPr>
          <w:iCs/>
          <w:highlight w:val="green"/>
        </w:rPr>
        <w:t>1 New topic</w:t>
      </w:r>
      <w:r w:rsidRPr="00470DE4">
        <w:rPr>
          <w:iCs/>
        </w:rPr>
        <w:t xml:space="preserve"> – Prisons/Correctional Facilities</w:t>
      </w:r>
    </w:p>
    <w:p w:rsidRPr="00470DE4" w:rsidR="00470DE4" w:rsidP="00470DE4" w:rsidRDefault="00470DE4" w14:paraId="04CCA6AB" w14:textId="77777777">
      <w:pPr>
        <w:spacing w:after="0" w:line="240" w:lineRule="auto"/>
        <w:rPr>
          <w:iCs/>
          <w:highlight w:val="yellow"/>
        </w:rPr>
      </w:pPr>
    </w:p>
    <w:p w:rsidRPr="00470DE4" w:rsidR="00470DE4" w:rsidP="00470DE4" w:rsidRDefault="00470DE4" w14:paraId="3A22A3FF" w14:textId="77777777">
      <w:pPr>
        <w:spacing w:after="0" w:line="240" w:lineRule="auto"/>
        <w:rPr>
          <w:iCs/>
        </w:rPr>
      </w:pPr>
      <w:r w:rsidRPr="00B7411F">
        <w:rPr>
          <w:iCs/>
          <w:highlight w:val="yellow"/>
        </w:rPr>
        <w:t>Populations:</w:t>
      </w:r>
    </w:p>
    <w:p w:rsidR="00B7411F" w:rsidP="00D4150C" w:rsidRDefault="00470DE4" w14:paraId="0D325920" w14:textId="4BB84BEF">
      <w:pPr>
        <w:contextualSpacing/>
        <w:rPr>
          <w:rFonts w:cstheme="minorHAnsi"/>
          <w:iCs/>
        </w:rPr>
      </w:pPr>
      <w:r w:rsidRPr="00470DE4">
        <w:rPr>
          <w:iCs/>
        </w:rPr>
        <w:tab/>
      </w:r>
      <w:r w:rsidRPr="00B7411F">
        <w:rPr>
          <w:rFonts w:cstheme="minorHAnsi"/>
          <w:iCs/>
          <w:highlight w:val="red"/>
        </w:rPr>
        <w:t>1 Deleted topic</w:t>
      </w:r>
      <w:r w:rsidRPr="00A70829">
        <w:rPr>
          <w:rFonts w:cstheme="minorHAnsi"/>
          <w:iCs/>
        </w:rPr>
        <w:t xml:space="preserve"> – White Americans</w:t>
      </w:r>
    </w:p>
    <w:p w:rsidR="00D4150C" w:rsidP="00D4150C" w:rsidRDefault="00D4150C" w14:paraId="7845E17E" w14:textId="77777777">
      <w:pPr>
        <w:contextualSpacing/>
        <w:rPr>
          <w:rFonts w:cstheme="minorHAnsi"/>
          <w:iCs/>
        </w:rPr>
      </w:pPr>
    </w:p>
    <w:p w:rsidR="00EB599A" w:rsidP="00D4150C" w:rsidRDefault="00EB599A" w14:paraId="25274CD1" w14:textId="4D348A87">
      <w:pPr>
        <w:contextualSpacing/>
        <w:rPr>
          <w:rFonts w:cstheme="minorHAnsi"/>
          <w:iCs/>
        </w:rPr>
      </w:pPr>
      <w:r w:rsidRPr="00D4150C">
        <w:rPr>
          <w:rFonts w:cstheme="minorHAnsi"/>
          <w:iCs/>
          <w:highlight w:val="yellow"/>
        </w:rPr>
        <w:t>NIH Review Experience</w:t>
      </w:r>
    </w:p>
    <w:p w:rsidR="005F6EB4" w:rsidP="00D4150C" w:rsidRDefault="005F6EB4" w14:paraId="4B9DD4D1" w14:textId="38100F0B">
      <w:pPr>
        <w:ind w:left="720"/>
        <w:rPr>
          <w:rFonts w:cstheme="minorHAnsi"/>
          <w:iCs/>
        </w:rPr>
      </w:pPr>
      <w:r w:rsidRPr="00D4150C">
        <w:rPr>
          <w:highlight w:val="cyan"/>
        </w:rPr>
        <w:t>Revised response:</w:t>
      </w:r>
      <w:r>
        <w:t xml:space="preserve"> “I am not currently reviewing applications but would be interested in being an ad hoc or appointed member of a study section.” </w:t>
      </w:r>
    </w:p>
    <w:p w:rsidR="00A1547E" w:rsidP="00B7411F" w:rsidRDefault="00A1547E" w14:paraId="02D7BDF2" w14:textId="5606D3FA">
      <w:pPr>
        <w:rPr>
          <w:iCs/>
        </w:rPr>
      </w:pPr>
      <w:r w:rsidRPr="00E97CD1">
        <w:rPr>
          <w:rFonts w:cstheme="minorHAnsi"/>
          <w:iCs/>
          <w:highlight w:val="yellow"/>
        </w:rPr>
        <w:t xml:space="preserve">We </w:t>
      </w:r>
      <w:r w:rsidRPr="00E97CD1" w:rsidR="0038398F">
        <w:rPr>
          <w:rFonts w:cstheme="minorHAnsi"/>
          <w:iCs/>
          <w:highlight w:val="yellow"/>
        </w:rPr>
        <w:t>are</w:t>
      </w:r>
      <w:r w:rsidRPr="00E97CD1">
        <w:rPr>
          <w:rFonts w:cstheme="minorHAnsi"/>
          <w:iCs/>
          <w:highlight w:val="yellow"/>
        </w:rPr>
        <w:t xml:space="preserve"> estimat</w:t>
      </w:r>
      <w:r w:rsidRPr="00E97CD1" w:rsidR="0038398F">
        <w:rPr>
          <w:rFonts w:cstheme="minorHAnsi"/>
          <w:iCs/>
          <w:highlight w:val="yellow"/>
        </w:rPr>
        <w:t>ing</w:t>
      </w:r>
      <w:r w:rsidRPr="00E97CD1">
        <w:rPr>
          <w:rFonts w:cstheme="minorHAnsi"/>
          <w:iCs/>
          <w:highlight w:val="yellow"/>
        </w:rPr>
        <w:t xml:space="preserve"> a lower </w:t>
      </w:r>
      <w:r w:rsidRPr="00E97CD1" w:rsidR="0038398F">
        <w:rPr>
          <w:rFonts w:cstheme="minorHAnsi"/>
          <w:iCs/>
          <w:highlight w:val="yellow"/>
        </w:rPr>
        <w:t xml:space="preserve">level of burden (1,600 </w:t>
      </w:r>
      <w:r w:rsidRPr="00E97CD1" w:rsidR="00E56052">
        <w:rPr>
          <w:rFonts w:cstheme="minorHAnsi"/>
          <w:iCs/>
          <w:highlight w:val="yellow"/>
        </w:rPr>
        <w:t>respondents</w:t>
      </w:r>
      <w:r w:rsidRPr="00E97CD1" w:rsidR="0012600C">
        <w:rPr>
          <w:rFonts w:cstheme="minorHAnsi"/>
          <w:iCs/>
          <w:highlight w:val="yellow"/>
        </w:rPr>
        <w:t xml:space="preserve"> and</w:t>
      </w:r>
      <w:r w:rsidRPr="00E97CD1" w:rsidR="00E56052">
        <w:rPr>
          <w:rFonts w:cstheme="minorHAnsi"/>
          <w:iCs/>
          <w:highlight w:val="yellow"/>
        </w:rPr>
        <w:t xml:space="preserve"> 417 annual </w:t>
      </w:r>
      <w:r w:rsidRPr="00E97CD1" w:rsidR="0012600C">
        <w:rPr>
          <w:rFonts w:cstheme="minorHAnsi"/>
          <w:iCs/>
          <w:highlight w:val="yellow"/>
        </w:rPr>
        <w:t xml:space="preserve">burden </w:t>
      </w:r>
      <w:r w:rsidRPr="00E97CD1" w:rsidR="00E56052">
        <w:rPr>
          <w:rFonts w:cstheme="minorHAnsi"/>
          <w:iCs/>
          <w:highlight w:val="yellow"/>
        </w:rPr>
        <w:t>hours)</w:t>
      </w:r>
      <w:r w:rsidRPr="00E97CD1" w:rsidR="0038398F">
        <w:rPr>
          <w:rFonts w:cstheme="minorHAnsi"/>
          <w:iCs/>
          <w:highlight w:val="yellow"/>
        </w:rPr>
        <w:t xml:space="preserve"> in this revision request than we did in our </w:t>
      </w:r>
      <w:r w:rsidRPr="00E97CD1" w:rsidR="0091355D">
        <w:rPr>
          <w:iCs/>
          <w:highlight w:val="yellow"/>
        </w:rPr>
        <w:t>last approved OMB renewal and substantive revision in November 2017</w:t>
      </w:r>
      <w:r w:rsidR="00EB516F">
        <w:rPr>
          <w:iCs/>
          <w:highlight w:val="yellow"/>
        </w:rPr>
        <w:t xml:space="preserve"> (4</w:t>
      </w:r>
      <w:r w:rsidR="00D749CE">
        <w:rPr>
          <w:iCs/>
          <w:highlight w:val="yellow"/>
        </w:rPr>
        <w:t>,</w:t>
      </w:r>
      <w:r w:rsidR="00EB516F">
        <w:rPr>
          <w:iCs/>
          <w:highlight w:val="yellow"/>
        </w:rPr>
        <w:t>120 respondents and 1</w:t>
      </w:r>
      <w:r w:rsidR="00D749CE">
        <w:rPr>
          <w:iCs/>
          <w:highlight w:val="yellow"/>
        </w:rPr>
        <w:t>,</w:t>
      </w:r>
      <w:r w:rsidR="00EB516F">
        <w:rPr>
          <w:iCs/>
          <w:highlight w:val="yellow"/>
        </w:rPr>
        <w:t>550 burden hours)</w:t>
      </w:r>
      <w:r w:rsidR="00D749CE">
        <w:rPr>
          <w:iCs/>
        </w:rPr>
        <w:t xml:space="preserve"> – see tables below</w:t>
      </w:r>
      <w:r w:rsidR="00EB516F">
        <w:rPr>
          <w:rFonts w:cstheme="minorHAnsi"/>
          <w:iCs/>
        </w:rPr>
        <w:t xml:space="preserve">. </w:t>
      </w:r>
      <w:r w:rsidR="005F430E">
        <w:rPr>
          <w:rFonts w:cstheme="minorHAnsi"/>
          <w:iCs/>
        </w:rPr>
        <w:t>As outlined in section A.12.1. above, t</w:t>
      </w:r>
      <w:r w:rsidR="0038398F">
        <w:rPr>
          <w:rFonts w:cstheme="minorHAnsi"/>
          <w:iCs/>
        </w:rPr>
        <w:t>h</w:t>
      </w:r>
      <w:r w:rsidR="0024641D">
        <w:rPr>
          <w:rFonts w:cstheme="minorHAnsi"/>
          <w:iCs/>
        </w:rPr>
        <w:t>e</w:t>
      </w:r>
      <w:r w:rsidR="0038398F">
        <w:rPr>
          <w:rFonts w:cstheme="minorHAnsi"/>
          <w:iCs/>
        </w:rPr>
        <w:t xml:space="preserve"> reduction is based </w:t>
      </w:r>
      <w:r w:rsidRPr="00D11C8D" w:rsidR="00E56052">
        <w:rPr>
          <w:iCs/>
        </w:rPr>
        <w:t>on</w:t>
      </w:r>
      <w:r w:rsidR="00E56052">
        <w:rPr>
          <w:iCs/>
        </w:rPr>
        <w:t xml:space="preserve"> the ODP’s review of</w:t>
      </w:r>
      <w:r w:rsidRPr="00D11C8D" w:rsidR="00E56052">
        <w:rPr>
          <w:iCs/>
        </w:rPr>
        <w:t xml:space="preserve"> data and analytics </w:t>
      </w:r>
      <w:r w:rsidR="0005399F">
        <w:rPr>
          <w:iCs/>
        </w:rPr>
        <w:t>for</w:t>
      </w:r>
      <w:r w:rsidRPr="00D11C8D" w:rsidR="00E56052">
        <w:rPr>
          <w:iCs/>
        </w:rPr>
        <w:t xml:space="preserve"> PRES participation </w:t>
      </w:r>
      <w:r w:rsidR="0091355D">
        <w:rPr>
          <w:iCs/>
        </w:rPr>
        <w:t xml:space="preserve">during </w:t>
      </w:r>
      <w:r w:rsidR="00EB516F">
        <w:rPr>
          <w:iCs/>
        </w:rPr>
        <w:t xml:space="preserve">the past </w:t>
      </w:r>
      <w:r w:rsidR="0091355D">
        <w:rPr>
          <w:iCs/>
        </w:rPr>
        <w:t>three-year period</w:t>
      </w:r>
      <w:r w:rsidR="00EB516F">
        <w:rPr>
          <w:iCs/>
        </w:rPr>
        <w:t xml:space="preserve"> (2017-2020)</w:t>
      </w:r>
      <w:r w:rsidR="0005399F">
        <w:rPr>
          <w:iCs/>
        </w:rPr>
        <w:t xml:space="preserve">, which indicates </w:t>
      </w:r>
      <w:r w:rsidRPr="00D11C8D" w:rsidR="00E56052">
        <w:rPr>
          <w:iCs/>
        </w:rPr>
        <w:t xml:space="preserve">the </w:t>
      </w:r>
      <w:r w:rsidR="0005399F">
        <w:rPr>
          <w:iCs/>
        </w:rPr>
        <w:t>number</w:t>
      </w:r>
      <w:r w:rsidRPr="00D11C8D" w:rsidR="00E56052">
        <w:rPr>
          <w:iCs/>
        </w:rPr>
        <w:t xml:space="preserve"> of </w:t>
      </w:r>
      <w:r w:rsidR="005F430E">
        <w:rPr>
          <w:iCs/>
        </w:rPr>
        <w:t xml:space="preserve">new investigators </w:t>
      </w:r>
      <w:r w:rsidR="003529A8">
        <w:rPr>
          <w:iCs/>
        </w:rPr>
        <w:t>who</w:t>
      </w:r>
      <w:r w:rsidR="005F430E">
        <w:rPr>
          <w:iCs/>
        </w:rPr>
        <w:t xml:space="preserve"> comple</w:t>
      </w:r>
      <w:r w:rsidR="003529A8">
        <w:rPr>
          <w:iCs/>
        </w:rPr>
        <w:t>te</w:t>
      </w:r>
      <w:r w:rsidR="005F430E">
        <w:rPr>
          <w:iCs/>
        </w:rPr>
        <w:t xml:space="preserve"> the survey for the first time</w:t>
      </w:r>
      <w:r w:rsidRPr="00D11C8D" w:rsidR="00E56052">
        <w:rPr>
          <w:iCs/>
        </w:rPr>
        <w:t xml:space="preserve"> </w:t>
      </w:r>
      <w:r w:rsidR="00A736ED">
        <w:rPr>
          <w:iCs/>
        </w:rPr>
        <w:t>has been</w:t>
      </w:r>
      <w:r w:rsidRPr="00D11C8D" w:rsidR="00E56052">
        <w:rPr>
          <w:iCs/>
        </w:rPr>
        <w:t xml:space="preserve"> approximately </w:t>
      </w:r>
      <w:r w:rsidR="00E56052">
        <w:rPr>
          <w:iCs/>
        </w:rPr>
        <w:t>50</w:t>
      </w:r>
      <w:r w:rsidRPr="00D11C8D" w:rsidR="00E56052">
        <w:rPr>
          <w:iCs/>
        </w:rPr>
        <w:t xml:space="preserve"> per </w:t>
      </w:r>
      <w:r w:rsidR="00E56052">
        <w:rPr>
          <w:iCs/>
        </w:rPr>
        <w:t>month</w:t>
      </w:r>
      <w:r w:rsidR="003529A8">
        <w:rPr>
          <w:iCs/>
        </w:rPr>
        <w:t xml:space="preserve">. </w:t>
      </w:r>
      <w:r w:rsidRPr="00D11C8D" w:rsidR="00E56052">
        <w:rPr>
          <w:iCs/>
        </w:rPr>
        <w:t xml:space="preserve">Assuming a constant rate, the PRES program should receive approximately </w:t>
      </w:r>
      <w:r w:rsidR="00E56052">
        <w:rPr>
          <w:iCs/>
        </w:rPr>
        <w:t>600</w:t>
      </w:r>
      <w:r w:rsidRPr="00D11C8D" w:rsidR="00E56052">
        <w:rPr>
          <w:iCs/>
        </w:rPr>
        <w:t xml:space="preserve"> new investigator survey completions per year. Using an estimated response time of 2</w:t>
      </w:r>
      <w:r w:rsidR="00E56052">
        <w:rPr>
          <w:iCs/>
        </w:rPr>
        <w:t>5</w:t>
      </w:r>
      <w:r w:rsidRPr="00D11C8D" w:rsidR="00E56052">
        <w:rPr>
          <w:iCs/>
        </w:rPr>
        <w:t xml:space="preserve"> minutes per survey, the annual burden for </w:t>
      </w:r>
      <w:r w:rsidR="003529A8">
        <w:rPr>
          <w:iCs/>
        </w:rPr>
        <w:t xml:space="preserve">new </w:t>
      </w:r>
      <w:r w:rsidR="00E56052">
        <w:rPr>
          <w:iCs/>
        </w:rPr>
        <w:t>survey respondents</w:t>
      </w:r>
      <w:r w:rsidRPr="00D11C8D" w:rsidR="00E56052">
        <w:rPr>
          <w:iCs/>
        </w:rPr>
        <w:t xml:space="preserve"> is 2</w:t>
      </w:r>
      <w:r w:rsidR="00E56052">
        <w:rPr>
          <w:iCs/>
        </w:rPr>
        <w:t>5</w:t>
      </w:r>
      <w:r w:rsidRPr="00D11C8D" w:rsidR="00E56052">
        <w:rPr>
          <w:iCs/>
        </w:rPr>
        <w:t>0 hours. Section A.3</w:t>
      </w:r>
      <w:r w:rsidR="00E56052">
        <w:rPr>
          <w:iCs/>
        </w:rPr>
        <w:t>.</w:t>
      </w:r>
      <w:r w:rsidRPr="00D11C8D" w:rsidR="00E56052">
        <w:rPr>
          <w:iCs/>
        </w:rPr>
        <w:t xml:space="preserve"> </w:t>
      </w:r>
      <w:r w:rsidR="00E56052">
        <w:rPr>
          <w:iCs/>
        </w:rPr>
        <w:t xml:space="preserve">above </w:t>
      </w:r>
      <w:r w:rsidRPr="00D11C8D" w:rsidR="00E56052">
        <w:rPr>
          <w:iCs/>
        </w:rPr>
        <w:t xml:space="preserve">provides additional details regarding this </w:t>
      </w:r>
      <w:r w:rsidR="003529A8">
        <w:rPr>
          <w:iCs/>
        </w:rPr>
        <w:t xml:space="preserve">burden hour </w:t>
      </w:r>
      <w:r w:rsidRPr="00D11C8D" w:rsidR="00E56052">
        <w:rPr>
          <w:iCs/>
        </w:rPr>
        <w:t xml:space="preserve">estimate. </w:t>
      </w:r>
      <w:r w:rsidR="00EB516F">
        <w:rPr>
          <w:iCs/>
        </w:rPr>
        <w:t xml:space="preserve">We also </w:t>
      </w:r>
      <w:r w:rsidR="009D11D8">
        <w:rPr>
          <w:iCs/>
        </w:rPr>
        <w:t>expect roughly 1,000 r</w:t>
      </w:r>
      <w:r w:rsidRPr="00D11C8D" w:rsidR="00E56052">
        <w:rPr>
          <w:iCs/>
        </w:rPr>
        <w:t xml:space="preserve">eturning investigators (those who have completed previous versions of the survey) will return and update their information </w:t>
      </w:r>
      <w:r w:rsidR="00CE5A7C">
        <w:rPr>
          <w:iCs/>
        </w:rPr>
        <w:t>per year</w:t>
      </w:r>
      <w:r w:rsidRPr="00D11C8D" w:rsidR="00E56052">
        <w:rPr>
          <w:iCs/>
        </w:rPr>
        <w:t xml:space="preserve">. Using an estimated response time of </w:t>
      </w:r>
      <w:r w:rsidR="00E56052">
        <w:rPr>
          <w:iCs/>
        </w:rPr>
        <w:t>10</w:t>
      </w:r>
      <w:r w:rsidRPr="00D11C8D" w:rsidR="00E56052">
        <w:rPr>
          <w:iCs/>
        </w:rPr>
        <w:t xml:space="preserve"> minutes per returning investigator to update their responses, the annual burden for those </w:t>
      </w:r>
      <w:r w:rsidR="00E56052">
        <w:rPr>
          <w:iCs/>
        </w:rPr>
        <w:t>respondents</w:t>
      </w:r>
      <w:r w:rsidRPr="00D11C8D" w:rsidR="00E56052">
        <w:rPr>
          <w:iCs/>
        </w:rPr>
        <w:t xml:space="preserve"> is </w:t>
      </w:r>
      <w:r w:rsidR="00E56052">
        <w:rPr>
          <w:iCs/>
        </w:rPr>
        <w:t>167</w:t>
      </w:r>
      <w:r w:rsidRPr="00D11C8D" w:rsidR="00E56052">
        <w:rPr>
          <w:iCs/>
        </w:rPr>
        <w:t xml:space="preserve"> hours. </w:t>
      </w:r>
      <w:r w:rsidR="0012600C">
        <w:rPr>
          <w:iCs/>
        </w:rPr>
        <w:t xml:space="preserve">This equals </w:t>
      </w:r>
      <w:r w:rsidR="00EB516F">
        <w:rPr>
          <w:iCs/>
        </w:rPr>
        <w:t xml:space="preserve">an estimated </w:t>
      </w:r>
      <w:r w:rsidR="0012600C">
        <w:rPr>
          <w:iCs/>
        </w:rPr>
        <w:t>total of 1,600 respondents annually and 417 annual burden hours</w:t>
      </w:r>
      <w:r w:rsidR="0046318B">
        <w:rPr>
          <w:iCs/>
        </w:rPr>
        <w:t xml:space="preserve"> for the current revision request</w:t>
      </w:r>
      <w:r w:rsidRPr="00D11C8D" w:rsidR="00E56052">
        <w:rPr>
          <w:iCs/>
        </w:rPr>
        <w:t>.</w:t>
      </w:r>
    </w:p>
    <w:p w:rsidR="00A746ED" w:rsidP="00B7411F" w:rsidRDefault="00A746ED" w14:paraId="5EFF0632" w14:textId="789D86F9">
      <w:pPr>
        <w:rPr>
          <w:iCs/>
        </w:rPr>
      </w:pPr>
    </w:p>
    <w:p w:rsidR="00A746ED" w:rsidP="00B7411F" w:rsidRDefault="00A746ED" w14:paraId="4E50045A" w14:textId="6EC3E14F">
      <w:pPr>
        <w:rPr>
          <w:iCs/>
        </w:rPr>
      </w:pPr>
    </w:p>
    <w:p w:rsidR="00A746ED" w:rsidP="00B7411F" w:rsidRDefault="00A746ED" w14:paraId="6BA79420" w14:textId="16EA765B">
      <w:pPr>
        <w:rPr>
          <w:iCs/>
        </w:rPr>
      </w:pPr>
    </w:p>
    <w:p w:rsidR="00A746ED" w:rsidP="00B7411F" w:rsidRDefault="00A746ED" w14:paraId="3BCB35BC" w14:textId="7DD93B5E">
      <w:pPr>
        <w:rPr>
          <w:iCs/>
        </w:rPr>
      </w:pPr>
    </w:p>
    <w:p w:rsidR="00A746ED" w:rsidP="00B7411F" w:rsidRDefault="00A746ED" w14:paraId="11C78FB2" w14:textId="77777777">
      <w:pPr>
        <w:rPr>
          <w:iCs/>
        </w:rPr>
      </w:pPr>
    </w:p>
    <w:p w:rsidR="00E51AEB" w:rsidP="00B7411F" w:rsidRDefault="002F0A40" w14:paraId="59E6918E" w14:textId="387D920D">
      <w:pPr>
        <w:rPr>
          <w:iCs/>
        </w:rPr>
      </w:pPr>
      <w:r>
        <w:rPr>
          <w:iCs/>
        </w:rPr>
        <w:t>Annual b</w:t>
      </w:r>
      <w:r w:rsidR="00E51AEB">
        <w:rPr>
          <w:iCs/>
        </w:rPr>
        <w:t>urden hours for 2017 OMB-approved PRES data collection tool: 1</w:t>
      </w:r>
      <w:r>
        <w:rPr>
          <w:iCs/>
        </w:rPr>
        <w:t>,</w:t>
      </w:r>
      <w:r w:rsidR="00E51AEB">
        <w:rPr>
          <w:iCs/>
        </w:rPr>
        <w:t>550</w:t>
      </w:r>
    </w:p>
    <w:tbl>
      <w:tblPr>
        <w:tblStyle w:val="TableGrid"/>
        <w:tblW w:w="9874" w:type="dxa"/>
        <w:tblLook w:val="04A0" w:firstRow="1" w:lastRow="0" w:firstColumn="1" w:lastColumn="0" w:noHBand="0" w:noVBand="1"/>
      </w:tblPr>
      <w:tblGrid>
        <w:gridCol w:w="2163"/>
        <w:gridCol w:w="1927"/>
        <w:gridCol w:w="1928"/>
        <w:gridCol w:w="1928"/>
        <w:gridCol w:w="1928"/>
      </w:tblGrid>
      <w:tr w:rsidRPr="00D749CE" w:rsidR="00E51AEB" w:rsidTr="0085250B" w14:paraId="7C41C009" w14:textId="77777777">
        <w:tc>
          <w:tcPr>
            <w:tcW w:w="2163" w:type="dxa"/>
          </w:tcPr>
          <w:p w:rsidRPr="00817EC7" w:rsidR="00E51AEB" w:rsidP="0085250B" w:rsidRDefault="00E51AEB" w14:paraId="0332B22C" w14:textId="77777777">
            <w:pPr>
              <w:rPr>
                <w:b/>
                <w:iCs/>
                <w:sz w:val="22"/>
                <w:szCs w:val="22"/>
              </w:rPr>
            </w:pPr>
            <w:r w:rsidRPr="00817EC7">
              <w:rPr>
                <w:b/>
                <w:iCs/>
                <w:sz w:val="22"/>
                <w:szCs w:val="22"/>
              </w:rPr>
              <w:t>Type of Respondents</w:t>
            </w:r>
          </w:p>
        </w:tc>
        <w:tc>
          <w:tcPr>
            <w:tcW w:w="1927" w:type="dxa"/>
          </w:tcPr>
          <w:p w:rsidRPr="00817EC7" w:rsidR="00E51AEB" w:rsidP="0085250B" w:rsidRDefault="00E51AEB" w14:paraId="4AE9E68D" w14:textId="77777777">
            <w:pPr>
              <w:rPr>
                <w:b/>
                <w:iCs/>
                <w:sz w:val="22"/>
                <w:szCs w:val="22"/>
              </w:rPr>
            </w:pPr>
            <w:r w:rsidRPr="00817EC7">
              <w:rPr>
                <w:b/>
                <w:iCs/>
                <w:sz w:val="22"/>
                <w:szCs w:val="22"/>
              </w:rPr>
              <w:t>Number of Respondents</w:t>
            </w:r>
          </w:p>
        </w:tc>
        <w:tc>
          <w:tcPr>
            <w:tcW w:w="1928" w:type="dxa"/>
          </w:tcPr>
          <w:p w:rsidRPr="00817EC7" w:rsidR="00E51AEB" w:rsidP="0085250B" w:rsidRDefault="00E51AEB" w14:paraId="0A3E7B48" w14:textId="77777777">
            <w:pPr>
              <w:rPr>
                <w:b/>
                <w:iCs/>
                <w:sz w:val="22"/>
                <w:szCs w:val="22"/>
              </w:rPr>
            </w:pPr>
            <w:r w:rsidRPr="00817EC7">
              <w:rPr>
                <w:b/>
                <w:iCs/>
                <w:sz w:val="22"/>
                <w:szCs w:val="22"/>
              </w:rPr>
              <w:t>Number of Responses per Respondent</w:t>
            </w:r>
          </w:p>
        </w:tc>
        <w:tc>
          <w:tcPr>
            <w:tcW w:w="1928" w:type="dxa"/>
          </w:tcPr>
          <w:p w:rsidRPr="00817EC7" w:rsidR="00E51AEB" w:rsidP="0085250B" w:rsidRDefault="00E51AEB" w14:paraId="1A0C2B49" w14:textId="77777777">
            <w:pPr>
              <w:rPr>
                <w:b/>
                <w:iCs/>
                <w:sz w:val="22"/>
                <w:szCs w:val="22"/>
              </w:rPr>
            </w:pPr>
            <w:r w:rsidRPr="00817EC7">
              <w:rPr>
                <w:b/>
                <w:iCs/>
                <w:sz w:val="22"/>
                <w:szCs w:val="22"/>
              </w:rPr>
              <w:t>Average Burden Per Response (in hours)</w:t>
            </w:r>
          </w:p>
        </w:tc>
        <w:tc>
          <w:tcPr>
            <w:tcW w:w="1928" w:type="dxa"/>
          </w:tcPr>
          <w:p w:rsidRPr="00817EC7" w:rsidR="00E51AEB" w:rsidP="0085250B" w:rsidRDefault="00E51AEB" w14:paraId="5FE556DA" w14:textId="77777777">
            <w:pPr>
              <w:rPr>
                <w:b/>
                <w:iCs/>
                <w:sz w:val="22"/>
                <w:szCs w:val="22"/>
              </w:rPr>
            </w:pPr>
            <w:r w:rsidRPr="00817EC7">
              <w:rPr>
                <w:b/>
                <w:iCs/>
                <w:sz w:val="22"/>
                <w:szCs w:val="22"/>
              </w:rPr>
              <w:t xml:space="preserve">Total Annual Burden Hours </w:t>
            </w:r>
          </w:p>
        </w:tc>
      </w:tr>
      <w:tr w:rsidRPr="00D749CE" w:rsidR="00E51AEB" w:rsidTr="0085250B" w14:paraId="767C55F4" w14:textId="77777777">
        <w:tc>
          <w:tcPr>
            <w:tcW w:w="2163" w:type="dxa"/>
          </w:tcPr>
          <w:p w:rsidRPr="00817EC7" w:rsidR="00E51AEB" w:rsidP="0085250B" w:rsidRDefault="00E51AEB" w14:paraId="0171071E" w14:textId="77777777">
            <w:pPr>
              <w:rPr>
                <w:iCs/>
                <w:sz w:val="22"/>
                <w:szCs w:val="22"/>
              </w:rPr>
            </w:pPr>
            <w:r w:rsidRPr="00817EC7">
              <w:rPr>
                <w:iCs/>
                <w:sz w:val="22"/>
                <w:szCs w:val="22"/>
              </w:rPr>
              <w:t>Investigators</w:t>
            </w:r>
          </w:p>
        </w:tc>
        <w:tc>
          <w:tcPr>
            <w:tcW w:w="1927" w:type="dxa"/>
          </w:tcPr>
          <w:p w:rsidRPr="00817EC7" w:rsidR="00E51AEB" w:rsidP="0085250B" w:rsidRDefault="00E51AEB" w14:paraId="682AC876" w14:textId="5BA28727">
            <w:pPr>
              <w:rPr>
                <w:iCs/>
                <w:sz w:val="22"/>
                <w:szCs w:val="22"/>
              </w:rPr>
            </w:pPr>
            <w:r w:rsidRPr="00817EC7">
              <w:rPr>
                <w:iCs/>
                <w:sz w:val="22"/>
                <w:szCs w:val="22"/>
              </w:rPr>
              <w:t>3</w:t>
            </w:r>
            <w:r w:rsidRPr="00817EC7" w:rsidR="00D749CE">
              <w:rPr>
                <w:iCs/>
                <w:sz w:val="22"/>
                <w:szCs w:val="22"/>
              </w:rPr>
              <w:t>,</w:t>
            </w:r>
            <w:r w:rsidRPr="00817EC7">
              <w:rPr>
                <w:iCs/>
                <w:sz w:val="22"/>
                <w:szCs w:val="22"/>
              </w:rPr>
              <w:t>120</w:t>
            </w:r>
          </w:p>
        </w:tc>
        <w:tc>
          <w:tcPr>
            <w:tcW w:w="1928" w:type="dxa"/>
          </w:tcPr>
          <w:p w:rsidRPr="00817EC7" w:rsidR="00E51AEB" w:rsidP="0085250B" w:rsidRDefault="00E51AEB" w14:paraId="4C594A68" w14:textId="77777777">
            <w:pPr>
              <w:rPr>
                <w:iCs/>
                <w:sz w:val="22"/>
                <w:szCs w:val="22"/>
              </w:rPr>
            </w:pPr>
            <w:r w:rsidRPr="00817EC7">
              <w:rPr>
                <w:iCs/>
                <w:sz w:val="22"/>
                <w:szCs w:val="22"/>
              </w:rPr>
              <w:t>1</w:t>
            </w:r>
          </w:p>
        </w:tc>
        <w:tc>
          <w:tcPr>
            <w:tcW w:w="1928" w:type="dxa"/>
          </w:tcPr>
          <w:p w:rsidRPr="00817EC7" w:rsidR="00E51AEB" w:rsidP="0085250B" w:rsidRDefault="00E51AEB" w14:paraId="18886089" w14:textId="1FAB6D7B">
            <w:pPr>
              <w:rPr>
                <w:iCs/>
                <w:sz w:val="22"/>
                <w:szCs w:val="22"/>
              </w:rPr>
            </w:pPr>
            <w:r w:rsidRPr="00817EC7">
              <w:rPr>
                <w:iCs/>
                <w:sz w:val="22"/>
                <w:szCs w:val="22"/>
              </w:rPr>
              <w:t>25/60</w:t>
            </w:r>
          </w:p>
        </w:tc>
        <w:tc>
          <w:tcPr>
            <w:tcW w:w="1928" w:type="dxa"/>
          </w:tcPr>
          <w:p w:rsidRPr="00817EC7" w:rsidR="00E51AEB" w:rsidP="0085250B" w:rsidRDefault="00E51AEB" w14:paraId="42EC18B3" w14:textId="0B88174A">
            <w:pPr>
              <w:rPr>
                <w:iCs/>
                <w:sz w:val="22"/>
                <w:szCs w:val="22"/>
              </w:rPr>
            </w:pPr>
            <w:r w:rsidRPr="00817EC7">
              <w:rPr>
                <w:iCs/>
                <w:sz w:val="22"/>
                <w:szCs w:val="22"/>
              </w:rPr>
              <w:t>1</w:t>
            </w:r>
            <w:r w:rsidRPr="00817EC7" w:rsidR="00D749CE">
              <w:rPr>
                <w:iCs/>
                <w:sz w:val="22"/>
                <w:szCs w:val="22"/>
              </w:rPr>
              <w:t>,</w:t>
            </w:r>
            <w:r w:rsidRPr="00817EC7">
              <w:rPr>
                <w:iCs/>
                <w:sz w:val="22"/>
                <w:szCs w:val="22"/>
              </w:rPr>
              <w:t>300</w:t>
            </w:r>
          </w:p>
        </w:tc>
      </w:tr>
      <w:tr w:rsidRPr="00D749CE" w:rsidR="00E51AEB" w:rsidTr="0085250B" w14:paraId="78C2BA8E" w14:textId="77777777">
        <w:tc>
          <w:tcPr>
            <w:tcW w:w="2163" w:type="dxa"/>
          </w:tcPr>
          <w:p w:rsidRPr="00817EC7" w:rsidR="00E51AEB" w:rsidP="0085250B" w:rsidRDefault="00E51AEB" w14:paraId="1AFA640F" w14:textId="77777777">
            <w:pPr>
              <w:rPr>
                <w:iCs/>
                <w:sz w:val="22"/>
                <w:szCs w:val="22"/>
              </w:rPr>
            </w:pPr>
            <w:r w:rsidRPr="00817EC7">
              <w:rPr>
                <w:iCs/>
                <w:sz w:val="22"/>
                <w:szCs w:val="22"/>
              </w:rPr>
              <w:t>Returning Investigators to update information</w:t>
            </w:r>
          </w:p>
        </w:tc>
        <w:tc>
          <w:tcPr>
            <w:tcW w:w="1927" w:type="dxa"/>
          </w:tcPr>
          <w:p w:rsidRPr="00817EC7" w:rsidR="00E51AEB" w:rsidP="0085250B" w:rsidRDefault="00E51AEB" w14:paraId="12DD5504" w14:textId="512D4A60">
            <w:pPr>
              <w:rPr>
                <w:iCs/>
                <w:sz w:val="22"/>
                <w:szCs w:val="22"/>
              </w:rPr>
            </w:pPr>
            <w:r w:rsidRPr="00817EC7">
              <w:rPr>
                <w:iCs/>
                <w:sz w:val="22"/>
                <w:szCs w:val="22"/>
              </w:rPr>
              <w:t>1</w:t>
            </w:r>
            <w:r w:rsidRPr="00817EC7" w:rsidR="00D749CE">
              <w:rPr>
                <w:iCs/>
                <w:sz w:val="22"/>
                <w:szCs w:val="22"/>
              </w:rPr>
              <w:t>,</w:t>
            </w:r>
            <w:r w:rsidRPr="00817EC7">
              <w:rPr>
                <w:iCs/>
                <w:sz w:val="22"/>
                <w:szCs w:val="22"/>
              </w:rPr>
              <w:t>000</w:t>
            </w:r>
          </w:p>
        </w:tc>
        <w:tc>
          <w:tcPr>
            <w:tcW w:w="1928" w:type="dxa"/>
          </w:tcPr>
          <w:p w:rsidRPr="00817EC7" w:rsidR="00E51AEB" w:rsidP="0085250B" w:rsidRDefault="00E51AEB" w14:paraId="50132B75" w14:textId="77777777">
            <w:pPr>
              <w:rPr>
                <w:iCs/>
                <w:sz w:val="22"/>
                <w:szCs w:val="22"/>
              </w:rPr>
            </w:pPr>
            <w:r w:rsidRPr="00817EC7">
              <w:rPr>
                <w:iCs/>
                <w:sz w:val="22"/>
                <w:szCs w:val="22"/>
              </w:rPr>
              <w:t>1</w:t>
            </w:r>
          </w:p>
        </w:tc>
        <w:tc>
          <w:tcPr>
            <w:tcW w:w="1928" w:type="dxa"/>
          </w:tcPr>
          <w:p w:rsidRPr="00817EC7" w:rsidR="00E51AEB" w:rsidP="0085250B" w:rsidRDefault="00E51AEB" w14:paraId="0A76F967" w14:textId="77777777">
            <w:pPr>
              <w:rPr>
                <w:iCs/>
                <w:sz w:val="22"/>
                <w:szCs w:val="22"/>
              </w:rPr>
            </w:pPr>
            <w:r w:rsidRPr="00817EC7">
              <w:rPr>
                <w:iCs/>
                <w:sz w:val="22"/>
                <w:szCs w:val="22"/>
              </w:rPr>
              <w:t>15/60</w:t>
            </w:r>
          </w:p>
        </w:tc>
        <w:tc>
          <w:tcPr>
            <w:tcW w:w="1928" w:type="dxa"/>
          </w:tcPr>
          <w:p w:rsidRPr="00817EC7" w:rsidR="00E51AEB" w:rsidP="0085250B" w:rsidRDefault="00E51AEB" w14:paraId="114AAC5A" w14:textId="77777777">
            <w:pPr>
              <w:rPr>
                <w:iCs/>
                <w:sz w:val="22"/>
                <w:szCs w:val="22"/>
              </w:rPr>
            </w:pPr>
            <w:r w:rsidRPr="00817EC7">
              <w:rPr>
                <w:iCs/>
                <w:sz w:val="22"/>
                <w:szCs w:val="22"/>
              </w:rPr>
              <w:t>250</w:t>
            </w:r>
          </w:p>
        </w:tc>
      </w:tr>
      <w:tr w:rsidRPr="00D749CE" w:rsidR="00E51AEB" w:rsidTr="0085250B" w14:paraId="026764F1" w14:textId="77777777">
        <w:tc>
          <w:tcPr>
            <w:tcW w:w="2163" w:type="dxa"/>
          </w:tcPr>
          <w:p w:rsidRPr="00817EC7" w:rsidR="00E51AEB" w:rsidP="0085250B" w:rsidRDefault="00E51AEB" w14:paraId="617BCCD3" w14:textId="77777777">
            <w:pPr>
              <w:rPr>
                <w:iCs/>
                <w:sz w:val="22"/>
                <w:szCs w:val="22"/>
              </w:rPr>
            </w:pPr>
            <w:r w:rsidRPr="00817EC7">
              <w:rPr>
                <w:iCs/>
                <w:sz w:val="22"/>
                <w:szCs w:val="22"/>
              </w:rPr>
              <w:t>Total</w:t>
            </w:r>
          </w:p>
        </w:tc>
        <w:tc>
          <w:tcPr>
            <w:tcW w:w="1927" w:type="dxa"/>
          </w:tcPr>
          <w:p w:rsidRPr="00817EC7" w:rsidR="00E51AEB" w:rsidP="0085250B" w:rsidRDefault="00E51AEB" w14:paraId="656DA293" w14:textId="194A50A7">
            <w:pPr>
              <w:rPr>
                <w:iCs/>
                <w:sz w:val="22"/>
                <w:szCs w:val="22"/>
              </w:rPr>
            </w:pPr>
          </w:p>
        </w:tc>
        <w:tc>
          <w:tcPr>
            <w:tcW w:w="1928" w:type="dxa"/>
          </w:tcPr>
          <w:p w:rsidRPr="00817EC7" w:rsidR="00E51AEB" w:rsidP="0085250B" w:rsidRDefault="00E51AEB" w14:paraId="3A02DF22" w14:textId="0B1DE3CA">
            <w:pPr>
              <w:rPr>
                <w:iCs/>
                <w:sz w:val="22"/>
                <w:szCs w:val="22"/>
              </w:rPr>
            </w:pPr>
            <w:r w:rsidRPr="00817EC7">
              <w:rPr>
                <w:iCs/>
                <w:sz w:val="22"/>
                <w:szCs w:val="22"/>
              </w:rPr>
              <w:t>4</w:t>
            </w:r>
            <w:r w:rsidRPr="00817EC7" w:rsidR="00D749CE">
              <w:rPr>
                <w:iCs/>
                <w:sz w:val="22"/>
                <w:szCs w:val="22"/>
              </w:rPr>
              <w:t>,</w:t>
            </w:r>
            <w:r w:rsidRPr="00817EC7">
              <w:rPr>
                <w:iCs/>
                <w:sz w:val="22"/>
                <w:szCs w:val="22"/>
              </w:rPr>
              <w:t>120</w:t>
            </w:r>
          </w:p>
        </w:tc>
        <w:tc>
          <w:tcPr>
            <w:tcW w:w="1928" w:type="dxa"/>
            <w:shd w:val="clear" w:color="auto" w:fill="D9D9D9" w:themeFill="background1" w:themeFillShade="D9"/>
          </w:tcPr>
          <w:p w:rsidRPr="00817EC7" w:rsidR="00E51AEB" w:rsidP="0085250B" w:rsidRDefault="00E51AEB" w14:paraId="1B36ED40" w14:textId="77777777">
            <w:pPr>
              <w:rPr>
                <w:iCs/>
                <w:sz w:val="22"/>
                <w:szCs w:val="22"/>
              </w:rPr>
            </w:pPr>
          </w:p>
        </w:tc>
        <w:tc>
          <w:tcPr>
            <w:tcW w:w="1928" w:type="dxa"/>
          </w:tcPr>
          <w:p w:rsidRPr="00817EC7" w:rsidR="00E51AEB" w:rsidP="0085250B" w:rsidRDefault="00E51AEB" w14:paraId="2538782F" w14:textId="77777777">
            <w:pPr>
              <w:rPr>
                <w:iCs/>
                <w:sz w:val="22"/>
                <w:szCs w:val="22"/>
              </w:rPr>
            </w:pPr>
            <w:r w:rsidRPr="00817EC7">
              <w:rPr>
                <w:iCs/>
                <w:sz w:val="22"/>
                <w:szCs w:val="22"/>
              </w:rPr>
              <w:t>1550</w:t>
            </w:r>
          </w:p>
        </w:tc>
      </w:tr>
    </w:tbl>
    <w:p w:rsidR="00E51AEB" w:rsidP="00B7411F" w:rsidRDefault="00E51AEB" w14:paraId="09BC8C63" w14:textId="255EF465"/>
    <w:p w:rsidR="00E51AEB" w:rsidP="00B7411F" w:rsidRDefault="00E51AEB" w14:paraId="46D29E5B" w14:textId="15B32C79">
      <w:r>
        <w:t xml:space="preserve">Revised </w:t>
      </w:r>
      <w:r w:rsidR="002F0A40">
        <w:t xml:space="preserve">annual </w:t>
      </w:r>
      <w:r w:rsidR="00D749CE">
        <w:t>b</w:t>
      </w:r>
      <w:r>
        <w:t xml:space="preserve">urden hours for </w:t>
      </w:r>
      <w:r w:rsidR="00D749CE">
        <w:t>c</w:t>
      </w:r>
      <w:r>
        <w:t xml:space="preserve">urrent OMB revision request for PRES data collection tool: 417 </w:t>
      </w:r>
    </w:p>
    <w:tbl>
      <w:tblPr>
        <w:tblStyle w:val="TableGrid"/>
        <w:tblW w:w="9874" w:type="dxa"/>
        <w:tblLook w:val="04A0" w:firstRow="1" w:lastRow="0" w:firstColumn="1" w:lastColumn="0" w:noHBand="0" w:noVBand="1"/>
      </w:tblPr>
      <w:tblGrid>
        <w:gridCol w:w="2163"/>
        <w:gridCol w:w="1927"/>
        <w:gridCol w:w="1928"/>
        <w:gridCol w:w="1928"/>
        <w:gridCol w:w="1928"/>
      </w:tblGrid>
      <w:tr w:rsidRPr="00B72440" w:rsidR="00E51AEB" w:rsidTr="0085250B" w14:paraId="6F572570" w14:textId="77777777">
        <w:tc>
          <w:tcPr>
            <w:tcW w:w="2163" w:type="dxa"/>
          </w:tcPr>
          <w:p w:rsidRPr="00B72440" w:rsidR="00E51AEB" w:rsidP="0085250B" w:rsidRDefault="00E51AEB" w14:paraId="0D18DEA1" w14:textId="77777777">
            <w:pPr>
              <w:spacing w:after="160" w:line="259" w:lineRule="auto"/>
              <w:rPr>
                <w:b/>
                <w:iCs/>
                <w:sz w:val="22"/>
                <w:szCs w:val="22"/>
              </w:rPr>
            </w:pPr>
            <w:r w:rsidRPr="00B72440">
              <w:rPr>
                <w:b/>
                <w:iCs/>
                <w:sz w:val="22"/>
                <w:szCs w:val="22"/>
              </w:rPr>
              <w:t>Type of Respondents</w:t>
            </w:r>
          </w:p>
        </w:tc>
        <w:tc>
          <w:tcPr>
            <w:tcW w:w="1927" w:type="dxa"/>
          </w:tcPr>
          <w:p w:rsidRPr="00B72440" w:rsidR="00E51AEB" w:rsidP="0085250B" w:rsidRDefault="00E51AEB" w14:paraId="0E21710D" w14:textId="77777777">
            <w:pPr>
              <w:spacing w:after="160" w:line="259" w:lineRule="auto"/>
              <w:rPr>
                <w:b/>
                <w:iCs/>
                <w:sz w:val="22"/>
                <w:szCs w:val="22"/>
              </w:rPr>
            </w:pPr>
            <w:r w:rsidRPr="00B72440">
              <w:rPr>
                <w:b/>
                <w:iCs/>
                <w:sz w:val="22"/>
                <w:szCs w:val="22"/>
              </w:rPr>
              <w:t>Number of Respondents</w:t>
            </w:r>
          </w:p>
        </w:tc>
        <w:tc>
          <w:tcPr>
            <w:tcW w:w="1928" w:type="dxa"/>
          </w:tcPr>
          <w:p w:rsidRPr="00B72440" w:rsidR="00E51AEB" w:rsidP="0085250B" w:rsidRDefault="00E51AEB" w14:paraId="33FAB9CB" w14:textId="77777777">
            <w:pPr>
              <w:spacing w:after="160" w:line="259" w:lineRule="auto"/>
              <w:rPr>
                <w:b/>
                <w:iCs/>
                <w:sz w:val="22"/>
                <w:szCs w:val="22"/>
              </w:rPr>
            </w:pPr>
            <w:r w:rsidRPr="00B72440">
              <w:rPr>
                <w:b/>
                <w:iCs/>
                <w:sz w:val="22"/>
                <w:szCs w:val="22"/>
              </w:rPr>
              <w:t>Number of Responses per Respondent</w:t>
            </w:r>
          </w:p>
        </w:tc>
        <w:tc>
          <w:tcPr>
            <w:tcW w:w="1928" w:type="dxa"/>
          </w:tcPr>
          <w:p w:rsidRPr="00B72440" w:rsidR="00E51AEB" w:rsidP="0085250B" w:rsidRDefault="00E51AEB" w14:paraId="34B671D2" w14:textId="77777777">
            <w:pPr>
              <w:spacing w:after="160" w:line="259" w:lineRule="auto"/>
              <w:rPr>
                <w:b/>
                <w:iCs/>
                <w:sz w:val="22"/>
                <w:szCs w:val="22"/>
              </w:rPr>
            </w:pPr>
            <w:r w:rsidRPr="00B72440">
              <w:rPr>
                <w:b/>
                <w:iCs/>
                <w:sz w:val="22"/>
                <w:szCs w:val="22"/>
              </w:rPr>
              <w:t>Average Burden Per Response (in hours)</w:t>
            </w:r>
          </w:p>
        </w:tc>
        <w:tc>
          <w:tcPr>
            <w:tcW w:w="1928" w:type="dxa"/>
          </w:tcPr>
          <w:p w:rsidRPr="00B72440" w:rsidR="00E51AEB" w:rsidP="0085250B" w:rsidRDefault="00E51AEB" w14:paraId="56394D4B" w14:textId="77777777">
            <w:pPr>
              <w:spacing w:after="160" w:line="259" w:lineRule="auto"/>
              <w:rPr>
                <w:b/>
                <w:iCs/>
                <w:sz w:val="22"/>
                <w:szCs w:val="22"/>
              </w:rPr>
            </w:pPr>
            <w:r w:rsidRPr="00B72440">
              <w:rPr>
                <w:b/>
                <w:iCs/>
                <w:sz w:val="22"/>
                <w:szCs w:val="22"/>
              </w:rPr>
              <w:t xml:space="preserve">Total Annual Burden Hours </w:t>
            </w:r>
          </w:p>
        </w:tc>
      </w:tr>
      <w:tr w:rsidRPr="00B72440" w:rsidR="00E51AEB" w:rsidTr="0085250B" w14:paraId="3BE04DCE" w14:textId="77777777">
        <w:tc>
          <w:tcPr>
            <w:tcW w:w="2163" w:type="dxa"/>
          </w:tcPr>
          <w:p w:rsidRPr="00B72440" w:rsidR="00E51AEB" w:rsidP="0085250B" w:rsidRDefault="00E51AEB" w14:paraId="7D4428CE" w14:textId="77777777">
            <w:pPr>
              <w:spacing w:after="160" w:line="259" w:lineRule="auto"/>
              <w:rPr>
                <w:iCs/>
                <w:sz w:val="22"/>
                <w:szCs w:val="22"/>
              </w:rPr>
            </w:pPr>
            <w:r>
              <w:rPr>
                <w:iCs/>
                <w:sz w:val="22"/>
                <w:szCs w:val="22"/>
              </w:rPr>
              <w:t xml:space="preserve">New </w:t>
            </w:r>
            <w:r w:rsidRPr="00B72440">
              <w:rPr>
                <w:iCs/>
                <w:sz w:val="22"/>
                <w:szCs w:val="22"/>
              </w:rPr>
              <w:t>Investigators</w:t>
            </w:r>
          </w:p>
        </w:tc>
        <w:tc>
          <w:tcPr>
            <w:tcW w:w="1927" w:type="dxa"/>
          </w:tcPr>
          <w:p w:rsidRPr="00B72440" w:rsidR="00E51AEB" w:rsidP="0085250B" w:rsidRDefault="00E51AEB" w14:paraId="3ADE4F10" w14:textId="77777777">
            <w:pPr>
              <w:spacing w:after="160" w:line="259" w:lineRule="auto"/>
              <w:rPr>
                <w:iCs/>
                <w:sz w:val="22"/>
                <w:szCs w:val="22"/>
              </w:rPr>
            </w:pPr>
            <w:r>
              <w:rPr>
                <w:iCs/>
                <w:sz w:val="22"/>
                <w:szCs w:val="22"/>
              </w:rPr>
              <w:t>600</w:t>
            </w:r>
          </w:p>
        </w:tc>
        <w:tc>
          <w:tcPr>
            <w:tcW w:w="1928" w:type="dxa"/>
          </w:tcPr>
          <w:p w:rsidRPr="00B72440" w:rsidR="00E51AEB" w:rsidP="0085250B" w:rsidRDefault="00E51AEB" w14:paraId="7D8BE5C3" w14:textId="77777777">
            <w:pPr>
              <w:spacing w:after="160" w:line="259" w:lineRule="auto"/>
              <w:rPr>
                <w:iCs/>
                <w:sz w:val="22"/>
                <w:szCs w:val="22"/>
              </w:rPr>
            </w:pPr>
            <w:r w:rsidRPr="00B72440">
              <w:rPr>
                <w:iCs/>
                <w:sz w:val="22"/>
                <w:szCs w:val="22"/>
              </w:rPr>
              <w:t>1</w:t>
            </w:r>
          </w:p>
        </w:tc>
        <w:tc>
          <w:tcPr>
            <w:tcW w:w="1928" w:type="dxa"/>
          </w:tcPr>
          <w:p w:rsidRPr="00B72440" w:rsidR="00E51AEB" w:rsidP="0085250B" w:rsidRDefault="00E51AEB" w14:paraId="7AFA5895" w14:textId="77777777">
            <w:pPr>
              <w:spacing w:after="160" w:line="259" w:lineRule="auto"/>
              <w:rPr>
                <w:iCs/>
                <w:sz w:val="22"/>
                <w:szCs w:val="22"/>
              </w:rPr>
            </w:pPr>
            <w:r w:rsidRPr="00B72440">
              <w:rPr>
                <w:iCs/>
                <w:sz w:val="22"/>
                <w:szCs w:val="22"/>
              </w:rPr>
              <w:t>2</w:t>
            </w:r>
            <w:r>
              <w:rPr>
                <w:iCs/>
                <w:sz w:val="22"/>
                <w:szCs w:val="22"/>
              </w:rPr>
              <w:t>5</w:t>
            </w:r>
            <w:r w:rsidRPr="00B72440">
              <w:rPr>
                <w:iCs/>
                <w:sz w:val="22"/>
                <w:szCs w:val="22"/>
              </w:rPr>
              <w:t>/60</w:t>
            </w:r>
          </w:p>
        </w:tc>
        <w:tc>
          <w:tcPr>
            <w:tcW w:w="1928" w:type="dxa"/>
          </w:tcPr>
          <w:p w:rsidRPr="00B72440" w:rsidR="00E51AEB" w:rsidP="0085250B" w:rsidRDefault="00E51AEB" w14:paraId="712537F3" w14:textId="77777777">
            <w:pPr>
              <w:spacing w:after="160" w:line="259" w:lineRule="auto"/>
              <w:rPr>
                <w:iCs/>
                <w:sz w:val="22"/>
                <w:szCs w:val="22"/>
              </w:rPr>
            </w:pPr>
            <w:r>
              <w:rPr>
                <w:iCs/>
                <w:sz w:val="22"/>
                <w:szCs w:val="22"/>
              </w:rPr>
              <w:t>250</w:t>
            </w:r>
          </w:p>
        </w:tc>
      </w:tr>
      <w:tr w:rsidRPr="00B72440" w:rsidR="00E51AEB" w:rsidTr="0085250B" w14:paraId="72536BA6" w14:textId="77777777">
        <w:tc>
          <w:tcPr>
            <w:tcW w:w="2163" w:type="dxa"/>
          </w:tcPr>
          <w:p w:rsidRPr="00B72440" w:rsidR="00E51AEB" w:rsidP="0085250B" w:rsidRDefault="00E51AEB" w14:paraId="27159A4D" w14:textId="77777777">
            <w:pPr>
              <w:spacing w:after="160" w:line="259" w:lineRule="auto"/>
              <w:rPr>
                <w:iCs/>
                <w:sz w:val="22"/>
                <w:szCs w:val="22"/>
              </w:rPr>
            </w:pPr>
            <w:r w:rsidRPr="00B72440">
              <w:rPr>
                <w:iCs/>
                <w:sz w:val="22"/>
                <w:szCs w:val="22"/>
              </w:rPr>
              <w:t>Returning Investigators to update information</w:t>
            </w:r>
          </w:p>
        </w:tc>
        <w:tc>
          <w:tcPr>
            <w:tcW w:w="1927" w:type="dxa"/>
          </w:tcPr>
          <w:p w:rsidRPr="00B72440" w:rsidR="00E51AEB" w:rsidP="0085250B" w:rsidRDefault="00E51AEB" w14:paraId="02CD33E0" w14:textId="77777777">
            <w:pPr>
              <w:spacing w:after="160" w:line="259" w:lineRule="auto"/>
              <w:rPr>
                <w:iCs/>
                <w:sz w:val="22"/>
                <w:szCs w:val="22"/>
              </w:rPr>
            </w:pPr>
            <w:r w:rsidRPr="00B72440">
              <w:rPr>
                <w:iCs/>
                <w:sz w:val="22"/>
                <w:szCs w:val="22"/>
              </w:rPr>
              <w:t>1,000</w:t>
            </w:r>
          </w:p>
        </w:tc>
        <w:tc>
          <w:tcPr>
            <w:tcW w:w="1928" w:type="dxa"/>
          </w:tcPr>
          <w:p w:rsidRPr="00B72440" w:rsidR="00E51AEB" w:rsidP="0085250B" w:rsidRDefault="00E51AEB" w14:paraId="154BB8D2" w14:textId="77777777">
            <w:pPr>
              <w:spacing w:after="160" w:line="259" w:lineRule="auto"/>
              <w:rPr>
                <w:iCs/>
                <w:sz w:val="22"/>
                <w:szCs w:val="22"/>
              </w:rPr>
            </w:pPr>
            <w:r w:rsidRPr="00B72440">
              <w:rPr>
                <w:iCs/>
                <w:sz w:val="22"/>
                <w:szCs w:val="22"/>
              </w:rPr>
              <w:t>1</w:t>
            </w:r>
          </w:p>
        </w:tc>
        <w:tc>
          <w:tcPr>
            <w:tcW w:w="1928" w:type="dxa"/>
          </w:tcPr>
          <w:p w:rsidRPr="00B72440" w:rsidR="00E51AEB" w:rsidP="0085250B" w:rsidRDefault="00E51AEB" w14:paraId="14FE1CB9" w14:textId="77777777">
            <w:pPr>
              <w:spacing w:after="160" w:line="259" w:lineRule="auto"/>
              <w:rPr>
                <w:iCs/>
                <w:sz w:val="22"/>
                <w:szCs w:val="22"/>
              </w:rPr>
            </w:pPr>
            <w:r>
              <w:rPr>
                <w:iCs/>
                <w:sz w:val="22"/>
                <w:szCs w:val="22"/>
              </w:rPr>
              <w:t>10</w:t>
            </w:r>
            <w:r w:rsidRPr="00B72440">
              <w:rPr>
                <w:iCs/>
                <w:sz w:val="22"/>
                <w:szCs w:val="22"/>
              </w:rPr>
              <w:t>/60</w:t>
            </w:r>
          </w:p>
        </w:tc>
        <w:tc>
          <w:tcPr>
            <w:tcW w:w="1928" w:type="dxa"/>
          </w:tcPr>
          <w:p w:rsidRPr="00B72440" w:rsidR="00E51AEB" w:rsidP="0085250B" w:rsidRDefault="00E51AEB" w14:paraId="73A093CF" w14:textId="77777777">
            <w:pPr>
              <w:spacing w:after="160" w:line="259" w:lineRule="auto"/>
              <w:rPr>
                <w:iCs/>
                <w:sz w:val="22"/>
                <w:szCs w:val="22"/>
              </w:rPr>
            </w:pPr>
            <w:r>
              <w:rPr>
                <w:iCs/>
                <w:sz w:val="22"/>
                <w:szCs w:val="22"/>
              </w:rPr>
              <w:t>167</w:t>
            </w:r>
          </w:p>
        </w:tc>
      </w:tr>
      <w:tr w:rsidRPr="00B72440" w:rsidR="00E51AEB" w:rsidTr="0085250B" w14:paraId="03C6E70A" w14:textId="77777777">
        <w:tc>
          <w:tcPr>
            <w:tcW w:w="2163" w:type="dxa"/>
          </w:tcPr>
          <w:p w:rsidRPr="00B72440" w:rsidR="00E51AEB" w:rsidP="0085250B" w:rsidRDefault="00E51AEB" w14:paraId="0555BE76" w14:textId="77777777">
            <w:pPr>
              <w:spacing w:after="160" w:line="259" w:lineRule="auto"/>
              <w:rPr>
                <w:iCs/>
                <w:sz w:val="22"/>
                <w:szCs w:val="22"/>
              </w:rPr>
            </w:pPr>
            <w:r w:rsidRPr="00B72440">
              <w:rPr>
                <w:iCs/>
                <w:sz w:val="22"/>
                <w:szCs w:val="22"/>
              </w:rPr>
              <w:t>Total</w:t>
            </w:r>
          </w:p>
        </w:tc>
        <w:tc>
          <w:tcPr>
            <w:tcW w:w="1927" w:type="dxa"/>
          </w:tcPr>
          <w:p w:rsidRPr="00B72440" w:rsidR="00E51AEB" w:rsidP="0085250B" w:rsidRDefault="00E51AEB" w14:paraId="457871C9" w14:textId="36161A98">
            <w:pPr>
              <w:spacing w:after="160" w:line="259" w:lineRule="auto"/>
              <w:rPr>
                <w:iCs/>
                <w:sz w:val="22"/>
                <w:szCs w:val="22"/>
              </w:rPr>
            </w:pPr>
          </w:p>
        </w:tc>
        <w:tc>
          <w:tcPr>
            <w:tcW w:w="1928" w:type="dxa"/>
          </w:tcPr>
          <w:p w:rsidRPr="00B72440" w:rsidR="00E51AEB" w:rsidP="0085250B" w:rsidRDefault="00E51AEB" w14:paraId="38B1F959" w14:textId="77777777">
            <w:pPr>
              <w:spacing w:after="160" w:line="259" w:lineRule="auto"/>
              <w:rPr>
                <w:iCs/>
                <w:sz w:val="22"/>
                <w:szCs w:val="22"/>
              </w:rPr>
            </w:pPr>
            <w:r w:rsidRPr="00B72440">
              <w:rPr>
                <w:iCs/>
                <w:sz w:val="22"/>
                <w:szCs w:val="22"/>
              </w:rPr>
              <w:t>1,</w:t>
            </w:r>
            <w:r>
              <w:rPr>
                <w:iCs/>
                <w:sz w:val="22"/>
                <w:szCs w:val="22"/>
              </w:rPr>
              <w:t>60</w:t>
            </w:r>
            <w:r w:rsidRPr="00B72440">
              <w:rPr>
                <w:iCs/>
                <w:sz w:val="22"/>
                <w:szCs w:val="22"/>
              </w:rPr>
              <w:t>0</w:t>
            </w:r>
          </w:p>
        </w:tc>
        <w:tc>
          <w:tcPr>
            <w:tcW w:w="1928" w:type="dxa"/>
            <w:shd w:val="clear" w:color="auto" w:fill="D9D9D9" w:themeFill="background1" w:themeFillShade="D9"/>
          </w:tcPr>
          <w:p w:rsidRPr="00B72440" w:rsidR="00E51AEB" w:rsidP="0085250B" w:rsidRDefault="00E51AEB" w14:paraId="1EB79032" w14:textId="77777777">
            <w:pPr>
              <w:spacing w:after="160" w:line="259" w:lineRule="auto"/>
              <w:rPr>
                <w:iCs/>
                <w:sz w:val="22"/>
                <w:szCs w:val="22"/>
              </w:rPr>
            </w:pPr>
          </w:p>
        </w:tc>
        <w:tc>
          <w:tcPr>
            <w:tcW w:w="1928" w:type="dxa"/>
          </w:tcPr>
          <w:p w:rsidRPr="00B72440" w:rsidR="00E51AEB" w:rsidP="0085250B" w:rsidRDefault="00E51AEB" w14:paraId="03237EDF" w14:textId="77777777">
            <w:pPr>
              <w:spacing w:after="160" w:line="259" w:lineRule="auto"/>
              <w:rPr>
                <w:iCs/>
                <w:sz w:val="22"/>
                <w:szCs w:val="22"/>
              </w:rPr>
            </w:pPr>
            <w:r>
              <w:rPr>
                <w:iCs/>
                <w:sz w:val="22"/>
                <w:szCs w:val="22"/>
              </w:rPr>
              <w:t>417</w:t>
            </w:r>
          </w:p>
        </w:tc>
      </w:tr>
    </w:tbl>
    <w:p w:rsidRPr="00A70829" w:rsidR="00E51AEB" w:rsidP="00B7411F" w:rsidRDefault="00E51AEB" w14:paraId="613700D3" w14:textId="77777777"/>
    <w:p w:rsidRPr="00A70829" w:rsidR="00FF72FC" w:rsidP="00FF72FC" w:rsidRDefault="00FF72FC" w14:paraId="4912A666" w14:textId="77777777">
      <w:pPr>
        <w:pStyle w:val="Heading2"/>
        <w:tabs>
          <w:tab w:val="left" w:pos="720"/>
        </w:tabs>
        <w:spacing w:line="480" w:lineRule="auto"/>
        <w:rPr>
          <w:rFonts w:asciiTheme="minorHAnsi" w:hAnsiTheme="minorHAnsi" w:cstheme="minorHAnsi"/>
          <w:b/>
          <w:color w:val="auto"/>
          <w:sz w:val="22"/>
          <w:szCs w:val="22"/>
        </w:rPr>
      </w:pPr>
      <w:bookmarkStart w:name="_Toc443881759" w:id="27"/>
      <w:bookmarkStart w:name="_Toc451592246" w:id="28"/>
      <w:bookmarkStart w:name="_Toc5610287" w:id="29"/>
      <w:bookmarkStart w:name="_Toc99178793" w:id="30"/>
      <w:r w:rsidRPr="00A70829">
        <w:rPr>
          <w:rFonts w:asciiTheme="minorHAnsi" w:hAnsiTheme="minorHAnsi" w:cstheme="minorHAnsi"/>
          <w:b/>
          <w:color w:val="auto"/>
          <w:sz w:val="22"/>
          <w:szCs w:val="22"/>
        </w:rPr>
        <w:t>A.16</w:t>
      </w:r>
      <w:r w:rsidRPr="00A70829">
        <w:rPr>
          <w:rFonts w:asciiTheme="minorHAnsi" w:hAnsiTheme="minorHAnsi" w:cstheme="minorHAnsi"/>
          <w:b/>
          <w:color w:val="auto"/>
          <w:sz w:val="22"/>
          <w:szCs w:val="22"/>
        </w:rPr>
        <w:tab/>
        <w:t>Plans for Tabulation and Publication and Project Time Schedule</w:t>
      </w:r>
      <w:bookmarkEnd w:id="27"/>
      <w:bookmarkEnd w:id="28"/>
      <w:bookmarkEnd w:id="29"/>
      <w:bookmarkEnd w:id="30"/>
    </w:p>
    <w:p w:rsidRPr="00390090" w:rsidR="00E91D28" w:rsidP="00E91D28" w:rsidRDefault="00316199" w14:paraId="5EFB9991" w14:textId="2AF2C84E">
      <w:pPr>
        <w:rPr>
          <w:iCs/>
        </w:rPr>
      </w:pPr>
      <w:r w:rsidRPr="00390090">
        <w:rPr>
          <w:iCs/>
        </w:rPr>
        <w:t xml:space="preserve">The proposed revisions to the online survey (i.e., PRES) are </w:t>
      </w:r>
      <w:r w:rsidR="00EE490B">
        <w:rPr>
          <w:iCs/>
        </w:rPr>
        <w:t xml:space="preserve">highlighted </w:t>
      </w:r>
      <w:r w:rsidR="00A746ED">
        <w:rPr>
          <w:iCs/>
        </w:rPr>
        <w:t xml:space="preserve">in </w:t>
      </w:r>
      <w:r w:rsidRPr="00140813" w:rsidR="00140813">
        <w:rPr>
          <w:iCs/>
        </w:rPr>
        <w:t xml:space="preserve">Attachment </w:t>
      </w:r>
      <w:r w:rsidR="003738A0">
        <w:rPr>
          <w:iCs/>
        </w:rPr>
        <w:t>1</w:t>
      </w:r>
      <w:r w:rsidR="00EE490B">
        <w:rPr>
          <w:iCs/>
        </w:rPr>
        <w:t>.</w:t>
      </w:r>
      <w:r w:rsidRPr="00390090">
        <w:rPr>
          <w:iCs/>
        </w:rPr>
        <w:t xml:space="preserve"> </w:t>
      </w:r>
    </w:p>
    <w:tbl>
      <w:tblPr>
        <w:tblW w:w="5000" w:type="pct"/>
        <w:jc w:val="center"/>
        <w:tblCellMar>
          <w:left w:w="120" w:type="dxa"/>
          <w:right w:w="120" w:type="dxa"/>
        </w:tblCellMar>
        <w:tblLook w:val="0000" w:firstRow="0" w:lastRow="0" w:firstColumn="0" w:lastColumn="0" w:noHBand="0" w:noVBand="0"/>
      </w:tblPr>
      <w:tblGrid>
        <w:gridCol w:w="4131"/>
        <w:gridCol w:w="5507"/>
      </w:tblGrid>
      <w:tr w:rsidRPr="00767C53" w:rsidR="00FF72FC" w:rsidTr="00767C53" w14:paraId="1F9EBD20"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767C53" w:rsidR="00FF72FC" w:rsidP="00767C53" w:rsidRDefault="00FF72FC" w14:paraId="7A335DB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rsidRPr="00767C53" w:rsidR="00FF72FC" w:rsidTr="00767C53" w14:paraId="6B5FBD8C" w14:textId="77777777">
        <w:trPr>
          <w:cantSplit/>
          <w:trHeight w:val="403"/>
          <w:jc w:val="center"/>
        </w:trPr>
        <w:tc>
          <w:tcPr>
            <w:tcW w:w="2143" w:type="pct"/>
            <w:tcBorders>
              <w:top w:val="single" w:color="auto" w:sz="6" w:space="0"/>
              <w:left w:val="single" w:color="auto" w:sz="4" w:space="0"/>
            </w:tcBorders>
            <w:shd w:val="pct5" w:color="auto" w:fill="FFFFFF"/>
          </w:tcPr>
          <w:p w:rsidRPr="00767C53" w:rsidR="00FF72FC" w:rsidP="00FF72FC" w:rsidRDefault="00FF72FC" w14:paraId="27CA3C7C"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767C53" w:rsidR="00FF72FC" w:rsidP="00FF72FC" w:rsidRDefault="00FF72FC" w14:paraId="147F1BF2"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Pr="00767C53" w:rsidR="00FF72FC" w:rsidTr="00767C53" w14:paraId="714943A0"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F72FC" w:rsidP="00FF72FC" w:rsidRDefault="00FF72FC" w14:paraId="52F78B42"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Letters sent to respondents</w:t>
            </w:r>
          </w:p>
        </w:tc>
        <w:tc>
          <w:tcPr>
            <w:tcW w:w="2857" w:type="pct"/>
            <w:tcBorders>
              <w:top w:val="single" w:color="auto" w:sz="6" w:space="0"/>
              <w:left w:val="single" w:color="auto" w:sz="6" w:space="0"/>
              <w:right w:val="single" w:color="auto" w:sz="4" w:space="0"/>
            </w:tcBorders>
            <w:shd w:val="clear" w:color="auto" w:fill="FFFFFF"/>
          </w:tcPr>
          <w:p w:rsidRPr="00767C53" w:rsidR="00FF72FC" w:rsidP="00FF72FC" w:rsidRDefault="001E09DE" w14:paraId="7DA6564A" w14:textId="644261B4">
            <w:pPr>
              <w:spacing w:after="0" w:line="240" w:lineRule="auto"/>
              <w:rPr>
                <w:rFonts w:eastAsia="Times New Roman" w:cs="Times New Roman"/>
                <w:color w:val="000000" w:themeColor="text1"/>
              </w:rPr>
            </w:pPr>
            <w:r>
              <w:rPr>
                <w:rFonts w:eastAsia="Times New Roman" w:cs="Times New Roman"/>
                <w:color w:val="000000" w:themeColor="text1"/>
              </w:rPr>
              <w:t>Ongoing</w:t>
            </w:r>
            <w:r w:rsidR="0024782E">
              <w:rPr>
                <w:rFonts w:eastAsia="Times New Roman" w:cs="Times New Roman"/>
                <w:color w:val="000000" w:themeColor="text1"/>
              </w:rPr>
              <w:t xml:space="preserve"> (respondents contacted every 24–36 months)</w:t>
            </w:r>
          </w:p>
        </w:tc>
      </w:tr>
      <w:tr w:rsidRPr="00767C53" w:rsidR="00FF72FC" w:rsidTr="00767C53" w14:paraId="5C51C970"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F72FC" w:rsidP="00FF72FC" w:rsidRDefault="00FF72FC" w14:paraId="22B43CF3"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Field questionnaire</w:t>
            </w:r>
          </w:p>
        </w:tc>
        <w:tc>
          <w:tcPr>
            <w:tcW w:w="2857" w:type="pct"/>
            <w:tcBorders>
              <w:top w:val="single" w:color="auto" w:sz="6" w:space="0"/>
              <w:left w:val="single" w:color="auto" w:sz="6" w:space="0"/>
              <w:right w:val="single" w:color="auto" w:sz="4" w:space="0"/>
            </w:tcBorders>
            <w:shd w:val="clear" w:color="auto" w:fill="FFFFFF"/>
          </w:tcPr>
          <w:p w:rsidRPr="00767C53" w:rsidR="00FF72FC" w:rsidP="00FF72FC" w:rsidRDefault="009D16F6" w14:paraId="7792F870" w14:textId="7B5BB02A">
            <w:pPr>
              <w:spacing w:after="0" w:line="240" w:lineRule="auto"/>
              <w:rPr>
                <w:rFonts w:eastAsia="Times New Roman" w:cs="Times New Roman"/>
                <w:color w:val="000000" w:themeColor="text1"/>
              </w:rPr>
            </w:pPr>
            <w:r>
              <w:rPr>
                <w:rFonts w:eastAsia="Times New Roman" w:cs="Times New Roman"/>
                <w:color w:val="000000" w:themeColor="text1"/>
              </w:rPr>
              <w:t>Entire duration of OMB approval for project</w:t>
            </w:r>
          </w:p>
        </w:tc>
      </w:tr>
      <w:tr w:rsidRPr="00767C53" w:rsidR="00FF72FC" w:rsidTr="00767C53" w14:paraId="7BA3845E"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F72FC" w:rsidP="00FF72FC" w:rsidRDefault="00FF72FC" w14:paraId="48A9A521"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Completed field work</w:t>
            </w:r>
          </w:p>
        </w:tc>
        <w:tc>
          <w:tcPr>
            <w:tcW w:w="2857" w:type="pct"/>
            <w:tcBorders>
              <w:top w:val="single" w:color="auto" w:sz="6" w:space="0"/>
              <w:left w:val="single" w:color="auto" w:sz="6" w:space="0"/>
              <w:right w:val="single" w:color="auto" w:sz="4" w:space="0"/>
            </w:tcBorders>
            <w:shd w:val="clear" w:color="auto" w:fill="FFFFFF"/>
          </w:tcPr>
          <w:p w:rsidRPr="00767C53" w:rsidR="00FF72FC" w:rsidP="00FF72FC" w:rsidRDefault="009D16F6" w14:paraId="2F30BBDB" w14:textId="0873C81A">
            <w:pPr>
              <w:spacing w:after="0" w:line="240" w:lineRule="auto"/>
              <w:rPr>
                <w:rFonts w:eastAsia="Times New Roman" w:cs="Times New Roman"/>
                <w:color w:val="000000" w:themeColor="text1"/>
              </w:rPr>
            </w:pPr>
            <w:r>
              <w:rPr>
                <w:rFonts w:eastAsia="Times New Roman" w:cs="Times New Roman"/>
                <w:color w:val="000000" w:themeColor="text1"/>
              </w:rPr>
              <w:t>Ongoing</w:t>
            </w:r>
          </w:p>
        </w:tc>
      </w:tr>
      <w:tr w:rsidRPr="00767C53" w:rsidR="00FF72FC" w:rsidTr="00767C53" w14:paraId="516CD3FA"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F72FC" w:rsidP="00FF72FC" w:rsidRDefault="00FF72FC" w14:paraId="4B19F2BF"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Validation</w:t>
            </w:r>
          </w:p>
        </w:tc>
        <w:tc>
          <w:tcPr>
            <w:tcW w:w="2857" w:type="pct"/>
            <w:tcBorders>
              <w:top w:val="single" w:color="auto" w:sz="6" w:space="0"/>
              <w:left w:val="single" w:color="auto" w:sz="6" w:space="0"/>
              <w:right w:val="single" w:color="auto" w:sz="4" w:space="0"/>
            </w:tcBorders>
            <w:shd w:val="clear" w:color="auto" w:fill="FFFFFF"/>
          </w:tcPr>
          <w:p w:rsidRPr="00767C53" w:rsidR="00FF72FC" w:rsidP="00FF72FC" w:rsidRDefault="009D16F6" w14:paraId="3D82791B" w14:textId="3B8B709B">
            <w:pPr>
              <w:spacing w:after="0" w:line="240" w:lineRule="auto"/>
              <w:rPr>
                <w:rFonts w:eastAsia="Times New Roman" w:cs="Times New Roman"/>
                <w:color w:val="000000" w:themeColor="text1"/>
              </w:rPr>
            </w:pPr>
            <w:r>
              <w:rPr>
                <w:rFonts w:eastAsia="Times New Roman" w:cs="Times New Roman"/>
                <w:color w:val="000000" w:themeColor="text1"/>
              </w:rPr>
              <w:t>Ongoing</w:t>
            </w:r>
          </w:p>
        </w:tc>
      </w:tr>
      <w:tr w:rsidRPr="00767C53" w:rsidR="00FF72FC" w:rsidTr="00767C53" w14:paraId="51694ECC"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F72FC" w:rsidP="00FF72FC" w:rsidRDefault="00FF72FC" w14:paraId="570D0F7C"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Analyses</w:t>
            </w:r>
          </w:p>
        </w:tc>
        <w:tc>
          <w:tcPr>
            <w:tcW w:w="2857" w:type="pct"/>
            <w:tcBorders>
              <w:top w:val="single" w:color="auto" w:sz="6" w:space="0"/>
              <w:left w:val="single" w:color="auto" w:sz="6" w:space="0"/>
              <w:right w:val="single" w:color="auto" w:sz="4" w:space="0"/>
            </w:tcBorders>
            <w:shd w:val="clear" w:color="auto" w:fill="FFFFFF"/>
          </w:tcPr>
          <w:p w:rsidRPr="00767C53" w:rsidR="00FF72FC" w:rsidP="00FF72FC" w:rsidRDefault="009D16F6" w14:paraId="2B17F6F1" w14:textId="5F70E9CF">
            <w:pPr>
              <w:spacing w:after="0" w:line="240" w:lineRule="auto"/>
              <w:rPr>
                <w:rFonts w:eastAsia="Times New Roman" w:cs="Times New Roman"/>
                <w:color w:val="000000" w:themeColor="text1"/>
              </w:rPr>
            </w:pPr>
            <w:r>
              <w:rPr>
                <w:rFonts w:eastAsia="Times New Roman" w:cs="Times New Roman"/>
                <w:color w:val="000000" w:themeColor="text1"/>
              </w:rPr>
              <w:t>Ongoing</w:t>
            </w:r>
          </w:p>
        </w:tc>
      </w:tr>
      <w:tr w:rsidRPr="00767C53" w:rsidR="00FF72FC" w:rsidTr="00767C53" w14:paraId="272274B6"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767C53" w:rsidR="00FF72FC" w:rsidP="00FF72FC" w:rsidRDefault="00FF72FC" w14:paraId="5000BA61"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Publication</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767C53" w:rsidR="00FF72FC" w:rsidP="00767C53" w:rsidRDefault="009D16F6" w14:paraId="46FB0603" w14:textId="7819DFD9">
            <w:pPr>
              <w:spacing w:after="0" w:line="240" w:lineRule="auto"/>
              <w:rPr>
                <w:rFonts w:eastAsia="Times New Roman" w:cs="Times New Roman"/>
                <w:color w:val="000000" w:themeColor="text1"/>
              </w:rPr>
            </w:pPr>
            <w:r>
              <w:rPr>
                <w:rFonts w:eastAsia="Times New Roman" w:cs="Times New Roman"/>
                <w:color w:val="000000" w:themeColor="text1"/>
              </w:rPr>
              <w:t>N/A</w:t>
            </w:r>
          </w:p>
        </w:tc>
      </w:tr>
    </w:tbl>
    <w:p w:rsidRPr="00E35DD1" w:rsidR="00FF72FC" w:rsidP="00FF72FC" w:rsidRDefault="00FF72FC" w14:paraId="6FE438DD" w14:textId="77777777"/>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Pr="00390090" w:rsidR="00DD7F9C" w:rsidP="00FF72FC" w:rsidRDefault="00DD7F9C" w14:paraId="386ED756" w14:textId="2FB47119">
      <w:pPr>
        <w:rPr>
          <w:iCs/>
        </w:rPr>
      </w:pPr>
      <w:r w:rsidRPr="00390090">
        <w:rPr>
          <w:iCs/>
        </w:rPr>
        <w:t xml:space="preserve">Not applicable, as we are not requesting approval to not display the expiration date for OMB approval. </w:t>
      </w:r>
    </w:p>
    <w:p w:rsidRPr="005C4013" w:rsidR="0057480E" w:rsidP="00FF72FC" w:rsidRDefault="00FF72FC" w14:paraId="7190591D" w14:textId="77777777">
      <w:pPr>
        <w:rPr>
          <w:b/>
        </w:rPr>
      </w:pPr>
      <w:r w:rsidRPr="005C4013">
        <w:rPr>
          <w:b/>
        </w:rPr>
        <w:t>A.18</w:t>
      </w:r>
      <w:r w:rsidRPr="005C4013">
        <w:rPr>
          <w:b/>
        </w:rPr>
        <w:tab/>
        <w:t>Exceptions to Certification for Paperwork Reduction Act Submissions</w:t>
      </w:r>
    </w:p>
    <w:p w:rsidRPr="00390090" w:rsidR="00DD7F9C" w:rsidP="00FF72FC" w:rsidRDefault="00DD7F9C" w14:paraId="08BF425D" w14:textId="0F8B0318">
      <w:pPr>
        <w:rPr>
          <w:iCs/>
        </w:rPr>
      </w:pPr>
      <w:r w:rsidRPr="00390090">
        <w:rPr>
          <w:iCs/>
        </w:rPr>
        <w:t>Not applicable, as we are not requesting an exception to certification for the Paperwork Reduction Act.</w:t>
      </w:r>
    </w:p>
    <w:sectPr w:rsidRPr="00390090" w:rsidR="00DD7F9C" w:rsidSect="00FE6EA5">
      <w:headerReference w:type="even" r:id="rId14"/>
      <w:headerReference w:type="default" r:id="rId15"/>
      <w:footerReference w:type="even" r:id="rId16"/>
      <w:footerReference w:type="default" r:id="rId17"/>
      <w:headerReference w:type="first" r:id="rId18"/>
      <w:footerReference w:type="first" r:id="rId19"/>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07E03" w14:textId="77777777" w:rsidR="004C566D" w:rsidRDefault="004C566D">
      <w:pPr>
        <w:spacing w:after="0" w:line="240" w:lineRule="auto"/>
      </w:pPr>
      <w:r>
        <w:separator/>
      </w:r>
    </w:p>
  </w:endnote>
  <w:endnote w:type="continuationSeparator" w:id="0">
    <w:p w14:paraId="4B2E4012" w14:textId="77777777" w:rsidR="004C566D" w:rsidRDefault="004C566D">
      <w:pPr>
        <w:spacing w:after="0" w:line="240" w:lineRule="auto"/>
      </w:pPr>
      <w:r>
        <w:continuationSeparator/>
      </w:r>
    </w:p>
  </w:endnote>
  <w:endnote w:type="continuationNotice" w:id="1">
    <w:p w14:paraId="7357393D" w14:textId="77777777" w:rsidR="004C566D" w:rsidRDefault="004C5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4C566D" w:rsidRDefault="004C566D" w:rsidP="005E2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4C566D" w:rsidRDefault="004C5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5418AB8E" w:rsidR="004C566D" w:rsidRDefault="004C566D" w:rsidP="005E2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4873CE1" w14:textId="77777777" w:rsidR="004C566D" w:rsidRDefault="004C566D" w:rsidP="005E2A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69D7" w14:textId="77777777" w:rsidR="004C566D" w:rsidRDefault="004C5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39954" w14:textId="77777777" w:rsidR="004C566D" w:rsidRDefault="004C566D">
      <w:pPr>
        <w:spacing w:after="0" w:line="240" w:lineRule="auto"/>
      </w:pPr>
      <w:r>
        <w:separator/>
      </w:r>
    </w:p>
  </w:footnote>
  <w:footnote w:type="continuationSeparator" w:id="0">
    <w:p w14:paraId="29673A4C" w14:textId="77777777" w:rsidR="004C566D" w:rsidRDefault="004C566D">
      <w:pPr>
        <w:spacing w:after="0" w:line="240" w:lineRule="auto"/>
      </w:pPr>
      <w:r>
        <w:continuationSeparator/>
      </w:r>
    </w:p>
  </w:footnote>
  <w:footnote w:type="continuationNotice" w:id="1">
    <w:p w14:paraId="7DB2BCE8" w14:textId="77777777" w:rsidR="004C566D" w:rsidRDefault="004C56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5A6" w14:textId="77777777" w:rsidR="004C566D" w:rsidRDefault="004C5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4C10A98A" w:rsidR="004C566D" w:rsidRDefault="004C5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B41C" w14:textId="4F8145CE" w:rsidR="004C566D" w:rsidRDefault="004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C4791"/>
    <w:multiLevelType w:val="hybridMultilevel"/>
    <w:tmpl w:val="701E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3C0D"/>
    <w:multiLevelType w:val="hybridMultilevel"/>
    <w:tmpl w:val="EA5ED60A"/>
    <w:lvl w:ilvl="0" w:tplc="EDC44010">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C52B4"/>
    <w:multiLevelType w:val="hybridMultilevel"/>
    <w:tmpl w:val="D3C0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67290"/>
    <w:multiLevelType w:val="hybridMultilevel"/>
    <w:tmpl w:val="36D88CC0"/>
    <w:lvl w:ilvl="0" w:tplc="0A8E624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8294B"/>
    <w:multiLevelType w:val="hybridMultilevel"/>
    <w:tmpl w:val="D2CA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3"/>
  </w:num>
  <w:num w:numId="4">
    <w:abstractNumId w:val="0"/>
  </w:num>
  <w:num w:numId="5">
    <w:abstractNumId w:val="6"/>
  </w:num>
  <w:num w:numId="6">
    <w:abstractNumId w:val="5"/>
  </w:num>
  <w:num w:numId="7">
    <w:abstractNumId w:val="8"/>
  </w:num>
  <w:num w:numId="8">
    <w:abstractNumId w:val="11"/>
  </w:num>
  <w:num w:numId="9">
    <w:abstractNumId w:val="9"/>
  </w:num>
  <w:num w:numId="10">
    <w:abstractNumId w:val="14"/>
  </w:num>
  <w:num w:numId="11">
    <w:abstractNumId w:val="1"/>
  </w:num>
  <w:num w:numId="12">
    <w:abstractNumId w:val="7"/>
  </w:num>
  <w:num w:numId="13">
    <w:abstractNumId w:val="4"/>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227A"/>
    <w:rsid w:val="00003C28"/>
    <w:rsid w:val="00010E66"/>
    <w:rsid w:val="0001475F"/>
    <w:rsid w:val="00014D5B"/>
    <w:rsid w:val="00024899"/>
    <w:rsid w:val="00034030"/>
    <w:rsid w:val="00036CF6"/>
    <w:rsid w:val="00046F36"/>
    <w:rsid w:val="000505DE"/>
    <w:rsid w:val="0005399F"/>
    <w:rsid w:val="00056700"/>
    <w:rsid w:val="00057750"/>
    <w:rsid w:val="00061397"/>
    <w:rsid w:val="00061430"/>
    <w:rsid w:val="000631D2"/>
    <w:rsid w:val="0007338A"/>
    <w:rsid w:val="0007536C"/>
    <w:rsid w:val="00090FD2"/>
    <w:rsid w:val="00095C92"/>
    <w:rsid w:val="0009658F"/>
    <w:rsid w:val="000A139A"/>
    <w:rsid w:val="000A18C3"/>
    <w:rsid w:val="000A5EAA"/>
    <w:rsid w:val="000B52A5"/>
    <w:rsid w:val="000B5568"/>
    <w:rsid w:val="000B58CB"/>
    <w:rsid w:val="000C5F5D"/>
    <w:rsid w:val="000C6793"/>
    <w:rsid w:val="000D0429"/>
    <w:rsid w:val="000D4D77"/>
    <w:rsid w:val="000D72C1"/>
    <w:rsid w:val="000E01DE"/>
    <w:rsid w:val="000E478E"/>
    <w:rsid w:val="000E7209"/>
    <w:rsid w:val="000F23B2"/>
    <w:rsid w:val="000F3043"/>
    <w:rsid w:val="0010319E"/>
    <w:rsid w:val="001135BB"/>
    <w:rsid w:val="00114539"/>
    <w:rsid w:val="00114680"/>
    <w:rsid w:val="00115464"/>
    <w:rsid w:val="00125DE9"/>
    <w:rsid w:val="0012600C"/>
    <w:rsid w:val="001371AC"/>
    <w:rsid w:val="00137EE2"/>
    <w:rsid w:val="00140813"/>
    <w:rsid w:val="00142AB7"/>
    <w:rsid w:val="00150C43"/>
    <w:rsid w:val="0015148A"/>
    <w:rsid w:val="0015565D"/>
    <w:rsid w:val="00164720"/>
    <w:rsid w:val="00165938"/>
    <w:rsid w:val="00170EC9"/>
    <w:rsid w:val="00190737"/>
    <w:rsid w:val="00190C83"/>
    <w:rsid w:val="001917B0"/>
    <w:rsid w:val="00192EA4"/>
    <w:rsid w:val="00193BEB"/>
    <w:rsid w:val="00195414"/>
    <w:rsid w:val="001A400D"/>
    <w:rsid w:val="001A6EC0"/>
    <w:rsid w:val="001B6323"/>
    <w:rsid w:val="001B68F6"/>
    <w:rsid w:val="001C1FF9"/>
    <w:rsid w:val="001C3AC7"/>
    <w:rsid w:val="001D2DF1"/>
    <w:rsid w:val="001D3E03"/>
    <w:rsid w:val="001D5C1B"/>
    <w:rsid w:val="001D71DE"/>
    <w:rsid w:val="001E09DE"/>
    <w:rsid w:val="001E0D44"/>
    <w:rsid w:val="001E1F6E"/>
    <w:rsid w:val="001F227D"/>
    <w:rsid w:val="0021737C"/>
    <w:rsid w:val="00217F45"/>
    <w:rsid w:val="00220767"/>
    <w:rsid w:val="00220882"/>
    <w:rsid w:val="00220A7D"/>
    <w:rsid w:val="00221A83"/>
    <w:rsid w:val="002268D3"/>
    <w:rsid w:val="00230974"/>
    <w:rsid w:val="00233E75"/>
    <w:rsid w:val="00233FED"/>
    <w:rsid w:val="002429E7"/>
    <w:rsid w:val="00242A8B"/>
    <w:rsid w:val="0024641D"/>
    <w:rsid w:val="0024781D"/>
    <w:rsid w:val="0024782E"/>
    <w:rsid w:val="00255F7C"/>
    <w:rsid w:val="00261F83"/>
    <w:rsid w:val="002670CD"/>
    <w:rsid w:val="00270B60"/>
    <w:rsid w:val="002749EE"/>
    <w:rsid w:val="00275E81"/>
    <w:rsid w:val="002770FA"/>
    <w:rsid w:val="00280DED"/>
    <w:rsid w:val="00283B42"/>
    <w:rsid w:val="00284283"/>
    <w:rsid w:val="00291B8C"/>
    <w:rsid w:val="00292767"/>
    <w:rsid w:val="00296BEC"/>
    <w:rsid w:val="002A0132"/>
    <w:rsid w:val="002A2F13"/>
    <w:rsid w:val="002C5D4F"/>
    <w:rsid w:val="002D29B6"/>
    <w:rsid w:val="002D2A89"/>
    <w:rsid w:val="002D4B4B"/>
    <w:rsid w:val="002E5047"/>
    <w:rsid w:val="002F0A40"/>
    <w:rsid w:val="002F4317"/>
    <w:rsid w:val="002F4F30"/>
    <w:rsid w:val="00302663"/>
    <w:rsid w:val="00312856"/>
    <w:rsid w:val="00316199"/>
    <w:rsid w:val="00320E75"/>
    <w:rsid w:val="00323F9E"/>
    <w:rsid w:val="003251A0"/>
    <w:rsid w:val="00331A1A"/>
    <w:rsid w:val="00336F71"/>
    <w:rsid w:val="0034320E"/>
    <w:rsid w:val="003437CD"/>
    <w:rsid w:val="00344B4F"/>
    <w:rsid w:val="00346E5C"/>
    <w:rsid w:val="00350BB9"/>
    <w:rsid w:val="0035130C"/>
    <w:rsid w:val="00352320"/>
    <w:rsid w:val="003529A8"/>
    <w:rsid w:val="00353DFC"/>
    <w:rsid w:val="0036208F"/>
    <w:rsid w:val="00363299"/>
    <w:rsid w:val="00363FF6"/>
    <w:rsid w:val="00364334"/>
    <w:rsid w:val="00364B8C"/>
    <w:rsid w:val="00367ABC"/>
    <w:rsid w:val="003708C6"/>
    <w:rsid w:val="0037214D"/>
    <w:rsid w:val="0037291F"/>
    <w:rsid w:val="003738A0"/>
    <w:rsid w:val="00376FBD"/>
    <w:rsid w:val="003776AB"/>
    <w:rsid w:val="0037775F"/>
    <w:rsid w:val="0038398F"/>
    <w:rsid w:val="00383D30"/>
    <w:rsid w:val="00390090"/>
    <w:rsid w:val="00390B44"/>
    <w:rsid w:val="003A088E"/>
    <w:rsid w:val="003A7375"/>
    <w:rsid w:val="003B0F22"/>
    <w:rsid w:val="003B4B61"/>
    <w:rsid w:val="003B5356"/>
    <w:rsid w:val="003B7473"/>
    <w:rsid w:val="003D2A31"/>
    <w:rsid w:val="003D5637"/>
    <w:rsid w:val="003E4BF1"/>
    <w:rsid w:val="003E72D7"/>
    <w:rsid w:val="003F2841"/>
    <w:rsid w:val="00423C95"/>
    <w:rsid w:val="004322FB"/>
    <w:rsid w:val="00436529"/>
    <w:rsid w:val="0044280C"/>
    <w:rsid w:val="00442AB0"/>
    <w:rsid w:val="00442B5B"/>
    <w:rsid w:val="00445B0B"/>
    <w:rsid w:val="0045387E"/>
    <w:rsid w:val="0046318B"/>
    <w:rsid w:val="00463224"/>
    <w:rsid w:val="00463BDB"/>
    <w:rsid w:val="0046416B"/>
    <w:rsid w:val="00465FBF"/>
    <w:rsid w:val="004703E7"/>
    <w:rsid w:val="00470DE4"/>
    <w:rsid w:val="004712C4"/>
    <w:rsid w:val="004716CF"/>
    <w:rsid w:val="004736CD"/>
    <w:rsid w:val="00475E44"/>
    <w:rsid w:val="00481C0A"/>
    <w:rsid w:val="00495B2A"/>
    <w:rsid w:val="0049639F"/>
    <w:rsid w:val="00497B81"/>
    <w:rsid w:val="004A3906"/>
    <w:rsid w:val="004A49F6"/>
    <w:rsid w:val="004B01E2"/>
    <w:rsid w:val="004B086A"/>
    <w:rsid w:val="004B4699"/>
    <w:rsid w:val="004C4835"/>
    <w:rsid w:val="004C4B9F"/>
    <w:rsid w:val="004C566D"/>
    <w:rsid w:val="004D21F1"/>
    <w:rsid w:val="004E062C"/>
    <w:rsid w:val="004E15E8"/>
    <w:rsid w:val="004E3774"/>
    <w:rsid w:val="004E4616"/>
    <w:rsid w:val="004E6CC2"/>
    <w:rsid w:val="004F1BDD"/>
    <w:rsid w:val="004F46FB"/>
    <w:rsid w:val="00501B02"/>
    <w:rsid w:val="00506FC0"/>
    <w:rsid w:val="0051307F"/>
    <w:rsid w:val="005150E7"/>
    <w:rsid w:val="005174BE"/>
    <w:rsid w:val="005230D6"/>
    <w:rsid w:val="00526FBE"/>
    <w:rsid w:val="00531F83"/>
    <w:rsid w:val="005329AC"/>
    <w:rsid w:val="00532A28"/>
    <w:rsid w:val="00536C12"/>
    <w:rsid w:val="005429F1"/>
    <w:rsid w:val="0054591B"/>
    <w:rsid w:val="00551BDA"/>
    <w:rsid w:val="00555591"/>
    <w:rsid w:val="00557E55"/>
    <w:rsid w:val="00560892"/>
    <w:rsid w:val="00562924"/>
    <w:rsid w:val="005671CC"/>
    <w:rsid w:val="00574695"/>
    <w:rsid w:val="0057480E"/>
    <w:rsid w:val="00576629"/>
    <w:rsid w:val="00576C29"/>
    <w:rsid w:val="00582255"/>
    <w:rsid w:val="00583E1A"/>
    <w:rsid w:val="00587493"/>
    <w:rsid w:val="00591F58"/>
    <w:rsid w:val="005A28A4"/>
    <w:rsid w:val="005B3667"/>
    <w:rsid w:val="005B68AD"/>
    <w:rsid w:val="005C4013"/>
    <w:rsid w:val="005D0A60"/>
    <w:rsid w:val="005D0D60"/>
    <w:rsid w:val="005D2448"/>
    <w:rsid w:val="005D7F9F"/>
    <w:rsid w:val="005E2A36"/>
    <w:rsid w:val="005E2A39"/>
    <w:rsid w:val="005E7D83"/>
    <w:rsid w:val="005F0091"/>
    <w:rsid w:val="005F430E"/>
    <w:rsid w:val="005F4A54"/>
    <w:rsid w:val="005F6AB1"/>
    <w:rsid w:val="005F6EB4"/>
    <w:rsid w:val="006005D0"/>
    <w:rsid w:val="0060511D"/>
    <w:rsid w:val="006053C2"/>
    <w:rsid w:val="0061055E"/>
    <w:rsid w:val="00611DA6"/>
    <w:rsid w:val="006167CF"/>
    <w:rsid w:val="00617752"/>
    <w:rsid w:val="00617EA9"/>
    <w:rsid w:val="00640934"/>
    <w:rsid w:val="00641209"/>
    <w:rsid w:val="00644341"/>
    <w:rsid w:val="00647793"/>
    <w:rsid w:val="00647CBC"/>
    <w:rsid w:val="00651427"/>
    <w:rsid w:val="0065288F"/>
    <w:rsid w:val="00654094"/>
    <w:rsid w:val="006551D9"/>
    <w:rsid w:val="00664469"/>
    <w:rsid w:val="00670529"/>
    <w:rsid w:val="0067069F"/>
    <w:rsid w:val="00676DB2"/>
    <w:rsid w:val="006772D2"/>
    <w:rsid w:val="00681F63"/>
    <w:rsid w:val="00684245"/>
    <w:rsid w:val="00685B30"/>
    <w:rsid w:val="0068622E"/>
    <w:rsid w:val="00686AC0"/>
    <w:rsid w:val="00686C34"/>
    <w:rsid w:val="00687432"/>
    <w:rsid w:val="00687A43"/>
    <w:rsid w:val="0069139C"/>
    <w:rsid w:val="006936E7"/>
    <w:rsid w:val="0069452C"/>
    <w:rsid w:val="006946AB"/>
    <w:rsid w:val="00696B50"/>
    <w:rsid w:val="006A45F9"/>
    <w:rsid w:val="006A5C90"/>
    <w:rsid w:val="006B624F"/>
    <w:rsid w:val="006C1B1F"/>
    <w:rsid w:val="006C5EA3"/>
    <w:rsid w:val="006D513E"/>
    <w:rsid w:val="006D6E31"/>
    <w:rsid w:val="006E0C6F"/>
    <w:rsid w:val="006F4433"/>
    <w:rsid w:val="006F4F7C"/>
    <w:rsid w:val="00703A8B"/>
    <w:rsid w:val="00703F05"/>
    <w:rsid w:val="007063F8"/>
    <w:rsid w:val="00714ADE"/>
    <w:rsid w:val="00714BFA"/>
    <w:rsid w:val="007161A5"/>
    <w:rsid w:val="007170B5"/>
    <w:rsid w:val="00717158"/>
    <w:rsid w:val="0074000D"/>
    <w:rsid w:val="00741A7E"/>
    <w:rsid w:val="007435ED"/>
    <w:rsid w:val="00745568"/>
    <w:rsid w:val="00746CC5"/>
    <w:rsid w:val="00747B44"/>
    <w:rsid w:val="0075174C"/>
    <w:rsid w:val="00751F97"/>
    <w:rsid w:val="007566F3"/>
    <w:rsid w:val="00756DDA"/>
    <w:rsid w:val="007628F1"/>
    <w:rsid w:val="00767C53"/>
    <w:rsid w:val="00767D42"/>
    <w:rsid w:val="007740CC"/>
    <w:rsid w:val="00776D29"/>
    <w:rsid w:val="007773A0"/>
    <w:rsid w:val="00781F43"/>
    <w:rsid w:val="007937CE"/>
    <w:rsid w:val="0079707B"/>
    <w:rsid w:val="007A0CA3"/>
    <w:rsid w:val="007A3544"/>
    <w:rsid w:val="007A3CD8"/>
    <w:rsid w:val="007A59D2"/>
    <w:rsid w:val="007B02E9"/>
    <w:rsid w:val="007B0F24"/>
    <w:rsid w:val="007B32D4"/>
    <w:rsid w:val="007B7A5E"/>
    <w:rsid w:val="007C1874"/>
    <w:rsid w:val="007C4383"/>
    <w:rsid w:val="007C50B5"/>
    <w:rsid w:val="007D10A9"/>
    <w:rsid w:val="007D11BF"/>
    <w:rsid w:val="007D402F"/>
    <w:rsid w:val="007D609D"/>
    <w:rsid w:val="007E2C2D"/>
    <w:rsid w:val="007E2E27"/>
    <w:rsid w:val="007E3D06"/>
    <w:rsid w:val="007E5B69"/>
    <w:rsid w:val="007F465A"/>
    <w:rsid w:val="00810814"/>
    <w:rsid w:val="0081092A"/>
    <w:rsid w:val="00813E6A"/>
    <w:rsid w:val="008151C9"/>
    <w:rsid w:val="00817EC7"/>
    <w:rsid w:val="00821B6C"/>
    <w:rsid w:val="0082346D"/>
    <w:rsid w:val="00833E4C"/>
    <w:rsid w:val="008359FA"/>
    <w:rsid w:val="00845B8B"/>
    <w:rsid w:val="00845DEE"/>
    <w:rsid w:val="00854D4E"/>
    <w:rsid w:val="008611A5"/>
    <w:rsid w:val="0086248B"/>
    <w:rsid w:val="0086398D"/>
    <w:rsid w:val="00872E14"/>
    <w:rsid w:val="00880871"/>
    <w:rsid w:val="0088123F"/>
    <w:rsid w:val="008917A3"/>
    <w:rsid w:val="00894FF4"/>
    <w:rsid w:val="00897D2B"/>
    <w:rsid w:val="008A4820"/>
    <w:rsid w:val="008A4FFE"/>
    <w:rsid w:val="008B010D"/>
    <w:rsid w:val="008B2AAD"/>
    <w:rsid w:val="008C0C7D"/>
    <w:rsid w:val="008C407E"/>
    <w:rsid w:val="008C520C"/>
    <w:rsid w:val="008D22B0"/>
    <w:rsid w:val="008E5AD7"/>
    <w:rsid w:val="008E6C05"/>
    <w:rsid w:val="008E71C1"/>
    <w:rsid w:val="008F598B"/>
    <w:rsid w:val="0091355D"/>
    <w:rsid w:val="009140C7"/>
    <w:rsid w:val="009145A9"/>
    <w:rsid w:val="00914D76"/>
    <w:rsid w:val="00926A2D"/>
    <w:rsid w:val="009316A2"/>
    <w:rsid w:val="00941822"/>
    <w:rsid w:val="00941F23"/>
    <w:rsid w:val="00955AF3"/>
    <w:rsid w:val="00962D26"/>
    <w:rsid w:val="009660C1"/>
    <w:rsid w:val="009747F4"/>
    <w:rsid w:val="00974925"/>
    <w:rsid w:val="00976490"/>
    <w:rsid w:val="0097710B"/>
    <w:rsid w:val="00985C88"/>
    <w:rsid w:val="00986E5F"/>
    <w:rsid w:val="00986FBC"/>
    <w:rsid w:val="009A1AEC"/>
    <w:rsid w:val="009A24BA"/>
    <w:rsid w:val="009A3800"/>
    <w:rsid w:val="009A3D04"/>
    <w:rsid w:val="009A5EDE"/>
    <w:rsid w:val="009B0269"/>
    <w:rsid w:val="009B5078"/>
    <w:rsid w:val="009B708C"/>
    <w:rsid w:val="009C3E9D"/>
    <w:rsid w:val="009D11D8"/>
    <w:rsid w:val="009D16F6"/>
    <w:rsid w:val="009D1E9B"/>
    <w:rsid w:val="009D362C"/>
    <w:rsid w:val="009D3F15"/>
    <w:rsid w:val="009E1349"/>
    <w:rsid w:val="009E1551"/>
    <w:rsid w:val="009F2BEC"/>
    <w:rsid w:val="009F551F"/>
    <w:rsid w:val="00A00CF8"/>
    <w:rsid w:val="00A06087"/>
    <w:rsid w:val="00A07AC9"/>
    <w:rsid w:val="00A140E6"/>
    <w:rsid w:val="00A1547E"/>
    <w:rsid w:val="00A17109"/>
    <w:rsid w:val="00A17241"/>
    <w:rsid w:val="00A2080B"/>
    <w:rsid w:val="00A25CCD"/>
    <w:rsid w:val="00A263FA"/>
    <w:rsid w:val="00A34A60"/>
    <w:rsid w:val="00A41DA9"/>
    <w:rsid w:val="00A43921"/>
    <w:rsid w:val="00A50419"/>
    <w:rsid w:val="00A50FF2"/>
    <w:rsid w:val="00A52412"/>
    <w:rsid w:val="00A52B68"/>
    <w:rsid w:val="00A54E27"/>
    <w:rsid w:val="00A6350F"/>
    <w:rsid w:val="00A6665D"/>
    <w:rsid w:val="00A67934"/>
    <w:rsid w:val="00A70829"/>
    <w:rsid w:val="00A736ED"/>
    <w:rsid w:val="00A746ED"/>
    <w:rsid w:val="00A74FDE"/>
    <w:rsid w:val="00A76062"/>
    <w:rsid w:val="00A82929"/>
    <w:rsid w:val="00A833A0"/>
    <w:rsid w:val="00AA688B"/>
    <w:rsid w:val="00AB736C"/>
    <w:rsid w:val="00AE779E"/>
    <w:rsid w:val="00AF3389"/>
    <w:rsid w:val="00B00EB3"/>
    <w:rsid w:val="00B03736"/>
    <w:rsid w:val="00B16091"/>
    <w:rsid w:val="00B20106"/>
    <w:rsid w:val="00B209E1"/>
    <w:rsid w:val="00B25D9F"/>
    <w:rsid w:val="00B2668C"/>
    <w:rsid w:val="00B2767E"/>
    <w:rsid w:val="00B31022"/>
    <w:rsid w:val="00B33E47"/>
    <w:rsid w:val="00B34A92"/>
    <w:rsid w:val="00B36132"/>
    <w:rsid w:val="00B37A92"/>
    <w:rsid w:val="00B50D3C"/>
    <w:rsid w:val="00B601F5"/>
    <w:rsid w:val="00B61075"/>
    <w:rsid w:val="00B6117B"/>
    <w:rsid w:val="00B66193"/>
    <w:rsid w:val="00B70C76"/>
    <w:rsid w:val="00B72440"/>
    <w:rsid w:val="00B7411F"/>
    <w:rsid w:val="00B76BF8"/>
    <w:rsid w:val="00B76D8C"/>
    <w:rsid w:val="00B8020D"/>
    <w:rsid w:val="00B820D8"/>
    <w:rsid w:val="00B84D3D"/>
    <w:rsid w:val="00B867D1"/>
    <w:rsid w:val="00B902B1"/>
    <w:rsid w:val="00B93C77"/>
    <w:rsid w:val="00B93F78"/>
    <w:rsid w:val="00B96691"/>
    <w:rsid w:val="00BA016A"/>
    <w:rsid w:val="00BA2A22"/>
    <w:rsid w:val="00BA6245"/>
    <w:rsid w:val="00BB0464"/>
    <w:rsid w:val="00BB3945"/>
    <w:rsid w:val="00BB70E3"/>
    <w:rsid w:val="00BC0694"/>
    <w:rsid w:val="00BC3866"/>
    <w:rsid w:val="00BD153B"/>
    <w:rsid w:val="00BD2539"/>
    <w:rsid w:val="00BE0B16"/>
    <w:rsid w:val="00BE3289"/>
    <w:rsid w:val="00BE3A57"/>
    <w:rsid w:val="00BE5EFA"/>
    <w:rsid w:val="00BE76A7"/>
    <w:rsid w:val="00BF491C"/>
    <w:rsid w:val="00C00782"/>
    <w:rsid w:val="00C02C97"/>
    <w:rsid w:val="00C04E65"/>
    <w:rsid w:val="00C05BDC"/>
    <w:rsid w:val="00C1319D"/>
    <w:rsid w:val="00C13420"/>
    <w:rsid w:val="00C16DC8"/>
    <w:rsid w:val="00C17E3F"/>
    <w:rsid w:val="00C24877"/>
    <w:rsid w:val="00C31CF5"/>
    <w:rsid w:val="00C376D3"/>
    <w:rsid w:val="00C40F61"/>
    <w:rsid w:val="00C4161B"/>
    <w:rsid w:val="00C43556"/>
    <w:rsid w:val="00C45FAA"/>
    <w:rsid w:val="00C47BD7"/>
    <w:rsid w:val="00C520B2"/>
    <w:rsid w:val="00C53BCE"/>
    <w:rsid w:val="00C63151"/>
    <w:rsid w:val="00C6417E"/>
    <w:rsid w:val="00C70630"/>
    <w:rsid w:val="00C7147D"/>
    <w:rsid w:val="00C76797"/>
    <w:rsid w:val="00C76FE2"/>
    <w:rsid w:val="00C827BC"/>
    <w:rsid w:val="00CA513E"/>
    <w:rsid w:val="00CA6B39"/>
    <w:rsid w:val="00CB125E"/>
    <w:rsid w:val="00CC1AA4"/>
    <w:rsid w:val="00CC2B6C"/>
    <w:rsid w:val="00CC3EEB"/>
    <w:rsid w:val="00CC6F34"/>
    <w:rsid w:val="00CD046B"/>
    <w:rsid w:val="00CD16DE"/>
    <w:rsid w:val="00CD491A"/>
    <w:rsid w:val="00CE5A7C"/>
    <w:rsid w:val="00CF1C38"/>
    <w:rsid w:val="00CF36BD"/>
    <w:rsid w:val="00CF3890"/>
    <w:rsid w:val="00CF3A3E"/>
    <w:rsid w:val="00CF42F9"/>
    <w:rsid w:val="00CF5987"/>
    <w:rsid w:val="00D00925"/>
    <w:rsid w:val="00D01F45"/>
    <w:rsid w:val="00D11C8D"/>
    <w:rsid w:val="00D139E9"/>
    <w:rsid w:val="00D15206"/>
    <w:rsid w:val="00D1601C"/>
    <w:rsid w:val="00D21022"/>
    <w:rsid w:val="00D260BC"/>
    <w:rsid w:val="00D32E9B"/>
    <w:rsid w:val="00D34BE5"/>
    <w:rsid w:val="00D40C84"/>
    <w:rsid w:val="00D4150C"/>
    <w:rsid w:val="00D43E13"/>
    <w:rsid w:val="00D4471F"/>
    <w:rsid w:val="00D5111B"/>
    <w:rsid w:val="00D51C8D"/>
    <w:rsid w:val="00D7280E"/>
    <w:rsid w:val="00D749CE"/>
    <w:rsid w:val="00D752FC"/>
    <w:rsid w:val="00D76449"/>
    <w:rsid w:val="00D87053"/>
    <w:rsid w:val="00D958D7"/>
    <w:rsid w:val="00D966F6"/>
    <w:rsid w:val="00D96F9E"/>
    <w:rsid w:val="00D9717C"/>
    <w:rsid w:val="00DB1217"/>
    <w:rsid w:val="00DC26B7"/>
    <w:rsid w:val="00DC466E"/>
    <w:rsid w:val="00DC5A35"/>
    <w:rsid w:val="00DD0C77"/>
    <w:rsid w:val="00DD19DA"/>
    <w:rsid w:val="00DD3F63"/>
    <w:rsid w:val="00DD5D61"/>
    <w:rsid w:val="00DD68F1"/>
    <w:rsid w:val="00DD7F9C"/>
    <w:rsid w:val="00DE5570"/>
    <w:rsid w:val="00DE70BE"/>
    <w:rsid w:val="00DF3087"/>
    <w:rsid w:val="00DF3866"/>
    <w:rsid w:val="00E00139"/>
    <w:rsid w:val="00E0094F"/>
    <w:rsid w:val="00E0361B"/>
    <w:rsid w:val="00E03967"/>
    <w:rsid w:val="00E041D9"/>
    <w:rsid w:val="00E117E5"/>
    <w:rsid w:val="00E20370"/>
    <w:rsid w:val="00E2054C"/>
    <w:rsid w:val="00E271EE"/>
    <w:rsid w:val="00E35DD1"/>
    <w:rsid w:val="00E4724A"/>
    <w:rsid w:val="00E50A3C"/>
    <w:rsid w:val="00E51AEB"/>
    <w:rsid w:val="00E56052"/>
    <w:rsid w:val="00E56374"/>
    <w:rsid w:val="00E57D5B"/>
    <w:rsid w:val="00E678EF"/>
    <w:rsid w:val="00E67B10"/>
    <w:rsid w:val="00E72390"/>
    <w:rsid w:val="00E758C1"/>
    <w:rsid w:val="00E75A8E"/>
    <w:rsid w:val="00E7752E"/>
    <w:rsid w:val="00E825CC"/>
    <w:rsid w:val="00E876EC"/>
    <w:rsid w:val="00E91D28"/>
    <w:rsid w:val="00E941FD"/>
    <w:rsid w:val="00E97B62"/>
    <w:rsid w:val="00E97CD1"/>
    <w:rsid w:val="00EA37D2"/>
    <w:rsid w:val="00EA3B85"/>
    <w:rsid w:val="00EB03D1"/>
    <w:rsid w:val="00EB0E81"/>
    <w:rsid w:val="00EB14C3"/>
    <w:rsid w:val="00EB3402"/>
    <w:rsid w:val="00EB3981"/>
    <w:rsid w:val="00EB516F"/>
    <w:rsid w:val="00EB5494"/>
    <w:rsid w:val="00EB599A"/>
    <w:rsid w:val="00EB63A5"/>
    <w:rsid w:val="00EB7E3E"/>
    <w:rsid w:val="00EC168C"/>
    <w:rsid w:val="00EC26DA"/>
    <w:rsid w:val="00EC2766"/>
    <w:rsid w:val="00EC2B6F"/>
    <w:rsid w:val="00EC3BAB"/>
    <w:rsid w:val="00ED190E"/>
    <w:rsid w:val="00ED49FE"/>
    <w:rsid w:val="00ED56AA"/>
    <w:rsid w:val="00ED7A0F"/>
    <w:rsid w:val="00EE245F"/>
    <w:rsid w:val="00EE4389"/>
    <w:rsid w:val="00EE490B"/>
    <w:rsid w:val="00EE4929"/>
    <w:rsid w:val="00EE5A75"/>
    <w:rsid w:val="00EF07B0"/>
    <w:rsid w:val="00EF18D3"/>
    <w:rsid w:val="00EF585A"/>
    <w:rsid w:val="00F04745"/>
    <w:rsid w:val="00F07514"/>
    <w:rsid w:val="00F15EBA"/>
    <w:rsid w:val="00F241D5"/>
    <w:rsid w:val="00F316F1"/>
    <w:rsid w:val="00F33485"/>
    <w:rsid w:val="00F36483"/>
    <w:rsid w:val="00F548B1"/>
    <w:rsid w:val="00F6550D"/>
    <w:rsid w:val="00F65F78"/>
    <w:rsid w:val="00F70991"/>
    <w:rsid w:val="00F72840"/>
    <w:rsid w:val="00F73AA4"/>
    <w:rsid w:val="00F75931"/>
    <w:rsid w:val="00F759FF"/>
    <w:rsid w:val="00F8567E"/>
    <w:rsid w:val="00F90D68"/>
    <w:rsid w:val="00F952FA"/>
    <w:rsid w:val="00FA0E91"/>
    <w:rsid w:val="00FA2C9A"/>
    <w:rsid w:val="00FA339F"/>
    <w:rsid w:val="00FA64F8"/>
    <w:rsid w:val="00FA768C"/>
    <w:rsid w:val="00FB14FC"/>
    <w:rsid w:val="00FB2C6D"/>
    <w:rsid w:val="00FB3117"/>
    <w:rsid w:val="00FB346E"/>
    <w:rsid w:val="00FB5120"/>
    <w:rsid w:val="00FC278F"/>
    <w:rsid w:val="00FC3F60"/>
    <w:rsid w:val="00FC57CE"/>
    <w:rsid w:val="00FC590A"/>
    <w:rsid w:val="00FD7862"/>
    <w:rsid w:val="00FE1518"/>
    <w:rsid w:val="00FE1B27"/>
    <w:rsid w:val="00FE2C61"/>
    <w:rsid w:val="00FE3512"/>
    <w:rsid w:val="00FE6655"/>
    <w:rsid w:val="00FE6EA5"/>
    <w:rsid w:val="00FE77DE"/>
    <w:rsid w:val="00FF1685"/>
    <w:rsid w:val="00FF30CE"/>
    <w:rsid w:val="00FF32A0"/>
    <w:rsid w:val="00FF4B45"/>
    <w:rsid w:val="00FF72FC"/>
    <w:rsid w:val="00FF79A3"/>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C3"/>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FA6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9378">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9/may/oes_nat.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dp_prapubliccomments@od.nih.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F82941-8F18-4FBD-9573-76BD870DB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344E7-2B65-482D-8520-7CC2967116D7}">
  <ds:schemaRefs>
    <ds:schemaRef ds:uri="http://schemas.microsoft.com/sharepoint/v3/contenttype/forms"/>
  </ds:schemaRefs>
</ds:datastoreItem>
</file>

<file path=customXml/itemProps4.xml><?xml version="1.0" encoding="utf-8"?>
<ds:datastoreItem xmlns:ds="http://schemas.openxmlformats.org/officeDocument/2006/customXml" ds:itemID="{3CD62C3A-77D9-49B7-8DAD-391A01CAD1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237274-071D-41DB-B7C2-162C60E2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5080</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dcterms:created xsi:type="dcterms:W3CDTF">2020-10-06T21:48:00Z</dcterms:created>
  <dcterms:modified xsi:type="dcterms:W3CDTF">2020-10-06T21:48:00Z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