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3D" w:rsidP="00C518C2" w:rsidRDefault="00456179" w14:paraId="6A6766CA" w14:textId="77777777">
      <w:pPr>
        <w:rPr>
          <w:b/>
          <w:sz w:val="28"/>
          <w:szCs w:val="28"/>
        </w:rPr>
      </w:pPr>
      <w:r w:rsidRPr="00456179">
        <w:rPr>
          <w:b/>
          <w:sz w:val="28"/>
          <w:szCs w:val="28"/>
        </w:rPr>
        <w:t>SUPPORTING STATEMENT</w:t>
      </w:r>
    </w:p>
    <w:p w:rsidR="00635119" w:rsidP="00C518C2" w:rsidRDefault="00635119" w14:paraId="1BDF3BAF" w14:textId="77777777">
      <w:pPr>
        <w:rPr>
          <w:b/>
          <w:sz w:val="28"/>
          <w:szCs w:val="28"/>
        </w:rPr>
      </w:pPr>
    </w:p>
    <w:p w:rsidR="009B633D" w:rsidP="00C518C2" w:rsidRDefault="00456179" w14:paraId="5E017C6B" w14:textId="77777777">
      <w:pPr>
        <w:rPr>
          <w:sz w:val="28"/>
          <w:szCs w:val="28"/>
        </w:rPr>
      </w:pPr>
      <w:r>
        <w:rPr>
          <w:b/>
          <w:sz w:val="28"/>
          <w:szCs w:val="28"/>
        </w:rPr>
        <w:t>Part A</w:t>
      </w:r>
    </w:p>
    <w:p w:rsidR="009B633D" w:rsidP="00C518C2" w:rsidRDefault="009B633D" w14:paraId="7A0EF886" w14:textId="77777777">
      <w:pPr>
        <w:rPr>
          <w:sz w:val="28"/>
          <w:szCs w:val="28"/>
        </w:rPr>
      </w:pPr>
    </w:p>
    <w:p w:rsidR="009B633D" w:rsidP="00C518C2" w:rsidRDefault="009B633D" w14:paraId="2B611CD9" w14:textId="77777777">
      <w:pPr>
        <w:rPr>
          <w:sz w:val="28"/>
          <w:szCs w:val="28"/>
        </w:rPr>
      </w:pPr>
    </w:p>
    <w:p w:rsidR="009B633D" w:rsidP="00C518C2" w:rsidRDefault="009B633D" w14:paraId="479C8786" w14:textId="77777777">
      <w:pPr>
        <w:rPr>
          <w:sz w:val="28"/>
          <w:szCs w:val="28"/>
        </w:rPr>
      </w:pPr>
    </w:p>
    <w:p w:rsidR="009B633D" w:rsidP="00C518C2" w:rsidRDefault="009B633D" w14:paraId="5B07FF96" w14:textId="77777777">
      <w:pPr>
        <w:rPr>
          <w:sz w:val="28"/>
          <w:szCs w:val="28"/>
        </w:rPr>
      </w:pPr>
    </w:p>
    <w:p w:rsidR="009B633D" w:rsidP="00C518C2" w:rsidRDefault="009B633D" w14:paraId="5CE50A83" w14:textId="77777777">
      <w:pPr>
        <w:rPr>
          <w:sz w:val="28"/>
          <w:szCs w:val="28"/>
        </w:rPr>
      </w:pPr>
    </w:p>
    <w:p w:rsidR="009B633D" w:rsidP="00C518C2" w:rsidRDefault="009B633D" w14:paraId="59D12871" w14:textId="77777777">
      <w:pPr>
        <w:rPr>
          <w:sz w:val="28"/>
          <w:szCs w:val="28"/>
        </w:rPr>
      </w:pPr>
    </w:p>
    <w:p w:rsidRPr="00440F57" w:rsidR="009B633D" w:rsidP="00C518C2" w:rsidRDefault="00440F57" w14:paraId="4809639F" w14:textId="77777777">
      <w:pPr>
        <w:rPr>
          <w:sz w:val="28"/>
          <w:szCs w:val="28"/>
        </w:rPr>
      </w:pPr>
      <w:r w:rsidRPr="00440F57">
        <w:rPr>
          <w:sz w:val="28"/>
          <w:szCs w:val="28"/>
        </w:rPr>
        <w:t>Clinical Decision Support (CDS) for Chronic Pain Management</w:t>
      </w:r>
    </w:p>
    <w:p w:rsidRPr="00082047" w:rsidR="009B633D" w:rsidP="00C518C2" w:rsidRDefault="009B633D" w14:paraId="2B3FAC2C" w14:textId="77777777">
      <w:pPr>
        <w:rPr>
          <w:i/>
          <w:sz w:val="28"/>
          <w:szCs w:val="28"/>
        </w:rPr>
      </w:pPr>
    </w:p>
    <w:p w:rsidR="009B633D" w:rsidP="00C518C2" w:rsidRDefault="009B633D" w14:paraId="44BCCC8E" w14:textId="77777777">
      <w:pPr>
        <w:rPr>
          <w:sz w:val="28"/>
          <w:szCs w:val="28"/>
        </w:rPr>
      </w:pPr>
    </w:p>
    <w:p w:rsidR="009B633D" w:rsidP="00C518C2" w:rsidRDefault="009B633D" w14:paraId="1A0042BF" w14:textId="77777777">
      <w:pPr>
        <w:rPr>
          <w:sz w:val="28"/>
          <w:szCs w:val="28"/>
        </w:rPr>
      </w:pPr>
    </w:p>
    <w:p w:rsidR="009B633D" w:rsidP="00C518C2" w:rsidRDefault="009B633D" w14:paraId="170D6717" w14:textId="77777777">
      <w:pPr>
        <w:rPr>
          <w:sz w:val="28"/>
          <w:szCs w:val="28"/>
        </w:rPr>
      </w:pPr>
    </w:p>
    <w:p w:rsidRPr="00C4006D" w:rsidR="009B633D" w:rsidP="00C518C2" w:rsidRDefault="00BB1C2F" w14:paraId="78389EB1" w14:textId="62DDBCC1">
      <w:pPr>
        <w:rPr>
          <w:i/>
          <w:sz w:val="28"/>
          <w:szCs w:val="28"/>
        </w:rPr>
      </w:pPr>
      <w:r>
        <w:rPr>
          <w:b/>
          <w:sz w:val="28"/>
          <w:szCs w:val="28"/>
        </w:rPr>
        <w:t>Version</w:t>
      </w:r>
      <w:r w:rsidR="00FF42BD">
        <w:rPr>
          <w:b/>
          <w:sz w:val="28"/>
          <w:szCs w:val="28"/>
        </w:rPr>
        <w:t>:</w:t>
      </w:r>
      <w:r w:rsidRPr="00440F57">
        <w:rPr>
          <w:b/>
          <w:sz w:val="28"/>
          <w:szCs w:val="28"/>
        </w:rPr>
        <w:t xml:space="preserve"> </w:t>
      </w:r>
      <w:r w:rsidR="0043787F">
        <w:rPr>
          <w:sz w:val="28"/>
          <w:szCs w:val="28"/>
        </w:rPr>
        <w:t>A</w:t>
      </w:r>
      <w:r w:rsidR="003526B6">
        <w:rPr>
          <w:sz w:val="28"/>
          <w:szCs w:val="28"/>
        </w:rPr>
        <w:t>pril 1</w:t>
      </w:r>
      <w:r w:rsidRPr="001F489F" w:rsidR="001F489F">
        <w:rPr>
          <w:sz w:val="28"/>
          <w:szCs w:val="28"/>
        </w:rPr>
        <w:t>, 2020</w:t>
      </w:r>
    </w:p>
    <w:p w:rsidR="009B633D" w:rsidP="00C518C2" w:rsidRDefault="009B633D" w14:paraId="2F2CD520" w14:textId="77777777">
      <w:pPr>
        <w:rPr>
          <w:i/>
          <w:sz w:val="28"/>
          <w:szCs w:val="28"/>
        </w:rPr>
      </w:pPr>
    </w:p>
    <w:p w:rsidR="009B633D" w:rsidP="00C518C2" w:rsidRDefault="009B633D" w14:paraId="65F90AF5" w14:textId="77777777">
      <w:pPr>
        <w:rPr>
          <w:sz w:val="28"/>
          <w:szCs w:val="28"/>
        </w:rPr>
      </w:pPr>
    </w:p>
    <w:p w:rsidR="009B633D" w:rsidP="00C518C2" w:rsidRDefault="009B633D" w14:paraId="1E264D25" w14:textId="77777777">
      <w:pPr>
        <w:rPr>
          <w:sz w:val="28"/>
          <w:szCs w:val="28"/>
        </w:rPr>
      </w:pPr>
    </w:p>
    <w:p w:rsidR="009B633D" w:rsidP="00C518C2" w:rsidRDefault="009B633D" w14:paraId="3E6A4CBF" w14:textId="77777777">
      <w:pPr>
        <w:rPr>
          <w:sz w:val="28"/>
          <w:szCs w:val="28"/>
        </w:rPr>
      </w:pPr>
    </w:p>
    <w:p w:rsidR="009B633D" w:rsidP="00C518C2" w:rsidRDefault="009B633D" w14:paraId="0F0F2018" w14:textId="77777777">
      <w:pPr>
        <w:rPr>
          <w:sz w:val="28"/>
          <w:szCs w:val="28"/>
        </w:rPr>
      </w:pPr>
    </w:p>
    <w:p w:rsidR="009B633D" w:rsidP="00C518C2" w:rsidRDefault="009B633D" w14:paraId="524EF0FD" w14:textId="77777777">
      <w:pPr>
        <w:rPr>
          <w:sz w:val="28"/>
          <w:szCs w:val="28"/>
        </w:rPr>
      </w:pPr>
    </w:p>
    <w:p w:rsidR="009B633D" w:rsidP="00C518C2" w:rsidRDefault="009B633D" w14:paraId="3980038F" w14:textId="77777777">
      <w:pPr>
        <w:rPr>
          <w:sz w:val="28"/>
          <w:szCs w:val="28"/>
        </w:rPr>
      </w:pPr>
      <w:r w:rsidRPr="00677A0B">
        <w:rPr>
          <w:sz w:val="28"/>
          <w:szCs w:val="28"/>
        </w:rPr>
        <w:t>Agency of Healthcare Research and Quality (AHRQ)</w:t>
      </w:r>
    </w:p>
    <w:p w:rsidR="009B633D" w:rsidP="00C518C2" w:rsidRDefault="009B633D" w14:paraId="7F156321" w14:textId="77777777">
      <w:pPr>
        <w:rPr>
          <w:sz w:val="28"/>
          <w:szCs w:val="28"/>
        </w:rPr>
      </w:pPr>
    </w:p>
    <w:p w:rsidR="009B633D" w:rsidP="00C518C2" w:rsidRDefault="009B633D" w14:paraId="7288F58D" w14:textId="77777777">
      <w:pPr>
        <w:rPr>
          <w:sz w:val="28"/>
          <w:szCs w:val="28"/>
        </w:rPr>
      </w:pPr>
    </w:p>
    <w:p w:rsidRPr="004F0589" w:rsidR="00D518D1" w:rsidP="00C518C2" w:rsidRDefault="009B633D" w14:paraId="0B411923" w14:textId="55648339">
      <w:pPr>
        <w:rPr>
          <w:color w:val="4472C4"/>
        </w:rPr>
      </w:pPr>
      <w:r w:rsidRPr="004F0589">
        <w:rPr>
          <w:color w:val="4472C4"/>
        </w:rPr>
        <w:br w:type="page"/>
      </w:r>
    </w:p>
    <w:p w:rsidR="00D518D1" w:rsidP="00C518C2" w:rsidRDefault="00D518D1" w14:paraId="5B6E1161" w14:textId="77777777">
      <w:pPr>
        <w:pStyle w:val="TOCHeading"/>
      </w:pPr>
      <w:r>
        <w:lastRenderedPageBreak/>
        <w:t>Table of Contents</w:t>
      </w:r>
    </w:p>
    <w:p w:rsidR="002C3DBC" w:rsidRDefault="00D518D1" w14:paraId="17B9E001" w14:textId="2721E53D">
      <w:pPr>
        <w:pStyle w:val="TOC2"/>
        <w:tabs>
          <w:tab w:val="right" w:leader="dot" w:pos="8630"/>
        </w:tabs>
        <w:rPr>
          <w:rFonts w:asciiTheme="minorHAnsi" w:hAnsiTheme="minorHAnsi" w:eastAsiaTheme="minorEastAsia"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history="1" w:anchor="_Toc36632016">
        <w:r w:rsidRPr="00834955" w:rsidR="002C3DBC">
          <w:rPr>
            <w:rStyle w:val="Hyperlink"/>
            <w:noProof/>
          </w:rPr>
          <w:t>1. Circumstances that make the collection of information necessary</w:t>
        </w:r>
        <w:r w:rsidR="002C3DBC">
          <w:rPr>
            <w:noProof/>
            <w:webHidden/>
          </w:rPr>
          <w:tab/>
        </w:r>
        <w:r w:rsidR="002C3DBC">
          <w:rPr>
            <w:noProof/>
            <w:webHidden/>
          </w:rPr>
          <w:fldChar w:fldCharType="begin"/>
        </w:r>
        <w:r w:rsidR="002C3DBC">
          <w:rPr>
            <w:noProof/>
            <w:webHidden/>
          </w:rPr>
          <w:instrText xml:space="preserve"> PAGEREF _Toc36632016 \h </w:instrText>
        </w:r>
        <w:r w:rsidR="002C3DBC">
          <w:rPr>
            <w:noProof/>
            <w:webHidden/>
          </w:rPr>
        </w:r>
        <w:r w:rsidR="002C3DBC">
          <w:rPr>
            <w:noProof/>
            <w:webHidden/>
          </w:rPr>
          <w:fldChar w:fldCharType="separate"/>
        </w:r>
        <w:r w:rsidR="00A46A92">
          <w:rPr>
            <w:noProof/>
            <w:webHidden/>
          </w:rPr>
          <w:t>- 3 -</w:t>
        </w:r>
        <w:r w:rsidR="002C3DBC">
          <w:rPr>
            <w:noProof/>
            <w:webHidden/>
          </w:rPr>
          <w:fldChar w:fldCharType="end"/>
        </w:r>
      </w:hyperlink>
    </w:p>
    <w:p w:rsidR="002C3DBC" w:rsidRDefault="006108A3" w14:paraId="50D334AB" w14:textId="3CBC3067">
      <w:pPr>
        <w:pStyle w:val="TOC2"/>
        <w:tabs>
          <w:tab w:val="right" w:leader="dot" w:pos="8630"/>
        </w:tabs>
        <w:rPr>
          <w:rFonts w:asciiTheme="minorHAnsi" w:hAnsiTheme="minorHAnsi" w:eastAsiaTheme="minorEastAsia" w:cstheme="minorBidi"/>
          <w:noProof/>
          <w:sz w:val="22"/>
          <w:szCs w:val="22"/>
        </w:rPr>
      </w:pPr>
      <w:hyperlink w:history="1" w:anchor="_Toc36632017">
        <w:r w:rsidRPr="00834955" w:rsidR="002C3DBC">
          <w:rPr>
            <w:rStyle w:val="Hyperlink"/>
            <w:noProof/>
          </w:rPr>
          <w:t>2. Purpose and Use of Information</w:t>
        </w:r>
        <w:r w:rsidR="002C3DBC">
          <w:rPr>
            <w:noProof/>
            <w:webHidden/>
          </w:rPr>
          <w:tab/>
        </w:r>
        <w:r w:rsidR="002C3DBC">
          <w:rPr>
            <w:noProof/>
            <w:webHidden/>
          </w:rPr>
          <w:fldChar w:fldCharType="begin"/>
        </w:r>
        <w:r w:rsidR="002C3DBC">
          <w:rPr>
            <w:noProof/>
            <w:webHidden/>
          </w:rPr>
          <w:instrText xml:space="preserve"> PAGEREF _Toc36632017 \h </w:instrText>
        </w:r>
        <w:r w:rsidR="002C3DBC">
          <w:rPr>
            <w:noProof/>
            <w:webHidden/>
          </w:rPr>
        </w:r>
        <w:r w:rsidR="002C3DBC">
          <w:rPr>
            <w:noProof/>
            <w:webHidden/>
          </w:rPr>
          <w:fldChar w:fldCharType="separate"/>
        </w:r>
        <w:r w:rsidR="00A46A92">
          <w:rPr>
            <w:noProof/>
            <w:webHidden/>
          </w:rPr>
          <w:t>- 5 -</w:t>
        </w:r>
        <w:r w:rsidR="002C3DBC">
          <w:rPr>
            <w:noProof/>
            <w:webHidden/>
          </w:rPr>
          <w:fldChar w:fldCharType="end"/>
        </w:r>
      </w:hyperlink>
    </w:p>
    <w:p w:rsidR="002C3DBC" w:rsidRDefault="006108A3" w14:paraId="519867B3" w14:textId="0177154E">
      <w:pPr>
        <w:pStyle w:val="TOC2"/>
        <w:tabs>
          <w:tab w:val="right" w:leader="dot" w:pos="8630"/>
        </w:tabs>
        <w:rPr>
          <w:rFonts w:asciiTheme="minorHAnsi" w:hAnsiTheme="minorHAnsi" w:eastAsiaTheme="minorEastAsia" w:cstheme="minorBidi"/>
          <w:noProof/>
          <w:sz w:val="22"/>
          <w:szCs w:val="22"/>
        </w:rPr>
      </w:pPr>
      <w:hyperlink w:history="1" w:anchor="_Toc36632018">
        <w:r w:rsidRPr="00834955" w:rsidR="002C3DBC">
          <w:rPr>
            <w:rStyle w:val="Hyperlink"/>
            <w:noProof/>
          </w:rPr>
          <w:t>3. Use of Improved Information Technology</w:t>
        </w:r>
        <w:r w:rsidR="002C3DBC">
          <w:rPr>
            <w:noProof/>
            <w:webHidden/>
          </w:rPr>
          <w:tab/>
        </w:r>
        <w:r w:rsidR="002C3DBC">
          <w:rPr>
            <w:noProof/>
            <w:webHidden/>
          </w:rPr>
          <w:fldChar w:fldCharType="begin"/>
        </w:r>
        <w:r w:rsidR="002C3DBC">
          <w:rPr>
            <w:noProof/>
            <w:webHidden/>
          </w:rPr>
          <w:instrText xml:space="preserve"> PAGEREF _Toc36632018 \h </w:instrText>
        </w:r>
        <w:r w:rsidR="002C3DBC">
          <w:rPr>
            <w:noProof/>
            <w:webHidden/>
          </w:rPr>
        </w:r>
        <w:r w:rsidR="002C3DBC">
          <w:rPr>
            <w:noProof/>
            <w:webHidden/>
          </w:rPr>
          <w:fldChar w:fldCharType="separate"/>
        </w:r>
        <w:r w:rsidR="00A46A92">
          <w:rPr>
            <w:noProof/>
            <w:webHidden/>
          </w:rPr>
          <w:t>- 5 -</w:t>
        </w:r>
        <w:r w:rsidR="002C3DBC">
          <w:rPr>
            <w:noProof/>
            <w:webHidden/>
          </w:rPr>
          <w:fldChar w:fldCharType="end"/>
        </w:r>
      </w:hyperlink>
    </w:p>
    <w:p w:rsidR="002C3DBC" w:rsidRDefault="006108A3" w14:paraId="5ECF273A" w14:textId="39665AA9">
      <w:pPr>
        <w:pStyle w:val="TOC2"/>
        <w:tabs>
          <w:tab w:val="right" w:leader="dot" w:pos="8630"/>
        </w:tabs>
        <w:rPr>
          <w:rFonts w:asciiTheme="minorHAnsi" w:hAnsiTheme="minorHAnsi" w:eastAsiaTheme="minorEastAsia" w:cstheme="minorBidi"/>
          <w:noProof/>
          <w:sz w:val="22"/>
          <w:szCs w:val="22"/>
        </w:rPr>
      </w:pPr>
      <w:hyperlink w:history="1" w:anchor="_Toc36632019">
        <w:r w:rsidRPr="00834955" w:rsidR="002C3DBC">
          <w:rPr>
            <w:rStyle w:val="Hyperlink"/>
            <w:noProof/>
          </w:rPr>
          <w:t>4. Efforts to Identify Duplication</w:t>
        </w:r>
        <w:r w:rsidR="002C3DBC">
          <w:rPr>
            <w:noProof/>
            <w:webHidden/>
          </w:rPr>
          <w:tab/>
        </w:r>
        <w:r w:rsidR="002C3DBC">
          <w:rPr>
            <w:noProof/>
            <w:webHidden/>
          </w:rPr>
          <w:fldChar w:fldCharType="begin"/>
        </w:r>
        <w:r w:rsidR="002C3DBC">
          <w:rPr>
            <w:noProof/>
            <w:webHidden/>
          </w:rPr>
          <w:instrText xml:space="preserve"> PAGEREF _Toc36632019 \h </w:instrText>
        </w:r>
        <w:r w:rsidR="002C3DBC">
          <w:rPr>
            <w:noProof/>
            <w:webHidden/>
          </w:rPr>
        </w:r>
        <w:r w:rsidR="002C3DBC">
          <w:rPr>
            <w:noProof/>
            <w:webHidden/>
          </w:rPr>
          <w:fldChar w:fldCharType="separate"/>
        </w:r>
        <w:r w:rsidR="00A46A92">
          <w:rPr>
            <w:noProof/>
            <w:webHidden/>
          </w:rPr>
          <w:t>- 6 -</w:t>
        </w:r>
        <w:r w:rsidR="002C3DBC">
          <w:rPr>
            <w:noProof/>
            <w:webHidden/>
          </w:rPr>
          <w:fldChar w:fldCharType="end"/>
        </w:r>
      </w:hyperlink>
    </w:p>
    <w:p w:rsidR="002C3DBC" w:rsidRDefault="006108A3" w14:paraId="4C20B6CF" w14:textId="179C46A1">
      <w:pPr>
        <w:pStyle w:val="TOC2"/>
        <w:tabs>
          <w:tab w:val="right" w:leader="dot" w:pos="8630"/>
        </w:tabs>
        <w:rPr>
          <w:rFonts w:asciiTheme="minorHAnsi" w:hAnsiTheme="minorHAnsi" w:eastAsiaTheme="minorEastAsia" w:cstheme="minorBidi"/>
          <w:noProof/>
          <w:sz w:val="22"/>
          <w:szCs w:val="22"/>
        </w:rPr>
      </w:pPr>
      <w:hyperlink w:history="1" w:anchor="_Toc36632020">
        <w:r w:rsidRPr="00834955" w:rsidR="002C3DBC">
          <w:rPr>
            <w:rStyle w:val="Hyperlink"/>
            <w:noProof/>
          </w:rPr>
          <w:t>5. Involvement of Small Entities</w:t>
        </w:r>
        <w:r w:rsidR="002C3DBC">
          <w:rPr>
            <w:noProof/>
            <w:webHidden/>
          </w:rPr>
          <w:tab/>
        </w:r>
        <w:r w:rsidR="002C3DBC">
          <w:rPr>
            <w:noProof/>
            <w:webHidden/>
          </w:rPr>
          <w:fldChar w:fldCharType="begin"/>
        </w:r>
        <w:r w:rsidR="002C3DBC">
          <w:rPr>
            <w:noProof/>
            <w:webHidden/>
          </w:rPr>
          <w:instrText xml:space="preserve"> PAGEREF _Toc36632020 \h </w:instrText>
        </w:r>
        <w:r w:rsidR="002C3DBC">
          <w:rPr>
            <w:noProof/>
            <w:webHidden/>
          </w:rPr>
        </w:r>
        <w:r w:rsidR="002C3DBC">
          <w:rPr>
            <w:noProof/>
            <w:webHidden/>
          </w:rPr>
          <w:fldChar w:fldCharType="separate"/>
        </w:r>
        <w:r w:rsidR="00A46A92">
          <w:rPr>
            <w:noProof/>
            <w:webHidden/>
          </w:rPr>
          <w:t>- 6 -</w:t>
        </w:r>
        <w:r w:rsidR="002C3DBC">
          <w:rPr>
            <w:noProof/>
            <w:webHidden/>
          </w:rPr>
          <w:fldChar w:fldCharType="end"/>
        </w:r>
      </w:hyperlink>
    </w:p>
    <w:p w:rsidR="002C3DBC" w:rsidRDefault="006108A3" w14:paraId="1E11FBC4" w14:textId="57997C0D">
      <w:pPr>
        <w:pStyle w:val="TOC2"/>
        <w:tabs>
          <w:tab w:val="right" w:leader="dot" w:pos="8630"/>
        </w:tabs>
        <w:rPr>
          <w:rFonts w:asciiTheme="minorHAnsi" w:hAnsiTheme="minorHAnsi" w:eastAsiaTheme="minorEastAsia" w:cstheme="minorBidi"/>
          <w:noProof/>
          <w:sz w:val="22"/>
          <w:szCs w:val="22"/>
        </w:rPr>
      </w:pPr>
      <w:hyperlink w:history="1" w:anchor="_Toc36632021">
        <w:r w:rsidRPr="00834955" w:rsidR="002C3DBC">
          <w:rPr>
            <w:rStyle w:val="Hyperlink"/>
            <w:noProof/>
          </w:rPr>
          <w:t>6. Consequences if Information Collected Less Frequently</w:t>
        </w:r>
        <w:r w:rsidR="002C3DBC">
          <w:rPr>
            <w:noProof/>
            <w:webHidden/>
          </w:rPr>
          <w:tab/>
        </w:r>
        <w:r w:rsidR="002C3DBC">
          <w:rPr>
            <w:noProof/>
            <w:webHidden/>
          </w:rPr>
          <w:fldChar w:fldCharType="begin"/>
        </w:r>
        <w:r w:rsidR="002C3DBC">
          <w:rPr>
            <w:noProof/>
            <w:webHidden/>
          </w:rPr>
          <w:instrText xml:space="preserve"> PAGEREF _Toc36632021 \h </w:instrText>
        </w:r>
        <w:r w:rsidR="002C3DBC">
          <w:rPr>
            <w:noProof/>
            <w:webHidden/>
          </w:rPr>
        </w:r>
        <w:r w:rsidR="002C3DBC">
          <w:rPr>
            <w:noProof/>
            <w:webHidden/>
          </w:rPr>
          <w:fldChar w:fldCharType="separate"/>
        </w:r>
        <w:r w:rsidR="00A46A92">
          <w:rPr>
            <w:noProof/>
            <w:webHidden/>
          </w:rPr>
          <w:t>- 6 -</w:t>
        </w:r>
        <w:r w:rsidR="002C3DBC">
          <w:rPr>
            <w:noProof/>
            <w:webHidden/>
          </w:rPr>
          <w:fldChar w:fldCharType="end"/>
        </w:r>
      </w:hyperlink>
    </w:p>
    <w:p w:rsidR="002C3DBC" w:rsidRDefault="006108A3" w14:paraId="32F45C81" w14:textId="59312711">
      <w:pPr>
        <w:pStyle w:val="TOC2"/>
        <w:tabs>
          <w:tab w:val="right" w:leader="dot" w:pos="8630"/>
        </w:tabs>
        <w:rPr>
          <w:rFonts w:asciiTheme="minorHAnsi" w:hAnsiTheme="minorHAnsi" w:eastAsiaTheme="minorEastAsia" w:cstheme="minorBidi"/>
          <w:noProof/>
          <w:sz w:val="22"/>
          <w:szCs w:val="22"/>
        </w:rPr>
      </w:pPr>
      <w:hyperlink w:history="1" w:anchor="_Toc36632022">
        <w:r w:rsidRPr="00834955" w:rsidR="002C3DBC">
          <w:rPr>
            <w:rStyle w:val="Hyperlink"/>
            <w:noProof/>
          </w:rPr>
          <w:t>7. Special Circumstances</w:t>
        </w:r>
        <w:r w:rsidR="002C3DBC">
          <w:rPr>
            <w:noProof/>
            <w:webHidden/>
          </w:rPr>
          <w:tab/>
        </w:r>
        <w:r w:rsidR="002C3DBC">
          <w:rPr>
            <w:noProof/>
            <w:webHidden/>
          </w:rPr>
          <w:fldChar w:fldCharType="begin"/>
        </w:r>
        <w:r w:rsidR="002C3DBC">
          <w:rPr>
            <w:noProof/>
            <w:webHidden/>
          </w:rPr>
          <w:instrText xml:space="preserve"> PAGEREF _Toc36632022 \h </w:instrText>
        </w:r>
        <w:r w:rsidR="002C3DBC">
          <w:rPr>
            <w:noProof/>
            <w:webHidden/>
          </w:rPr>
        </w:r>
        <w:r w:rsidR="002C3DBC">
          <w:rPr>
            <w:noProof/>
            <w:webHidden/>
          </w:rPr>
          <w:fldChar w:fldCharType="separate"/>
        </w:r>
        <w:r w:rsidR="00A46A92">
          <w:rPr>
            <w:noProof/>
            <w:webHidden/>
          </w:rPr>
          <w:t>- 6 -</w:t>
        </w:r>
        <w:r w:rsidR="002C3DBC">
          <w:rPr>
            <w:noProof/>
            <w:webHidden/>
          </w:rPr>
          <w:fldChar w:fldCharType="end"/>
        </w:r>
      </w:hyperlink>
    </w:p>
    <w:p w:rsidR="002C3DBC" w:rsidRDefault="006108A3" w14:paraId="638D9395" w14:textId="0739BD99">
      <w:pPr>
        <w:pStyle w:val="TOC2"/>
        <w:tabs>
          <w:tab w:val="right" w:leader="dot" w:pos="8630"/>
        </w:tabs>
        <w:rPr>
          <w:rFonts w:asciiTheme="minorHAnsi" w:hAnsiTheme="minorHAnsi" w:eastAsiaTheme="minorEastAsia" w:cstheme="minorBidi"/>
          <w:noProof/>
          <w:sz w:val="22"/>
          <w:szCs w:val="22"/>
        </w:rPr>
      </w:pPr>
      <w:hyperlink w:history="1" w:anchor="_Toc36632023">
        <w:r w:rsidRPr="00834955" w:rsidR="002C3DBC">
          <w:rPr>
            <w:rStyle w:val="Hyperlink"/>
            <w:noProof/>
          </w:rPr>
          <w:t>8. Federal Register Notice and Outside Consultations</w:t>
        </w:r>
        <w:r w:rsidR="002C3DBC">
          <w:rPr>
            <w:noProof/>
            <w:webHidden/>
          </w:rPr>
          <w:tab/>
        </w:r>
        <w:r w:rsidR="002C3DBC">
          <w:rPr>
            <w:noProof/>
            <w:webHidden/>
          </w:rPr>
          <w:fldChar w:fldCharType="begin"/>
        </w:r>
        <w:r w:rsidR="002C3DBC">
          <w:rPr>
            <w:noProof/>
            <w:webHidden/>
          </w:rPr>
          <w:instrText xml:space="preserve"> PAGEREF _Toc36632023 \h </w:instrText>
        </w:r>
        <w:r w:rsidR="002C3DBC">
          <w:rPr>
            <w:noProof/>
            <w:webHidden/>
          </w:rPr>
        </w:r>
        <w:r w:rsidR="002C3DBC">
          <w:rPr>
            <w:noProof/>
            <w:webHidden/>
          </w:rPr>
          <w:fldChar w:fldCharType="separate"/>
        </w:r>
        <w:r w:rsidR="00A46A92">
          <w:rPr>
            <w:noProof/>
            <w:webHidden/>
          </w:rPr>
          <w:t>- 7 -</w:t>
        </w:r>
        <w:r w:rsidR="002C3DBC">
          <w:rPr>
            <w:noProof/>
            <w:webHidden/>
          </w:rPr>
          <w:fldChar w:fldCharType="end"/>
        </w:r>
      </w:hyperlink>
    </w:p>
    <w:p w:rsidR="002C3DBC" w:rsidRDefault="006108A3" w14:paraId="4963A959" w14:textId="29EE8B7E">
      <w:pPr>
        <w:pStyle w:val="TOC2"/>
        <w:tabs>
          <w:tab w:val="right" w:leader="dot" w:pos="8630"/>
        </w:tabs>
        <w:rPr>
          <w:rFonts w:asciiTheme="minorHAnsi" w:hAnsiTheme="minorHAnsi" w:eastAsiaTheme="minorEastAsia" w:cstheme="minorBidi"/>
          <w:noProof/>
          <w:sz w:val="22"/>
          <w:szCs w:val="22"/>
        </w:rPr>
      </w:pPr>
      <w:hyperlink w:history="1" w:anchor="_Toc36632024">
        <w:r w:rsidRPr="00834955" w:rsidR="002C3DBC">
          <w:rPr>
            <w:rStyle w:val="Hyperlink"/>
            <w:noProof/>
          </w:rPr>
          <w:t>8.b. Outside Consultations</w:t>
        </w:r>
        <w:r w:rsidR="002C3DBC">
          <w:rPr>
            <w:noProof/>
            <w:webHidden/>
          </w:rPr>
          <w:tab/>
        </w:r>
        <w:r w:rsidR="002C3DBC">
          <w:rPr>
            <w:noProof/>
            <w:webHidden/>
          </w:rPr>
          <w:fldChar w:fldCharType="begin"/>
        </w:r>
        <w:r w:rsidR="002C3DBC">
          <w:rPr>
            <w:noProof/>
            <w:webHidden/>
          </w:rPr>
          <w:instrText xml:space="preserve"> PAGEREF _Toc36632024 \h </w:instrText>
        </w:r>
        <w:r w:rsidR="002C3DBC">
          <w:rPr>
            <w:noProof/>
            <w:webHidden/>
          </w:rPr>
        </w:r>
        <w:r w:rsidR="002C3DBC">
          <w:rPr>
            <w:noProof/>
            <w:webHidden/>
          </w:rPr>
          <w:fldChar w:fldCharType="separate"/>
        </w:r>
        <w:r w:rsidR="00A46A92">
          <w:rPr>
            <w:noProof/>
            <w:webHidden/>
          </w:rPr>
          <w:t>- 7 -</w:t>
        </w:r>
        <w:r w:rsidR="002C3DBC">
          <w:rPr>
            <w:noProof/>
            <w:webHidden/>
          </w:rPr>
          <w:fldChar w:fldCharType="end"/>
        </w:r>
      </w:hyperlink>
    </w:p>
    <w:p w:rsidR="002C3DBC" w:rsidRDefault="006108A3" w14:paraId="0F649C98" w14:textId="4A110350">
      <w:pPr>
        <w:pStyle w:val="TOC2"/>
        <w:tabs>
          <w:tab w:val="right" w:leader="dot" w:pos="8630"/>
        </w:tabs>
        <w:rPr>
          <w:rFonts w:asciiTheme="minorHAnsi" w:hAnsiTheme="minorHAnsi" w:eastAsiaTheme="minorEastAsia" w:cstheme="minorBidi"/>
          <w:noProof/>
          <w:sz w:val="22"/>
          <w:szCs w:val="22"/>
        </w:rPr>
      </w:pPr>
      <w:hyperlink w:history="1" w:anchor="_Toc36632025">
        <w:r w:rsidRPr="00834955" w:rsidR="002C3DBC">
          <w:rPr>
            <w:rStyle w:val="Hyperlink"/>
            <w:noProof/>
          </w:rPr>
          <w:t>9. Payments/Gifts to Respondents</w:t>
        </w:r>
        <w:r w:rsidR="002C3DBC">
          <w:rPr>
            <w:noProof/>
            <w:webHidden/>
          </w:rPr>
          <w:tab/>
        </w:r>
        <w:r w:rsidR="002C3DBC">
          <w:rPr>
            <w:noProof/>
            <w:webHidden/>
          </w:rPr>
          <w:fldChar w:fldCharType="begin"/>
        </w:r>
        <w:r w:rsidR="002C3DBC">
          <w:rPr>
            <w:noProof/>
            <w:webHidden/>
          </w:rPr>
          <w:instrText xml:space="preserve"> PAGEREF _Toc36632025 \h </w:instrText>
        </w:r>
        <w:r w:rsidR="002C3DBC">
          <w:rPr>
            <w:noProof/>
            <w:webHidden/>
          </w:rPr>
        </w:r>
        <w:r w:rsidR="002C3DBC">
          <w:rPr>
            <w:noProof/>
            <w:webHidden/>
          </w:rPr>
          <w:fldChar w:fldCharType="separate"/>
        </w:r>
        <w:r w:rsidR="00A46A92">
          <w:rPr>
            <w:noProof/>
            <w:webHidden/>
          </w:rPr>
          <w:t>- 7 -</w:t>
        </w:r>
        <w:r w:rsidR="002C3DBC">
          <w:rPr>
            <w:noProof/>
            <w:webHidden/>
          </w:rPr>
          <w:fldChar w:fldCharType="end"/>
        </w:r>
      </w:hyperlink>
    </w:p>
    <w:p w:rsidR="002C3DBC" w:rsidRDefault="006108A3" w14:paraId="21D81DDB" w14:textId="7C4F360D">
      <w:pPr>
        <w:pStyle w:val="TOC2"/>
        <w:tabs>
          <w:tab w:val="right" w:leader="dot" w:pos="8630"/>
        </w:tabs>
        <w:rPr>
          <w:rFonts w:asciiTheme="minorHAnsi" w:hAnsiTheme="minorHAnsi" w:eastAsiaTheme="minorEastAsia" w:cstheme="minorBidi"/>
          <w:noProof/>
          <w:sz w:val="22"/>
          <w:szCs w:val="22"/>
        </w:rPr>
      </w:pPr>
      <w:hyperlink w:history="1" w:anchor="_Toc36632026">
        <w:r w:rsidRPr="00834955" w:rsidR="002C3DBC">
          <w:rPr>
            <w:rStyle w:val="Hyperlink"/>
            <w:noProof/>
          </w:rPr>
          <w:t>10. Assurance of Confidentiality</w:t>
        </w:r>
        <w:r w:rsidR="002C3DBC">
          <w:rPr>
            <w:noProof/>
            <w:webHidden/>
          </w:rPr>
          <w:tab/>
        </w:r>
        <w:r w:rsidR="002C3DBC">
          <w:rPr>
            <w:noProof/>
            <w:webHidden/>
          </w:rPr>
          <w:fldChar w:fldCharType="begin"/>
        </w:r>
        <w:r w:rsidR="002C3DBC">
          <w:rPr>
            <w:noProof/>
            <w:webHidden/>
          </w:rPr>
          <w:instrText xml:space="preserve"> PAGEREF _Toc36632026 \h </w:instrText>
        </w:r>
        <w:r w:rsidR="002C3DBC">
          <w:rPr>
            <w:noProof/>
            <w:webHidden/>
          </w:rPr>
        </w:r>
        <w:r w:rsidR="002C3DBC">
          <w:rPr>
            <w:noProof/>
            <w:webHidden/>
          </w:rPr>
          <w:fldChar w:fldCharType="separate"/>
        </w:r>
        <w:r w:rsidR="00A46A92">
          <w:rPr>
            <w:noProof/>
            <w:webHidden/>
          </w:rPr>
          <w:t>- 7 -</w:t>
        </w:r>
        <w:r w:rsidR="002C3DBC">
          <w:rPr>
            <w:noProof/>
            <w:webHidden/>
          </w:rPr>
          <w:fldChar w:fldCharType="end"/>
        </w:r>
      </w:hyperlink>
    </w:p>
    <w:p w:rsidR="002C3DBC" w:rsidRDefault="006108A3" w14:paraId="7AFE1B98" w14:textId="7B239DF6">
      <w:pPr>
        <w:pStyle w:val="TOC2"/>
        <w:tabs>
          <w:tab w:val="right" w:leader="dot" w:pos="8630"/>
        </w:tabs>
        <w:rPr>
          <w:rFonts w:asciiTheme="minorHAnsi" w:hAnsiTheme="minorHAnsi" w:eastAsiaTheme="minorEastAsia" w:cstheme="minorBidi"/>
          <w:noProof/>
          <w:sz w:val="22"/>
          <w:szCs w:val="22"/>
        </w:rPr>
      </w:pPr>
      <w:hyperlink w:history="1" w:anchor="_Toc36632027">
        <w:r w:rsidRPr="00834955" w:rsidR="002C3DBC">
          <w:rPr>
            <w:rStyle w:val="Hyperlink"/>
            <w:noProof/>
          </w:rPr>
          <w:t>11. Questions of a Sensitive Nature</w:t>
        </w:r>
        <w:r w:rsidR="002C3DBC">
          <w:rPr>
            <w:noProof/>
            <w:webHidden/>
          </w:rPr>
          <w:tab/>
        </w:r>
        <w:r w:rsidR="002C3DBC">
          <w:rPr>
            <w:noProof/>
            <w:webHidden/>
          </w:rPr>
          <w:fldChar w:fldCharType="begin"/>
        </w:r>
        <w:r w:rsidR="002C3DBC">
          <w:rPr>
            <w:noProof/>
            <w:webHidden/>
          </w:rPr>
          <w:instrText xml:space="preserve"> PAGEREF _Toc36632027 \h </w:instrText>
        </w:r>
        <w:r w:rsidR="002C3DBC">
          <w:rPr>
            <w:noProof/>
            <w:webHidden/>
          </w:rPr>
        </w:r>
        <w:r w:rsidR="002C3DBC">
          <w:rPr>
            <w:noProof/>
            <w:webHidden/>
          </w:rPr>
          <w:fldChar w:fldCharType="separate"/>
        </w:r>
        <w:r w:rsidR="00A46A92">
          <w:rPr>
            <w:noProof/>
            <w:webHidden/>
          </w:rPr>
          <w:t>- 7 -</w:t>
        </w:r>
        <w:r w:rsidR="002C3DBC">
          <w:rPr>
            <w:noProof/>
            <w:webHidden/>
          </w:rPr>
          <w:fldChar w:fldCharType="end"/>
        </w:r>
      </w:hyperlink>
    </w:p>
    <w:p w:rsidR="002C3DBC" w:rsidRDefault="006108A3" w14:paraId="0175898A" w14:textId="7B343867">
      <w:pPr>
        <w:pStyle w:val="TOC2"/>
        <w:tabs>
          <w:tab w:val="right" w:leader="dot" w:pos="8630"/>
        </w:tabs>
        <w:rPr>
          <w:rFonts w:asciiTheme="minorHAnsi" w:hAnsiTheme="minorHAnsi" w:eastAsiaTheme="minorEastAsia" w:cstheme="minorBidi"/>
          <w:noProof/>
          <w:sz w:val="22"/>
          <w:szCs w:val="22"/>
        </w:rPr>
      </w:pPr>
      <w:hyperlink w:history="1" w:anchor="_Toc36632028">
        <w:r w:rsidRPr="00834955" w:rsidR="002C3DBC">
          <w:rPr>
            <w:rStyle w:val="Hyperlink"/>
            <w:noProof/>
          </w:rPr>
          <w:t>12. Estimates of Annualized Burden Hours and Costs</w:t>
        </w:r>
        <w:r w:rsidR="002C3DBC">
          <w:rPr>
            <w:noProof/>
            <w:webHidden/>
          </w:rPr>
          <w:tab/>
        </w:r>
        <w:r w:rsidR="002C3DBC">
          <w:rPr>
            <w:noProof/>
            <w:webHidden/>
          </w:rPr>
          <w:fldChar w:fldCharType="begin"/>
        </w:r>
        <w:r w:rsidR="002C3DBC">
          <w:rPr>
            <w:noProof/>
            <w:webHidden/>
          </w:rPr>
          <w:instrText xml:space="preserve"> PAGEREF _Toc36632028 \h </w:instrText>
        </w:r>
        <w:r w:rsidR="002C3DBC">
          <w:rPr>
            <w:noProof/>
            <w:webHidden/>
          </w:rPr>
        </w:r>
        <w:r w:rsidR="002C3DBC">
          <w:rPr>
            <w:noProof/>
            <w:webHidden/>
          </w:rPr>
          <w:fldChar w:fldCharType="separate"/>
        </w:r>
        <w:r w:rsidR="00A46A92">
          <w:rPr>
            <w:noProof/>
            <w:webHidden/>
          </w:rPr>
          <w:t>- 8 -</w:t>
        </w:r>
        <w:r w:rsidR="002C3DBC">
          <w:rPr>
            <w:noProof/>
            <w:webHidden/>
          </w:rPr>
          <w:fldChar w:fldCharType="end"/>
        </w:r>
      </w:hyperlink>
    </w:p>
    <w:p w:rsidR="002C3DBC" w:rsidRDefault="006108A3" w14:paraId="152A153A" w14:textId="5FC753B6">
      <w:pPr>
        <w:pStyle w:val="TOC2"/>
        <w:tabs>
          <w:tab w:val="right" w:leader="dot" w:pos="8630"/>
        </w:tabs>
        <w:rPr>
          <w:rFonts w:asciiTheme="minorHAnsi" w:hAnsiTheme="minorHAnsi" w:eastAsiaTheme="minorEastAsia" w:cstheme="minorBidi"/>
          <w:noProof/>
          <w:sz w:val="22"/>
          <w:szCs w:val="22"/>
        </w:rPr>
      </w:pPr>
      <w:hyperlink w:history="1" w:anchor="_Toc36632029">
        <w:r w:rsidRPr="00834955" w:rsidR="002C3DBC">
          <w:rPr>
            <w:rStyle w:val="Hyperlink"/>
            <w:noProof/>
          </w:rPr>
          <w:t>13. Estimates of Annualized Respondent Capital and Maintenance Costs</w:t>
        </w:r>
        <w:r w:rsidR="002C3DBC">
          <w:rPr>
            <w:noProof/>
            <w:webHidden/>
          </w:rPr>
          <w:tab/>
        </w:r>
        <w:r w:rsidR="002C3DBC">
          <w:rPr>
            <w:noProof/>
            <w:webHidden/>
          </w:rPr>
          <w:fldChar w:fldCharType="begin"/>
        </w:r>
        <w:r w:rsidR="002C3DBC">
          <w:rPr>
            <w:noProof/>
            <w:webHidden/>
          </w:rPr>
          <w:instrText xml:space="preserve"> PAGEREF _Toc36632029 \h </w:instrText>
        </w:r>
        <w:r w:rsidR="002C3DBC">
          <w:rPr>
            <w:noProof/>
            <w:webHidden/>
          </w:rPr>
        </w:r>
        <w:r w:rsidR="002C3DBC">
          <w:rPr>
            <w:noProof/>
            <w:webHidden/>
          </w:rPr>
          <w:fldChar w:fldCharType="separate"/>
        </w:r>
        <w:r w:rsidR="00A46A92">
          <w:rPr>
            <w:noProof/>
            <w:webHidden/>
          </w:rPr>
          <w:t>- 8 -</w:t>
        </w:r>
        <w:r w:rsidR="002C3DBC">
          <w:rPr>
            <w:noProof/>
            <w:webHidden/>
          </w:rPr>
          <w:fldChar w:fldCharType="end"/>
        </w:r>
      </w:hyperlink>
    </w:p>
    <w:p w:rsidR="002C3DBC" w:rsidRDefault="006108A3" w14:paraId="0A7D1E5A" w14:textId="06B72FD7">
      <w:pPr>
        <w:pStyle w:val="TOC2"/>
        <w:tabs>
          <w:tab w:val="right" w:leader="dot" w:pos="8630"/>
        </w:tabs>
        <w:rPr>
          <w:rFonts w:asciiTheme="minorHAnsi" w:hAnsiTheme="minorHAnsi" w:eastAsiaTheme="minorEastAsia" w:cstheme="minorBidi"/>
          <w:noProof/>
          <w:sz w:val="22"/>
          <w:szCs w:val="22"/>
        </w:rPr>
      </w:pPr>
      <w:hyperlink w:history="1" w:anchor="_Toc36632030">
        <w:r w:rsidRPr="00834955" w:rsidR="002C3DBC">
          <w:rPr>
            <w:rStyle w:val="Hyperlink"/>
            <w:noProof/>
          </w:rPr>
          <w:t>14. Estimates of Total and Annualized Cost to the Government</w:t>
        </w:r>
        <w:r w:rsidR="002C3DBC">
          <w:rPr>
            <w:noProof/>
            <w:webHidden/>
          </w:rPr>
          <w:tab/>
        </w:r>
        <w:r w:rsidR="002C3DBC">
          <w:rPr>
            <w:noProof/>
            <w:webHidden/>
          </w:rPr>
          <w:fldChar w:fldCharType="begin"/>
        </w:r>
        <w:r w:rsidR="002C3DBC">
          <w:rPr>
            <w:noProof/>
            <w:webHidden/>
          </w:rPr>
          <w:instrText xml:space="preserve"> PAGEREF _Toc36632030 \h </w:instrText>
        </w:r>
        <w:r w:rsidR="002C3DBC">
          <w:rPr>
            <w:noProof/>
            <w:webHidden/>
          </w:rPr>
        </w:r>
        <w:r w:rsidR="002C3DBC">
          <w:rPr>
            <w:noProof/>
            <w:webHidden/>
          </w:rPr>
          <w:fldChar w:fldCharType="separate"/>
        </w:r>
        <w:r w:rsidR="00A46A92">
          <w:rPr>
            <w:noProof/>
            <w:webHidden/>
          </w:rPr>
          <w:t>- 8 -</w:t>
        </w:r>
        <w:r w:rsidR="002C3DBC">
          <w:rPr>
            <w:noProof/>
            <w:webHidden/>
          </w:rPr>
          <w:fldChar w:fldCharType="end"/>
        </w:r>
      </w:hyperlink>
    </w:p>
    <w:p w:rsidR="002C3DBC" w:rsidRDefault="006108A3" w14:paraId="7D021E39" w14:textId="3F51C5CA">
      <w:pPr>
        <w:pStyle w:val="TOC2"/>
        <w:tabs>
          <w:tab w:val="right" w:leader="dot" w:pos="8630"/>
        </w:tabs>
        <w:rPr>
          <w:rFonts w:asciiTheme="minorHAnsi" w:hAnsiTheme="minorHAnsi" w:eastAsiaTheme="minorEastAsia" w:cstheme="minorBidi"/>
          <w:noProof/>
          <w:sz w:val="22"/>
          <w:szCs w:val="22"/>
        </w:rPr>
      </w:pPr>
      <w:hyperlink w:history="1" w:anchor="_Toc36632031">
        <w:r w:rsidRPr="00834955" w:rsidR="002C3DBC">
          <w:rPr>
            <w:rStyle w:val="Hyperlink"/>
            <w:noProof/>
          </w:rPr>
          <w:t>15. Changes in Hour Burden</w:t>
        </w:r>
        <w:r w:rsidR="002C3DBC">
          <w:rPr>
            <w:noProof/>
            <w:webHidden/>
          </w:rPr>
          <w:tab/>
        </w:r>
        <w:r w:rsidR="002C3DBC">
          <w:rPr>
            <w:noProof/>
            <w:webHidden/>
          </w:rPr>
          <w:fldChar w:fldCharType="begin"/>
        </w:r>
        <w:r w:rsidR="002C3DBC">
          <w:rPr>
            <w:noProof/>
            <w:webHidden/>
          </w:rPr>
          <w:instrText xml:space="preserve"> PAGEREF _Toc36632031 \h </w:instrText>
        </w:r>
        <w:r w:rsidR="002C3DBC">
          <w:rPr>
            <w:noProof/>
            <w:webHidden/>
          </w:rPr>
        </w:r>
        <w:r w:rsidR="002C3DBC">
          <w:rPr>
            <w:noProof/>
            <w:webHidden/>
          </w:rPr>
          <w:fldChar w:fldCharType="separate"/>
        </w:r>
        <w:r w:rsidR="00A46A92">
          <w:rPr>
            <w:noProof/>
            <w:webHidden/>
          </w:rPr>
          <w:t>- 9 -</w:t>
        </w:r>
        <w:r w:rsidR="002C3DBC">
          <w:rPr>
            <w:noProof/>
            <w:webHidden/>
          </w:rPr>
          <w:fldChar w:fldCharType="end"/>
        </w:r>
      </w:hyperlink>
    </w:p>
    <w:p w:rsidR="002C3DBC" w:rsidRDefault="006108A3" w14:paraId="554E69C1" w14:textId="5974C22E">
      <w:pPr>
        <w:pStyle w:val="TOC2"/>
        <w:tabs>
          <w:tab w:val="right" w:leader="dot" w:pos="8630"/>
        </w:tabs>
        <w:rPr>
          <w:rFonts w:asciiTheme="minorHAnsi" w:hAnsiTheme="minorHAnsi" w:eastAsiaTheme="minorEastAsia" w:cstheme="minorBidi"/>
          <w:noProof/>
          <w:sz w:val="22"/>
          <w:szCs w:val="22"/>
        </w:rPr>
      </w:pPr>
      <w:hyperlink w:history="1" w:anchor="_Toc36632032">
        <w:r w:rsidRPr="00834955" w:rsidR="002C3DBC">
          <w:rPr>
            <w:rStyle w:val="Hyperlink"/>
            <w:noProof/>
          </w:rPr>
          <w:t>16. Time Schedule, Publication and Analysis Plans</w:t>
        </w:r>
        <w:r w:rsidR="002C3DBC">
          <w:rPr>
            <w:noProof/>
            <w:webHidden/>
          </w:rPr>
          <w:tab/>
        </w:r>
        <w:r w:rsidR="002C3DBC">
          <w:rPr>
            <w:noProof/>
            <w:webHidden/>
          </w:rPr>
          <w:fldChar w:fldCharType="begin"/>
        </w:r>
        <w:r w:rsidR="002C3DBC">
          <w:rPr>
            <w:noProof/>
            <w:webHidden/>
          </w:rPr>
          <w:instrText xml:space="preserve"> PAGEREF _Toc36632032 \h </w:instrText>
        </w:r>
        <w:r w:rsidR="002C3DBC">
          <w:rPr>
            <w:noProof/>
            <w:webHidden/>
          </w:rPr>
        </w:r>
        <w:r w:rsidR="002C3DBC">
          <w:rPr>
            <w:noProof/>
            <w:webHidden/>
          </w:rPr>
          <w:fldChar w:fldCharType="separate"/>
        </w:r>
        <w:r w:rsidR="00A46A92">
          <w:rPr>
            <w:noProof/>
            <w:webHidden/>
          </w:rPr>
          <w:t>- 9 -</w:t>
        </w:r>
        <w:r w:rsidR="002C3DBC">
          <w:rPr>
            <w:noProof/>
            <w:webHidden/>
          </w:rPr>
          <w:fldChar w:fldCharType="end"/>
        </w:r>
      </w:hyperlink>
    </w:p>
    <w:p w:rsidR="002C3DBC" w:rsidRDefault="006108A3" w14:paraId="3C3BE8B4" w14:textId="029C833F">
      <w:pPr>
        <w:pStyle w:val="TOC2"/>
        <w:tabs>
          <w:tab w:val="right" w:leader="dot" w:pos="8630"/>
        </w:tabs>
        <w:rPr>
          <w:rFonts w:asciiTheme="minorHAnsi" w:hAnsiTheme="minorHAnsi" w:eastAsiaTheme="minorEastAsia" w:cstheme="minorBidi"/>
          <w:noProof/>
          <w:sz w:val="22"/>
          <w:szCs w:val="22"/>
        </w:rPr>
      </w:pPr>
      <w:hyperlink w:history="1" w:anchor="_Toc36632033">
        <w:r w:rsidRPr="00834955" w:rsidR="002C3DBC">
          <w:rPr>
            <w:rStyle w:val="Hyperlink"/>
            <w:noProof/>
          </w:rPr>
          <w:t>17. Exemption for Display of Expiration Date</w:t>
        </w:r>
        <w:r w:rsidR="002C3DBC">
          <w:rPr>
            <w:noProof/>
            <w:webHidden/>
          </w:rPr>
          <w:tab/>
        </w:r>
        <w:r w:rsidR="002C3DBC">
          <w:rPr>
            <w:noProof/>
            <w:webHidden/>
          </w:rPr>
          <w:fldChar w:fldCharType="begin"/>
        </w:r>
        <w:r w:rsidR="002C3DBC">
          <w:rPr>
            <w:noProof/>
            <w:webHidden/>
          </w:rPr>
          <w:instrText xml:space="preserve"> PAGEREF _Toc36632033 \h </w:instrText>
        </w:r>
        <w:r w:rsidR="002C3DBC">
          <w:rPr>
            <w:noProof/>
            <w:webHidden/>
          </w:rPr>
        </w:r>
        <w:r w:rsidR="002C3DBC">
          <w:rPr>
            <w:noProof/>
            <w:webHidden/>
          </w:rPr>
          <w:fldChar w:fldCharType="separate"/>
        </w:r>
        <w:r w:rsidR="00A46A92">
          <w:rPr>
            <w:noProof/>
            <w:webHidden/>
          </w:rPr>
          <w:t>- 10 -</w:t>
        </w:r>
        <w:r w:rsidR="002C3DBC">
          <w:rPr>
            <w:noProof/>
            <w:webHidden/>
          </w:rPr>
          <w:fldChar w:fldCharType="end"/>
        </w:r>
      </w:hyperlink>
    </w:p>
    <w:p w:rsidR="00D518D1" w:rsidP="00C518C2" w:rsidRDefault="00D518D1" w14:paraId="5CC1393F" w14:textId="2D06F00A">
      <w:pPr>
        <w:rPr>
          <w:b/>
          <w:bCs/>
          <w:noProof/>
        </w:rPr>
      </w:pPr>
      <w:r>
        <w:rPr>
          <w:b/>
          <w:bCs/>
          <w:noProof/>
        </w:rPr>
        <w:fldChar w:fldCharType="end"/>
      </w:r>
    </w:p>
    <w:p w:rsidR="008A0292" w:rsidP="008A0292" w:rsidRDefault="008A0292" w14:paraId="49FD46B0" w14:textId="77777777">
      <w:pPr>
        <w:ind w:firstLine="240"/>
      </w:pPr>
      <w:r>
        <w:t>Attachments</w:t>
      </w:r>
    </w:p>
    <w:p w:rsidR="008A0292" w:rsidP="008A0292" w:rsidRDefault="008A0292" w14:paraId="7259D4A7" w14:textId="50A344DB">
      <w:pPr>
        <w:ind w:left="720"/>
      </w:pPr>
      <w:r>
        <w:t>Attachment 1 -- Evaluation Provider Survey</w:t>
      </w:r>
    </w:p>
    <w:p w:rsidR="008A0292" w:rsidP="008A0292" w:rsidRDefault="008A0292" w14:paraId="7B3FEDA5" w14:textId="2AC46AB2">
      <w:pPr>
        <w:ind w:left="720"/>
      </w:pPr>
      <w:r>
        <w:t xml:space="preserve">Attachment </w:t>
      </w:r>
      <w:r w:rsidR="005A7E81">
        <w:t>2</w:t>
      </w:r>
      <w:r>
        <w:t xml:space="preserve"> -- Evaluation Patient Survey</w:t>
      </w:r>
    </w:p>
    <w:p w:rsidR="008A0292" w:rsidP="008A0292" w:rsidRDefault="008A0292" w14:paraId="5E8CD132" w14:textId="3F0BA5C6">
      <w:pPr>
        <w:ind w:left="720"/>
      </w:pPr>
      <w:r>
        <w:t xml:space="preserve">Attachment </w:t>
      </w:r>
      <w:r w:rsidR="005A7E81">
        <w:t>3</w:t>
      </w:r>
      <w:r>
        <w:t xml:space="preserve"> -- Evaluation Provider Interview</w:t>
      </w:r>
    </w:p>
    <w:p w:rsidR="008A0292" w:rsidP="008A0292" w:rsidRDefault="008A0292" w14:paraId="5B42478D" w14:textId="4823CC84">
      <w:pPr>
        <w:ind w:left="720"/>
      </w:pPr>
      <w:r>
        <w:t xml:space="preserve">Attachment </w:t>
      </w:r>
      <w:r w:rsidR="005A7E81">
        <w:t>4</w:t>
      </w:r>
      <w:r>
        <w:t xml:space="preserve"> -- Evaluation Patient Interview</w:t>
      </w:r>
    </w:p>
    <w:p w:rsidR="008A0292" w:rsidP="008A0292" w:rsidRDefault="008A0292" w14:paraId="18BFC4A4" w14:textId="5D254AF5">
      <w:pPr>
        <w:ind w:left="720"/>
      </w:pPr>
      <w:r>
        <w:t xml:space="preserve">Attachment </w:t>
      </w:r>
      <w:r w:rsidR="005A7E81">
        <w:t>5</w:t>
      </w:r>
      <w:r>
        <w:t xml:space="preserve"> -- Evaluation Site Champion Interview</w:t>
      </w:r>
    </w:p>
    <w:p w:rsidRPr="001F489F" w:rsidR="008A0292" w:rsidP="008A0292" w:rsidRDefault="008A0292" w14:paraId="0FE787F2" w14:textId="5CA9C8F0">
      <w:pPr>
        <w:ind w:left="720"/>
      </w:pPr>
      <w:r>
        <w:t xml:space="preserve">Attachment </w:t>
      </w:r>
      <w:r w:rsidR="005A7E81">
        <w:t>6</w:t>
      </w:r>
      <w:r>
        <w:t xml:space="preserve"> -- Federal Register Notice</w:t>
      </w:r>
    </w:p>
    <w:p w:rsidR="008A0292" w:rsidP="00C518C2" w:rsidRDefault="008A0292" w14:paraId="7E338AE4" w14:textId="77777777"/>
    <w:p w:rsidRPr="00991CDF" w:rsidR="009B633D" w:rsidP="00C518C2" w:rsidRDefault="009B633D" w14:paraId="2B4A854C" w14:textId="4B240BCC">
      <w:pPr>
        <w:tabs>
          <w:tab w:val="left" w:pos="360"/>
          <w:tab w:val="left" w:leader="dot" w:pos="8280"/>
        </w:tabs>
      </w:pPr>
      <w:r>
        <w:br w:type="page"/>
      </w:r>
      <w:bookmarkStart w:name="_Toc151782175" w:id="0"/>
      <w:bookmarkStart w:name="_Toc158526215" w:id="1"/>
      <w:r w:rsidRPr="00991CDF">
        <w:rPr>
          <w:rFonts w:ascii="Arial" w:hAnsi="Arial" w:cs="Arial"/>
          <w:b/>
          <w:bCs/>
          <w:iCs/>
        </w:rPr>
        <w:lastRenderedPageBreak/>
        <w:t>A. Justification</w:t>
      </w:r>
      <w:bookmarkEnd w:id="0"/>
      <w:bookmarkEnd w:id="1"/>
    </w:p>
    <w:p w:rsidRPr="006014DB" w:rsidR="009B633D" w:rsidP="00C518C2" w:rsidRDefault="009B633D" w14:paraId="64E88335" w14:textId="77777777"/>
    <w:p w:rsidR="009B633D" w:rsidP="00C518C2" w:rsidRDefault="009B633D" w14:paraId="46FE76D9" w14:textId="77777777">
      <w:pPr>
        <w:pStyle w:val="Heading2"/>
        <w:spacing w:before="0" w:after="0"/>
        <w:rPr>
          <w:sz w:val="24"/>
          <w:szCs w:val="24"/>
        </w:rPr>
      </w:pPr>
      <w:bookmarkStart w:name="_Toc151782176" w:id="2"/>
      <w:bookmarkStart w:name="_Toc158526216" w:id="3"/>
      <w:bookmarkStart w:name="_Toc36632016" w:id="4"/>
      <w:r w:rsidRPr="006014DB">
        <w:rPr>
          <w:sz w:val="24"/>
          <w:szCs w:val="24"/>
        </w:rPr>
        <w:t xml:space="preserve">1. </w:t>
      </w:r>
      <w:bookmarkEnd w:id="2"/>
      <w:bookmarkEnd w:id="3"/>
      <w:r w:rsidRPr="006014DB" w:rsidR="006014DB">
        <w:rPr>
          <w:sz w:val="24"/>
          <w:szCs w:val="24"/>
        </w:rPr>
        <w:t>Circumstances that make the collection of information necessary</w:t>
      </w:r>
      <w:bookmarkEnd w:id="4"/>
    </w:p>
    <w:p w:rsidR="006014DB" w:rsidP="00C518C2" w:rsidRDefault="006014DB" w14:paraId="2B224092" w14:textId="77777777"/>
    <w:p w:rsidR="000A140E" w:rsidRDefault="000A140E" w14:paraId="5C13DD6E" w14:textId="77F327CC">
      <w:r>
        <w:t xml:space="preserve">The mission of the Agency for Healthcare Research and Quality (AHRQ) set out in its authorizing legislation, The Healthcare Research and Quality Act of 1999 (see </w:t>
      </w:r>
      <w:r w:rsidRPr="008573ED" w:rsid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healthcare quality improvement by conducting and supporting:</w:t>
      </w:r>
    </w:p>
    <w:p w:rsidR="00606400" w:rsidRDefault="00606400" w14:paraId="0122AE3D" w14:textId="77777777">
      <w:pPr>
        <w:tabs>
          <w:tab w:val="left" w:pos="360"/>
        </w:tabs>
      </w:pPr>
    </w:p>
    <w:p w:rsidR="00606400" w:rsidRDefault="00606400" w14:paraId="2A831581" w14:textId="384F5CC6">
      <w:pPr>
        <w:tabs>
          <w:tab w:val="left" w:pos="360"/>
        </w:tabs>
        <w:ind w:left="360"/>
      </w:pPr>
      <w:r>
        <w:t>1.</w:t>
      </w:r>
      <w:r>
        <w:tab/>
        <w:t>research that develops and presents scientific evidence regardi</w:t>
      </w:r>
      <w:r w:rsidR="00AA1DDC">
        <w:t xml:space="preserve">ng all aspects of </w:t>
      </w:r>
      <w:r w:rsidR="00AA1DDC">
        <w:tab/>
      </w:r>
      <w:r w:rsidR="00AA1DDC">
        <w:tab/>
        <w:t>healthcare</w:t>
      </w:r>
      <w:r w:rsidR="00325B9C">
        <w:t>;</w:t>
      </w:r>
      <w:r w:rsidR="00B645ED">
        <w:t xml:space="preserve"> and</w:t>
      </w:r>
    </w:p>
    <w:p w:rsidR="00325B9C" w:rsidRDefault="00325B9C" w14:paraId="01DCCA50" w14:textId="77777777">
      <w:pPr>
        <w:tabs>
          <w:tab w:val="left" w:pos="360"/>
        </w:tabs>
        <w:ind w:left="360"/>
      </w:pPr>
    </w:p>
    <w:p w:rsidR="00325B9C" w:rsidRDefault="00325B9C" w14:paraId="0E4A12E1" w14:textId="77777777">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rsidR="00B645ED" w:rsidRDefault="00B645ED" w14:paraId="4AC2F93A" w14:textId="77777777">
      <w:pPr>
        <w:tabs>
          <w:tab w:val="left" w:pos="360"/>
        </w:tabs>
        <w:ind w:left="360"/>
      </w:pPr>
    </w:p>
    <w:p w:rsidR="00B645ED" w:rsidRDefault="00B645ED" w14:paraId="34DFF0BD" w14:textId="464AB345">
      <w:pPr>
        <w:tabs>
          <w:tab w:val="left" w:pos="360"/>
        </w:tabs>
        <w:ind w:left="360"/>
      </w:pPr>
      <w:r>
        <w:t>3.</w:t>
      </w:r>
      <w:r>
        <w:tab/>
        <w:t>initiatives to advance private and public efforts to improve healthcare quality.</w:t>
      </w:r>
    </w:p>
    <w:p w:rsidR="00B645ED" w:rsidRDefault="00B645ED" w14:paraId="0E23498C" w14:textId="77777777">
      <w:pPr>
        <w:tabs>
          <w:tab w:val="left" w:pos="360"/>
        </w:tabs>
      </w:pPr>
    </w:p>
    <w:p w:rsidR="008450C0" w:rsidRDefault="008450C0" w14:paraId="12CC070A" w14:textId="3639B8C3">
      <w:pPr>
        <w:tabs>
          <w:tab w:val="left" w:pos="360"/>
        </w:tabs>
      </w:pPr>
      <w:r>
        <w:t>Also, AHRQ shall conduct and support research and evaluations, and support demonstration projects, with respect to (A) the delivery of healthcare in inner-city areas, and in rural areas (including frontier areas); and (B) healthcare for priority populations, which shall include (1) low-income groups, (2) minority groups, (3) women, (4) children, (5) the elderly, and (6) individuals with special healthcare needs, including individuals with disabilities and individuals who need chronic care or end-of-life healthcare.</w:t>
      </w:r>
    </w:p>
    <w:p w:rsidR="00CE1660" w:rsidP="00FD45BA" w:rsidRDefault="00CE1660" w14:paraId="336D29AB" w14:textId="77777777"/>
    <w:p w:rsidRPr="000A5C0F" w:rsidR="000A5C0F" w:rsidP="00FD45BA" w:rsidRDefault="000A5C0F" w14:paraId="7DE45E5B" w14:textId="75BB13E0">
      <w:r w:rsidRPr="000A5C0F">
        <w:t>Chronic pain is a multidimensional health condition defined as pain persisting or recurring for more than three to six months.</w:t>
      </w:r>
      <w:r w:rsidRPr="00FD45BA" w:rsidR="000A0030">
        <w:rPr>
          <w:vertAlign w:val="superscript"/>
        </w:rPr>
        <w:t>(1)</w:t>
      </w:r>
      <w:r w:rsidRPr="000A5C0F">
        <w:t xml:space="preserve"> While the true prevalence of Americans living with chronic pain is difficult to define, 2014 surveys estimate approximately 25.3 million adults experience pain daily while 126 million adults reported some type of pain within the previous three months of being surveyed.</w:t>
      </w:r>
      <w:r w:rsidRPr="00FD45BA" w:rsidR="00BF1EDF">
        <w:rPr>
          <w:vertAlign w:val="superscript"/>
        </w:rPr>
        <w:t>(2,3)</w:t>
      </w:r>
      <w:r w:rsidRPr="00FD45BA">
        <w:rPr>
          <w:vertAlign w:val="superscript"/>
        </w:rPr>
        <w:t xml:space="preserve"> </w:t>
      </w:r>
      <w:r w:rsidRPr="000A5C0F">
        <w:t xml:space="preserve">Pharmacological management of pain – including opioid analgesics – is often a first line of defense for many </w:t>
      </w:r>
      <w:r w:rsidR="006D1858">
        <w:t>provider</w:t>
      </w:r>
      <w:r w:rsidRPr="000A5C0F">
        <w:t>s.</w:t>
      </w:r>
      <w:r w:rsidRPr="00FD45BA" w:rsidR="00BF1EDF">
        <w:rPr>
          <w:vertAlign w:val="superscript"/>
        </w:rPr>
        <w:t xml:space="preserve">(4) </w:t>
      </w:r>
      <w:r w:rsidRPr="000A5C0F">
        <w:t>Incident rates of long-term opioid use for non-cancer related pain are increasing in the U</w:t>
      </w:r>
      <w:r w:rsidR="00DD31D9">
        <w:t xml:space="preserve">nited </w:t>
      </w:r>
      <w:r w:rsidRPr="000A5C0F">
        <w:t>S</w:t>
      </w:r>
      <w:r w:rsidR="00DD31D9">
        <w:t>tates</w:t>
      </w:r>
      <w:r w:rsidRPr="000A5C0F">
        <w:t>.</w:t>
      </w:r>
      <w:r w:rsidRPr="00FD45BA" w:rsidR="00BF1EDF">
        <w:rPr>
          <w:vertAlign w:val="superscript"/>
        </w:rPr>
        <w:t>(5)</w:t>
      </w:r>
      <w:r w:rsidRPr="00FD45BA">
        <w:rPr>
          <w:vertAlign w:val="superscript"/>
        </w:rPr>
        <w:t xml:space="preserve"> </w:t>
      </w:r>
      <w:r w:rsidRPr="000A5C0F">
        <w:t>Despite their demonstrated benefits and effectiveness in pain relief in the short term, opioid analgesics for chronic pain may be less effective and can lead to opioid misuse and/or addiction.</w:t>
      </w:r>
      <w:r w:rsidRPr="00FD45BA" w:rsidR="00BF1EDF">
        <w:rPr>
          <w:vertAlign w:val="superscript"/>
        </w:rPr>
        <w:t>(6)</w:t>
      </w:r>
      <w:r w:rsidRPr="00FD45BA">
        <w:rPr>
          <w:vertAlign w:val="superscript"/>
        </w:rPr>
        <w:t xml:space="preserve"> </w:t>
      </w:r>
      <w:r w:rsidRPr="000A5C0F">
        <w:t xml:space="preserve">Successful systems approach strategies for treatment and management of opioids for both patients and </w:t>
      </w:r>
      <w:r w:rsidR="006D1858">
        <w:t>provider</w:t>
      </w:r>
      <w:r w:rsidRPr="000A5C0F">
        <w:t>s are needed to inform decision-making when managing a patient’s chronic pain.</w:t>
      </w:r>
    </w:p>
    <w:p w:rsidR="00CE1660" w:rsidP="00FD45BA" w:rsidRDefault="00CE1660" w14:paraId="3D04D613" w14:textId="77777777"/>
    <w:p w:rsidRPr="000A5C0F" w:rsidR="000A5C0F" w:rsidP="00FD45BA" w:rsidRDefault="000A5C0F" w14:paraId="7D956B0B" w14:textId="56A316A4">
      <w:r w:rsidRPr="000A5C0F">
        <w:t xml:space="preserve">In 2017, the Department of Health and Human Services declared a public health emergency and announced a 5-Point Strategy for Combating the Opioid Crisis which includes: 1.) better addiction prevention, treatment, and recovery services; 2.) better data; 3.) better pain management; 4.) better targeting of overdose reversing drugs, and 5.) better research. Recommendations to achieve better pain management includes improved </w:t>
      </w:r>
      <w:r w:rsidRPr="000A5C0F">
        <w:lastRenderedPageBreak/>
        <w:t xml:space="preserve">awareness of and adherence to evidence-based guidelines for opioid prescribing and considerations of non-opioid therapies for chronic pain management. The Pain Management Best Practices Inter-Agency Taskforce highlights key concepts </w:t>
      </w:r>
      <w:r>
        <w:t>the</w:t>
      </w:r>
      <w:r w:rsidRPr="000A5C0F">
        <w:t xml:space="preserve"> proposed work addresses including: more informed, evidence-based management of chronic pain, individualized, patient-centered care, multi-modal approaches, education/ training, and innovative solutions.</w:t>
      </w:r>
      <w:r w:rsidRPr="00FD45BA" w:rsidR="00AA5BCB">
        <w:rPr>
          <w:vertAlign w:val="superscript"/>
        </w:rPr>
        <w:t>(</w:t>
      </w:r>
      <w:r w:rsidRPr="00FD45BA" w:rsidR="000B21D5">
        <w:rPr>
          <w:vertAlign w:val="superscript"/>
        </w:rPr>
        <w:t>7</w:t>
      </w:r>
      <w:r w:rsidRPr="00FD45BA" w:rsidR="00AA5BCB">
        <w:rPr>
          <w:vertAlign w:val="superscript"/>
        </w:rPr>
        <w:t>)</w:t>
      </w:r>
    </w:p>
    <w:p w:rsidR="00CE1660" w:rsidP="00FD45BA" w:rsidRDefault="00CE1660" w14:paraId="68388486" w14:textId="32D2D250"/>
    <w:p w:rsidR="00527BBD" w:rsidP="00C518C2" w:rsidRDefault="0076759A" w14:paraId="56A3EDFA" w14:textId="69336FE7">
      <w:r w:rsidRPr="0076759A">
        <w:t>Prescription opioid pain medication overuse, misuse, and abuse have been a significant contributing factor in the opioid epidemic. Increased scrutiny of opioid prescribing for patients with chronic pain, especially among non-pain management specialists, has led healthcare systems to work on optimizing pain therapy and consider opioid-dose reductions.</w:t>
      </w:r>
      <w:r w:rsidR="00552579">
        <w:t xml:space="preserve"> </w:t>
      </w:r>
      <w:r w:rsidR="00527BBD">
        <w:t>This research has the following goal</w:t>
      </w:r>
      <w:r w:rsidR="00B5639D">
        <w:t>s</w:t>
      </w:r>
      <w:r w:rsidR="00527BBD">
        <w:t>:</w:t>
      </w:r>
    </w:p>
    <w:p w:rsidR="00B5639D" w:rsidP="00C518C2" w:rsidRDefault="00915725" w14:paraId="538E59B8" w14:textId="176344BE">
      <w:pPr>
        <w:numPr>
          <w:ilvl w:val="0"/>
          <w:numId w:val="15"/>
        </w:numPr>
        <w:tabs>
          <w:tab w:val="left" w:pos="360"/>
        </w:tabs>
      </w:pPr>
      <w:r>
        <w:t>To help patients track and manage chronic pain and daily function to support reduced opioid use through the d</w:t>
      </w:r>
      <w:r w:rsidR="00B5639D">
        <w:t>esign, d</w:t>
      </w:r>
      <w:r w:rsidR="00831E08">
        <w:t>evelop</w:t>
      </w:r>
      <w:r>
        <w:t>ment</w:t>
      </w:r>
      <w:r w:rsidR="00B5639D">
        <w:t>,</w:t>
      </w:r>
      <w:r w:rsidR="00831E08">
        <w:t xml:space="preserve"> implement</w:t>
      </w:r>
      <w:r>
        <w:t>ation</w:t>
      </w:r>
      <w:r w:rsidR="00B5639D">
        <w:t>, and evalu</w:t>
      </w:r>
      <w:r>
        <w:t xml:space="preserve">ation of a </w:t>
      </w:r>
      <w:r w:rsidR="00DD31D9">
        <w:t>clinical decision support (</w:t>
      </w:r>
      <w:r w:rsidR="00831E08">
        <w:t>CDS</w:t>
      </w:r>
      <w:r w:rsidR="00DD31D9">
        <w:t>)</w:t>
      </w:r>
      <w:r w:rsidR="00831E08">
        <w:t xml:space="preserve"> </w:t>
      </w:r>
      <w:r>
        <w:t xml:space="preserve">tool that </w:t>
      </w:r>
      <w:r w:rsidR="00831E08">
        <w:t>facilitat</w:t>
      </w:r>
      <w:r>
        <w:t>es</w:t>
      </w:r>
      <w:r w:rsidR="00831E08">
        <w:t xml:space="preserve"> continued patient </w:t>
      </w:r>
      <w:r>
        <w:t xml:space="preserve">provider </w:t>
      </w:r>
      <w:r w:rsidR="00831E08">
        <w:t>engagement</w:t>
      </w:r>
      <w:r w:rsidR="00B5639D">
        <w:t>.</w:t>
      </w:r>
    </w:p>
    <w:p w:rsidR="00527BBD" w:rsidP="00C518C2" w:rsidRDefault="00915725" w14:paraId="69ED7E43" w14:textId="6BA92EF9">
      <w:pPr>
        <w:numPr>
          <w:ilvl w:val="0"/>
          <w:numId w:val="15"/>
        </w:numPr>
        <w:tabs>
          <w:tab w:val="left" w:pos="360"/>
        </w:tabs>
      </w:pPr>
      <w:r>
        <w:t>To help primary care physicians support patients at high risk of harm from opioids by optimizing opioid dose reduction</w:t>
      </w:r>
      <w:r w:rsidR="00B61C32">
        <w:t xml:space="preserve"> through the d</w:t>
      </w:r>
      <w:r w:rsidR="00B5639D">
        <w:t>esign, develop</w:t>
      </w:r>
      <w:r w:rsidR="00B61C32">
        <w:t>ment</w:t>
      </w:r>
      <w:r w:rsidR="00B5639D">
        <w:t>, implement</w:t>
      </w:r>
      <w:r w:rsidR="00B61C32">
        <w:t>ation</w:t>
      </w:r>
      <w:r w:rsidR="00B5639D">
        <w:t>, and evalu</w:t>
      </w:r>
      <w:r w:rsidR="00B61C32">
        <w:t xml:space="preserve">ation of </w:t>
      </w:r>
      <w:r w:rsidR="00831E08">
        <w:t xml:space="preserve">CDS </w:t>
      </w:r>
      <w:r w:rsidR="00B61C32">
        <w:t xml:space="preserve">that optimizes </w:t>
      </w:r>
      <w:r w:rsidR="00831E08">
        <w:t>presentation of patient data and evidence-based guidelines to support opioid tapering.</w:t>
      </w:r>
    </w:p>
    <w:p w:rsidR="00527BBD" w:rsidP="00C518C2" w:rsidRDefault="00527BBD" w14:paraId="5FF9077F" w14:textId="77777777"/>
    <w:p w:rsidRPr="00821671" w:rsidR="00592F12" w:rsidP="00592F12" w:rsidRDefault="00527BBD" w14:paraId="55B60A3F" w14:textId="5C8D15A7">
      <w:r>
        <w:t>To achieve the goals of this project the following data collections will be implemented</w:t>
      </w:r>
      <w:r w:rsidR="00592F12">
        <w:t>. Several data collections were completed during the scientific-discovery and pre-implementation phases of the study. These data collections included:</w:t>
      </w:r>
      <w:r w:rsidR="00BA205A">
        <w:t xml:space="preserve"> 1)</w:t>
      </w:r>
      <w:r w:rsidR="00592F12">
        <w:t xml:space="preserve"> </w:t>
      </w:r>
      <w:r w:rsidR="00DE4608">
        <w:t>I</w:t>
      </w:r>
      <w:r w:rsidR="00592F12">
        <w:t xml:space="preserve">nterviews </w:t>
      </w:r>
      <w:r w:rsidR="00BA205A">
        <w:t xml:space="preserve">of patients with chronic pain, </w:t>
      </w:r>
      <w:r w:rsidR="009A0C9D">
        <w:t>family members of patients with chronic pain, patient</w:t>
      </w:r>
      <w:r w:rsidR="00D212BB">
        <w:t>-</w:t>
      </w:r>
      <w:r w:rsidR="009A0C9D">
        <w:t>facing</w:t>
      </w:r>
      <w:r w:rsidR="00BA205A">
        <w:t xml:space="preserve"> </w:t>
      </w:r>
      <w:r w:rsidR="00D212BB">
        <w:t xml:space="preserve">CDS developers, </w:t>
      </w:r>
      <w:r w:rsidR="007A4858">
        <w:t>P</w:t>
      </w:r>
      <w:r w:rsidR="00D212BB">
        <w:t xml:space="preserve">rimary </w:t>
      </w:r>
      <w:r w:rsidR="007A4858">
        <w:t>C</w:t>
      </w:r>
      <w:r w:rsidR="00D212BB">
        <w:t xml:space="preserve">are </w:t>
      </w:r>
      <w:r w:rsidR="007A4858">
        <w:t>P</w:t>
      </w:r>
      <w:r w:rsidR="00D212BB">
        <w:t xml:space="preserve">hysicians, Pain Specialists, and </w:t>
      </w:r>
      <w:r w:rsidR="007A4858">
        <w:t>provider-facing CDS developers</w:t>
      </w:r>
      <w:r w:rsidR="00A63FDC">
        <w:t>; 2) D</w:t>
      </w:r>
      <w:r w:rsidR="00300F1C">
        <w:t xml:space="preserve">esign workshops for patients with chronic pain and Primary care Physicians; 3) Usability testing with Patients with chronic pain and Primary Care Physicians; and </w:t>
      </w:r>
      <w:r w:rsidR="00DD68E4">
        <w:t>4) Workflow observations of Primary Care Physicians</w:t>
      </w:r>
      <w:r w:rsidR="00592F12">
        <w:t>. These methods will be used to drive the development and design of the CDS tools prior to implementation. Please see the supplemental document (</w:t>
      </w:r>
      <w:r w:rsidR="00592F12">
        <w:rPr>
          <w:i/>
        </w:rPr>
        <w:t>Scientific</w:t>
      </w:r>
      <w:r w:rsidRPr="00421201" w:rsidR="00592F12">
        <w:rPr>
          <w:i/>
        </w:rPr>
        <w:t xml:space="preserve"> Discovery_CDS for Chronic Pain_Draft_2020Mar24</w:t>
      </w:r>
      <w:r w:rsidR="00592F12">
        <w:t>) for details.</w:t>
      </w:r>
      <w:r w:rsidR="00EA09CF">
        <w:t xml:space="preserve"> Additional </w:t>
      </w:r>
      <w:r w:rsidR="00781788">
        <w:t xml:space="preserve">data collection </w:t>
      </w:r>
      <w:r w:rsidR="00EA09CF">
        <w:t>methods used to achi</w:t>
      </w:r>
      <w:r w:rsidR="00781788">
        <w:t>eve the goals of the project are described below.</w:t>
      </w:r>
    </w:p>
    <w:p w:rsidR="00527BBD" w:rsidP="00C518C2" w:rsidRDefault="00527BBD" w14:paraId="6FA17BA9" w14:textId="33AD1408"/>
    <w:p w:rsidR="005E3DC2" w:rsidP="005E3DC2" w:rsidRDefault="005E3DC2" w14:paraId="0D4A5EE3" w14:textId="36AC842D">
      <w:pPr>
        <w:numPr>
          <w:ilvl w:val="0"/>
          <w:numId w:val="16"/>
        </w:numPr>
        <w:spacing w:after="120"/>
      </w:pPr>
      <w:r w:rsidRPr="00B410B6">
        <w:rPr>
          <w:b/>
        </w:rPr>
        <w:t>Post-Use</w:t>
      </w:r>
      <w:r>
        <w:rPr>
          <w:b/>
        </w:rPr>
        <w:t xml:space="preserve"> Survey</w:t>
      </w:r>
      <w:r w:rsidRPr="00B410B6">
        <w:rPr>
          <w:b/>
        </w:rPr>
        <w:t xml:space="preserve"> with </w:t>
      </w:r>
      <w:r>
        <w:rPr>
          <w:b/>
        </w:rPr>
        <w:t>Primary Care Providers</w:t>
      </w:r>
      <w:r w:rsidR="00180A9B">
        <w:rPr>
          <w:b/>
        </w:rPr>
        <w:t xml:space="preserve"> “Evaluation Provider Survey”</w:t>
      </w:r>
      <w:r w:rsidRPr="00B410B6">
        <w:rPr>
          <w:b/>
        </w:rPr>
        <w:t>:</w:t>
      </w:r>
      <w:r>
        <w:t xml:space="preserve"> </w:t>
      </w:r>
      <w:r w:rsidRPr="00F6148F">
        <w:t xml:space="preserve">This includes the collection of qualitative data through </w:t>
      </w:r>
      <w:r>
        <w:t>a short survey with primary care providers who used the application (</w:t>
      </w:r>
      <w:r w:rsidR="0036189D">
        <w:t xml:space="preserve">up to a maximum of </w:t>
      </w:r>
      <w:r>
        <w:t xml:space="preserve">60). </w:t>
      </w:r>
      <w:r w:rsidR="002F4E7E">
        <w:t>The research team</w:t>
      </w:r>
      <w:r w:rsidRPr="00F6148F">
        <w:t xml:space="preserve"> will collect insights from </w:t>
      </w:r>
      <w:r>
        <w:t xml:space="preserve">providers </w:t>
      </w:r>
      <w:r w:rsidRPr="00F6148F">
        <w:t>on their experience of implementing and using the CDS tools.</w:t>
      </w:r>
      <w:r w:rsidR="00552579">
        <w:t xml:space="preserve"> The survey will be accessible in multiple ways given a provider’s preference to include online or paper-based.</w:t>
      </w:r>
    </w:p>
    <w:p w:rsidR="007C4899" w:rsidP="00552579" w:rsidRDefault="007C4899" w14:paraId="41A328E4" w14:textId="20900047">
      <w:pPr>
        <w:numPr>
          <w:ilvl w:val="0"/>
          <w:numId w:val="16"/>
        </w:numPr>
        <w:spacing w:after="120"/>
      </w:pPr>
      <w:r w:rsidRPr="00B410B6">
        <w:rPr>
          <w:b/>
        </w:rPr>
        <w:t>Post-Use</w:t>
      </w:r>
      <w:r>
        <w:rPr>
          <w:b/>
        </w:rPr>
        <w:t xml:space="preserve"> Survey</w:t>
      </w:r>
      <w:r w:rsidRPr="00B410B6">
        <w:rPr>
          <w:b/>
        </w:rPr>
        <w:t xml:space="preserve"> with </w:t>
      </w:r>
      <w:r>
        <w:rPr>
          <w:b/>
        </w:rPr>
        <w:t>Patients</w:t>
      </w:r>
      <w:r w:rsidR="00106984">
        <w:rPr>
          <w:b/>
        </w:rPr>
        <w:t xml:space="preserve"> “Evaluation Patient Survey”</w:t>
      </w:r>
      <w:r w:rsidRPr="00B410B6">
        <w:rPr>
          <w:b/>
        </w:rPr>
        <w:t>:</w:t>
      </w:r>
      <w:r>
        <w:t xml:space="preserve"> </w:t>
      </w:r>
      <w:r w:rsidRPr="00F6148F">
        <w:t xml:space="preserve">This includes the collection of qualitative data through </w:t>
      </w:r>
      <w:r>
        <w:t>a short survey with patients who used the application (</w:t>
      </w:r>
      <w:r w:rsidR="0036189D">
        <w:t xml:space="preserve">up to a maximum of </w:t>
      </w:r>
      <w:r>
        <w:t xml:space="preserve">150). </w:t>
      </w:r>
      <w:r w:rsidR="008E025A">
        <w:t>The research team</w:t>
      </w:r>
      <w:r w:rsidRPr="00F6148F">
        <w:t xml:space="preserve"> will collect insights from </w:t>
      </w:r>
      <w:r w:rsidR="001F66FB">
        <w:t xml:space="preserve">patients </w:t>
      </w:r>
      <w:r w:rsidRPr="00F6148F">
        <w:t>on their experience of implementing and using the CDS tools.</w:t>
      </w:r>
      <w:r w:rsidR="00552579">
        <w:t xml:space="preserve"> The survey will be accessible in multiple ways given a patient’s preference to include online or paper-based.</w:t>
      </w:r>
    </w:p>
    <w:p w:rsidR="00CD5BF7" w:rsidP="00CD5BF7" w:rsidRDefault="00CD5BF7" w14:paraId="545A82AA" w14:textId="4A49A6B6">
      <w:pPr>
        <w:numPr>
          <w:ilvl w:val="0"/>
          <w:numId w:val="16"/>
        </w:numPr>
        <w:spacing w:after="120"/>
      </w:pPr>
      <w:r w:rsidRPr="00B410B6">
        <w:rPr>
          <w:b/>
        </w:rPr>
        <w:lastRenderedPageBreak/>
        <w:t>Post-Use</w:t>
      </w:r>
      <w:r>
        <w:rPr>
          <w:b/>
        </w:rPr>
        <w:t xml:space="preserve"> Interview</w:t>
      </w:r>
      <w:r w:rsidRPr="00B410B6">
        <w:rPr>
          <w:b/>
        </w:rPr>
        <w:t xml:space="preserve"> with </w:t>
      </w:r>
      <w:r>
        <w:rPr>
          <w:b/>
        </w:rPr>
        <w:t>Primary Care Providers</w:t>
      </w:r>
      <w:r w:rsidR="00106984">
        <w:rPr>
          <w:b/>
        </w:rPr>
        <w:t xml:space="preserve"> “Evaluation Provider Interview”</w:t>
      </w:r>
      <w:r w:rsidRPr="00B410B6">
        <w:rPr>
          <w:b/>
        </w:rPr>
        <w:t>:</w:t>
      </w:r>
      <w:r>
        <w:t xml:space="preserve"> </w:t>
      </w:r>
      <w:r w:rsidRPr="00F6148F">
        <w:t xml:space="preserve">This includes the collection of qualitative data through </w:t>
      </w:r>
      <w:r>
        <w:t xml:space="preserve">an in-depth </w:t>
      </w:r>
      <w:r w:rsidR="0036189D">
        <w:t>thirty-minute</w:t>
      </w:r>
      <w:r w:rsidR="0098201A">
        <w:t xml:space="preserve"> interview </w:t>
      </w:r>
      <w:r>
        <w:t>with primary care providers who used the application (</w:t>
      </w:r>
      <w:r w:rsidR="0036189D">
        <w:t xml:space="preserve">up to a maximum of </w:t>
      </w:r>
      <w:r w:rsidR="0098201A">
        <w:t>10</w:t>
      </w:r>
      <w:r>
        <w:t xml:space="preserve">). </w:t>
      </w:r>
      <w:r w:rsidR="008E025A">
        <w:t>The research team</w:t>
      </w:r>
      <w:r w:rsidRPr="00F6148F">
        <w:t xml:space="preserve"> will collect insights from </w:t>
      </w:r>
      <w:r>
        <w:t xml:space="preserve">providers </w:t>
      </w:r>
      <w:r w:rsidRPr="00F6148F">
        <w:t>on their experience of implementing and using the CDS tools.</w:t>
      </w:r>
    </w:p>
    <w:p w:rsidR="00CD5BF7" w:rsidP="00CD5BF7" w:rsidRDefault="00CD5BF7" w14:paraId="2F53A114" w14:textId="7D63A348">
      <w:pPr>
        <w:numPr>
          <w:ilvl w:val="0"/>
          <w:numId w:val="16"/>
        </w:numPr>
        <w:spacing w:after="120"/>
      </w:pPr>
      <w:r w:rsidRPr="00B410B6">
        <w:rPr>
          <w:b/>
        </w:rPr>
        <w:t>Post-Use</w:t>
      </w:r>
      <w:r>
        <w:rPr>
          <w:b/>
        </w:rPr>
        <w:t xml:space="preserve"> </w:t>
      </w:r>
      <w:r w:rsidR="00BF372F">
        <w:rPr>
          <w:b/>
        </w:rPr>
        <w:t xml:space="preserve">Interviews </w:t>
      </w:r>
      <w:r w:rsidRPr="00B410B6">
        <w:rPr>
          <w:b/>
        </w:rPr>
        <w:t xml:space="preserve">with </w:t>
      </w:r>
      <w:r>
        <w:rPr>
          <w:b/>
        </w:rPr>
        <w:t>Patients</w:t>
      </w:r>
      <w:r w:rsidR="00106984">
        <w:rPr>
          <w:b/>
        </w:rPr>
        <w:t xml:space="preserve"> “Evaluation Patient Interview”</w:t>
      </w:r>
      <w:r w:rsidRPr="00B410B6">
        <w:rPr>
          <w:b/>
        </w:rPr>
        <w:t>:</w:t>
      </w:r>
      <w:r>
        <w:t xml:space="preserve"> </w:t>
      </w:r>
      <w:r w:rsidRPr="00F6148F">
        <w:t xml:space="preserve">This includes the collection of qualitative data through </w:t>
      </w:r>
      <w:r>
        <w:t>a</w:t>
      </w:r>
      <w:r w:rsidR="004059C6">
        <w:t xml:space="preserve">n in-depth </w:t>
      </w:r>
      <w:r w:rsidR="0036189D">
        <w:t>thirty-minute</w:t>
      </w:r>
      <w:r w:rsidR="004059C6">
        <w:t xml:space="preserve"> interview</w:t>
      </w:r>
      <w:r>
        <w:t xml:space="preserve"> with patients who used the application (</w:t>
      </w:r>
      <w:r w:rsidR="0036189D">
        <w:t xml:space="preserve">up to a maximum of </w:t>
      </w:r>
      <w:r w:rsidR="00C14A84">
        <w:t>20</w:t>
      </w:r>
      <w:r>
        <w:t xml:space="preserve">). </w:t>
      </w:r>
      <w:r w:rsidR="008E025A">
        <w:t>The research team</w:t>
      </w:r>
      <w:r w:rsidRPr="00F6148F">
        <w:t xml:space="preserve"> will collect insights from </w:t>
      </w:r>
      <w:r>
        <w:t xml:space="preserve">patients </w:t>
      </w:r>
      <w:r w:rsidRPr="00F6148F">
        <w:t>on their experience of implementing and using the CDS tools.</w:t>
      </w:r>
    </w:p>
    <w:p w:rsidR="0031620A" w:rsidP="00C518C2" w:rsidRDefault="0031620A" w14:paraId="46559F58" w14:textId="5F733534">
      <w:pPr>
        <w:numPr>
          <w:ilvl w:val="0"/>
          <w:numId w:val="16"/>
        </w:numPr>
        <w:spacing w:after="120"/>
      </w:pPr>
      <w:r w:rsidRPr="00B410B6">
        <w:rPr>
          <w:b/>
        </w:rPr>
        <w:t>Post-Use Interviews with Site Champions</w:t>
      </w:r>
      <w:r w:rsidR="00106984">
        <w:rPr>
          <w:b/>
        </w:rPr>
        <w:t xml:space="preserve"> “Evaluation Site Champion Interview”</w:t>
      </w:r>
      <w:r w:rsidRPr="00B410B6" w:rsidR="00F6148F">
        <w:rPr>
          <w:b/>
        </w:rPr>
        <w:t>:</w:t>
      </w:r>
      <w:r w:rsidR="00F6148F">
        <w:t xml:space="preserve"> </w:t>
      </w:r>
      <w:r w:rsidRPr="00F6148F" w:rsidR="00F6148F">
        <w:t xml:space="preserve">This includes the collection of qualitative data through </w:t>
      </w:r>
      <w:r w:rsidR="00F17527">
        <w:t xml:space="preserve">thirty-minute interviews </w:t>
      </w:r>
      <w:r w:rsidRPr="00F6148F" w:rsidR="00F6148F">
        <w:t xml:space="preserve">with site leads </w:t>
      </w:r>
      <w:r w:rsidR="0036189D">
        <w:t xml:space="preserve">(up to a maximum of </w:t>
      </w:r>
      <w:r w:rsidR="00F25F2D">
        <w:t xml:space="preserve">15) </w:t>
      </w:r>
      <w:r w:rsidRPr="00F6148F" w:rsidR="00F6148F">
        <w:t xml:space="preserve">and site visits during which </w:t>
      </w:r>
      <w:r w:rsidR="004B08BC">
        <w:t>the research team</w:t>
      </w:r>
      <w:r w:rsidRPr="00F6148F" w:rsidR="00F6148F">
        <w:t xml:space="preserve"> will collect insights from </w:t>
      </w:r>
      <w:r w:rsidR="006D1858">
        <w:t>provider</w:t>
      </w:r>
      <w:r w:rsidRPr="00F6148F" w:rsidR="00F6148F">
        <w:t>s and patients on their experience of implementing and using the CDS tools.</w:t>
      </w:r>
    </w:p>
    <w:p w:rsidR="00527BBD" w:rsidP="00C518C2" w:rsidRDefault="00527BBD" w14:paraId="183B6455" w14:textId="17FB863C"/>
    <w:p w:rsidRPr="00527BBD" w:rsidR="00527BBD" w:rsidP="00C518C2" w:rsidRDefault="00527BBD" w14:paraId="3984DD62" w14:textId="1DC8C152">
      <w:r w:rsidRPr="00527BBD">
        <w:t>This study is being conducted by AHRQ through its contractor</w:t>
      </w:r>
      <w:r w:rsidR="0031620A">
        <w:t>, MedStar Health</w:t>
      </w:r>
      <w:r w:rsidRPr="00527BBD">
        <w:t>,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Pr="00983636" w:rsidR="009B633D" w:rsidP="00C518C2" w:rsidRDefault="009B633D" w14:paraId="392DBD89" w14:textId="77777777">
      <w:pPr>
        <w:pStyle w:val="Heading2"/>
        <w:rPr>
          <w:sz w:val="24"/>
        </w:rPr>
      </w:pPr>
      <w:bookmarkStart w:name="_Toc151782177" w:id="5"/>
      <w:bookmarkStart w:name="_Toc158526217" w:id="6"/>
      <w:bookmarkStart w:name="_Toc36632017" w:id="7"/>
      <w:r w:rsidRPr="00983636">
        <w:rPr>
          <w:sz w:val="24"/>
        </w:rPr>
        <w:t>2. Purpose and Use of Information</w:t>
      </w:r>
      <w:bookmarkEnd w:id="5"/>
      <w:bookmarkEnd w:id="6"/>
      <w:bookmarkEnd w:id="7"/>
    </w:p>
    <w:p w:rsidR="00F12EF2" w:rsidP="00C518C2" w:rsidRDefault="00F00289" w14:paraId="2ACD0ECE" w14:textId="14C13160">
      <w:pPr>
        <w:spacing w:after="240"/>
        <w:rPr>
          <w:color w:val="000000"/>
          <w:szCs w:val="27"/>
        </w:rPr>
      </w:pPr>
      <w:r w:rsidRPr="00F00289">
        <w:rPr>
          <w:color w:val="000000"/>
          <w:szCs w:val="27"/>
        </w:rPr>
        <w:t xml:space="preserve">The proposed work represents a multi-disciplinary approach that will tackle both technological and design components of health information technology architecture while understanding end-user needs (e.g., patients and </w:t>
      </w:r>
      <w:r w:rsidR="006D1858">
        <w:rPr>
          <w:color w:val="000000"/>
          <w:szCs w:val="27"/>
        </w:rPr>
        <w:t>provider</w:t>
      </w:r>
      <w:r w:rsidRPr="00F00289">
        <w:rPr>
          <w:color w:val="000000"/>
          <w:szCs w:val="27"/>
        </w:rPr>
        <w:t xml:space="preserve">s), workflow, and data integration. </w:t>
      </w:r>
      <w:r w:rsidR="004B08BC">
        <w:rPr>
          <w:color w:val="000000"/>
          <w:szCs w:val="27"/>
        </w:rPr>
        <w:t>The research team</w:t>
      </w:r>
      <w:r w:rsidRPr="00F00289">
        <w:rPr>
          <w:color w:val="000000"/>
          <w:szCs w:val="27"/>
        </w:rPr>
        <w:t xml:space="preserve"> will leverage human factors methodologies including stakeholder interviews, workflow analysis, application of user-centered design principles, and usability testing. </w:t>
      </w:r>
      <w:r w:rsidR="00372BB0">
        <w:rPr>
          <w:color w:val="000000"/>
          <w:szCs w:val="27"/>
        </w:rPr>
        <w:t xml:space="preserve">These methods will help the research team better understand human strengths and limitations in the design of interactive systems. The approach focuses on how systems work in actual practice to better design healthcare information technology that optimizes design of </w:t>
      </w:r>
      <w:r w:rsidR="006D1858">
        <w:rPr>
          <w:color w:val="000000"/>
          <w:szCs w:val="27"/>
        </w:rPr>
        <w:t>the</w:t>
      </w:r>
      <w:r w:rsidR="00372BB0">
        <w:rPr>
          <w:color w:val="000000"/>
          <w:szCs w:val="27"/>
        </w:rPr>
        <w:t xml:space="preserve"> CDS tools. </w:t>
      </w:r>
      <w:r w:rsidR="00031E08">
        <w:rPr>
          <w:color w:val="000000"/>
          <w:szCs w:val="27"/>
        </w:rPr>
        <w:t>This</w:t>
      </w:r>
      <w:r w:rsidRPr="00031E08" w:rsidR="00031E08">
        <w:rPr>
          <w:color w:val="000000"/>
          <w:szCs w:val="27"/>
        </w:rPr>
        <w:t xml:space="preserve"> research will advance knowledge for patients and </w:t>
      </w:r>
      <w:r w:rsidR="006D1858">
        <w:rPr>
          <w:color w:val="000000"/>
          <w:szCs w:val="27"/>
        </w:rPr>
        <w:t>provider</w:t>
      </w:r>
      <w:r w:rsidRPr="00031E08" w:rsidR="00031E08">
        <w:rPr>
          <w:color w:val="000000"/>
          <w:szCs w:val="27"/>
        </w:rPr>
        <w:t>s through CDS tools that enhance the quality of clinical discussion and shared decision-making for optimizing pain management therapy.</w:t>
      </w:r>
    </w:p>
    <w:p w:rsidRPr="00983636" w:rsidR="009B633D" w:rsidP="00C518C2" w:rsidRDefault="009B633D" w14:paraId="395FFA30" w14:textId="77777777">
      <w:pPr>
        <w:pStyle w:val="Heading2"/>
        <w:rPr>
          <w:sz w:val="24"/>
        </w:rPr>
      </w:pPr>
      <w:bookmarkStart w:name="_Toc151782178" w:id="8"/>
      <w:bookmarkStart w:name="_Toc158526218" w:id="9"/>
      <w:bookmarkStart w:name="_Toc36632018" w:id="10"/>
      <w:r w:rsidRPr="00983636">
        <w:rPr>
          <w:sz w:val="24"/>
        </w:rPr>
        <w:t>3. Use of Improved Information Technology</w:t>
      </w:r>
      <w:bookmarkEnd w:id="8"/>
      <w:bookmarkEnd w:id="9"/>
      <w:bookmarkEnd w:id="10"/>
    </w:p>
    <w:p w:rsidR="00ED779B" w:rsidP="00C518C2" w:rsidRDefault="00552579" w14:paraId="320DDA21" w14:textId="7BC7AB2C">
      <w:r>
        <w:t xml:space="preserve">The research team </w:t>
      </w:r>
      <w:r w:rsidRPr="00ED779B" w:rsidR="00ED779B">
        <w:t xml:space="preserve">will implement human factors derived designs and develop a user-friendly experience using highly accessible technologies such as patient portals, mobile applications, text message systems, or other means that will advance </w:t>
      </w:r>
      <w:r w:rsidR="00991CDF">
        <w:t>clinical decision support at the point of care</w:t>
      </w:r>
      <w:r w:rsidRPr="00ED779B" w:rsidR="00ED779B">
        <w:t>.</w:t>
      </w:r>
      <w:r w:rsidR="00ED779B">
        <w:t xml:space="preserve"> </w:t>
      </w:r>
      <w:r w:rsidRPr="00ED779B" w:rsidR="00ED779B">
        <w:t xml:space="preserve">The </w:t>
      </w:r>
      <w:r w:rsidR="00ED779B">
        <w:t xml:space="preserve">patient-facing </w:t>
      </w:r>
      <w:r w:rsidRPr="00ED779B" w:rsidR="00ED779B">
        <w:t xml:space="preserve">CDS tool will collect necessary data from the patient, such as relevant </w:t>
      </w:r>
      <w:r w:rsidR="00991CDF">
        <w:t xml:space="preserve">patient reported outcomes </w:t>
      </w:r>
      <w:r w:rsidRPr="00ED779B" w:rsidR="00ED779B">
        <w:t xml:space="preserve">measures using appropriate standards, and appropriate data will be accessible by both the patient and </w:t>
      </w:r>
      <w:r w:rsidR="006D1858">
        <w:t>provider</w:t>
      </w:r>
      <w:r w:rsidRPr="00ED779B" w:rsidR="00ED779B">
        <w:t xml:space="preserve"> facing components. Patients will be authenticated using the SMART on FHIR extension of the OAuth2 protocol. </w:t>
      </w:r>
      <w:r w:rsidR="001A7135">
        <w:t>The research team</w:t>
      </w:r>
      <w:r w:rsidRPr="00ED779B" w:rsidR="00ED779B">
        <w:t xml:space="preserve"> will leverage technologies to improve access and interoperability such as the OpenID Connect specification to ensure secure identification of the patient and enable patients to control their data privacy. </w:t>
      </w:r>
      <w:r>
        <w:t xml:space="preserve">The tools </w:t>
      </w:r>
      <w:r w:rsidRPr="00ED779B" w:rsidR="00ED779B">
        <w:t xml:space="preserve">will maximize </w:t>
      </w:r>
      <w:r w:rsidRPr="00ED779B" w:rsidR="00ED779B">
        <w:lastRenderedPageBreak/>
        <w:t xml:space="preserve">the portability and future adoption of the CDS by requiring minimal implementation effort through standardized integration with </w:t>
      </w:r>
      <w:r>
        <w:t>electronic health record</w:t>
      </w:r>
      <w:r w:rsidRPr="00ED779B" w:rsidR="00ED779B">
        <w:t xml:space="preserve"> systems that support modern standards such as SMART on FHIR and OpenID connect.</w:t>
      </w:r>
      <w:r w:rsidR="00ED779B">
        <w:t xml:space="preserve"> </w:t>
      </w:r>
      <w:r>
        <w:t>The</w:t>
      </w:r>
      <w:r w:rsidRPr="00ED779B" w:rsidR="00ED779B">
        <w:t xml:space="preserve"> development process will follow a rigorous </w:t>
      </w:r>
      <w:r>
        <w:t xml:space="preserve">user-centered design </w:t>
      </w:r>
      <w:r w:rsidRPr="00ED779B" w:rsidR="00ED779B">
        <w:t>approach to ensure that the resulting functional prototype meets the needs of end-users.</w:t>
      </w:r>
      <w:r w:rsidR="00ED779B">
        <w:t xml:space="preserve"> </w:t>
      </w:r>
      <w:r>
        <w:t xml:space="preserve">The research team </w:t>
      </w:r>
      <w:r w:rsidRPr="00ED779B" w:rsidR="00ED779B">
        <w:t xml:space="preserve">will leverage </w:t>
      </w:r>
      <w:r>
        <w:t xml:space="preserve">their </w:t>
      </w:r>
      <w:r w:rsidRPr="00ED779B" w:rsidR="00ED779B">
        <w:t xml:space="preserve">relationships with </w:t>
      </w:r>
      <w:r>
        <w:t xml:space="preserve">electronic health record </w:t>
      </w:r>
      <w:r w:rsidRPr="00ED779B" w:rsidR="00ED779B">
        <w:t xml:space="preserve">vendors and MedStar Health technical experts to meet health </w:t>
      </w:r>
      <w:r>
        <w:t xml:space="preserve">information technology </w:t>
      </w:r>
      <w:r w:rsidRPr="00ED779B" w:rsidR="00ED779B">
        <w:t>challenges and consult with them throughout implementation.</w:t>
      </w:r>
    </w:p>
    <w:p w:rsidR="00ED779B" w:rsidP="00C518C2" w:rsidRDefault="00ED779B" w14:paraId="587603E5" w14:textId="77777777"/>
    <w:p w:rsidRPr="00B410B6" w:rsidR="008B6344" w:rsidP="00C518C2" w:rsidRDefault="00ED779B" w14:paraId="42805536" w14:textId="0622D112">
      <w:r w:rsidRPr="00ED779B">
        <w:t xml:space="preserve">The </w:t>
      </w:r>
      <w:r w:rsidR="006D1858">
        <w:t>provider</w:t>
      </w:r>
      <w:r w:rsidRPr="00ED779B">
        <w:t>-facing CDS tool leverages the CDC Guideline for Prescribing Opioids for Chronic Pain, released in 2016.</w:t>
      </w:r>
      <w:r w:rsidRPr="00FD45BA" w:rsidR="0037114F">
        <w:rPr>
          <w:vertAlign w:val="superscript"/>
        </w:rPr>
        <w:t>(4)</w:t>
      </w:r>
      <w:r w:rsidRPr="00FD45BA">
        <w:rPr>
          <w:vertAlign w:val="superscript"/>
        </w:rPr>
        <w:t xml:space="preserve"> </w:t>
      </w:r>
      <w:r w:rsidRPr="00ED779B">
        <w:t>The CDS tool will use patient-specific data and CDC guidelines to support the careful assessment of individual benefits and risks for continued opioid use. The proposed research builds off the AHRQ Pain Management Summary</w:t>
      </w:r>
      <w:r w:rsidR="00BB281C">
        <w:t xml:space="preserve"> </w:t>
      </w:r>
      <w:r w:rsidRPr="00FD45BA" w:rsidR="00BB281C">
        <w:rPr>
          <w:vertAlign w:val="superscript"/>
        </w:rPr>
        <w:t>(8)</w:t>
      </w:r>
      <w:r w:rsidRPr="00ED779B">
        <w:t xml:space="preserve"> functionality to consolidate patient-specific information normally distributed across different tabs and screens into a single view but also incorporates PRO data, data visualization, and personalizes CDC guidelines to operationalize the CDC’s recommendations.</w:t>
      </w:r>
    </w:p>
    <w:p w:rsidR="009B633D" w:rsidP="00C518C2" w:rsidRDefault="009B633D" w14:paraId="2B72CDB2" w14:textId="77777777">
      <w:pPr>
        <w:pStyle w:val="Heading2"/>
        <w:rPr>
          <w:sz w:val="24"/>
        </w:rPr>
      </w:pPr>
      <w:bookmarkStart w:name="_Toc151782179" w:id="11"/>
      <w:bookmarkStart w:name="_Toc158526219" w:id="12"/>
      <w:bookmarkStart w:name="_Toc36632019" w:id="13"/>
      <w:r w:rsidRPr="00983636">
        <w:rPr>
          <w:sz w:val="24"/>
        </w:rPr>
        <w:t>4. Efforts to Identify Duplication</w:t>
      </w:r>
      <w:bookmarkEnd w:id="11"/>
      <w:bookmarkEnd w:id="12"/>
      <w:bookmarkEnd w:id="13"/>
    </w:p>
    <w:p w:rsidRPr="00B410B6" w:rsidR="00ED779B" w:rsidP="00C518C2" w:rsidRDefault="00ED779B" w14:paraId="6E49DE88" w14:textId="77777777">
      <w:pPr>
        <w:spacing w:after="240"/>
      </w:pPr>
      <w:r w:rsidRPr="00B410B6">
        <w:t>No similar data have been gathered by the research team or are available from other sources known to the research team.</w:t>
      </w:r>
    </w:p>
    <w:p w:rsidRPr="00983636" w:rsidR="009B633D" w:rsidP="00C518C2" w:rsidRDefault="009B633D" w14:paraId="1C42369F" w14:textId="77777777">
      <w:pPr>
        <w:pStyle w:val="Heading2"/>
        <w:rPr>
          <w:sz w:val="24"/>
        </w:rPr>
      </w:pPr>
      <w:bookmarkStart w:name="_Toc151782180" w:id="14"/>
      <w:bookmarkStart w:name="_Toc158526220" w:id="15"/>
      <w:bookmarkStart w:name="_Toc36632020" w:id="16"/>
      <w:r w:rsidRPr="00983636">
        <w:rPr>
          <w:sz w:val="24"/>
        </w:rPr>
        <w:t>5. Involvement of Small Entities</w:t>
      </w:r>
      <w:bookmarkEnd w:id="14"/>
      <w:bookmarkEnd w:id="15"/>
      <w:bookmarkEnd w:id="16"/>
    </w:p>
    <w:p w:rsidRPr="00421201" w:rsidR="00ED779B" w:rsidP="00C518C2" w:rsidRDefault="00A33719" w14:paraId="333641A3" w14:textId="46E8E568">
      <w:pPr>
        <w:spacing w:after="240"/>
        <w:rPr>
          <w:i/>
          <w:sz w:val="22"/>
        </w:rPr>
      </w:pPr>
      <w:r>
        <w:rPr>
          <w:color w:val="000000"/>
          <w:szCs w:val="27"/>
        </w:rPr>
        <w:t>There are no plans</w:t>
      </w:r>
      <w:r w:rsidRPr="00A33719" w:rsidR="00ED779B">
        <w:rPr>
          <w:color w:val="000000"/>
          <w:szCs w:val="27"/>
        </w:rPr>
        <w:t xml:space="preserve"> that any sites participating in this pilot test will be classified as small businesses</w:t>
      </w:r>
      <w:r w:rsidRPr="00A33719" w:rsidR="00ED779B">
        <w:rPr>
          <w:szCs w:val="27"/>
        </w:rPr>
        <w:t>.</w:t>
      </w:r>
    </w:p>
    <w:p w:rsidRPr="00983636" w:rsidR="009B633D" w:rsidP="00C518C2" w:rsidRDefault="009B633D" w14:paraId="12955AA5" w14:textId="77777777">
      <w:pPr>
        <w:pStyle w:val="Heading2"/>
        <w:rPr>
          <w:sz w:val="24"/>
        </w:rPr>
      </w:pPr>
      <w:bookmarkStart w:name="_Toc151782181" w:id="17"/>
      <w:bookmarkStart w:name="_Toc158526221" w:id="18"/>
      <w:bookmarkStart w:name="_Toc36632021" w:id="19"/>
      <w:r w:rsidRPr="00983636">
        <w:rPr>
          <w:sz w:val="24"/>
        </w:rPr>
        <w:t>6. Consequences if Information Collected Less Frequently</w:t>
      </w:r>
      <w:bookmarkEnd w:id="17"/>
      <w:bookmarkEnd w:id="18"/>
      <w:bookmarkEnd w:id="19"/>
    </w:p>
    <w:p w:rsidRPr="00421201" w:rsidR="00F60488" w:rsidP="00552579" w:rsidRDefault="00D16777" w14:paraId="56C7B5BE" w14:textId="5C7C4B92">
      <w:pPr>
        <w:pStyle w:val="NormalWeb"/>
        <w:spacing w:before="0" w:beforeAutospacing="0"/>
        <w:rPr>
          <w:b/>
          <w:i/>
        </w:rPr>
      </w:pPr>
      <w:bookmarkStart w:name="_Toc151782182" w:id="20"/>
      <w:bookmarkStart w:name="_Toc158526222" w:id="21"/>
      <w:r w:rsidRPr="00B410B6">
        <w:rPr>
          <w:color w:val="000000"/>
          <w:szCs w:val="27"/>
        </w:rPr>
        <w:t xml:space="preserve">Data collected through the </w:t>
      </w:r>
      <w:r w:rsidR="00103FE8">
        <w:rPr>
          <w:color w:val="000000"/>
          <w:szCs w:val="27"/>
        </w:rPr>
        <w:t xml:space="preserve">patient interviews, family member interviews, </w:t>
      </w:r>
      <w:r w:rsidR="0019195E">
        <w:rPr>
          <w:color w:val="000000"/>
          <w:szCs w:val="27"/>
        </w:rPr>
        <w:t xml:space="preserve">health information technology and clinical decision support </w:t>
      </w:r>
      <w:r w:rsidR="00103FE8">
        <w:rPr>
          <w:color w:val="000000"/>
          <w:szCs w:val="27"/>
        </w:rPr>
        <w:t xml:space="preserve">developer interviews, physician interviews, and pain specialist interviews </w:t>
      </w:r>
      <w:r w:rsidR="00124290">
        <w:rPr>
          <w:color w:val="000000"/>
          <w:szCs w:val="27"/>
        </w:rPr>
        <w:t>will be collected one time from each participant.</w:t>
      </w:r>
      <w:r w:rsidR="0019195E">
        <w:rPr>
          <w:color w:val="000000"/>
          <w:szCs w:val="27"/>
        </w:rPr>
        <w:t xml:space="preserve"> </w:t>
      </w:r>
      <w:r w:rsidRPr="00B410B6">
        <w:rPr>
          <w:color w:val="000000"/>
          <w:szCs w:val="27"/>
        </w:rPr>
        <w:t xml:space="preserve">Data collected through </w:t>
      </w:r>
      <w:r w:rsidR="00FB5C2C">
        <w:rPr>
          <w:color w:val="000000"/>
          <w:szCs w:val="27"/>
        </w:rPr>
        <w:t xml:space="preserve">usability testing with patients with chronic pain </w:t>
      </w:r>
      <w:r w:rsidR="00275E5F">
        <w:rPr>
          <w:color w:val="000000"/>
          <w:szCs w:val="27"/>
        </w:rPr>
        <w:t xml:space="preserve">and primary care physicians </w:t>
      </w:r>
      <w:r w:rsidR="00B34761">
        <w:rPr>
          <w:color w:val="000000"/>
          <w:szCs w:val="27"/>
        </w:rPr>
        <w:t>will</w:t>
      </w:r>
      <w:r w:rsidR="00E51DE9">
        <w:rPr>
          <w:color w:val="000000"/>
          <w:szCs w:val="27"/>
        </w:rPr>
        <w:t xml:space="preserve"> each</w:t>
      </w:r>
      <w:r w:rsidR="00B34761">
        <w:rPr>
          <w:color w:val="000000"/>
          <w:szCs w:val="27"/>
        </w:rPr>
        <w:t xml:space="preserve"> be collected through two rounds of usability testing </w:t>
      </w:r>
      <w:r w:rsidR="00E51DE9">
        <w:rPr>
          <w:color w:val="000000"/>
          <w:szCs w:val="27"/>
        </w:rPr>
        <w:t xml:space="preserve">of </w:t>
      </w:r>
      <w:r w:rsidR="0019195E">
        <w:rPr>
          <w:color w:val="000000"/>
          <w:szCs w:val="27"/>
        </w:rPr>
        <w:t>nine</w:t>
      </w:r>
      <w:r w:rsidR="00E51DE9">
        <w:rPr>
          <w:color w:val="000000"/>
          <w:szCs w:val="27"/>
        </w:rPr>
        <w:t xml:space="preserve"> unique participants in each round. Data will be collected from each of these participants one time only.</w:t>
      </w:r>
      <w:r w:rsidR="0019195E">
        <w:rPr>
          <w:color w:val="000000"/>
          <w:szCs w:val="27"/>
        </w:rPr>
        <w:t xml:space="preserve"> </w:t>
      </w:r>
      <w:r w:rsidR="007717EB">
        <w:t xml:space="preserve">The post-use interviews with </w:t>
      </w:r>
      <w:r w:rsidR="00BB281C">
        <w:t xml:space="preserve">patients, providers, and </w:t>
      </w:r>
      <w:r w:rsidR="007717EB">
        <w:t>site champions</w:t>
      </w:r>
      <w:r w:rsidR="00BB281C">
        <w:t xml:space="preserve"> will be collected </w:t>
      </w:r>
      <w:r w:rsidR="00522D95">
        <w:t>twice: once</w:t>
      </w:r>
      <w:r w:rsidR="00DD6585">
        <w:t xml:space="preserve"> shortly after deployment of the CDS tools and again after </w:t>
      </w:r>
      <w:r w:rsidR="00372BB0">
        <w:t>three to four</w:t>
      </w:r>
      <w:r w:rsidR="00DD6585">
        <w:t xml:space="preserve"> months of use by patients and </w:t>
      </w:r>
      <w:r w:rsidR="006D1858">
        <w:t>provider</w:t>
      </w:r>
      <w:r w:rsidR="00DD6585">
        <w:t xml:space="preserve">s. The timing of this section data collection point is necessary to ensure that any changes in the perception of value or intention to use the tools are captured while the experience with the tools is still recent. If data were collected less frequently, </w:t>
      </w:r>
      <w:r w:rsidRPr="00A33719" w:rsidR="00DD6585">
        <w:t xml:space="preserve">this </w:t>
      </w:r>
      <w:r w:rsidR="00A33719">
        <w:t xml:space="preserve">analysis </w:t>
      </w:r>
      <w:r w:rsidRPr="00A33719" w:rsidR="00DD6585">
        <w:t>would</w:t>
      </w:r>
      <w:r w:rsidR="00DD6585">
        <w:t xml:space="preserve"> not be possible</w:t>
      </w:r>
      <w:r w:rsidRPr="00DD39DB" w:rsidR="00DD6585">
        <w:t>.</w:t>
      </w:r>
    </w:p>
    <w:p w:rsidR="009B633D" w:rsidP="00C518C2" w:rsidRDefault="009B633D" w14:paraId="46941044" w14:textId="77777777">
      <w:pPr>
        <w:pStyle w:val="Heading2"/>
        <w:rPr>
          <w:sz w:val="24"/>
        </w:rPr>
      </w:pPr>
      <w:bookmarkStart w:name="_Toc36632022" w:id="22"/>
      <w:r w:rsidRPr="00412C6F">
        <w:rPr>
          <w:sz w:val="24"/>
        </w:rPr>
        <w:t>7. Special Circumstances</w:t>
      </w:r>
      <w:bookmarkEnd w:id="20"/>
      <w:bookmarkEnd w:id="21"/>
      <w:bookmarkEnd w:id="22"/>
    </w:p>
    <w:p w:rsidR="009B633D" w:rsidP="00C518C2" w:rsidRDefault="009B633D" w14:paraId="62ACC998" w14:textId="39AD19BE">
      <w:pPr>
        <w:spacing w:before="120"/>
      </w:pPr>
      <w:r w:rsidRPr="004F03D2">
        <w:t>This request is consistent with the general information collection guid</w:t>
      </w:r>
      <w:r>
        <w:t>elines of 5 CFR 1320.5(d)(2). No special circumstances apply.</w:t>
      </w:r>
    </w:p>
    <w:p w:rsidR="004E3A1B" w:rsidP="00660BB0" w:rsidRDefault="009B633D" w14:paraId="19BEBEDD" w14:textId="77777777">
      <w:pPr>
        <w:pStyle w:val="Heading2"/>
        <w:keepLines/>
        <w:rPr>
          <w:sz w:val="24"/>
          <w:szCs w:val="24"/>
        </w:rPr>
      </w:pPr>
      <w:bookmarkStart w:name="_Toc151782183" w:id="23"/>
      <w:bookmarkStart w:name="_Toc158526223" w:id="24"/>
      <w:bookmarkStart w:name="_Toc36632023" w:id="25"/>
      <w:r w:rsidRPr="00412C6F">
        <w:rPr>
          <w:sz w:val="24"/>
        </w:rPr>
        <w:lastRenderedPageBreak/>
        <w:t>8.</w:t>
      </w:r>
      <w:r w:rsidRPr="004E3A1B">
        <w:rPr>
          <w:sz w:val="24"/>
          <w:szCs w:val="24"/>
        </w:rPr>
        <w:t xml:space="preserve"> </w:t>
      </w:r>
      <w:bookmarkEnd w:id="23"/>
      <w:bookmarkEnd w:id="24"/>
      <w:r w:rsidRPr="004E3A1B" w:rsidR="004E3A1B">
        <w:rPr>
          <w:sz w:val="24"/>
          <w:szCs w:val="24"/>
        </w:rPr>
        <w:t>Federal Register Notice and Outside Consultations</w:t>
      </w:r>
      <w:bookmarkEnd w:id="25"/>
    </w:p>
    <w:p w:rsidR="004E3A1B" w:rsidP="00660BB0" w:rsidRDefault="004E3A1B" w14:paraId="45ACD450" w14:textId="77777777">
      <w:pPr>
        <w:keepNext/>
        <w:keepLines/>
      </w:pPr>
    </w:p>
    <w:p w:rsidR="00131443" w:rsidP="00660BB0" w:rsidRDefault="004E3A1B" w14:paraId="1259EB77" w14:textId="62BCCC94">
      <w:pPr>
        <w:keepNext/>
        <w:keepLines/>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rsidR="006108A3" w:rsidP="00660BB0" w:rsidRDefault="006108A3" w14:paraId="00013E82" w14:textId="392205C2">
      <w:pPr>
        <w:keepNext/>
        <w:keepLines/>
        <w:rPr>
          <w:rFonts w:ascii="Arial" w:hAnsi="Arial" w:cs="Arial"/>
          <w:b/>
          <w:bCs/>
          <w:i/>
          <w:iCs/>
        </w:rPr>
      </w:pPr>
    </w:p>
    <w:p w:rsidRPr="004E3A1B" w:rsidR="006108A3" w:rsidP="006108A3" w:rsidRDefault="006108A3" w14:paraId="70A901AE" w14:textId="0C496A3E">
      <w:r>
        <w:t>As required by 5 CFR 1320.8(d), n</w:t>
      </w:r>
      <w:r w:rsidRPr="007B4120">
        <w:t xml:space="preserve">otices were published in the Federal Register on </w:t>
      </w:r>
      <w:r w:rsidRPr="006108A3">
        <w:t>Ju</w:t>
      </w:r>
      <w:r>
        <w:t>ly</w:t>
      </w:r>
      <w:r w:rsidRPr="006108A3">
        <w:t xml:space="preserve"> </w:t>
      </w:r>
      <w:r>
        <w:t>1</w:t>
      </w:r>
      <w:r w:rsidRPr="006108A3">
        <w:t>4</w:t>
      </w:r>
      <w:r w:rsidRPr="006108A3">
        <w:rPr>
          <w:vertAlign w:val="superscript"/>
        </w:rPr>
        <w:t>th</w:t>
      </w:r>
      <w:r w:rsidRPr="006108A3">
        <w:t>, 20</w:t>
      </w:r>
      <w:r>
        <w:t>20</w:t>
      </w:r>
      <w:r w:rsidRPr="006108A3">
        <w:t>,</w:t>
      </w:r>
      <w:r w:rsidRPr="007B4120">
        <w:t xml:space="preserve"> for 60 </w:t>
      </w:r>
      <w:r w:rsidRPr="007A098A">
        <w:t xml:space="preserve">days (see Attachment </w:t>
      </w:r>
      <w:r>
        <w:t>6</w:t>
      </w:r>
      <w:r w:rsidRPr="007A098A">
        <w:t>)</w:t>
      </w:r>
      <w:r>
        <w:t xml:space="preserve"> </w:t>
      </w:r>
      <w:r w:rsidRPr="006108A3">
        <w:t xml:space="preserve">on page </w:t>
      </w:r>
      <w:r w:rsidRPr="006108A3">
        <w:t>42404</w:t>
      </w:r>
      <w:r>
        <w:t>, volume 85</w:t>
      </w:r>
      <w:bookmarkStart w:name="_GoBack" w:id="26"/>
      <w:bookmarkEnd w:id="26"/>
      <w:r w:rsidRPr="007A098A">
        <w:t>.  No substantive comments</w:t>
      </w:r>
      <w:r>
        <w:t xml:space="preserve"> were received.</w:t>
      </w:r>
    </w:p>
    <w:p w:rsidR="006108A3" w:rsidP="00660BB0" w:rsidRDefault="006108A3" w14:paraId="6943B1B3" w14:textId="77777777">
      <w:pPr>
        <w:keepNext/>
        <w:keepLines/>
        <w:rPr>
          <w:rFonts w:ascii="Arial" w:hAnsi="Arial" w:cs="Arial"/>
          <w:b/>
          <w:bCs/>
          <w:i/>
          <w:iCs/>
        </w:rPr>
      </w:pPr>
    </w:p>
    <w:p w:rsidRPr="00412C6F" w:rsidR="009B633D" w:rsidP="00C518C2" w:rsidRDefault="004E3A1B" w14:paraId="73FCE2D5" w14:textId="2AD86D5E">
      <w:pPr>
        <w:pStyle w:val="Heading2"/>
        <w:rPr>
          <w:sz w:val="24"/>
        </w:rPr>
      </w:pPr>
      <w:bookmarkStart w:name="_Toc36632024" w:id="27"/>
      <w:r>
        <w:rPr>
          <w:sz w:val="24"/>
        </w:rPr>
        <w:t xml:space="preserve">8.b. </w:t>
      </w:r>
      <w:r w:rsidRPr="004E3A1B">
        <w:rPr>
          <w:sz w:val="24"/>
          <w:szCs w:val="24"/>
        </w:rPr>
        <w:t>Outside Consultations</w:t>
      </w:r>
      <w:bookmarkEnd w:id="27"/>
    </w:p>
    <w:p w:rsidR="001F7724" w:rsidP="001F7724" w:rsidRDefault="001F7724" w14:paraId="4B3DA770" w14:textId="4B2E7207">
      <w:pPr>
        <w:spacing w:after="240"/>
      </w:pPr>
      <w:bookmarkStart w:name="_Toc457285506" w:id="28"/>
      <w:bookmarkStart w:name="_Toc58725294" w:id="29"/>
      <w:bookmarkStart w:name="_Toc151782184" w:id="30"/>
      <w:bookmarkStart w:name="_Toc158526224" w:id="31"/>
      <w:r>
        <w:t>In addition to the expert MedStar project team, a team of collaborators and consultants composed of patient advocates, providers, researchers, and developers from industry and academia will inform all aspects of the project to ensure robust stakeholder input. Team collaborators include experts in health technology architecture, development, and patient-centered interface strategy from Perk Health, experts in health behavior, decision-making, and patient-reported outcomes from Georgetown Lombardi Comprehensive Cancer Care and Georgetown University Medical Center, and experts in patient safety, quality improvement, and evaluation of risky behaviors from IMPAQ</w:t>
      </w:r>
      <w:r w:rsidR="00552579">
        <w:t xml:space="preserve"> International</w:t>
      </w:r>
      <w:r>
        <w:t>.</w:t>
      </w:r>
    </w:p>
    <w:p w:rsidR="00E54C12" w:rsidP="00C518C2" w:rsidRDefault="001F7724" w14:paraId="0D13F17E" w14:textId="4BE873EF">
      <w:pPr>
        <w:spacing w:after="240"/>
      </w:pPr>
      <w:r>
        <w:t xml:space="preserve">Expert consultants represent expertise in patient and family engagement, </w:t>
      </w:r>
      <w:r w:rsidR="00552579">
        <w:t xml:space="preserve">electronic health record </w:t>
      </w:r>
      <w:r>
        <w:t xml:space="preserve">implementation strategy, clinical data integration, and a partnership with </w:t>
      </w:r>
      <w:r w:rsidRPr="00A7558E">
        <w:t>the Capital Area Primary Care Research Network (CAPRICORN), a network of primary care providers in the Washington DC metropolitan area.</w:t>
      </w:r>
      <w:r>
        <w:t xml:space="preserve"> These consultants will provide advisement in interview guide development.</w:t>
      </w:r>
    </w:p>
    <w:p w:rsidRPr="0038217D" w:rsidR="0038217D" w:rsidP="00C518C2" w:rsidRDefault="009B633D" w14:paraId="530822E9" w14:textId="77777777">
      <w:pPr>
        <w:pStyle w:val="Heading2"/>
        <w:rPr>
          <w:sz w:val="24"/>
        </w:rPr>
      </w:pPr>
      <w:bookmarkStart w:name="_Toc36632025" w:id="32"/>
      <w:r w:rsidRPr="00412C6F">
        <w:t>9. Payments/Gifts to Respondents</w:t>
      </w:r>
      <w:bookmarkEnd w:id="28"/>
      <w:bookmarkEnd w:id="29"/>
      <w:bookmarkEnd w:id="30"/>
      <w:bookmarkEnd w:id="31"/>
      <w:bookmarkEnd w:id="32"/>
    </w:p>
    <w:p w:rsidRPr="00421201" w:rsidR="00AD48EA" w:rsidP="00AD48EA" w:rsidRDefault="00372BB0" w14:paraId="0B758B12" w14:textId="7876850E">
      <w:pPr>
        <w:rPr>
          <w:i/>
        </w:rPr>
      </w:pPr>
      <w:r w:rsidRPr="001A0759">
        <w:t>There is no compensation for participants in the post-use evaluation data collection efforts.</w:t>
      </w:r>
    </w:p>
    <w:p w:rsidRPr="00991CDF" w:rsidR="009B633D" w:rsidP="00C518C2" w:rsidRDefault="009B633D" w14:paraId="6652E1D5" w14:textId="77777777">
      <w:pPr>
        <w:pStyle w:val="Heading2"/>
      </w:pPr>
      <w:bookmarkStart w:name="_Toc151782185" w:id="33"/>
      <w:bookmarkStart w:name="_Toc158526225" w:id="34"/>
      <w:bookmarkStart w:name="_Toc36632026" w:id="35"/>
      <w:r w:rsidRPr="00991CDF">
        <w:t>10. Assurance of Confidentiality</w:t>
      </w:r>
      <w:bookmarkEnd w:id="33"/>
      <w:bookmarkEnd w:id="34"/>
      <w:bookmarkEnd w:id="35"/>
    </w:p>
    <w:p w:rsidR="00D45A14" w:rsidP="00552579" w:rsidRDefault="0083145C" w14:paraId="16D224C8" w14:textId="3703A93E">
      <w:pPr>
        <w:spacing w:after="100" w:afterAutospacing="1"/>
      </w:pPr>
      <w:r w:rsidRPr="0083145C">
        <w:t xml:space="preserve">The confidentiality of your responses </w:t>
      </w:r>
      <w:r>
        <w:t>are</w:t>
      </w:r>
      <w:r w:rsidRPr="0083145C">
        <w:t xml:space="preserve"> protected by Sections 944(c) and 308(d) of the Public Health Service Act [42 U.S.C. 299c-3(c) and 42 U.S.C. 242m(d)]. Information that could identify you will not be disclosed unless you have consented to that disclosure.</w:t>
      </w:r>
    </w:p>
    <w:p w:rsidRPr="007208E0" w:rsidR="007208E0" w:rsidP="00C518C2" w:rsidRDefault="00D45A14" w14:paraId="77DEA851" w14:textId="29182948">
      <w:pPr>
        <w:spacing w:before="100" w:beforeAutospacing="1" w:after="100" w:afterAutospacing="1"/>
      </w:pPr>
      <w:r w:rsidRPr="00D45A14">
        <w:t>Information that can directly identify the respondent, such as name and/or social security number will not be collected</w:t>
      </w:r>
      <w:r w:rsidR="00DD6585">
        <w:t xml:space="preserve"> in either the survey or the interview. Information necessary to schedule interviews (such as name, phone number) will be collected and stored separately from survey and interview data. During both the surveys and interviews, respondents will be assured that their answers will be kept confidential, and nothing will be reported in a way that could personally identify them. (That is, findings will be reported in aggregate, </w:t>
      </w:r>
      <w:r w:rsidRPr="00635576" w:rsidR="00DD6585">
        <w:t>so that it is not possible to link comments to individuals.</w:t>
      </w:r>
      <w:r w:rsidR="00DD6585">
        <w:t>) Any survey results</w:t>
      </w:r>
      <w:r w:rsidR="00F17527">
        <w:t xml:space="preserve"> (once retrieved from the survey data collection tool)</w:t>
      </w:r>
      <w:r w:rsidR="00DD6585">
        <w:t>, audio recording files, and interview notes will be stored in a FISMA-compliant secure server only accessible by the research team.</w:t>
      </w:r>
    </w:p>
    <w:p w:rsidRPr="00412C6F" w:rsidR="009B633D" w:rsidP="00C518C2" w:rsidRDefault="009B633D" w14:paraId="39908A45" w14:textId="77777777">
      <w:pPr>
        <w:pStyle w:val="Heading2"/>
        <w:rPr>
          <w:sz w:val="24"/>
        </w:rPr>
      </w:pPr>
      <w:bookmarkStart w:name="_Toc151782186" w:id="36"/>
      <w:bookmarkStart w:name="_Toc158526226" w:id="37"/>
      <w:bookmarkStart w:name="_Toc36632027" w:id="38"/>
      <w:r w:rsidRPr="00412C6F">
        <w:rPr>
          <w:sz w:val="24"/>
        </w:rPr>
        <w:lastRenderedPageBreak/>
        <w:t>11. Questions of a Sensitive Nature</w:t>
      </w:r>
      <w:bookmarkEnd w:id="36"/>
      <w:bookmarkEnd w:id="37"/>
      <w:bookmarkEnd w:id="38"/>
    </w:p>
    <w:p w:rsidRPr="0033770D" w:rsidR="00B94F97" w:rsidP="00C518C2" w:rsidRDefault="00B94F97" w14:paraId="79154D82" w14:textId="64A8BAEB">
      <w:pPr>
        <w:spacing w:after="240"/>
        <w:rPr>
          <w:b/>
          <w:i/>
          <w:sz w:val="22"/>
        </w:rPr>
      </w:pPr>
      <w:r w:rsidRPr="00B410B6">
        <w:rPr>
          <w:color w:val="000000"/>
          <w:szCs w:val="27"/>
        </w:rPr>
        <w:t xml:space="preserve">Surveys and interview tools have been designed without the need to ask questions of a sensitive nature. </w:t>
      </w:r>
      <w:r w:rsidR="00F17527">
        <w:rPr>
          <w:color w:val="000000"/>
          <w:szCs w:val="27"/>
        </w:rPr>
        <w:t>However, each respondent will be permitted to decline to answer questions in both the survey and the interviews if he or she does not feel comfortable answering that question.</w:t>
      </w:r>
    </w:p>
    <w:p w:rsidRPr="00412C6F" w:rsidR="009B633D" w:rsidP="00B61C32" w:rsidRDefault="009B633D" w14:paraId="015777EE" w14:textId="77777777">
      <w:pPr>
        <w:pStyle w:val="Heading2"/>
        <w:keepLines/>
        <w:rPr>
          <w:sz w:val="24"/>
        </w:rPr>
      </w:pPr>
      <w:bookmarkStart w:name="_Toc151782187" w:id="39"/>
      <w:bookmarkStart w:name="_Toc158526227" w:id="40"/>
      <w:bookmarkStart w:name="_Toc36632028" w:id="41"/>
      <w:r w:rsidRPr="00412C6F">
        <w:rPr>
          <w:sz w:val="24"/>
        </w:rPr>
        <w:t>12. Estimates of Annualized Burden Hours and Costs</w:t>
      </w:r>
      <w:bookmarkEnd w:id="39"/>
      <w:bookmarkEnd w:id="40"/>
      <w:bookmarkEnd w:id="41"/>
    </w:p>
    <w:p w:rsidR="00AA788A" w:rsidP="00B61C32" w:rsidRDefault="00AA788A" w14:paraId="14B319DE" w14:textId="77777777">
      <w:pPr>
        <w:keepNext/>
        <w:keepLines/>
        <w:rPr>
          <w:rStyle w:val="Strong"/>
          <w:rFonts w:ascii="Arial" w:hAnsi="Arial" w:cs="Arial"/>
          <w:b w:val="0"/>
          <w:bCs w:val="0"/>
          <w:i/>
          <w:iCs/>
          <w:sz w:val="28"/>
          <w:szCs w:val="28"/>
        </w:rPr>
      </w:pPr>
    </w:p>
    <w:p w:rsidR="00414C80" w:rsidP="00B61C32" w:rsidRDefault="00414C80" w14:paraId="35F41CD3" w14:textId="22808791">
      <w:pPr>
        <w:keepNext/>
        <w:keepLines/>
      </w:pPr>
      <w:bookmarkStart w:name="OLE_LINK1" w:id="42"/>
      <w:bookmarkStart w:name="OLE_LINK2" w:id="43"/>
      <w:r>
        <w:rPr>
          <w:b/>
          <w:bCs/>
          <w:color w:val="000000"/>
        </w:rPr>
        <w:t>Exhibit 1. Estimate</w:t>
      </w:r>
      <w:r w:rsidR="00037998">
        <w:rPr>
          <w:b/>
          <w:bCs/>
          <w:color w:val="000000"/>
        </w:rPr>
        <w:t>d annualized burden hours</w:t>
      </w:r>
    </w:p>
    <w:tbl>
      <w:tblPr>
        <w:tblW w:w="8640" w:type="dxa"/>
        <w:tblInd w:w="-10" w:type="dxa"/>
        <w:tblCellMar>
          <w:left w:w="0" w:type="dxa"/>
          <w:right w:w="0" w:type="dxa"/>
        </w:tblCellMar>
        <w:tblLook w:val="0000" w:firstRow="0" w:lastRow="0" w:firstColumn="0" w:lastColumn="0" w:noHBand="0" w:noVBand="0"/>
      </w:tblPr>
      <w:tblGrid>
        <w:gridCol w:w="3420"/>
        <w:gridCol w:w="1739"/>
        <w:gridCol w:w="1439"/>
        <w:gridCol w:w="1079"/>
        <w:gridCol w:w="963"/>
      </w:tblGrid>
      <w:tr w:rsidR="00E97584" w:rsidTr="00421201" w14:paraId="49B5C573" w14:textId="77777777">
        <w:trPr>
          <w:cantSplit/>
          <w:tblHeader/>
        </w:trPr>
        <w:tc>
          <w:tcPr>
            <w:tcW w:w="34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FD45BA" w:rsidR="00E97584" w:rsidP="00B61C32" w:rsidRDefault="004C4A74" w14:paraId="71028B33" w14:textId="77777777">
            <w:pPr>
              <w:keepNext/>
              <w:keepLines/>
              <w:rPr>
                <w:b/>
              </w:rPr>
            </w:pPr>
            <w:r w:rsidRPr="00FD45BA">
              <w:rPr>
                <w:b/>
                <w:color w:val="000000"/>
              </w:rPr>
              <w:t>Form Name</w:t>
            </w:r>
          </w:p>
        </w:tc>
        <w:tc>
          <w:tcPr>
            <w:tcW w:w="17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FD45BA" w:rsidR="00E97584" w:rsidP="00B61C32" w:rsidRDefault="00015AAF" w14:paraId="09A3230F" w14:textId="77777777">
            <w:pPr>
              <w:keepNext/>
              <w:keepLines/>
              <w:rPr>
                <w:b/>
              </w:rPr>
            </w:pPr>
            <w:r w:rsidRPr="00FD45BA">
              <w:rPr>
                <w:b/>
                <w:color w:val="000000"/>
              </w:rPr>
              <w:t>Number of r</w:t>
            </w:r>
            <w:r w:rsidRPr="00FD45BA" w:rsidR="00E97584">
              <w:rPr>
                <w:b/>
                <w:color w:val="000000"/>
              </w:rPr>
              <w:t>espondents</w:t>
            </w:r>
          </w:p>
        </w:tc>
        <w:tc>
          <w:tcPr>
            <w:tcW w:w="14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FD45BA" w:rsidR="00E97584" w:rsidP="00B61C32" w:rsidRDefault="00E97584" w14:paraId="5284AFEB" w14:textId="77777777">
            <w:pPr>
              <w:keepNext/>
              <w:keepLines/>
              <w:rPr>
                <w:b/>
              </w:rPr>
            </w:pPr>
            <w:r w:rsidRPr="00FD45BA">
              <w:rPr>
                <w:b/>
              </w:rPr>
              <w:t>Number of responses per respondent</w:t>
            </w:r>
          </w:p>
        </w:tc>
        <w:tc>
          <w:tcPr>
            <w:tcW w:w="1079" w:type="dxa"/>
            <w:tcBorders>
              <w:top w:val="single" w:color="auto" w:sz="8" w:space="0"/>
              <w:left w:val="nil"/>
              <w:bottom w:val="single" w:color="auto" w:sz="8" w:space="0"/>
              <w:right w:val="single" w:color="auto" w:sz="8" w:space="0"/>
            </w:tcBorders>
          </w:tcPr>
          <w:p w:rsidRPr="00FD45BA" w:rsidR="00E97584" w:rsidP="00B61C32" w:rsidRDefault="00B238AD" w14:paraId="475DB06C" w14:textId="77777777">
            <w:pPr>
              <w:keepNext/>
              <w:keepLines/>
              <w:rPr>
                <w:b/>
              </w:rPr>
            </w:pPr>
            <w:r w:rsidRPr="00FD45BA">
              <w:rPr>
                <w:b/>
                <w:color w:val="000000"/>
              </w:rPr>
              <w:t>Hours per response</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FD45BA" w:rsidR="00E97584" w:rsidP="00B61C32" w:rsidRDefault="00015AAF" w14:paraId="70460835" w14:textId="77777777">
            <w:pPr>
              <w:keepNext/>
              <w:keepLines/>
              <w:rPr>
                <w:b/>
              </w:rPr>
            </w:pPr>
            <w:r w:rsidRPr="00FD45BA">
              <w:rPr>
                <w:b/>
                <w:color w:val="000000"/>
              </w:rPr>
              <w:t>Total b</w:t>
            </w:r>
            <w:r w:rsidRPr="00FD45BA" w:rsidR="00E97584">
              <w:rPr>
                <w:b/>
                <w:color w:val="000000"/>
              </w:rPr>
              <w:t>urden hours</w:t>
            </w:r>
          </w:p>
        </w:tc>
      </w:tr>
      <w:tr w:rsidR="00D45A14" w:rsidTr="00421201" w14:paraId="727F0FC5"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FD45BA" w:rsidR="00D45A14" w:rsidRDefault="00B37BC3" w14:paraId="0AF98D7C" w14:textId="706156F5">
            <w:r w:rsidRPr="00FD45BA">
              <w:t>Post-Use Survey with Providers</w:t>
            </w:r>
          </w:p>
        </w:tc>
        <w:tc>
          <w:tcPr>
            <w:tcW w:w="17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686448" w:rsidR="00D45A14" w:rsidRDefault="00B37BC3" w14:paraId="22B58725" w14:textId="1C4211BB">
            <w:r w:rsidRPr="00686448">
              <w:t>60</w:t>
            </w:r>
          </w:p>
        </w:tc>
        <w:tc>
          <w:tcPr>
            <w:tcW w:w="14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686448" w:rsidR="00D45A14" w:rsidRDefault="00B37BC3" w14:paraId="290E59A7" w14:textId="2DAEF0D3">
            <w:r w:rsidRPr="00686448">
              <w:t>1</w:t>
            </w:r>
          </w:p>
        </w:tc>
        <w:tc>
          <w:tcPr>
            <w:tcW w:w="1079" w:type="dxa"/>
            <w:tcBorders>
              <w:top w:val="nil"/>
              <w:left w:val="nil"/>
              <w:bottom w:val="single" w:color="auto" w:sz="8" w:space="0"/>
              <w:right w:val="single" w:color="auto" w:sz="8" w:space="0"/>
            </w:tcBorders>
          </w:tcPr>
          <w:p w:rsidRPr="00686448" w:rsidR="00D45A14" w:rsidRDefault="00F17527" w14:paraId="269232E3" w14:textId="4211176D">
            <w:r w:rsidRPr="00686448">
              <w:t>0.25</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686448" w:rsidR="00D45A14" w:rsidRDefault="00F17527" w14:paraId="51B6F26D" w14:textId="078A66C6">
            <w:r w:rsidRPr="00686448">
              <w:t>15</w:t>
            </w:r>
          </w:p>
        </w:tc>
      </w:tr>
      <w:tr w:rsidR="00D45A14" w:rsidTr="00421201" w14:paraId="27177D93"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FD45BA" w:rsidR="00D45A14" w:rsidRDefault="00B37BC3" w14:paraId="478A3290" w14:textId="2490833F">
            <w:r w:rsidRPr="00FD45BA">
              <w:t>Post-Use Survey with Patients</w:t>
            </w:r>
          </w:p>
        </w:tc>
        <w:tc>
          <w:tcPr>
            <w:tcW w:w="17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686448" w:rsidR="00D45A14" w:rsidRDefault="00B37BC3" w14:paraId="1BC2AA70" w14:textId="7D944FD5">
            <w:r w:rsidRPr="00686448">
              <w:t>150</w:t>
            </w:r>
          </w:p>
        </w:tc>
        <w:tc>
          <w:tcPr>
            <w:tcW w:w="14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686448" w:rsidR="00D45A14" w:rsidRDefault="00B37BC3" w14:paraId="1611424A" w14:textId="3DC799B6">
            <w:r w:rsidRPr="00686448">
              <w:t>1</w:t>
            </w:r>
          </w:p>
        </w:tc>
        <w:tc>
          <w:tcPr>
            <w:tcW w:w="1079" w:type="dxa"/>
            <w:tcBorders>
              <w:top w:val="nil"/>
              <w:left w:val="nil"/>
              <w:bottom w:val="single" w:color="auto" w:sz="8" w:space="0"/>
              <w:right w:val="single" w:color="auto" w:sz="8" w:space="0"/>
            </w:tcBorders>
          </w:tcPr>
          <w:p w:rsidRPr="00686448" w:rsidR="00D45A14" w:rsidRDefault="00F17527" w14:paraId="2F28BBD1" w14:textId="77BDFFF0">
            <w:r w:rsidRPr="00686448">
              <w:t>0.25</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686448" w:rsidR="00D45A14" w:rsidRDefault="00F17527" w14:paraId="48BA1DD6" w14:textId="1CA38E90">
            <w:r w:rsidRPr="00686448">
              <w:t>37.5</w:t>
            </w:r>
          </w:p>
        </w:tc>
      </w:tr>
      <w:tr w:rsidR="00D45A14" w:rsidTr="00421201" w14:paraId="202F0AA8"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FD45BA" w:rsidR="00D45A14" w:rsidRDefault="00B37BC3" w14:paraId="1EFAFA97" w14:textId="3B75DE86">
            <w:r w:rsidRPr="00FD45BA">
              <w:t>Post-Use Interview with Providers</w:t>
            </w:r>
          </w:p>
        </w:tc>
        <w:tc>
          <w:tcPr>
            <w:tcW w:w="17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686448" w:rsidR="00D45A14" w:rsidRDefault="00B37BC3" w14:paraId="1D6C3206" w14:textId="62EDF783">
            <w:r w:rsidRPr="00686448">
              <w:t>10</w:t>
            </w:r>
          </w:p>
        </w:tc>
        <w:tc>
          <w:tcPr>
            <w:tcW w:w="14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686448" w:rsidR="00D45A14" w:rsidRDefault="00B37BC3" w14:paraId="5AC7C860" w14:textId="098360EA">
            <w:r w:rsidRPr="00686448">
              <w:t>1</w:t>
            </w:r>
          </w:p>
        </w:tc>
        <w:tc>
          <w:tcPr>
            <w:tcW w:w="1079" w:type="dxa"/>
            <w:tcBorders>
              <w:top w:val="nil"/>
              <w:left w:val="nil"/>
              <w:bottom w:val="single" w:color="auto" w:sz="8" w:space="0"/>
              <w:right w:val="single" w:color="auto" w:sz="8" w:space="0"/>
            </w:tcBorders>
          </w:tcPr>
          <w:p w:rsidRPr="00686448" w:rsidR="00D45A14" w:rsidRDefault="00B37BC3" w14:paraId="3D5EED8E" w14:textId="1208F3AE">
            <w:r w:rsidRPr="00686448">
              <w:t>0.5</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686448" w:rsidR="00D45A14" w:rsidRDefault="00F17527" w14:paraId="7DCC42E3" w14:textId="49A0E38F">
            <w:r w:rsidRPr="00686448">
              <w:t>5</w:t>
            </w:r>
          </w:p>
        </w:tc>
      </w:tr>
      <w:tr w:rsidR="00B37BC3" w:rsidTr="00421201" w14:paraId="1271C92F"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FD45BA" w:rsidR="00B37BC3" w:rsidRDefault="00B37BC3" w14:paraId="4411ECB5" w14:textId="5741D4A7">
            <w:r w:rsidRPr="00FD45BA">
              <w:t>Post-Use Interview with Patients</w:t>
            </w:r>
          </w:p>
        </w:tc>
        <w:tc>
          <w:tcPr>
            <w:tcW w:w="17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686448" w:rsidR="00B37BC3" w:rsidRDefault="00B37BC3" w14:paraId="7EB2C6BF" w14:textId="70E48306">
            <w:r w:rsidRPr="00686448">
              <w:t>20</w:t>
            </w:r>
          </w:p>
        </w:tc>
        <w:tc>
          <w:tcPr>
            <w:tcW w:w="14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686448" w:rsidR="00B37BC3" w:rsidRDefault="00B37BC3" w14:paraId="2B7F9C47" w14:textId="10299B7F">
            <w:r w:rsidRPr="00686448">
              <w:t>1</w:t>
            </w:r>
          </w:p>
        </w:tc>
        <w:tc>
          <w:tcPr>
            <w:tcW w:w="1079" w:type="dxa"/>
            <w:tcBorders>
              <w:top w:val="nil"/>
              <w:left w:val="nil"/>
              <w:bottom w:val="single" w:color="auto" w:sz="8" w:space="0"/>
              <w:right w:val="single" w:color="auto" w:sz="8" w:space="0"/>
            </w:tcBorders>
          </w:tcPr>
          <w:p w:rsidRPr="00686448" w:rsidR="00B37BC3" w:rsidRDefault="00B37BC3" w14:paraId="599B1241" w14:textId="0870D539">
            <w:r w:rsidRPr="00686448">
              <w:t>0.5</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686448" w:rsidR="00B37BC3" w:rsidRDefault="00F17527" w14:paraId="2D1825E0" w14:textId="7FC4AC0E">
            <w:r w:rsidRPr="00686448">
              <w:t>10</w:t>
            </w:r>
          </w:p>
        </w:tc>
      </w:tr>
      <w:tr w:rsidRPr="00B37BC3" w:rsidR="00E97584" w:rsidTr="00421201" w14:paraId="434BAAF1"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FD45BA" w:rsidR="00E97584" w:rsidRDefault="00B37BC3" w14:paraId="356914BD" w14:textId="1F376C1C">
            <w:r w:rsidRPr="00FD45BA">
              <w:t>Post-Use Interview with Site Champions</w:t>
            </w:r>
          </w:p>
        </w:tc>
        <w:tc>
          <w:tcPr>
            <w:tcW w:w="17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E97584" w:rsidRDefault="00B37BC3" w14:paraId="1B4D6A5C" w14:textId="5216596E">
            <w:r w:rsidRPr="00FD45BA">
              <w:t>15</w:t>
            </w:r>
          </w:p>
        </w:tc>
        <w:tc>
          <w:tcPr>
            <w:tcW w:w="14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E97584" w:rsidRDefault="00B37BC3" w14:paraId="03F5FAC8" w14:textId="3E71C0D4">
            <w:r w:rsidRPr="00FD45BA">
              <w:t>1</w:t>
            </w:r>
          </w:p>
        </w:tc>
        <w:tc>
          <w:tcPr>
            <w:tcW w:w="1079" w:type="dxa"/>
            <w:tcBorders>
              <w:top w:val="nil"/>
              <w:left w:val="nil"/>
              <w:bottom w:val="single" w:color="auto" w:sz="8" w:space="0"/>
              <w:right w:val="single" w:color="auto" w:sz="8" w:space="0"/>
            </w:tcBorders>
          </w:tcPr>
          <w:p w:rsidRPr="00686448" w:rsidR="00E97584" w:rsidRDefault="00F17527" w14:paraId="0EA27658" w14:textId="7A3AA0AD">
            <w:r w:rsidRPr="00686448">
              <w:t>0.5</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FD45BA" w:rsidR="00E97584" w:rsidRDefault="00F17527" w14:paraId="09A2BD7A" w14:textId="121FB491">
            <w:r w:rsidRPr="00FD45BA">
              <w:t>7.5</w:t>
            </w:r>
          </w:p>
        </w:tc>
      </w:tr>
      <w:tr w:rsidR="00E97584" w:rsidTr="00421201" w14:paraId="4EBD6CD5"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686448" w:rsidR="00E97584" w:rsidRDefault="00E97584" w14:paraId="48E9AD2D" w14:textId="77777777">
            <w:r w:rsidRPr="00FD45BA">
              <w:rPr>
                <w:b/>
                <w:bCs/>
                <w:color w:val="000000"/>
              </w:rPr>
              <w:t>Total</w:t>
            </w:r>
          </w:p>
        </w:tc>
        <w:tc>
          <w:tcPr>
            <w:tcW w:w="17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E97584" w:rsidRDefault="00634ED1" w14:paraId="47A57814" w14:textId="6B4CBF29">
            <w:pPr>
              <w:rPr>
                <w:b/>
              </w:rPr>
            </w:pPr>
            <w:r>
              <w:rPr>
                <w:b/>
              </w:rPr>
              <w:t>255</w:t>
            </w:r>
          </w:p>
        </w:tc>
        <w:tc>
          <w:tcPr>
            <w:tcW w:w="143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E97584" w:rsidRDefault="00634ED1" w14:paraId="31FC8436" w14:textId="7A4E65B4">
            <w:pPr>
              <w:rPr>
                <w:b/>
              </w:rPr>
            </w:pPr>
            <w:r>
              <w:rPr>
                <w:b/>
              </w:rPr>
              <w:t>5</w:t>
            </w:r>
          </w:p>
        </w:tc>
        <w:tc>
          <w:tcPr>
            <w:tcW w:w="1079" w:type="dxa"/>
            <w:tcBorders>
              <w:top w:val="nil"/>
              <w:left w:val="nil"/>
              <w:bottom w:val="single" w:color="auto" w:sz="8" w:space="0"/>
              <w:right w:val="single" w:color="auto" w:sz="8" w:space="0"/>
            </w:tcBorders>
          </w:tcPr>
          <w:p w:rsidRPr="00FD45BA" w:rsidR="00E97584" w:rsidRDefault="00D57BAB" w14:paraId="3F68E981" w14:textId="275F01C4">
            <w:pPr>
              <w:rPr>
                <w:b/>
                <w:bCs/>
                <w:color w:val="000000"/>
              </w:rPr>
            </w:pPr>
            <w:r>
              <w:rPr>
                <w:b/>
                <w:bCs/>
                <w:color w:val="000000"/>
              </w:rPr>
              <w:t>2</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FD45BA" w:rsidR="00E97584" w:rsidRDefault="009E59F1" w14:paraId="36D2C431" w14:textId="02D37EE5">
            <w:pPr>
              <w:rPr>
                <w:b/>
              </w:rPr>
            </w:pPr>
            <w:r>
              <w:rPr>
                <w:b/>
              </w:rPr>
              <w:t>75</w:t>
            </w:r>
          </w:p>
        </w:tc>
      </w:tr>
      <w:bookmarkEnd w:id="42"/>
      <w:bookmarkEnd w:id="43"/>
    </w:tbl>
    <w:p w:rsidR="00FB63F7" w:rsidP="00C518C2" w:rsidRDefault="00FB63F7" w14:paraId="428AFD7F" w14:textId="0B690938"/>
    <w:p w:rsidR="00037998" w:rsidP="00421201" w:rsidRDefault="00037998" w14:paraId="0A126B46" w14:textId="57935EB1">
      <w:pPr>
        <w:keepNext/>
        <w:keepLines/>
        <w:rPr>
          <w:b/>
        </w:rPr>
      </w:pPr>
      <w:r w:rsidRPr="00037998">
        <w:rPr>
          <w:b/>
        </w:rPr>
        <w:t>Exhibit 2. Estimated annualized cost burden</w:t>
      </w:r>
    </w:p>
    <w:tbl>
      <w:tblPr>
        <w:tblW w:w="8640" w:type="dxa"/>
        <w:tblInd w:w="-10" w:type="dxa"/>
        <w:tblLayout w:type="fixed"/>
        <w:tblCellMar>
          <w:left w:w="0" w:type="dxa"/>
          <w:right w:w="0" w:type="dxa"/>
        </w:tblCellMar>
        <w:tblLook w:val="0000" w:firstRow="0" w:lastRow="0" w:firstColumn="0" w:lastColumn="0" w:noHBand="0" w:noVBand="0"/>
      </w:tblPr>
      <w:tblGrid>
        <w:gridCol w:w="3420"/>
        <w:gridCol w:w="1538"/>
        <w:gridCol w:w="982"/>
        <w:gridCol w:w="1463"/>
        <w:gridCol w:w="1237"/>
      </w:tblGrid>
      <w:tr w:rsidR="003C60BD" w:rsidTr="00421201" w14:paraId="2B03A3E0" w14:textId="77777777">
        <w:trPr>
          <w:cantSplit/>
          <w:tblHeader/>
        </w:trPr>
        <w:tc>
          <w:tcPr>
            <w:tcW w:w="34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FD45BA" w:rsidR="003C60BD" w:rsidP="00421201" w:rsidRDefault="004C4A74" w14:paraId="7FAA0902" w14:textId="77777777">
            <w:pPr>
              <w:keepNext/>
              <w:keepLines/>
              <w:rPr>
                <w:b/>
              </w:rPr>
            </w:pPr>
            <w:r w:rsidRPr="00FD45BA">
              <w:rPr>
                <w:b/>
                <w:color w:val="000000"/>
              </w:rPr>
              <w:t>Form Name</w:t>
            </w:r>
          </w:p>
        </w:tc>
        <w:tc>
          <w:tcPr>
            <w:tcW w:w="15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FD45BA" w:rsidR="003C60BD" w:rsidP="00421201" w:rsidRDefault="00015AAF" w14:paraId="392894DA" w14:textId="77777777">
            <w:pPr>
              <w:keepNext/>
              <w:keepLines/>
              <w:rPr>
                <w:b/>
              </w:rPr>
            </w:pPr>
            <w:r w:rsidRPr="00FD45BA">
              <w:rPr>
                <w:b/>
                <w:color w:val="000000"/>
              </w:rPr>
              <w:t>Number of r</w:t>
            </w:r>
            <w:r w:rsidRPr="00FD45BA" w:rsidR="003C60BD">
              <w:rPr>
                <w:b/>
                <w:color w:val="000000"/>
              </w:rPr>
              <w:t>espondents</w:t>
            </w:r>
          </w:p>
        </w:tc>
        <w:tc>
          <w:tcPr>
            <w:tcW w:w="9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FD45BA" w:rsidR="003C60BD" w:rsidP="00421201" w:rsidRDefault="00015AAF" w14:paraId="64E3443D" w14:textId="77777777">
            <w:pPr>
              <w:keepNext/>
              <w:keepLines/>
              <w:rPr>
                <w:b/>
              </w:rPr>
            </w:pPr>
            <w:r w:rsidRPr="00FD45BA">
              <w:rPr>
                <w:b/>
                <w:color w:val="000000"/>
              </w:rPr>
              <w:t>Total b</w:t>
            </w:r>
            <w:r w:rsidRPr="00FD45BA" w:rsidR="003C60BD">
              <w:rPr>
                <w:b/>
                <w:color w:val="000000"/>
              </w:rPr>
              <w:t>urden hours</w:t>
            </w:r>
          </w:p>
        </w:tc>
        <w:tc>
          <w:tcPr>
            <w:tcW w:w="14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FD45BA" w:rsidR="003C60BD" w:rsidP="00421201" w:rsidRDefault="00015AAF" w14:paraId="7DBDB837" w14:textId="77777777">
            <w:pPr>
              <w:keepNext/>
              <w:keepLines/>
              <w:rPr>
                <w:b/>
              </w:rPr>
            </w:pPr>
            <w:r w:rsidRPr="00FD45BA">
              <w:rPr>
                <w:b/>
                <w:color w:val="000000"/>
              </w:rPr>
              <w:t>Average hourly wage r</w:t>
            </w:r>
            <w:r w:rsidRPr="00FD45BA" w:rsidR="003C60BD">
              <w:rPr>
                <w:b/>
                <w:color w:val="000000"/>
              </w:rPr>
              <w:t>ate*</w:t>
            </w:r>
          </w:p>
        </w:tc>
        <w:tc>
          <w:tcPr>
            <w:tcW w:w="123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FD45BA" w:rsidR="003C60BD" w:rsidP="00421201" w:rsidRDefault="00F3207F" w14:paraId="725110EF" w14:textId="3899C27A">
            <w:pPr>
              <w:keepNext/>
              <w:keepLines/>
              <w:rPr>
                <w:b/>
              </w:rPr>
            </w:pPr>
            <w:r w:rsidRPr="00FD45BA">
              <w:rPr>
                <w:b/>
                <w:color w:val="000000"/>
              </w:rPr>
              <w:t xml:space="preserve">Total </w:t>
            </w:r>
            <w:r w:rsidRPr="00FD45BA" w:rsidR="00015AAF">
              <w:rPr>
                <w:b/>
                <w:color w:val="000000"/>
              </w:rPr>
              <w:t>cost b</w:t>
            </w:r>
            <w:r w:rsidRPr="00FD45BA" w:rsidR="003C60BD">
              <w:rPr>
                <w:b/>
                <w:color w:val="000000"/>
              </w:rPr>
              <w:t>urden</w:t>
            </w:r>
          </w:p>
        </w:tc>
      </w:tr>
      <w:tr w:rsidR="00910818" w:rsidTr="00421201" w14:paraId="1252A21C"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686448" w:rsidR="00910818" w:rsidRDefault="00910818" w14:paraId="55DF6F5C" w14:textId="6BC9B1F2">
            <w:bookmarkStart w:name="_Hlk34391262" w:id="44"/>
            <w:r w:rsidRPr="00FD45BA">
              <w:t>Post-Use Survey with P</w:t>
            </w:r>
            <w:r w:rsidR="00FD45BA">
              <w:t>roviders</w:t>
            </w:r>
          </w:p>
        </w:tc>
        <w:tc>
          <w:tcPr>
            <w:tcW w:w="153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RDefault="00910818" w14:paraId="77BFFA14" w14:textId="4D756DBE">
            <w:r w:rsidRPr="00FD45BA">
              <w:t>60</w:t>
            </w:r>
          </w:p>
        </w:tc>
        <w:tc>
          <w:tcPr>
            <w:tcW w:w="98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RDefault="00910818" w14:paraId="1AE9D36B" w14:textId="109550DE">
            <w:r w:rsidRPr="00686448">
              <w:t>15</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P="00321BF9" w:rsidRDefault="00910818" w14:paraId="176076FB" w14:textId="711AC53B">
            <w:r w:rsidRPr="00FD45BA">
              <w:t>$10</w:t>
            </w:r>
            <w:r w:rsidR="00321BF9">
              <w:t>2</w:t>
            </w:r>
            <w:r w:rsidRPr="00FD45BA">
              <w:t>.</w:t>
            </w:r>
            <w:r w:rsidR="00321BF9">
              <w:t>73</w:t>
            </w:r>
            <w:r w:rsidR="00321BF9">
              <w:rPr>
                <w:vertAlign w:val="superscript"/>
              </w:rPr>
              <w:t xml:space="preserve"> b</w:t>
            </w:r>
          </w:p>
        </w:tc>
        <w:tc>
          <w:tcPr>
            <w:tcW w:w="123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RDefault="002F3724" w14:paraId="6AC13D1E" w14:textId="2A4C3A0D">
            <w:r w:rsidRPr="00FD45BA">
              <w:t>$1</w:t>
            </w:r>
            <w:r w:rsidRPr="00FD45BA" w:rsidR="00853635">
              <w:t>,</w:t>
            </w:r>
            <w:r w:rsidR="00B87130">
              <w:t>540.95</w:t>
            </w:r>
          </w:p>
        </w:tc>
      </w:tr>
      <w:tr w:rsidR="00910818" w:rsidTr="00421201" w14:paraId="77C5641B"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686448" w:rsidR="00910818" w:rsidRDefault="00910818" w14:paraId="37E3969B" w14:textId="1A0F4152">
            <w:r w:rsidRPr="00FD45BA">
              <w:t>Post-Use Survey with Patients</w:t>
            </w:r>
          </w:p>
        </w:tc>
        <w:tc>
          <w:tcPr>
            <w:tcW w:w="153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RDefault="00910818" w14:paraId="31159B5D" w14:textId="2CFFFBAC">
            <w:r w:rsidRPr="00FD45BA">
              <w:t>150</w:t>
            </w:r>
          </w:p>
        </w:tc>
        <w:tc>
          <w:tcPr>
            <w:tcW w:w="98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RDefault="00910818" w14:paraId="24F61D92" w14:textId="4B4C0F8B">
            <w:r w:rsidRPr="00686448">
              <w:t>37.5</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P="00321BF9" w:rsidRDefault="00910818" w14:paraId="10D93B44" w14:textId="1657A3DD">
            <w:r w:rsidRPr="00FD45BA">
              <w:t>$2</w:t>
            </w:r>
            <w:r w:rsidR="00321BF9">
              <w:t>5</w:t>
            </w:r>
            <w:r w:rsidRPr="00FD45BA">
              <w:t>.</w:t>
            </w:r>
            <w:r w:rsidR="00321BF9">
              <w:t>72</w:t>
            </w:r>
            <w:r w:rsidRPr="00FD45BA">
              <w:rPr>
                <w:vertAlign w:val="superscript"/>
              </w:rPr>
              <w:t>a</w:t>
            </w:r>
          </w:p>
        </w:tc>
        <w:tc>
          <w:tcPr>
            <w:tcW w:w="123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2F3724" w:rsidRDefault="002F3724" w14:paraId="78C34F48" w14:textId="0E66F6F9">
            <w:r w:rsidRPr="00FD45BA">
              <w:t>$</w:t>
            </w:r>
            <w:r w:rsidR="00B87130">
              <w:t>964.50</w:t>
            </w:r>
          </w:p>
        </w:tc>
      </w:tr>
      <w:tr w:rsidR="00910818" w:rsidTr="00421201" w14:paraId="562814F5"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686448" w:rsidR="00910818" w:rsidRDefault="00910818" w14:paraId="6F05DD64" w14:textId="0A542EE1">
            <w:r w:rsidRPr="00FD45BA">
              <w:t>Post-Use Interview with P</w:t>
            </w:r>
            <w:r w:rsidR="00FD45BA">
              <w:t>roviders</w:t>
            </w:r>
          </w:p>
        </w:tc>
        <w:tc>
          <w:tcPr>
            <w:tcW w:w="153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RDefault="00910818" w14:paraId="4F0B26E2" w14:textId="7366D3AB">
            <w:r w:rsidRPr="00FD45BA">
              <w:t>10</w:t>
            </w:r>
          </w:p>
        </w:tc>
        <w:tc>
          <w:tcPr>
            <w:tcW w:w="98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RDefault="00910818" w14:paraId="79DF991E" w14:textId="3FFD187E">
            <w:r w:rsidRPr="00686448">
              <w:t>5</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P="00321BF9" w:rsidRDefault="00B87130" w14:paraId="12021F1E" w14:textId="15AABE15">
            <w:r w:rsidRPr="00FD45BA">
              <w:t>$10</w:t>
            </w:r>
            <w:r>
              <w:t>2</w:t>
            </w:r>
            <w:r w:rsidRPr="00FD45BA">
              <w:t>.</w:t>
            </w:r>
            <w:r>
              <w:t>73</w:t>
            </w:r>
            <w:r>
              <w:rPr>
                <w:vertAlign w:val="superscript"/>
              </w:rPr>
              <w:t xml:space="preserve"> b</w:t>
            </w:r>
          </w:p>
        </w:tc>
        <w:tc>
          <w:tcPr>
            <w:tcW w:w="123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RDefault="002F3724" w14:paraId="76708841" w14:textId="2CF83B7E">
            <w:r w:rsidRPr="00FD45BA">
              <w:t>$</w:t>
            </w:r>
            <w:r w:rsidR="00B87130">
              <w:t>513.65</w:t>
            </w:r>
          </w:p>
        </w:tc>
      </w:tr>
      <w:tr w:rsidR="00910818" w:rsidTr="00421201" w14:paraId="3E138A8F"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686448" w:rsidR="00910818" w:rsidRDefault="00910818" w14:paraId="48C5F30F" w14:textId="6222C3B1">
            <w:r w:rsidRPr="00FD45BA">
              <w:t>Post-Use Interview with Patients</w:t>
            </w:r>
          </w:p>
        </w:tc>
        <w:tc>
          <w:tcPr>
            <w:tcW w:w="153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RDefault="00910818" w14:paraId="6D0A65D5" w14:textId="4AD32D53">
            <w:r w:rsidRPr="00FD45BA">
              <w:t>20</w:t>
            </w:r>
          </w:p>
        </w:tc>
        <w:tc>
          <w:tcPr>
            <w:tcW w:w="98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RDefault="00910818" w14:paraId="42F195FD" w14:textId="6BA1812C">
            <w:r w:rsidRPr="00686448">
              <w:t>10</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RDefault="00B87130" w14:paraId="4913DD42" w14:textId="31355D8E">
            <w:r w:rsidRPr="00FD45BA">
              <w:t>$2</w:t>
            </w:r>
            <w:r>
              <w:t>5</w:t>
            </w:r>
            <w:r w:rsidRPr="00FD45BA">
              <w:t>.</w:t>
            </w:r>
            <w:r>
              <w:t>72</w:t>
            </w:r>
            <w:r w:rsidRPr="00FD45BA">
              <w:rPr>
                <w:vertAlign w:val="superscript"/>
              </w:rPr>
              <w:t>a</w:t>
            </w:r>
          </w:p>
        </w:tc>
        <w:tc>
          <w:tcPr>
            <w:tcW w:w="123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RDefault="00B87130" w14:paraId="1A1BF85B" w14:textId="2A9CAB26">
            <w:r>
              <w:t>$257.20</w:t>
            </w:r>
          </w:p>
        </w:tc>
      </w:tr>
      <w:tr w:rsidR="00910818" w:rsidTr="00421201" w14:paraId="6C328D0B"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686448" w:rsidR="00910818" w:rsidRDefault="00910818" w14:paraId="336B912D" w14:textId="6ABA3C28">
            <w:r w:rsidRPr="00FD45BA">
              <w:t>Post-Use Interview with Site Champions</w:t>
            </w:r>
          </w:p>
        </w:tc>
        <w:tc>
          <w:tcPr>
            <w:tcW w:w="153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RDefault="00910818" w14:paraId="40AD4C88" w14:textId="227E99B4">
            <w:r w:rsidRPr="00FD45BA">
              <w:t>15</w:t>
            </w:r>
          </w:p>
        </w:tc>
        <w:tc>
          <w:tcPr>
            <w:tcW w:w="98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RDefault="00910818" w14:paraId="535DC76F" w14:textId="2DE5684D">
            <w:r w:rsidRPr="00FD45BA">
              <w:t>7.5</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P="00321BF9" w:rsidRDefault="00910818" w14:paraId="4FB8D8D8" w14:textId="620F32A0">
            <w:pPr>
              <w:rPr>
                <w:vertAlign w:val="superscript"/>
              </w:rPr>
            </w:pPr>
            <w:r w:rsidRPr="00FD45BA">
              <w:t>$10</w:t>
            </w:r>
            <w:r w:rsidR="00321BF9">
              <w:t>2</w:t>
            </w:r>
            <w:r w:rsidRPr="00FD45BA">
              <w:t>.</w:t>
            </w:r>
            <w:r w:rsidR="00321BF9">
              <w:t>73</w:t>
            </w:r>
            <w:r w:rsidRPr="00FD45BA">
              <w:rPr>
                <w:vertAlign w:val="superscript"/>
              </w:rPr>
              <w:t xml:space="preserve"> </w:t>
            </w:r>
            <w:r w:rsidR="00321BF9">
              <w:rPr>
                <w:vertAlign w:val="superscript"/>
              </w:rPr>
              <w:t>b</w:t>
            </w:r>
            <w:r w:rsidRPr="00FD45BA" w:rsidDel="006D526A">
              <w:t xml:space="preserve"> </w:t>
            </w:r>
          </w:p>
        </w:tc>
        <w:tc>
          <w:tcPr>
            <w:tcW w:w="123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D45BA" w:rsidR="00910818" w:rsidRDefault="002F3724" w14:paraId="0163C96A" w14:textId="336ABEF8">
            <w:r w:rsidRPr="00FD45BA">
              <w:t>$</w:t>
            </w:r>
            <w:r w:rsidR="00B87130">
              <w:t>770.48</w:t>
            </w:r>
          </w:p>
        </w:tc>
      </w:tr>
      <w:bookmarkEnd w:id="44"/>
      <w:tr w:rsidR="00E01BF0" w:rsidTr="00421201" w14:paraId="3F4ADCF4"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E01BF0" w:rsidP="00E01BF0" w:rsidRDefault="00E01BF0" w14:paraId="6A59DF46" w14:textId="77777777">
            <w:r w:rsidRPr="00FD45BA">
              <w:rPr>
                <w:b/>
                <w:bCs/>
                <w:color w:val="000000"/>
              </w:rPr>
              <w:t>Total</w:t>
            </w:r>
          </w:p>
        </w:tc>
        <w:tc>
          <w:tcPr>
            <w:tcW w:w="15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5BA" w:rsidR="00E01BF0" w:rsidP="00E01BF0" w:rsidRDefault="00986797" w14:paraId="14D7649D" w14:textId="7ED0EC1B">
            <w:pPr>
              <w:rPr>
                <w:b/>
              </w:rPr>
            </w:pPr>
            <w:r>
              <w:rPr>
                <w:b/>
              </w:rPr>
              <w:t>255</w:t>
            </w:r>
          </w:p>
        </w:tc>
        <w:tc>
          <w:tcPr>
            <w:tcW w:w="9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5BA" w:rsidR="00E01BF0" w:rsidP="00E01BF0" w:rsidRDefault="00986797" w14:paraId="263B88E5" w14:textId="2FFEB56E">
            <w:pPr>
              <w:rPr>
                <w:b/>
              </w:rPr>
            </w:pPr>
            <w:r>
              <w:rPr>
                <w:b/>
              </w:rPr>
              <w:t>75</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5BA" w:rsidR="00E01BF0" w:rsidP="00E01BF0" w:rsidRDefault="00991CDF" w14:paraId="54FF72F6" w14:textId="1B94A117">
            <w:pPr>
              <w:rPr>
                <w:b/>
              </w:rPr>
            </w:pPr>
            <w:r w:rsidRPr="00FD45BA">
              <w:rPr>
                <w:b/>
              </w:rPr>
              <w:t>$</w:t>
            </w:r>
            <w:r w:rsidR="00B87130">
              <w:rPr>
                <w:b/>
              </w:rPr>
              <w:t>53.9</w:t>
            </w:r>
            <w:r w:rsidR="00A24EFB">
              <w:rPr>
                <w:b/>
              </w:rPr>
              <w:t>5</w:t>
            </w:r>
          </w:p>
        </w:tc>
        <w:tc>
          <w:tcPr>
            <w:tcW w:w="12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5BA" w:rsidR="00E01BF0" w:rsidP="00B87130" w:rsidRDefault="00991CDF" w14:paraId="66EA22ED" w14:textId="64F2BD69">
            <w:pPr>
              <w:rPr>
                <w:b/>
              </w:rPr>
            </w:pPr>
            <w:r w:rsidRPr="00FD45BA">
              <w:rPr>
                <w:b/>
              </w:rPr>
              <w:t>$</w:t>
            </w:r>
            <w:r w:rsidR="00B87130">
              <w:rPr>
                <w:b/>
              </w:rPr>
              <w:t>4</w:t>
            </w:r>
            <w:r w:rsidRPr="00FD45BA" w:rsidR="00D422B5">
              <w:rPr>
                <w:b/>
              </w:rPr>
              <w:t>,</w:t>
            </w:r>
            <w:r w:rsidR="00B87130">
              <w:rPr>
                <w:b/>
              </w:rPr>
              <w:t>046</w:t>
            </w:r>
            <w:r w:rsidRPr="00FD45BA">
              <w:rPr>
                <w:b/>
              </w:rPr>
              <w:t>.</w:t>
            </w:r>
            <w:r w:rsidR="00B87130">
              <w:rPr>
                <w:b/>
              </w:rPr>
              <w:t>78</w:t>
            </w:r>
          </w:p>
        </w:tc>
      </w:tr>
    </w:tbl>
    <w:p w:rsidRPr="005816D0" w:rsidR="003C60BD" w:rsidP="00C518C2" w:rsidRDefault="00520CE0" w14:paraId="360B43F9" w14:textId="606450BA">
      <w:pPr>
        <w:tabs>
          <w:tab w:val="left" w:pos="180"/>
        </w:tabs>
        <w:ind w:left="180" w:hanging="180"/>
        <w:rPr>
          <w:sz w:val="20"/>
          <w:szCs w:val="20"/>
        </w:rPr>
      </w:pPr>
      <w:r>
        <w:rPr>
          <w:color w:val="000000"/>
          <w:sz w:val="20"/>
          <w:szCs w:val="20"/>
        </w:rPr>
        <w:t>*</w:t>
      </w:r>
      <w:r w:rsidR="009B3622">
        <w:rPr>
          <w:color w:val="000000"/>
          <w:sz w:val="20"/>
          <w:szCs w:val="20"/>
        </w:rPr>
        <w:tab/>
      </w:r>
      <w:r w:rsidR="003C60BD">
        <w:rPr>
          <w:color w:val="000000"/>
          <w:sz w:val="20"/>
          <w:szCs w:val="20"/>
        </w:rPr>
        <w:t xml:space="preserve">National Compensation Survey: Occupational wages in the United States </w:t>
      </w:r>
      <w:r w:rsidR="00841047">
        <w:rPr>
          <w:color w:val="000000"/>
          <w:sz w:val="20"/>
          <w:szCs w:val="20"/>
        </w:rPr>
        <w:t>May 201</w:t>
      </w:r>
      <w:r w:rsidR="00321BF9">
        <w:rPr>
          <w:color w:val="000000"/>
          <w:sz w:val="20"/>
          <w:szCs w:val="20"/>
        </w:rPr>
        <w:t>9</w:t>
      </w:r>
      <w:r w:rsidR="003C60BD">
        <w:rPr>
          <w:color w:val="000000"/>
          <w:sz w:val="20"/>
          <w:szCs w:val="20"/>
        </w:rPr>
        <w:t xml:space="preserve">, “U.S. Department of Labor, </w:t>
      </w:r>
      <w:r w:rsidR="005816D0">
        <w:rPr>
          <w:color w:val="000000"/>
          <w:sz w:val="20"/>
          <w:szCs w:val="20"/>
        </w:rPr>
        <w:t>Bureau of Labor Statistics</w:t>
      </w:r>
      <w:r w:rsidRPr="005816D0" w:rsidR="003C60BD">
        <w:rPr>
          <w:color w:val="000000"/>
          <w:sz w:val="20"/>
          <w:szCs w:val="20"/>
        </w:rPr>
        <w:t>”</w:t>
      </w:r>
      <w:r w:rsidRPr="005816D0" w:rsidR="005816D0">
        <w:rPr>
          <w:color w:val="000000"/>
          <w:sz w:val="20"/>
          <w:szCs w:val="20"/>
        </w:rPr>
        <w:t xml:space="preserve">, </w:t>
      </w:r>
      <w:r w:rsidRPr="005816D0" w:rsidR="005816D0">
        <w:rPr>
          <w:sz w:val="20"/>
          <w:szCs w:val="20"/>
        </w:rPr>
        <w:t>https://www.bls.gov/oes/current/oes_nat.htm#b29-0000.htm</w:t>
      </w:r>
      <w:r w:rsidR="005816D0">
        <w:rPr>
          <w:sz w:val="20"/>
          <w:szCs w:val="20"/>
        </w:rPr>
        <w:t>.</w:t>
      </w:r>
    </w:p>
    <w:p w:rsidRPr="0019195E" w:rsidR="00037998" w:rsidP="00C518C2" w:rsidRDefault="009B3622" w14:paraId="693B7E4C" w14:textId="0AC27C9E">
      <w:pPr>
        <w:rPr>
          <w:i/>
          <w:color w:val="000000"/>
          <w:sz w:val="14"/>
          <w:szCs w:val="20"/>
        </w:rPr>
      </w:pPr>
      <w:r w:rsidRPr="00FD45BA">
        <w:rPr>
          <w:sz w:val="20"/>
          <w:szCs w:val="20"/>
          <w:vertAlign w:val="superscript"/>
        </w:rPr>
        <w:t>a</w:t>
      </w:r>
      <w:r w:rsidRPr="00FD45BA" w:rsidR="00DA02EA">
        <w:rPr>
          <w:b/>
          <w:sz w:val="20"/>
          <w:szCs w:val="20"/>
        </w:rPr>
        <w:t xml:space="preserve">  </w:t>
      </w:r>
      <w:r>
        <w:rPr>
          <w:color w:val="000000"/>
          <w:sz w:val="20"/>
          <w:szCs w:val="20"/>
        </w:rPr>
        <w:t xml:space="preserve">Based on the mean wages for </w:t>
      </w:r>
      <w:r w:rsidRPr="00991CDF" w:rsidR="00565A1F">
        <w:rPr>
          <w:i/>
          <w:color w:val="000000"/>
          <w:sz w:val="20"/>
          <w:szCs w:val="27"/>
        </w:rPr>
        <w:t>all occupations (00-0000)</w:t>
      </w:r>
    </w:p>
    <w:p w:rsidRPr="005816D0" w:rsidR="006D526A" w:rsidP="00C518C2" w:rsidRDefault="00321BF9" w14:paraId="7C015596" w14:textId="6F22442D">
      <w:pPr>
        <w:rPr>
          <w:color w:val="000000"/>
          <w:sz w:val="20"/>
          <w:szCs w:val="20"/>
        </w:rPr>
      </w:pPr>
      <w:r>
        <w:rPr>
          <w:color w:val="000000"/>
          <w:sz w:val="20"/>
          <w:szCs w:val="20"/>
          <w:vertAlign w:val="superscript"/>
        </w:rPr>
        <w:t>b</w:t>
      </w:r>
      <w:r w:rsidR="000C0DF4">
        <w:rPr>
          <w:color w:val="000000"/>
          <w:sz w:val="20"/>
          <w:szCs w:val="20"/>
        </w:rPr>
        <w:t xml:space="preserve">  Based on the mean wages for </w:t>
      </w:r>
      <w:r w:rsidR="00401990">
        <w:rPr>
          <w:i/>
          <w:color w:val="000000"/>
          <w:sz w:val="20"/>
          <w:szCs w:val="20"/>
        </w:rPr>
        <w:t>Family Medicine Physicians</w:t>
      </w:r>
      <w:r w:rsidRPr="007305EF" w:rsidDel="006D526A" w:rsidR="000C0DF4">
        <w:rPr>
          <w:i/>
          <w:color w:val="000000"/>
          <w:sz w:val="20"/>
          <w:szCs w:val="20"/>
        </w:rPr>
        <w:t xml:space="preserve"> </w:t>
      </w:r>
      <w:r w:rsidRPr="007305EF" w:rsidR="000C0DF4">
        <w:rPr>
          <w:i/>
          <w:color w:val="000000"/>
          <w:sz w:val="20"/>
          <w:szCs w:val="20"/>
        </w:rPr>
        <w:t>(</w:t>
      </w:r>
      <w:r w:rsidR="00401990">
        <w:rPr>
          <w:i/>
          <w:color w:val="000000"/>
          <w:sz w:val="20"/>
          <w:szCs w:val="20"/>
        </w:rPr>
        <w:t>29-1215</w:t>
      </w:r>
      <w:r w:rsidRPr="007305EF" w:rsidR="000C0DF4">
        <w:rPr>
          <w:i/>
          <w:color w:val="000000"/>
          <w:sz w:val="20"/>
          <w:szCs w:val="20"/>
        </w:rPr>
        <w:t>)</w:t>
      </w:r>
    </w:p>
    <w:p w:rsidRPr="00AD48EA" w:rsidR="009B633D" w:rsidP="0019195E" w:rsidRDefault="009B633D" w14:paraId="1CB5A1EC" w14:textId="77777777">
      <w:pPr>
        <w:pStyle w:val="Heading2"/>
      </w:pPr>
      <w:bookmarkStart w:name="_Toc151782188" w:id="45"/>
      <w:bookmarkStart w:name="_Toc158526228" w:id="46"/>
      <w:bookmarkStart w:name="_Toc36632029" w:id="47"/>
      <w:r w:rsidRPr="0019195E">
        <w:rPr>
          <w:sz w:val="24"/>
        </w:rPr>
        <w:t>13. Estimates of Annualized Respondent Capital and Maintenance Costs</w:t>
      </w:r>
      <w:bookmarkEnd w:id="45"/>
      <w:bookmarkEnd w:id="46"/>
      <w:bookmarkEnd w:id="47"/>
    </w:p>
    <w:p w:rsidR="00E14FC3" w:rsidP="00C518C2" w:rsidRDefault="00C205C8" w14:paraId="7F1199F8" w14:textId="3B74F753">
      <w:pPr>
        <w:spacing w:before="120"/>
      </w:pPr>
      <w:r>
        <w:t>T</w:t>
      </w:r>
      <w:r w:rsidR="0080612B">
        <w:t>here are no direct costs to respondents other than their time to participate in the study.</w:t>
      </w:r>
    </w:p>
    <w:p w:rsidRPr="00412C6F" w:rsidR="009B633D" w:rsidP="00FD45BA" w:rsidRDefault="009B633D" w14:paraId="447E7B23" w14:textId="77777777">
      <w:pPr>
        <w:pStyle w:val="Heading2"/>
        <w:keepLines/>
        <w:rPr>
          <w:sz w:val="24"/>
        </w:rPr>
      </w:pPr>
      <w:bookmarkStart w:name="_Toc58725299" w:id="48"/>
      <w:bookmarkStart w:name="_Toc151782189" w:id="49"/>
      <w:bookmarkStart w:name="_Toc158526229" w:id="50"/>
      <w:bookmarkStart w:name="_Toc36632030" w:id="51"/>
      <w:r w:rsidRPr="00412C6F">
        <w:rPr>
          <w:sz w:val="24"/>
        </w:rPr>
        <w:lastRenderedPageBreak/>
        <w:t xml:space="preserve">14. Estimates of </w:t>
      </w:r>
      <w:r w:rsidR="00DA79B5">
        <w:rPr>
          <w:sz w:val="24"/>
        </w:rPr>
        <w:t xml:space="preserve">Total and </w:t>
      </w:r>
      <w:r w:rsidRPr="00412C6F">
        <w:rPr>
          <w:sz w:val="24"/>
        </w:rPr>
        <w:t>Annualized Cost to the Government</w:t>
      </w:r>
      <w:bookmarkEnd w:id="48"/>
      <w:bookmarkEnd w:id="49"/>
      <w:bookmarkEnd w:id="50"/>
      <w:bookmarkEnd w:id="51"/>
    </w:p>
    <w:p w:rsidR="00012FB9" w:rsidP="00FD45BA" w:rsidRDefault="00012FB9" w14:paraId="39CEE89B" w14:textId="62337BB5">
      <w:pPr>
        <w:keepNext/>
        <w:keepLines/>
      </w:pPr>
      <w:bookmarkStart w:name="_Toc151782190" w:id="52"/>
      <w:bookmarkStart w:name="_Toc158526230" w:id="53"/>
      <w:r>
        <w:rPr>
          <w:b/>
          <w:bCs/>
          <w:color w:val="000000"/>
        </w:rPr>
        <w:t>Exhibit 3</w:t>
      </w:r>
      <w:r w:rsidR="00DA79B5">
        <w:rPr>
          <w:b/>
          <w:bCs/>
          <w:color w:val="000000"/>
        </w:rPr>
        <w:t>a</w:t>
      </w:r>
      <w:r>
        <w:rPr>
          <w:b/>
          <w:bCs/>
          <w:color w:val="000000"/>
        </w:rPr>
        <w:t>. Estimated</w:t>
      </w:r>
      <w:r w:rsidR="00FD1D9C">
        <w:rPr>
          <w:b/>
          <w:bCs/>
          <w:color w:val="000000"/>
        </w:rPr>
        <w:t xml:space="preserve"> Total and Annualized</w:t>
      </w:r>
      <w:r>
        <w:rPr>
          <w:b/>
          <w:bCs/>
          <w:color w:val="000000"/>
        </w:rPr>
        <w:t xml:space="preserve"> Cost</w:t>
      </w:r>
    </w:p>
    <w:tbl>
      <w:tblPr>
        <w:tblW w:w="5000" w:type="pct"/>
        <w:tblCellMar>
          <w:left w:w="0" w:type="dxa"/>
          <w:right w:w="0" w:type="dxa"/>
        </w:tblCellMar>
        <w:tblLook w:val="0000" w:firstRow="0" w:lastRow="0" w:firstColumn="0" w:lastColumn="0" w:noHBand="0" w:noVBand="0"/>
      </w:tblPr>
      <w:tblGrid>
        <w:gridCol w:w="4324"/>
        <w:gridCol w:w="1917"/>
        <w:gridCol w:w="2379"/>
      </w:tblGrid>
      <w:tr w:rsidR="00012FB9" w:rsidTr="00B61C32" w14:paraId="7C9739F6" w14:textId="77777777">
        <w:trPr>
          <w:cantSplit/>
          <w:tblHeader/>
        </w:trPr>
        <w:tc>
          <w:tcPr>
            <w:tcW w:w="250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686448" w:rsidR="00012FB9" w:rsidP="00FD45BA" w:rsidRDefault="00012FB9" w14:paraId="51BE5CBF" w14:textId="1D85E2D4">
            <w:pPr>
              <w:keepNext/>
              <w:keepLines/>
              <w:rPr>
                <w:b/>
              </w:rPr>
            </w:pPr>
            <w:r w:rsidRPr="00686448">
              <w:rPr>
                <w:b/>
                <w:color w:val="000000"/>
              </w:rPr>
              <w:t>Cost Component</w:t>
            </w:r>
          </w:p>
        </w:tc>
        <w:tc>
          <w:tcPr>
            <w:tcW w:w="111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012FB9" w:rsidP="00FD45BA" w:rsidRDefault="00012FB9" w14:paraId="0EF8EE72" w14:textId="77777777">
            <w:pPr>
              <w:keepNext/>
              <w:keepLines/>
              <w:rPr>
                <w:b/>
              </w:rPr>
            </w:pPr>
            <w:r w:rsidRPr="00686448">
              <w:rPr>
                <w:b/>
              </w:rPr>
              <w:t>Total Cost</w:t>
            </w:r>
          </w:p>
        </w:tc>
        <w:tc>
          <w:tcPr>
            <w:tcW w:w="1380"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012FB9" w:rsidP="00FD45BA" w:rsidRDefault="00012FB9" w14:paraId="7EE043D5" w14:textId="77777777">
            <w:pPr>
              <w:keepNext/>
              <w:keepLines/>
              <w:rPr>
                <w:b/>
              </w:rPr>
            </w:pPr>
            <w:r w:rsidRPr="00686448">
              <w:rPr>
                <w:b/>
              </w:rPr>
              <w:t>Annualized Cost</w:t>
            </w:r>
          </w:p>
        </w:tc>
      </w:tr>
      <w:tr w:rsidR="0019195E" w:rsidTr="00B61C32" w14:paraId="3CC147CD" w14:textId="77777777">
        <w:tc>
          <w:tcPr>
            <w:tcW w:w="250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FD45BA" w:rsidRDefault="0019195E" w14:paraId="50978EAC" w14:textId="77777777">
            <w:pPr>
              <w:keepNext/>
              <w:keepLines/>
            </w:pPr>
            <w:r w:rsidRPr="00686448">
              <w:t>Project Development</w:t>
            </w:r>
          </w:p>
        </w:tc>
        <w:tc>
          <w:tcPr>
            <w:tcW w:w="11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FD45BA" w:rsidRDefault="0019195E" w14:paraId="61494382" w14:textId="5A7AEB65">
            <w:pPr>
              <w:keepNext/>
              <w:keepLines/>
            </w:pPr>
            <w:r w:rsidRPr="00686448">
              <w:t>$1,641,964.99</w:t>
            </w:r>
          </w:p>
        </w:tc>
        <w:tc>
          <w:tcPr>
            <w:tcW w:w="138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FD45BA" w:rsidRDefault="0019195E" w14:paraId="52AFC910" w14:textId="38A55ED4">
            <w:pPr>
              <w:keepNext/>
              <w:keepLines/>
            </w:pPr>
            <w:r w:rsidRPr="00686448">
              <w:t>$820,982.50</w:t>
            </w:r>
          </w:p>
        </w:tc>
      </w:tr>
      <w:tr w:rsidR="0019195E" w:rsidTr="00B61C32" w14:paraId="237FE18A" w14:textId="77777777">
        <w:tc>
          <w:tcPr>
            <w:tcW w:w="250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19195E" w:rsidRDefault="0019195E" w14:paraId="5DEC46E8" w14:textId="77777777">
            <w:r w:rsidRPr="00686448">
              <w:t>Data Collection Activities</w:t>
            </w:r>
          </w:p>
        </w:tc>
        <w:tc>
          <w:tcPr>
            <w:tcW w:w="11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19195E" w:rsidRDefault="0019195E" w14:paraId="4C691E67" w14:textId="3B33BC63">
            <w:r w:rsidRPr="00686448">
              <w:t>$255,339.66</w:t>
            </w:r>
          </w:p>
        </w:tc>
        <w:tc>
          <w:tcPr>
            <w:tcW w:w="138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19195E" w:rsidRDefault="0019195E" w14:paraId="77C03360" w14:textId="4ACF05D8">
            <w:r w:rsidRPr="00686448">
              <w:t>$127,669.83</w:t>
            </w:r>
          </w:p>
        </w:tc>
      </w:tr>
      <w:tr w:rsidR="0019195E" w:rsidTr="00B61C32" w14:paraId="4F1CDD2A" w14:textId="77777777">
        <w:tc>
          <w:tcPr>
            <w:tcW w:w="250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19195E" w:rsidRDefault="0019195E" w14:paraId="7BFC21C1" w14:textId="77777777">
            <w:r w:rsidRPr="00686448">
              <w:t>Data Processing and Analysis</w:t>
            </w:r>
          </w:p>
        </w:tc>
        <w:tc>
          <w:tcPr>
            <w:tcW w:w="11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19195E" w:rsidRDefault="0019195E" w14:paraId="12A7D2EA" w14:textId="03200E2F">
            <w:r w:rsidRPr="00686448">
              <w:t>$386,732.46</w:t>
            </w:r>
          </w:p>
        </w:tc>
        <w:tc>
          <w:tcPr>
            <w:tcW w:w="138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19195E" w:rsidRDefault="0019195E" w14:paraId="4B5320C4" w14:textId="7FCCC4F6">
            <w:r w:rsidRPr="00686448">
              <w:t>$193,366.23</w:t>
            </w:r>
          </w:p>
        </w:tc>
      </w:tr>
      <w:tr w:rsidR="0019195E" w:rsidTr="00B61C32" w14:paraId="6DA332F8" w14:textId="77777777">
        <w:tc>
          <w:tcPr>
            <w:tcW w:w="250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19195E" w:rsidRDefault="0019195E" w14:paraId="215D658F" w14:textId="77777777">
            <w:r w:rsidRPr="00686448">
              <w:t>Publication of Results</w:t>
            </w:r>
          </w:p>
        </w:tc>
        <w:tc>
          <w:tcPr>
            <w:tcW w:w="11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19195E" w:rsidRDefault="0019195E" w14:paraId="170DD580" w14:textId="6DAD11CB">
            <w:r w:rsidRPr="00686448">
              <w:t>$291,088.66</w:t>
            </w:r>
          </w:p>
        </w:tc>
        <w:tc>
          <w:tcPr>
            <w:tcW w:w="138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19195E" w:rsidRDefault="0019195E" w14:paraId="08C44BF9" w14:textId="23909667">
            <w:r w:rsidRPr="00686448">
              <w:t>$145,544.33</w:t>
            </w:r>
          </w:p>
        </w:tc>
      </w:tr>
      <w:tr w:rsidR="0019195E" w:rsidTr="00B61C32" w14:paraId="7A5F551C" w14:textId="77777777">
        <w:tc>
          <w:tcPr>
            <w:tcW w:w="250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19195E" w:rsidRDefault="0019195E" w14:paraId="28E7580B" w14:textId="77777777">
            <w:r w:rsidRPr="00686448">
              <w:t>Project Management</w:t>
            </w:r>
          </w:p>
        </w:tc>
        <w:tc>
          <w:tcPr>
            <w:tcW w:w="11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19195E" w:rsidRDefault="0019195E" w14:paraId="4E2972E4" w14:textId="7CE6B86B">
            <w:r w:rsidRPr="00686448">
              <w:t>$266,987.56</w:t>
            </w:r>
          </w:p>
        </w:tc>
        <w:tc>
          <w:tcPr>
            <w:tcW w:w="138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19195E" w:rsidRDefault="0019195E" w14:paraId="272966F4" w14:textId="3A3DDA41">
            <w:r w:rsidRPr="00686448">
              <w:t>$133,493.78</w:t>
            </w:r>
          </w:p>
        </w:tc>
      </w:tr>
      <w:tr w:rsidR="0019195E" w:rsidTr="00B61C32" w14:paraId="6A9EE5BB" w14:textId="77777777">
        <w:tc>
          <w:tcPr>
            <w:tcW w:w="250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19195E" w:rsidRDefault="0019195E" w14:paraId="36511566" w14:textId="77777777">
            <w:r w:rsidRPr="00686448">
              <w:t>Overhead</w:t>
            </w:r>
          </w:p>
        </w:tc>
        <w:tc>
          <w:tcPr>
            <w:tcW w:w="11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19195E" w:rsidRDefault="0019195E" w14:paraId="5FAEB834" w14:textId="71EAD357">
            <w:r w:rsidRPr="00686448">
              <w:t>$934,134.78</w:t>
            </w:r>
          </w:p>
        </w:tc>
        <w:tc>
          <w:tcPr>
            <w:tcW w:w="138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19195E" w:rsidRDefault="0019195E" w14:paraId="4CDD8E0A" w14:textId="58BAA7BE">
            <w:r w:rsidRPr="00686448">
              <w:t>$467,067.39</w:t>
            </w:r>
          </w:p>
        </w:tc>
      </w:tr>
      <w:tr w:rsidR="0019195E" w:rsidTr="00B61C32" w14:paraId="44650176" w14:textId="77777777">
        <w:tc>
          <w:tcPr>
            <w:tcW w:w="250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86448" w:rsidR="0019195E" w:rsidP="0019195E" w:rsidRDefault="0019195E" w14:paraId="6CE01770" w14:textId="77777777">
            <w:r w:rsidRPr="00686448">
              <w:rPr>
                <w:b/>
                <w:bCs/>
                <w:color w:val="000000"/>
              </w:rPr>
              <w:t>Total</w:t>
            </w:r>
          </w:p>
        </w:tc>
        <w:tc>
          <w:tcPr>
            <w:tcW w:w="11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5BA" w:rsidR="0019195E" w:rsidP="0019195E" w:rsidRDefault="0019195E" w14:paraId="6BF02217" w14:textId="0BC1F6AC">
            <w:pPr>
              <w:rPr>
                <w:b/>
              </w:rPr>
            </w:pPr>
            <w:r w:rsidRPr="00FD45BA">
              <w:rPr>
                <w:b/>
              </w:rPr>
              <w:t>$3,776,248.11</w:t>
            </w:r>
          </w:p>
        </w:tc>
        <w:tc>
          <w:tcPr>
            <w:tcW w:w="138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5BA" w:rsidR="0019195E" w:rsidP="0019195E" w:rsidRDefault="0019195E" w14:paraId="7658B6AD" w14:textId="2B20E560">
            <w:pPr>
              <w:rPr>
                <w:b/>
              </w:rPr>
            </w:pPr>
            <w:r w:rsidRPr="00FD45BA">
              <w:rPr>
                <w:b/>
              </w:rPr>
              <w:t>$1,888,124.06</w:t>
            </w:r>
          </w:p>
        </w:tc>
      </w:tr>
    </w:tbl>
    <w:p w:rsidR="008A3364" w:rsidP="00FD45BA" w:rsidRDefault="008A3364" w14:paraId="39B95FFC" w14:textId="77777777"/>
    <w:p w:rsidRPr="00DA79B5" w:rsidR="00D20C47" w:rsidP="00C518C2" w:rsidRDefault="00D20C47" w14:paraId="7ED3C0F1" w14:textId="416E2620">
      <w:pPr>
        <w:ind w:firstLine="90"/>
        <w:rPr>
          <w:b/>
        </w:rPr>
      </w:pPr>
      <w:r w:rsidRPr="00DA79B5">
        <w:rPr>
          <w:b/>
        </w:rPr>
        <w:t>Exhibit 3b. Federal Government Personnel Cost</w:t>
      </w:r>
    </w:p>
    <w:tbl>
      <w:tblPr>
        <w:tblW w:w="8902" w:type="dxa"/>
        <w:jc w:val="center"/>
        <w:tblLayout w:type="fixed"/>
        <w:tblCellMar>
          <w:left w:w="100" w:type="dxa"/>
          <w:right w:w="100" w:type="dxa"/>
        </w:tblCellMar>
        <w:tblLook w:val="04A0" w:firstRow="1" w:lastRow="0" w:firstColumn="1" w:lastColumn="0" w:noHBand="0" w:noVBand="1"/>
      </w:tblPr>
      <w:tblGrid>
        <w:gridCol w:w="2781"/>
        <w:gridCol w:w="2250"/>
        <w:gridCol w:w="1081"/>
        <w:gridCol w:w="1620"/>
        <w:gridCol w:w="1170"/>
      </w:tblGrid>
      <w:tr w:rsidRPr="00DA79B5" w:rsidR="00D20C47" w:rsidTr="000A29DC" w14:paraId="2E05A75E" w14:textId="77777777">
        <w:trPr>
          <w:cantSplit/>
          <w:trHeight w:val="403"/>
          <w:jc w:val="center"/>
        </w:trPr>
        <w:tc>
          <w:tcPr>
            <w:tcW w:w="2781" w:type="dxa"/>
            <w:tcBorders>
              <w:top w:val="single" w:color="auto" w:sz="6" w:space="0"/>
              <w:left w:val="single" w:color="auto" w:sz="6" w:space="0"/>
              <w:bottom w:val="nil"/>
              <w:right w:val="nil"/>
            </w:tcBorders>
            <w:vAlign w:val="bottom"/>
          </w:tcPr>
          <w:p w:rsidRPr="00DA79B5" w:rsidR="00D20C47" w:rsidP="00C518C2" w:rsidRDefault="00D20C47" w14:paraId="1C9DEAF1" w14:textId="77777777">
            <w:pPr>
              <w:rPr>
                <w:b/>
                <w:bCs/>
              </w:rPr>
            </w:pPr>
            <w:r w:rsidRPr="00DA79B5">
              <w:rPr>
                <w:b/>
                <w:bCs/>
              </w:rPr>
              <w:t>Activity</w:t>
            </w:r>
          </w:p>
        </w:tc>
        <w:tc>
          <w:tcPr>
            <w:tcW w:w="2250" w:type="dxa"/>
            <w:tcBorders>
              <w:top w:val="single" w:color="auto" w:sz="6" w:space="0"/>
              <w:left w:val="single" w:color="auto" w:sz="6" w:space="0"/>
              <w:bottom w:val="single" w:color="auto" w:sz="6" w:space="0"/>
              <w:right w:val="nil"/>
            </w:tcBorders>
            <w:vAlign w:val="bottom"/>
          </w:tcPr>
          <w:p w:rsidRPr="00DA79B5" w:rsidR="00D20C47" w:rsidP="00C518C2" w:rsidRDefault="00D20C47" w14:paraId="714AF019" w14:textId="77777777">
            <w:pPr>
              <w:rPr>
                <w:b/>
                <w:bCs/>
              </w:rPr>
            </w:pPr>
            <w:r w:rsidRPr="00DA79B5">
              <w:rPr>
                <w:b/>
                <w:bCs/>
              </w:rPr>
              <w:t>Federal Personnel</w:t>
            </w:r>
          </w:p>
        </w:tc>
        <w:tc>
          <w:tcPr>
            <w:tcW w:w="1081" w:type="dxa"/>
            <w:tcBorders>
              <w:top w:val="single" w:color="auto" w:sz="6" w:space="0"/>
              <w:left w:val="single" w:color="auto" w:sz="6" w:space="0"/>
              <w:bottom w:val="single" w:color="auto" w:sz="6" w:space="0"/>
              <w:right w:val="single" w:color="auto" w:sz="6" w:space="0"/>
            </w:tcBorders>
            <w:vAlign w:val="bottom"/>
          </w:tcPr>
          <w:p w:rsidRPr="00DA79B5" w:rsidR="00D20C47" w:rsidP="00C518C2" w:rsidRDefault="00D20C47" w14:paraId="62E9D309" w14:textId="77777777">
            <w:pPr>
              <w:rPr>
                <w:b/>
                <w:bCs/>
              </w:rPr>
            </w:pPr>
            <w:r w:rsidRPr="00DA79B5">
              <w:rPr>
                <w:b/>
                <w:bCs/>
              </w:rPr>
              <w:t>Hourly Rate</w:t>
            </w:r>
          </w:p>
        </w:tc>
        <w:tc>
          <w:tcPr>
            <w:tcW w:w="1620" w:type="dxa"/>
            <w:tcBorders>
              <w:top w:val="single" w:color="auto" w:sz="6" w:space="0"/>
              <w:left w:val="single" w:color="auto" w:sz="6" w:space="0"/>
              <w:bottom w:val="single" w:color="auto" w:sz="6" w:space="0"/>
              <w:right w:val="nil"/>
            </w:tcBorders>
            <w:vAlign w:val="bottom"/>
          </w:tcPr>
          <w:p w:rsidRPr="00DA79B5" w:rsidR="00D20C47" w:rsidP="00C518C2" w:rsidRDefault="00D20C47" w14:paraId="3F51E619" w14:textId="77777777">
            <w:pPr>
              <w:rPr>
                <w:b/>
                <w:bCs/>
              </w:rPr>
            </w:pPr>
            <w:r w:rsidRPr="00DA79B5">
              <w:rPr>
                <w:b/>
                <w:bCs/>
              </w:rPr>
              <w:t>Estimated Hours</w:t>
            </w:r>
          </w:p>
        </w:tc>
        <w:tc>
          <w:tcPr>
            <w:tcW w:w="1170" w:type="dxa"/>
            <w:tcBorders>
              <w:top w:val="single" w:color="auto" w:sz="6" w:space="0"/>
              <w:left w:val="single" w:color="auto" w:sz="6" w:space="0"/>
              <w:bottom w:val="single" w:color="auto" w:sz="6" w:space="0"/>
              <w:right w:val="single" w:color="auto" w:sz="6" w:space="0"/>
            </w:tcBorders>
            <w:vAlign w:val="bottom"/>
          </w:tcPr>
          <w:p w:rsidRPr="00DA79B5" w:rsidR="00D20C47" w:rsidP="00C518C2" w:rsidRDefault="00D20C47" w14:paraId="43F52127" w14:textId="77777777">
            <w:pPr>
              <w:rPr>
                <w:b/>
                <w:bCs/>
              </w:rPr>
            </w:pPr>
            <w:r w:rsidRPr="00DA79B5">
              <w:rPr>
                <w:b/>
                <w:bCs/>
              </w:rPr>
              <w:t>Cost</w:t>
            </w:r>
          </w:p>
        </w:tc>
      </w:tr>
      <w:tr w:rsidRPr="00DA79B5" w:rsidR="00D20C47" w:rsidTr="000A29DC" w14:paraId="42582FB0" w14:textId="77777777">
        <w:trPr>
          <w:cantSplit/>
          <w:trHeight w:val="403"/>
          <w:jc w:val="center"/>
        </w:trPr>
        <w:tc>
          <w:tcPr>
            <w:tcW w:w="2781" w:type="dxa"/>
            <w:tcBorders>
              <w:top w:val="single" w:color="auto" w:sz="6" w:space="0"/>
              <w:left w:val="single" w:color="auto" w:sz="6" w:space="0"/>
              <w:bottom w:val="nil"/>
              <w:right w:val="nil"/>
            </w:tcBorders>
            <w:vAlign w:val="bottom"/>
          </w:tcPr>
          <w:p w:rsidRPr="00DA79B5" w:rsidR="00D20C47" w:rsidP="00C518C2" w:rsidRDefault="00D20C47" w14:paraId="29F27E97" w14:textId="77777777">
            <w:r w:rsidRPr="00DA79B5">
              <w:t>Data Collection Oversight</w:t>
            </w:r>
          </w:p>
        </w:tc>
        <w:tc>
          <w:tcPr>
            <w:tcW w:w="2250" w:type="dxa"/>
            <w:tcBorders>
              <w:top w:val="single" w:color="auto" w:sz="6" w:space="0"/>
              <w:left w:val="single" w:color="auto" w:sz="6" w:space="0"/>
              <w:bottom w:val="single" w:color="auto" w:sz="6" w:space="0"/>
              <w:right w:val="nil"/>
            </w:tcBorders>
          </w:tcPr>
          <w:p w:rsidR="00D20C47" w:rsidP="00C518C2" w:rsidRDefault="00B95738" w14:paraId="2ADAA308" w14:textId="2F5A1CF3">
            <w:r>
              <w:t>Grade 15 Step 5</w:t>
            </w:r>
          </w:p>
          <w:p w:rsidRPr="00DA79B5" w:rsidR="00B95738" w:rsidP="00C518C2" w:rsidRDefault="00B95738" w14:paraId="56EF3E98" w14:textId="4357C437">
            <w:r>
              <w:t>Grade 14 Step 4</w:t>
            </w:r>
          </w:p>
        </w:tc>
        <w:tc>
          <w:tcPr>
            <w:tcW w:w="1081" w:type="dxa"/>
            <w:tcBorders>
              <w:top w:val="single" w:color="auto" w:sz="6" w:space="0"/>
              <w:left w:val="single" w:color="auto" w:sz="6" w:space="0"/>
              <w:bottom w:val="single" w:color="auto" w:sz="6" w:space="0"/>
              <w:right w:val="single" w:color="auto" w:sz="6" w:space="0"/>
            </w:tcBorders>
            <w:vAlign w:val="bottom"/>
          </w:tcPr>
          <w:p w:rsidR="00D20C47" w:rsidP="00C518C2" w:rsidRDefault="00B95738" w14:paraId="4E0F580D" w14:textId="61BD1081">
            <w:r>
              <w:t>$77.49</w:t>
            </w:r>
          </w:p>
          <w:p w:rsidRPr="00DA79B5" w:rsidR="00B95738" w:rsidP="00C518C2" w:rsidRDefault="00B95738" w14:paraId="334141F5" w14:textId="03443E1E">
            <w:r>
              <w:t>$58.13</w:t>
            </w:r>
          </w:p>
        </w:tc>
        <w:tc>
          <w:tcPr>
            <w:tcW w:w="1620" w:type="dxa"/>
            <w:tcBorders>
              <w:top w:val="single" w:color="auto" w:sz="6" w:space="0"/>
              <w:left w:val="single" w:color="auto" w:sz="6" w:space="0"/>
              <w:bottom w:val="single" w:color="auto" w:sz="6" w:space="0"/>
              <w:right w:val="nil"/>
            </w:tcBorders>
            <w:vAlign w:val="bottom"/>
          </w:tcPr>
          <w:p w:rsidR="00D20C47" w:rsidP="00C518C2" w:rsidRDefault="00B95738" w14:paraId="7307FC6E" w14:textId="5FA913F4">
            <w:r>
              <w:t>25</w:t>
            </w:r>
          </w:p>
          <w:p w:rsidRPr="00DA79B5" w:rsidR="00B95738" w:rsidP="00C518C2" w:rsidRDefault="000A29DC" w14:paraId="698C2DB1" w14:textId="2A609C70">
            <w:r>
              <w:t>3</w:t>
            </w:r>
            <w:r w:rsidR="00B95738">
              <w:t>0</w:t>
            </w:r>
          </w:p>
        </w:tc>
        <w:tc>
          <w:tcPr>
            <w:tcW w:w="1170" w:type="dxa"/>
            <w:tcBorders>
              <w:top w:val="single" w:color="auto" w:sz="6" w:space="0"/>
              <w:left w:val="single" w:color="auto" w:sz="6" w:space="0"/>
              <w:bottom w:val="single" w:color="auto" w:sz="6" w:space="0"/>
              <w:right w:val="single" w:color="auto" w:sz="6" w:space="0"/>
            </w:tcBorders>
            <w:vAlign w:val="bottom"/>
          </w:tcPr>
          <w:p w:rsidR="00D20C47" w:rsidP="00C518C2" w:rsidRDefault="000A29DC" w14:paraId="738DEFE1" w14:textId="4A759ABB">
            <w:r>
              <w:t>$1,937.25</w:t>
            </w:r>
          </w:p>
          <w:p w:rsidRPr="00DA79B5" w:rsidR="000A29DC" w:rsidP="00C518C2" w:rsidRDefault="000A29DC" w14:paraId="41C1C966" w14:textId="1F1BE6F3">
            <w:r>
              <w:t>$1,743.9</w:t>
            </w:r>
          </w:p>
        </w:tc>
      </w:tr>
      <w:tr w:rsidRPr="00DA79B5" w:rsidR="00B95738" w:rsidTr="000A29DC" w14:paraId="7D42ED8A" w14:textId="77777777">
        <w:trPr>
          <w:cantSplit/>
          <w:trHeight w:val="403"/>
          <w:jc w:val="center"/>
        </w:trPr>
        <w:tc>
          <w:tcPr>
            <w:tcW w:w="2781" w:type="dxa"/>
            <w:tcBorders>
              <w:top w:val="single" w:color="auto" w:sz="6" w:space="0"/>
              <w:left w:val="single" w:color="auto" w:sz="6" w:space="0"/>
              <w:bottom w:val="nil"/>
              <w:right w:val="nil"/>
            </w:tcBorders>
            <w:vAlign w:val="bottom"/>
          </w:tcPr>
          <w:p w:rsidRPr="00DA79B5" w:rsidR="00B95738" w:rsidP="00B95738" w:rsidRDefault="00B95738" w14:paraId="4C2A406A" w14:textId="77777777">
            <w:r w:rsidRPr="00DA79B5">
              <w:t>Review of Results</w:t>
            </w:r>
          </w:p>
        </w:tc>
        <w:tc>
          <w:tcPr>
            <w:tcW w:w="2250" w:type="dxa"/>
            <w:tcBorders>
              <w:top w:val="single" w:color="auto" w:sz="6" w:space="0"/>
              <w:left w:val="single" w:color="auto" w:sz="6" w:space="0"/>
              <w:bottom w:val="single" w:color="auto" w:sz="6" w:space="0"/>
              <w:right w:val="nil"/>
            </w:tcBorders>
          </w:tcPr>
          <w:p w:rsidR="00B95738" w:rsidP="00B95738" w:rsidRDefault="00B95738" w14:paraId="40CB21DE" w14:textId="77777777">
            <w:r>
              <w:t>Grade 15 Step 5</w:t>
            </w:r>
          </w:p>
          <w:p w:rsidRPr="00DA79B5" w:rsidR="00B95738" w:rsidP="00B95738" w:rsidRDefault="00B95738" w14:paraId="0BF5F54F" w14:textId="4BDF1365">
            <w:r>
              <w:t>Grade 14 Step 4</w:t>
            </w:r>
          </w:p>
        </w:tc>
        <w:tc>
          <w:tcPr>
            <w:tcW w:w="1081" w:type="dxa"/>
            <w:tcBorders>
              <w:top w:val="single" w:color="auto" w:sz="6" w:space="0"/>
              <w:left w:val="single" w:color="auto" w:sz="6" w:space="0"/>
              <w:bottom w:val="single" w:color="auto" w:sz="6" w:space="0"/>
              <w:right w:val="single" w:color="auto" w:sz="6" w:space="0"/>
            </w:tcBorders>
            <w:vAlign w:val="bottom"/>
          </w:tcPr>
          <w:p w:rsidR="00B95738" w:rsidP="00B95738" w:rsidRDefault="00B95738" w14:paraId="0CDABED5" w14:textId="62567229">
            <w:r>
              <w:t>$77.49</w:t>
            </w:r>
          </w:p>
          <w:p w:rsidRPr="00DA79B5" w:rsidR="00B95738" w:rsidP="00B95738" w:rsidRDefault="00B95738" w14:paraId="75D08028" w14:textId="3ED79725">
            <w:r>
              <w:t>$58.13</w:t>
            </w:r>
          </w:p>
        </w:tc>
        <w:tc>
          <w:tcPr>
            <w:tcW w:w="1620" w:type="dxa"/>
            <w:tcBorders>
              <w:top w:val="single" w:color="auto" w:sz="6" w:space="0"/>
              <w:left w:val="single" w:color="auto" w:sz="6" w:space="0"/>
              <w:bottom w:val="single" w:color="auto" w:sz="6" w:space="0"/>
              <w:right w:val="nil"/>
            </w:tcBorders>
            <w:vAlign w:val="bottom"/>
          </w:tcPr>
          <w:p w:rsidR="00B95738" w:rsidP="00B95738" w:rsidRDefault="00B95738" w14:paraId="6E46316D" w14:textId="50D93FEE">
            <w:r>
              <w:t>25</w:t>
            </w:r>
          </w:p>
          <w:p w:rsidRPr="00DA79B5" w:rsidR="00B95738" w:rsidP="00B95738" w:rsidRDefault="00B95738" w14:paraId="5AD18207" w14:textId="1CE73E1A">
            <w:r>
              <w:t>25</w:t>
            </w:r>
          </w:p>
        </w:tc>
        <w:tc>
          <w:tcPr>
            <w:tcW w:w="1170" w:type="dxa"/>
            <w:tcBorders>
              <w:top w:val="single" w:color="auto" w:sz="6" w:space="0"/>
              <w:left w:val="single" w:color="auto" w:sz="6" w:space="0"/>
              <w:bottom w:val="single" w:color="auto" w:sz="6" w:space="0"/>
              <w:right w:val="single" w:color="auto" w:sz="6" w:space="0"/>
            </w:tcBorders>
            <w:vAlign w:val="bottom"/>
          </w:tcPr>
          <w:p w:rsidR="00B95738" w:rsidP="00B95738" w:rsidRDefault="000A29DC" w14:paraId="118BD865" w14:textId="46D8735B">
            <w:r>
              <w:t>$1,937.25</w:t>
            </w:r>
          </w:p>
          <w:p w:rsidRPr="00DA79B5" w:rsidR="000A29DC" w:rsidP="00B95738" w:rsidRDefault="000A29DC" w14:paraId="32763E5B" w14:textId="3C08CBD4">
            <w:r>
              <w:t>$1,453.25</w:t>
            </w:r>
          </w:p>
        </w:tc>
      </w:tr>
      <w:tr w:rsidRPr="00DA79B5" w:rsidR="00B95738" w:rsidTr="000A29DC" w14:paraId="225F902D" w14:textId="77777777">
        <w:trPr>
          <w:cantSplit/>
          <w:trHeight w:val="403"/>
          <w:jc w:val="center"/>
        </w:trPr>
        <w:tc>
          <w:tcPr>
            <w:tcW w:w="7732" w:type="dxa"/>
            <w:gridSpan w:val="4"/>
            <w:tcBorders>
              <w:top w:val="single" w:color="auto" w:sz="6" w:space="0"/>
              <w:left w:val="single" w:color="auto" w:sz="6" w:space="0"/>
              <w:bottom w:val="single" w:color="auto" w:sz="6" w:space="0"/>
              <w:right w:val="nil"/>
            </w:tcBorders>
            <w:vAlign w:val="bottom"/>
            <w:hideMark/>
          </w:tcPr>
          <w:p w:rsidRPr="00DA79B5" w:rsidR="00B95738" w:rsidP="00B95738" w:rsidRDefault="00B95738" w14:paraId="0B9FC817" w14:textId="77777777">
            <w:pPr>
              <w:rPr>
                <w:b/>
                <w:bCs/>
              </w:rPr>
            </w:pPr>
            <w:r w:rsidRPr="00DA79B5">
              <w:rPr>
                <w:b/>
                <w:bCs/>
              </w:rPr>
              <w:t>Total</w:t>
            </w:r>
          </w:p>
        </w:tc>
        <w:tc>
          <w:tcPr>
            <w:tcW w:w="1170" w:type="dxa"/>
            <w:tcBorders>
              <w:top w:val="single" w:color="auto" w:sz="6" w:space="0"/>
              <w:left w:val="single" w:color="auto" w:sz="6" w:space="0"/>
              <w:bottom w:val="single" w:color="auto" w:sz="6" w:space="0"/>
              <w:right w:val="single" w:color="auto" w:sz="6" w:space="0"/>
            </w:tcBorders>
            <w:vAlign w:val="bottom"/>
            <w:hideMark/>
          </w:tcPr>
          <w:p w:rsidRPr="00DA79B5" w:rsidR="00B95738" w:rsidP="00B95738" w:rsidRDefault="00B95738" w14:paraId="0BCBBEB3" w14:textId="180E3CBF">
            <w:pPr>
              <w:rPr>
                <w:b/>
                <w:bCs/>
              </w:rPr>
            </w:pPr>
            <w:r>
              <w:rPr>
                <w:b/>
                <w:bCs/>
              </w:rPr>
              <w:t xml:space="preserve"> </w:t>
            </w:r>
            <w:r w:rsidR="000A29DC">
              <w:rPr>
                <w:b/>
                <w:bCs/>
              </w:rPr>
              <w:t>$7,071.65</w:t>
            </w:r>
          </w:p>
        </w:tc>
      </w:tr>
    </w:tbl>
    <w:p w:rsidR="004131BC" w:rsidP="00C518C2" w:rsidRDefault="004131BC" w14:paraId="472ADC33" w14:textId="345BB137">
      <w:r w:rsidRPr="00552579">
        <w:t>Annual salaries based on 20</w:t>
      </w:r>
      <w:r w:rsidR="007C6540">
        <w:t>20</w:t>
      </w:r>
      <w:r w:rsidRPr="00552579">
        <w:t xml:space="preserve"> OPM Pay Schedule for Washington/DC area: </w:t>
      </w:r>
      <w:hyperlink w:history="1" r:id="rId11">
        <w:r w:rsidRPr="007C6540">
          <w:rPr>
            <w:rStyle w:val="Hyperlink"/>
          </w:rPr>
          <w:t>http://www.opm.gov/policy-data-oversight/pay-leave/salar</w:t>
        </w:r>
        <w:r w:rsidRPr="007C6540" w:rsidR="007C6540">
          <w:rPr>
            <w:rStyle w:val="Hyperlink"/>
          </w:rPr>
          <w:t>ies-wages/salary-tables/pdf/2020</w:t>
        </w:r>
        <w:r w:rsidRPr="007C6540">
          <w:rPr>
            <w:rStyle w:val="Hyperlink"/>
          </w:rPr>
          <w:t>/DCB.pdf</w:t>
        </w:r>
      </w:hyperlink>
    </w:p>
    <w:p w:rsidRPr="00412C6F" w:rsidR="009B633D" w:rsidP="00C518C2" w:rsidRDefault="009B633D" w14:paraId="23BE1C0F" w14:textId="77777777">
      <w:pPr>
        <w:pStyle w:val="Heading2"/>
        <w:rPr>
          <w:sz w:val="24"/>
        </w:rPr>
      </w:pPr>
      <w:bookmarkStart w:name="_Toc36632031" w:id="54"/>
      <w:r w:rsidRPr="00412C6F">
        <w:rPr>
          <w:sz w:val="24"/>
        </w:rPr>
        <w:t>15. Changes in Hour Burden</w:t>
      </w:r>
      <w:bookmarkEnd w:id="52"/>
      <w:bookmarkEnd w:id="53"/>
      <w:bookmarkEnd w:id="54"/>
    </w:p>
    <w:p w:rsidRPr="00B410B6" w:rsidR="0021567E" w:rsidP="00C518C2" w:rsidRDefault="0021567E" w14:paraId="4F472418" w14:textId="77777777">
      <w:pPr>
        <w:spacing w:before="100" w:beforeAutospacing="1"/>
      </w:pPr>
      <w:bookmarkStart w:name="_Toc151782191" w:id="55"/>
      <w:bookmarkStart w:name="_Toc158526231" w:id="56"/>
      <w:r w:rsidRPr="00B410B6">
        <w:t>This is a new collection of information.</w:t>
      </w:r>
    </w:p>
    <w:p w:rsidRPr="00412C6F" w:rsidR="009B633D" w:rsidP="00C518C2" w:rsidRDefault="009B633D" w14:paraId="6FA29C5E" w14:textId="77777777">
      <w:pPr>
        <w:pStyle w:val="Heading2"/>
        <w:rPr>
          <w:sz w:val="24"/>
        </w:rPr>
      </w:pPr>
      <w:bookmarkStart w:name="_Toc36632032" w:id="57"/>
      <w:r w:rsidRPr="00412C6F">
        <w:rPr>
          <w:sz w:val="24"/>
        </w:rPr>
        <w:t>16. Time Schedule, Publication and Analysis Plans</w:t>
      </w:r>
      <w:bookmarkEnd w:id="55"/>
      <w:bookmarkEnd w:id="56"/>
      <w:bookmarkEnd w:id="57"/>
    </w:p>
    <w:p w:rsidR="0019195E" w:rsidP="0019195E" w:rsidRDefault="0019195E" w14:paraId="6972396E" w14:textId="75171EDA">
      <w:pPr>
        <w:spacing w:before="100" w:beforeAutospacing="1"/>
      </w:pPr>
      <w:bookmarkStart w:name="_Toc151782192" w:id="58"/>
      <w:r>
        <w:t xml:space="preserve">Once OMB approval is received, </w:t>
      </w:r>
      <w:r w:rsidR="006D1858">
        <w:t>a</w:t>
      </w:r>
      <w:r>
        <w:t xml:space="preserve"> three-phase launch is scheduled to begin in February 2021. A mixed methods approach will be used to evaluate testing of the clinical decision support tools, with a focus on implementation processes, general evaluation of app usage, and post testing feedback from different stakeholder groups (i.e., </w:t>
      </w:r>
      <w:r w:rsidR="00FD45BA">
        <w:t>providers</w:t>
      </w:r>
      <w:r>
        <w:t>, patients, site champions). The timeline of scheduled tasks is provided below:</w:t>
      </w:r>
    </w:p>
    <w:p w:rsidR="0019195E" w:rsidP="0019195E" w:rsidRDefault="0019195E" w14:paraId="5E1226AC" w14:textId="77777777">
      <w:pPr>
        <w:numPr>
          <w:ilvl w:val="0"/>
          <w:numId w:val="18"/>
        </w:numPr>
        <w:spacing w:before="100" w:beforeAutospacing="1"/>
      </w:pPr>
      <w:r>
        <w:t>Implementation of the clinical decision support tools</w:t>
      </w:r>
    </w:p>
    <w:p w:rsidR="0019195E" w:rsidP="0019195E" w:rsidRDefault="0019195E" w14:paraId="79627C08" w14:textId="77777777">
      <w:pPr>
        <w:numPr>
          <w:ilvl w:val="1"/>
          <w:numId w:val="18"/>
        </w:numPr>
        <w:spacing w:before="100" w:beforeAutospacing="1"/>
      </w:pPr>
      <w:r>
        <w:t>Phase 1 roll-out (5 primary care clinics): February 2021</w:t>
      </w:r>
    </w:p>
    <w:p w:rsidR="0019195E" w:rsidP="0019195E" w:rsidRDefault="0019195E" w14:paraId="523D4028" w14:textId="77777777">
      <w:pPr>
        <w:numPr>
          <w:ilvl w:val="1"/>
          <w:numId w:val="18"/>
        </w:numPr>
        <w:spacing w:before="100" w:beforeAutospacing="1"/>
      </w:pPr>
      <w:r>
        <w:t>Phase 2 roll-out (5 primary care clinics): March 2021</w:t>
      </w:r>
    </w:p>
    <w:p w:rsidR="0019195E" w:rsidP="0019195E" w:rsidRDefault="0019195E" w14:paraId="12D3251C" w14:textId="77777777">
      <w:pPr>
        <w:numPr>
          <w:ilvl w:val="1"/>
          <w:numId w:val="18"/>
        </w:numPr>
        <w:spacing w:before="100" w:beforeAutospacing="1"/>
      </w:pPr>
      <w:r>
        <w:t>Phase 3 roll-out (5 primary care clinics): April 2021</w:t>
      </w:r>
    </w:p>
    <w:p w:rsidR="0019195E" w:rsidP="0019195E" w:rsidRDefault="0019195E" w14:paraId="49437033" w14:textId="77777777">
      <w:pPr>
        <w:numPr>
          <w:ilvl w:val="0"/>
          <w:numId w:val="18"/>
        </w:numPr>
        <w:spacing w:before="100" w:beforeAutospacing="1"/>
      </w:pPr>
      <w:r>
        <w:t>Report evaluation findings for the clinical decision support tools</w:t>
      </w:r>
    </w:p>
    <w:p w:rsidR="0019195E" w:rsidP="0019195E" w:rsidRDefault="0019195E" w14:paraId="3B3423E1" w14:textId="77777777">
      <w:pPr>
        <w:numPr>
          <w:ilvl w:val="1"/>
          <w:numId w:val="18"/>
        </w:numPr>
        <w:spacing w:before="100" w:beforeAutospacing="1"/>
      </w:pPr>
      <w:r>
        <w:t>Phase 1 evaluation and learnings: May 2021</w:t>
      </w:r>
    </w:p>
    <w:p w:rsidR="0019195E" w:rsidP="0019195E" w:rsidRDefault="0019195E" w14:paraId="5A512FED" w14:textId="77777777">
      <w:pPr>
        <w:numPr>
          <w:ilvl w:val="1"/>
          <w:numId w:val="18"/>
        </w:numPr>
        <w:spacing w:before="100" w:beforeAutospacing="1"/>
      </w:pPr>
      <w:r>
        <w:t>Phase 2 evaluation and learnings: June 2021</w:t>
      </w:r>
    </w:p>
    <w:p w:rsidR="0019195E" w:rsidP="0019195E" w:rsidRDefault="0019195E" w14:paraId="77A871FC" w14:textId="77777777">
      <w:pPr>
        <w:numPr>
          <w:ilvl w:val="1"/>
          <w:numId w:val="18"/>
        </w:numPr>
        <w:spacing w:before="100" w:beforeAutospacing="1"/>
      </w:pPr>
      <w:r>
        <w:t>Phase 3 evaluation and learnings: July 2021</w:t>
      </w:r>
    </w:p>
    <w:p w:rsidR="0019195E" w:rsidP="0019195E" w:rsidRDefault="0019195E" w14:paraId="1429B70D" w14:textId="77777777">
      <w:pPr>
        <w:numPr>
          <w:ilvl w:val="0"/>
          <w:numId w:val="18"/>
        </w:numPr>
        <w:spacing w:before="100" w:beforeAutospacing="1"/>
      </w:pPr>
      <w:r>
        <w:t>Dissemination of findings</w:t>
      </w:r>
    </w:p>
    <w:p w:rsidR="0019195E" w:rsidP="0019195E" w:rsidRDefault="0019195E" w14:paraId="1F6033C8" w14:textId="77777777">
      <w:pPr>
        <w:numPr>
          <w:ilvl w:val="1"/>
          <w:numId w:val="18"/>
        </w:numPr>
        <w:spacing w:before="100" w:beforeAutospacing="1"/>
      </w:pPr>
      <w:r>
        <w:t>Final report: September 2021</w:t>
      </w:r>
    </w:p>
    <w:p w:rsidR="0019195E" w:rsidP="0019195E" w:rsidRDefault="0019195E" w14:paraId="48AF5320" w14:textId="77777777">
      <w:pPr>
        <w:spacing w:before="100" w:beforeAutospacing="1"/>
      </w:pPr>
      <w:r w:rsidRPr="00475682">
        <w:lastRenderedPageBreak/>
        <w:t>The evaluation metrics are focused on patient and provider outcomes in reach, effect, adoption, implementation, and maintenance</w:t>
      </w:r>
      <w:r>
        <w:t xml:space="preserve"> (RE-AIM framework)</w:t>
      </w:r>
      <w:r w:rsidRPr="00475682">
        <w:t xml:space="preserve">. Given a two-year timeframe for development and implementation, </w:t>
      </w:r>
      <w:r>
        <w:t xml:space="preserve">the evaluation will </w:t>
      </w:r>
      <w:r w:rsidRPr="00475682">
        <w:t>focus on feasibility and usability (while still tracking long-term outcomes after the funding period).</w:t>
      </w:r>
      <w:r>
        <w:t xml:space="preserve"> </w:t>
      </w:r>
      <w:r w:rsidRPr="00475682">
        <w:t>This includes quantitative and qualitative metrics to identify barriers to successful implementation, evaluating acceptability of methods and instruments to participants, and providing estimates of missing data and dropout, and estimating resources required for future implementations.</w:t>
      </w:r>
    </w:p>
    <w:p w:rsidRPr="00424E6E" w:rsidR="009B633D" w:rsidP="00C518C2" w:rsidRDefault="009B633D" w14:paraId="0F1C95D2" w14:textId="77777777">
      <w:pPr>
        <w:pStyle w:val="Heading2"/>
        <w:rPr>
          <w:sz w:val="24"/>
        </w:rPr>
      </w:pPr>
      <w:bookmarkStart w:name="_Toc151782196" w:id="59"/>
      <w:bookmarkStart w:name="_Toc158526232" w:id="60"/>
      <w:bookmarkStart w:name="_Toc36632033" w:id="61"/>
      <w:bookmarkEnd w:id="58"/>
      <w:r w:rsidRPr="00424E6E">
        <w:rPr>
          <w:sz w:val="24"/>
        </w:rPr>
        <w:t>17. Exemption for Display of Expiration Date</w:t>
      </w:r>
      <w:bookmarkEnd w:id="59"/>
      <w:bookmarkEnd w:id="60"/>
      <w:bookmarkEnd w:id="61"/>
    </w:p>
    <w:p w:rsidR="009B633D" w:rsidP="00C518C2" w:rsidRDefault="009B633D" w14:paraId="56AC609F" w14:textId="77777777">
      <w:r w:rsidRPr="004F03D2">
        <w:t>AHRQ does not seek this exemption</w:t>
      </w:r>
      <w:r>
        <w:t>.</w:t>
      </w:r>
    </w:p>
    <w:p w:rsidR="00552579" w:rsidP="0059520D" w:rsidRDefault="00552579" w14:paraId="1D60DFB1" w14:textId="77777777"/>
    <w:p w:rsidRPr="00016560" w:rsidR="00016560" w:rsidP="00C518C2" w:rsidRDefault="00904CC3" w14:paraId="2E038A9B" w14:textId="0DC017E2">
      <w:pPr>
        <w:pStyle w:val="NormalWeb"/>
        <w:rPr>
          <w:rFonts w:ascii="Arial" w:hAnsi="Arial" w:cs="Arial"/>
          <w:b/>
        </w:rPr>
      </w:pPr>
      <w:r>
        <w:rPr>
          <w:rFonts w:ascii="Arial" w:hAnsi="Arial" w:cs="Arial"/>
          <w:b/>
        </w:rPr>
        <w:t xml:space="preserve">List of </w:t>
      </w:r>
      <w:r w:rsidRPr="00016560" w:rsidR="00016560">
        <w:rPr>
          <w:rFonts w:ascii="Arial" w:hAnsi="Arial" w:cs="Arial"/>
          <w:b/>
        </w:rPr>
        <w:t>Attachments:</w:t>
      </w:r>
    </w:p>
    <w:p w:rsidRPr="00552579" w:rsidR="009C7A0E" w:rsidP="00FD45BA" w:rsidRDefault="009C7A0E" w14:paraId="25FAE577" w14:textId="5F4173B4">
      <w:pPr>
        <w:spacing w:after="160"/>
      </w:pPr>
      <w:r w:rsidRPr="00552579">
        <w:t>Attachment 1 -- Evaluation Provider Survey</w:t>
      </w:r>
    </w:p>
    <w:p w:rsidRPr="00552579" w:rsidR="009C7A0E" w:rsidP="00FD45BA" w:rsidRDefault="009C7A0E" w14:paraId="044D009A" w14:textId="6D00B2E1">
      <w:pPr>
        <w:spacing w:after="160"/>
      </w:pPr>
      <w:r w:rsidRPr="00552579">
        <w:t xml:space="preserve">Attachment </w:t>
      </w:r>
      <w:r w:rsidR="00CB16C6">
        <w:t>2</w:t>
      </w:r>
      <w:r w:rsidRPr="00552579">
        <w:t xml:space="preserve"> -- Evaluation Patient Survey</w:t>
      </w:r>
    </w:p>
    <w:p w:rsidRPr="00552579" w:rsidR="009C7A0E" w:rsidP="00FD45BA" w:rsidRDefault="009C7A0E" w14:paraId="6700A332" w14:textId="4EDB508F">
      <w:pPr>
        <w:spacing w:after="160"/>
      </w:pPr>
      <w:r w:rsidRPr="00552579">
        <w:t xml:space="preserve">Attachment </w:t>
      </w:r>
      <w:r w:rsidR="00CB16C6">
        <w:t>3</w:t>
      </w:r>
      <w:r w:rsidRPr="00552579">
        <w:t xml:space="preserve"> -- Evaluation Provider Interview</w:t>
      </w:r>
    </w:p>
    <w:p w:rsidRPr="00552579" w:rsidR="009C7A0E" w:rsidP="00FD45BA" w:rsidRDefault="009C7A0E" w14:paraId="5CD23D83" w14:textId="4EAE4A4D">
      <w:pPr>
        <w:spacing w:after="160"/>
      </w:pPr>
      <w:r w:rsidRPr="00552579">
        <w:t xml:space="preserve">Attachment </w:t>
      </w:r>
      <w:r w:rsidR="00CB16C6">
        <w:t>4</w:t>
      </w:r>
      <w:r w:rsidRPr="00552579">
        <w:t xml:space="preserve"> -- Evaluation Patient Interview</w:t>
      </w:r>
    </w:p>
    <w:p w:rsidRPr="00552579" w:rsidR="009C7A0E" w:rsidP="00FD45BA" w:rsidRDefault="009C7A0E" w14:paraId="448544C5" w14:textId="0F654956">
      <w:pPr>
        <w:spacing w:after="160"/>
      </w:pPr>
      <w:r w:rsidRPr="00552579">
        <w:t xml:space="preserve">Attachment </w:t>
      </w:r>
      <w:r w:rsidR="00CB16C6">
        <w:t>5</w:t>
      </w:r>
      <w:r w:rsidRPr="00552579">
        <w:t xml:space="preserve"> -- Evaluation Site Champion Interview</w:t>
      </w:r>
    </w:p>
    <w:p w:rsidR="00552579" w:rsidP="00FD45BA" w:rsidRDefault="00A15D49" w14:paraId="7CA8E838" w14:textId="3BBB2828">
      <w:pPr>
        <w:spacing w:after="160"/>
      </w:pPr>
      <w:r w:rsidRPr="00552579">
        <w:t xml:space="preserve">Attachment </w:t>
      </w:r>
      <w:r w:rsidR="00CB16C6">
        <w:t>6</w:t>
      </w:r>
      <w:r w:rsidRPr="00552579" w:rsidR="008E4FC9">
        <w:t xml:space="preserve"> </w:t>
      </w:r>
      <w:r w:rsidRPr="00552579" w:rsidR="00390F32">
        <w:t>-- Federal</w:t>
      </w:r>
      <w:r w:rsidRPr="00552579">
        <w:t xml:space="preserve"> Register Notice</w:t>
      </w:r>
      <w:r w:rsidR="00552579">
        <w:br w:type="page"/>
      </w:r>
    </w:p>
    <w:p w:rsidRPr="0059520D" w:rsidR="005A0D9D" w:rsidP="00C518C2" w:rsidRDefault="005A0D9D" w14:paraId="1751DB0F" w14:textId="3B5D12D9">
      <w:pPr>
        <w:pStyle w:val="EndnoteText"/>
        <w:tabs>
          <w:tab w:val="left" w:pos="360"/>
          <w:tab w:val="left" w:pos="720"/>
          <w:tab w:val="left" w:pos="1080"/>
          <w:tab w:val="left" w:pos="4680"/>
          <w:tab w:val="left" w:pos="5940"/>
        </w:tabs>
        <w:rPr>
          <w:rFonts w:ascii="Arial" w:hAnsi="Arial" w:cs="Arial"/>
          <w:b/>
          <w:sz w:val="24"/>
          <w:szCs w:val="24"/>
        </w:rPr>
      </w:pPr>
      <w:r w:rsidRPr="0059520D">
        <w:rPr>
          <w:rFonts w:ascii="Arial" w:hAnsi="Arial" w:cs="Arial"/>
          <w:b/>
          <w:sz w:val="24"/>
          <w:szCs w:val="24"/>
        </w:rPr>
        <w:lastRenderedPageBreak/>
        <w:t>References</w:t>
      </w:r>
    </w:p>
    <w:p w:rsidR="002514DF" w:rsidP="00C518C2" w:rsidRDefault="002514DF" w14:paraId="3A4D91CF" w14:textId="77777777">
      <w:pPr>
        <w:pStyle w:val="EndnoteText"/>
        <w:tabs>
          <w:tab w:val="left" w:pos="360"/>
          <w:tab w:val="left" w:pos="720"/>
          <w:tab w:val="left" w:pos="1080"/>
          <w:tab w:val="left" w:pos="4680"/>
          <w:tab w:val="left" w:pos="5940"/>
        </w:tabs>
        <w:rPr>
          <w:sz w:val="24"/>
          <w:szCs w:val="24"/>
        </w:rPr>
      </w:pPr>
    </w:p>
    <w:p w:rsidRPr="0019195E" w:rsidR="00FA35F0" w:rsidP="0019195E" w:rsidRDefault="00FA35F0" w14:paraId="183A1A2F" w14:textId="77777777">
      <w:pPr>
        <w:pStyle w:val="ListParagraph"/>
        <w:numPr>
          <w:ilvl w:val="0"/>
          <w:numId w:val="17"/>
        </w:numPr>
        <w:spacing w:line="240" w:lineRule="auto"/>
        <w:rPr>
          <w:rFonts w:ascii="Times New Roman" w:hAnsi="Times New Roman" w:eastAsia="Times New Roman"/>
          <w:sz w:val="24"/>
          <w:szCs w:val="24"/>
        </w:rPr>
      </w:pPr>
      <w:r w:rsidRPr="0019195E">
        <w:rPr>
          <w:rFonts w:ascii="Times New Roman" w:hAnsi="Times New Roman" w:eastAsia="Times New Roman"/>
          <w:sz w:val="24"/>
          <w:szCs w:val="24"/>
        </w:rPr>
        <w:t>Treede RD, Rief W, Barke A, Aziz Q, Bennett MI, Benoliel R, Cohen M, Evers S, Finnerup NB, First MB, Giamberardino MA. A classification of chronic pain for ICD-11. Pain. 2015 Jun;156(6):1003.</w:t>
      </w:r>
    </w:p>
    <w:p w:rsidRPr="0019195E" w:rsidR="00FA35F0" w:rsidP="0019195E" w:rsidRDefault="00FA35F0" w14:paraId="080B404A" w14:textId="77777777">
      <w:pPr>
        <w:pStyle w:val="ListParagraph"/>
        <w:numPr>
          <w:ilvl w:val="0"/>
          <w:numId w:val="17"/>
        </w:numPr>
        <w:spacing w:line="240" w:lineRule="auto"/>
        <w:rPr>
          <w:rFonts w:ascii="Times New Roman" w:hAnsi="Times New Roman" w:eastAsia="Times New Roman"/>
          <w:sz w:val="24"/>
          <w:szCs w:val="24"/>
        </w:rPr>
      </w:pPr>
      <w:r w:rsidRPr="0019195E">
        <w:rPr>
          <w:rFonts w:ascii="Times New Roman" w:hAnsi="Times New Roman" w:eastAsia="Times New Roman"/>
          <w:sz w:val="24"/>
          <w:szCs w:val="24"/>
        </w:rPr>
        <w:t>Nahin RL. Estimates of pain prevalence and severity in adults: United States, 2012. The Journal of Pain. 2015 Aug 1;16(8):769-80.</w:t>
      </w:r>
    </w:p>
    <w:p w:rsidRPr="0019195E" w:rsidR="00FA35F0" w:rsidP="0019195E" w:rsidRDefault="00FA35F0" w14:paraId="32AE07BD" w14:textId="77777777">
      <w:pPr>
        <w:pStyle w:val="ListParagraph"/>
        <w:numPr>
          <w:ilvl w:val="0"/>
          <w:numId w:val="17"/>
        </w:numPr>
        <w:spacing w:line="240" w:lineRule="auto"/>
        <w:rPr>
          <w:rFonts w:ascii="Times New Roman" w:hAnsi="Times New Roman" w:eastAsia="Times New Roman"/>
          <w:sz w:val="24"/>
          <w:szCs w:val="24"/>
        </w:rPr>
      </w:pPr>
      <w:r w:rsidRPr="0019195E">
        <w:rPr>
          <w:rFonts w:ascii="Times New Roman" w:hAnsi="Times New Roman" w:eastAsia="Times New Roman"/>
          <w:sz w:val="24"/>
          <w:szCs w:val="24"/>
        </w:rPr>
        <w:t>Institute of Medicine. Relieving Pain in America. Washington, D.C.: National Academies Press; 2011.</w:t>
      </w:r>
    </w:p>
    <w:p w:rsidRPr="0019195E" w:rsidR="00FA35F0" w:rsidP="0019195E" w:rsidRDefault="00FA35F0" w14:paraId="596BA19E" w14:textId="77777777">
      <w:pPr>
        <w:pStyle w:val="ListParagraph"/>
        <w:numPr>
          <w:ilvl w:val="0"/>
          <w:numId w:val="17"/>
        </w:numPr>
        <w:spacing w:line="240" w:lineRule="auto"/>
        <w:rPr>
          <w:rFonts w:ascii="Times New Roman" w:hAnsi="Times New Roman" w:eastAsia="Times New Roman"/>
          <w:sz w:val="24"/>
          <w:szCs w:val="24"/>
        </w:rPr>
      </w:pPr>
      <w:r w:rsidRPr="0019195E">
        <w:rPr>
          <w:rFonts w:ascii="Times New Roman" w:hAnsi="Times New Roman" w:eastAsia="Times New Roman"/>
          <w:sz w:val="24"/>
          <w:szCs w:val="24"/>
        </w:rPr>
        <w:t>Dowell D, Haegerich TM, Chou R. CDC Guideline for Prescribing Opioids for Chronic Pain--United States, 2016. JAMA. 2016 Apr 19;315(15):1624-45. PubMed PMID: 26977696; PubMed Central PMCID: PMC6390846.</w:t>
      </w:r>
    </w:p>
    <w:p w:rsidRPr="0019195E" w:rsidR="00FA35F0" w:rsidP="0019195E" w:rsidRDefault="00FA35F0" w14:paraId="112420F0" w14:textId="77777777">
      <w:pPr>
        <w:pStyle w:val="ListParagraph"/>
        <w:numPr>
          <w:ilvl w:val="0"/>
          <w:numId w:val="17"/>
        </w:numPr>
        <w:spacing w:line="240" w:lineRule="auto"/>
        <w:rPr>
          <w:rFonts w:ascii="Times New Roman" w:hAnsi="Times New Roman" w:eastAsia="Times New Roman"/>
          <w:sz w:val="24"/>
          <w:szCs w:val="24"/>
        </w:rPr>
      </w:pPr>
      <w:r w:rsidRPr="0019195E">
        <w:rPr>
          <w:rFonts w:ascii="Times New Roman" w:hAnsi="Times New Roman" w:eastAsia="Times New Roman"/>
          <w:sz w:val="24"/>
          <w:szCs w:val="24"/>
        </w:rPr>
        <w:t>Boudreau D, Von Korff M, Rutter CM, Saunders K, Ray GT, Sullivan MD, Campbell CI, Merrill JO, Silverberg MJ, Banta-Green C, Weisner C. Trends in long-term opioid therapy for chronic non-cancer pain. Pharmacoepidemiol Drug Saf. 2009 Dec;18(12):1166-75.PubMed PMID: 19718704; PubMed Central PMCID: PMC3280087.</w:t>
      </w:r>
    </w:p>
    <w:p w:rsidRPr="0019195E" w:rsidR="00FA35F0" w:rsidP="0019195E" w:rsidRDefault="00FA35F0" w14:paraId="3210584D" w14:textId="77777777">
      <w:pPr>
        <w:pStyle w:val="ListParagraph"/>
        <w:numPr>
          <w:ilvl w:val="0"/>
          <w:numId w:val="17"/>
        </w:numPr>
        <w:spacing w:line="240" w:lineRule="auto"/>
        <w:rPr>
          <w:rFonts w:ascii="Times New Roman" w:hAnsi="Times New Roman" w:eastAsia="Times New Roman"/>
          <w:sz w:val="24"/>
          <w:szCs w:val="24"/>
        </w:rPr>
      </w:pPr>
      <w:r w:rsidRPr="0019195E">
        <w:rPr>
          <w:rFonts w:ascii="Times New Roman" w:hAnsi="Times New Roman" w:eastAsia="Times New Roman"/>
          <w:sz w:val="24"/>
          <w:szCs w:val="24"/>
        </w:rPr>
        <w:t>White R, Hayes C, Boyes AW, Chiu S, Paul CL. General practitioners and management of chronic noncancer pain: a cross-sectional survey of influences on opioid deprescribing. J Pain Res. 2019 Jan 22;12:467-475. doi: 10.2147/JPR.S168785. PubMed PMID: 30774416; PubMed Central PMCID: PMC6348964.</w:t>
      </w:r>
    </w:p>
    <w:p w:rsidRPr="0019195E" w:rsidR="00B410B6" w:rsidP="0019195E" w:rsidRDefault="00B410B6" w14:paraId="3C2BF828" w14:textId="77777777">
      <w:pPr>
        <w:pStyle w:val="ListParagraph"/>
        <w:numPr>
          <w:ilvl w:val="0"/>
          <w:numId w:val="17"/>
        </w:numPr>
        <w:spacing w:line="240" w:lineRule="auto"/>
        <w:rPr>
          <w:rFonts w:ascii="Times New Roman" w:hAnsi="Times New Roman" w:eastAsia="Times New Roman"/>
          <w:sz w:val="24"/>
          <w:szCs w:val="24"/>
        </w:rPr>
      </w:pPr>
      <w:r w:rsidRPr="0019195E">
        <w:rPr>
          <w:rFonts w:ascii="Times New Roman" w:hAnsi="Times New Roman" w:eastAsia="Times New Roman"/>
          <w:sz w:val="24"/>
          <w:szCs w:val="24"/>
        </w:rPr>
        <w:t xml:space="preserve">U.S. Department of Health and Human Services (2019, May). Pain Management Best Practices Inter-Agency Task Force Report: Updates, Gaps, Inconsistencies, and Recommendations. Retrieved from U. S. Department of Health and Human Services website: </w:t>
      </w:r>
      <w:hyperlink w:history="1" r:id="rId12">
        <w:r w:rsidRPr="0019195E">
          <w:rPr>
            <w:rFonts w:ascii="Times New Roman" w:hAnsi="Times New Roman" w:eastAsia="Times New Roman"/>
            <w:sz w:val="24"/>
            <w:szCs w:val="24"/>
          </w:rPr>
          <w:t>https://www.hhs.gov/ash/advisory-committees/pain/reports/index.html</w:t>
        </w:r>
      </w:hyperlink>
    </w:p>
    <w:p w:rsidRPr="0059520D" w:rsidR="00FA35F0" w:rsidP="0059520D" w:rsidRDefault="0037114F" w14:paraId="4447F977" w14:textId="16005E0D">
      <w:pPr>
        <w:pStyle w:val="ListParagraph"/>
        <w:numPr>
          <w:ilvl w:val="0"/>
          <w:numId w:val="17"/>
        </w:numPr>
        <w:spacing w:after="0" w:line="240" w:lineRule="auto"/>
        <w:contextualSpacing w:val="0"/>
        <w:rPr>
          <w:sz w:val="24"/>
          <w:szCs w:val="24"/>
        </w:rPr>
      </w:pPr>
      <w:r w:rsidRPr="0019195E">
        <w:rPr>
          <w:rFonts w:ascii="Times New Roman" w:hAnsi="Times New Roman" w:eastAsia="Times New Roman"/>
          <w:sz w:val="24"/>
          <w:szCs w:val="24"/>
        </w:rPr>
        <w:t xml:space="preserve">Agency for Healthcare Research and Quality. Factors to Consider in Managing Chronic Pain: A Pain Management Summary. CDS Connect Artifact. Available at: </w:t>
      </w:r>
      <w:hyperlink w:history="1" r:id="rId13">
        <w:r w:rsidRPr="0019195E">
          <w:rPr>
            <w:rFonts w:ascii="Times New Roman" w:hAnsi="Times New Roman" w:eastAsia="Times New Roman"/>
            <w:sz w:val="24"/>
            <w:szCs w:val="24"/>
          </w:rPr>
          <w:t>https://cds.ahrq.gov/cdsconnect/artifact/factors-consider-managing-chronic-pain-pain-management-summary</w:t>
        </w:r>
      </w:hyperlink>
    </w:p>
    <w:sectPr w:rsidRPr="0059520D" w:rsidR="00FA35F0" w:rsidSect="009B633D">
      <w:footerReference w:type="even" r:id="rId14"/>
      <w:footerReference w:type="default" r:id="rId15"/>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6B9E5" w14:textId="77777777" w:rsidR="00FC0E80" w:rsidRDefault="00FC0E80">
      <w:r>
        <w:separator/>
      </w:r>
    </w:p>
  </w:endnote>
  <w:endnote w:type="continuationSeparator" w:id="0">
    <w:p w14:paraId="0D4B62F9" w14:textId="77777777" w:rsidR="00FC0E80" w:rsidRDefault="00FC0E80">
      <w:r>
        <w:continuationSeparator/>
      </w:r>
    </w:p>
  </w:endnote>
  <w:endnote w:type="continuationNotice" w:id="1">
    <w:p w14:paraId="1FADBC1C" w14:textId="77777777" w:rsidR="00FC0E80" w:rsidRDefault="00FC0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CB8E1" w14:textId="77777777" w:rsidR="00FD45BA" w:rsidRDefault="00FD45BA"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2D751E" w14:textId="77777777" w:rsidR="00FD45BA" w:rsidRDefault="00FD4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6693D" w14:textId="0AA4CA3A" w:rsidR="00FD45BA" w:rsidRDefault="00FD45BA"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08A3">
      <w:rPr>
        <w:rStyle w:val="PageNumber"/>
        <w:noProof/>
      </w:rPr>
      <w:t>- 11 -</w:t>
    </w:r>
    <w:r>
      <w:rPr>
        <w:rStyle w:val="PageNumber"/>
      </w:rPr>
      <w:fldChar w:fldCharType="end"/>
    </w:r>
  </w:p>
  <w:p w14:paraId="49702AB7" w14:textId="77777777" w:rsidR="00FD45BA" w:rsidRDefault="00FD4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806B0" w14:textId="77777777" w:rsidR="00FC0E80" w:rsidRDefault="00FC0E80">
      <w:r>
        <w:separator/>
      </w:r>
    </w:p>
  </w:footnote>
  <w:footnote w:type="continuationSeparator" w:id="0">
    <w:p w14:paraId="550E03A4" w14:textId="77777777" w:rsidR="00FC0E80" w:rsidRDefault="00FC0E80">
      <w:r>
        <w:continuationSeparator/>
      </w:r>
    </w:p>
  </w:footnote>
  <w:footnote w:type="continuationNotice" w:id="1">
    <w:p w14:paraId="631DAE69" w14:textId="77777777" w:rsidR="00FC0E80" w:rsidRDefault="00FC0E8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71390"/>
    <w:multiLevelType w:val="hybridMultilevel"/>
    <w:tmpl w:val="A2A41E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704D5"/>
    <w:multiLevelType w:val="hybridMultilevel"/>
    <w:tmpl w:val="2E2EF612"/>
    <w:lvl w:ilvl="0" w:tplc="1A46649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A6F18"/>
    <w:multiLevelType w:val="hybridMultilevel"/>
    <w:tmpl w:val="F7DC4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62434"/>
    <w:multiLevelType w:val="hybridMultilevel"/>
    <w:tmpl w:val="FE7684DE"/>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4" w15:restartNumberingAfterBreak="0">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577CB"/>
    <w:multiLevelType w:val="hybridMultilevel"/>
    <w:tmpl w:val="E0163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17"/>
  </w:num>
  <w:num w:numId="2">
    <w:abstractNumId w:val="13"/>
  </w:num>
  <w:num w:numId="3">
    <w:abstractNumId w:val="7"/>
  </w:num>
  <w:num w:numId="4">
    <w:abstractNumId w:val="11"/>
  </w:num>
  <w:num w:numId="5">
    <w:abstractNumId w:val="8"/>
  </w:num>
  <w:num w:numId="6">
    <w:abstractNumId w:val="14"/>
  </w:num>
  <w:num w:numId="7">
    <w:abstractNumId w:val="5"/>
  </w:num>
  <w:num w:numId="8">
    <w:abstractNumId w:val="0"/>
  </w:num>
  <w:num w:numId="9">
    <w:abstractNumId w:val="10"/>
  </w:num>
  <w:num w:numId="10">
    <w:abstractNumId w:val="1"/>
  </w:num>
  <w:num w:numId="11">
    <w:abstractNumId w:val="2"/>
  </w:num>
  <w:num w:numId="12">
    <w:abstractNumId w:val="9"/>
  </w:num>
  <w:num w:numId="13">
    <w:abstractNumId w:val="16"/>
  </w:num>
  <w:num w:numId="14">
    <w:abstractNumId w:val="12"/>
  </w:num>
  <w:num w:numId="15">
    <w:abstractNumId w:val="15"/>
  </w:num>
  <w:num w:numId="16">
    <w:abstractNumId w:val="6"/>
  </w:num>
  <w:num w:numId="17">
    <w:abstractNumId w:val="4"/>
  </w:num>
  <w:num w:numId="1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505E"/>
    <w:rsid w:val="00005BD9"/>
    <w:rsid w:val="00007C71"/>
    <w:rsid w:val="00011E85"/>
    <w:rsid w:val="00012921"/>
    <w:rsid w:val="00012FB9"/>
    <w:rsid w:val="00015AAF"/>
    <w:rsid w:val="00016560"/>
    <w:rsid w:val="00024FEE"/>
    <w:rsid w:val="00031E08"/>
    <w:rsid w:val="00033301"/>
    <w:rsid w:val="00036B3A"/>
    <w:rsid w:val="00037998"/>
    <w:rsid w:val="00041EE8"/>
    <w:rsid w:val="00043473"/>
    <w:rsid w:val="00045959"/>
    <w:rsid w:val="00046359"/>
    <w:rsid w:val="0006207D"/>
    <w:rsid w:val="000769F7"/>
    <w:rsid w:val="000779A9"/>
    <w:rsid w:val="00082047"/>
    <w:rsid w:val="00094648"/>
    <w:rsid w:val="000A0030"/>
    <w:rsid w:val="000A016A"/>
    <w:rsid w:val="000A03FF"/>
    <w:rsid w:val="000A140E"/>
    <w:rsid w:val="000A20B3"/>
    <w:rsid w:val="000A29DC"/>
    <w:rsid w:val="000A3475"/>
    <w:rsid w:val="000A5C0F"/>
    <w:rsid w:val="000A7395"/>
    <w:rsid w:val="000B21D5"/>
    <w:rsid w:val="000B78CB"/>
    <w:rsid w:val="000C0DF4"/>
    <w:rsid w:val="000D429E"/>
    <w:rsid w:val="000E01D1"/>
    <w:rsid w:val="000E4300"/>
    <w:rsid w:val="000E7E83"/>
    <w:rsid w:val="000F1328"/>
    <w:rsid w:val="000F2B59"/>
    <w:rsid w:val="000F3A62"/>
    <w:rsid w:val="00103FE8"/>
    <w:rsid w:val="001056F0"/>
    <w:rsid w:val="00106984"/>
    <w:rsid w:val="001117BF"/>
    <w:rsid w:val="00112DF2"/>
    <w:rsid w:val="00116F3F"/>
    <w:rsid w:val="00120A0C"/>
    <w:rsid w:val="00121F1D"/>
    <w:rsid w:val="00124290"/>
    <w:rsid w:val="00124917"/>
    <w:rsid w:val="001301AA"/>
    <w:rsid w:val="00131443"/>
    <w:rsid w:val="001505F8"/>
    <w:rsid w:val="0015553F"/>
    <w:rsid w:val="00166A69"/>
    <w:rsid w:val="00170C5A"/>
    <w:rsid w:val="001722F1"/>
    <w:rsid w:val="00180A9B"/>
    <w:rsid w:val="00183A1C"/>
    <w:rsid w:val="00185B88"/>
    <w:rsid w:val="00185F0E"/>
    <w:rsid w:val="001868E0"/>
    <w:rsid w:val="00187A50"/>
    <w:rsid w:val="0019195E"/>
    <w:rsid w:val="001935E2"/>
    <w:rsid w:val="001979DA"/>
    <w:rsid w:val="00197F41"/>
    <w:rsid w:val="001A0759"/>
    <w:rsid w:val="001A28C0"/>
    <w:rsid w:val="001A7135"/>
    <w:rsid w:val="001B1C61"/>
    <w:rsid w:val="001C59E4"/>
    <w:rsid w:val="001D706F"/>
    <w:rsid w:val="001E2443"/>
    <w:rsid w:val="001E3FED"/>
    <w:rsid w:val="001E63C6"/>
    <w:rsid w:val="001F4634"/>
    <w:rsid w:val="001F489F"/>
    <w:rsid w:val="001F5A2F"/>
    <w:rsid w:val="001F66FB"/>
    <w:rsid w:val="001F7724"/>
    <w:rsid w:val="001F7B76"/>
    <w:rsid w:val="00211E70"/>
    <w:rsid w:val="0021567E"/>
    <w:rsid w:val="0021671E"/>
    <w:rsid w:val="0022366A"/>
    <w:rsid w:val="002514DF"/>
    <w:rsid w:val="0026032D"/>
    <w:rsid w:val="002605D6"/>
    <w:rsid w:val="0026424E"/>
    <w:rsid w:val="00272E29"/>
    <w:rsid w:val="00275E5F"/>
    <w:rsid w:val="00291B73"/>
    <w:rsid w:val="00294C0C"/>
    <w:rsid w:val="0029734C"/>
    <w:rsid w:val="002B382B"/>
    <w:rsid w:val="002B3A5E"/>
    <w:rsid w:val="002B5205"/>
    <w:rsid w:val="002B7635"/>
    <w:rsid w:val="002C0248"/>
    <w:rsid w:val="002C3DBC"/>
    <w:rsid w:val="002D659A"/>
    <w:rsid w:val="002E54EF"/>
    <w:rsid w:val="002F0D62"/>
    <w:rsid w:val="002F3724"/>
    <w:rsid w:val="002F4DE8"/>
    <w:rsid w:val="002F4E7E"/>
    <w:rsid w:val="00300F1C"/>
    <w:rsid w:val="00301D55"/>
    <w:rsid w:val="00311808"/>
    <w:rsid w:val="0031620A"/>
    <w:rsid w:val="00321BF9"/>
    <w:rsid w:val="00325B9C"/>
    <w:rsid w:val="003270FA"/>
    <w:rsid w:val="003315A3"/>
    <w:rsid w:val="00333AD1"/>
    <w:rsid w:val="0033770D"/>
    <w:rsid w:val="00340D97"/>
    <w:rsid w:val="0034325D"/>
    <w:rsid w:val="00350232"/>
    <w:rsid w:val="00350E4E"/>
    <w:rsid w:val="003526B6"/>
    <w:rsid w:val="003547C6"/>
    <w:rsid w:val="00360C90"/>
    <w:rsid w:val="0036189D"/>
    <w:rsid w:val="00361F52"/>
    <w:rsid w:val="00365B7B"/>
    <w:rsid w:val="0037114F"/>
    <w:rsid w:val="0037254D"/>
    <w:rsid w:val="00372BB0"/>
    <w:rsid w:val="0037427A"/>
    <w:rsid w:val="00377301"/>
    <w:rsid w:val="0037771B"/>
    <w:rsid w:val="00377D80"/>
    <w:rsid w:val="0038217D"/>
    <w:rsid w:val="00390F32"/>
    <w:rsid w:val="0039552C"/>
    <w:rsid w:val="003A0672"/>
    <w:rsid w:val="003A0891"/>
    <w:rsid w:val="003A1F55"/>
    <w:rsid w:val="003B0522"/>
    <w:rsid w:val="003B2951"/>
    <w:rsid w:val="003B4201"/>
    <w:rsid w:val="003B5859"/>
    <w:rsid w:val="003B6B41"/>
    <w:rsid w:val="003C30C8"/>
    <w:rsid w:val="003C60BD"/>
    <w:rsid w:val="003D079A"/>
    <w:rsid w:val="003D21A7"/>
    <w:rsid w:val="003D3937"/>
    <w:rsid w:val="003D6840"/>
    <w:rsid w:val="003D71BE"/>
    <w:rsid w:val="003D73D8"/>
    <w:rsid w:val="003E2801"/>
    <w:rsid w:val="003F2261"/>
    <w:rsid w:val="003F57A4"/>
    <w:rsid w:val="003F5921"/>
    <w:rsid w:val="00401990"/>
    <w:rsid w:val="00401B87"/>
    <w:rsid w:val="0040447D"/>
    <w:rsid w:val="004059C6"/>
    <w:rsid w:val="004131BC"/>
    <w:rsid w:val="004141CA"/>
    <w:rsid w:val="00414C80"/>
    <w:rsid w:val="004155E1"/>
    <w:rsid w:val="00421201"/>
    <w:rsid w:val="00423E8F"/>
    <w:rsid w:val="00425974"/>
    <w:rsid w:val="0043596B"/>
    <w:rsid w:val="0043787F"/>
    <w:rsid w:val="00437DFD"/>
    <w:rsid w:val="00440F57"/>
    <w:rsid w:val="0044769A"/>
    <w:rsid w:val="00450538"/>
    <w:rsid w:val="00451250"/>
    <w:rsid w:val="00452268"/>
    <w:rsid w:val="00456179"/>
    <w:rsid w:val="00460019"/>
    <w:rsid w:val="004670C2"/>
    <w:rsid w:val="00467163"/>
    <w:rsid w:val="00472F9B"/>
    <w:rsid w:val="0047504D"/>
    <w:rsid w:val="00480523"/>
    <w:rsid w:val="004811AD"/>
    <w:rsid w:val="0048579D"/>
    <w:rsid w:val="004869EF"/>
    <w:rsid w:val="00492F5F"/>
    <w:rsid w:val="004A27CD"/>
    <w:rsid w:val="004A624D"/>
    <w:rsid w:val="004A680E"/>
    <w:rsid w:val="004B08BC"/>
    <w:rsid w:val="004B1633"/>
    <w:rsid w:val="004B329A"/>
    <w:rsid w:val="004B5392"/>
    <w:rsid w:val="004C3BA7"/>
    <w:rsid w:val="004C4A74"/>
    <w:rsid w:val="004C551F"/>
    <w:rsid w:val="004D23F6"/>
    <w:rsid w:val="004D67A3"/>
    <w:rsid w:val="004E16F6"/>
    <w:rsid w:val="004E3A1B"/>
    <w:rsid w:val="004E5673"/>
    <w:rsid w:val="004F0589"/>
    <w:rsid w:val="005004E1"/>
    <w:rsid w:val="00501308"/>
    <w:rsid w:val="00507282"/>
    <w:rsid w:val="00510909"/>
    <w:rsid w:val="00512AA0"/>
    <w:rsid w:val="00520CE0"/>
    <w:rsid w:val="00522D95"/>
    <w:rsid w:val="00527BBD"/>
    <w:rsid w:val="00531857"/>
    <w:rsid w:val="00535B56"/>
    <w:rsid w:val="005459A3"/>
    <w:rsid w:val="00547DC3"/>
    <w:rsid w:val="00547EF2"/>
    <w:rsid w:val="00551ADA"/>
    <w:rsid w:val="00552579"/>
    <w:rsid w:val="00556066"/>
    <w:rsid w:val="00560BCA"/>
    <w:rsid w:val="0056238F"/>
    <w:rsid w:val="00565429"/>
    <w:rsid w:val="00565A1F"/>
    <w:rsid w:val="00571027"/>
    <w:rsid w:val="00574D4A"/>
    <w:rsid w:val="00575F7A"/>
    <w:rsid w:val="00577DEF"/>
    <w:rsid w:val="005816D0"/>
    <w:rsid w:val="00581FD2"/>
    <w:rsid w:val="00587BA5"/>
    <w:rsid w:val="00590EB9"/>
    <w:rsid w:val="00592F12"/>
    <w:rsid w:val="00593A39"/>
    <w:rsid w:val="00593E67"/>
    <w:rsid w:val="0059520D"/>
    <w:rsid w:val="005A0D9D"/>
    <w:rsid w:val="005A5591"/>
    <w:rsid w:val="005A7E81"/>
    <w:rsid w:val="005B2955"/>
    <w:rsid w:val="005B3C01"/>
    <w:rsid w:val="005B62CF"/>
    <w:rsid w:val="005B6FAA"/>
    <w:rsid w:val="005B715B"/>
    <w:rsid w:val="005C4B6A"/>
    <w:rsid w:val="005E1E86"/>
    <w:rsid w:val="005E3DC2"/>
    <w:rsid w:val="005E49B8"/>
    <w:rsid w:val="005E5C30"/>
    <w:rsid w:val="005F1FE9"/>
    <w:rsid w:val="005F4B12"/>
    <w:rsid w:val="0060047D"/>
    <w:rsid w:val="006014DB"/>
    <w:rsid w:val="00604437"/>
    <w:rsid w:val="00606400"/>
    <w:rsid w:val="00606D07"/>
    <w:rsid w:val="006108A3"/>
    <w:rsid w:val="00610AA2"/>
    <w:rsid w:val="00613C05"/>
    <w:rsid w:val="00615A80"/>
    <w:rsid w:val="00620B93"/>
    <w:rsid w:val="00625C1B"/>
    <w:rsid w:val="00626D1D"/>
    <w:rsid w:val="00631C81"/>
    <w:rsid w:val="00634ED1"/>
    <w:rsid w:val="00635119"/>
    <w:rsid w:val="00636A0C"/>
    <w:rsid w:val="00643D3F"/>
    <w:rsid w:val="00650AAD"/>
    <w:rsid w:val="00652BBC"/>
    <w:rsid w:val="00655A17"/>
    <w:rsid w:val="00660BB0"/>
    <w:rsid w:val="00662FF5"/>
    <w:rsid w:val="0066369D"/>
    <w:rsid w:val="0066770A"/>
    <w:rsid w:val="00673146"/>
    <w:rsid w:val="00673643"/>
    <w:rsid w:val="00674D33"/>
    <w:rsid w:val="00686448"/>
    <w:rsid w:val="006919CF"/>
    <w:rsid w:val="00695264"/>
    <w:rsid w:val="00696643"/>
    <w:rsid w:val="006A18F3"/>
    <w:rsid w:val="006A28E1"/>
    <w:rsid w:val="006A4D4E"/>
    <w:rsid w:val="006B58B0"/>
    <w:rsid w:val="006C45D0"/>
    <w:rsid w:val="006D1858"/>
    <w:rsid w:val="006D1C5E"/>
    <w:rsid w:val="006D526A"/>
    <w:rsid w:val="006E3497"/>
    <w:rsid w:val="006E3612"/>
    <w:rsid w:val="006F1747"/>
    <w:rsid w:val="006F31CF"/>
    <w:rsid w:val="0070072D"/>
    <w:rsid w:val="00703573"/>
    <w:rsid w:val="007109B1"/>
    <w:rsid w:val="00710C91"/>
    <w:rsid w:val="007208E0"/>
    <w:rsid w:val="00723075"/>
    <w:rsid w:val="00733323"/>
    <w:rsid w:val="007360F5"/>
    <w:rsid w:val="00742337"/>
    <w:rsid w:val="00744D19"/>
    <w:rsid w:val="00747A7E"/>
    <w:rsid w:val="00747D2F"/>
    <w:rsid w:val="00752EA8"/>
    <w:rsid w:val="00754AF6"/>
    <w:rsid w:val="007575AC"/>
    <w:rsid w:val="00765194"/>
    <w:rsid w:val="00765D1A"/>
    <w:rsid w:val="0076759A"/>
    <w:rsid w:val="007700A7"/>
    <w:rsid w:val="007717EB"/>
    <w:rsid w:val="007721F3"/>
    <w:rsid w:val="00776654"/>
    <w:rsid w:val="00781788"/>
    <w:rsid w:val="0078204D"/>
    <w:rsid w:val="007A265C"/>
    <w:rsid w:val="007A4858"/>
    <w:rsid w:val="007B0986"/>
    <w:rsid w:val="007B0CF3"/>
    <w:rsid w:val="007B3A8E"/>
    <w:rsid w:val="007B527A"/>
    <w:rsid w:val="007C1ECB"/>
    <w:rsid w:val="007C4899"/>
    <w:rsid w:val="007C6540"/>
    <w:rsid w:val="007C6B01"/>
    <w:rsid w:val="007D3D3F"/>
    <w:rsid w:val="007D4F9F"/>
    <w:rsid w:val="007E4359"/>
    <w:rsid w:val="007E5D26"/>
    <w:rsid w:val="007F2ED4"/>
    <w:rsid w:val="007F6033"/>
    <w:rsid w:val="00802FCB"/>
    <w:rsid w:val="008054BE"/>
    <w:rsid w:val="0080612B"/>
    <w:rsid w:val="00811735"/>
    <w:rsid w:val="00817DA0"/>
    <w:rsid w:val="00821671"/>
    <w:rsid w:val="0082472C"/>
    <w:rsid w:val="00825DA9"/>
    <w:rsid w:val="00830EA6"/>
    <w:rsid w:val="0083145C"/>
    <w:rsid w:val="00831E08"/>
    <w:rsid w:val="00841047"/>
    <w:rsid w:val="008450C0"/>
    <w:rsid w:val="008457E4"/>
    <w:rsid w:val="00850F26"/>
    <w:rsid w:val="00853635"/>
    <w:rsid w:val="008573ED"/>
    <w:rsid w:val="00861E61"/>
    <w:rsid w:val="008728E0"/>
    <w:rsid w:val="00873F74"/>
    <w:rsid w:val="00875FFA"/>
    <w:rsid w:val="00880DFE"/>
    <w:rsid w:val="00884CEA"/>
    <w:rsid w:val="00887F65"/>
    <w:rsid w:val="00892655"/>
    <w:rsid w:val="008943CE"/>
    <w:rsid w:val="00896B3F"/>
    <w:rsid w:val="008A0292"/>
    <w:rsid w:val="008A30B9"/>
    <w:rsid w:val="008A30C4"/>
    <w:rsid w:val="008A3364"/>
    <w:rsid w:val="008A338F"/>
    <w:rsid w:val="008A79AB"/>
    <w:rsid w:val="008B5290"/>
    <w:rsid w:val="008B593F"/>
    <w:rsid w:val="008B6344"/>
    <w:rsid w:val="008C580E"/>
    <w:rsid w:val="008C7795"/>
    <w:rsid w:val="008D028E"/>
    <w:rsid w:val="008D10A0"/>
    <w:rsid w:val="008E025A"/>
    <w:rsid w:val="008E4FC9"/>
    <w:rsid w:val="008E567E"/>
    <w:rsid w:val="008E6D59"/>
    <w:rsid w:val="008F0B8B"/>
    <w:rsid w:val="008F3DE8"/>
    <w:rsid w:val="008F5D6F"/>
    <w:rsid w:val="00904CC3"/>
    <w:rsid w:val="00906CF4"/>
    <w:rsid w:val="00907B74"/>
    <w:rsid w:val="00910818"/>
    <w:rsid w:val="00915725"/>
    <w:rsid w:val="00921B36"/>
    <w:rsid w:val="00921D68"/>
    <w:rsid w:val="00927A41"/>
    <w:rsid w:val="00935CE7"/>
    <w:rsid w:val="009374DF"/>
    <w:rsid w:val="0094118E"/>
    <w:rsid w:val="00943070"/>
    <w:rsid w:val="00955553"/>
    <w:rsid w:val="00955E96"/>
    <w:rsid w:val="00957B76"/>
    <w:rsid w:val="009746A1"/>
    <w:rsid w:val="009766F7"/>
    <w:rsid w:val="0098201A"/>
    <w:rsid w:val="00982496"/>
    <w:rsid w:val="00986797"/>
    <w:rsid w:val="00991CDF"/>
    <w:rsid w:val="009943E2"/>
    <w:rsid w:val="009943E4"/>
    <w:rsid w:val="00994C16"/>
    <w:rsid w:val="0099646C"/>
    <w:rsid w:val="009A0C9D"/>
    <w:rsid w:val="009A237A"/>
    <w:rsid w:val="009A49A7"/>
    <w:rsid w:val="009B3622"/>
    <w:rsid w:val="009B482D"/>
    <w:rsid w:val="009B633D"/>
    <w:rsid w:val="009C35B1"/>
    <w:rsid w:val="009C4881"/>
    <w:rsid w:val="009C7A0E"/>
    <w:rsid w:val="009D3DBB"/>
    <w:rsid w:val="009D4879"/>
    <w:rsid w:val="009E59F1"/>
    <w:rsid w:val="009F299E"/>
    <w:rsid w:val="009F3DF9"/>
    <w:rsid w:val="009F43EA"/>
    <w:rsid w:val="009F597D"/>
    <w:rsid w:val="009F672B"/>
    <w:rsid w:val="00A0030C"/>
    <w:rsid w:val="00A02C6A"/>
    <w:rsid w:val="00A02F20"/>
    <w:rsid w:val="00A03972"/>
    <w:rsid w:val="00A13D8D"/>
    <w:rsid w:val="00A14903"/>
    <w:rsid w:val="00A15D49"/>
    <w:rsid w:val="00A20D00"/>
    <w:rsid w:val="00A24EFB"/>
    <w:rsid w:val="00A30D9A"/>
    <w:rsid w:val="00A320B2"/>
    <w:rsid w:val="00A33719"/>
    <w:rsid w:val="00A43072"/>
    <w:rsid w:val="00A44855"/>
    <w:rsid w:val="00A4694A"/>
    <w:rsid w:val="00A46A92"/>
    <w:rsid w:val="00A578A6"/>
    <w:rsid w:val="00A63674"/>
    <w:rsid w:val="00A63FDC"/>
    <w:rsid w:val="00A64E80"/>
    <w:rsid w:val="00A65884"/>
    <w:rsid w:val="00A6796D"/>
    <w:rsid w:val="00A72D8B"/>
    <w:rsid w:val="00A731BD"/>
    <w:rsid w:val="00A74E0A"/>
    <w:rsid w:val="00A7558E"/>
    <w:rsid w:val="00A777E1"/>
    <w:rsid w:val="00A8144F"/>
    <w:rsid w:val="00A835E4"/>
    <w:rsid w:val="00A873DD"/>
    <w:rsid w:val="00A905D8"/>
    <w:rsid w:val="00A94219"/>
    <w:rsid w:val="00AA0B6B"/>
    <w:rsid w:val="00AA18E6"/>
    <w:rsid w:val="00AA1DDC"/>
    <w:rsid w:val="00AA2C78"/>
    <w:rsid w:val="00AA3F0B"/>
    <w:rsid w:val="00AA5BCB"/>
    <w:rsid w:val="00AA788A"/>
    <w:rsid w:val="00AB1EB8"/>
    <w:rsid w:val="00AC37A5"/>
    <w:rsid w:val="00AD2E0E"/>
    <w:rsid w:val="00AD48EA"/>
    <w:rsid w:val="00AD6516"/>
    <w:rsid w:val="00AD6E16"/>
    <w:rsid w:val="00AE4702"/>
    <w:rsid w:val="00B047A4"/>
    <w:rsid w:val="00B150A2"/>
    <w:rsid w:val="00B16114"/>
    <w:rsid w:val="00B231C2"/>
    <w:rsid w:val="00B238AD"/>
    <w:rsid w:val="00B257FE"/>
    <w:rsid w:val="00B34761"/>
    <w:rsid w:val="00B37BC3"/>
    <w:rsid w:val="00B4076D"/>
    <w:rsid w:val="00B410B6"/>
    <w:rsid w:val="00B52533"/>
    <w:rsid w:val="00B5639D"/>
    <w:rsid w:val="00B61C32"/>
    <w:rsid w:val="00B61FEB"/>
    <w:rsid w:val="00B63F40"/>
    <w:rsid w:val="00B645ED"/>
    <w:rsid w:val="00B720E0"/>
    <w:rsid w:val="00B720EC"/>
    <w:rsid w:val="00B75257"/>
    <w:rsid w:val="00B762E0"/>
    <w:rsid w:val="00B81A32"/>
    <w:rsid w:val="00B825D0"/>
    <w:rsid w:val="00B83929"/>
    <w:rsid w:val="00B8669F"/>
    <w:rsid w:val="00B87130"/>
    <w:rsid w:val="00B915F1"/>
    <w:rsid w:val="00B94F97"/>
    <w:rsid w:val="00B95205"/>
    <w:rsid w:val="00B95738"/>
    <w:rsid w:val="00B970D9"/>
    <w:rsid w:val="00BA205A"/>
    <w:rsid w:val="00BA7DEC"/>
    <w:rsid w:val="00BB1C2F"/>
    <w:rsid w:val="00BB2479"/>
    <w:rsid w:val="00BB281C"/>
    <w:rsid w:val="00BB6D40"/>
    <w:rsid w:val="00BB7136"/>
    <w:rsid w:val="00BB73C5"/>
    <w:rsid w:val="00BC2E2E"/>
    <w:rsid w:val="00BC7C33"/>
    <w:rsid w:val="00BD357C"/>
    <w:rsid w:val="00BE0430"/>
    <w:rsid w:val="00BF05D0"/>
    <w:rsid w:val="00BF1EDF"/>
    <w:rsid w:val="00BF372F"/>
    <w:rsid w:val="00BF735E"/>
    <w:rsid w:val="00BF786A"/>
    <w:rsid w:val="00C0644C"/>
    <w:rsid w:val="00C14A84"/>
    <w:rsid w:val="00C163C6"/>
    <w:rsid w:val="00C17A97"/>
    <w:rsid w:val="00C205C8"/>
    <w:rsid w:val="00C27A2E"/>
    <w:rsid w:val="00C37278"/>
    <w:rsid w:val="00C37B6A"/>
    <w:rsid w:val="00C4006D"/>
    <w:rsid w:val="00C41B98"/>
    <w:rsid w:val="00C42EAC"/>
    <w:rsid w:val="00C46919"/>
    <w:rsid w:val="00C518C2"/>
    <w:rsid w:val="00C65B05"/>
    <w:rsid w:val="00C73F08"/>
    <w:rsid w:val="00C750E3"/>
    <w:rsid w:val="00C75586"/>
    <w:rsid w:val="00C75F45"/>
    <w:rsid w:val="00C77433"/>
    <w:rsid w:val="00C84894"/>
    <w:rsid w:val="00C84911"/>
    <w:rsid w:val="00C929D4"/>
    <w:rsid w:val="00C933ED"/>
    <w:rsid w:val="00C95062"/>
    <w:rsid w:val="00CA136B"/>
    <w:rsid w:val="00CA7470"/>
    <w:rsid w:val="00CA7947"/>
    <w:rsid w:val="00CB16C6"/>
    <w:rsid w:val="00CC2FEA"/>
    <w:rsid w:val="00CC7533"/>
    <w:rsid w:val="00CD0E90"/>
    <w:rsid w:val="00CD5BF7"/>
    <w:rsid w:val="00CD60A9"/>
    <w:rsid w:val="00CD655B"/>
    <w:rsid w:val="00CE1660"/>
    <w:rsid w:val="00CE6705"/>
    <w:rsid w:val="00CF3861"/>
    <w:rsid w:val="00D0660C"/>
    <w:rsid w:val="00D11271"/>
    <w:rsid w:val="00D150A9"/>
    <w:rsid w:val="00D15980"/>
    <w:rsid w:val="00D16777"/>
    <w:rsid w:val="00D20C47"/>
    <w:rsid w:val="00D212BB"/>
    <w:rsid w:val="00D2521F"/>
    <w:rsid w:val="00D27D52"/>
    <w:rsid w:val="00D422B5"/>
    <w:rsid w:val="00D44D4E"/>
    <w:rsid w:val="00D45A14"/>
    <w:rsid w:val="00D474B5"/>
    <w:rsid w:val="00D502EC"/>
    <w:rsid w:val="00D518D1"/>
    <w:rsid w:val="00D543D5"/>
    <w:rsid w:val="00D57BAB"/>
    <w:rsid w:val="00D65B1B"/>
    <w:rsid w:val="00D66BFB"/>
    <w:rsid w:val="00D66E74"/>
    <w:rsid w:val="00D71264"/>
    <w:rsid w:val="00D87226"/>
    <w:rsid w:val="00DA02EA"/>
    <w:rsid w:val="00DA097F"/>
    <w:rsid w:val="00DA3E7C"/>
    <w:rsid w:val="00DA73A3"/>
    <w:rsid w:val="00DA79B5"/>
    <w:rsid w:val="00DB1329"/>
    <w:rsid w:val="00DB3948"/>
    <w:rsid w:val="00DB49A0"/>
    <w:rsid w:val="00DC143A"/>
    <w:rsid w:val="00DC5DC7"/>
    <w:rsid w:val="00DC63E6"/>
    <w:rsid w:val="00DD0A49"/>
    <w:rsid w:val="00DD31D9"/>
    <w:rsid w:val="00DD39DB"/>
    <w:rsid w:val="00DD6585"/>
    <w:rsid w:val="00DD68E4"/>
    <w:rsid w:val="00DE2E04"/>
    <w:rsid w:val="00DE4608"/>
    <w:rsid w:val="00DE48CC"/>
    <w:rsid w:val="00DF4F3C"/>
    <w:rsid w:val="00DF4F6F"/>
    <w:rsid w:val="00E01BF0"/>
    <w:rsid w:val="00E076A3"/>
    <w:rsid w:val="00E14FC3"/>
    <w:rsid w:val="00E23602"/>
    <w:rsid w:val="00E2592B"/>
    <w:rsid w:val="00E26B72"/>
    <w:rsid w:val="00E2716D"/>
    <w:rsid w:val="00E329EE"/>
    <w:rsid w:val="00E41C1E"/>
    <w:rsid w:val="00E41EA6"/>
    <w:rsid w:val="00E43EBB"/>
    <w:rsid w:val="00E46B00"/>
    <w:rsid w:val="00E47851"/>
    <w:rsid w:val="00E50C4A"/>
    <w:rsid w:val="00E51DE9"/>
    <w:rsid w:val="00E52235"/>
    <w:rsid w:val="00E535B6"/>
    <w:rsid w:val="00E548A8"/>
    <w:rsid w:val="00E54C12"/>
    <w:rsid w:val="00E56716"/>
    <w:rsid w:val="00E706B3"/>
    <w:rsid w:val="00E7422B"/>
    <w:rsid w:val="00E771C3"/>
    <w:rsid w:val="00E90C19"/>
    <w:rsid w:val="00E97584"/>
    <w:rsid w:val="00EA09CF"/>
    <w:rsid w:val="00EA3289"/>
    <w:rsid w:val="00EA57D9"/>
    <w:rsid w:val="00EA5D32"/>
    <w:rsid w:val="00EA608F"/>
    <w:rsid w:val="00EA6F07"/>
    <w:rsid w:val="00EB563F"/>
    <w:rsid w:val="00EB58F3"/>
    <w:rsid w:val="00EB667A"/>
    <w:rsid w:val="00EC2B66"/>
    <w:rsid w:val="00EC2DA7"/>
    <w:rsid w:val="00ED0EBB"/>
    <w:rsid w:val="00ED5AE9"/>
    <w:rsid w:val="00ED779B"/>
    <w:rsid w:val="00EE4455"/>
    <w:rsid w:val="00EF0A27"/>
    <w:rsid w:val="00F00289"/>
    <w:rsid w:val="00F00EF3"/>
    <w:rsid w:val="00F01063"/>
    <w:rsid w:val="00F04055"/>
    <w:rsid w:val="00F06ED1"/>
    <w:rsid w:val="00F07F59"/>
    <w:rsid w:val="00F10D23"/>
    <w:rsid w:val="00F122B9"/>
    <w:rsid w:val="00F12EF2"/>
    <w:rsid w:val="00F17527"/>
    <w:rsid w:val="00F204CD"/>
    <w:rsid w:val="00F21CD9"/>
    <w:rsid w:val="00F22467"/>
    <w:rsid w:val="00F22750"/>
    <w:rsid w:val="00F24660"/>
    <w:rsid w:val="00F25F2D"/>
    <w:rsid w:val="00F3207F"/>
    <w:rsid w:val="00F3541A"/>
    <w:rsid w:val="00F448C0"/>
    <w:rsid w:val="00F46275"/>
    <w:rsid w:val="00F5665F"/>
    <w:rsid w:val="00F5680D"/>
    <w:rsid w:val="00F60488"/>
    <w:rsid w:val="00F6148F"/>
    <w:rsid w:val="00F631B6"/>
    <w:rsid w:val="00F63BC0"/>
    <w:rsid w:val="00F640FB"/>
    <w:rsid w:val="00F70715"/>
    <w:rsid w:val="00F719B8"/>
    <w:rsid w:val="00F85FA7"/>
    <w:rsid w:val="00F93638"/>
    <w:rsid w:val="00F94B00"/>
    <w:rsid w:val="00F951EB"/>
    <w:rsid w:val="00FA03AD"/>
    <w:rsid w:val="00FA2E89"/>
    <w:rsid w:val="00FA35F0"/>
    <w:rsid w:val="00FA4304"/>
    <w:rsid w:val="00FB0826"/>
    <w:rsid w:val="00FB2E59"/>
    <w:rsid w:val="00FB40B9"/>
    <w:rsid w:val="00FB4A9E"/>
    <w:rsid w:val="00FB4BFF"/>
    <w:rsid w:val="00FB5C2C"/>
    <w:rsid w:val="00FB5CB5"/>
    <w:rsid w:val="00FB63F7"/>
    <w:rsid w:val="00FB6500"/>
    <w:rsid w:val="00FB65A5"/>
    <w:rsid w:val="00FC0E80"/>
    <w:rsid w:val="00FC3E2C"/>
    <w:rsid w:val="00FC430C"/>
    <w:rsid w:val="00FC4706"/>
    <w:rsid w:val="00FC55D0"/>
    <w:rsid w:val="00FC6F28"/>
    <w:rsid w:val="00FC7332"/>
    <w:rsid w:val="00FD1D9C"/>
    <w:rsid w:val="00FD45BA"/>
    <w:rsid w:val="00FE0D9B"/>
    <w:rsid w:val="00FF42BD"/>
    <w:rsid w:val="00FF7037"/>
    <w:rsid w:val="0BA48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E1765"/>
  <w15:chartTrackingRefBased/>
  <w15:docId w15:val="{F7EE83D2-D346-4AF4-B4B4-E247363D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uiPriority w:val="59"/>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uiPriority w:val="99"/>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F07F59"/>
    <w:pPr>
      <w:keepLines/>
      <w:spacing w:after="0" w:line="259" w:lineRule="auto"/>
      <w:outlineLvl w:val="9"/>
    </w:pPr>
    <w:rPr>
      <w:rFonts w:ascii="Times New Roman" w:hAnsi="Times New Roman" w:cs="Times New Roman"/>
      <w:bCs w:val="0"/>
      <w:kern w:val="0"/>
      <w:sz w:val="24"/>
    </w:rPr>
  </w:style>
  <w:style w:type="paragraph" w:customStyle="1" w:styleId="Default">
    <w:name w:val="Default"/>
    <w:rsid w:val="00C84894"/>
    <w:pPr>
      <w:autoSpaceDE w:val="0"/>
      <w:autoSpaceDN w:val="0"/>
      <w:adjustRightInd w:val="0"/>
    </w:pPr>
    <w:rPr>
      <w:color w:val="000000"/>
      <w:sz w:val="24"/>
      <w:szCs w:val="24"/>
    </w:rPr>
  </w:style>
  <w:style w:type="paragraph" w:styleId="List">
    <w:name w:val="List"/>
    <w:basedOn w:val="BlockText"/>
    <w:rsid w:val="00C84894"/>
    <w:pPr>
      <w:numPr>
        <w:numId w:val="14"/>
      </w:numPr>
      <w:tabs>
        <w:tab w:val="num" w:pos="360"/>
      </w:tabs>
      <w:spacing w:before="100" w:beforeAutospacing="1" w:after="100" w:afterAutospacing="1"/>
      <w:ind w:left="360" w:right="720"/>
    </w:pPr>
    <w:rPr>
      <w:i/>
    </w:rPr>
  </w:style>
  <w:style w:type="paragraph" w:styleId="List2">
    <w:name w:val="List 2"/>
    <w:basedOn w:val="List"/>
    <w:rsid w:val="00C84894"/>
    <w:pPr>
      <w:numPr>
        <w:ilvl w:val="1"/>
      </w:numPr>
      <w:tabs>
        <w:tab w:val="num" w:pos="360"/>
      </w:tabs>
      <w:ind w:left="1440"/>
    </w:pPr>
  </w:style>
  <w:style w:type="paragraph" w:styleId="BlockText">
    <w:name w:val="Block Text"/>
    <w:basedOn w:val="Normal"/>
    <w:rsid w:val="00C84894"/>
    <w:pPr>
      <w:spacing w:after="120"/>
      <w:ind w:left="1440" w:right="1440"/>
    </w:pPr>
  </w:style>
  <w:style w:type="paragraph" w:styleId="ListParagraph">
    <w:name w:val="List Paragraph"/>
    <w:basedOn w:val="Normal"/>
    <w:uiPriority w:val="34"/>
    <w:qFormat/>
    <w:rsid w:val="00FA35F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10981776">
      <w:bodyDiv w:val="1"/>
      <w:marLeft w:val="0"/>
      <w:marRight w:val="0"/>
      <w:marTop w:val="0"/>
      <w:marBottom w:val="0"/>
      <w:divBdr>
        <w:top w:val="none" w:sz="0" w:space="0" w:color="auto"/>
        <w:left w:val="none" w:sz="0" w:space="0" w:color="auto"/>
        <w:bottom w:val="none" w:sz="0" w:space="0" w:color="auto"/>
        <w:right w:val="none" w:sz="0" w:space="0" w:color="auto"/>
      </w:divBdr>
    </w:div>
    <w:div w:id="118033097">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96504747">
      <w:bodyDiv w:val="1"/>
      <w:marLeft w:val="0"/>
      <w:marRight w:val="0"/>
      <w:marTop w:val="0"/>
      <w:marBottom w:val="0"/>
      <w:divBdr>
        <w:top w:val="none" w:sz="0" w:space="0" w:color="auto"/>
        <w:left w:val="none" w:sz="0" w:space="0" w:color="auto"/>
        <w:bottom w:val="none" w:sz="0" w:space="0" w:color="auto"/>
        <w:right w:val="none" w:sz="0" w:space="0" w:color="auto"/>
      </w:divBdr>
    </w:div>
    <w:div w:id="197275755">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455950292">
      <w:bodyDiv w:val="1"/>
      <w:marLeft w:val="0"/>
      <w:marRight w:val="0"/>
      <w:marTop w:val="0"/>
      <w:marBottom w:val="0"/>
      <w:divBdr>
        <w:top w:val="none" w:sz="0" w:space="0" w:color="auto"/>
        <w:left w:val="none" w:sz="0" w:space="0" w:color="auto"/>
        <w:bottom w:val="none" w:sz="0" w:space="0" w:color="auto"/>
        <w:right w:val="none" w:sz="0" w:space="0" w:color="auto"/>
      </w:divBdr>
    </w:div>
    <w:div w:id="535393084">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22928902">
      <w:bodyDiv w:val="1"/>
      <w:marLeft w:val="0"/>
      <w:marRight w:val="0"/>
      <w:marTop w:val="0"/>
      <w:marBottom w:val="0"/>
      <w:divBdr>
        <w:top w:val="none" w:sz="0" w:space="0" w:color="auto"/>
        <w:left w:val="none" w:sz="0" w:space="0" w:color="auto"/>
        <w:bottom w:val="none" w:sz="0" w:space="0" w:color="auto"/>
        <w:right w:val="none" w:sz="0" w:space="0" w:color="auto"/>
      </w:divBdr>
    </w:div>
    <w:div w:id="669329397">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957182342">
      <w:bodyDiv w:val="1"/>
      <w:marLeft w:val="0"/>
      <w:marRight w:val="0"/>
      <w:marTop w:val="0"/>
      <w:marBottom w:val="0"/>
      <w:divBdr>
        <w:top w:val="none" w:sz="0" w:space="0" w:color="auto"/>
        <w:left w:val="none" w:sz="0" w:space="0" w:color="auto"/>
        <w:bottom w:val="none" w:sz="0" w:space="0" w:color="auto"/>
        <w:right w:val="none" w:sz="0" w:space="0" w:color="auto"/>
      </w:divBdr>
    </w:div>
    <w:div w:id="1007487214">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72810058">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31228514">
      <w:bodyDiv w:val="1"/>
      <w:marLeft w:val="0"/>
      <w:marRight w:val="0"/>
      <w:marTop w:val="0"/>
      <w:marBottom w:val="0"/>
      <w:divBdr>
        <w:top w:val="none" w:sz="0" w:space="0" w:color="auto"/>
        <w:left w:val="none" w:sz="0" w:space="0" w:color="auto"/>
        <w:bottom w:val="none" w:sz="0" w:space="0" w:color="auto"/>
        <w:right w:val="none" w:sz="0" w:space="0" w:color="auto"/>
      </w:divBdr>
    </w:div>
    <w:div w:id="173750738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793549501">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s.ahrq.gov/cdsconnect/artifact/factors-consider-managing-chronic-pain-pain-management-summar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hs.gov/ash/advisory-committees/pain/reports/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m.gov/policy-data-oversight/pay-leave/salaries-wages/salary-tables/pdf/2020/DCB.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E81E7A9E145F499DD27D5B97C98A85" ma:contentTypeVersion="13" ma:contentTypeDescription="Create a new document." ma:contentTypeScope="" ma:versionID="bf6cbb737979107bfc31fecefdc14d32">
  <xsd:schema xmlns:xsd="http://www.w3.org/2001/XMLSchema" xmlns:xs="http://www.w3.org/2001/XMLSchema" xmlns:p="http://schemas.microsoft.com/office/2006/metadata/properties" xmlns:ns2="b18cb35a-52d7-4a3e-8bcd-2d01164aa367" xmlns:ns3="be0bccc6-dc9f-4cca-9b4d-29136a736acc" targetNamespace="http://schemas.microsoft.com/office/2006/metadata/properties" ma:root="true" ma:fieldsID="2989c1f051bc4b88630331a2b6efdbd2" ns2:_="" ns3:_="">
    <xsd:import namespace="b18cb35a-52d7-4a3e-8bcd-2d01164aa367"/>
    <xsd:import namespace="be0bccc6-dc9f-4cca-9b4d-29136a736a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il7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cb35a-52d7-4a3e-8bcd-2d01164aa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bccc6-dc9f-4cca-9b4d-29136a736a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l7d" ma:index="20" nillable="true" ma:displayName="Person or Group" ma:list="UserInfo" ma:internalName="il7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l7d xmlns="be0bccc6-dc9f-4cca-9b4d-29136a736acc">
      <UserInfo>
        <DisplayName/>
        <AccountId xsi:nil="true"/>
        <AccountType/>
      </UserInfo>
    </il7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BE024-8193-4F45-9409-B16526563993}">
  <ds:schemaRefs>
    <ds:schemaRef ds:uri="http://schemas.microsoft.com/sharepoint/v3/contenttype/forms"/>
  </ds:schemaRefs>
</ds:datastoreItem>
</file>

<file path=customXml/itemProps2.xml><?xml version="1.0" encoding="utf-8"?>
<ds:datastoreItem xmlns:ds="http://schemas.openxmlformats.org/officeDocument/2006/customXml" ds:itemID="{618C7D23-68EE-461A-8BE5-408EF6E00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cb35a-52d7-4a3e-8bcd-2d01164aa367"/>
    <ds:schemaRef ds:uri="be0bccc6-dc9f-4cca-9b4d-29136a736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DA75C-5BF2-4362-B5B5-D1145AD5397E}">
  <ds:schemaRefs>
    <ds:schemaRef ds:uri="http://schemas.microsoft.com/office/2006/metadata/properties"/>
    <ds:schemaRef ds:uri="http://schemas.microsoft.com/office/infopath/2007/PartnerControls"/>
    <ds:schemaRef ds:uri="be0bccc6-dc9f-4cca-9b4d-29136a736acc"/>
  </ds:schemaRefs>
</ds:datastoreItem>
</file>

<file path=customXml/itemProps4.xml><?xml version="1.0" encoding="utf-8"?>
<ds:datastoreItem xmlns:ds="http://schemas.openxmlformats.org/officeDocument/2006/customXml" ds:itemID="{96DEB053-C345-408D-A87A-6272A812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3282</Words>
  <Characters>20982</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24216</CharactersWithSpaces>
  <SharedDoc>false</SharedDoc>
  <HLinks>
    <vt:vector size="144" baseType="variant">
      <vt:variant>
        <vt:i4>2883630</vt:i4>
      </vt:variant>
      <vt:variant>
        <vt:i4>135</vt:i4>
      </vt:variant>
      <vt:variant>
        <vt:i4>0</vt:i4>
      </vt:variant>
      <vt:variant>
        <vt:i4>5</vt:i4>
      </vt:variant>
      <vt:variant>
        <vt:lpwstr>https://www.hhs.gov/ash/advisory-committees/pain/reports/index.html</vt:lpwstr>
      </vt:variant>
      <vt:variant>
        <vt:lpwstr/>
      </vt:variant>
      <vt:variant>
        <vt:i4>4522096</vt:i4>
      </vt:variant>
      <vt:variant>
        <vt:i4>132</vt:i4>
      </vt:variant>
      <vt:variant>
        <vt:i4>0</vt:i4>
      </vt:variant>
      <vt:variant>
        <vt:i4>5</vt:i4>
      </vt:variant>
      <vt:variant>
        <vt:lpwstr>https://www.opm.gov/policy-data-oversight/pay-leave/salaries-wages/salary-tables/pdf/2014/DCB_h.pdf</vt:lpwstr>
      </vt:variant>
      <vt:variant>
        <vt:lpwstr/>
      </vt:variant>
      <vt:variant>
        <vt:i4>1310722</vt:i4>
      </vt:variant>
      <vt:variant>
        <vt:i4>129</vt:i4>
      </vt:variant>
      <vt:variant>
        <vt:i4>0</vt:i4>
      </vt:variant>
      <vt:variant>
        <vt:i4>5</vt:i4>
      </vt:variant>
      <vt:variant>
        <vt:lpwstr>http://www.opm.gov/policy-data-oversight/pay-leave/salaries-wages/salary-tables/pdf/2015/DCB.pdf</vt:lpwstr>
      </vt:variant>
      <vt:variant>
        <vt:lpwstr/>
      </vt:variant>
      <vt:variant>
        <vt:i4>1376312</vt:i4>
      </vt:variant>
      <vt:variant>
        <vt:i4>122</vt:i4>
      </vt:variant>
      <vt:variant>
        <vt:i4>0</vt:i4>
      </vt:variant>
      <vt:variant>
        <vt:i4>5</vt:i4>
      </vt:variant>
      <vt:variant>
        <vt:lpwstr/>
      </vt:variant>
      <vt:variant>
        <vt:lpwstr>_Toc29290280</vt:lpwstr>
      </vt:variant>
      <vt:variant>
        <vt:i4>1835063</vt:i4>
      </vt:variant>
      <vt:variant>
        <vt:i4>116</vt:i4>
      </vt:variant>
      <vt:variant>
        <vt:i4>0</vt:i4>
      </vt:variant>
      <vt:variant>
        <vt:i4>5</vt:i4>
      </vt:variant>
      <vt:variant>
        <vt:lpwstr/>
      </vt:variant>
      <vt:variant>
        <vt:lpwstr>_Toc29290279</vt:lpwstr>
      </vt:variant>
      <vt:variant>
        <vt:i4>1900599</vt:i4>
      </vt:variant>
      <vt:variant>
        <vt:i4>110</vt:i4>
      </vt:variant>
      <vt:variant>
        <vt:i4>0</vt:i4>
      </vt:variant>
      <vt:variant>
        <vt:i4>5</vt:i4>
      </vt:variant>
      <vt:variant>
        <vt:lpwstr/>
      </vt:variant>
      <vt:variant>
        <vt:lpwstr>_Toc29290278</vt:lpwstr>
      </vt:variant>
      <vt:variant>
        <vt:i4>1179703</vt:i4>
      </vt:variant>
      <vt:variant>
        <vt:i4>104</vt:i4>
      </vt:variant>
      <vt:variant>
        <vt:i4>0</vt:i4>
      </vt:variant>
      <vt:variant>
        <vt:i4>5</vt:i4>
      </vt:variant>
      <vt:variant>
        <vt:lpwstr/>
      </vt:variant>
      <vt:variant>
        <vt:lpwstr>_Toc29290277</vt:lpwstr>
      </vt:variant>
      <vt:variant>
        <vt:i4>1245239</vt:i4>
      </vt:variant>
      <vt:variant>
        <vt:i4>98</vt:i4>
      </vt:variant>
      <vt:variant>
        <vt:i4>0</vt:i4>
      </vt:variant>
      <vt:variant>
        <vt:i4>5</vt:i4>
      </vt:variant>
      <vt:variant>
        <vt:lpwstr/>
      </vt:variant>
      <vt:variant>
        <vt:lpwstr>_Toc29290276</vt:lpwstr>
      </vt:variant>
      <vt:variant>
        <vt:i4>1048631</vt:i4>
      </vt:variant>
      <vt:variant>
        <vt:i4>92</vt:i4>
      </vt:variant>
      <vt:variant>
        <vt:i4>0</vt:i4>
      </vt:variant>
      <vt:variant>
        <vt:i4>5</vt:i4>
      </vt:variant>
      <vt:variant>
        <vt:lpwstr/>
      </vt:variant>
      <vt:variant>
        <vt:lpwstr>_Toc29290275</vt:lpwstr>
      </vt:variant>
      <vt:variant>
        <vt:i4>1114167</vt:i4>
      </vt:variant>
      <vt:variant>
        <vt:i4>86</vt:i4>
      </vt:variant>
      <vt:variant>
        <vt:i4>0</vt:i4>
      </vt:variant>
      <vt:variant>
        <vt:i4>5</vt:i4>
      </vt:variant>
      <vt:variant>
        <vt:lpwstr/>
      </vt:variant>
      <vt:variant>
        <vt:lpwstr>_Toc29290274</vt:lpwstr>
      </vt:variant>
      <vt:variant>
        <vt:i4>1441847</vt:i4>
      </vt:variant>
      <vt:variant>
        <vt:i4>80</vt:i4>
      </vt:variant>
      <vt:variant>
        <vt:i4>0</vt:i4>
      </vt:variant>
      <vt:variant>
        <vt:i4>5</vt:i4>
      </vt:variant>
      <vt:variant>
        <vt:lpwstr/>
      </vt:variant>
      <vt:variant>
        <vt:lpwstr>_Toc29290273</vt:lpwstr>
      </vt:variant>
      <vt:variant>
        <vt:i4>1507383</vt:i4>
      </vt:variant>
      <vt:variant>
        <vt:i4>74</vt:i4>
      </vt:variant>
      <vt:variant>
        <vt:i4>0</vt:i4>
      </vt:variant>
      <vt:variant>
        <vt:i4>5</vt:i4>
      </vt:variant>
      <vt:variant>
        <vt:lpwstr/>
      </vt:variant>
      <vt:variant>
        <vt:lpwstr>_Toc29290272</vt:lpwstr>
      </vt:variant>
      <vt:variant>
        <vt:i4>1310775</vt:i4>
      </vt:variant>
      <vt:variant>
        <vt:i4>68</vt:i4>
      </vt:variant>
      <vt:variant>
        <vt:i4>0</vt:i4>
      </vt:variant>
      <vt:variant>
        <vt:i4>5</vt:i4>
      </vt:variant>
      <vt:variant>
        <vt:lpwstr/>
      </vt:variant>
      <vt:variant>
        <vt:lpwstr>_Toc29290271</vt:lpwstr>
      </vt:variant>
      <vt:variant>
        <vt:i4>1376311</vt:i4>
      </vt:variant>
      <vt:variant>
        <vt:i4>62</vt:i4>
      </vt:variant>
      <vt:variant>
        <vt:i4>0</vt:i4>
      </vt:variant>
      <vt:variant>
        <vt:i4>5</vt:i4>
      </vt:variant>
      <vt:variant>
        <vt:lpwstr/>
      </vt:variant>
      <vt:variant>
        <vt:lpwstr>_Toc29290270</vt:lpwstr>
      </vt:variant>
      <vt:variant>
        <vt:i4>1835062</vt:i4>
      </vt:variant>
      <vt:variant>
        <vt:i4>56</vt:i4>
      </vt:variant>
      <vt:variant>
        <vt:i4>0</vt:i4>
      </vt:variant>
      <vt:variant>
        <vt:i4>5</vt:i4>
      </vt:variant>
      <vt:variant>
        <vt:lpwstr/>
      </vt:variant>
      <vt:variant>
        <vt:lpwstr>_Toc29290269</vt:lpwstr>
      </vt:variant>
      <vt:variant>
        <vt:i4>1900598</vt:i4>
      </vt:variant>
      <vt:variant>
        <vt:i4>50</vt:i4>
      </vt:variant>
      <vt:variant>
        <vt:i4>0</vt:i4>
      </vt:variant>
      <vt:variant>
        <vt:i4>5</vt:i4>
      </vt:variant>
      <vt:variant>
        <vt:lpwstr/>
      </vt:variant>
      <vt:variant>
        <vt:lpwstr>_Toc29290268</vt:lpwstr>
      </vt:variant>
      <vt:variant>
        <vt:i4>1179702</vt:i4>
      </vt:variant>
      <vt:variant>
        <vt:i4>44</vt:i4>
      </vt:variant>
      <vt:variant>
        <vt:i4>0</vt:i4>
      </vt:variant>
      <vt:variant>
        <vt:i4>5</vt:i4>
      </vt:variant>
      <vt:variant>
        <vt:lpwstr/>
      </vt:variant>
      <vt:variant>
        <vt:lpwstr>_Toc29290267</vt:lpwstr>
      </vt:variant>
      <vt:variant>
        <vt:i4>1245238</vt:i4>
      </vt:variant>
      <vt:variant>
        <vt:i4>38</vt:i4>
      </vt:variant>
      <vt:variant>
        <vt:i4>0</vt:i4>
      </vt:variant>
      <vt:variant>
        <vt:i4>5</vt:i4>
      </vt:variant>
      <vt:variant>
        <vt:lpwstr/>
      </vt:variant>
      <vt:variant>
        <vt:lpwstr>_Toc29290266</vt:lpwstr>
      </vt:variant>
      <vt:variant>
        <vt:i4>1048630</vt:i4>
      </vt:variant>
      <vt:variant>
        <vt:i4>32</vt:i4>
      </vt:variant>
      <vt:variant>
        <vt:i4>0</vt:i4>
      </vt:variant>
      <vt:variant>
        <vt:i4>5</vt:i4>
      </vt:variant>
      <vt:variant>
        <vt:lpwstr/>
      </vt:variant>
      <vt:variant>
        <vt:lpwstr>_Toc29290265</vt:lpwstr>
      </vt:variant>
      <vt:variant>
        <vt:i4>1114166</vt:i4>
      </vt:variant>
      <vt:variant>
        <vt:i4>26</vt:i4>
      </vt:variant>
      <vt:variant>
        <vt:i4>0</vt:i4>
      </vt:variant>
      <vt:variant>
        <vt:i4>5</vt:i4>
      </vt:variant>
      <vt:variant>
        <vt:lpwstr/>
      </vt:variant>
      <vt:variant>
        <vt:lpwstr>_Toc29290264</vt:lpwstr>
      </vt:variant>
      <vt:variant>
        <vt:i4>1441846</vt:i4>
      </vt:variant>
      <vt:variant>
        <vt:i4>20</vt:i4>
      </vt:variant>
      <vt:variant>
        <vt:i4>0</vt:i4>
      </vt:variant>
      <vt:variant>
        <vt:i4>5</vt:i4>
      </vt:variant>
      <vt:variant>
        <vt:lpwstr/>
      </vt:variant>
      <vt:variant>
        <vt:lpwstr>_Toc29290263</vt:lpwstr>
      </vt:variant>
      <vt:variant>
        <vt:i4>1507382</vt:i4>
      </vt:variant>
      <vt:variant>
        <vt:i4>14</vt:i4>
      </vt:variant>
      <vt:variant>
        <vt:i4>0</vt:i4>
      </vt:variant>
      <vt:variant>
        <vt:i4>5</vt:i4>
      </vt:variant>
      <vt:variant>
        <vt:lpwstr/>
      </vt:variant>
      <vt:variant>
        <vt:lpwstr>_Toc29290262</vt:lpwstr>
      </vt:variant>
      <vt:variant>
        <vt:i4>1310774</vt:i4>
      </vt:variant>
      <vt:variant>
        <vt:i4>8</vt:i4>
      </vt:variant>
      <vt:variant>
        <vt:i4>0</vt:i4>
      </vt:variant>
      <vt:variant>
        <vt:i4>5</vt:i4>
      </vt:variant>
      <vt:variant>
        <vt:lpwstr/>
      </vt:variant>
      <vt:variant>
        <vt:lpwstr>_Toc29290261</vt:lpwstr>
      </vt:variant>
      <vt:variant>
        <vt:i4>1376310</vt:i4>
      </vt:variant>
      <vt:variant>
        <vt:i4>2</vt:i4>
      </vt:variant>
      <vt:variant>
        <vt:i4>0</vt:i4>
      </vt:variant>
      <vt:variant>
        <vt:i4>5</vt:i4>
      </vt:variant>
      <vt:variant>
        <vt:lpwstr/>
      </vt:variant>
      <vt:variant>
        <vt:lpwstr>_Toc29290260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Burn, Alexandra C</dc:creator>
  <cp:keywords/>
  <dc:description/>
  <cp:lastModifiedBy>Brown, Erwin (AHRQ/CFACT)</cp:lastModifiedBy>
  <cp:revision>5</cp:revision>
  <cp:lastPrinted>2011-07-06T18:06:00Z</cp:lastPrinted>
  <dcterms:created xsi:type="dcterms:W3CDTF">2020-06-09T14:20:00Z</dcterms:created>
  <dcterms:modified xsi:type="dcterms:W3CDTF">2020-10-14T20:31:00Z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0x01010055E81E7A9E145F499DD27D5B97C98A85</vt:lpwstr>
  </property>
</Properties>
</file>