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9B633D" w14:paraId="79ABD63F" w14:textId="77777777">
      <w:pPr>
        <w:jc w:val="center"/>
        <w:rPr>
          <w:sz w:val="28"/>
          <w:szCs w:val="28"/>
        </w:rPr>
      </w:pPr>
    </w:p>
    <w:p w:rsidR="009B633D" w:rsidP="009B633D" w:rsidRDefault="009B633D" w14:paraId="504718FC" w14:textId="77777777">
      <w:pPr>
        <w:jc w:val="center"/>
        <w:rPr>
          <w:sz w:val="28"/>
          <w:szCs w:val="28"/>
        </w:rPr>
      </w:pPr>
    </w:p>
    <w:p w:rsidR="009B633D" w:rsidP="009B633D" w:rsidRDefault="009B633D" w14:paraId="52965D2D" w14:textId="77777777">
      <w:pPr>
        <w:jc w:val="center"/>
        <w:rPr>
          <w:sz w:val="28"/>
          <w:szCs w:val="28"/>
        </w:rPr>
      </w:pPr>
    </w:p>
    <w:p w:rsidR="009B633D" w:rsidP="009B633D" w:rsidRDefault="00456179" w14:paraId="6D817B2F" w14:textId="77777777">
      <w:pPr>
        <w:jc w:val="center"/>
        <w:rPr>
          <w:b/>
          <w:sz w:val="28"/>
          <w:szCs w:val="28"/>
        </w:rPr>
      </w:pPr>
      <w:r w:rsidRPr="00456179">
        <w:rPr>
          <w:b/>
          <w:sz w:val="28"/>
          <w:szCs w:val="28"/>
        </w:rPr>
        <w:t>SUPPORTING STATEMENT</w:t>
      </w:r>
    </w:p>
    <w:p w:rsidR="00635119" w:rsidP="009B633D" w:rsidRDefault="00635119" w14:paraId="1B5FB33C" w14:textId="77777777">
      <w:pPr>
        <w:jc w:val="center"/>
        <w:rPr>
          <w:b/>
          <w:sz w:val="28"/>
          <w:szCs w:val="28"/>
        </w:rPr>
      </w:pPr>
    </w:p>
    <w:p w:rsidR="009B633D" w:rsidP="009B633D" w:rsidRDefault="00456179" w14:paraId="416BD3B2" w14:textId="77777777">
      <w:pPr>
        <w:jc w:val="center"/>
        <w:rPr>
          <w:sz w:val="28"/>
          <w:szCs w:val="28"/>
        </w:rPr>
      </w:pPr>
      <w:r>
        <w:rPr>
          <w:b/>
          <w:sz w:val="28"/>
          <w:szCs w:val="28"/>
        </w:rPr>
        <w:t>Part A</w:t>
      </w:r>
    </w:p>
    <w:p w:rsidR="009B633D" w:rsidP="009B633D" w:rsidRDefault="009B633D" w14:paraId="60A537C4" w14:textId="77777777">
      <w:pPr>
        <w:jc w:val="center"/>
        <w:rPr>
          <w:sz w:val="28"/>
          <w:szCs w:val="28"/>
        </w:rPr>
      </w:pPr>
    </w:p>
    <w:p w:rsidR="009B633D" w:rsidP="009B633D" w:rsidRDefault="009B633D" w14:paraId="3D594DD1" w14:textId="77777777">
      <w:pPr>
        <w:jc w:val="center"/>
        <w:rPr>
          <w:sz w:val="28"/>
          <w:szCs w:val="28"/>
        </w:rPr>
      </w:pPr>
    </w:p>
    <w:p w:rsidR="009B633D" w:rsidP="009B633D" w:rsidRDefault="009B633D" w14:paraId="260B2F2F" w14:textId="77777777">
      <w:pPr>
        <w:jc w:val="center"/>
        <w:rPr>
          <w:sz w:val="28"/>
          <w:szCs w:val="28"/>
        </w:rPr>
      </w:pPr>
    </w:p>
    <w:p w:rsidR="009B633D" w:rsidP="00796E59" w:rsidRDefault="009B633D" w14:paraId="11199F9E" w14:textId="77777777">
      <w:pPr>
        <w:rPr>
          <w:sz w:val="28"/>
          <w:szCs w:val="28"/>
        </w:rPr>
      </w:pPr>
    </w:p>
    <w:p w:rsidRPr="00796E59" w:rsidR="00796E59" w:rsidP="009B633D" w:rsidRDefault="0093098D" w14:paraId="2078C1D9" w14:textId="10FAD42A">
      <w:pPr>
        <w:jc w:val="center"/>
        <w:rPr>
          <w:i/>
          <w:color w:val="000000" w:themeColor="text1"/>
          <w:sz w:val="28"/>
          <w:szCs w:val="28"/>
        </w:rPr>
      </w:pPr>
      <w:r w:rsidRPr="0093098D">
        <w:rPr>
          <w:i/>
          <w:noProof/>
          <w:color w:val="000000" w:themeColor="text1"/>
          <w:sz w:val="28"/>
          <w:szCs w:val="28"/>
        </w:rPr>
        <w:t>Programmatic Information Collection for the AHRQ Initiative to Support Primary Care to Advance Cardiovascular Health in States with High Prevalence of Preventable CVD Events</w:t>
      </w:r>
      <w:r w:rsidRPr="0093098D" w:rsidDel="0093098D">
        <w:rPr>
          <w:i/>
          <w:noProof/>
          <w:color w:val="000000" w:themeColor="text1"/>
          <w:sz w:val="28"/>
          <w:szCs w:val="28"/>
        </w:rPr>
        <w:t xml:space="preserve"> </w:t>
      </w:r>
    </w:p>
    <w:p w:rsidR="009B633D" w:rsidP="009B633D" w:rsidRDefault="009B633D" w14:paraId="70B591CB" w14:textId="77777777">
      <w:pPr>
        <w:jc w:val="center"/>
        <w:rPr>
          <w:sz w:val="28"/>
          <w:szCs w:val="28"/>
        </w:rPr>
      </w:pPr>
    </w:p>
    <w:p w:rsidRPr="00C4006D" w:rsidR="009B633D" w:rsidP="009B633D" w:rsidRDefault="00BB1C2F" w14:paraId="00A70998" w14:textId="3B2D4BA6">
      <w:pPr>
        <w:jc w:val="center"/>
        <w:rPr>
          <w:i/>
          <w:sz w:val="28"/>
          <w:szCs w:val="28"/>
        </w:rPr>
      </w:pPr>
      <w:r>
        <w:rPr>
          <w:b/>
          <w:sz w:val="28"/>
          <w:szCs w:val="28"/>
        </w:rPr>
        <w:t>Version</w:t>
      </w:r>
      <w:r w:rsidR="00FF42BD">
        <w:rPr>
          <w:b/>
          <w:sz w:val="28"/>
          <w:szCs w:val="28"/>
        </w:rPr>
        <w:t>:</w:t>
      </w:r>
      <w:r>
        <w:rPr>
          <w:b/>
          <w:sz w:val="28"/>
          <w:szCs w:val="28"/>
        </w:rPr>
        <w:t xml:space="preserve"> </w:t>
      </w:r>
      <w:r w:rsidR="00671555">
        <w:rPr>
          <w:i/>
          <w:sz w:val="28"/>
          <w:szCs w:val="28"/>
        </w:rPr>
        <w:t>Ju</w:t>
      </w:r>
      <w:r w:rsidR="00BA3D24">
        <w:rPr>
          <w:i/>
          <w:sz w:val="28"/>
          <w:szCs w:val="28"/>
        </w:rPr>
        <w:t xml:space="preserve">ly </w:t>
      </w:r>
      <w:r w:rsidR="00584935">
        <w:rPr>
          <w:i/>
          <w:sz w:val="28"/>
          <w:szCs w:val="28"/>
        </w:rPr>
        <w:t>10</w:t>
      </w:r>
      <w:r w:rsidR="00891699">
        <w:rPr>
          <w:i/>
          <w:sz w:val="28"/>
          <w:szCs w:val="28"/>
        </w:rPr>
        <w:t xml:space="preserve">, </w:t>
      </w:r>
      <w:r w:rsidR="00EE4A82">
        <w:rPr>
          <w:i/>
          <w:sz w:val="28"/>
          <w:szCs w:val="28"/>
        </w:rPr>
        <w:t>2020</w:t>
      </w:r>
    </w:p>
    <w:p w:rsidR="009B633D" w:rsidP="009B633D" w:rsidRDefault="009B633D" w14:paraId="2327AE9D" w14:textId="77777777">
      <w:pPr>
        <w:jc w:val="center"/>
        <w:rPr>
          <w:i/>
          <w:sz w:val="28"/>
          <w:szCs w:val="28"/>
        </w:rPr>
      </w:pPr>
    </w:p>
    <w:p w:rsidR="009B633D" w:rsidP="009B633D" w:rsidRDefault="009B633D" w14:paraId="44627ED3" w14:textId="77777777">
      <w:pPr>
        <w:jc w:val="center"/>
        <w:rPr>
          <w:sz w:val="28"/>
          <w:szCs w:val="28"/>
        </w:rPr>
      </w:pPr>
    </w:p>
    <w:p w:rsidR="009B633D" w:rsidP="009B633D" w:rsidRDefault="009B633D" w14:paraId="11A83611" w14:textId="77777777">
      <w:pPr>
        <w:jc w:val="center"/>
        <w:rPr>
          <w:sz w:val="28"/>
          <w:szCs w:val="28"/>
        </w:rPr>
      </w:pPr>
    </w:p>
    <w:p w:rsidR="009B633D" w:rsidP="009B633D" w:rsidRDefault="009B633D" w14:paraId="7D2ED807" w14:textId="77777777">
      <w:pPr>
        <w:jc w:val="center"/>
        <w:rPr>
          <w:sz w:val="28"/>
          <w:szCs w:val="28"/>
        </w:rPr>
      </w:pPr>
    </w:p>
    <w:p w:rsidR="009B633D" w:rsidP="009B633D" w:rsidRDefault="009B633D" w14:paraId="09228B0B" w14:textId="77777777">
      <w:pPr>
        <w:jc w:val="center"/>
        <w:rPr>
          <w:sz w:val="28"/>
          <w:szCs w:val="28"/>
        </w:rPr>
      </w:pPr>
    </w:p>
    <w:p w:rsidR="009B633D" w:rsidP="009B633D" w:rsidRDefault="009B633D" w14:paraId="0D3CDA46" w14:textId="77777777">
      <w:pPr>
        <w:jc w:val="center"/>
        <w:rPr>
          <w:sz w:val="28"/>
          <w:szCs w:val="28"/>
        </w:rPr>
      </w:pPr>
    </w:p>
    <w:p w:rsidR="009B633D" w:rsidP="009B633D" w:rsidRDefault="009B633D" w14:paraId="728E6886" w14:textId="3BA904B1">
      <w:pPr>
        <w:jc w:val="center"/>
        <w:rPr>
          <w:sz w:val="28"/>
          <w:szCs w:val="28"/>
        </w:rPr>
      </w:pPr>
      <w:r w:rsidRPr="00677A0B">
        <w:rPr>
          <w:sz w:val="28"/>
          <w:szCs w:val="28"/>
        </w:rPr>
        <w:t xml:space="preserve">Agency </w:t>
      </w:r>
      <w:r w:rsidR="002A505B">
        <w:rPr>
          <w:sz w:val="28"/>
          <w:szCs w:val="28"/>
        </w:rPr>
        <w:t>for</w:t>
      </w:r>
      <w:r w:rsidRPr="00677A0B" w:rsidR="002A505B">
        <w:rPr>
          <w:sz w:val="28"/>
          <w:szCs w:val="28"/>
        </w:rPr>
        <w:t xml:space="preserve"> </w:t>
      </w:r>
      <w:r w:rsidRPr="00677A0B">
        <w:rPr>
          <w:sz w:val="28"/>
          <w:szCs w:val="28"/>
        </w:rPr>
        <w:t>Healthcare Research and Quality (AHRQ)</w:t>
      </w:r>
    </w:p>
    <w:p w:rsidR="009B633D" w:rsidRDefault="009B633D" w14:paraId="5C4CC641" w14:textId="77777777">
      <w:pPr>
        <w:rPr>
          <w:sz w:val="28"/>
          <w:szCs w:val="28"/>
        </w:rPr>
      </w:pPr>
    </w:p>
    <w:p w:rsidR="009B633D" w:rsidRDefault="009B633D" w14:paraId="085E82E9" w14:textId="77777777">
      <w:pPr>
        <w:rPr>
          <w:sz w:val="28"/>
          <w:szCs w:val="28"/>
        </w:rPr>
      </w:pPr>
    </w:p>
    <w:p w:rsidR="009B633D" w:rsidP="008C580E" w:rsidRDefault="009B633D" w14:paraId="2CD0C936" w14:textId="77777777">
      <w:pPr>
        <w:rPr>
          <w:b/>
        </w:rPr>
      </w:pPr>
      <w:r>
        <w:br w:type="page"/>
      </w:r>
      <w:r w:rsidRPr="001D0454">
        <w:rPr>
          <w:b/>
        </w:rPr>
        <w:lastRenderedPageBreak/>
        <w:t>Table of contents</w:t>
      </w:r>
    </w:p>
    <w:p w:rsidR="00C0035F" w:rsidRDefault="00B5073D" w14:paraId="534357B4" w14:textId="77777777">
      <w:pPr>
        <w:pStyle w:val="TOC1"/>
        <w:tabs>
          <w:tab w:val="right" w:leader="dot" w:pos="8630"/>
        </w:tabs>
        <w:rPr>
          <w:rFonts w:asciiTheme="minorHAnsi" w:hAnsiTheme="minorHAnsi" w:eastAsiaTheme="minorEastAsia" w:cstheme="minorBidi"/>
          <w:noProof/>
          <w:sz w:val="22"/>
          <w:szCs w:val="22"/>
        </w:rPr>
      </w:pPr>
      <w:r>
        <w:rPr>
          <w:b/>
        </w:rPr>
        <w:fldChar w:fldCharType="begin"/>
      </w:r>
      <w:r>
        <w:rPr>
          <w:b/>
        </w:rPr>
        <w:instrText xml:space="preserve"> TOC \o "1-3" \h \z \u </w:instrText>
      </w:r>
      <w:r>
        <w:rPr>
          <w:b/>
        </w:rPr>
        <w:fldChar w:fldCharType="separate"/>
      </w:r>
      <w:hyperlink w:history="1" w:anchor="_Toc44596525">
        <w:r w:rsidRPr="00B66A47" w:rsidR="00C0035F">
          <w:rPr>
            <w:rStyle w:val="Hyperlink"/>
            <w:noProof/>
          </w:rPr>
          <w:t>A. Justification</w:t>
        </w:r>
        <w:r w:rsidR="00C0035F">
          <w:rPr>
            <w:noProof/>
            <w:webHidden/>
          </w:rPr>
          <w:tab/>
        </w:r>
        <w:r w:rsidR="00C0035F">
          <w:rPr>
            <w:noProof/>
            <w:webHidden/>
          </w:rPr>
          <w:fldChar w:fldCharType="begin"/>
        </w:r>
        <w:r w:rsidR="00C0035F">
          <w:rPr>
            <w:noProof/>
            <w:webHidden/>
          </w:rPr>
          <w:instrText xml:space="preserve"> PAGEREF _Toc44596525 \h </w:instrText>
        </w:r>
        <w:r w:rsidR="00C0035F">
          <w:rPr>
            <w:noProof/>
            <w:webHidden/>
          </w:rPr>
        </w:r>
        <w:r w:rsidR="00C0035F">
          <w:rPr>
            <w:noProof/>
            <w:webHidden/>
          </w:rPr>
          <w:fldChar w:fldCharType="separate"/>
        </w:r>
        <w:r w:rsidR="00C0035F">
          <w:rPr>
            <w:noProof/>
            <w:webHidden/>
          </w:rPr>
          <w:t>3</w:t>
        </w:r>
        <w:r w:rsidR="00C0035F">
          <w:rPr>
            <w:noProof/>
            <w:webHidden/>
          </w:rPr>
          <w:fldChar w:fldCharType="end"/>
        </w:r>
      </w:hyperlink>
    </w:p>
    <w:p w:rsidR="00C0035F" w:rsidRDefault="00DA5815" w14:paraId="5988665C" w14:textId="77777777">
      <w:pPr>
        <w:pStyle w:val="TOC2"/>
        <w:tabs>
          <w:tab w:val="right" w:leader="dot" w:pos="8630"/>
        </w:tabs>
        <w:rPr>
          <w:rFonts w:asciiTheme="minorHAnsi" w:hAnsiTheme="minorHAnsi" w:eastAsiaTheme="minorEastAsia" w:cstheme="minorBidi"/>
          <w:noProof/>
          <w:sz w:val="22"/>
          <w:szCs w:val="22"/>
        </w:rPr>
      </w:pPr>
      <w:hyperlink w:history="1" w:anchor="_Toc44596526">
        <w:r w:rsidRPr="00B66A47" w:rsidR="00C0035F">
          <w:rPr>
            <w:rStyle w:val="Hyperlink"/>
            <w:noProof/>
          </w:rPr>
          <w:t>1. Circumstances that make the collection of information necessary</w:t>
        </w:r>
        <w:r w:rsidR="00C0035F">
          <w:rPr>
            <w:noProof/>
            <w:webHidden/>
          </w:rPr>
          <w:tab/>
        </w:r>
        <w:r w:rsidR="00C0035F">
          <w:rPr>
            <w:noProof/>
            <w:webHidden/>
          </w:rPr>
          <w:fldChar w:fldCharType="begin"/>
        </w:r>
        <w:r w:rsidR="00C0035F">
          <w:rPr>
            <w:noProof/>
            <w:webHidden/>
          </w:rPr>
          <w:instrText xml:space="preserve"> PAGEREF _Toc44596526 \h </w:instrText>
        </w:r>
        <w:r w:rsidR="00C0035F">
          <w:rPr>
            <w:noProof/>
            <w:webHidden/>
          </w:rPr>
        </w:r>
        <w:r w:rsidR="00C0035F">
          <w:rPr>
            <w:noProof/>
            <w:webHidden/>
          </w:rPr>
          <w:fldChar w:fldCharType="separate"/>
        </w:r>
        <w:r w:rsidR="00C0035F">
          <w:rPr>
            <w:noProof/>
            <w:webHidden/>
          </w:rPr>
          <w:t>3</w:t>
        </w:r>
        <w:r w:rsidR="00C0035F">
          <w:rPr>
            <w:noProof/>
            <w:webHidden/>
          </w:rPr>
          <w:fldChar w:fldCharType="end"/>
        </w:r>
      </w:hyperlink>
    </w:p>
    <w:p w:rsidR="00C0035F" w:rsidRDefault="00DA5815" w14:paraId="60CBCCAF" w14:textId="77777777">
      <w:pPr>
        <w:pStyle w:val="TOC2"/>
        <w:tabs>
          <w:tab w:val="right" w:leader="dot" w:pos="8630"/>
        </w:tabs>
        <w:rPr>
          <w:rFonts w:asciiTheme="minorHAnsi" w:hAnsiTheme="minorHAnsi" w:eastAsiaTheme="minorEastAsia" w:cstheme="minorBidi"/>
          <w:noProof/>
          <w:sz w:val="22"/>
          <w:szCs w:val="22"/>
        </w:rPr>
      </w:pPr>
      <w:hyperlink w:history="1" w:anchor="_Toc44596527">
        <w:r w:rsidRPr="00B66A47" w:rsidR="00C0035F">
          <w:rPr>
            <w:rStyle w:val="Hyperlink"/>
            <w:noProof/>
          </w:rPr>
          <w:t>2. Purpose and Use of Information</w:t>
        </w:r>
        <w:r w:rsidR="00C0035F">
          <w:rPr>
            <w:noProof/>
            <w:webHidden/>
          </w:rPr>
          <w:tab/>
        </w:r>
        <w:r w:rsidR="00C0035F">
          <w:rPr>
            <w:noProof/>
            <w:webHidden/>
          </w:rPr>
          <w:fldChar w:fldCharType="begin"/>
        </w:r>
        <w:r w:rsidR="00C0035F">
          <w:rPr>
            <w:noProof/>
            <w:webHidden/>
          </w:rPr>
          <w:instrText xml:space="preserve"> PAGEREF _Toc44596527 \h </w:instrText>
        </w:r>
        <w:r w:rsidR="00C0035F">
          <w:rPr>
            <w:noProof/>
            <w:webHidden/>
          </w:rPr>
        </w:r>
        <w:r w:rsidR="00C0035F">
          <w:rPr>
            <w:noProof/>
            <w:webHidden/>
          </w:rPr>
          <w:fldChar w:fldCharType="separate"/>
        </w:r>
        <w:r w:rsidR="00C0035F">
          <w:rPr>
            <w:noProof/>
            <w:webHidden/>
          </w:rPr>
          <w:t>7</w:t>
        </w:r>
        <w:r w:rsidR="00C0035F">
          <w:rPr>
            <w:noProof/>
            <w:webHidden/>
          </w:rPr>
          <w:fldChar w:fldCharType="end"/>
        </w:r>
      </w:hyperlink>
    </w:p>
    <w:p w:rsidR="00C0035F" w:rsidRDefault="00DA5815" w14:paraId="057839AF" w14:textId="77777777">
      <w:pPr>
        <w:pStyle w:val="TOC2"/>
        <w:tabs>
          <w:tab w:val="right" w:leader="dot" w:pos="8630"/>
        </w:tabs>
        <w:rPr>
          <w:rFonts w:asciiTheme="minorHAnsi" w:hAnsiTheme="minorHAnsi" w:eastAsiaTheme="minorEastAsia" w:cstheme="minorBidi"/>
          <w:noProof/>
          <w:sz w:val="22"/>
          <w:szCs w:val="22"/>
        </w:rPr>
      </w:pPr>
      <w:hyperlink w:history="1" w:anchor="_Toc44596528">
        <w:r w:rsidRPr="00B66A47" w:rsidR="00C0035F">
          <w:rPr>
            <w:rStyle w:val="Hyperlink"/>
            <w:noProof/>
          </w:rPr>
          <w:t>3. Use of Improved Information Technology</w:t>
        </w:r>
        <w:r w:rsidR="00C0035F">
          <w:rPr>
            <w:noProof/>
            <w:webHidden/>
          </w:rPr>
          <w:tab/>
        </w:r>
        <w:r w:rsidR="00C0035F">
          <w:rPr>
            <w:noProof/>
            <w:webHidden/>
          </w:rPr>
          <w:fldChar w:fldCharType="begin"/>
        </w:r>
        <w:r w:rsidR="00C0035F">
          <w:rPr>
            <w:noProof/>
            <w:webHidden/>
          </w:rPr>
          <w:instrText xml:space="preserve"> PAGEREF _Toc44596528 \h </w:instrText>
        </w:r>
        <w:r w:rsidR="00C0035F">
          <w:rPr>
            <w:noProof/>
            <w:webHidden/>
          </w:rPr>
        </w:r>
        <w:r w:rsidR="00C0035F">
          <w:rPr>
            <w:noProof/>
            <w:webHidden/>
          </w:rPr>
          <w:fldChar w:fldCharType="separate"/>
        </w:r>
        <w:r w:rsidR="00C0035F">
          <w:rPr>
            <w:noProof/>
            <w:webHidden/>
          </w:rPr>
          <w:t>8</w:t>
        </w:r>
        <w:r w:rsidR="00C0035F">
          <w:rPr>
            <w:noProof/>
            <w:webHidden/>
          </w:rPr>
          <w:fldChar w:fldCharType="end"/>
        </w:r>
      </w:hyperlink>
    </w:p>
    <w:p w:rsidR="00C0035F" w:rsidRDefault="00DA5815" w14:paraId="70499576" w14:textId="77777777">
      <w:pPr>
        <w:pStyle w:val="TOC2"/>
        <w:tabs>
          <w:tab w:val="right" w:leader="dot" w:pos="8630"/>
        </w:tabs>
        <w:rPr>
          <w:rFonts w:asciiTheme="minorHAnsi" w:hAnsiTheme="minorHAnsi" w:eastAsiaTheme="minorEastAsia" w:cstheme="minorBidi"/>
          <w:noProof/>
          <w:sz w:val="22"/>
          <w:szCs w:val="22"/>
        </w:rPr>
      </w:pPr>
      <w:hyperlink w:history="1" w:anchor="_Toc44596529">
        <w:r w:rsidRPr="00B66A47" w:rsidR="00C0035F">
          <w:rPr>
            <w:rStyle w:val="Hyperlink"/>
            <w:noProof/>
          </w:rPr>
          <w:t>4. Efforts to Identify Duplication</w:t>
        </w:r>
        <w:r w:rsidR="00C0035F">
          <w:rPr>
            <w:noProof/>
            <w:webHidden/>
          </w:rPr>
          <w:tab/>
        </w:r>
        <w:r w:rsidR="00C0035F">
          <w:rPr>
            <w:noProof/>
            <w:webHidden/>
          </w:rPr>
          <w:fldChar w:fldCharType="begin"/>
        </w:r>
        <w:r w:rsidR="00C0035F">
          <w:rPr>
            <w:noProof/>
            <w:webHidden/>
          </w:rPr>
          <w:instrText xml:space="preserve"> PAGEREF _Toc44596529 \h </w:instrText>
        </w:r>
        <w:r w:rsidR="00C0035F">
          <w:rPr>
            <w:noProof/>
            <w:webHidden/>
          </w:rPr>
        </w:r>
        <w:r w:rsidR="00C0035F">
          <w:rPr>
            <w:noProof/>
            <w:webHidden/>
          </w:rPr>
          <w:fldChar w:fldCharType="separate"/>
        </w:r>
        <w:r w:rsidR="00C0035F">
          <w:rPr>
            <w:noProof/>
            <w:webHidden/>
          </w:rPr>
          <w:t>8</w:t>
        </w:r>
        <w:r w:rsidR="00C0035F">
          <w:rPr>
            <w:noProof/>
            <w:webHidden/>
          </w:rPr>
          <w:fldChar w:fldCharType="end"/>
        </w:r>
      </w:hyperlink>
    </w:p>
    <w:p w:rsidR="00C0035F" w:rsidRDefault="00DA5815" w14:paraId="51F7B41F" w14:textId="77777777">
      <w:pPr>
        <w:pStyle w:val="TOC2"/>
        <w:tabs>
          <w:tab w:val="right" w:leader="dot" w:pos="8630"/>
        </w:tabs>
        <w:rPr>
          <w:rFonts w:asciiTheme="minorHAnsi" w:hAnsiTheme="minorHAnsi" w:eastAsiaTheme="minorEastAsia" w:cstheme="minorBidi"/>
          <w:noProof/>
          <w:sz w:val="22"/>
          <w:szCs w:val="22"/>
        </w:rPr>
      </w:pPr>
      <w:hyperlink w:history="1" w:anchor="_Toc44596530">
        <w:r w:rsidRPr="00B66A47" w:rsidR="00C0035F">
          <w:rPr>
            <w:rStyle w:val="Hyperlink"/>
            <w:noProof/>
          </w:rPr>
          <w:t>5. Involvement of Small Entities</w:t>
        </w:r>
        <w:r w:rsidR="00C0035F">
          <w:rPr>
            <w:noProof/>
            <w:webHidden/>
          </w:rPr>
          <w:tab/>
        </w:r>
        <w:r w:rsidR="00C0035F">
          <w:rPr>
            <w:noProof/>
            <w:webHidden/>
          </w:rPr>
          <w:fldChar w:fldCharType="begin"/>
        </w:r>
        <w:r w:rsidR="00C0035F">
          <w:rPr>
            <w:noProof/>
            <w:webHidden/>
          </w:rPr>
          <w:instrText xml:space="preserve"> PAGEREF _Toc44596530 \h </w:instrText>
        </w:r>
        <w:r w:rsidR="00C0035F">
          <w:rPr>
            <w:noProof/>
            <w:webHidden/>
          </w:rPr>
        </w:r>
        <w:r w:rsidR="00C0035F">
          <w:rPr>
            <w:noProof/>
            <w:webHidden/>
          </w:rPr>
          <w:fldChar w:fldCharType="separate"/>
        </w:r>
        <w:r w:rsidR="00C0035F">
          <w:rPr>
            <w:noProof/>
            <w:webHidden/>
          </w:rPr>
          <w:t>8</w:t>
        </w:r>
        <w:r w:rsidR="00C0035F">
          <w:rPr>
            <w:noProof/>
            <w:webHidden/>
          </w:rPr>
          <w:fldChar w:fldCharType="end"/>
        </w:r>
      </w:hyperlink>
    </w:p>
    <w:p w:rsidR="00C0035F" w:rsidRDefault="00DA5815" w14:paraId="26C5E49A" w14:textId="77777777">
      <w:pPr>
        <w:pStyle w:val="TOC2"/>
        <w:tabs>
          <w:tab w:val="right" w:leader="dot" w:pos="8630"/>
        </w:tabs>
        <w:rPr>
          <w:rFonts w:asciiTheme="minorHAnsi" w:hAnsiTheme="minorHAnsi" w:eastAsiaTheme="minorEastAsia" w:cstheme="minorBidi"/>
          <w:noProof/>
          <w:sz w:val="22"/>
          <w:szCs w:val="22"/>
        </w:rPr>
      </w:pPr>
      <w:hyperlink w:history="1" w:anchor="_Toc44596531">
        <w:r w:rsidRPr="00B66A47" w:rsidR="00C0035F">
          <w:rPr>
            <w:rStyle w:val="Hyperlink"/>
            <w:noProof/>
          </w:rPr>
          <w:t>6. Consequences if Information Collected Less Frequently</w:t>
        </w:r>
        <w:r w:rsidR="00C0035F">
          <w:rPr>
            <w:noProof/>
            <w:webHidden/>
          </w:rPr>
          <w:tab/>
        </w:r>
        <w:r w:rsidR="00C0035F">
          <w:rPr>
            <w:noProof/>
            <w:webHidden/>
          </w:rPr>
          <w:fldChar w:fldCharType="begin"/>
        </w:r>
        <w:r w:rsidR="00C0035F">
          <w:rPr>
            <w:noProof/>
            <w:webHidden/>
          </w:rPr>
          <w:instrText xml:space="preserve"> PAGEREF _Toc44596531 \h </w:instrText>
        </w:r>
        <w:r w:rsidR="00C0035F">
          <w:rPr>
            <w:noProof/>
            <w:webHidden/>
          </w:rPr>
        </w:r>
        <w:r w:rsidR="00C0035F">
          <w:rPr>
            <w:noProof/>
            <w:webHidden/>
          </w:rPr>
          <w:fldChar w:fldCharType="separate"/>
        </w:r>
        <w:r w:rsidR="00C0035F">
          <w:rPr>
            <w:noProof/>
            <w:webHidden/>
          </w:rPr>
          <w:t>8</w:t>
        </w:r>
        <w:r w:rsidR="00C0035F">
          <w:rPr>
            <w:noProof/>
            <w:webHidden/>
          </w:rPr>
          <w:fldChar w:fldCharType="end"/>
        </w:r>
      </w:hyperlink>
    </w:p>
    <w:p w:rsidR="00C0035F" w:rsidRDefault="00DA5815" w14:paraId="10DFAB89" w14:textId="77777777">
      <w:pPr>
        <w:pStyle w:val="TOC2"/>
        <w:tabs>
          <w:tab w:val="right" w:leader="dot" w:pos="8630"/>
        </w:tabs>
        <w:rPr>
          <w:rFonts w:asciiTheme="minorHAnsi" w:hAnsiTheme="minorHAnsi" w:eastAsiaTheme="minorEastAsia" w:cstheme="minorBidi"/>
          <w:noProof/>
          <w:sz w:val="22"/>
          <w:szCs w:val="22"/>
        </w:rPr>
      </w:pPr>
      <w:hyperlink w:history="1" w:anchor="_Toc44596532">
        <w:r w:rsidRPr="00B66A47" w:rsidR="00C0035F">
          <w:rPr>
            <w:rStyle w:val="Hyperlink"/>
            <w:noProof/>
          </w:rPr>
          <w:t>7. Special Circumstances</w:t>
        </w:r>
        <w:r w:rsidR="00C0035F">
          <w:rPr>
            <w:noProof/>
            <w:webHidden/>
          </w:rPr>
          <w:tab/>
        </w:r>
        <w:r w:rsidR="00C0035F">
          <w:rPr>
            <w:noProof/>
            <w:webHidden/>
          </w:rPr>
          <w:fldChar w:fldCharType="begin"/>
        </w:r>
        <w:r w:rsidR="00C0035F">
          <w:rPr>
            <w:noProof/>
            <w:webHidden/>
          </w:rPr>
          <w:instrText xml:space="preserve"> PAGEREF _Toc44596532 \h </w:instrText>
        </w:r>
        <w:r w:rsidR="00C0035F">
          <w:rPr>
            <w:noProof/>
            <w:webHidden/>
          </w:rPr>
        </w:r>
        <w:r w:rsidR="00C0035F">
          <w:rPr>
            <w:noProof/>
            <w:webHidden/>
          </w:rPr>
          <w:fldChar w:fldCharType="separate"/>
        </w:r>
        <w:r w:rsidR="00C0035F">
          <w:rPr>
            <w:noProof/>
            <w:webHidden/>
          </w:rPr>
          <w:t>9</w:t>
        </w:r>
        <w:r w:rsidR="00C0035F">
          <w:rPr>
            <w:noProof/>
            <w:webHidden/>
          </w:rPr>
          <w:fldChar w:fldCharType="end"/>
        </w:r>
      </w:hyperlink>
    </w:p>
    <w:p w:rsidR="00C0035F" w:rsidRDefault="00DA5815" w14:paraId="6FC45419" w14:textId="77777777">
      <w:pPr>
        <w:pStyle w:val="TOC2"/>
        <w:tabs>
          <w:tab w:val="right" w:leader="dot" w:pos="8630"/>
        </w:tabs>
        <w:rPr>
          <w:rFonts w:asciiTheme="minorHAnsi" w:hAnsiTheme="minorHAnsi" w:eastAsiaTheme="minorEastAsia" w:cstheme="minorBidi"/>
          <w:noProof/>
          <w:sz w:val="22"/>
          <w:szCs w:val="22"/>
        </w:rPr>
      </w:pPr>
      <w:hyperlink w:history="1" w:anchor="_Toc44596533">
        <w:r w:rsidRPr="00B66A47" w:rsidR="00C0035F">
          <w:rPr>
            <w:rStyle w:val="Hyperlink"/>
            <w:noProof/>
          </w:rPr>
          <w:t>8. Federal Register Notice and Outside Consultations</w:t>
        </w:r>
        <w:r w:rsidR="00C0035F">
          <w:rPr>
            <w:noProof/>
            <w:webHidden/>
          </w:rPr>
          <w:tab/>
        </w:r>
        <w:r w:rsidR="00C0035F">
          <w:rPr>
            <w:noProof/>
            <w:webHidden/>
          </w:rPr>
          <w:fldChar w:fldCharType="begin"/>
        </w:r>
        <w:r w:rsidR="00C0035F">
          <w:rPr>
            <w:noProof/>
            <w:webHidden/>
          </w:rPr>
          <w:instrText xml:space="preserve"> PAGEREF _Toc44596533 \h </w:instrText>
        </w:r>
        <w:r w:rsidR="00C0035F">
          <w:rPr>
            <w:noProof/>
            <w:webHidden/>
          </w:rPr>
        </w:r>
        <w:r w:rsidR="00C0035F">
          <w:rPr>
            <w:noProof/>
            <w:webHidden/>
          </w:rPr>
          <w:fldChar w:fldCharType="separate"/>
        </w:r>
        <w:r w:rsidR="00C0035F">
          <w:rPr>
            <w:noProof/>
            <w:webHidden/>
          </w:rPr>
          <w:t>9</w:t>
        </w:r>
        <w:r w:rsidR="00C0035F">
          <w:rPr>
            <w:noProof/>
            <w:webHidden/>
          </w:rPr>
          <w:fldChar w:fldCharType="end"/>
        </w:r>
      </w:hyperlink>
    </w:p>
    <w:p w:rsidR="00C0035F" w:rsidRDefault="00DA5815" w14:paraId="59DB3F29" w14:textId="77777777">
      <w:pPr>
        <w:pStyle w:val="TOC2"/>
        <w:tabs>
          <w:tab w:val="right" w:leader="dot" w:pos="8630"/>
        </w:tabs>
        <w:rPr>
          <w:rFonts w:asciiTheme="minorHAnsi" w:hAnsiTheme="minorHAnsi" w:eastAsiaTheme="minorEastAsia" w:cstheme="minorBidi"/>
          <w:noProof/>
          <w:sz w:val="22"/>
          <w:szCs w:val="22"/>
        </w:rPr>
      </w:pPr>
      <w:hyperlink w:history="1" w:anchor="_Toc44596534">
        <w:r w:rsidRPr="00B66A47" w:rsidR="00C0035F">
          <w:rPr>
            <w:rStyle w:val="Hyperlink"/>
            <w:noProof/>
          </w:rPr>
          <w:t>8.b.  Outside Consultations</w:t>
        </w:r>
        <w:r w:rsidR="00C0035F">
          <w:rPr>
            <w:noProof/>
            <w:webHidden/>
          </w:rPr>
          <w:tab/>
        </w:r>
        <w:r w:rsidR="00C0035F">
          <w:rPr>
            <w:noProof/>
            <w:webHidden/>
          </w:rPr>
          <w:fldChar w:fldCharType="begin"/>
        </w:r>
        <w:r w:rsidR="00C0035F">
          <w:rPr>
            <w:noProof/>
            <w:webHidden/>
          </w:rPr>
          <w:instrText xml:space="preserve"> PAGEREF _Toc44596534 \h </w:instrText>
        </w:r>
        <w:r w:rsidR="00C0035F">
          <w:rPr>
            <w:noProof/>
            <w:webHidden/>
          </w:rPr>
        </w:r>
        <w:r w:rsidR="00C0035F">
          <w:rPr>
            <w:noProof/>
            <w:webHidden/>
          </w:rPr>
          <w:fldChar w:fldCharType="separate"/>
        </w:r>
        <w:r w:rsidR="00C0035F">
          <w:rPr>
            <w:noProof/>
            <w:webHidden/>
          </w:rPr>
          <w:t>9</w:t>
        </w:r>
        <w:r w:rsidR="00C0035F">
          <w:rPr>
            <w:noProof/>
            <w:webHidden/>
          </w:rPr>
          <w:fldChar w:fldCharType="end"/>
        </w:r>
      </w:hyperlink>
    </w:p>
    <w:p w:rsidR="00C0035F" w:rsidRDefault="00DA5815" w14:paraId="4B13004E" w14:textId="77777777">
      <w:pPr>
        <w:pStyle w:val="TOC2"/>
        <w:tabs>
          <w:tab w:val="right" w:leader="dot" w:pos="8630"/>
        </w:tabs>
        <w:rPr>
          <w:rFonts w:asciiTheme="minorHAnsi" w:hAnsiTheme="minorHAnsi" w:eastAsiaTheme="minorEastAsia" w:cstheme="minorBidi"/>
          <w:noProof/>
          <w:sz w:val="22"/>
          <w:szCs w:val="22"/>
        </w:rPr>
      </w:pPr>
      <w:hyperlink w:history="1" w:anchor="_Toc44596535">
        <w:r w:rsidRPr="00B66A47" w:rsidR="00C0035F">
          <w:rPr>
            <w:rStyle w:val="Hyperlink"/>
            <w:noProof/>
          </w:rPr>
          <w:t>9. Payments/Gifts to Respondents</w:t>
        </w:r>
        <w:r w:rsidR="00C0035F">
          <w:rPr>
            <w:noProof/>
            <w:webHidden/>
          </w:rPr>
          <w:tab/>
        </w:r>
        <w:r w:rsidR="00C0035F">
          <w:rPr>
            <w:noProof/>
            <w:webHidden/>
          </w:rPr>
          <w:fldChar w:fldCharType="begin"/>
        </w:r>
        <w:r w:rsidR="00C0035F">
          <w:rPr>
            <w:noProof/>
            <w:webHidden/>
          </w:rPr>
          <w:instrText xml:space="preserve"> PAGEREF _Toc44596535 \h </w:instrText>
        </w:r>
        <w:r w:rsidR="00C0035F">
          <w:rPr>
            <w:noProof/>
            <w:webHidden/>
          </w:rPr>
        </w:r>
        <w:r w:rsidR="00C0035F">
          <w:rPr>
            <w:noProof/>
            <w:webHidden/>
          </w:rPr>
          <w:fldChar w:fldCharType="separate"/>
        </w:r>
        <w:r w:rsidR="00C0035F">
          <w:rPr>
            <w:noProof/>
            <w:webHidden/>
          </w:rPr>
          <w:t>9</w:t>
        </w:r>
        <w:r w:rsidR="00C0035F">
          <w:rPr>
            <w:noProof/>
            <w:webHidden/>
          </w:rPr>
          <w:fldChar w:fldCharType="end"/>
        </w:r>
      </w:hyperlink>
    </w:p>
    <w:p w:rsidR="00C0035F" w:rsidRDefault="00DA5815" w14:paraId="32FF8634" w14:textId="77777777">
      <w:pPr>
        <w:pStyle w:val="TOC2"/>
        <w:tabs>
          <w:tab w:val="right" w:leader="dot" w:pos="8630"/>
        </w:tabs>
        <w:rPr>
          <w:rFonts w:asciiTheme="minorHAnsi" w:hAnsiTheme="minorHAnsi" w:eastAsiaTheme="minorEastAsia" w:cstheme="minorBidi"/>
          <w:noProof/>
          <w:sz w:val="22"/>
          <w:szCs w:val="22"/>
        </w:rPr>
      </w:pPr>
      <w:hyperlink w:history="1" w:anchor="_Toc44596536">
        <w:r w:rsidRPr="00B66A47" w:rsidR="00C0035F">
          <w:rPr>
            <w:rStyle w:val="Hyperlink"/>
            <w:noProof/>
          </w:rPr>
          <w:t>10. Assurance of Confidentiality</w:t>
        </w:r>
        <w:r w:rsidR="00C0035F">
          <w:rPr>
            <w:noProof/>
            <w:webHidden/>
          </w:rPr>
          <w:tab/>
        </w:r>
        <w:r w:rsidR="00C0035F">
          <w:rPr>
            <w:noProof/>
            <w:webHidden/>
          </w:rPr>
          <w:fldChar w:fldCharType="begin"/>
        </w:r>
        <w:r w:rsidR="00C0035F">
          <w:rPr>
            <w:noProof/>
            <w:webHidden/>
          </w:rPr>
          <w:instrText xml:space="preserve"> PAGEREF _Toc44596536 \h </w:instrText>
        </w:r>
        <w:r w:rsidR="00C0035F">
          <w:rPr>
            <w:noProof/>
            <w:webHidden/>
          </w:rPr>
        </w:r>
        <w:r w:rsidR="00C0035F">
          <w:rPr>
            <w:noProof/>
            <w:webHidden/>
          </w:rPr>
          <w:fldChar w:fldCharType="separate"/>
        </w:r>
        <w:r w:rsidR="00C0035F">
          <w:rPr>
            <w:noProof/>
            <w:webHidden/>
          </w:rPr>
          <w:t>9</w:t>
        </w:r>
        <w:r w:rsidR="00C0035F">
          <w:rPr>
            <w:noProof/>
            <w:webHidden/>
          </w:rPr>
          <w:fldChar w:fldCharType="end"/>
        </w:r>
      </w:hyperlink>
    </w:p>
    <w:p w:rsidR="00C0035F" w:rsidRDefault="00DA5815" w14:paraId="0FCC58E1" w14:textId="77777777">
      <w:pPr>
        <w:pStyle w:val="TOC2"/>
        <w:tabs>
          <w:tab w:val="right" w:leader="dot" w:pos="8630"/>
        </w:tabs>
        <w:rPr>
          <w:rFonts w:asciiTheme="minorHAnsi" w:hAnsiTheme="minorHAnsi" w:eastAsiaTheme="minorEastAsia" w:cstheme="minorBidi"/>
          <w:noProof/>
          <w:sz w:val="22"/>
          <w:szCs w:val="22"/>
        </w:rPr>
      </w:pPr>
      <w:hyperlink w:history="1" w:anchor="_Toc44596537">
        <w:r w:rsidRPr="00B66A47" w:rsidR="00C0035F">
          <w:rPr>
            <w:rStyle w:val="Hyperlink"/>
            <w:noProof/>
          </w:rPr>
          <w:t>11. Questions of a Sensitive Nature</w:t>
        </w:r>
        <w:r w:rsidR="00C0035F">
          <w:rPr>
            <w:noProof/>
            <w:webHidden/>
          </w:rPr>
          <w:tab/>
        </w:r>
        <w:r w:rsidR="00C0035F">
          <w:rPr>
            <w:noProof/>
            <w:webHidden/>
          </w:rPr>
          <w:fldChar w:fldCharType="begin"/>
        </w:r>
        <w:r w:rsidR="00C0035F">
          <w:rPr>
            <w:noProof/>
            <w:webHidden/>
          </w:rPr>
          <w:instrText xml:space="preserve"> PAGEREF _Toc44596537 \h </w:instrText>
        </w:r>
        <w:r w:rsidR="00C0035F">
          <w:rPr>
            <w:noProof/>
            <w:webHidden/>
          </w:rPr>
        </w:r>
        <w:r w:rsidR="00C0035F">
          <w:rPr>
            <w:noProof/>
            <w:webHidden/>
          </w:rPr>
          <w:fldChar w:fldCharType="separate"/>
        </w:r>
        <w:r w:rsidR="00C0035F">
          <w:rPr>
            <w:noProof/>
            <w:webHidden/>
          </w:rPr>
          <w:t>9</w:t>
        </w:r>
        <w:r w:rsidR="00C0035F">
          <w:rPr>
            <w:noProof/>
            <w:webHidden/>
          </w:rPr>
          <w:fldChar w:fldCharType="end"/>
        </w:r>
      </w:hyperlink>
    </w:p>
    <w:p w:rsidR="00C0035F" w:rsidRDefault="00DA5815" w14:paraId="2D7A5701" w14:textId="77777777">
      <w:pPr>
        <w:pStyle w:val="TOC2"/>
        <w:tabs>
          <w:tab w:val="right" w:leader="dot" w:pos="8630"/>
        </w:tabs>
        <w:rPr>
          <w:rFonts w:asciiTheme="minorHAnsi" w:hAnsiTheme="minorHAnsi" w:eastAsiaTheme="minorEastAsia" w:cstheme="minorBidi"/>
          <w:noProof/>
          <w:sz w:val="22"/>
          <w:szCs w:val="22"/>
        </w:rPr>
      </w:pPr>
      <w:hyperlink w:history="1" w:anchor="_Toc44596538">
        <w:r w:rsidRPr="00B66A47" w:rsidR="00C0035F">
          <w:rPr>
            <w:rStyle w:val="Hyperlink"/>
            <w:noProof/>
          </w:rPr>
          <w:t>12. Estimates of Annualized Burden Hours and Costs</w:t>
        </w:r>
        <w:r w:rsidR="00C0035F">
          <w:rPr>
            <w:noProof/>
            <w:webHidden/>
          </w:rPr>
          <w:tab/>
        </w:r>
        <w:r w:rsidR="00C0035F">
          <w:rPr>
            <w:noProof/>
            <w:webHidden/>
          </w:rPr>
          <w:fldChar w:fldCharType="begin"/>
        </w:r>
        <w:r w:rsidR="00C0035F">
          <w:rPr>
            <w:noProof/>
            <w:webHidden/>
          </w:rPr>
          <w:instrText xml:space="preserve"> PAGEREF _Toc44596538 \h </w:instrText>
        </w:r>
        <w:r w:rsidR="00C0035F">
          <w:rPr>
            <w:noProof/>
            <w:webHidden/>
          </w:rPr>
        </w:r>
        <w:r w:rsidR="00C0035F">
          <w:rPr>
            <w:noProof/>
            <w:webHidden/>
          </w:rPr>
          <w:fldChar w:fldCharType="separate"/>
        </w:r>
        <w:r w:rsidR="00C0035F">
          <w:rPr>
            <w:noProof/>
            <w:webHidden/>
          </w:rPr>
          <w:t>9</w:t>
        </w:r>
        <w:r w:rsidR="00C0035F">
          <w:rPr>
            <w:noProof/>
            <w:webHidden/>
          </w:rPr>
          <w:fldChar w:fldCharType="end"/>
        </w:r>
      </w:hyperlink>
    </w:p>
    <w:p w:rsidR="00C0035F" w:rsidRDefault="00DA5815" w14:paraId="49687BBB" w14:textId="77777777">
      <w:pPr>
        <w:pStyle w:val="TOC2"/>
        <w:tabs>
          <w:tab w:val="right" w:leader="dot" w:pos="8630"/>
        </w:tabs>
        <w:rPr>
          <w:rFonts w:asciiTheme="minorHAnsi" w:hAnsiTheme="minorHAnsi" w:eastAsiaTheme="minorEastAsia" w:cstheme="minorBidi"/>
          <w:noProof/>
          <w:sz w:val="22"/>
          <w:szCs w:val="22"/>
        </w:rPr>
      </w:pPr>
      <w:hyperlink w:history="1" w:anchor="_Toc44596539">
        <w:r w:rsidRPr="00B66A47" w:rsidR="00C0035F">
          <w:rPr>
            <w:rStyle w:val="Hyperlink"/>
            <w:noProof/>
          </w:rPr>
          <w:t>13. Estimates of Annualized Respondent Capital and Maintenance Costs</w:t>
        </w:r>
        <w:r w:rsidR="00C0035F">
          <w:rPr>
            <w:noProof/>
            <w:webHidden/>
          </w:rPr>
          <w:tab/>
        </w:r>
        <w:r w:rsidR="00C0035F">
          <w:rPr>
            <w:noProof/>
            <w:webHidden/>
          </w:rPr>
          <w:fldChar w:fldCharType="begin"/>
        </w:r>
        <w:r w:rsidR="00C0035F">
          <w:rPr>
            <w:noProof/>
            <w:webHidden/>
          </w:rPr>
          <w:instrText xml:space="preserve"> PAGEREF _Toc44596539 \h </w:instrText>
        </w:r>
        <w:r w:rsidR="00C0035F">
          <w:rPr>
            <w:noProof/>
            <w:webHidden/>
          </w:rPr>
        </w:r>
        <w:r w:rsidR="00C0035F">
          <w:rPr>
            <w:noProof/>
            <w:webHidden/>
          </w:rPr>
          <w:fldChar w:fldCharType="separate"/>
        </w:r>
        <w:r w:rsidR="00C0035F">
          <w:rPr>
            <w:noProof/>
            <w:webHidden/>
          </w:rPr>
          <w:t>11</w:t>
        </w:r>
        <w:r w:rsidR="00C0035F">
          <w:rPr>
            <w:noProof/>
            <w:webHidden/>
          </w:rPr>
          <w:fldChar w:fldCharType="end"/>
        </w:r>
      </w:hyperlink>
    </w:p>
    <w:p w:rsidR="00C0035F" w:rsidRDefault="00DA5815" w14:paraId="485FA1E1" w14:textId="77777777">
      <w:pPr>
        <w:pStyle w:val="TOC2"/>
        <w:tabs>
          <w:tab w:val="right" w:leader="dot" w:pos="8630"/>
        </w:tabs>
        <w:rPr>
          <w:rFonts w:asciiTheme="minorHAnsi" w:hAnsiTheme="minorHAnsi" w:eastAsiaTheme="minorEastAsia" w:cstheme="minorBidi"/>
          <w:noProof/>
          <w:sz w:val="22"/>
          <w:szCs w:val="22"/>
        </w:rPr>
      </w:pPr>
      <w:hyperlink w:history="1" w:anchor="_Toc44596540">
        <w:r w:rsidRPr="00B66A47" w:rsidR="00C0035F">
          <w:rPr>
            <w:rStyle w:val="Hyperlink"/>
            <w:noProof/>
          </w:rPr>
          <w:t>14. Estimates of Annualized Cost to the Government</w:t>
        </w:r>
        <w:r w:rsidR="00C0035F">
          <w:rPr>
            <w:noProof/>
            <w:webHidden/>
          </w:rPr>
          <w:tab/>
        </w:r>
        <w:r w:rsidR="00C0035F">
          <w:rPr>
            <w:noProof/>
            <w:webHidden/>
          </w:rPr>
          <w:fldChar w:fldCharType="begin"/>
        </w:r>
        <w:r w:rsidR="00C0035F">
          <w:rPr>
            <w:noProof/>
            <w:webHidden/>
          </w:rPr>
          <w:instrText xml:space="preserve"> PAGEREF _Toc44596540 \h </w:instrText>
        </w:r>
        <w:r w:rsidR="00C0035F">
          <w:rPr>
            <w:noProof/>
            <w:webHidden/>
          </w:rPr>
        </w:r>
        <w:r w:rsidR="00C0035F">
          <w:rPr>
            <w:noProof/>
            <w:webHidden/>
          </w:rPr>
          <w:fldChar w:fldCharType="separate"/>
        </w:r>
        <w:r w:rsidR="00C0035F">
          <w:rPr>
            <w:noProof/>
            <w:webHidden/>
          </w:rPr>
          <w:t>11</w:t>
        </w:r>
        <w:r w:rsidR="00C0035F">
          <w:rPr>
            <w:noProof/>
            <w:webHidden/>
          </w:rPr>
          <w:fldChar w:fldCharType="end"/>
        </w:r>
      </w:hyperlink>
    </w:p>
    <w:p w:rsidR="00C0035F" w:rsidRDefault="00DA5815" w14:paraId="17D212A0" w14:textId="77777777">
      <w:pPr>
        <w:pStyle w:val="TOC2"/>
        <w:tabs>
          <w:tab w:val="right" w:leader="dot" w:pos="8630"/>
        </w:tabs>
        <w:rPr>
          <w:rFonts w:asciiTheme="minorHAnsi" w:hAnsiTheme="minorHAnsi" w:eastAsiaTheme="minorEastAsia" w:cstheme="minorBidi"/>
          <w:noProof/>
          <w:sz w:val="22"/>
          <w:szCs w:val="22"/>
        </w:rPr>
      </w:pPr>
      <w:hyperlink w:history="1" w:anchor="_Toc44596541">
        <w:r w:rsidRPr="00B66A47" w:rsidR="00C0035F">
          <w:rPr>
            <w:rStyle w:val="Hyperlink"/>
            <w:noProof/>
          </w:rPr>
          <w:t>Note: Rates are based on 2019 OPM Pay Schedule for Washington/DC area:  https://www.opm.gov/policy-data-oversight/pay-leave/salaries-wages/2019/general-schedule/</w:t>
        </w:r>
        <w:r w:rsidR="00C0035F">
          <w:rPr>
            <w:noProof/>
            <w:webHidden/>
          </w:rPr>
          <w:tab/>
        </w:r>
        <w:r w:rsidR="00C0035F">
          <w:rPr>
            <w:noProof/>
            <w:webHidden/>
          </w:rPr>
          <w:fldChar w:fldCharType="begin"/>
        </w:r>
        <w:r w:rsidR="00C0035F">
          <w:rPr>
            <w:noProof/>
            <w:webHidden/>
          </w:rPr>
          <w:instrText xml:space="preserve"> PAGEREF _Toc44596541 \h </w:instrText>
        </w:r>
        <w:r w:rsidR="00C0035F">
          <w:rPr>
            <w:noProof/>
            <w:webHidden/>
          </w:rPr>
        </w:r>
        <w:r w:rsidR="00C0035F">
          <w:rPr>
            <w:noProof/>
            <w:webHidden/>
          </w:rPr>
          <w:fldChar w:fldCharType="separate"/>
        </w:r>
        <w:r w:rsidR="00C0035F">
          <w:rPr>
            <w:noProof/>
            <w:webHidden/>
          </w:rPr>
          <w:t>12</w:t>
        </w:r>
        <w:r w:rsidR="00C0035F">
          <w:rPr>
            <w:noProof/>
            <w:webHidden/>
          </w:rPr>
          <w:fldChar w:fldCharType="end"/>
        </w:r>
      </w:hyperlink>
    </w:p>
    <w:p w:rsidR="00C0035F" w:rsidRDefault="00DA5815" w14:paraId="71214E74" w14:textId="77777777">
      <w:pPr>
        <w:pStyle w:val="TOC2"/>
        <w:tabs>
          <w:tab w:val="right" w:leader="dot" w:pos="8630"/>
        </w:tabs>
        <w:rPr>
          <w:rFonts w:asciiTheme="minorHAnsi" w:hAnsiTheme="minorHAnsi" w:eastAsiaTheme="minorEastAsia" w:cstheme="minorBidi"/>
          <w:noProof/>
          <w:sz w:val="22"/>
          <w:szCs w:val="22"/>
        </w:rPr>
      </w:pPr>
      <w:hyperlink w:history="1" w:anchor="_Toc44596542">
        <w:r w:rsidRPr="00B66A47" w:rsidR="00C0035F">
          <w:rPr>
            <w:rStyle w:val="Hyperlink"/>
            <w:noProof/>
          </w:rPr>
          <w:t>15. Changes in Hour Burden</w:t>
        </w:r>
        <w:r w:rsidR="00C0035F">
          <w:rPr>
            <w:noProof/>
            <w:webHidden/>
          </w:rPr>
          <w:tab/>
        </w:r>
        <w:r w:rsidR="00C0035F">
          <w:rPr>
            <w:noProof/>
            <w:webHidden/>
          </w:rPr>
          <w:fldChar w:fldCharType="begin"/>
        </w:r>
        <w:r w:rsidR="00C0035F">
          <w:rPr>
            <w:noProof/>
            <w:webHidden/>
          </w:rPr>
          <w:instrText xml:space="preserve"> PAGEREF _Toc44596542 \h </w:instrText>
        </w:r>
        <w:r w:rsidR="00C0035F">
          <w:rPr>
            <w:noProof/>
            <w:webHidden/>
          </w:rPr>
        </w:r>
        <w:r w:rsidR="00C0035F">
          <w:rPr>
            <w:noProof/>
            <w:webHidden/>
          </w:rPr>
          <w:fldChar w:fldCharType="separate"/>
        </w:r>
        <w:r w:rsidR="00C0035F">
          <w:rPr>
            <w:noProof/>
            <w:webHidden/>
          </w:rPr>
          <w:t>12</w:t>
        </w:r>
        <w:r w:rsidR="00C0035F">
          <w:rPr>
            <w:noProof/>
            <w:webHidden/>
          </w:rPr>
          <w:fldChar w:fldCharType="end"/>
        </w:r>
      </w:hyperlink>
    </w:p>
    <w:p w:rsidR="00C0035F" w:rsidRDefault="00DA5815" w14:paraId="25CB992D" w14:textId="77777777">
      <w:pPr>
        <w:pStyle w:val="TOC2"/>
        <w:tabs>
          <w:tab w:val="right" w:leader="dot" w:pos="8630"/>
        </w:tabs>
        <w:rPr>
          <w:rFonts w:asciiTheme="minorHAnsi" w:hAnsiTheme="minorHAnsi" w:eastAsiaTheme="minorEastAsia" w:cstheme="minorBidi"/>
          <w:noProof/>
          <w:sz w:val="22"/>
          <w:szCs w:val="22"/>
        </w:rPr>
      </w:pPr>
      <w:hyperlink w:history="1" w:anchor="_Toc44596543">
        <w:r w:rsidRPr="00B66A47" w:rsidR="00C0035F">
          <w:rPr>
            <w:rStyle w:val="Hyperlink"/>
            <w:noProof/>
          </w:rPr>
          <w:t>16. Time Schedule, Publication and Analysis Plans</w:t>
        </w:r>
        <w:r w:rsidR="00C0035F">
          <w:rPr>
            <w:noProof/>
            <w:webHidden/>
          </w:rPr>
          <w:tab/>
        </w:r>
        <w:r w:rsidR="00C0035F">
          <w:rPr>
            <w:noProof/>
            <w:webHidden/>
          </w:rPr>
          <w:fldChar w:fldCharType="begin"/>
        </w:r>
        <w:r w:rsidR="00C0035F">
          <w:rPr>
            <w:noProof/>
            <w:webHidden/>
          </w:rPr>
          <w:instrText xml:space="preserve"> PAGEREF _Toc44596543 \h </w:instrText>
        </w:r>
        <w:r w:rsidR="00C0035F">
          <w:rPr>
            <w:noProof/>
            <w:webHidden/>
          </w:rPr>
        </w:r>
        <w:r w:rsidR="00C0035F">
          <w:rPr>
            <w:noProof/>
            <w:webHidden/>
          </w:rPr>
          <w:fldChar w:fldCharType="separate"/>
        </w:r>
        <w:r w:rsidR="00C0035F">
          <w:rPr>
            <w:noProof/>
            <w:webHidden/>
          </w:rPr>
          <w:t>12</w:t>
        </w:r>
        <w:r w:rsidR="00C0035F">
          <w:rPr>
            <w:noProof/>
            <w:webHidden/>
          </w:rPr>
          <w:fldChar w:fldCharType="end"/>
        </w:r>
      </w:hyperlink>
    </w:p>
    <w:p w:rsidR="00C0035F" w:rsidRDefault="00DA5815" w14:paraId="0EC00F85" w14:textId="77777777">
      <w:pPr>
        <w:pStyle w:val="TOC2"/>
        <w:tabs>
          <w:tab w:val="right" w:leader="dot" w:pos="8630"/>
        </w:tabs>
        <w:rPr>
          <w:rFonts w:asciiTheme="minorHAnsi" w:hAnsiTheme="minorHAnsi" w:eastAsiaTheme="minorEastAsia" w:cstheme="minorBidi"/>
          <w:noProof/>
          <w:sz w:val="22"/>
          <w:szCs w:val="22"/>
        </w:rPr>
      </w:pPr>
      <w:hyperlink w:history="1" w:anchor="_Toc44596544">
        <w:r w:rsidRPr="00B66A47" w:rsidR="00C0035F">
          <w:rPr>
            <w:rStyle w:val="Hyperlink"/>
            <w:noProof/>
          </w:rPr>
          <w:t>17. Exemption for Display of Expiration Date</w:t>
        </w:r>
        <w:r w:rsidR="00C0035F">
          <w:rPr>
            <w:noProof/>
            <w:webHidden/>
          </w:rPr>
          <w:tab/>
        </w:r>
        <w:r w:rsidR="00C0035F">
          <w:rPr>
            <w:noProof/>
            <w:webHidden/>
          </w:rPr>
          <w:fldChar w:fldCharType="begin"/>
        </w:r>
        <w:r w:rsidR="00C0035F">
          <w:rPr>
            <w:noProof/>
            <w:webHidden/>
          </w:rPr>
          <w:instrText xml:space="preserve"> PAGEREF _Toc44596544 \h </w:instrText>
        </w:r>
        <w:r w:rsidR="00C0035F">
          <w:rPr>
            <w:noProof/>
            <w:webHidden/>
          </w:rPr>
        </w:r>
        <w:r w:rsidR="00C0035F">
          <w:rPr>
            <w:noProof/>
            <w:webHidden/>
          </w:rPr>
          <w:fldChar w:fldCharType="separate"/>
        </w:r>
        <w:r w:rsidR="00C0035F">
          <w:rPr>
            <w:noProof/>
            <w:webHidden/>
          </w:rPr>
          <w:t>13</w:t>
        </w:r>
        <w:r w:rsidR="00C0035F">
          <w:rPr>
            <w:noProof/>
            <w:webHidden/>
          </w:rPr>
          <w:fldChar w:fldCharType="end"/>
        </w:r>
      </w:hyperlink>
    </w:p>
    <w:p w:rsidR="009B633D" w:rsidP="009B633D" w:rsidRDefault="00B5073D" w14:paraId="09943647" w14:textId="13BBE3B8">
      <w:pPr>
        <w:jc w:val="center"/>
        <w:rPr>
          <w:b/>
        </w:rPr>
      </w:pPr>
      <w:r>
        <w:rPr>
          <w:b/>
        </w:rPr>
        <w:fldChar w:fldCharType="end"/>
      </w:r>
    </w:p>
    <w:p w:rsidRPr="001D0454" w:rsidR="00B5073D" w:rsidP="009B633D" w:rsidRDefault="00B5073D" w14:paraId="0A71C19F" w14:textId="77777777">
      <w:pPr>
        <w:jc w:val="center"/>
        <w:rPr>
          <w:b/>
        </w:rPr>
      </w:pPr>
    </w:p>
    <w:p w:rsidRPr="006014DB" w:rsidR="009B633D" w:rsidP="009B633D" w:rsidRDefault="009B633D" w14:paraId="15F2FB1E" w14:textId="0BD5CB52">
      <w:pPr>
        <w:pStyle w:val="Heading1"/>
        <w:rPr>
          <w:sz w:val="24"/>
          <w:szCs w:val="24"/>
        </w:rPr>
      </w:pPr>
      <w:r>
        <w:br w:type="page"/>
      </w:r>
      <w:bookmarkStart w:name="_Toc151782175" w:id="0"/>
      <w:bookmarkStart w:name="_Toc158526215" w:id="1"/>
      <w:bookmarkStart w:name="_Toc44596525" w:id="2"/>
      <w:r w:rsidRPr="006014DB">
        <w:rPr>
          <w:sz w:val="24"/>
          <w:szCs w:val="24"/>
        </w:rPr>
        <w:lastRenderedPageBreak/>
        <w:t>A. Justification</w:t>
      </w:r>
      <w:bookmarkEnd w:id="0"/>
      <w:bookmarkEnd w:id="1"/>
      <w:bookmarkEnd w:id="2"/>
    </w:p>
    <w:p w:rsidRPr="006014DB" w:rsidR="009B633D" w:rsidP="009B633D" w:rsidRDefault="009B633D" w14:paraId="25985FA7" w14:textId="77777777"/>
    <w:p w:rsidR="009B633D" w:rsidP="006014DB" w:rsidRDefault="009B633D" w14:paraId="619A5485" w14:textId="486E5D6F">
      <w:pPr>
        <w:pStyle w:val="Heading2"/>
        <w:spacing w:before="0" w:after="0"/>
        <w:rPr>
          <w:sz w:val="24"/>
          <w:szCs w:val="24"/>
        </w:rPr>
      </w:pPr>
      <w:bookmarkStart w:name="_Toc151782176" w:id="3"/>
      <w:bookmarkStart w:name="_Toc158526216" w:id="4"/>
      <w:bookmarkStart w:name="_Toc44596526" w:id="5"/>
      <w:r w:rsidRPr="006014DB">
        <w:rPr>
          <w:sz w:val="24"/>
          <w:szCs w:val="24"/>
        </w:rPr>
        <w:t xml:space="preserve">1. </w:t>
      </w:r>
      <w:bookmarkEnd w:id="3"/>
      <w:bookmarkEnd w:id="4"/>
      <w:r w:rsidRPr="006014DB" w:rsidR="006014DB">
        <w:rPr>
          <w:sz w:val="24"/>
          <w:szCs w:val="24"/>
        </w:rPr>
        <w:t>Circumstances that make the collection of information necessary</w:t>
      </w:r>
      <w:bookmarkEnd w:id="5"/>
    </w:p>
    <w:p w:rsidR="006014DB" w:rsidP="006014DB" w:rsidRDefault="006014DB" w14:paraId="78A95DC3" w14:textId="77777777"/>
    <w:p w:rsidR="0062233A" w:rsidP="00EA3EC2" w:rsidRDefault="0062233A" w14:paraId="6C0907A4" w14:textId="77777777">
      <w:pPr>
        <w:pStyle w:val="CommentText"/>
        <w:rPr>
          <w:sz w:val="24"/>
          <w:szCs w:val="24"/>
        </w:rPr>
      </w:pPr>
    </w:p>
    <w:p w:rsidRPr="0062233A" w:rsidR="0062233A" w:rsidP="0062233A" w:rsidRDefault="0062233A" w14:paraId="0246E98E" w14:textId="23E76706">
      <w:r w:rsidRPr="0062233A">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62233A" w:rsidR="0062233A" w:rsidP="0062233A" w:rsidRDefault="0062233A" w14:paraId="757AB124" w14:textId="77777777">
      <w:pPr>
        <w:tabs>
          <w:tab w:val="left" w:pos="360"/>
        </w:tabs>
      </w:pPr>
      <w:r w:rsidRPr="0062233A">
        <w:tab/>
      </w:r>
    </w:p>
    <w:p w:rsidRPr="0062233A" w:rsidR="0062233A" w:rsidP="0062233A" w:rsidRDefault="0062233A" w14:paraId="7EEAB9FF" w14:textId="77777777">
      <w:pPr>
        <w:tabs>
          <w:tab w:val="left" w:pos="360"/>
        </w:tabs>
        <w:ind w:left="360"/>
      </w:pPr>
      <w:r w:rsidRPr="0062233A">
        <w:t>1.</w:t>
      </w:r>
      <w:r w:rsidRPr="0062233A">
        <w:tab/>
      </w:r>
      <w:proofErr w:type="gramStart"/>
      <w:r w:rsidRPr="0062233A">
        <w:t>research</w:t>
      </w:r>
      <w:proofErr w:type="gramEnd"/>
      <w:r w:rsidRPr="0062233A">
        <w:t xml:space="preserve"> that develops and presents scientific evidence regarding all aspects of </w:t>
      </w:r>
      <w:r w:rsidRPr="0062233A">
        <w:tab/>
      </w:r>
      <w:r w:rsidRPr="0062233A">
        <w:tab/>
        <w:t>health care; and</w:t>
      </w:r>
    </w:p>
    <w:p w:rsidRPr="0062233A" w:rsidR="0062233A" w:rsidP="0062233A" w:rsidRDefault="0062233A" w14:paraId="0DEE6F97" w14:textId="77777777">
      <w:pPr>
        <w:tabs>
          <w:tab w:val="left" w:pos="360"/>
        </w:tabs>
        <w:ind w:left="360"/>
      </w:pPr>
    </w:p>
    <w:p w:rsidRPr="0062233A" w:rsidR="0062233A" w:rsidP="0062233A" w:rsidRDefault="0062233A" w14:paraId="0F3BA264" w14:textId="77777777">
      <w:pPr>
        <w:tabs>
          <w:tab w:val="left" w:pos="360"/>
        </w:tabs>
        <w:ind w:left="360"/>
      </w:pPr>
      <w:r w:rsidRPr="0062233A">
        <w:t>2.</w:t>
      </w:r>
      <w:r w:rsidRPr="0062233A">
        <w:tab/>
      </w:r>
      <w:proofErr w:type="gramStart"/>
      <w:r w:rsidRPr="0062233A">
        <w:t>the</w:t>
      </w:r>
      <w:proofErr w:type="gramEnd"/>
      <w:r w:rsidRPr="0062233A">
        <w:t xml:space="preserve"> synthesis and dissemination of available scientific evidence for use by </w:t>
      </w:r>
      <w:r w:rsidRPr="0062233A">
        <w:tab/>
        <w:t xml:space="preserve">patients, consumers, practitioners, providers, purchasers, policy makers, and </w:t>
      </w:r>
      <w:r w:rsidRPr="0062233A">
        <w:tab/>
        <w:t>educators; and</w:t>
      </w:r>
    </w:p>
    <w:p w:rsidRPr="0062233A" w:rsidR="0062233A" w:rsidP="0062233A" w:rsidRDefault="0062233A" w14:paraId="7DD18215" w14:textId="77777777">
      <w:pPr>
        <w:tabs>
          <w:tab w:val="left" w:pos="360"/>
        </w:tabs>
        <w:ind w:left="360"/>
      </w:pPr>
    </w:p>
    <w:p w:rsidRPr="0062233A" w:rsidR="0062233A" w:rsidP="0062233A" w:rsidRDefault="0062233A" w14:paraId="697862D3" w14:textId="77777777">
      <w:pPr>
        <w:tabs>
          <w:tab w:val="left" w:pos="360"/>
        </w:tabs>
        <w:ind w:left="360"/>
      </w:pPr>
      <w:r w:rsidRPr="0062233A">
        <w:t>3.</w:t>
      </w:r>
      <w:r w:rsidRPr="0062233A">
        <w:tab/>
      </w:r>
      <w:proofErr w:type="gramStart"/>
      <w:r w:rsidRPr="0062233A">
        <w:t>initiatives</w:t>
      </w:r>
      <w:proofErr w:type="gramEnd"/>
      <w:r w:rsidRPr="0062233A">
        <w:t xml:space="preserve"> to advance private and public efforts to improve health care quality.</w:t>
      </w:r>
    </w:p>
    <w:p w:rsidRPr="0062233A" w:rsidR="0062233A" w:rsidP="0062233A" w:rsidRDefault="0062233A" w14:paraId="4A743AF4" w14:textId="77777777">
      <w:pPr>
        <w:tabs>
          <w:tab w:val="left" w:pos="360"/>
        </w:tabs>
      </w:pPr>
    </w:p>
    <w:p w:rsidR="00C7319E" w:rsidP="00C7319E" w:rsidRDefault="00C7319E" w14:paraId="342BB9EC" w14:textId="692E97EC">
      <w:pPr>
        <w:pStyle w:val="BodyText"/>
      </w:pPr>
      <w:r w:rsidRPr="00596B85">
        <w:rPr>
          <w:rFonts w:cstheme="minorHAnsi"/>
        </w:rPr>
        <w:t>Despite improvements</w:t>
      </w:r>
      <w:r>
        <w:rPr>
          <w:rFonts w:cstheme="minorHAnsi"/>
        </w:rPr>
        <w:t xml:space="preserve"> in recent years</w:t>
      </w:r>
      <w:r w:rsidRPr="00596B85">
        <w:rPr>
          <w:rFonts w:cstheme="minorHAnsi"/>
        </w:rPr>
        <w:t xml:space="preserve">, </w:t>
      </w:r>
      <w:r>
        <w:rPr>
          <w:rFonts w:eastAsia="FrutigerLTStd-Light" w:cstheme="minorHAnsi"/>
        </w:rPr>
        <w:t>c</w:t>
      </w:r>
      <w:r w:rsidRPr="0046383D">
        <w:rPr>
          <w:rFonts w:eastAsia="FrutigerLTStd-Light" w:cstheme="minorHAnsi"/>
        </w:rPr>
        <w:t xml:space="preserve">oronary heart disease </w:t>
      </w:r>
      <w:r>
        <w:rPr>
          <w:rFonts w:eastAsia="FrutigerLTStd-Light" w:cstheme="minorHAnsi"/>
        </w:rPr>
        <w:t>(</w:t>
      </w:r>
      <w:r w:rsidRPr="00596B85">
        <w:rPr>
          <w:rFonts w:cstheme="minorHAnsi"/>
        </w:rPr>
        <w:t>CVD</w:t>
      </w:r>
      <w:r>
        <w:rPr>
          <w:rFonts w:cstheme="minorHAnsi"/>
        </w:rPr>
        <w:t>)</w:t>
      </w:r>
      <w:r w:rsidRPr="00596B85">
        <w:rPr>
          <w:rFonts w:cstheme="minorHAnsi"/>
        </w:rPr>
        <w:t xml:space="preserve"> </w:t>
      </w:r>
      <w:r>
        <w:rPr>
          <w:rFonts w:cstheme="minorHAnsi"/>
        </w:rPr>
        <w:t>is</w:t>
      </w:r>
      <w:r w:rsidRPr="00596B85">
        <w:rPr>
          <w:rFonts w:cstheme="minorHAnsi"/>
        </w:rPr>
        <w:t xml:space="preserve"> a significant national health burden and the leading cause of death, involved in nearly one of every three deaths</w:t>
      </w:r>
      <w:r>
        <w:rPr>
          <w:rFonts w:cstheme="minorHAnsi"/>
        </w:rPr>
        <w:t xml:space="preserve">. </w:t>
      </w:r>
      <w:r w:rsidRPr="00596B85">
        <w:rPr>
          <w:rFonts w:cstheme="minorHAnsi"/>
        </w:rPr>
        <w:t>Modifiable risk factors for CVD, such as high blood pressure, high cholesterol, and smoking, remain poorly controlled.</w:t>
      </w:r>
      <w:r>
        <w:rPr>
          <w:rFonts w:cstheme="minorHAnsi"/>
        </w:rPr>
        <w:t xml:space="preserve"> PCOR evidence shows that </w:t>
      </w:r>
      <w:r w:rsidRPr="00596B85">
        <w:rPr>
          <w:rFonts w:cstheme="minorHAnsi"/>
        </w:rPr>
        <w:t>increas</w:t>
      </w:r>
      <w:r>
        <w:rPr>
          <w:rFonts w:cstheme="minorHAnsi"/>
        </w:rPr>
        <w:t>ing</w:t>
      </w:r>
      <w:r w:rsidRPr="00596B85">
        <w:rPr>
          <w:rFonts w:cstheme="minorHAnsi"/>
        </w:rPr>
        <w:t xml:space="preserve"> the delivery of the ABCS of heart health – Aspirin in high-risk individuals, Blood pressure control, Cholesterol management, and Smoking cessation</w:t>
      </w:r>
      <w:r>
        <w:rPr>
          <w:rFonts w:cstheme="minorHAnsi"/>
        </w:rPr>
        <w:t xml:space="preserve"> </w:t>
      </w:r>
      <w:r w:rsidRPr="00596B85">
        <w:rPr>
          <w:rFonts w:cstheme="minorHAnsi"/>
        </w:rPr>
        <w:t>–</w:t>
      </w:r>
      <w:r>
        <w:rPr>
          <w:rFonts w:cstheme="minorHAnsi"/>
        </w:rPr>
        <w:t xml:space="preserve"> can reduce risk and save lives.</w:t>
      </w:r>
    </w:p>
    <w:p w:rsidR="0045488B" w:rsidP="00C84913" w:rsidRDefault="00E06FA3" w14:paraId="2131A83E" w14:textId="13812644">
      <w:pPr>
        <w:pStyle w:val="BodyText"/>
      </w:pPr>
      <w:r>
        <w:t>In 2010</w:t>
      </w:r>
      <w:r w:rsidR="00F85B5C">
        <w:t>,</w:t>
      </w:r>
      <w:r>
        <w:t xml:space="preserve"> Congress established the Patient-Centered Outcomes Research (PCOR) Trust Fund and instructed AHRQ to </w:t>
      </w:r>
      <w:r w:rsidRPr="002A3674" w:rsidR="00F85B5C">
        <w:t>support the dissemination and implementation of PCOR</w:t>
      </w:r>
      <w:r w:rsidR="00F85B5C">
        <w:t xml:space="preserve"> findings. In accordance with its</w:t>
      </w:r>
      <w:r w:rsidRPr="002A3674" w:rsidR="00F85B5C">
        <w:t xml:space="preserve"> mandated role</w:t>
      </w:r>
      <w:r>
        <w:t>,</w:t>
      </w:r>
      <w:r w:rsidDel="00D4064E">
        <w:t xml:space="preserve"> </w:t>
      </w:r>
      <w:r w:rsidR="00D4064E">
        <w:t xml:space="preserve">AHRQ issued a Request for Applications (RFA) entitled </w:t>
      </w:r>
      <w:r w:rsidRPr="00326263" w:rsidR="00D4064E">
        <w:rPr>
          <w:i/>
        </w:rPr>
        <w:t>Supporting Primary Care to Advance Cardiovascular Health in States with High Prevalence of Preventable CVD Events</w:t>
      </w:r>
      <w:r w:rsidR="00D4064E">
        <w:t>.</w:t>
      </w:r>
      <w:r w:rsidR="00D4064E">
        <w:rPr>
          <w:rStyle w:val="FootnoteReference"/>
        </w:rPr>
        <w:footnoteReference w:id="1"/>
      </w:r>
      <w:r w:rsidR="00C7106B">
        <w:t xml:space="preserve"> AHRQ anticipa</w:t>
      </w:r>
      <w:r w:rsidR="001012CD">
        <w:t xml:space="preserve">tes investing up to $18 million </w:t>
      </w:r>
      <w:r w:rsidR="00C7106B">
        <w:t>to support a maximum of 4 awards. The expected earliest start date for the grants is December 30, 2020.</w:t>
      </w:r>
    </w:p>
    <w:p w:rsidRPr="000475D7" w:rsidR="0036754B" w:rsidP="00C84913" w:rsidRDefault="0045488B" w14:paraId="412238DA" w14:textId="5CA5BD31">
      <w:pPr>
        <w:pStyle w:val="BodyText"/>
      </w:pPr>
      <w:r>
        <w:t xml:space="preserve">This initiative </w:t>
      </w:r>
      <w:r w:rsidR="0036754B">
        <w:t>has the following goals:</w:t>
      </w:r>
    </w:p>
    <w:p w:rsidRPr="0062233A" w:rsidR="00CB018F" w:rsidP="00CB018F" w:rsidRDefault="00A53D76" w14:paraId="726ECF46" w14:textId="1208461B">
      <w:r>
        <w:t xml:space="preserve"> </w:t>
      </w:r>
      <w:r w:rsidRPr="00CB018F" w:rsidR="00CB018F">
        <w:t xml:space="preserve"> </w:t>
      </w:r>
    </w:p>
    <w:p w:rsidRPr="000475D7" w:rsidR="00CB018F" w:rsidP="00CB018F" w:rsidRDefault="00CB018F" w14:paraId="2012A35F" w14:textId="77777777">
      <w:pPr>
        <w:pStyle w:val="NormalWeb"/>
        <w:numPr>
          <w:ilvl w:val="0"/>
          <w:numId w:val="61"/>
        </w:numPr>
        <w:spacing w:before="0" w:beforeAutospacing="0" w:after="150" w:afterAutospacing="0"/>
      </w:pPr>
      <w:r>
        <w:rPr>
          <w:color w:val="333333"/>
        </w:rPr>
        <w:t>To i</w:t>
      </w:r>
      <w:r w:rsidRPr="000475D7">
        <w:rPr>
          <w:color w:val="333333"/>
        </w:rPr>
        <w:t>mprove heart health and help reduce CVD disparities by engaging with primary care practices, and disseminating and implementing PCOR findings to improve care delivery.</w:t>
      </w:r>
    </w:p>
    <w:p w:rsidR="00CB018F" w:rsidP="00CB018F" w:rsidRDefault="00CB018F" w14:paraId="06123F91" w14:textId="77777777">
      <w:pPr>
        <w:pStyle w:val="NormalWeb"/>
        <w:numPr>
          <w:ilvl w:val="0"/>
          <w:numId w:val="61"/>
        </w:numPr>
        <w:spacing w:before="0" w:beforeAutospacing="0" w:after="150" w:afterAutospacing="0"/>
        <w:rPr>
          <w:color w:val="333333"/>
        </w:rPr>
      </w:pPr>
      <w:r>
        <w:lastRenderedPageBreak/>
        <w:t xml:space="preserve">To </w:t>
      </w:r>
      <w:r>
        <w:rPr>
          <w:color w:val="333333"/>
        </w:rPr>
        <w:t>l</w:t>
      </w:r>
      <w:r w:rsidRPr="000475D7">
        <w:rPr>
          <w:color w:val="333333"/>
        </w:rPr>
        <w:t xml:space="preserve">earn </w:t>
      </w:r>
      <w:r>
        <w:rPr>
          <w:color w:val="333333"/>
        </w:rPr>
        <w:t xml:space="preserve">how to </w:t>
      </w:r>
      <w:r w:rsidRPr="000475D7">
        <w:rPr>
          <w:color w:val="333333"/>
        </w:rPr>
        <w:t>develop</w:t>
      </w:r>
      <w:r>
        <w:rPr>
          <w:color w:val="333333"/>
        </w:rPr>
        <w:t xml:space="preserve"> sustainable state-level primary care QI infrastructure</w:t>
      </w:r>
      <w:r w:rsidRPr="000475D7">
        <w:rPr>
          <w:color w:val="333333"/>
        </w:rPr>
        <w:t xml:space="preserve"> </w:t>
      </w:r>
      <w:r>
        <w:rPr>
          <w:color w:val="333333"/>
        </w:rPr>
        <w:t xml:space="preserve">to </w:t>
      </w:r>
      <w:r w:rsidRPr="000475D7">
        <w:rPr>
          <w:color w:val="333333"/>
        </w:rPr>
        <w:t>improv</w:t>
      </w:r>
      <w:r>
        <w:rPr>
          <w:color w:val="333333"/>
        </w:rPr>
        <w:t>e</w:t>
      </w:r>
      <w:r w:rsidRPr="000475D7">
        <w:rPr>
          <w:color w:val="333333"/>
        </w:rPr>
        <w:t xml:space="preserve"> the uptake of PCOR evidence</w:t>
      </w:r>
      <w:r>
        <w:rPr>
          <w:color w:val="333333"/>
        </w:rPr>
        <w:t xml:space="preserve"> </w:t>
      </w:r>
      <w:r w:rsidRPr="000475D7">
        <w:rPr>
          <w:color w:val="333333"/>
        </w:rPr>
        <w:t>in primary care</w:t>
      </w:r>
      <w:r>
        <w:rPr>
          <w:color w:val="333333"/>
        </w:rPr>
        <w:t>.</w:t>
      </w:r>
    </w:p>
    <w:p w:rsidRPr="000475D7" w:rsidR="00CB018F" w:rsidP="00CB018F" w:rsidRDefault="00CB018F" w14:paraId="051D5F2B" w14:textId="77777777">
      <w:pPr>
        <w:pStyle w:val="NormalWeb"/>
        <w:numPr>
          <w:ilvl w:val="0"/>
          <w:numId w:val="61"/>
        </w:numPr>
        <w:spacing w:before="0" w:beforeAutospacing="0" w:after="150" w:afterAutospacing="0"/>
        <w:rPr>
          <w:color w:val="333333"/>
        </w:rPr>
      </w:pPr>
      <w:r>
        <w:rPr>
          <w:color w:val="333333"/>
        </w:rPr>
        <w:t>T</w:t>
      </w:r>
      <w:r w:rsidRPr="000475D7">
        <w:rPr>
          <w:color w:val="333333"/>
        </w:rPr>
        <w:t xml:space="preserve">o </w:t>
      </w:r>
      <w:r>
        <w:rPr>
          <w:color w:val="333333"/>
        </w:rPr>
        <w:t>disseminate lessons</w:t>
      </w:r>
      <w:r w:rsidRPr="00D64194">
        <w:rPr>
          <w:color w:val="333333"/>
        </w:rPr>
        <w:t xml:space="preserve"> </w:t>
      </w:r>
      <w:r>
        <w:rPr>
          <w:color w:val="333333"/>
        </w:rPr>
        <w:t xml:space="preserve">learned, which </w:t>
      </w:r>
      <w:r>
        <w:rPr>
          <w:szCs w:val="20"/>
        </w:rPr>
        <w:t xml:space="preserve">take into </w:t>
      </w:r>
      <w:r w:rsidRPr="00240C40">
        <w:rPr>
          <w:szCs w:val="20"/>
        </w:rPr>
        <w:t>consideration the context in which each program operated</w:t>
      </w:r>
      <w:r>
        <w:rPr>
          <w:color w:val="333333"/>
        </w:rPr>
        <w:t>,</w:t>
      </w:r>
      <w:r w:rsidRPr="00240C40">
        <w:rPr>
          <w:szCs w:val="20"/>
        </w:rPr>
        <w:t xml:space="preserve"> on how to replicate successes</w:t>
      </w:r>
      <w:r>
        <w:rPr>
          <w:szCs w:val="20"/>
        </w:rPr>
        <w:t xml:space="preserve"> and avoid challenges</w:t>
      </w:r>
      <w:r w:rsidRPr="00240C40">
        <w:rPr>
          <w:szCs w:val="20"/>
        </w:rPr>
        <w:t>.</w:t>
      </w:r>
    </w:p>
    <w:p w:rsidRPr="000475D7" w:rsidR="0036754B" w:rsidP="00CB018F" w:rsidRDefault="0036754B" w14:paraId="37D1A0F7" w14:textId="7A0E3C93">
      <w:pPr>
        <w:rPr>
          <w:color w:val="333333"/>
        </w:rPr>
      </w:pPr>
    </w:p>
    <w:p w:rsidR="002A3674" w:rsidP="002A3674" w:rsidRDefault="00E627BD" w14:paraId="083CE38A" w14:textId="220B3676">
      <w:pPr>
        <w:pStyle w:val="BodyText"/>
      </w:pPr>
      <w:r>
        <w:t>Grantees</w:t>
      </w:r>
      <w:r w:rsidR="002A3674">
        <w:t xml:space="preserve"> are expected to develop multi-organizational, state-level entities called Cooperatives, which</w:t>
      </w:r>
      <w:r w:rsidR="002A3674">
        <w:rPr>
          <w:vertAlign w:val="superscript"/>
        </w:rPr>
        <w:t xml:space="preserve"> </w:t>
      </w:r>
      <w:r w:rsidR="002A3674">
        <w:t>could include a broad range of entities, such as universities, primary care organizations, public health agencies, payers, health systems, and advocacy groups. The Cooperatives will develop</w:t>
      </w:r>
      <w:r w:rsidRPr="000E0024" w:rsidR="002A3674">
        <w:t xml:space="preserve"> a network of primary care practices </w:t>
      </w:r>
      <w:r w:rsidR="002A3674">
        <w:t>in</w:t>
      </w:r>
      <w:r w:rsidRPr="000E0024" w:rsidR="002A3674">
        <w:t xml:space="preserve"> the </w:t>
      </w:r>
      <w:r w:rsidR="002A3674">
        <w:t>s</w:t>
      </w:r>
      <w:r w:rsidRPr="000E0024" w:rsidR="002A3674">
        <w:t>tate</w:t>
      </w:r>
      <w:r w:rsidR="002A3674">
        <w:t>, and from this network recruit at least 50 to engage in a QI evidence-based project to improve heart health.</w:t>
      </w:r>
      <w:r w:rsidRPr="00701EDF" w:rsidR="002A3674">
        <w:t xml:space="preserve"> </w:t>
      </w:r>
      <w:r w:rsidR="002A3674">
        <w:t xml:space="preserve">The program builds on AHRQ’s previous efforts, notably the </w:t>
      </w:r>
      <w:proofErr w:type="spellStart"/>
      <w:r w:rsidR="002A3674">
        <w:t>EvidenceNO</w:t>
      </w:r>
      <w:r w:rsidR="00A53D76">
        <w:t>W</w:t>
      </w:r>
      <w:proofErr w:type="spellEnd"/>
      <w:r w:rsidR="00A53D76">
        <w:t xml:space="preserve"> (ENOW) and </w:t>
      </w:r>
      <w:proofErr w:type="spellStart"/>
      <w:r w:rsidR="00A53D76">
        <w:t>IMPaCT</w:t>
      </w:r>
      <w:proofErr w:type="spellEnd"/>
      <w:r w:rsidR="00A53D76">
        <w:t xml:space="preserve"> initiatives</w:t>
      </w:r>
      <w:r w:rsidR="002A3674">
        <w:t xml:space="preserve"> that identified states as key drivers of sustainable primary care practice improvement.</w:t>
      </w:r>
      <w:r w:rsidDel="00CB0E1C" w:rsidR="00CB0E1C">
        <w:rPr>
          <w:rStyle w:val="FootnoteReference"/>
        </w:rPr>
        <w:t xml:space="preserve"> </w:t>
      </w:r>
      <w:r w:rsidR="0019257D">
        <w:rPr>
          <w:rStyle w:val="FootnoteReference"/>
        </w:rPr>
        <w:footnoteReference w:id="2"/>
      </w:r>
      <w:r w:rsidR="0019257D">
        <w:rPr>
          <w:rStyle w:val="FootnoteReference"/>
        </w:rPr>
        <w:t>,</w:t>
      </w:r>
      <w:r w:rsidR="0019257D">
        <w:rPr>
          <w:rStyle w:val="FootnoteReference"/>
        </w:rPr>
        <w:footnoteReference w:id="3"/>
      </w:r>
    </w:p>
    <w:p w:rsidR="002A3674" w:rsidP="00FC4F75" w:rsidRDefault="002A3674" w14:paraId="5E00F4F8" w14:textId="22B3DB89">
      <w:pPr>
        <w:pStyle w:val="BodyText"/>
      </w:pPr>
      <w:r w:rsidRPr="00240C40">
        <w:rPr>
          <w:szCs w:val="20"/>
        </w:rPr>
        <w:t xml:space="preserve">As specified in the RFA, each grantee will conduct an evaluation of its own program. </w:t>
      </w:r>
      <w:r>
        <w:rPr>
          <w:szCs w:val="20"/>
        </w:rPr>
        <w:t xml:space="preserve">AHRQ will use information supplied by the grantees as part of AHRQ’s standard monitoring and management of the grants (e.g., grantee progress reports), as well as information collected from key informant interviews (the subject of this information request). </w:t>
      </w:r>
      <w:r w:rsidRPr="00394170">
        <w:rPr>
          <w:szCs w:val="20"/>
        </w:rPr>
        <w:t>A</w:t>
      </w:r>
      <w:r>
        <w:rPr>
          <w:szCs w:val="20"/>
        </w:rPr>
        <w:t xml:space="preserve">HRQ’s </w:t>
      </w:r>
      <w:r w:rsidRPr="00394170">
        <w:rPr>
          <w:szCs w:val="20"/>
        </w:rPr>
        <w:t xml:space="preserve">information collection will explore each </w:t>
      </w:r>
      <w:r>
        <w:rPr>
          <w:szCs w:val="20"/>
        </w:rPr>
        <w:t>grantee’s primary care quality improvement</w:t>
      </w:r>
      <w:r w:rsidRPr="00394170">
        <w:rPr>
          <w:szCs w:val="20"/>
        </w:rPr>
        <w:t>, including their members and partners;</w:t>
      </w:r>
      <w:r>
        <w:rPr>
          <w:szCs w:val="20"/>
        </w:rPr>
        <w:t xml:space="preserve"> and</w:t>
      </w:r>
      <w:r w:rsidRPr="00394170">
        <w:rPr>
          <w:szCs w:val="20"/>
        </w:rPr>
        <w:t xml:space="preserve"> their experiences, achievements</w:t>
      </w:r>
      <w:r>
        <w:rPr>
          <w:szCs w:val="20"/>
        </w:rPr>
        <w:t>.</w:t>
      </w:r>
      <w:r w:rsidRPr="00394170">
        <w:rPr>
          <w:szCs w:val="20"/>
        </w:rPr>
        <w:t xml:space="preserve"> </w:t>
      </w:r>
      <w:r>
        <w:rPr>
          <w:szCs w:val="20"/>
        </w:rPr>
        <w:t>This information</w:t>
      </w:r>
      <w:r w:rsidRPr="00394170">
        <w:rPr>
          <w:szCs w:val="20"/>
        </w:rPr>
        <w:t xml:space="preserve"> will be used </w:t>
      </w:r>
      <w:r>
        <w:rPr>
          <w:szCs w:val="20"/>
        </w:rPr>
        <w:t>by AHRQ to develop</w:t>
      </w:r>
      <w:r w:rsidRPr="00394170">
        <w:rPr>
          <w:szCs w:val="20"/>
        </w:rPr>
        <w:t xml:space="preserve"> case studies </w:t>
      </w:r>
      <w:r>
        <w:rPr>
          <w:szCs w:val="20"/>
        </w:rPr>
        <w:t>and resources that will serve as models for other States that are interested in improving their capacity to support the dissemination of PCOR and quality improvement in primary care.</w:t>
      </w:r>
    </w:p>
    <w:p w:rsidR="0062233A" w:rsidP="0062233A" w:rsidRDefault="0062233A" w14:paraId="5E2DE892" w14:textId="49D86355">
      <w:r w:rsidRPr="0062233A">
        <w:t>To achieve the goals of this project the following data collections will be implemented:</w:t>
      </w:r>
    </w:p>
    <w:p w:rsidRPr="00D64194" w:rsidR="00E627BD" w:rsidP="0062233A" w:rsidRDefault="00E627BD" w14:paraId="0D6795D0" w14:textId="77777777"/>
    <w:p w:rsidR="00CB018F" w:rsidP="00CB018F" w:rsidRDefault="00CB018F" w14:paraId="69F6B3A8" w14:textId="77777777">
      <w:pPr>
        <w:pStyle w:val="ListParagraph"/>
        <w:numPr>
          <w:ilvl w:val="0"/>
          <w:numId w:val="64"/>
        </w:numPr>
        <w:tabs>
          <w:tab w:val="left" w:pos="360"/>
        </w:tabs>
      </w:pPr>
      <w:r w:rsidRPr="00D64194">
        <w:rPr>
          <w:rFonts w:ascii="Times New Roman" w:hAnsi="Times New Roman" w:cs="Times New Roman"/>
        </w:rPr>
        <w:t>Key informant interviews</w:t>
      </w:r>
      <w:r>
        <w:rPr>
          <w:rFonts w:ascii="Times New Roman" w:hAnsi="Times New Roman" w:cs="Times New Roman"/>
        </w:rPr>
        <w:t>.</w:t>
      </w:r>
      <w:r w:rsidRPr="00D64194">
        <w:rPr>
          <w:rFonts w:ascii="Times New Roman" w:hAnsi="Times New Roman" w:cs="Times New Roman"/>
        </w:rPr>
        <w:t xml:space="preserve"> AHRQ will conduct phone interviews with </w:t>
      </w:r>
      <w:r>
        <w:rPr>
          <w:rFonts w:ascii="Times New Roman" w:hAnsi="Times New Roman" w:cs="Times New Roman"/>
        </w:rPr>
        <w:t xml:space="preserve">a variety of state-level </w:t>
      </w:r>
      <w:r w:rsidRPr="00D64194">
        <w:rPr>
          <w:rFonts w:ascii="Times New Roman" w:hAnsi="Times New Roman" w:cs="Times New Roman"/>
        </w:rPr>
        <w:t xml:space="preserve">organizations </w:t>
      </w:r>
      <w:r>
        <w:rPr>
          <w:rFonts w:ascii="Times New Roman" w:hAnsi="Times New Roman" w:cs="Times New Roman"/>
        </w:rPr>
        <w:t>involved in primary care support and with primary practices</w:t>
      </w:r>
      <w:r w:rsidRPr="00D64194">
        <w:rPr>
          <w:rFonts w:ascii="Times New Roman" w:hAnsi="Times New Roman" w:cs="Times New Roman"/>
        </w:rPr>
        <w:t xml:space="preserve">. </w:t>
      </w:r>
      <w:r>
        <w:rPr>
          <w:rFonts w:ascii="Times New Roman" w:hAnsi="Times New Roman" w:cs="Times New Roman"/>
        </w:rPr>
        <w:t>This information</w:t>
      </w:r>
      <w:r w:rsidRPr="00E35D8D">
        <w:rPr>
          <w:rFonts w:ascii="Times New Roman" w:hAnsi="Times New Roman" w:cs="Times New Roman"/>
        </w:rPr>
        <w:t xml:space="preserve"> will be used to develop case studies for each Cooperative as well as pro</w:t>
      </w:r>
      <w:r>
        <w:rPr>
          <w:rFonts w:ascii="Times New Roman" w:hAnsi="Times New Roman" w:cs="Times New Roman"/>
        </w:rPr>
        <w:t>gram-level generalizations and lessons learned</w:t>
      </w:r>
      <w:r w:rsidRPr="00E35D8D">
        <w:rPr>
          <w:rFonts w:ascii="Times New Roman" w:hAnsi="Times New Roman" w:cs="Times New Roman"/>
        </w:rPr>
        <w:t xml:space="preserve"> that might inform other efforts to improve care delivery</w:t>
      </w:r>
      <w:r>
        <w:rPr>
          <w:rFonts w:ascii="Times New Roman" w:hAnsi="Times New Roman" w:cs="Times New Roman"/>
        </w:rPr>
        <w:t>.</w:t>
      </w:r>
    </w:p>
    <w:p w:rsidRPr="00D64194" w:rsidR="00CB018F" w:rsidP="00CB018F" w:rsidRDefault="00CB018F" w14:paraId="38571E81" w14:textId="77777777">
      <w:pPr>
        <w:pStyle w:val="ListParagraph"/>
        <w:tabs>
          <w:tab w:val="left" w:pos="360"/>
        </w:tabs>
        <w:rPr>
          <w:rFonts w:ascii="Times New Roman" w:hAnsi="Times New Roman" w:cs="Times New Roman"/>
        </w:rPr>
      </w:pPr>
    </w:p>
    <w:p w:rsidRPr="00D64194" w:rsidR="00CB018F" w:rsidP="00CB018F" w:rsidRDefault="00CB018F" w14:paraId="013A18FA" w14:textId="77777777">
      <w:pPr>
        <w:pStyle w:val="ListParagraph"/>
        <w:numPr>
          <w:ilvl w:val="0"/>
          <w:numId w:val="64"/>
        </w:numPr>
        <w:tabs>
          <w:tab w:val="left" w:pos="360"/>
        </w:tabs>
      </w:pPr>
      <w:r>
        <w:rPr>
          <w:rFonts w:ascii="Times New Roman" w:hAnsi="Times New Roman" w:cs="Times New Roman"/>
        </w:rPr>
        <w:t>M</w:t>
      </w:r>
      <w:r w:rsidRPr="00D64194">
        <w:rPr>
          <w:rFonts w:ascii="Times New Roman" w:hAnsi="Times New Roman" w:cs="Times New Roman"/>
        </w:rPr>
        <w:t>ember check-in</w:t>
      </w:r>
      <w:r>
        <w:rPr>
          <w:rFonts w:ascii="Times New Roman" w:hAnsi="Times New Roman" w:cs="Times New Roman"/>
        </w:rPr>
        <w:t xml:space="preserve"> session</w:t>
      </w:r>
      <w:r w:rsidRPr="00D64194">
        <w:rPr>
          <w:rFonts w:ascii="Times New Roman" w:hAnsi="Times New Roman" w:cs="Times New Roman"/>
        </w:rPr>
        <w:t xml:space="preserve">s:  AHRQ will conduct group phone </w:t>
      </w:r>
      <w:r>
        <w:rPr>
          <w:rFonts w:ascii="Times New Roman" w:hAnsi="Times New Roman" w:cs="Times New Roman"/>
        </w:rPr>
        <w:t>discussions</w:t>
      </w:r>
      <w:r w:rsidRPr="00D64194">
        <w:rPr>
          <w:rFonts w:ascii="Times New Roman" w:hAnsi="Times New Roman" w:cs="Times New Roman"/>
        </w:rPr>
        <w:t xml:space="preserve"> with </w:t>
      </w:r>
      <w:r>
        <w:rPr>
          <w:rFonts w:ascii="Times New Roman" w:hAnsi="Times New Roman" w:cs="Times New Roman"/>
        </w:rPr>
        <w:t xml:space="preserve">subset of participants in the key informant </w:t>
      </w:r>
      <w:r w:rsidRPr="00D64194">
        <w:rPr>
          <w:rFonts w:ascii="Times New Roman" w:hAnsi="Times New Roman" w:cs="Times New Roman"/>
        </w:rPr>
        <w:t xml:space="preserve">interviews to </w:t>
      </w:r>
      <w:r>
        <w:rPr>
          <w:rFonts w:ascii="Times New Roman" w:hAnsi="Times New Roman" w:cs="Times New Roman"/>
        </w:rPr>
        <w:t xml:space="preserve">corroborate case studies and lessons learned, and to provide additional shared </w:t>
      </w:r>
      <w:r w:rsidRPr="00D64194">
        <w:rPr>
          <w:rFonts w:ascii="Times New Roman" w:hAnsi="Times New Roman" w:cs="Times New Roman"/>
        </w:rPr>
        <w:t>insights across participants.</w:t>
      </w:r>
    </w:p>
    <w:p w:rsidR="00193251" w:rsidP="00671555" w:rsidRDefault="00193251" w14:paraId="6D2FCA06" w14:textId="2BC9EE2F">
      <w:pPr>
        <w:pStyle w:val="BodyText"/>
      </w:pPr>
    </w:p>
    <w:p w:rsidR="001A5DFD" w:rsidP="00B87A7C" w:rsidRDefault="002F2436" w14:paraId="120BD5DA" w14:textId="119E090B">
      <w:pPr>
        <w:spacing w:after="240"/>
        <w:rPr>
          <w:b/>
        </w:rPr>
      </w:pPr>
      <w:r>
        <w:rPr>
          <w:b/>
        </w:rPr>
        <w:t xml:space="preserve">Individual and Group Interviews </w:t>
      </w:r>
    </w:p>
    <w:p w:rsidR="002F2436" w:rsidP="00B87A7C" w:rsidRDefault="002F2436" w14:paraId="0C5CF942" w14:textId="6494AC9D">
      <w:pPr>
        <w:spacing w:after="240"/>
        <w:rPr>
          <w:b/>
        </w:rPr>
      </w:pPr>
      <w:r w:rsidRPr="00202A17">
        <w:t>As noted above AHRQ is proposing to conduct interviews with key stakeholders participating in its new in</w:t>
      </w:r>
      <w:r w:rsidRPr="00202A17" w:rsidR="00387076">
        <w:t>i</w:t>
      </w:r>
      <w:r w:rsidRPr="00202A17">
        <w:t>tiative Support Primary Care to Advance Cardiovascular Health</w:t>
      </w:r>
      <w:r w:rsidRPr="003E786D">
        <w:t xml:space="preserve"> in States with High Prevalence of Preventable CVD</w:t>
      </w:r>
      <w:r>
        <w:t xml:space="preserve">.  This section describes the </w:t>
      </w:r>
      <w:r>
        <w:lastRenderedPageBreak/>
        <w:t>individual and group interviews that AHRQ is proposing to conduct (detailed interview protocols are provided in the attachments A-</w:t>
      </w:r>
      <w:r w:rsidR="00A53D76">
        <w:t>D</w:t>
      </w:r>
      <w:r>
        <w:t xml:space="preserve">). </w:t>
      </w:r>
    </w:p>
    <w:p w:rsidRPr="00202A17" w:rsidR="008F7209" w:rsidP="00B87A7C" w:rsidRDefault="00FF5105" w14:paraId="2DE6BACA" w14:textId="6C1F0F6D">
      <w:pPr>
        <w:spacing w:after="240"/>
        <w:rPr>
          <w:b/>
          <w:i/>
        </w:rPr>
      </w:pPr>
      <w:r w:rsidRPr="00202A17">
        <w:rPr>
          <w:b/>
          <w:i/>
        </w:rPr>
        <w:t>K</w:t>
      </w:r>
      <w:r w:rsidRPr="00202A17" w:rsidR="008F7209">
        <w:rPr>
          <w:b/>
          <w:i/>
        </w:rPr>
        <w:t xml:space="preserve">ey </w:t>
      </w:r>
      <w:r w:rsidRPr="00202A17">
        <w:rPr>
          <w:b/>
          <w:i/>
        </w:rPr>
        <w:t>Informant I</w:t>
      </w:r>
      <w:r w:rsidRPr="00202A17" w:rsidR="008F7209">
        <w:rPr>
          <w:b/>
          <w:i/>
        </w:rPr>
        <w:t>nterviews</w:t>
      </w:r>
    </w:p>
    <w:p w:rsidR="004B1EF2" w:rsidP="00B87A7C" w:rsidRDefault="00836DFF" w14:paraId="165285AB" w14:textId="3C5E8E02">
      <w:pPr>
        <w:pStyle w:val="BodyText"/>
      </w:pPr>
      <w:r w:rsidRPr="008F2AB7">
        <w:t xml:space="preserve">Individual key informant interviews will be conducted with </w:t>
      </w:r>
      <w:r w:rsidRPr="008F2AB7" w:rsidR="004B1EF2">
        <w:t>the following groups:</w:t>
      </w:r>
    </w:p>
    <w:p w:rsidR="004B1EF2" w:rsidP="00B87A7C" w:rsidRDefault="004B1EF2" w14:paraId="0692F2D2" w14:textId="06849C2D">
      <w:pPr>
        <w:pStyle w:val="BodyText"/>
        <w:numPr>
          <w:ilvl w:val="0"/>
          <w:numId w:val="53"/>
        </w:numPr>
      </w:pPr>
      <w:r>
        <w:t>G</w:t>
      </w:r>
      <w:r w:rsidRPr="0043435F" w:rsidR="00836DFF">
        <w:t>rantee</w:t>
      </w:r>
      <w:r w:rsidR="00AF1840">
        <w:t xml:space="preserve"> and </w:t>
      </w:r>
      <w:r w:rsidR="00836DFF">
        <w:t>Cooperative leadership</w:t>
      </w:r>
      <w:r w:rsidR="00E22ACC">
        <w:t>, and Cooperative partners</w:t>
      </w:r>
      <w:r w:rsidR="007625DF">
        <w:t xml:space="preserve"> – about decision to participate in the project, prior collaborations, organization and governance of the Cooperative, nature and extent of partnerships, what work</w:t>
      </w:r>
      <w:r w:rsidR="004A0FC3">
        <w:t>ed</w:t>
      </w:r>
      <w:r w:rsidR="007625DF">
        <w:t xml:space="preserve"> well and barriers, changes to the Cooperative and their impact on provision of QI support, QI support strategies and their perceived effectiveness, successful strategies for recruiting practices and types of practices recruited, success in establishing state-level capacity to provide QI support, factors associated with successful implementation of QI, longer-term impact of the grant and sustainability of capacity developed, </w:t>
      </w:r>
      <w:r w:rsidR="00B53C82">
        <w:t xml:space="preserve">suggestions for improvement and </w:t>
      </w:r>
      <w:r w:rsidR="007625DF">
        <w:t xml:space="preserve">lessons learned from the </w:t>
      </w:r>
      <w:r w:rsidR="00E22ACC">
        <w:t>project</w:t>
      </w:r>
      <w:r w:rsidR="007625DF">
        <w:t>.</w:t>
      </w:r>
      <w:r w:rsidR="008F2AB7">
        <w:t xml:space="preserve"> (See Attachments A and B)</w:t>
      </w:r>
    </w:p>
    <w:p w:rsidR="004B1EF2" w:rsidP="00B87A7C" w:rsidRDefault="004B1EF2" w14:paraId="533E23B8" w14:textId="4260530E">
      <w:pPr>
        <w:pStyle w:val="BodyText"/>
        <w:numPr>
          <w:ilvl w:val="0"/>
          <w:numId w:val="53"/>
        </w:numPr>
      </w:pPr>
      <w:r>
        <w:t>U</w:t>
      </w:r>
      <w:r w:rsidR="00836DFF">
        <w:t>naffiliated organizations</w:t>
      </w:r>
      <w:r w:rsidR="00326263">
        <w:t xml:space="preserve"> involved in or knowledgeable about primary care in the states</w:t>
      </w:r>
      <w:r>
        <w:t xml:space="preserve"> </w:t>
      </w:r>
      <w:r w:rsidR="00E22ACC">
        <w:t xml:space="preserve">– nature and extent of connection to the </w:t>
      </w:r>
      <w:r w:rsidR="00571A17">
        <w:t>Cooperatives</w:t>
      </w:r>
      <w:r w:rsidR="00E22ACC">
        <w:t xml:space="preserve">, awareness of the project, views about the organization and effectiveness of the Cooperatives and their networks, other local activities that may have affected the work of the Cooperatives, views on changes in practice capacity to deliver better care and on sustainability of improvements, </w:t>
      </w:r>
      <w:r w:rsidR="00643998">
        <w:t xml:space="preserve">benefits to and any potential adverse consequences for patients, </w:t>
      </w:r>
      <w:r w:rsidR="00B53C82">
        <w:t xml:space="preserve">suggestions for improvement and </w:t>
      </w:r>
      <w:r w:rsidR="00E22ACC">
        <w:t>lessons learned from the project.</w:t>
      </w:r>
      <w:r w:rsidR="00AF1840">
        <w:t xml:space="preserve"> (See Attachment C)</w:t>
      </w:r>
    </w:p>
    <w:p w:rsidR="004B1EF2" w:rsidP="00B87A7C" w:rsidRDefault="004B1EF2" w14:paraId="62CBF5F0" w14:textId="2480F69C">
      <w:pPr>
        <w:pStyle w:val="BodyText"/>
        <w:numPr>
          <w:ilvl w:val="0"/>
          <w:numId w:val="53"/>
        </w:numPr>
      </w:pPr>
      <w:r>
        <w:t>P</w:t>
      </w:r>
      <w:r w:rsidR="00836DFF">
        <w:t xml:space="preserve">ractices within the network </w:t>
      </w:r>
      <w:r w:rsidRPr="00B87A7C">
        <w:rPr>
          <w:i/>
        </w:rPr>
        <w:t xml:space="preserve">not </w:t>
      </w:r>
      <w:r w:rsidRPr="00B87A7C" w:rsidR="00836DFF">
        <w:rPr>
          <w:i/>
        </w:rPr>
        <w:t>participating</w:t>
      </w:r>
      <w:r w:rsidRPr="0043435F" w:rsidR="00836DFF">
        <w:t xml:space="preserve"> in the </w:t>
      </w:r>
      <w:r w:rsidR="00836DFF">
        <w:t>H</w:t>
      </w:r>
      <w:r w:rsidRPr="0043435F" w:rsidR="00836DFF">
        <w:t xml:space="preserve">eart </w:t>
      </w:r>
      <w:r w:rsidR="00836DFF">
        <w:t>H</w:t>
      </w:r>
      <w:r w:rsidRPr="0043435F" w:rsidR="00836DFF">
        <w:t xml:space="preserve">ealth QI </w:t>
      </w:r>
      <w:r w:rsidR="00836DFF">
        <w:t>p</w:t>
      </w:r>
      <w:r w:rsidRPr="0043435F" w:rsidR="00836DFF">
        <w:t>roject</w:t>
      </w:r>
      <w:r>
        <w:t xml:space="preserve"> </w:t>
      </w:r>
      <w:r w:rsidR="00E22ACC">
        <w:t xml:space="preserve">– </w:t>
      </w:r>
      <w:r w:rsidR="00943949">
        <w:t>prior collaboration and experience of recruitment to the network and Heart Health QI project, decision to participate, nature of engagement with the Cooperative and network, benefits and drawbacks of network participation,</w:t>
      </w:r>
      <w:r w:rsidR="00571A17">
        <w:t xml:space="preserve"> </w:t>
      </w:r>
      <w:r w:rsidR="00E22ACC">
        <w:t xml:space="preserve">interest in participating in </w:t>
      </w:r>
      <w:r w:rsidR="00943949">
        <w:t xml:space="preserve">Heart Health </w:t>
      </w:r>
      <w:r w:rsidR="00E22ACC">
        <w:t>QI project, strategies employed to improve heart health, knowledge of and views on QI strategies at participating practices</w:t>
      </w:r>
      <w:r w:rsidR="00943949">
        <w:t xml:space="preserve">, concurrent efforts to improve care delivery, plans to continue participating in the network, suggestions for improvement and lessons learned </w:t>
      </w:r>
      <w:r w:rsidR="00AF1840">
        <w:t xml:space="preserve">(See Attachment </w:t>
      </w:r>
      <w:r w:rsidR="008F2AB7">
        <w:t>D</w:t>
      </w:r>
      <w:r w:rsidR="00AF1840">
        <w:t>)</w:t>
      </w:r>
    </w:p>
    <w:p w:rsidR="004B1EF2" w:rsidP="00B87A7C" w:rsidRDefault="004B1EF2" w14:paraId="29C13D15" w14:textId="36AEF2C1">
      <w:pPr>
        <w:pStyle w:val="BodyText"/>
        <w:numPr>
          <w:ilvl w:val="0"/>
          <w:numId w:val="53"/>
        </w:numPr>
      </w:pPr>
      <w:r>
        <w:t>P</w:t>
      </w:r>
      <w:r w:rsidRPr="0043435F" w:rsidR="00836DFF">
        <w:t xml:space="preserve">ractices </w:t>
      </w:r>
      <w:r w:rsidR="00836DFF">
        <w:t>with</w:t>
      </w:r>
      <w:r w:rsidRPr="0043435F" w:rsidR="00836DFF">
        <w:t>in the network</w:t>
      </w:r>
      <w:r w:rsidR="00836DFF">
        <w:t xml:space="preserve"> </w:t>
      </w:r>
      <w:r w:rsidRPr="00B87A7C" w:rsidR="00836DFF">
        <w:rPr>
          <w:i/>
        </w:rPr>
        <w:t>participating</w:t>
      </w:r>
      <w:r w:rsidR="00836DFF">
        <w:t xml:space="preserve"> in the </w:t>
      </w:r>
      <w:r w:rsidR="00943949">
        <w:t>H</w:t>
      </w:r>
      <w:r w:rsidRPr="0043435F" w:rsidR="00943949">
        <w:t xml:space="preserve">eart </w:t>
      </w:r>
      <w:r w:rsidR="00943949">
        <w:t>H</w:t>
      </w:r>
      <w:r w:rsidRPr="0043435F" w:rsidR="00943949">
        <w:t xml:space="preserve">ealth </w:t>
      </w:r>
      <w:r w:rsidR="00836DFF">
        <w:t>QI project</w:t>
      </w:r>
      <w:r>
        <w:t xml:space="preserve"> </w:t>
      </w:r>
      <w:r w:rsidR="00E22ACC">
        <w:t xml:space="preserve">– </w:t>
      </w:r>
      <w:r w:rsidR="00571A17">
        <w:t xml:space="preserve">prior collaboration and experience of recruitment to the network and Heart Health QI project, decision to participate, </w:t>
      </w:r>
      <w:r w:rsidR="00E22ACC">
        <w:t xml:space="preserve">nature of engagement with the Cooperative and network, </w:t>
      </w:r>
      <w:r w:rsidR="00571A17">
        <w:t xml:space="preserve">benefits and drawbacks of network participation, </w:t>
      </w:r>
      <w:r w:rsidR="00661459">
        <w:t xml:space="preserve">weaknesses in care delivery that QI strategies are designed to address and how the practices handle these, expectations for improvements stemming from QI projects and any potential challenges, </w:t>
      </w:r>
      <w:r w:rsidR="00B53C82">
        <w:t xml:space="preserve">nature of and </w:t>
      </w:r>
      <w:r w:rsidR="00E22ACC">
        <w:t>sa</w:t>
      </w:r>
      <w:r w:rsidR="00B53C82">
        <w:t>tisfaction with support</w:t>
      </w:r>
      <w:r w:rsidR="00571A17">
        <w:t xml:space="preserve"> for Heart Health QI project</w:t>
      </w:r>
      <w:r w:rsidR="00B53C82">
        <w:t xml:space="preserve">, contribution of QI support to practice capacity to improve heart health outcomes, concurrent efforts to improve care delivery, plans to continue implementing the intervention, other benefits of participation in the </w:t>
      </w:r>
      <w:r w:rsidR="00943949">
        <w:t xml:space="preserve">Heart Health QI </w:t>
      </w:r>
      <w:r w:rsidR="00B53C82">
        <w:t xml:space="preserve">project, plans to remain in the project, suggestions for improvement and lessons learned. </w:t>
      </w:r>
      <w:r w:rsidR="008F2AB7">
        <w:t xml:space="preserve"> (See Attachment </w:t>
      </w:r>
      <w:r w:rsidR="00A53D76">
        <w:t>D</w:t>
      </w:r>
      <w:r w:rsidR="008F2AB7">
        <w:t>)</w:t>
      </w:r>
    </w:p>
    <w:p w:rsidR="00836DFF" w:rsidP="00B87A7C" w:rsidRDefault="004B1EF2" w14:paraId="103CDA5D" w14:textId="70A3A948">
      <w:pPr>
        <w:pStyle w:val="BodyText"/>
      </w:pPr>
      <w:r>
        <w:t xml:space="preserve">A total of </w:t>
      </w:r>
      <w:r w:rsidR="0029563C">
        <w:t>200</w:t>
      </w:r>
      <w:r>
        <w:t xml:space="preserve"> interviews is anticipated over the course of three years</w:t>
      </w:r>
      <w:r w:rsidR="00836DFF">
        <w:t xml:space="preserve"> (Table 1)</w:t>
      </w:r>
      <w:r w:rsidRPr="0043435F" w:rsidR="00836DFF">
        <w:t xml:space="preserve">. </w:t>
      </w:r>
    </w:p>
    <w:p w:rsidR="00836DFF" w:rsidP="00B87A7C" w:rsidRDefault="00836DFF" w14:paraId="612C9B14" w14:textId="2B2EB119">
      <w:pPr>
        <w:pStyle w:val="BodyText"/>
      </w:pPr>
      <w:r w:rsidRPr="0043435F">
        <w:lastRenderedPageBreak/>
        <w:t xml:space="preserve">All interviews will be conducted by telephone and are </w:t>
      </w:r>
      <w:r>
        <w:t>expected</w:t>
      </w:r>
      <w:r w:rsidRPr="0043435F">
        <w:t xml:space="preserve"> to take 45-60 minutes.</w:t>
      </w:r>
      <w:r>
        <w:t xml:space="preserve"> Grantee and Cooperative leadership and Cooperative partner groups will be interviewed annually for three years, while the grants are active. Unaffiliated organizations and </w:t>
      </w:r>
      <w:r w:rsidR="00A34E30">
        <w:t>network</w:t>
      </w:r>
      <w:r>
        <w:t xml:space="preserve"> practices will be interviewed in years 2 and 3 of the grants and practices </w:t>
      </w:r>
      <w:r w:rsidR="00A34E30">
        <w:t xml:space="preserve">participating in the Heart Health QI project </w:t>
      </w:r>
      <w:r>
        <w:t xml:space="preserve">in year 3 only. This schedule </w:t>
      </w:r>
      <w:r w:rsidR="00D05451">
        <w:t xml:space="preserve">of interviews </w:t>
      </w:r>
      <w:r>
        <w:t xml:space="preserve">reflects the anticipated </w:t>
      </w:r>
      <w:r w:rsidR="00D05451">
        <w:t>evolution</w:t>
      </w:r>
      <w:r>
        <w:t xml:space="preserve"> of the state-level entity</w:t>
      </w:r>
      <w:r w:rsidR="00D05451">
        <w:t xml:space="preserve">, development of new partnerships, recruitment of practices to the network, and implementation of </w:t>
      </w:r>
      <w:r w:rsidR="00A34E30">
        <w:t xml:space="preserve">Heart Health </w:t>
      </w:r>
      <w:r w:rsidR="00D05451">
        <w:t>QI project.</w:t>
      </w:r>
      <w:r>
        <w:t xml:space="preserve">  </w:t>
      </w:r>
      <w:r w:rsidRPr="0043435F">
        <w:t xml:space="preserve"> </w:t>
      </w:r>
    </w:p>
    <w:p w:rsidR="00836DFF" w:rsidP="00B87A7C" w:rsidRDefault="00D05451" w14:paraId="04519E1F" w14:textId="29BD1E88">
      <w:pPr>
        <w:pStyle w:val="BodyText"/>
      </w:pPr>
      <w:r>
        <w:t xml:space="preserve">All interviews will include at least one lead interviewer and a note-taker and will be recorded </w:t>
      </w:r>
      <w:r w:rsidRPr="0043435F" w:rsidR="00836DFF">
        <w:t>with respondents’ permission</w:t>
      </w:r>
      <w:r>
        <w:t xml:space="preserve"> as a back-up</w:t>
      </w:r>
      <w:r w:rsidRPr="0043435F" w:rsidR="00836DFF">
        <w:t xml:space="preserve">. Detailed notes will be </w:t>
      </w:r>
      <w:r>
        <w:t>prepared after each interview</w:t>
      </w:r>
      <w:r w:rsidRPr="0043435F" w:rsidR="00836DFF">
        <w:t xml:space="preserve">. </w:t>
      </w:r>
    </w:p>
    <w:p w:rsidRPr="00202A17" w:rsidR="008F7209" w:rsidP="00B87A7C" w:rsidRDefault="008F7209" w14:paraId="0F2C9CCA" w14:textId="08E657A0">
      <w:pPr>
        <w:spacing w:after="240"/>
        <w:rPr>
          <w:b/>
          <w:i/>
        </w:rPr>
      </w:pPr>
      <w:r w:rsidRPr="00202A17">
        <w:rPr>
          <w:b/>
          <w:i/>
        </w:rPr>
        <w:t xml:space="preserve">Member </w:t>
      </w:r>
      <w:r w:rsidRPr="00202A17" w:rsidR="00202A17">
        <w:rPr>
          <w:b/>
          <w:i/>
        </w:rPr>
        <w:t>C</w:t>
      </w:r>
      <w:r w:rsidRPr="00202A17">
        <w:rPr>
          <w:b/>
          <w:i/>
        </w:rPr>
        <w:t xml:space="preserve">hecking </w:t>
      </w:r>
      <w:r w:rsidRPr="00202A17" w:rsidR="00202A17">
        <w:rPr>
          <w:b/>
          <w:i/>
        </w:rPr>
        <w:t>S</w:t>
      </w:r>
      <w:r w:rsidRPr="00202A17">
        <w:rPr>
          <w:b/>
          <w:i/>
        </w:rPr>
        <w:t>essions</w:t>
      </w:r>
    </w:p>
    <w:p w:rsidR="008F2AB7" w:rsidP="004B1EF2" w:rsidRDefault="004B1EF2" w14:paraId="6F08070F" w14:textId="27B0449A">
      <w:pPr>
        <w:pStyle w:val="BodyText"/>
      </w:pPr>
      <w:r w:rsidRPr="0043435F">
        <w:t xml:space="preserve">In addition to key informant </w:t>
      </w:r>
      <w:r w:rsidRPr="003746EF">
        <w:t xml:space="preserve">interviews, </w:t>
      </w:r>
      <w:r w:rsidR="00596B85">
        <w:t>AHRQ</w:t>
      </w:r>
      <w:r w:rsidRPr="003746EF">
        <w:t xml:space="preserve"> will hold three group sessions to conduct member checking</w:t>
      </w:r>
      <w:r w:rsidRPr="003746EF" w:rsidR="003746EF">
        <w:t>.</w:t>
      </w:r>
      <w:r w:rsidR="0019257D">
        <w:rPr>
          <w:rStyle w:val="FootnoteReference"/>
        </w:rPr>
        <w:footnoteReference w:id="4"/>
      </w:r>
      <w:r w:rsidRPr="004D0AAD" w:rsidR="00626FC1">
        <w:rPr>
          <w:rStyle w:val="FootnoteReference"/>
        </w:rPr>
        <w:t>,</w:t>
      </w:r>
      <w:r w:rsidR="00626FC1">
        <w:rPr>
          <w:rStyle w:val="FootnoteReference"/>
        </w:rPr>
        <w:footnoteReference w:id="5"/>
      </w:r>
      <w:r w:rsidR="00626FC1">
        <w:rPr>
          <w:rStyle w:val="FootnoteReference"/>
        </w:rPr>
        <w:t>,</w:t>
      </w:r>
      <w:r w:rsidR="00626FC1">
        <w:rPr>
          <w:rStyle w:val="FootnoteReference"/>
        </w:rPr>
        <w:footnoteReference w:id="6"/>
      </w:r>
      <w:r w:rsidRPr="003746EF" w:rsidR="003746EF">
        <w:t xml:space="preserve"> </w:t>
      </w:r>
      <w:r w:rsidRPr="003746EF">
        <w:t>The first session will take place at the conclusion of the grant year 1 and will include grantee leadership</w:t>
      </w:r>
      <w:r w:rsidR="009978AF">
        <w:t>,</w:t>
      </w:r>
      <w:r w:rsidRPr="003746EF">
        <w:t xml:space="preserve"> Cooperative leadership</w:t>
      </w:r>
      <w:r w:rsidR="009978AF">
        <w:t xml:space="preserve">, and key network partners </w:t>
      </w:r>
      <w:r w:rsidRPr="003746EF">
        <w:t>(Table 2). The goal of this session</w:t>
      </w:r>
      <w:r w:rsidR="00584935">
        <w:t xml:space="preserve"> (#1)</w:t>
      </w:r>
      <w:r w:rsidRPr="003746EF">
        <w:t xml:space="preserve"> is to </w:t>
      </w:r>
      <w:r w:rsidRPr="003746EF" w:rsidR="00023A32">
        <w:t xml:space="preserve">corroborate </w:t>
      </w:r>
      <w:r w:rsidR="00596B85">
        <w:t>AHRQ</w:t>
      </w:r>
      <w:r w:rsidRPr="003746EF">
        <w:t>’s characterization of their organizational models and typology of QI support strategies they plan to deliver</w:t>
      </w:r>
      <w:r w:rsidRPr="0043435F">
        <w:t>.</w:t>
      </w:r>
      <w:r w:rsidR="008F2AB7">
        <w:t xml:space="preserve"> The protocol is included in Attachment </w:t>
      </w:r>
      <w:r w:rsidR="0029563C">
        <w:t>E</w:t>
      </w:r>
      <w:r w:rsidR="008F2AB7">
        <w:t xml:space="preserve">. </w:t>
      </w:r>
      <w:r w:rsidRPr="0043435F">
        <w:t>The remaining two member checking sessions</w:t>
      </w:r>
      <w:r w:rsidR="005A1517">
        <w:t xml:space="preserve">, with </w:t>
      </w:r>
      <w:r w:rsidR="00643998">
        <w:t>(</w:t>
      </w:r>
      <w:r w:rsidR="00584935">
        <w:t>#2</w:t>
      </w:r>
      <w:r w:rsidR="00643998">
        <w:t xml:space="preserve">) </w:t>
      </w:r>
      <w:r w:rsidR="005A1517">
        <w:t>G</w:t>
      </w:r>
      <w:r w:rsidR="0073338A">
        <w:t>r</w:t>
      </w:r>
      <w:r w:rsidR="005A1517">
        <w:t>antee/Cooperative leadership</w:t>
      </w:r>
      <w:r w:rsidR="00643998">
        <w:t>/</w:t>
      </w:r>
      <w:r w:rsidR="005A1517">
        <w:t>network partners</w:t>
      </w:r>
      <w:r w:rsidR="00643998">
        <w:t xml:space="preserve"> </w:t>
      </w:r>
      <w:r w:rsidR="00950D13">
        <w:t xml:space="preserve">as well as organizations unaffiliated but familiar with the Cooperative and its work, </w:t>
      </w:r>
      <w:r w:rsidR="00643998">
        <w:t>and with (</w:t>
      </w:r>
      <w:r w:rsidR="00584935">
        <w:t>#3</w:t>
      </w:r>
      <w:r w:rsidR="00643998">
        <w:t>) representatives of network practices</w:t>
      </w:r>
      <w:r w:rsidR="00950D13">
        <w:t>, both those</w:t>
      </w:r>
      <w:r w:rsidR="00643998">
        <w:t xml:space="preserve"> participating </w:t>
      </w:r>
      <w:r w:rsidR="00950D13">
        <w:t xml:space="preserve">and not participating </w:t>
      </w:r>
      <w:r w:rsidR="00643998">
        <w:t xml:space="preserve">in </w:t>
      </w:r>
      <w:r w:rsidR="00950D13">
        <w:t xml:space="preserve">heart health </w:t>
      </w:r>
      <w:r w:rsidR="00643998">
        <w:t>QI project</w:t>
      </w:r>
      <w:r w:rsidR="005A1517">
        <w:t>,</w:t>
      </w:r>
      <w:r w:rsidRPr="0043435F">
        <w:t xml:space="preserve"> will be convened at the end of the grant funding period</w:t>
      </w:r>
      <w:r>
        <w:t xml:space="preserve"> (year 3).</w:t>
      </w:r>
      <w:r w:rsidR="005A1517">
        <w:t xml:space="preserve"> </w:t>
      </w:r>
      <w:r w:rsidRPr="0043435F">
        <w:t xml:space="preserve">The goal of these sessions is to engage participants in </w:t>
      </w:r>
      <w:r>
        <w:t xml:space="preserve">validating </w:t>
      </w:r>
      <w:r w:rsidR="009978AF">
        <w:t xml:space="preserve">the findings </w:t>
      </w:r>
      <w:r>
        <w:t xml:space="preserve">and/or providing </w:t>
      </w:r>
      <w:r w:rsidR="00643998">
        <w:t xml:space="preserve">additional </w:t>
      </w:r>
      <w:r>
        <w:t xml:space="preserve">insights on the </w:t>
      </w:r>
      <w:r w:rsidRPr="0043435F">
        <w:t xml:space="preserve">common themes </w:t>
      </w:r>
      <w:r>
        <w:t>identified</w:t>
      </w:r>
      <w:r w:rsidRPr="0043435F">
        <w:t xml:space="preserve">. </w:t>
      </w:r>
      <w:r w:rsidR="008F2AB7">
        <w:t xml:space="preserve">The protocol is included in Attachment </w:t>
      </w:r>
      <w:r w:rsidR="0029563C">
        <w:t>F</w:t>
      </w:r>
      <w:r w:rsidR="008F2AB7">
        <w:t>.</w:t>
      </w:r>
    </w:p>
    <w:p w:rsidR="004B1EF2" w:rsidP="004B1EF2" w:rsidRDefault="004B1EF2" w14:paraId="4F9568CB" w14:textId="4433159F">
      <w:pPr>
        <w:pStyle w:val="BodyText"/>
      </w:pPr>
      <w:r w:rsidRPr="0043435F">
        <w:t>All three sessions, expected to include groups of 9-12 participants</w:t>
      </w:r>
      <w:r>
        <w:t xml:space="preserve"> each</w:t>
      </w:r>
      <w:r w:rsidR="0073338A">
        <w:t xml:space="preserve"> (the maximum total of 36)</w:t>
      </w:r>
      <w:r w:rsidRPr="0043435F">
        <w:t>, will be conducted by Web</w:t>
      </w:r>
      <w:r>
        <w:t>E</w:t>
      </w:r>
      <w:r w:rsidRPr="0043435F">
        <w:t xml:space="preserve">x or </w:t>
      </w:r>
      <w:r>
        <w:t>an</w:t>
      </w:r>
      <w:r w:rsidRPr="0043435F">
        <w:t>other tool for remote communication</w:t>
      </w:r>
      <w:r>
        <w:t>,</w:t>
      </w:r>
      <w:r w:rsidRPr="0043435F">
        <w:t xml:space="preserve"> and</w:t>
      </w:r>
      <w:r w:rsidR="005A1517">
        <w:t xml:space="preserve"> will take 60-</w:t>
      </w:r>
      <w:r w:rsidRPr="0043435F">
        <w:t>90 minutes.</w:t>
      </w:r>
      <w:r w:rsidR="00B038B4">
        <w:t xml:space="preserve"> </w:t>
      </w:r>
    </w:p>
    <w:p w:rsidR="00527BBD" w:rsidP="00B87A7C" w:rsidRDefault="000562B5" w14:paraId="1D0F1818" w14:textId="506CCB88">
      <w:pPr>
        <w:spacing w:after="120"/>
      </w:pPr>
      <w:r>
        <w:t xml:space="preserve">The </w:t>
      </w:r>
      <w:r w:rsidR="00FF5105">
        <w:t>timing</w:t>
      </w:r>
      <w:r>
        <w:t xml:space="preserve"> of </w:t>
      </w:r>
      <w:r w:rsidR="00FB2F70">
        <w:t>interview and member checking session</w:t>
      </w:r>
      <w:r>
        <w:t xml:space="preserve"> and the </w:t>
      </w:r>
      <w:r w:rsidR="0073338A">
        <w:t>number of</w:t>
      </w:r>
      <w:r>
        <w:t xml:space="preserve"> respondents</w:t>
      </w:r>
      <w:r w:rsidR="0073338A">
        <w:t xml:space="preserve"> by group</w:t>
      </w:r>
      <w:r>
        <w:t xml:space="preserve"> are shown in Table</w:t>
      </w:r>
      <w:r w:rsidR="00AC76FB">
        <w:t>s</w:t>
      </w:r>
      <w:r>
        <w:t xml:space="preserve"> </w:t>
      </w:r>
      <w:r w:rsidR="007768F9">
        <w:t>1</w:t>
      </w:r>
      <w:r w:rsidR="00AC76FB">
        <w:t xml:space="preserve"> and </w:t>
      </w:r>
      <w:r w:rsidR="007768F9">
        <w:t>2</w:t>
      </w:r>
      <w:r w:rsidR="0073338A">
        <w:t xml:space="preserve"> (based on</w:t>
      </w:r>
      <w:r w:rsidR="00B6131F">
        <w:t xml:space="preserve"> </w:t>
      </w:r>
      <w:r w:rsidR="0073338A">
        <w:t xml:space="preserve">the assumption that </w:t>
      </w:r>
      <w:r w:rsidR="00FB2F70">
        <w:t xml:space="preserve">AHRQ will award </w:t>
      </w:r>
      <w:r w:rsidR="0073338A">
        <w:t>four gran</w:t>
      </w:r>
      <w:r w:rsidR="00FB2F70">
        <w:t>t</w:t>
      </w:r>
      <w:r w:rsidR="00B6131F">
        <w:t>s</w:t>
      </w:r>
      <w:r w:rsidR="0073338A">
        <w:t>)</w:t>
      </w:r>
      <w:r w:rsidR="00B6131F">
        <w:t>.</w:t>
      </w:r>
    </w:p>
    <w:p w:rsidRPr="00B87A7C" w:rsidR="000562B5" w:rsidP="00454448" w:rsidRDefault="00AC76FB" w14:paraId="466A843C" w14:textId="313FEA56">
      <w:pPr>
        <w:tabs>
          <w:tab w:val="left" w:pos="360"/>
        </w:tabs>
        <w:spacing w:after="120"/>
        <w:ind w:left="360" w:hanging="360"/>
        <w:rPr>
          <w:b/>
        </w:rPr>
      </w:pPr>
      <w:r w:rsidRPr="00B87A7C">
        <w:rPr>
          <w:b/>
        </w:rPr>
        <w:t xml:space="preserve">Table </w:t>
      </w:r>
      <w:r w:rsidR="007768F9">
        <w:rPr>
          <w:b/>
        </w:rPr>
        <w:t>1</w:t>
      </w:r>
      <w:r w:rsidRPr="00B87A7C">
        <w:rPr>
          <w:b/>
        </w:rPr>
        <w:t xml:space="preserve">: </w:t>
      </w:r>
      <w:r w:rsidR="00FB2F70">
        <w:rPr>
          <w:b/>
        </w:rPr>
        <w:t>Number of</w:t>
      </w:r>
      <w:r>
        <w:rPr>
          <w:b/>
        </w:rPr>
        <w:t xml:space="preserve"> and Timing of </w:t>
      </w:r>
      <w:r w:rsidRPr="00B87A7C">
        <w:rPr>
          <w:b/>
        </w:rPr>
        <w:t>Individual Interviews</w:t>
      </w:r>
    </w:p>
    <w:tbl>
      <w:tblPr>
        <w:tblStyle w:val="TableGrid2"/>
        <w:tblW w:w="4992" w:type="pct"/>
        <w:tblLayout w:type="fixed"/>
        <w:tblCellMar>
          <w:left w:w="43" w:type="dxa"/>
          <w:right w:w="43" w:type="dxa"/>
        </w:tblCellMar>
        <w:tblLook w:val="04A0" w:firstRow="1" w:lastRow="0" w:firstColumn="1" w:lastColumn="0" w:noHBand="0" w:noVBand="1"/>
      </w:tblPr>
      <w:tblGrid>
        <w:gridCol w:w="3864"/>
        <w:gridCol w:w="1584"/>
        <w:gridCol w:w="1584"/>
        <w:gridCol w:w="1584"/>
      </w:tblGrid>
      <w:tr w:rsidRPr="00EB28A1" w:rsidR="00A10D45" w:rsidTr="00B87A7C" w14:paraId="66F55FD9" w14:textId="77777777">
        <w:trPr>
          <w:trHeight w:val="260"/>
          <w:tblHeader/>
        </w:trPr>
        <w:tc>
          <w:tcPr>
            <w:tcW w:w="3864" w:type="dxa"/>
            <w:vMerge w:val="restart"/>
            <w:shd w:val="clear" w:color="auto" w:fill="48A9C5"/>
          </w:tcPr>
          <w:p w:rsidRPr="00B87A7C" w:rsidR="00A10D45" w:rsidRDefault="00A10D45" w14:paraId="2B57AF0B" w14:textId="18637EDE">
            <w:pPr>
              <w:rPr>
                <w:b/>
                <w:color w:val="FFFFFF"/>
                <w:sz w:val="22"/>
                <w:szCs w:val="22"/>
              </w:rPr>
            </w:pPr>
            <w:r w:rsidRPr="00B87A7C">
              <w:rPr>
                <w:b/>
                <w:color w:val="FFFFFF"/>
                <w:sz w:val="22"/>
                <w:szCs w:val="22"/>
              </w:rPr>
              <w:t>Respondents</w:t>
            </w:r>
          </w:p>
        </w:tc>
        <w:tc>
          <w:tcPr>
            <w:tcW w:w="4752" w:type="dxa"/>
            <w:gridSpan w:val="3"/>
            <w:shd w:val="clear" w:color="auto" w:fill="48A9C5"/>
            <w:vAlign w:val="bottom"/>
          </w:tcPr>
          <w:p w:rsidRPr="00B87A7C" w:rsidR="00A10D45" w:rsidP="00671555" w:rsidRDefault="00A10D45" w14:paraId="5DE2F59D" w14:textId="77777777">
            <w:pPr>
              <w:jc w:val="center"/>
              <w:rPr>
                <w:b/>
                <w:color w:val="FFFFFF"/>
                <w:sz w:val="22"/>
                <w:szCs w:val="22"/>
              </w:rPr>
            </w:pPr>
            <w:r w:rsidRPr="00B87A7C">
              <w:rPr>
                <w:b/>
                <w:color w:val="FFFFFF"/>
                <w:sz w:val="22"/>
                <w:szCs w:val="22"/>
              </w:rPr>
              <w:t>Sample Sizes and Timing</w:t>
            </w:r>
          </w:p>
        </w:tc>
      </w:tr>
      <w:tr w:rsidRPr="00EB28A1" w:rsidR="00A10D45" w:rsidTr="00581E5A" w14:paraId="026BD6B1" w14:textId="77777777">
        <w:trPr>
          <w:trHeight w:val="260"/>
          <w:tblHeader/>
        </w:trPr>
        <w:tc>
          <w:tcPr>
            <w:tcW w:w="3864" w:type="dxa"/>
            <w:vMerge/>
            <w:shd w:val="clear" w:color="auto" w:fill="48A9C5"/>
          </w:tcPr>
          <w:p w:rsidRPr="00B87A7C" w:rsidR="00A10D45" w:rsidP="00671555" w:rsidRDefault="00A10D45" w14:paraId="6E6B0389" w14:textId="55E04929">
            <w:pPr>
              <w:rPr>
                <w:b/>
                <w:color w:val="FFFFFF"/>
                <w:sz w:val="22"/>
                <w:szCs w:val="22"/>
              </w:rPr>
            </w:pPr>
          </w:p>
        </w:tc>
        <w:tc>
          <w:tcPr>
            <w:tcW w:w="1584" w:type="dxa"/>
            <w:shd w:val="clear" w:color="auto" w:fill="48A9C5"/>
            <w:vAlign w:val="center"/>
          </w:tcPr>
          <w:p w:rsidRPr="00B87A7C" w:rsidR="00A10D45" w:rsidP="00671555" w:rsidRDefault="00A10D45" w14:paraId="1A739AB4" w14:textId="77777777">
            <w:pPr>
              <w:pStyle w:val="ListParagraph"/>
              <w:ind w:left="67"/>
              <w:jc w:val="center"/>
              <w:rPr>
                <w:rFonts w:ascii="Times New Roman" w:hAnsi="Times New Roman" w:cs="Times New Roman"/>
                <w:b/>
                <w:color w:val="FFFFFF"/>
                <w:sz w:val="22"/>
                <w:szCs w:val="22"/>
              </w:rPr>
            </w:pPr>
            <w:r w:rsidRPr="00B87A7C">
              <w:rPr>
                <w:rFonts w:ascii="Times New Roman" w:hAnsi="Times New Roman" w:cs="Times New Roman"/>
                <w:b/>
                <w:color w:val="FFFFFF"/>
                <w:sz w:val="22"/>
                <w:szCs w:val="22"/>
              </w:rPr>
              <w:t>Gant Year 1 (2021)</w:t>
            </w:r>
          </w:p>
        </w:tc>
        <w:tc>
          <w:tcPr>
            <w:tcW w:w="1584" w:type="dxa"/>
            <w:shd w:val="clear" w:color="auto" w:fill="48A9C5"/>
            <w:vAlign w:val="center"/>
          </w:tcPr>
          <w:p w:rsidRPr="00B87A7C" w:rsidR="00A10D45" w:rsidP="00671555" w:rsidRDefault="00A10D45" w14:paraId="6002AFA6" w14:textId="77777777">
            <w:pPr>
              <w:ind w:left="47"/>
              <w:jc w:val="center"/>
              <w:rPr>
                <w:b/>
                <w:color w:val="FFFFFF"/>
                <w:sz w:val="22"/>
                <w:szCs w:val="22"/>
              </w:rPr>
            </w:pPr>
            <w:r w:rsidRPr="00B87A7C">
              <w:rPr>
                <w:b/>
                <w:color w:val="FFFFFF"/>
                <w:sz w:val="22"/>
                <w:szCs w:val="22"/>
              </w:rPr>
              <w:t>Grant Year 2 (2022)</w:t>
            </w:r>
          </w:p>
        </w:tc>
        <w:tc>
          <w:tcPr>
            <w:tcW w:w="1584" w:type="dxa"/>
            <w:shd w:val="clear" w:color="auto" w:fill="48A9C5"/>
            <w:vAlign w:val="center"/>
          </w:tcPr>
          <w:p w:rsidRPr="00B87A7C" w:rsidR="00A10D45" w:rsidP="00671555" w:rsidRDefault="00A10D45" w14:paraId="62195F59" w14:textId="77777777">
            <w:pPr>
              <w:jc w:val="center"/>
              <w:rPr>
                <w:b/>
                <w:color w:val="FFFFFF"/>
                <w:sz w:val="22"/>
                <w:szCs w:val="22"/>
              </w:rPr>
            </w:pPr>
            <w:r w:rsidRPr="00B87A7C">
              <w:rPr>
                <w:b/>
                <w:color w:val="FFFFFF"/>
                <w:sz w:val="22"/>
                <w:szCs w:val="22"/>
              </w:rPr>
              <w:t>Grant Year 3 (2023)</w:t>
            </w:r>
          </w:p>
        </w:tc>
      </w:tr>
      <w:tr w:rsidRPr="008F050D" w:rsidR="007768F9" w:rsidTr="00B87A7C" w14:paraId="6758003E" w14:textId="77777777">
        <w:tc>
          <w:tcPr>
            <w:tcW w:w="3864" w:type="dxa"/>
          </w:tcPr>
          <w:p w:rsidRPr="00B87A7C" w:rsidR="007768F9" w:rsidP="00671555" w:rsidRDefault="007768F9" w14:paraId="09C5ACC8" w14:textId="360E4209">
            <w:pPr>
              <w:rPr>
                <w:sz w:val="22"/>
                <w:szCs w:val="22"/>
              </w:rPr>
            </w:pPr>
            <w:r w:rsidRPr="00B87A7C">
              <w:rPr>
                <w:sz w:val="22"/>
                <w:szCs w:val="22"/>
              </w:rPr>
              <w:t>Grantee leadership</w:t>
            </w:r>
          </w:p>
        </w:tc>
        <w:tc>
          <w:tcPr>
            <w:tcW w:w="1584" w:type="dxa"/>
            <w:vAlign w:val="center"/>
          </w:tcPr>
          <w:p w:rsidRPr="00B87A7C" w:rsidR="007768F9" w:rsidRDefault="007768F9" w14:paraId="7F821ADE" w14:textId="0EE5A497">
            <w:pPr>
              <w:ind w:left="47"/>
              <w:jc w:val="center"/>
              <w:rPr>
                <w:rFonts w:eastAsia="Calibri"/>
                <w:sz w:val="22"/>
                <w:szCs w:val="22"/>
              </w:rPr>
            </w:pPr>
            <w:r w:rsidRPr="00B87A7C">
              <w:rPr>
                <w:rFonts w:eastAsia="Calibri"/>
                <w:sz w:val="22"/>
                <w:szCs w:val="22"/>
              </w:rPr>
              <w:t>12</w:t>
            </w:r>
          </w:p>
        </w:tc>
        <w:tc>
          <w:tcPr>
            <w:tcW w:w="1584" w:type="dxa"/>
            <w:vAlign w:val="center"/>
          </w:tcPr>
          <w:p w:rsidRPr="00B87A7C" w:rsidR="007768F9" w:rsidRDefault="007768F9" w14:paraId="3D4DA8EA" w14:textId="1AE7F479">
            <w:pPr>
              <w:ind w:left="47"/>
              <w:jc w:val="center"/>
              <w:rPr>
                <w:rFonts w:eastAsia="Calibri"/>
                <w:sz w:val="22"/>
                <w:szCs w:val="22"/>
              </w:rPr>
            </w:pPr>
            <w:r w:rsidRPr="00B87A7C">
              <w:rPr>
                <w:rFonts w:eastAsia="Calibri"/>
                <w:sz w:val="22"/>
                <w:szCs w:val="22"/>
              </w:rPr>
              <w:t>12</w:t>
            </w:r>
          </w:p>
        </w:tc>
        <w:tc>
          <w:tcPr>
            <w:tcW w:w="1584" w:type="dxa"/>
            <w:vAlign w:val="center"/>
          </w:tcPr>
          <w:p w:rsidRPr="00B87A7C" w:rsidR="007768F9" w:rsidRDefault="007768F9" w14:paraId="6755F2FF" w14:textId="4F9A8199">
            <w:pPr>
              <w:ind w:left="47"/>
              <w:jc w:val="center"/>
              <w:rPr>
                <w:rFonts w:eastAsia="Calibri"/>
                <w:sz w:val="22"/>
                <w:szCs w:val="22"/>
              </w:rPr>
            </w:pPr>
            <w:r w:rsidRPr="00B87A7C">
              <w:rPr>
                <w:rFonts w:eastAsia="Calibri"/>
                <w:sz w:val="22"/>
                <w:szCs w:val="22"/>
              </w:rPr>
              <w:t>12</w:t>
            </w:r>
          </w:p>
        </w:tc>
      </w:tr>
      <w:tr w:rsidRPr="008F050D" w:rsidR="00AC76FB" w:rsidTr="00B87A7C" w14:paraId="7258E2B2" w14:textId="77777777">
        <w:tc>
          <w:tcPr>
            <w:tcW w:w="3864" w:type="dxa"/>
          </w:tcPr>
          <w:p w:rsidRPr="00B87A7C" w:rsidR="00AC76FB" w:rsidP="00671555" w:rsidRDefault="007768F9" w14:paraId="7E17F35A" w14:textId="3F168F99">
            <w:pPr>
              <w:rPr>
                <w:sz w:val="22"/>
                <w:szCs w:val="22"/>
              </w:rPr>
            </w:pPr>
            <w:r w:rsidRPr="00B87A7C">
              <w:rPr>
                <w:sz w:val="22"/>
                <w:szCs w:val="22"/>
              </w:rPr>
              <w:lastRenderedPageBreak/>
              <w:t>Cooperative leadership</w:t>
            </w:r>
          </w:p>
        </w:tc>
        <w:tc>
          <w:tcPr>
            <w:tcW w:w="1584" w:type="dxa"/>
            <w:vAlign w:val="center"/>
          </w:tcPr>
          <w:p w:rsidRPr="00B87A7C" w:rsidR="00AC76FB" w:rsidRDefault="007768F9" w14:paraId="77DFC698" w14:textId="756ABAE6">
            <w:pPr>
              <w:ind w:left="47"/>
              <w:jc w:val="center"/>
              <w:rPr>
                <w:rFonts w:eastAsia="Calibri"/>
                <w:sz w:val="22"/>
                <w:szCs w:val="22"/>
              </w:rPr>
            </w:pPr>
            <w:r w:rsidRPr="00B87A7C">
              <w:rPr>
                <w:rFonts w:eastAsia="Calibri"/>
                <w:sz w:val="22"/>
                <w:szCs w:val="22"/>
              </w:rPr>
              <w:t>12</w:t>
            </w:r>
          </w:p>
        </w:tc>
        <w:tc>
          <w:tcPr>
            <w:tcW w:w="1584" w:type="dxa"/>
            <w:vAlign w:val="center"/>
          </w:tcPr>
          <w:p w:rsidRPr="00B87A7C" w:rsidR="00AC76FB" w:rsidRDefault="007768F9" w14:paraId="5ED2B292" w14:textId="1A90EE1C">
            <w:pPr>
              <w:ind w:left="47"/>
              <w:jc w:val="center"/>
              <w:rPr>
                <w:rFonts w:eastAsia="Calibri"/>
                <w:sz w:val="22"/>
                <w:szCs w:val="22"/>
              </w:rPr>
            </w:pPr>
            <w:r w:rsidRPr="00B87A7C">
              <w:rPr>
                <w:rFonts w:eastAsia="Calibri"/>
                <w:sz w:val="22"/>
                <w:szCs w:val="22"/>
              </w:rPr>
              <w:t>12</w:t>
            </w:r>
          </w:p>
        </w:tc>
        <w:tc>
          <w:tcPr>
            <w:tcW w:w="1584" w:type="dxa"/>
            <w:vAlign w:val="center"/>
          </w:tcPr>
          <w:p w:rsidRPr="00B87A7C" w:rsidR="00AC76FB" w:rsidRDefault="007768F9" w14:paraId="541986E5" w14:textId="450B7905">
            <w:pPr>
              <w:ind w:left="47"/>
              <w:jc w:val="center"/>
              <w:rPr>
                <w:rFonts w:eastAsia="Calibri"/>
                <w:sz w:val="22"/>
                <w:szCs w:val="22"/>
              </w:rPr>
            </w:pPr>
            <w:r w:rsidRPr="00B87A7C">
              <w:rPr>
                <w:rFonts w:eastAsia="Calibri"/>
                <w:sz w:val="22"/>
                <w:szCs w:val="22"/>
              </w:rPr>
              <w:t>12</w:t>
            </w:r>
          </w:p>
        </w:tc>
      </w:tr>
      <w:tr w:rsidR="00AC76FB" w:rsidTr="00B87A7C" w14:paraId="727495E7" w14:textId="77777777">
        <w:tc>
          <w:tcPr>
            <w:tcW w:w="3864" w:type="dxa"/>
          </w:tcPr>
          <w:p w:rsidRPr="00B87A7C" w:rsidR="00AC76FB" w:rsidRDefault="00AC76FB" w14:paraId="572F0F07" w14:textId="256E8FBF">
            <w:pPr>
              <w:rPr>
                <w:sz w:val="22"/>
                <w:szCs w:val="22"/>
              </w:rPr>
            </w:pPr>
            <w:r w:rsidRPr="00B87A7C">
              <w:rPr>
                <w:sz w:val="22"/>
                <w:szCs w:val="22"/>
              </w:rPr>
              <w:t xml:space="preserve">Cooperative </w:t>
            </w:r>
            <w:r w:rsidRPr="00B87A7C" w:rsidR="007768F9">
              <w:rPr>
                <w:sz w:val="22"/>
                <w:szCs w:val="22"/>
              </w:rPr>
              <w:t>p</w:t>
            </w:r>
            <w:r w:rsidRPr="00B87A7C">
              <w:rPr>
                <w:sz w:val="22"/>
                <w:szCs w:val="22"/>
              </w:rPr>
              <w:t>artners</w:t>
            </w:r>
          </w:p>
        </w:tc>
        <w:tc>
          <w:tcPr>
            <w:tcW w:w="1584" w:type="dxa"/>
            <w:vAlign w:val="center"/>
          </w:tcPr>
          <w:p w:rsidRPr="00B87A7C" w:rsidR="00AC76FB" w:rsidRDefault="007768F9" w14:paraId="4360696B" w14:textId="30890CBB">
            <w:pPr>
              <w:jc w:val="center"/>
              <w:rPr>
                <w:rFonts w:eastAsia="Calibri"/>
                <w:sz w:val="22"/>
                <w:szCs w:val="22"/>
              </w:rPr>
            </w:pPr>
            <w:r w:rsidRPr="00B87A7C">
              <w:rPr>
                <w:rFonts w:eastAsia="Calibri"/>
                <w:sz w:val="22"/>
                <w:szCs w:val="22"/>
              </w:rPr>
              <w:t>12</w:t>
            </w:r>
          </w:p>
        </w:tc>
        <w:tc>
          <w:tcPr>
            <w:tcW w:w="1584" w:type="dxa"/>
            <w:vAlign w:val="center"/>
          </w:tcPr>
          <w:p w:rsidRPr="00B87A7C" w:rsidR="00AC76FB" w:rsidRDefault="007768F9" w14:paraId="64B8FA99" w14:textId="516577DD">
            <w:pPr>
              <w:jc w:val="center"/>
              <w:rPr>
                <w:rFonts w:eastAsia="Calibri"/>
                <w:sz w:val="22"/>
                <w:szCs w:val="22"/>
              </w:rPr>
            </w:pPr>
            <w:r w:rsidRPr="00B87A7C">
              <w:rPr>
                <w:rFonts w:eastAsia="Calibri"/>
                <w:sz w:val="22"/>
                <w:szCs w:val="22"/>
              </w:rPr>
              <w:t>24</w:t>
            </w:r>
          </w:p>
        </w:tc>
        <w:tc>
          <w:tcPr>
            <w:tcW w:w="1584" w:type="dxa"/>
            <w:vAlign w:val="center"/>
          </w:tcPr>
          <w:p w:rsidRPr="00B87A7C" w:rsidR="00AC76FB" w:rsidRDefault="007768F9" w14:paraId="2772996C" w14:textId="1D5040E1">
            <w:pPr>
              <w:ind w:left="47"/>
              <w:jc w:val="center"/>
              <w:rPr>
                <w:rFonts w:eastAsia="Calibri"/>
                <w:sz w:val="22"/>
                <w:szCs w:val="22"/>
              </w:rPr>
            </w:pPr>
            <w:r w:rsidRPr="00B87A7C">
              <w:rPr>
                <w:rFonts w:eastAsia="Calibri"/>
                <w:sz w:val="22"/>
                <w:szCs w:val="22"/>
              </w:rPr>
              <w:t>24</w:t>
            </w:r>
          </w:p>
        </w:tc>
      </w:tr>
      <w:tr w:rsidR="00AC76FB" w:rsidTr="00B87A7C" w14:paraId="595A7DE2" w14:textId="77777777">
        <w:tc>
          <w:tcPr>
            <w:tcW w:w="3864" w:type="dxa"/>
          </w:tcPr>
          <w:p w:rsidRPr="00B87A7C" w:rsidR="00AC76FB" w:rsidP="00671555" w:rsidRDefault="007768F9" w14:paraId="7DA7BEAB" w14:textId="552A627E">
            <w:pPr>
              <w:rPr>
                <w:sz w:val="22"/>
                <w:szCs w:val="22"/>
              </w:rPr>
            </w:pPr>
            <w:r w:rsidRPr="00B87A7C">
              <w:rPr>
                <w:sz w:val="22"/>
                <w:szCs w:val="22"/>
              </w:rPr>
              <w:t>Unaffiliated organizations</w:t>
            </w:r>
            <w:r w:rsidRPr="00B87A7C" w:rsidR="00AC76FB">
              <w:rPr>
                <w:sz w:val="22"/>
                <w:szCs w:val="22"/>
              </w:rPr>
              <w:t xml:space="preserve"> </w:t>
            </w:r>
          </w:p>
        </w:tc>
        <w:tc>
          <w:tcPr>
            <w:tcW w:w="1584" w:type="dxa"/>
            <w:vAlign w:val="center"/>
          </w:tcPr>
          <w:p w:rsidRPr="00B87A7C" w:rsidR="00AC76FB" w:rsidRDefault="007768F9" w14:paraId="274A9AC9" w14:textId="4A8FAE11">
            <w:pPr>
              <w:jc w:val="center"/>
              <w:rPr>
                <w:rFonts w:eastAsia="Calibri"/>
                <w:sz w:val="22"/>
                <w:szCs w:val="22"/>
              </w:rPr>
            </w:pPr>
            <w:r w:rsidRPr="00B87A7C">
              <w:rPr>
                <w:rFonts w:eastAsia="Calibri"/>
                <w:sz w:val="22"/>
                <w:szCs w:val="22"/>
              </w:rPr>
              <w:t>0</w:t>
            </w:r>
          </w:p>
        </w:tc>
        <w:tc>
          <w:tcPr>
            <w:tcW w:w="1584" w:type="dxa"/>
            <w:vAlign w:val="center"/>
          </w:tcPr>
          <w:p w:rsidRPr="00B87A7C" w:rsidR="00AC76FB" w:rsidRDefault="007768F9" w14:paraId="7420E3D0" w14:textId="3CB4415C">
            <w:pPr>
              <w:jc w:val="center"/>
              <w:rPr>
                <w:rFonts w:eastAsia="Calibri"/>
                <w:sz w:val="22"/>
                <w:szCs w:val="22"/>
              </w:rPr>
            </w:pPr>
            <w:r w:rsidRPr="00B87A7C">
              <w:rPr>
                <w:rFonts w:eastAsia="Calibri"/>
                <w:sz w:val="22"/>
                <w:szCs w:val="22"/>
              </w:rPr>
              <w:t>12</w:t>
            </w:r>
          </w:p>
        </w:tc>
        <w:tc>
          <w:tcPr>
            <w:tcW w:w="1584" w:type="dxa"/>
            <w:vAlign w:val="center"/>
          </w:tcPr>
          <w:p w:rsidRPr="00B87A7C" w:rsidR="00AC76FB" w:rsidRDefault="007768F9" w14:paraId="2CD097C0" w14:textId="10109647">
            <w:pPr>
              <w:ind w:left="47"/>
              <w:jc w:val="center"/>
              <w:rPr>
                <w:rFonts w:eastAsia="Calibri"/>
                <w:sz w:val="22"/>
                <w:szCs w:val="22"/>
              </w:rPr>
            </w:pPr>
            <w:r w:rsidRPr="00B87A7C">
              <w:rPr>
                <w:rFonts w:eastAsia="Calibri"/>
                <w:sz w:val="22"/>
                <w:szCs w:val="22"/>
              </w:rPr>
              <w:t>12</w:t>
            </w:r>
          </w:p>
        </w:tc>
      </w:tr>
      <w:tr w:rsidR="007768F9" w:rsidTr="00B87A7C" w14:paraId="74F8D868" w14:textId="77777777">
        <w:tc>
          <w:tcPr>
            <w:tcW w:w="3864" w:type="dxa"/>
          </w:tcPr>
          <w:p w:rsidRPr="00B87A7C" w:rsidR="007768F9" w:rsidP="00135159" w:rsidRDefault="00135159" w14:paraId="775FB53E" w14:textId="218630C3">
            <w:pPr>
              <w:rPr>
                <w:sz w:val="22"/>
                <w:szCs w:val="22"/>
              </w:rPr>
            </w:pPr>
            <w:r>
              <w:rPr>
                <w:sz w:val="22"/>
                <w:szCs w:val="22"/>
              </w:rPr>
              <w:t xml:space="preserve">Practices in network not </w:t>
            </w:r>
            <w:r w:rsidRPr="00B87A7C" w:rsidR="007768F9">
              <w:rPr>
                <w:sz w:val="22"/>
                <w:szCs w:val="22"/>
              </w:rPr>
              <w:t xml:space="preserve">participating </w:t>
            </w:r>
            <w:r>
              <w:rPr>
                <w:sz w:val="22"/>
                <w:szCs w:val="22"/>
              </w:rPr>
              <w:t>in Heart Health QI project</w:t>
            </w:r>
          </w:p>
        </w:tc>
        <w:tc>
          <w:tcPr>
            <w:tcW w:w="1584" w:type="dxa"/>
            <w:vAlign w:val="center"/>
          </w:tcPr>
          <w:p w:rsidRPr="00B87A7C" w:rsidR="007768F9" w:rsidRDefault="007768F9" w14:paraId="2DB9110C" w14:textId="6761D63E">
            <w:pPr>
              <w:jc w:val="center"/>
              <w:rPr>
                <w:rFonts w:eastAsia="Calibri"/>
                <w:sz w:val="22"/>
                <w:szCs w:val="22"/>
              </w:rPr>
            </w:pPr>
            <w:r w:rsidRPr="00B87A7C">
              <w:rPr>
                <w:rFonts w:eastAsia="Calibri"/>
                <w:sz w:val="22"/>
                <w:szCs w:val="22"/>
              </w:rPr>
              <w:t>0</w:t>
            </w:r>
          </w:p>
        </w:tc>
        <w:tc>
          <w:tcPr>
            <w:tcW w:w="1584" w:type="dxa"/>
            <w:vAlign w:val="center"/>
          </w:tcPr>
          <w:p w:rsidRPr="00B87A7C" w:rsidR="007768F9" w:rsidRDefault="007768F9" w14:paraId="2FCFC736" w14:textId="6A3C4BB9">
            <w:pPr>
              <w:jc w:val="center"/>
              <w:rPr>
                <w:rFonts w:eastAsia="Calibri"/>
                <w:sz w:val="22"/>
                <w:szCs w:val="22"/>
              </w:rPr>
            </w:pPr>
            <w:r w:rsidRPr="00B87A7C">
              <w:rPr>
                <w:rFonts w:eastAsia="Calibri"/>
                <w:sz w:val="22"/>
                <w:szCs w:val="22"/>
              </w:rPr>
              <w:t>8</w:t>
            </w:r>
          </w:p>
        </w:tc>
        <w:tc>
          <w:tcPr>
            <w:tcW w:w="1584" w:type="dxa"/>
            <w:vAlign w:val="center"/>
          </w:tcPr>
          <w:p w:rsidRPr="00B87A7C" w:rsidR="007768F9" w:rsidRDefault="007768F9" w14:paraId="511A31E4" w14:textId="4D2751A1">
            <w:pPr>
              <w:ind w:left="47"/>
              <w:jc w:val="center"/>
              <w:rPr>
                <w:rFonts w:eastAsia="Calibri"/>
                <w:sz w:val="22"/>
                <w:szCs w:val="22"/>
              </w:rPr>
            </w:pPr>
            <w:r w:rsidRPr="00B87A7C">
              <w:rPr>
                <w:rFonts w:eastAsia="Calibri"/>
                <w:sz w:val="22"/>
                <w:szCs w:val="22"/>
              </w:rPr>
              <w:t>8</w:t>
            </w:r>
          </w:p>
        </w:tc>
      </w:tr>
      <w:tr w:rsidR="007768F9" w:rsidTr="00B87A7C" w14:paraId="7F99F753" w14:textId="77777777">
        <w:tc>
          <w:tcPr>
            <w:tcW w:w="3864" w:type="dxa"/>
          </w:tcPr>
          <w:p w:rsidRPr="00B87A7C" w:rsidR="007768F9" w:rsidP="00671555" w:rsidRDefault="007768F9" w14:paraId="42DD29F8" w14:textId="694C3CE2">
            <w:pPr>
              <w:rPr>
                <w:sz w:val="22"/>
                <w:szCs w:val="22"/>
              </w:rPr>
            </w:pPr>
            <w:r w:rsidRPr="00B87A7C">
              <w:rPr>
                <w:sz w:val="22"/>
                <w:szCs w:val="22"/>
              </w:rPr>
              <w:t>P</w:t>
            </w:r>
            <w:r w:rsidR="00135159">
              <w:rPr>
                <w:sz w:val="22"/>
                <w:szCs w:val="22"/>
              </w:rPr>
              <w:t>ractices in network participating in Heart Health QI project</w:t>
            </w:r>
          </w:p>
        </w:tc>
        <w:tc>
          <w:tcPr>
            <w:tcW w:w="1584" w:type="dxa"/>
            <w:vAlign w:val="center"/>
          </w:tcPr>
          <w:p w:rsidRPr="00B87A7C" w:rsidR="007768F9" w:rsidRDefault="007768F9" w14:paraId="399FDFB8" w14:textId="78736095">
            <w:pPr>
              <w:jc w:val="center"/>
              <w:rPr>
                <w:rFonts w:eastAsia="Calibri"/>
                <w:sz w:val="22"/>
                <w:szCs w:val="22"/>
              </w:rPr>
            </w:pPr>
            <w:r w:rsidRPr="00B87A7C">
              <w:rPr>
                <w:rFonts w:eastAsia="Calibri"/>
                <w:sz w:val="22"/>
                <w:szCs w:val="22"/>
              </w:rPr>
              <w:t>0</w:t>
            </w:r>
          </w:p>
        </w:tc>
        <w:tc>
          <w:tcPr>
            <w:tcW w:w="1584" w:type="dxa"/>
            <w:vAlign w:val="center"/>
          </w:tcPr>
          <w:p w:rsidRPr="00B87A7C" w:rsidR="007768F9" w:rsidRDefault="002D664C" w14:paraId="45565A67" w14:textId="694C9001">
            <w:pPr>
              <w:jc w:val="center"/>
              <w:rPr>
                <w:rFonts w:eastAsia="Calibri"/>
                <w:sz w:val="22"/>
                <w:szCs w:val="22"/>
              </w:rPr>
            </w:pPr>
            <w:r>
              <w:rPr>
                <w:rFonts w:eastAsia="Calibri"/>
                <w:sz w:val="22"/>
                <w:szCs w:val="22"/>
              </w:rPr>
              <w:t>8</w:t>
            </w:r>
          </w:p>
        </w:tc>
        <w:tc>
          <w:tcPr>
            <w:tcW w:w="1584" w:type="dxa"/>
            <w:vAlign w:val="center"/>
          </w:tcPr>
          <w:p w:rsidRPr="00B87A7C" w:rsidR="007768F9" w:rsidRDefault="007768F9" w14:paraId="1CD702FA" w14:textId="12A477AC">
            <w:pPr>
              <w:ind w:left="47"/>
              <w:jc w:val="center"/>
              <w:rPr>
                <w:rFonts w:eastAsia="Calibri"/>
                <w:sz w:val="22"/>
                <w:szCs w:val="22"/>
              </w:rPr>
            </w:pPr>
            <w:r w:rsidRPr="00B87A7C">
              <w:rPr>
                <w:rFonts w:eastAsia="Calibri"/>
                <w:sz w:val="22"/>
                <w:szCs w:val="22"/>
              </w:rPr>
              <w:t>20</w:t>
            </w:r>
          </w:p>
        </w:tc>
      </w:tr>
      <w:tr w:rsidRPr="006455C8" w:rsidR="00AC76FB" w:rsidTr="00B87A7C" w14:paraId="11A24093" w14:textId="77777777">
        <w:tc>
          <w:tcPr>
            <w:tcW w:w="3864" w:type="dxa"/>
          </w:tcPr>
          <w:p w:rsidRPr="00B87A7C" w:rsidR="00AC76FB" w:rsidP="00B87A7C" w:rsidRDefault="00AC76FB" w14:paraId="7F9C3ED5" w14:textId="77777777">
            <w:pPr>
              <w:rPr>
                <w:b/>
                <w:sz w:val="22"/>
                <w:szCs w:val="22"/>
              </w:rPr>
            </w:pPr>
            <w:r w:rsidRPr="00B87A7C">
              <w:rPr>
                <w:b/>
                <w:sz w:val="22"/>
                <w:szCs w:val="22"/>
              </w:rPr>
              <w:t>TOTAL</w:t>
            </w:r>
          </w:p>
        </w:tc>
        <w:tc>
          <w:tcPr>
            <w:tcW w:w="1584" w:type="dxa"/>
            <w:vAlign w:val="center"/>
          </w:tcPr>
          <w:p w:rsidRPr="00B87A7C" w:rsidR="00AC76FB" w:rsidRDefault="007768F9" w14:paraId="28237BA0" w14:textId="4BD0450E">
            <w:pPr>
              <w:ind w:left="47"/>
              <w:jc w:val="center"/>
              <w:rPr>
                <w:rFonts w:eastAsia="Calibri"/>
                <w:b/>
                <w:sz w:val="22"/>
                <w:szCs w:val="22"/>
              </w:rPr>
            </w:pPr>
            <w:r w:rsidRPr="00B87A7C">
              <w:rPr>
                <w:rFonts w:eastAsia="Calibri"/>
                <w:b/>
                <w:sz w:val="22"/>
                <w:szCs w:val="22"/>
              </w:rPr>
              <w:t>36</w:t>
            </w:r>
          </w:p>
        </w:tc>
        <w:tc>
          <w:tcPr>
            <w:tcW w:w="1584" w:type="dxa"/>
            <w:vAlign w:val="center"/>
          </w:tcPr>
          <w:p w:rsidRPr="00B87A7C" w:rsidR="00AC76FB" w:rsidRDefault="0041783C" w14:paraId="744A618B" w14:textId="0311EBD9">
            <w:pPr>
              <w:ind w:left="47"/>
              <w:jc w:val="center"/>
              <w:rPr>
                <w:rFonts w:eastAsia="Calibri"/>
                <w:b/>
                <w:sz w:val="22"/>
                <w:szCs w:val="22"/>
              </w:rPr>
            </w:pPr>
            <w:r>
              <w:rPr>
                <w:rFonts w:eastAsia="Calibri"/>
                <w:b/>
                <w:sz w:val="22"/>
                <w:szCs w:val="22"/>
              </w:rPr>
              <w:t>76</w:t>
            </w:r>
          </w:p>
        </w:tc>
        <w:tc>
          <w:tcPr>
            <w:tcW w:w="1584" w:type="dxa"/>
            <w:vAlign w:val="center"/>
          </w:tcPr>
          <w:p w:rsidRPr="00B87A7C" w:rsidR="00AC76FB" w:rsidRDefault="007768F9" w14:paraId="648D0914" w14:textId="3116E166">
            <w:pPr>
              <w:ind w:left="47"/>
              <w:jc w:val="center"/>
              <w:rPr>
                <w:rFonts w:eastAsia="Calibri"/>
                <w:b/>
                <w:sz w:val="22"/>
                <w:szCs w:val="22"/>
              </w:rPr>
            </w:pPr>
            <w:r w:rsidRPr="00B87A7C">
              <w:rPr>
                <w:rFonts w:eastAsia="Calibri"/>
                <w:b/>
                <w:sz w:val="22"/>
                <w:szCs w:val="22"/>
              </w:rPr>
              <w:t>88</w:t>
            </w:r>
          </w:p>
        </w:tc>
      </w:tr>
    </w:tbl>
    <w:p w:rsidRPr="00B87A7C" w:rsidR="00AC76FB" w:rsidP="00AC76FB" w:rsidRDefault="00B6131F" w14:paraId="189407FE" w14:textId="777BE4AA">
      <w:pPr>
        <w:rPr>
          <w:rFonts w:eastAsia="Calibri"/>
          <w:sz w:val="20"/>
          <w:szCs w:val="20"/>
        </w:rPr>
      </w:pPr>
      <w:r w:rsidRPr="00B87A7C">
        <w:rPr>
          <w:rFonts w:eastAsia="Calibri"/>
          <w:sz w:val="20"/>
          <w:szCs w:val="20"/>
        </w:rPr>
        <w:t xml:space="preserve">Note: it is assumed that the networks will not be fully developed </w:t>
      </w:r>
      <w:r w:rsidR="00A10D45">
        <w:rPr>
          <w:rFonts w:eastAsia="Calibri"/>
          <w:sz w:val="20"/>
          <w:szCs w:val="20"/>
        </w:rPr>
        <w:t>until year 2 and the practices will not be fully recruited until year 3</w:t>
      </w:r>
      <w:r w:rsidRPr="00B87A7C">
        <w:rPr>
          <w:rFonts w:eastAsia="Calibri"/>
          <w:sz w:val="20"/>
          <w:szCs w:val="20"/>
        </w:rPr>
        <w:t>.</w:t>
      </w:r>
    </w:p>
    <w:p w:rsidR="00B6131F" w:rsidP="00AC76FB" w:rsidRDefault="00B6131F" w14:paraId="17C2DFD4" w14:textId="77777777">
      <w:pPr>
        <w:rPr>
          <w:rFonts w:eastAsia="Calibri"/>
        </w:rPr>
      </w:pPr>
    </w:p>
    <w:p w:rsidRPr="00B87A7C" w:rsidR="00AC76FB" w:rsidP="00AC76FB" w:rsidRDefault="007768F9" w14:paraId="573E0766" w14:textId="21BFE5A4">
      <w:pPr>
        <w:keepNext/>
        <w:spacing w:after="40"/>
        <w:rPr>
          <w:rFonts w:eastAsia="Calibri"/>
          <w:b/>
          <w:szCs w:val="22"/>
        </w:rPr>
      </w:pPr>
      <w:r>
        <w:rPr>
          <w:rFonts w:eastAsia="Calibri"/>
          <w:b/>
          <w:szCs w:val="22"/>
        </w:rPr>
        <w:t>Table 2</w:t>
      </w:r>
      <w:r w:rsidRPr="00B87A7C" w:rsidR="00AC76FB">
        <w:rPr>
          <w:rFonts w:eastAsia="Calibri"/>
          <w:b/>
          <w:szCs w:val="22"/>
        </w:rPr>
        <w:t xml:space="preserve">. </w:t>
      </w:r>
      <w:r w:rsidR="001B64A1">
        <w:rPr>
          <w:rFonts w:eastAsia="Calibri"/>
          <w:b/>
          <w:szCs w:val="22"/>
        </w:rPr>
        <w:t>Number of</w:t>
      </w:r>
      <w:r w:rsidRPr="00B87A7C" w:rsidR="00AC76FB">
        <w:rPr>
          <w:rFonts w:eastAsia="Calibri"/>
          <w:b/>
          <w:szCs w:val="22"/>
        </w:rPr>
        <w:t xml:space="preserve"> </w:t>
      </w:r>
      <w:r w:rsidR="00B6131F">
        <w:rPr>
          <w:rFonts w:eastAsia="Calibri"/>
          <w:b/>
          <w:szCs w:val="22"/>
        </w:rPr>
        <w:t xml:space="preserve">and Timing </w:t>
      </w:r>
      <w:r w:rsidRPr="00B87A7C" w:rsidR="00AC76FB">
        <w:rPr>
          <w:rFonts w:eastAsia="Calibri"/>
          <w:b/>
          <w:szCs w:val="22"/>
        </w:rPr>
        <w:t xml:space="preserve">for </w:t>
      </w:r>
      <w:r w:rsidR="00A10D45">
        <w:rPr>
          <w:rFonts w:eastAsia="Calibri"/>
          <w:b/>
          <w:szCs w:val="22"/>
        </w:rPr>
        <w:t>Member Checking Sessions</w:t>
      </w:r>
    </w:p>
    <w:tbl>
      <w:tblPr>
        <w:tblStyle w:val="TableGrid2"/>
        <w:tblW w:w="5000" w:type="pct"/>
        <w:tblLayout w:type="fixed"/>
        <w:tblCellMar>
          <w:left w:w="43" w:type="dxa"/>
          <w:right w:w="43" w:type="dxa"/>
        </w:tblCellMar>
        <w:tblLook w:val="04A0" w:firstRow="1" w:lastRow="0" w:firstColumn="1" w:lastColumn="0" w:noHBand="0" w:noVBand="1"/>
      </w:tblPr>
      <w:tblGrid>
        <w:gridCol w:w="5602"/>
        <w:gridCol w:w="1514"/>
        <w:gridCol w:w="1514"/>
      </w:tblGrid>
      <w:tr w:rsidRPr="00EB28A1" w:rsidR="00AC76FB" w:rsidTr="00671555" w14:paraId="52A2C6AF" w14:textId="77777777">
        <w:trPr>
          <w:trHeight w:val="260"/>
          <w:tblHeader/>
        </w:trPr>
        <w:tc>
          <w:tcPr>
            <w:tcW w:w="6385" w:type="dxa"/>
            <w:shd w:val="clear" w:color="auto" w:fill="48A9C5"/>
          </w:tcPr>
          <w:p w:rsidRPr="00B87A7C" w:rsidR="00AC76FB" w:rsidP="00671555" w:rsidRDefault="00A10D45" w14:paraId="01AEBD7C" w14:textId="1C9D5118">
            <w:pPr>
              <w:rPr>
                <w:b/>
                <w:color w:val="FFFFFF"/>
                <w:sz w:val="22"/>
                <w:szCs w:val="22"/>
              </w:rPr>
            </w:pPr>
            <w:r w:rsidRPr="00B87A7C">
              <w:rPr>
                <w:b/>
                <w:color w:val="FFFFFF"/>
                <w:sz w:val="22"/>
                <w:szCs w:val="22"/>
              </w:rPr>
              <w:t>Respondent</w:t>
            </w:r>
            <w:r w:rsidRPr="00B87A7C" w:rsidR="00AC76FB">
              <w:rPr>
                <w:b/>
                <w:color w:val="FFFFFF"/>
                <w:sz w:val="22"/>
                <w:szCs w:val="22"/>
              </w:rPr>
              <w:t>s</w:t>
            </w:r>
          </w:p>
        </w:tc>
        <w:tc>
          <w:tcPr>
            <w:tcW w:w="1714" w:type="dxa"/>
            <w:shd w:val="clear" w:color="auto" w:fill="48A9C5"/>
            <w:vAlign w:val="center"/>
          </w:tcPr>
          <w:p w:rsidRPr="00B87A7C" w:rsidR="00AC76FB" w:rsidP="00671555" w:rsidRDefault="00AC76FB" w14:paraId="27A7F7F8" w14:textId="77777777">
            <w:pPr>
              <w:pStyle w:val="ListParagraph"/>
              <w:ind w:left="67"/>
              <w:jc w:val="center"/>
              <w:rPr>
                <w:rFonts w:ascii="Times New Roman" w:hAnsi="Times New Roman" w:cs="Times New Roman"/>
                <w:b/>
                <w:color w:val="FFFFFF"/>
                <w:sz w:val="22"/>
                <w:szCs w:val="22"/>
              </w:rPr>
            </w:pPr>
            <w:r w:rsidRPr="00B87A7C">
              <w:rPr>
                <w:rFonts w:ascii="Times New Roman" w:hAnsi="Times New Roman" w:cs="Times New Roman"/>
                <w:b/>
                <w:color w:val="FFFFFF"/>
                <w:sz w:val="22"/>
                <w:szCs w:val="22"/>
              </w:rPr>
              <w:t>Gant Year 1 (2021)</w:t>
            </w:r>
          </w:p>
        </w:tc>
        <w:tc>
          <w:tcPr>
            <w:tcW w:w="1714" w:type="dxa"/>
            <w:shd w:val="clear" w:color="auto" w:fill="48A9C5"/>
            <w:vAlign w:val="center"/>
          </w:tcPr>
          <w:p w:rsidRPr="00B87A7C" w:rsidR="00AC76FB" w:rsidP="00671555" w:rsidRDefault="00AC76FB" w14:paraId="71E0A83B" w14:textId="77777777">
            <w:pPr>
              <w:jc w:val="center"/>
              <w:rPr>
                <w:b/>
                <w:color w:val="FFFFFF"/>
                <w:sz w:val="22"/>
                <w:szCs w:val="22"/>
              </w:rPr>
            </w:pPr>
            <w:r w:rsidRPr="00B87A7C">
              <w:rPr>
                <w:b/>
                <w:color w:val="FFFFFF"/>
                <w:sz w:val="22"/>
                <w:szCs w:val="22"/>
              </w:rPr>
              <w:t>Grant Year 3 (2023)</w:t>
            </w:r>
          </w:p>
        </w:tc>
      </w:tr>
      <w:tr w:rsidRPr="008F050D" w:rsidR="00AC76FB" w:rsidTr="00671555" w14:paraId="3E6759CD" w14:textId="77777777">
        <w:tc>
          <w:tcPr>
            <w:tcW w:w="6385" w:type="dxa"/>
          </w:tcPr>
          <w:p w:rsidR="00A36311" w:rsidRDefault="00A10D45" w14:paraId="430D8ED7" w14:textId="0C320576">
            <w:pPr>
              <w:rPr>
                <w:sz w:val="22"/>
                <w:szCs w:val="22"/>
              </w:rPr>
            </w:pPr>
            <w:r>
              <w:rPr>
                <w:sz w:val="22"/>
                <w:szCs w:val="22"/>
              </w:rPr>
              <w:t>Session</w:t>
            </w:r>
            <w:r w:rsidRPr="00B87A7C" w:rsidR="00AC76FB">
              <w:rPr>
                <w:sz w:val="22"/>
                <w:szCs w:val="22"/>
              </w:rPr>
              <w:t xml:space="preserve"> 1: </w:t>
            </w:r>
            <w:r w:rsidR="007761AD">
              <w:rPr>
                <w:sz w:val="22"/>
                <w:szCs w:val="22"/>
              </w:rPr>
              <w:t xml:space="preserve">Cooperative </w:t>
            </w:r>
            <w:r w:rsidRPr="00B87A7C" w:rsidR="00AC76FB">
              <w:rPr>
                <w:sz w:val="22"/>
                <w:szCs w:val="22"/>
              </w:rPr>
              <w:t xml:space="preserve">Models and Typology of QI Support </w:t>
            </w:r>
            <w:r>
              <w:rPr>
                <w:sz w:val="22"/>
                <w:szCs w:val="22"/>
              </w:rPr>
              <w:t>Strategies</w:t>
            </w:r>
          </w:p>
          <w:p w:rsidRPr="00B87A7C" w:rsidR="00AC76FB" w:rsidRDefault="00A10D45" w14:paraId="0EDC7D02" w14:textId="7A2DABD6">
            <w:pPr>
              <w:rPr>
                <w:sz w:val="22"/>
                <w:szCs w:val="22"/>
              </w:rPr>
            </w:pPr>
            <w:r w:rsidRPr="00A10D45">
              <w:rPr>
                <w:sz w:val="22"/>
                <w:szCs w:val="22"/>
              </w:rPr>
              <w:t xml:space="preserve">Respondents: Grantee </w:t>
            </w:r>
            <w:r>
              <w:rPr>
                <w:sz w:val="22"/>
                <w:szCs w:val="22"/>
              </w:rPr>
              <w:t xml:space="preserve">and Cooperative </w:t>
            </w:r>
            <w:r w:rsidRPr="00A10D45">
              <w:rPr>
                <w:sz w:val="22"/>
                <w:szCs w:val="22"/>
              </w:rPr>
              <w:t>lead</w:t>
            </w:r>
            <w:r>
              <w:rPr>
                <w:sz w:val="22"/>
                <w:szCs w:val="22"/>
              </w:rPr>
              <w:t xml:space="preserve">ership, </w:t>
            </w:r>
            <w:r w:rsidRPr="00A10D45">
              <w:rPr>
                <w:sz w:val="22"/>
                <w:szCs w:val="22"/>
              </w:rPr>
              <w:t>key Cooperative organizations and partners</w:t>
            </w:r>
          </w:p>
        </w:tc>
        <w:tc>
          <w:tcPr>
            <w:tcW w:w="1714" w:type="dxa"/>
            <w:vAlign w:val="center"/>
          </w:tcPr>
          <w:p w:rsidRPr="00B87A7C" w:rsidR="00AC76FB" w:rsidP="00671555" w:rsidRDefault="00A10D45" w14:paraId="3BB4720B" w14:textId="185F53DC">
            <w:pPr>
              <w:ind w:left="47"/>
              <w:jc w:val="center"/>
              <w:rPr>
                <w:rFonts w:eastAsia="Calibri"/>
                <w:sz w:val="22"/>
                <w:szCs w:val="22"/>
              </w:rPr>
            </w:pPr>
            <w:r w:rsidRPr="00B87A7C">
              <w:rPr>
                <w:rFonts w:eastAsia="Calibri"/>
                <w:sz w:val="22"/>
                <w:szCs w:val="22"/>
              </w:rPr>
              <w:t>12</w:t>
            </w:r>
          </w:p>
        </w:tc>
        <w:tc>
          <w:tcPr>
            <w:tcW w:w="1714" w:type="dxa"/>
            <w:vAlign w:val="center"/>
          </w:tcPr>
          <w:p w:rsidRPr="00B87A7C" w:rsidR="00AC76FB" w:rsidP="00671555" w:rsidRDefault="00AC76FB" w14:paraId="1487F24E" w14:textId="77777777">
            <w:pPr>
              <w:ind w:left="47"/>
              <w:jc w:val="center"/>
              <w:rPr>
                <w:rFonts w:eastAsia="Calibri"/>
                <w:b/>
                <w:sz w:val="22"/>
                <w:szCs w:val="22"/>
              </w:rPr>
            </w:pPr>
          </w:p>
        </w:tc>
      </w:tr>
      <w:tr w:rsidRPr="008F050D" w:rsidR="00AC76FB" w:rsidTr="00671555" w14:paraId="736D8F98" w14:textId="77777777">
        <w:tc>
          <w:tcPr>
            <w:tcW w:w="6385" w:type="dxa"/>
          </w:tcPr>
          <w:p w:rsidR="00A10D45" w:rsidRDefault="00A10D45" w14:paraId="1E545556" w14:textId="18BBB92F">
            <w:pPr>
              <w:rPr>
                <w:sz w:val="22"/>
                <w:szCs w:val="22"/>
              </w:rPr>
            </w:pPr>
            <w:r>
              <w:rPr>
                <w:sz w:val="22"/>
                <w:szCs w:val="22"/>
              </w:rPr>
              <w:t>Session</w:t>
            </w:r>
            <w:r w:rsidRPr="00B87A7C" w:rsidR="00AC76FB">
              <w:rPr>
                <w:sz w:val="22"/>
                <w:szCs w:val="22"/>
              </w:rPr>
              <w:t xml:space="preserve">: </w:t>
            </w:r>
            <w:r w:rsidR="001B64A1">
              <w:rPr>
                <w:sz w:val="22"/>
                <w:szCs w:val="22"/>
              </w:rPr>
              <w:t>Case Studies and Lessons Learned</w:t>
            </w:r>
          </w:p>
          <w:p w:rsidRPr="00B87A7C" w:rsidR="00AC76FB" w:rsidP="00671555" w:rsidRDefault="00A10D45" w14:paraId="239563B2" w14:textId="1DEFFADE">
            <w:pPr>
              <w:rPr>
                <w:sz w:val="22"/>
                <w:szCs w:val="22"/>
              </w:rPr>
            </w:pPr>
            <w:r w:rsidRPr="00A10D45">
              <w:rPr>
                <w:sz w:val="22"/>
                <w:szCs w:val="22"/>
              </w:rPr>
              <w:t xml:space="preserve">Respondents: Grantee </w:t>
            </w:r>
            <w:r>
              <w:rPr>
                <w:sz w:val="22"/>
                <w:szCs w:val="22"/>
              </w:rPr>
              <w:t xml:space="preserve">and Cooperative </w:t>
            </w:r>
            <w:r w:rsidRPr="00A10D45">
              <w:rPr>
                <w:sz w:val="22"/>
                <w:szCs w:val="22"/>
              </w:rPr>
              <w:t>lead</w:t>
            </w:r>
            <w:r>
              <w:rPr>
                <w:sz w:val="22"/>
                <w:szCs w:val="22"/>
              </w:rPr>
              <w:t>ership</w:t>
            </w:r>
            <w:r w:rsidR="00661459">
              <w:rPr>
                <w:sz w:val="22"/>
                <w:szCs w:val="22"/>
              </w:rPr>
              <w:t xml:space="preserve">, </w:t>
            </w:r>
            <w:r w:rsidR="00584935">
              <w:rPr>
                <w:sz w:val="22"/>
                <w:szCs w:val="22"/>
              </w:rPr>
              <w:t>k</w:t>
            </w:r>
            <w:r w:rsidR="00661459">
              <w:rPr>
                <w:sz w:val="22"/>
                <w:szCs w:val="22"/>
              </w:rPr>
              <w:t>ey Cooperative organizations and partners</w:t>
            </w:r>
            <w:r w:rsidR="00950D13">
              <w:rPr>
                <w:sz w:val="22"/>
                <w:szCs w:val="22"/>
              </w:rPr>
              <w:t>, and unaffiliated organizations</w:t>
            </w:r>
          </w:p>
        </w:tc>
        <w:tc>
          <w:tcPr>
            <w:tcW w:w="1714" w:type="dxa"/>
            <w:vAlign w:val="center"/>
          </w:tcPr>
          <w:p w:rsidRPr="00B87A7C" w:rsidR="00AC76FB" w:rsidP="00671555" w:rsidRDefault="00AC76FB" w14:paraId="351E611B" w14:textId="77777777">
            <w:pPr>
              <w:ind w:left="47"/>
              <w:jc w:val="center"/>
              <w:rPr>
                <w:rFonts w:eastAsia="Calibri"/>
                <w:sz w:val="22"/>
                <w:szCs w:val="22"/>
              </w:rPr>
            </w:pPr>
          </w:p>
        </w:tc>
        <w:tc>
          <w:tcPr>
            <w:tcW w:w="1714" w:type="dxa"/>
            <w:vAlign w:val="center"/>
          </w:tcPr>
          <w:p w:rsidRPr="00B87A7C" w:rsidR="00AC76FB" w:rsidP="00671555" w:rsidRDefault="00A10D45" w14:paraId="6980208C" w14:textId="6B65D75F">
            <w:pPr>
              <w:ind w:left="47"/>
              <w:jc w:val="center"/>
              <w:rPr>
                <w:rFonts w:eastAsia="Calibri"/>
                <w:b/>
                <w:sz w:val="22"/>
                <w:szCs w:val="22"/>
              </w:rPr>
            </w:pPr>
            <w:r w:rsidRPr="00B87A7C">
              <w:rPr>
                <w:rFonts w:eastAsia="Calibri"/>
                <w:sz w:val="22"/>
                <w:szCs w:val="22"/>
              </w:rPr>
              <w:t>12</w:t>
            </w:r>
          </w:p>
        </w:tc>
      </w:tr>
      <w:tr w:rsidRPr="008F050D" w:rsidR="00AC76FB" w:rsidTr="00671555" w14:paraId="6AC29655" w14:textId="77777777">
        <w:tc>
          <w:tcPr>
            <w:tcW w:w="6385" w:type="dxa"/>
          </w:tcPr>
          <w:p w:rsidR="001B64A1" w:rsidP="001B64A1" w:rsidRDefault="00A10D45" w14:paraId="6EBC8480" w14:textId="74BC035B">
            <w:pPr>
              <w:rPr>
                <w:sz w:val="22"/>
                <w:szCs w:val="22"/>
              </w:rPr>
            </w:pPr>
            <w:r>
              <w:rPr>
                <w:sz w:val="22"/>
                <w:szCs w:val="22"/>
              </w:rPr>
              <w:t>Session</w:t>
            </w:r>
            <w:r w:rsidRPr="00B87A7C" w:rsidR="00AC76FB">
              <w:rPr>
                <w:sz w:val="22"/>
                <w:szCs w:val="22"/>
              </w:rPr>
              <w:t xml:space="preserve"> 3: </w:t>
            </w:r>
            <w:r w:rsidR="001B64A1">
              <w:rPr>
                <w:sz w:val="22"/>
                <w:szCs w:val="22"/>
              </w:rPr>
              <w:t>Case Studies and Lessons Learned</w:t>
            </w:r>
          </w:p>
          <w:p w:rsidR="00A10D45" w:rsidRDefault="00A10D45" w14:paraId="305ACA28" w14:textId="6BD9BE9B">
            <w:pPr>
              <w:rPr>
                <w:sz w:val="22"/>
                <w:szCs w:val="22"/>
              </w:rPr>
            </w:pPr>
          </w:p>
          <w:p w:rsidRPr="00B87A7C" w:rsidR="00AC76FB" w:rsidP="00950D13" w:rsidRDefault="00A10D45" w14:paraId="7B38D33D" w14:textId="284FAFEB">
            <w:pPr>
              <w:rPr>
                <w:sz w:val="22"/>
                <w:szCs w:val="22"/>
              </w:rPr>
            </w:pPr>
            <w:r w:rsidRPr="00A10D45">
              <w:rPr>
                <w:sz w:val="22"/>
                <w:szCs w:val="22"/>
              </w:rPr>
              <w:t xml:space="preserve">Respondents: </w:t>
            </w:r>
            <w:r w:rsidR="00661459">
              <w:rPr>
                <w:sz w:val="22"/>
                <w:szCs w:val="22"/>
              </w:rPr>
              <w:t xml:space="preserve">Network practices </w:t>
            </w:r>
            <w:r w:rsidR="00950D13">
              <w:rPr>
                <w:sz w:val="22"/>
                <w:szCs w:val="22"/>
              </w:rPr>
              <w:t xml:space="preserve">(those participating and </w:t>
            </w:r>
            <w:r w:rsidR="00661459">
              <w:rPr>
                <w:sz w:val="22"/>
                <w:szCs w:val="22"/>
              </w:rPr>
              <w:t xml:space="preserve">not participating in </w:t>
            </w:r>
            <w:r w:rsidR="00950D13">
              <w:rPr>
                <w:sz w:val="22"/>
                <w:szCs w:val="22"/>
              </w:rPr>
              <w:t xml:space="preserve">heart health </w:t>
            </w:r>
            <w:r w:rsidR="00661459">
              <w:rPr>
                <w:sz w:val="22"/>
                <w:szCs w:val="22"/>
              </w:rPr>
              <w:t>QI project</w:t>
            </w:r>
            <w:r w:rsidR="00950D13">
              <w:rPr>
                <w:sz w:val="22"/>
                <w:szCs w:val="22"/>
              </w:rPr>
              <w:t>)</w:t>
            </w:r>
          </w:p>
        </w:tc>
        <w:tc>
          <w:tcPr>
            <w:tcW w:w="1714" w:type="dxa"/>
            <w:vAlign w:val="center"/>
          </w:tcPr>
          <w:p w:rsidRPr="00B87A7C" w:rsidR="00AC76FB" w:rsidP="00671555" w:rsidRDefault="00AC76FB" w14:paraId="4E0CB3C2" w14:textId="77777777">
            <w:pPr>
              <w:ind w:left="47"/>
              <w:jc w:val="center"/>
              <w:rPr>
                <w:rFonts w:eastAsia="Calibri"/>
                <w:sz w:val="22"/>
                <w:szCs w:val="22"/>
              </w:rPr>
            </w:pPr>
          </w:p>
        </w:tc>
        <w:tc>
          <w:tcPr>
            <w:tcW w:w="1714" w:type="dxa"/>
            <w:vAlign w:val="center"/>
          </w:tcPr>
          <w:p w:rsidRPr="00B87A7C" w:rsidR="00AC76FB" w:rsidP="00671555" w:rsidRDefault="00A10D45" w14:paraId="58590932" w14:textId="17148D49">
            <w:pPr>
              <w:ind w:left="47"/>
              <w:jc w:val="center"/>
              <w:rPr>
                <w:rFonts w:eastAsia="Calibri"/>
                <w:b/>
                <w:sz w:val="22"/>
                <w:szCs w:val="22"/>
              </w:rPr>
            </w:pPr>
            <w:r w:rsidRPr="00B87A7C">
              <w:rPr>
                <w:rFonts w:eastAsia="Calibri"/>
                <w:sz w:val="22"/>
                <w:szCs w:val="22"/>
              </w:rPr>
              <w:t>12</w:t>
            </w:r>
          </w:p>
        </w:tc>
      </w:tr>
      <w:tr w:rsidRPr="006455C8" w:rsidR="00AC76FB" w:rsidTr="00671555" w14:paraId="011703AE" w14:textId="77777777">
        <w:tc>
          <w:tcPr>
            <w:tcW w:w="6385" w:type="dxa"/>
          </w:tcPr>
          <w:p w:rsidRPr="00B87A7C" w:rsidR="00AC76FB" w:rsidP="00B87A7C" w:rsidRDefault="00AC76FB" w14:paraId="460E2C8C" w14:textId="77777777">
            <w:pPr>
              <w:rPr>
                <w:b/>
                <w:sz w:val="22"/>
                <w:szCs w:val="22"/>
              </w:rPr>
            </w:pPr>
            <w:r w:rsidRPr="00B87A7C">
              <w:rPr>
                <w:b/>
                <w:sz w:val="22"/>
                <w:szCs w:val="22"/>
              </w:rPr>
              <w:t>TOTAL</w:t>
            </w:r>
          </w:p>
        </w:tc>
        <w:tc>
          <w:tcPr>
            <w:tcW w:w="1714" w:type="dxa"/>
          </w:tcPr>
          <w:p w:rsidRPr="00B87A7C" w:rsidR="00AC76FB" w:rsidP="00671555" w:rsidRDefault="00AC76FB" w14:paraId="28CFBF64" w14:textId="77777777">
            <w:pPr>
              <w:ind w:left="47"/>
              <w:jc w:val="center"/>
              <w:rPr>
                <w:rFonts w:eastAsia="Calibri"/>
                <w:b/>
                <w:sz w:val="22"/>
                <w:szCs w:val="22"/>
              </w:rPr>
            </w:pPr>
            <w:r w:rsidRPr="00B87A7C">
              <w:rPr>
                <w:rFonts w:eastAsia="Calibri"/>
                <w:b/>
                <w:sz w:val="22"/>
                <w:szCs w:val="22"/>
              </w:rPr>
              <w:t>12</w:t>
            </w:r>
          </w:p>
        </w:tc>
        <w:tc>
          <w:tcPr>
            <w:tcW w:w="1714" w:type="dxa"/>
          </w:tcPr>
          <w:p w:rsidRPr="00B87A7C" w:rsidR="00AC76FB" w:rsidP="00671555" w:rsidRDefault="00AC76FB" w14:paraId="44EE3293" w14:textId="77777777">
            <w:pPr>
              <w:ind w:left="47"/>
              <w:jc w:val="center"/>
              <w:rPr>
                <w:rFonts w:eastAsia="Calibri"/>
                <w:b/>
                <w:sz w:val="22"/>
                <w:szCs w:val="22"/>
              </w:rPr>
            </w:pPr>
            <w:r w:rsidRPr="00B87A7C">
              <w:rPr>
                <w:rFonts w:eastAsia="Calibri"/>
                <w:b/>
                <w:sz w:val="22"/>
                <w:szCs w:val="22"/>
              </w:rPr>
              <w:t>24</w:t>
            </w:r>
          </w:p>
        </w:tc>
      </w:tr>
    </w:tbl>
    <w:p w:rsidR="00AC76FB" w:rsidP="006014DB" w:rsidRDefault="00AC76FB" w14:paraId="57BAEE38" w14:textId="77777777"/>
    <w:p w:rsidR="00202A17" w:rsidP="00202A17" w:rsidRDefault="00202A17" w14:paraId="1B722697" w14:textId="77777777">
      <w:pPr>
        <w:spacing w:after="240"/>
        <w:rPr>
          <w:b/>
        </w:rPr>
      </w:pPr>
      <w:r>
        <w:rPr>
          <w:b/>
        </w:rPr>
        <w:t>Secondary Data Sources</w:t>
      </w:r>
    </w:p>
    <w:p w:rsidRPr="003746EF" w:rsidR="003746EF" w:rsidP="00202A17" w:rsidRDefault="003746EF" w14:paraId="2F6F46ED" w14:textId="44260FF0">
      <w:pPr>
        <w:spacing w:after="240"/>
      </w:pPr>
      <w:r>
        <w:t xml:space="preserve">The following secondary data will also be available </w:t>
      </w:r>
      <w:r w:rsidR="00B24863">
        <w:t xml:space="preserve">to augment this information collection effort. </w:t>
      </w:r>
    </w:p>
    <w:p w:rsidRPr="00202A17" w:rsidR="003746EF" w:rsidP="003746EF" w:rsidRDefault="003746EF" w14:paraId="61A7F228" w14:textId="77777777">
      <w:pPr>
        <w:spacing w:after="240"/>
        <w:rPr>
          <w:i/>
        </w:rPr>
      </w:pPr>
      <w:r w:rsidRPr="00202A17">
        <w:rPr>
          <w:b/>
          <w:i/>
        </w:rPr>
        <w:t>Grant applications</w:t>
      </w:r>
    </w:p>
    <w:p w:rsidR="003746EF" w:rsidP="003746EF" w:rsidRDefault="003746EF" w14:paraId="0301C141" w14:textId="7A75162F">
      <w:pPr>
        <w:spacing w:after="240"/>
      </w:pPr>
      <w:r w:rsidRPr="00202A17">
        <w:t xml:space="preserve">These documents will allow capturing the range of models and strategies envisioned by the grantees and interpreting their accomplishments in the context of this vision. In addition, the applications are expected to include a description of grantee approaches for internal evaluations and enable the </w:t>
      </w:r>
      <w:r w:rsidR="00596B85">
        <w:t>AHRQ</w:t>
      </w:r>
      <w:r w:rsidRPr="003746EF" w:rsidR="00596B85">
        <w:t xml:space="preserve"> </w:t>
      </w:r>
      <w:r w:rsidRPr="00202A17">
        <w:t>team to coordinate their activities with those of the grantees. Finally, grant applications will help refine the probes for the year 1 interviews and the member checking session.</w:t>
      </w:r>
      <w:r>
        <w:t xml:space="preserve"> </w:t>
      </w:r>
    </w:p>
    <w:p w:rsidRPr="00202A17" w:rsidR="003746EF" w:rsidP="003746EF" w:rsidRDefault="003746EF" w14:paraId="0027C790" w14:textId="77777777">
      <w:pPr>
        <w:pStyle w:val="BodyText"/>
        <w:rPr>
          <w:i/>
        </w:rPr>
      </w:pPr>
      <w:r>
        <w:rPr>
          <w:b/>
          <w:i/>
        </w:rPr>
        <w:t>Technical assistance (TA)</w:t>
      </w:r>
      <w:r w:rsidRPr="00202A17">
        <w:rPr>
          <w:b/>
          <w:i/>
        </w:rPr>
        <w:t xml:space="preserve"> documents</w:t>
      </w:r>
      <w:r w:rsidRPr="00202A17">
        <w:rPr>
          <w:i/>
        </w:rPr>
        <w:t xml:space="preserve"> </w:t>
      </w:r>
    </w:p>
    <w:p w:rsidR="003746EF" w:rsidP="003746EF" w:rsidRDefault="003746EF" w14:paraId="111F921E" w14:textId="1FD416F8">
      <w:pPr>
        <w:pStyle w:val="BodyText"/>
        <w:spacing w:before="240"/>
      </w:pPr>
      <w:r w:rsidRPr="00202A17">
        <w:t xml:space="preserve">Throughout the initiative </w:t>
      </w:r>
      <w:r w:rsidR="00596B85">
        <w:t>AHRQ</w:t>
      </w:r>
      <w:r w:rsidRPr="003746EF" w:rsidR="00596B85">
        <w:t xml:space="preserve"> </w:t>
      </w:r>
      <w:r w:rsidRPr="00202A17">
        <w:t xml:space="preserve">will be collaborating with and providing technical assistance to grantees. The details of the support, documented in a TA log and in meeting </w:t>
      </w:r>
      <w:r w:rsidRPr="00202A17">
        <w:lastRenderedPageBreak/>
        <w:t>notes, will offer insights into grantee</w:t>
      </w:r>
      <w:r w:rsidRPr="0043435F">
        <w:t xml:space="preserve"> needs and challenges, and how these evolve</w:t>
      </w:r>
      <w:r>
        <w:t>d</w:t>
      </w:r>
      <w:r w:rsidRPr="0043435F">
        <w:t xml:space="preserve"> over time.</w:t>
      </w:r>
    </w:p>
    <w:p w:rsidRPr="00202A17" w:rsidR="003746EF" w:rsidP="003746EF" w:rsidRDefault="003746EF" w14:paraId="03354239" w14:textId="77777777">
      <w:pPr>
        <w:pStyle w:val="BodyText"/>
        <w:spacing w:before="240"/>
        <w:rPr>
          <w:i/>
        </w:rPr>
      </w:pPr>
      <w:r w:rsidRPr="00202A17">
        <w:rPr>
          <w:b/>
          <w:i/>
        </w:rPr>
        <w:t>Meeting Notes</w:t>
      </w:r>
    </w:p>
    <w:p w:rsidR="003746EF" w:rsidP="003746EF" w:rsidRDefault="003746EF" w14:paraId="55177672" w14:textId="07F6AEBB">
      <w:pPr>
        <w:spacing w:after="240"/>
      </w:pPr>
      <w:r w:rsidRPr="00B87A7C">
        <w:rPr>
          <w:sz w:val="22"/>
          <w:szCs w:val="22"/>
        </w:rPr>
        <w:t>AHRQ will have</w:t>
      </w:r>
      <w:r w:rsidRPr="00954189">
        <w:t xml:space="preserve"> regular calls and in-person meetings with grantees. Like TA support, notes fr</w:t>
      </w:r>
      <w:r>
        <w:t xml:space="preserve">om these interactions will </w:t>
      </w:r>
      <w:r w:rsidRPr="00954189">
        <w:t>provide information on grantee progres</w:t>
      </w:r>
      <w:r>
        <w:t>s, challenges, and needs</w:t>
      </w:r>
      <w:r w:rsidRPr="00954189">
        <w:t>.</w:t>
      </w:r>
    </w:p>
    <w:p w:rsidRPr="00FE0D90" w:rsidR="00202A17" w:rsidP="00202A17" w:rsidRDefault="00FE0D90" w14:paraId="75F64C2B" w14:textId="2D336ED3">
      <w:pPr>
        <w:spacing w:after="240"/>
        <w:rPr>
          <w:b/>
        </w:rPr>
      </w:pPr>
      <w:r w:rsidRPr="00950D13">
        <w:rPr>
          <w:b/>
          <w:i/>
        </w:rPr>
        <w:t>Quarterly</w:t>
      </w:r>
      <w:r w:rsidRPr="00950D13" w:rsidR="00202A17">
        <w:rPr>
          <w:b/>
          <w:i/>
        </w:rPr>
        <w:t xml:space="preserve"> Grantee</w:t>
      </w:r>
      <w:r w:rsidRPr="00950D13">
        <w:rPr>
          <w:b/>
          <w:i/>
        </w:rPr>
        <w:t xml:space="preserve"> Progress Report</w:t>
      </w:r>
      <w:r w:rsidRPr="00950D13" w:rsidR="00202A17">
        <w:rPr>
          <w:b/>
          <w:i/>
        </w:rPr>
        <w:t>s</w:t>
      </w:r>
      <w:r w:rsidRPr="00FE0D90" w:rsidR="00202A17">
        <w:rPr>
          <w:b/>
        </w:rPr>
        <w:t xml:space="preserve"> </w:t>
      </w:r>
    </w:p>
    <w:p w:rsidR="002D664C" w:rsidP="00202A17" w:rsidRDefault="00202A17" w14:paraId="31F268EF" w14:textId="1A47CB2E">
      <w:pPr>
        <w:spacing w:after="240"/>
      </w:pPr>
      <w:r w:rsidRPr="00202A17">
        <w:t xml:space="preserve">As part of its grantee monitoring role, AHRQ will collect information from </w:t>
      </w:r>
      <w:r w:rsidR="00125DD7">
        <w:t>quarterly</w:t>
      </w:r>
      <w:r w:rsidRPr="00202A17">
        <w:t xml:space="preserve"> progress</w:t>
      </w:r>
      <w:r w:rsidR="00125DD7">
        <w:t xml:space="preserve"> reports</w:t>
      </w:r>
      <w:r w:rsidR="00926A2C">
        <w:t xml:space="preserve"> </w:t>
      </w:r>
      <w:r w:rsidRPr="00202A17">
        <w:t>to</w:t>
      </w:r>
      <w:r w:rsidR="002D664C">
        <w:t>:</w:t>
      </w:r>
    </w:p>
    <w:p w:rsidR="00926A2C" w:rsidP="00926A2C" w:rsidRDefault="00926A2C" w14:paraId="4EEC914E" w14:textId="3791DCC0">
      <w:pPr>
        <w:pStyle w:val="ListParagraph"/>
        <w:numPr>
          <w:ilvl w:val="0"/>
          <w:numId w:val="60"/>
        </w:numPr>
        <w:spacing w:after="240"/>
        <w:rPr>
          <w:rFonts w:ascii="Times New Roman" w:hAnsi="Times New Roman" w:cs="Times New Roman"/>
        </w:rPr>
      </w:pPr>
      <w:r w:rsidRPr="00926A2C">
        <w:rPr>
          <w:rFonts w:ascii="Times New Roman" w:hAnsi="Times New Roman" w:cs="Times New Roman"/>
        </w:rPr>
        <w:t xml:space="preserve">Learn about Cooperative members and their partners, such as their roles and responsibilities, governance and communication strategies, and </w:t>
      </w:r>
      <w:r>
        <w:rPr>
          <w:rFonts w:ascii="Times New Roman" w:hAnsi="Times New Roman" w:cs="Times New Roman"/>
        </w:rPr>
        <w:t xml:space="preserve">the </w:t>
      </w:r>
      <w:r w:rsidRPr="00926A2C">
        <w:rPr>
          <w:rFonts w:ascii="Times New Roman" w:hAnsi="Times New Roman" w:cs="Times New Roman"/>
        </w:rPr>
        <w:t>network of practices they have formed, and, in the third year, about their Heart Health QI projects</w:t>
      </w:r>
    </w:p>
    <w:p w:rsidRPr="00926A2C" w:rsidR="00926A2C" w:rsidP="00926A2C" w:rsidRDefault="00926A2C" w14:paraId="71CE77BB" w14:textId="3017F5CF">
      <w:pPr>
        <w:pStyle w:val="ListParagraph"/>
        <w:numPr>
          <w:ilvl w:val="0"/>
          <w:numId w:val="60"/>
        </w:numPr>
        <w:spacing w:after="240"/>
        <w:rPr>
          <w:rFonts w:ascii="Times New Roman" w:hAnsi="Times New Roman" w:cs="Times New Roman"/>
        </w:rPr>
      </w:pPr>
      <w:r>
        <w:rPr>
          <w:rFonts w:ascii="Times New Roman" w:hAnsi="Times New Roman" w:cs="Times New Roman"/>
        </w:rPr>
        <w:t>P</w:t>
      </w:r>
      <w:r w:rsidRPr="00926A2C">
        <w:rPr>
          <w:rFonts w:ascii="Times New Roman" w:hAnsi="Times New Roman" w:cs="Times New Roman"/>
        </w:rPr>
        <w:t xml:space="preserve">rovide </w:t>
      </w:r>
      <w:r>
        <w:rPr>
          <w:rFonts w:ascii="Times New Roman" w:hAnsi="Times New Roman" w:cs="Times New Roman"/>
        </w:rPr>
        <w:t>grantees</w:t>
      </w:r>
      <w:r w:rsidRPr="00926A2C">
        <w:rPr>
          <w:rFonts w:ascii="Times New Roman" w:hAnsi="Times New Roman" w:cs="Times New Roman"/>
        </w:rPr>
        <w:t xml:space="preserve"> with technical assistance with the implementation of their respective projects</w:t>
      </w:r>
    </w:p>
    <w:p w:rsidRPr="003454A2" w:rsidR="00926A2C" w:rsidP="00125DD7" w:rsidRDefault="00926A2C" w14:paraId="3AB5B9B2" w14:textId="43192CDE">
      <w:pPr>
        <w:pStyle w:val="ListParagraph"/>
        <w:numPr>
          <w:ilvl w:val="0"/>
          <w:numId w:val="60"/>
        </w:numPr>
        <w:spacing w:after="240"/>
        <w:rPr>
          <w:rFonts w:ascii="Times New Roman" w:hAnsi="Times New Roman" w:cs="Times New Roman"/>
        </w:rPr>
      </w:pPr>
      <w:r w:rsidRPr="00125DD7">
        <w:rPr>
          <w:rFonts w:ascii="Times New Roman" w:hAnsi="Times New Roman" w:cs="Times New Roman"/>
        </w:rPr>
        <w:t>I</w:t>
      </w:r>
      <w:r w:rsidRPr="00125DD7" w:rsidR="00202A17">
        <w:rPr>
          <w:rFonts w:ascii="Times New Roman" w:hAnsi="Times New Roman" w:cs="Times New Roman"/>
        </w:rPr>
        <w:t xml:space="preserve">dentify lessons learned and challenges faced by the grantees </w:t>
      </w:r>
    </w:p>
    <w:p w:rsidR="00926A2C" w:rsidP="00926A2C" w:rsidRDefault="00926A2C" w14:paraId="365CFC5D" w14:textId="53FF6DB1">
      <w:pPr>
        <w:pStyle w:val="ListParagraph"/>
        <w:numPr>
          <w:ilvl w:val="0"/>
          <w:numId w:val="60"/>
        </w:numPr>
        <w:spacing w:after="240"/>
        <w:rPr>
          <w:rFonts w:ascii="Times New Roman" w:hAnsi="Times New Roman" w:cs="Times New Roman"/>
        </w:rPr>
      </w:pPr>
      <w:r>
        <w:rPr>
          <w:rFonts w:ascii="Times New Roman" w:hAnsi="Times New Roman" w:cs="Times New Roman"/>
        </w:rPr>
        <w:t>T</w:t>
      </w:r>
      <w:r w:rsidRPr="00926A2C" w:rsidR="00202A17">
        <w:rPr>
          <w:rFonts w:ascii="Times New Roman" w:hAnsi="Times New Roman" w:cs="Times New Roman"/>
        </w:rPr>
        <w:t>ailor the interview prompts to grantees</w:t>
      </w:r>
      <w:r w:rsidRPr="00926A2C" w:rsidR="002D664C">
        <w:rPr>
          <w:rFonts w:ascii="Times New Roman" w:hAnsi="Times New Roman" w:cs="Times New Roman"/>
        </w:rPr>
        <w:t>’</w:t>
      </w:r>
      <w:r w:rsidRPr="00926A2C" w:rsidR="00202A17">
        <w:rPr>
          <w:rFonts w:ascii="Times New Roman" w:hAnsi="Times New Roman" w:cs="Times New Roman"/>
        </w:rPr>
        <w:t xml:space="preserve"> actual experiences</w:t>
      </w:r>
      <w:r w:rsidRPr="00926A2C" w:rsidR="002D664C">
        <w:rPr>
          <w:rFonts w:ascii="Times New Roman" w:hAnsi="Times New Roman" w:cs="Times New Roman"/>
        </w:rPr>
        <w:t>.</w:t>
      </w:r>
      <w:r w:rsidRPr="00926A2C" w:rsidR="00202A17">
        <w:rPr>
          <w:rFonts w:ascii="Times New Roman" w:hAnsi="Times New Roman" w:cs="Times New Roman"/>
        </w:rPr>
        <w:t xml:space="preserve"> (</w:t>
      </w:r>
      <w:r w:rsidRPr="00926A2C" w:rsidR="002D664C">
        <w:rPr>
          <w:rFonts w:ascii="Times New Roman" w:hAnsi="Times New Roman" w:cs="Times New Roman"/>
        </w:rPr>
        <w:t>T</w:t>
      </w:r>
      <w:r w:rsidRPr="00926A2C" w:rsidR="00202A17">
        <w:rPr>
          <w:rFonts w:ascii="Times New Roman" w:hAnsi="Times New Roman" w:cs="Times New Roman"/>
        </w:rPr>
        <w:t xml:space="preserve">his is explained further in the interview protocols </w:t>
      </w:r>
      <w:r w:rsidRPr="00926A2C" w:rsidR="003746EF">
        <w:rPr>
          <w:rFonts w:ascii="Times New Roman" w:hAnsi="Times New Roman" w:cs="Times New Roman"/>
        </w:rPr>
        <w:t>provided in Attachments A-</w:t>
      </w:r>
      <w:r w:rsidR="00482DD4">
        <w:rPr>
          <w:rFonts w:ascii="Times New Roman" w:hAnsi="Times New Roman" w:cs="Times New Roman"/>
        </w:rPr>
        <w:t>D</w:t>
      </w:r>
      <w:r w:rsidRPr="00926A2C" w:rsidR="003746EF">
        <w:rPr>
          <w:rFonts w:ascii="Times New Roman" w:hAnsi="Times New Roman" w:cs="Times New Roman"/>
        </w:rPr>
        <w:t xml:space="preserve">)  </w:t>
      </w:r>
    </w:p>
    <w:p w:rsidRPr="00926A2C" w:rsidR="00202A17" w:rsidP="00926A2C" w:rsidRDefault="00B10CEB" w14:paraId="7D29C1D7" w14:textId="095CB42B">
      <w:pPr>
        <w:pStyle w:val="ListParagraph"/>
        <w:numPr>
          <w:ilvl w:val="0"/>
          <w:numId w:val="60"/>
        </w:numPr>
        <w:spacing w:after="240"/>
        <w:rPr>
          <w:rFonts w:ascii="Times New Roman" w:hAnsi="Times New Roman" w:cs="Times New Roman"/>
        </w:rPr>
      </w:pPr>
      <w:r>
        <w:rPr>
          <w:rFonts w:ascii="Times New Roman" w:hAnsi="Times New Roman" w:cs="Times New Roman"/>
        </w:rPr>
        <w:t>Learn</w:t>
      </w:r>
      <w:r w:rsidR="00926A2C">
        <w:rPr>
          <w:rFonts w:ascii="Times New Roman" w:hAnsi="Times New Roman" w:cs="Times New Roman"/>
        </w:rPr>
        <w:t xml:space="preserve"> about g</w:t>
      </w:r>
      <w:r w:rsidRPr="00926A2C" w:rsidR="00926A2C">
        <w:rPr>
          <w:rFonts w:ascii="Times New Roman" w:hAnsi="Times New Roman" w:cs="Times New Roman"/>
        </w:rPr>
        <w:t>rantees</w:t>
      </w:r>
      <w:r>
        <w:rPr>
          <w:rFonts w:ascii="Times New Roman" w:hAnsi="Times New Roman" w:cs="Times New Roman"/>
        </w:rPr>
        <w:t>’</w:t>
      </w:r>
      <w:r w:rsidRPr="00926A2C" w:rsidR="00926A2C">
        <w:rPr>
          <w:rFonts w:ascii="Times New Roman" w:hAnsi="Times New Roman" w:cs="Times New Roman"/>
        </w:rPr>
        <w:t xml:space="preserve"> evaluations</w:t>
      </w:r>
      <w:r w:rsidRPr="00926A2C" w:rsidDel="002D664C" w:rsidR="00926A2C">
        <w:rPr>
          <w:rFonts w:ascii="Times New Roman" w:hAnsi="Times New Roman" w:cs="Times New Roman"/>
        </w:rPr>
        <w:t xml:space="preserve"> </w:t>
      </w:r>
      <w:r>
        <w:rPr>
          <w:rFonts w:ascii="Times New Roman" w:hAnsi="Times New Roman" w:cs="Times New Roman"/>
        </w:rPr>
        <w:t>and their findings</w:t>
      </w:r>
    </w:p>
    <w:p w:rsidR="000A755A" w:rsidP="003746EF" w:rsidRDefault="00B10CEB" w14:paraId="27F32FDD" w14:textId="66DE3611">
      <w:pPr>
        <w:spacing w:after="240"/>
      </w:pPr>
      <w:r>
        <w:t>G</w:t>
      </w:r>
      <w:r w:rsidR="00202A17">
        <w:t>rantee progress reports</w:t>
      </w:r>
      <w:r w:rsidRPr="009C0FC1" w:rsidR="00202A17">
        <w:t xml:space="preserve"> </w:t>
      </w:r>
      <w:r w:rsidR="00202A17">
        <w:t xml:space="preserve">will </w:t>
      </w:r>
      <w:r w:rsidR="000A755A">
        <w:t xml:space="preserve">also </w:t>
      </w:r>
      <w:r w:rsidR="00202A17">
        <w:t>contain other informative documents, such as</w:t>
      </w:r>
      <w:r w:rsidRPr="009C0FC1" w:rsidR="00202A17">
        <w:t xml:space="preserve"> Cooperative</w:t>
      </w:r>
      <w:r w:rsidR="00202A17">
        <w:t>s’</w:t>
      </w:r>
      <w:r w:rsidRPr="009C0FC1" w:rsidR="00202A17">
        <w:t xml:space="preserve"> m</w:t>
      </w:r>
      <w:r w:rsidR="00202A17">
        <w:t>emoranda of understanding</w:t>
      </w:r>
      <w:r w:rsidRPr="009C0FC1" w:rsidR="00202A17">
        <w:t>, governance policies</w:t>
      </w:r>
      <w:r w:rsidR="00202A17">
        <w:t>,</w:t>
      </w:r>
      <w:r w:rsidRPr="009C0FC1" w:rsidR="00202A17">
        <w:t xml:space="preserve"> </w:t>
      </w:r>
      <w:r w:rsidR="00202A17">
        <w:t>training materials</w:t>
      </w:r>
      <w:r w:rsidRPr="009C0FC1" w:rsidR="00202A17">
        <w:t xml:space="preserve">, </w:t>
      </w:r>
      <w:r w:rsidR="00202A17">
        <w:t xml:space="preserve">Technical Assistance (TA) resources, and </w:t>
      </w:r>
      <w:r w:rsidRPr="009C0FC1" w:rsidR="00202A17">
        <w:t xml:space="preserve">publications. </w:t>
      </w:r>
      <w:r w:rsidR="00202A17">
        <w:t xml:space="preserve"> </w:t>
      </w:r>
    </w:p>
    <w:p w:rsidR="00C13605" w:rsidP="003746EF" w:rsidRDefault="00202A17" w14:paraId="6A388E11" w14:textId="20FCC09A">
      <w:pPr>
        <w:spacing w:after="240"/>
      </w:pPr>
      <w:r>
        <w:t xml:space="preserve">All this information </w:t>
      </w:r>
      <w:r w:rsidR="00125DD7">
        <w:t xml:space="preserve">will supplement insights from key interviews and </w:t>
      </w:r>
      <w:r w:rsidRPr="0043435F">
        <w:t xml:space="preserve">will </w:t>
      </w:r>
      <w:r>
        <w:t>be used</w:t>
      </w:r>
      <w:r w:rsidRPr="0043435F">
        <w:t xml:space="preserve"> to</w:t>
      </w:r>
      <w:r>
        <w:t xml:space="preserve"> </w:t>
      </w:r>
      <w:r w:rsidRPr="0043435F">
        <w:t xml:space="preserve">develop comparative case studies </w:t>
      </w:r>
      <w:r w:rsidR="00B10CEB">
        <w:t>that</w:t>
      </w:r>
      <w:r w:rsidRPr="0043435F" w:rsidR="00B10CEB">
        <w:t xml:space="preserve"> </w:t>
      </w:r>
      <w:r w:rsidRPr="0043435F">
        <w:t xml:space="preserve">explore which grantee-level characteristics are associated with success in </w:t>
      </w:r>
      <w:r w:rsidR="00125DD7">
        <w:t>launching</w:t>
      </w:r>
      <w:r w:rsidRPr="0043435F">
        <w:t xml:space="preserve"> the Cooperatives and networks</w:t>
      </w:r>
      <w:r w:rsidR="00926A2C">
        <w:t>;</w:t>
      </w:r>
      <w:r w:rsidRPr="0043435F">
        <w:t xml:space="preserve"> </w:t>
      </w:r>
      <w:r>
        <w:t>to</w:t>
      </w:r>
      <w:r w:rsidRPr="0043435F">
        <w:t xml:space="preserve"> document program-level accomplishments, challenges, and lessons learned by aggregating the information </w:t>
      </w:r>
      <w:r w:rsidRPr="00202A17">
        <w:t>across the grantees</w:t>
      </w:r>
      <w:r w:rsidR="00926A2C">
        <w:t xml:space="preserve">; and </w:t>
      </w:r>
      <w:r w:rsidRPr="00926A2C" w:rsidR="00926A2C">
        <w:t>develop resources that could be used by states to assist with their primary care quality improvement efforts</w:t>
      </w:r>
      <w:r w:rsidRPr="00202A17">
        <w:t xml:space="preserve">. </w:t>
      </w:r>
    </w:p>
    <w:p w:rsidRPr="00C13605" w:rsidR="00C13605" w:rsidP="00C13605" w:rsidRDefault="00C13605" w14:paraId="13479F4C" w14:textId="41D8A8EE">
      <w:pPr>
        <w:spacing w:after="240"/>
      </w:pPr>
      <w:r w:rsidRPr="00C13605">
        <w:t xml:space="preserve">This </w:t>
      </w:r>
      <w:r w:rsidR="00957284">
        <w:t>project</w:t>
      </w:r>
      <w:r w:rsidR="00986FA4">
        <w:t xml:space="preserve"> </w:t>
      </w:r>
      <w:r w:rsidRPr="00C13605">
        <w:t xml:space="preserve">is being conducted by AHRQ through its contractor, </w:t>
      </w:r>
      <w:proofErr w:type="spellStart"/>
      <w:r w:rsidR="00957284">
        <w:t>Abt</w:t>
      </w:r>
      <w:proofErr w:type="spellEnd"/>
      <w:r w:rsidR="00957284">
        <w:t xml:space="preserve"> Associates</w:t>
      </w:r>
      <w:r w:rsidRPr="00C13605">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C13605">
        <w:t>299a(</w:t>
      </w:r>
      <w:proofErr w:type="gramEnd"/>
      <w:r w:rsidRPr="00C13605">
        <w:t>a)(1) and (2).</w:t>
      </w:r>
    </w:p>
    <w:p w:rsidR="00C13605" w:rsidP="003746EF" w:rsidRDefault="00C13605" w14:paraId="4E97D8BC" w14:textId="77777777">
      <w:pPr>
        <w:spacing w:after="240"/>
      </w:pPr>
    </w:p>
    <w:p w:rsidRPr="00983636" w:rsidR="009B633D" w:rsidP="009B633D" w:rsidRDefault="009B633D" w14:paraId="6C0993FC" w14:textId="2317CE0A">
      <w:pPr>
        <w:pStyle w:val="Heading2"/>
        <w:rPr>
          <w:sz w:val="24"/>
        </w:rPr>
      </w:pPr>
      <w:bookmarkStart w:name="_Toc151782177" w:id="6"/>
      <w:bookmarkStart w:name="_Toc158526217" w:id="7"/>
      <w:bookmarkStart w:name="_Toc44596527" w:id="8"/>
      <w:r w:rsidRPr="002F76AF">
        <w:rPr>
          <w:sz w:val="24"/>
        </w:rPr>
        <w:t>2. Purpose and Use of Information</w:t>
      </w:r>
      <w:bookmarkEnd w:id="6"/>
      <w:bookmarkEnd w:id="7"/>
      <w:bookmarkEnd w:id="8"/>
    </w:p>
    <w:p w:rsidR="003746EF" w:rsidP="00204509" w:rsidRDefault="00204509" w14:paraId="4C177F71" w14:textId="4C6BAE20">
      <w:pPr>
        <w:spacing w:before="100" w:beforeAutospacing="1" w:after="100" w:afterAutospacing="1"/>
      </w:pPr>
      <w:r>
        <w:t xml:space="preserve">The purpose of the proposed </w:t>
      </w:r>
      <w:r w:rsidR="00AB0B76">
        <w:t xml:space="preserve">information </w:t>
      </w:r>
      <w:r w:rsidR="00135159">
        <w:t>collection effort is to</w:t>
      </w:r>
      <w:r w:rsidR="00135159">
        <w:rPr>
          <w:szCs w:val="20"/>
        </w:rPr>
        <w:t xml:space="preserve"> </w:t>
      </w:r>
      <w:r w:rsidRPr="00394170" w:rsidR="00647A4F">
        <w:rPr>
          <w:szCs w:val="20"/>
        </w:rPr>
        <w:t xml:space="preserve">explore each </w:t>
      </w:r>
      <w:r w:rsidR="00647A4F">
        <w:rPr>
          <w:szCs w:val="20"/>
        </w:rPr>
        <w:t>grantee’s primary care quality improvement</w:t>
      </w:r>
      <w:r w:rsidRPr="00394170" w:rsidR="00647A4F">
        <w:rPr>
          <w:szCs w:val="20"/>
        </w:rPr>
        <w:t>, including their members and partners;</w:t>
      </w:r>
      <w:r w:rsidR="00647A4F">
        <w:rPr>
          <w:szCs w:val="20"/>
        </w:rPr>
        <w:t xml:space="preserve"> and their experiences and </w:t>
      </w:r>
      <w:r w:rsidRPr="00394170" w:rsidR="00647A4F">
        <w:rPr>
          <w:szCs w:val="20"/>
        </w:rPr>
        <w:t>achievements</w:t>
      </w:r>
      <w:r w:rsidR="00647A4F">
        <w:rPr>
          <w:szCs w:val="20"/>
        </w:rPr>
        <w:t xml:space="preserve">.  Additionally, this information collection will serve to </w:t>
      </w:r>
      <w:r w:rsidR="00647A4F">
        <w:rPr>
          <w:szCs w:val="20"/>
        </w:rPr>
        <w:lastRenderedPageBreak/>
        <w:t xml:space="preserve">help </w:t>
      </w:r>
      <w:r w:rsidR="00135159">
        <w:rPr>
          <w:szCs w:val="20"/>
        </w:rPr>
        <w:t xml:space="preserve">synthesize </w:t>
      </w:r>
      <w:r w:rsidR="00647A4F">
        <w:rPr>
          <w:szCs w:val="20"/>
        </w:rPr>
        <w:t>insights</w:t>
      </w:r>
      <w:r w:rsidR="00135159">
        <w:rPr>
          <w:szCs w:val="20"/>
        </w:rPr>
        <w:t xml:space="preserve"> from across grantees, </w:t>
      </w:r>
      <w:r w:rsidRPr="00240C40" w:rsidR="00135159">
        <w:rPr>
          <w:szCs w:val="20"/>
        </w:rPr>
        <w:t>identify key themes, and distill lessons learned, taking consideration of the context in which each program operated.</w:t>
      </w:r>
      <w:r w:rsidR="00135159">
        <w:rPr>
          <w:szCs w:val="20"/>
        </w:rPr>
        <w:t xml:space="preserve"> </w:t>
      </w:r>
    </w:p>
    <w:p w:rsidR="009E0868" w:rsidP="00135159" w:rsidRDefault="009E0868" w14:paraId="19765A68" w14:textId="6FCD8818">
      <w:pPr>
        <w:pStyle w:val="Default"/>
        <w:rPr>
          <w:color w:val="auto"/>
        </w:rPr>
      </w:pPr>
      <w:r w:rsidRPr="00B87A7C">
        <w:rPr>
          <w:color w:val="auto"/>
        </w:rPr>
        <w:t>The follow</w:t>
      </w:r>
      <w:r w:rsidR="00135159">
        <w:rPr>
          <w:color w:val="auto"/>
        </w:rPr>
        <w:t xml:space="preserve">ing knowledge will be generated to understand </w:t>
      </w:r>
      <w:r w:rsidRPr="00B87A7C">
        <w:rPr>
          <w:color w:val="auto"/>
        </w:rPr>
        <w:t xml:space="preserve">the contribution of the program to </w:t>
      </w:r>
      <w:r>
        <w:rPr>
          <w:color w:val="auto"/>
        </w:rPr>
        <w:t>developing sustainable state-level capacity to implement P</w:t>
      </w:r>
      <w:r w:rsidR="00135159">
        <w:rPr>
          <w:color w:val="auto"/>
        </w:rPr>
        <w:t xml:space="preserve">COR findings in primary care and the </w:t>
      </w:r>
      <w:r>
        <w:rPr>
          <w:color w:val="auto"/>
        </w:rPr>
        <w:t>pros and cons of various Cooperative models</w:t>
      </w:r>
      <w:r w:rsidR="00135159">
        <w:rPr>
          <w:color w:val="auto"/>
        </w:rPr>
        <w:t>, as well as</w:t>
      </w:r>
      <w:r w:rsidRPr="00B87A7C">
        <w:rPr>
          <w:color w:val="auto"/>
        </w:rPr>
        <w:t xml:space="preserve"> </w:t>
      </w:r>
      <w:r w:rsidR="00AB0B76">
        <w:rPr>
          <w:color w:val="auto"/>
        </w:rPr>
        <w:t>lessons learned about</w:t>
      </w:r>
      <w:r>
        <w:rPr>
          <w:color w:val="auto"/>
        </w:rPr>
        <w:t xml:space="preserve"> approaches to assisting practices in </w:t>
      </w:r>
      <w:r w:rsidR="00AB0B76">
        <w:rPr>
          <w:color w:val="auto"/>
        </w:rPr>
        <w:t>implementing evidence to improve care</w:t>
      </w:r>
      <w:r w:rsidRPr="00B87A7C">
        <w:rPr>
          <w:color w:val="auto"/>
        </w:rPr>
        <w:t xml:space="preserve"> </w:t>
      </w:r>
    </w:p>
    <w:p w:rsidRPr="00B87A7C" w:rsidR="00135159" w:rsidP="00135159" w:rsidRDefault="00135159" w14:paraId="3AEAFDB3" w14:textId="77777777">
      <w:pPr>
        <w:pStyle w:val="Default"/>
        <w:rPr>
          <w:color w:val="auto"/>
        </w:rPr>
      </w:pPr>
    </w:p>
    <w:p w:rsidR="007E0697" w:rsidP="008E1394" w:rsidRDefault="009B633D" w14:paraId="1C0858BA" w14:textId="229B9FE0">
      <w:pPr>
        <w:pStyle w:val="Heading2"/>
        <w:rPr>
          <w:sz w:val="24"/>
        </w:rPr>
      </w:pPr>
      <w:bookmarkStart w:name="_Toc44596528" w:id="9"/>
      <w:r w:rsidRPr="00193251">
        <w:rPr>
          <w:sz w:val="24"/>
        </w:rPr>
        <w:t xml:space="preserve">3. </w:t>
      </w:r>
      <w:bookmarkStart w:name="_Toc151782178" w:id="10"/>
      <w:bookmarkStart w:name="_Toc158526218" w:id="11"/>
      <w:r w:rsidRPr="00193251">
        <w:rPr>
          <w:sz w:val="24"/>
        </w:rPr>
        <w:t>Use of Improved Information Technology</w:t>
      </w:r>
      <w:bookmarkEnd w:id="9"/>
      <w:bookmarkEnd w:id="10"/>
      <w:bookmarkEnd w:id="11"/>
    </w:p>
    <w:p w:rsidRPr="008E1394" w:rsidR="008E1394" w:rsidP="008E1394" w:rsidRDefault="008E1394" w14:paraId="07408B33" w14:textId="77777777"/>
    <w:p w:rsidR="00454448" w:rsidP="003746EF" w:rsidRDefault="007E0697" w14:paraId="04AA6915" w14:textId="5478BFE3">
      <w:r w:rsidRPr="007E0697">
        <w:t>A</w:t>
      </w:r>
      <w:r w:rsidR="00193251">
        <w:t>ll</w:t>
      </w:r>
      <w:r w:rsidRPr="007E0697">
        <w:t xml:space="preserve"> </w:t>
      </w:r>
      <w:r w:rsidR="003A2914">
        <w:t>information</w:t>
      </w:r>
      <w:r w:rsidR="00193251">
        <w:t xml:space="preserve"> collection for</w:t>
      </w:r>
      <w:r w:rsidR="008E1394">
        <w:t xml:space="preserve"> the project</w:t>
      </w:r>
      <w:r w:rsidRPr="007E0697">
        <w:t xml:space="preserve"> will use information technology.</w:t>
      </w:r>
      <w:r w:rsidR="008E1394">
        <w:t xml:space="preserve"> </w:t>
      </w:r>
      <w:r w:rsidR="00193251">
        <w:t xml:space="preserve">Interviews and member checking sessions will be conducted via video-conferencing to facilitate participation and reduce costs. </w:t>
      </w:r>
    </w:p>
    <w:p w:rsidR="009B633D" w:rsidP="009B633D" w:rsidRDefault="009B633D" w14:paraId="157FDCBB" w14:textId="4EE90AFF">
      <w:pPr>
        <w:pStyle w:val="Heading2"/>
        <w:rPr>
          <w:sz w:val="24"/>
        </w:rPr>
      </w:pPr>
      <w:bookmarkStart w:name="_Toc44596529" w:id="12"/>
      <w:r w:rsidRPr="008301D7">
        <w:rPr>
          <w:sz w:val="24"/>
        </w:rPr>
        <w:t xml:space="preserve">4. </w:t>
      </w:r>
      <w:bookmarkStart w:name="_Toc151782179" w:id="13"/>
      <w:bookmarkStart w:name="_Toc158526219" w:id="14"/>
      <w:r w:rsidRPr="008301D7">
        <w:rPr>
          <w:sz w:val="24"/>
        </w:rPr>
        <w:t>Efforts to Identify Duplication</w:t>
      </w:r>
      <w:bookmarkEnd w:id="12"/>
      <w:bookmarkEnd w:id="13"/>
      <w:bookmarkEnd w:id="14"/>
    </w:p>
    <w:p w:rsidRPr="00050C27" w:rsidR="00050C27" w:rsidP="00050C27" w:rsidRDefault="00050C27" w14:paraId="6543A33C" w14:textId="77777777"/>
    <w:p w:rsidRPr="003746EF" w:rsidR="009E0868" w:rsidRDefault="009E0868" w14:paraId="2F08AB74" w14:textId="5686035B">
      <w:pPr>
        <w:pStyle w:val="BodyText"/>
      </w:pPr>
      <w:r>
        <w:t xml:space="preserve">AHRQ </w:t>
      </w:r>
      <w:r w:rsidRPr="003746EF">
        <w:t xml:space="preserve">made every effort to avoid duplication and to </w:t>
      </w:r>
      <w:r w:rsidRPr="003746EF" w:rsidR="00B90F1A">
        <w:t>collect only such information needed to develop case studies and lessons learned</w:t>
      </w:r>
      <w:r w:rsidRPr="003746EF">
        <w:t xml:space="preserve">. Because this is a new program, there are no existing datasets or other sources which could be reused. </w:t>
      </w:r>
    </w:p>
    <w:p w:rsidR="00DA4E5A" w:rsidP="00B87A7C" w:rsidRDefault="009E0868" w14:paraId="416CF27C" w14:textId="36D0C0A2">
      <w:pPr>
        <w:pStyle w:val="BodyText"/>
      </w:pPr>
      <w:r w:rsidRPr="003746EF">
        <w:t>In addition to</w:t>
      </w:r>
      <w:r>
        <w:t xml:space="preserve"> the </w:t>
      </w:r>
      <w:r w:rsidR="003A2914">
        <w:t>information</w:t>
      </w:r>
      <w:r>
        <w:t xml:space="preserve"> collection, the study will make full use of </w:t>
      </w:r>
      <w:r w:rsidR="00A54685">
        <w:t>program data from grantees</w:t>
      </w:r>
      <w:r>
        <w:t>.</w:t>
      </w:r>
      <w:r w:rsidR="000F0457">
        <w:t xml:space="preserve"> While important, these sources will not contain all of the data required to address the </w:t>
      </w:r>
      <w:r w:rsidR="00A54685">
        <w:t>aims herein</w:t>
      </w:r>
      <w:r w:rsidR="000F0457">
        <w:t>. Anticipated gaps in extant data include reflections on the participants experience, pros and cons of various strategies to establish and use the Cooperatives and the networks, satisfaction of participating practices, efforts to ensure sustainability, and other topics. These</w:t>
      </w:r>
      <w:r>
        <w:t xml:space="preserve"> gaps in </w:t>
      </w:r>
      <w:r w:rsidR="000F0457">
        <w:t>will</w:t>
      </w:r>
      <w:r>
        <w:t xml:space="preserve"> be filled using new </w:t>
      </w:r>
      <w:r w:rsidR="00A54685">
        <w:t>information</w:t>
      </w:r>
      <w:r>
        <w:t xml:space="preserve"> collection described in this request. </w:t>
      </w:r>
    </w:p>
    <w:p w:rsidRPr="00983636" w:rsidR="009B633D" w:rsidP="009B633D" w:rsidRDefault="009B633D" w14:paraId="0B9F68C6" w14:textId="183BD847">
      <w:pPr>
        <w:pStyle w:val="Heading2"/>
        <w:rPr>
          <w:sz w:val="24"/>
        </w:rPr>
      </w:pPr>
      <w:bookmarkStart w:name="_Toc151782180" w:id="15"/>
      <w:bookmarkStart w:name="_Toc158526220" w:id="16"/>
      <w:bookmarkStart w:name="_Toc44596530" w:id="17"/>
      <w:r w:rsidRPr="00983636">
        <w:rPr>
          <w:sz w:val="24"/>
        </w:rPr>
        <w:t>5. Involvement of Small Entities</w:t>
      </w:r>
      <w:bookmarkEnd w:id="15"/>
      <w:bookmarkEnd w:id="16"/>
      <w:bookmarkEnd w:id="17"/>
    </w:p>
    <w:p w:rsidRPr="00993162" w:rsidR="00DA4E5A" w:rsidP="00DA4E5A" w:rsidRDefault="00DA4E5A" w14:paraId="7D8332B7" w14:textId="51D07E31">
      <w:pPr>
        <w:spacing w:before="100" w:beforeAutospacing="1" w:after="100" w:afterAutospacing="1"/>
      </w:pPr>
      <w:r w:rsidRPr="00993162">
        <w:t xml:space="preserve">This project does not intend to intentionally involve nor exclude or impact any small entities. However, </w:t>
      </w:r>
      <w:r w:rsidR="00581E5A">
        <w:t>if</w:t>
      </w:r>
      <w:r w:rsidRPr="00993162">
        <w:t xml:space="preserve"> an identified and recruited </w:t>
      </w:r>
      <w:r w:rsidR="00581E5A">
        <w:t xml:space="preserve">participating </w:t>
      </w:r>
      <w:r w:rsidRPr="00993162">
        <w:t xml:space="preserve">organization is a small entity, </w:t>
      </w:r>
      <w:r w:rsidR="00581E5A">
        <w:t xml:space="preserve">they will be involved in the study in the same way as other organizations, and we expect the impact to be no different. </w:t>
      </w:r>
      <w:r w:rsidRPr="00993162">
        <w:t xml:space="preserve">The instruments and procedures used to collect </w:t>
      </w:r>
      <w:r w:rsidR="007F394D">
        <w:t>information</w:t>
      </w:r>
      <w:r w:rsidRPr="00993162" w:rsidR="007F394D">
        <w:t xml:space="preserve"> </w:t>
      </w:r>
      <w:r w:rsidRPr="00993162">
        <w:t>are designed to minimize the burden on all respondents.</w:t>
      </w:r>
    </w:p>
    <w:p w:rsidRPr="00983636" w:rsidR="009B633D" w:rsidP="009B633D" w:rsidRDefault="009B633D" w14:paraId="2D3D9EED" w14:textId="78701097">
      <w:pPr>
        <w:pStyle w:val="Heading2"/>
        <w:rPr>
          <w:sz w:val="24"/>
        </w:rPr>
      </w:pPr>
      <w:bookmarkStart w:name="_Toc151782181" w:id="18"/>
      <w:bookmarkStart w:name="_Toc158526221" w:id="19"/>
      <w:bookmarkStart w:name="_Toc44596531" w:id="20"/>
      <w:r w:rsidRPr="00581E5A">
        <w:rPr>
          <w:sz w:val="24"/>
        </w:rPr>
        <w:t>6. Consequences if Information Collected Less Frequently</w:t>
      </w:r>
      <w:bookmarkEnd w:id="18"/>
      <w:bookmarkEnd w:id="19"/>
      <w:bookmarkEnd w:id="20"/>
    </w:p>
    <w:p w:rsidR="00891283" w:rsidP="00993162" w:rsidRDefault="00993162" w14:paraId="219668D8" w14:textId="1281AF6E">
      <w:pPr>
        <w:spacing w:before="100" w:beforeAutospacing="1" w:after="100" w:afterAutospacing="1"/>
      </w:pPr>
      <w:bookmarkStart w:name="_Toc151782182" w:id="21"/>
      <w:bookmarkStart w:name="_Toc158526222" w:id="22"/>
      <w:r w:rsidRPr="00993162">
        <w:t xml:space="preserve">This project is a one-time </w:t>
      </w:r>
      <w:r w:rsidR="007F394D">
        <w:t>information</w:t>
      </w:r>
      <w:r w:rsidRPr="00993162" w:rsidR="007F394D">
        <w:t xml:space="preserve"> </w:t>
      </w:r>
      <w:r w:rsidRPr="00993162">
        <w:t xml:space="preserve">collection effort. The </w:t>
      </w:r>
      <w:r w:rsidR="007F394D">
        <w:t>information</w:t>
      </w:r>
      <w:r w:rsidRPr="00993162" w:rsidR="007F394D">
        <w:t xml:space="preserve"> </w:t>
      </w:r>
      <w:r w:rsidRPr="00993162">
        <w:t>collection peri</w:t>
      </w:r>
      <w:r>
        <w:t xml:space="preserve">od will last for approximately </w:t>
      </w:r>
      <w:r w:rsidR="00581E5A">
        <w:t>3 years</w:t>
      </w:r>
      <w:r w:rsidRPr="00993162">
        <w:t>.</w:t>
      </w:r>
      <w:r w:rsidR="00581E5A">
        <w:t xml:space="preserve"> Many of the respondents will be interviewed up to three times (on an annual basis). This repetition is necessary to capture the development and function of the Cooperatives and their networks of practices.</w:t>
      </w:r>
      <w:r w:rsidRPr="00993162">
        <w:t xml:space="preserve"> Not collecting the </w:t>
      </w:r>
      <w:r w:rsidR="007F394D">
        <w:t>information</w:t>
      </w:r>
      <w:r w:rsidRPr="00993162">
        <w:t xml:space="preserve">, or shortening the </w:t>
      </w:r>
      <w:r w:rsidR="007F394D">
        <w:t>information</w:t>
      </w:r>
      <w:r w:rsidRPr="00993162" w:rsidR="007F394D">
        <w:t xml:space="preserve"> </w:t>
      </w:r>
      <w:r w:rsidRPr="00993162">
        <w:t xml:space="preserve">collection period </w:t>
      </w:r>
      <w:r w:rsidR="00891283">
        <w:t xml:space="preserve">will cause a </w:t>
      </w:r>
      <w:r w:rsidRPr="00993162">
        <w:t>risk</w:t>
      </w:r>
      <w:r w:rsidR="00891283">
        <w:t xml:space="preserve"> of </w:t>
      </w:r>
      <w:r w:rsidRPr="00993162">
        <w:t>not collecting adequ</w:t>
      </w:r>
      <w:r w:rsidR="00F405D8">
        <w:t xml:space="preserve">ate information </w:t>
      </w:r>
      <w:r w:rsidR="00891283">
        <w:t>to understand the pros and cons of the models developed by the grantees and consequently will limit the utility of the study to AHRQ and other users.</w:t>
      </w:r>
    </w:p>
    <w:p w:rsidR="009B633D" w:rsidP="009B633D" w:rsidRDefault="009B633D" w14:paraId="1567C537" w14:textId="56F45173">
      <w:pPr>
        <w:pStyle w:val="Heading2"/>
        <w:rPr>
          <w:sz w:val="24"/>
        </w:rPr>
      </w:pPr>
      <w:bookmarkStart w:name="_Toc44596532" w:id="23"/>
      <w:r w:rsidRPr="00412C6F">
        <w:rPr>
          <w:sz w:val="24"/>
        </w:rPr>
        <w:lastRenderedPageBreak/>
        <w:t>7. Special Circumstances</w:t>
      </w:r>
      <w:bookmarkEnd w:id="21"/>
      <w:bookmarkEnd w:id="22"/>
      <w:bookmarkEnd w:id="23"/>
    </w:p>
    <w:p w:rsidR="00B47636" w:rsidP="009B633D" w:rsidRDefault="009B633D" w14:paraId="1EF2531E" w14:textId="562511AD">
      <w:pPr>
        <w:spacing w:before="120"/>
      </w:pPr>
      <w:r w:rsidRPr="004F03D2">
        <w:t>This request is consistent with the general information collection guid</w:t>
      </w:r>
      <w:r>
        <w:t>elines of 5 CFR 1320.5(d</w:t>
      </w:r>
      <w:proofErr w:type="gramStart"/>
      <w:r>
        <w:t>)(</w:t>
      </w:r>
      <w:proofErr w:type="gramEnd"/>
      <w:r>
        <w:t>2).  No special circumstances apply.</w:t>
      </w:r>
    </w:p>
    <w:p w:rsidR="004E3A1B" w:rsidP="004E3A1B" w:rsidRDefault="009B633D" w14:paraId="768C9017" w14:textId="037DB2BC">
      <w:pPr>
        <w:pStyle w:val="Heading2"/>
        <w:rPr>
          <w:sz w:val="24"/>
          <w:szCs w:val="24"/>
        </w:rPr>
      </w:pPr>
      <w:bookmarkStart w:name="_Toc151782183" w:id="24"/>
      <w:bookmarkStart w:name="_Toc158526223" w:id="25"/>
      <w:bookmarkStart w:name="_Toc44596533" w:id="26"/>
      <w:r w:rsidRPr="00412C6F">
        <w:rPr>
          <w:sz w:val="24"/>
        </w:rPr>
        <w:t>8.</w:t>
      </w:r>
      <w:r w:rsidRPr="004E3A1B">
        <w:rPr>
          <w:sz w:val="24"/>
          <w:szCs w:val="24"/>
        </w:rPr>
        <w:t xml:space="preserve"> </w:t>
      </w:r>
      <w:bookmarkEnd w:id="24"/>
      <w:bookmarkEnd w:id="25"/>
      <w:r w:rsidRPr="004E3A1B" w:rsidR="004E3A1B">
        <w:rPr>
          <w:sz w:val="24"/>
          <w:szCs w:val="24"/>
        </w:rPr>
        <w:t>Federal Register Notice and Outside Consultations</w:t>
      </w:r>
      <w:bookmarkEnd w:id="26"/>
    </w:p>
    <w:p w:rsidR="004E3A1B" w:rsidP="004E3A1B" w:rsidRDefault="004E3A1B" w14:paraId="0980C33C" w14:textId="77777777"/>
    <w:p w:rsidR="00131443" w:rsidP="004E3A1B" w:rsidRDefault="004E3A1B" w14:paraId="2BCE9875" w14:textId="77777777">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Pr="007C1ECB" w:rsidR="007C1ECB" w:rsidP="004E3A1B" w:rsidRDefault="007C1ECB" w14:paraId="2FBB9B2B" w14:textId="77777777"/>
    <w:p w:rsidRPr="004E3A1B" w:rsidR="004E3A1B" w:rsidP="004E3A1B" w:rsidRDefault="007B6854" w14:paraId="4B3C9238" w14:textId="67CBF236">
      <w:bookmarkStart w:name="OLE_LINK3" w:id="27"/>
      <w:bookmarkStart w:name="OLE_LINK4" w:id="28"/>
      <w:r>
        <w:t>As required by 5 CFR 1320.8(d), n</w:t>
      </w:r>
      <w:r w:rsidRPr="007B4120">
        <w:t>otice was published in the Federal Register on</w:t>
      </w:r>
      <w:r w:rsidR="00DA5815">
        <w:t xml:space="preserve">    August 5</w:t>
      </w:r>
      <w:r w:rsidRPr="00DA5815" w:rsidR="00DA5815">
        <w:rPr>
          <w:vertAlign w:val="superscript"/>
        </w:rPr>
        <w:t>th</w:t>
      </w:r>
      <w:r w:rsidR="00DA5815">
        <w:t>, 2020</w:t>
      </w:r>
      <w:r w:rsidRPr="003B7273">
        <w:t xml:space="preserve"> </w:t>
      </w:r>
      <w:r w:rsidRPr="007B4120">
        <w:t>for 60 days</w:t>
      </w:r>
      <w:r>
        <w:t xml:space="preserve"> </w:t>
      </w:r>
      <w:r w:rsidR="00DA5815">
        <w:t xml:space="preserve">on Page 47374, Volume 85, and Number 152.                          </w:t>
      </w:r>
      <w:r>
        <w:t>(</w:t>
      </w:r>
      <w:proofErr w:type="gramStart"/>
      <w:r w:rsidRPr="001A1C0D">
        <w:t>see</w:t>
      </w:r>
      <w:proofErr w:type="gramEnd"/>
      <w:r w:rsidRPr="001A1C0D">
        <w:t xml:space="preserve"> Attachment </w:t>
      </w:r>
      <w:r w:rsidR="00482DD4">
        <w:t>G</w:t>
      </w:r>
      <w:r>
        <w:t xml:space="preserve">). </w:t>
      </w:r>
      <w:r w:rsidRPr="00DA5815">
        <w:t>AHRQ received no substantive comments</w:t>
      </w:r>
      <w:r w:rsidRPr="00DA5815" w:rsidR="00B6131F">
        <w:t>.</w:t>
      </w:r>
      <w:r w:rsidDel="007B6854">
        <w:t xml:space="preserve"> </w:t>
      </w:r>
      <w:bookmarkStart w:name="_GoBack" w:id="29"/>
      <w:bookmarkEnd w:id="27"/>
      <w:bookmarkEnd w:id="28"/>
      <w:bookmarkEnd w:id="29"/>
    </w:p>
    <w:p w:rsidRPr="00BD6DC8" w:rsidR="009B633D" w:rsidP="009B633D" w:rsidRDefault="004E3A1B" w14:paraId="6DC240C3" w14:textId="22E8D6F5">
      <w:pPr>
        <w:pStyle w:val="Heading2"/>
        <w:rPr>
          <w:sz w:val="24"/>
          <w:szCs w:val="24"/>
        </w:rPr>
      </w:pPr>
      <w:bookmarkStart w:name="_Toc44596534" w:id="30"/>
      <w:proofErr w:type="gramStart"/>
      <w:r w:rsidRPr="00BD6DC8">
        <w:rPr>
          <w:sz w:val="24"/>
        </w:rPr>
        <w:t>8.b</w:t>
      </w:r>
      <w:proofErr w:type="gramEnd"/>
      <w:r w:rsidRPr="00BD6DC8">
        <w:rPr>
          <w:sz w:val="24"/>
        </w:rPr>
        <w:t xml:space="preserve">.  </w:t>
      </w:r>
      <w:r w:rsidRPr="00BD6DC8">
        <w:rPr>
          <w:sz w:val="24"/>
          <w:szCs w:val="24"/>
        </w:rPr>
        <w:t>Outside Consultations</w:t>
      </w:r>
      <w:bookmarkEnd w:id="30"/>
    </w:p>
    <w:p w:rsidRPr="00BD6DC8" w:rsidR="00BD6DC8" w:rsidP="00BD6DC8" w:rsidRDefault="00BD6DC8" w14:paraId="7FE8B8C0" w14:textId="59560310">
      <w:pPr>
        <w:rPr>
          <w:highlight w:val="yellow"/>
        </w:rPr>
      </w:pPr>
      <w:r>
        <w:t xml:space="preserve">There are no outside consultants being used </w:t>
      </w:r>
    </w:p>
    <w:p w:rsidRPr="0038217D" w:rsidR="0038217D" w:rsidP="0038217D" w:rsidRDefault="009B633D" w14:paraId="2EFCFDC8" w14:textId="01D92D50">
      <w:pPr>
        <w:pStyle w:val="Heading2"/>
        <w:rPr>
          <w:sz w:val="24"/>
        </w:rPr>
      </w:pPr>
      <w:bookmarkStart w:name="_Toc457285506" w:id="31"/>
      <w:bookmarkStart w:name="_Toc58725294" w:id="32"/>
      <w:bookmarkStart w:name="_Toc151782184" w:id="33"/>
      <w:bookmarkStart w:name="_Toc158526224" w:id="34"/>
      <w:bookmarkStart w:name="_Toc44596535" w:id="35"/>
      <w:r w:rsidRPr="00F1219D">
        <w:t>9. Payments/Gifts to Respondents</w:t>
      </w:r>
      <w:bookmarkEnd w:id="31"/>
      <w:bookmarkEnd w:id="32"/>
      <w:bookmarkEnd w:id="33"/>
      <w:bookmarkEnd w:id="34"/>
      <w:bookmarkEnd w:id="35"/>
    </w:p>
    <w:p w:rsidRPr="00825DA9" w:rsidR="00B915F1" w:rsidP="00B87A7C" w:rsidRDefault="00B6131F" w14:paraId="27EADF43" w14:textId="63F290F8">
      <w:pPr>
        <w:pStyle w:val="BodyText"/>
      </w:pPr>
      <w:r>
        <w:t xml:space="preserve">No payments or gifts will be offered to respondents. </w:t>
      </w:r>
    </w:p>
    <w:p w:rsidRPr="00412C6F" w:rsidR="009B633D" w:rsidP="009B633D" w:rsidRDefault="009B633D" w14:paraId="7883C2D6" w14:textId="397A1515">
      <w:pPr>
        <w:pStyle w:val="Heading2"/>
        <w:rPr>
          <w:sz w:val="24"/>
        </w:rPr>
      </w:pPr>
      <w:bookmarkStart w:name="_Toc151782185" w:id="36"/>
      <w:bookmarkStart w:name="_Toc158526225" w:id="37"/>
      <w:bookmarkStart w:name="_Toc44596536" w:id="38"/>
      <w:r w:rsidRPr="00412C6F">
        <w:rPr>
          <w:sz w:val="24"/>
        </w:rPr>
        <w:t>10. Assurance of Confidentiality</w:t>
      </w:r>
      <w:bookmarkEnd w:id="36"/>
      <w:bookmarkEnd w:id="37"/>
      <w:bookmarkEnd w:id="38"/>
    </w:p>
    <w:p w:rsidRPr="005B2955" w:rsidR="007208E0" w:rsidP="00B87A7C" w:rsidRDefault="00012921" w14:paraId="4CFD6918" w14:textId="4D390CBD">
      <w:pPr>
        <w:autoSpaceDE w:val="0"/>
        <w:autoSpaceDN w:val="0"/>
        <w:adjustRightInd w:val="0"/>
        <w:rPr>
          <w:i/>
        </w:rPr>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w:t>
      </w:r>
      <w:r w:rsidR="008F0B8B">
        <w:t xml:space="preserve"> </w:t>
      </w:r>
    </w:p>
    <w:p w:rsidRPr="003423E7" w:rsidR="000A4745" w:rsidRDefault="008C1DAC" w14:paraId="2FC752F7" w14:textId="5E204DF6">
      <w:pPr>
        <w:pStyle w:val="Heading2"/>
        <w:rPr>
          <w:sz w:val="24"/>
        </w:rPr>
      </w:pPr>
      <w:bookmarkStart w:name="_Toc151782186" w:id="39"/>
      <w:bookmarkStart w:name="_Toc158526226" w:id="40"/>
      <w:bookmarkStart w:name="_Toc44596537" w:id="41"/>
      <w:r>
        <w:rPr>
          <w:sz w:val="24"/>
        </w:rPr>
        <w:t xml:space="preserve">11. </w:t>
      </w:r>
      <w:r w:rsidRPr="003423E7" w:rsidR="009B633D">
        <w:rPr>
          <w:sz w:val="24"/>
        </w:rPr>
        <w:t>Questions of a Sensitive Nature</w:t>
      </w:r>
      <w:bookmarkEnd w:id="39"/>
      <w:bookmarkEnd w:id="40"/>
      <w:bookmarkEnd w:id="41"/>
    </w:p>
    <w:p w:rsidR="00BB7136" w:rsidP="00ED0EBB" w:rsidRDefault="0089365B" w14:paraId="6458BB0F" w14:textId="5DAD0AD1">
      <w:pPr>
        <w:rPr>
          <w:i/>
        </w:rPr>
      </w:pPr>
      <w:r>
        <w:rPr>
          <w:spacing w:val="6"/>
        </w:rPr>
        <w:t xml:space="preserve">The </w:t>
      </w:r>
      <w:r w:rsidR="00A54685">
        <w:rPr>
          <w:spacing w:val="6"/>
        </w:rPr>
        <w:t>information</w:t>
      </w:r>
      <w:r>
        <w:rPr>
          <w:spacing w:val="6"/>
        </w:rPr>
        <w:t xml:space="preserve"> collection protocols do not contain any questions concerning political affiliations and attitudes; respondents’ mental or psychological problems; illegal, antisocial, self-incriminating or demeaning behavior; critical appraisals of other individuals with whom respondents have close relationships; </w:t>
      </w:r>
      <w:r w:rsidR="0033343C">
        <w:rPr>
          <w:spacing w:val="6"/>
        </w:rPr>
        <w:t>legally privileged relationships; or records describing how an individual exercises First Amendment rights. Nor do they contain questions related to</w:t>
      </w:r>
      <w:r>
        <w:rPr>
          <w:spacing w:val="6"/>
        </w:rPr>
        <w:t xml:space="preserve"> sexual behavior and </w:t>
      </w:r>
      <w:r>
        <w:rPr>
          <w:spacing w:val="4"/>
        </w:rPr>
        <w:t xml:space="preserve">attitudes, religious beliefs, income or proprietary business information. However, </w:t>
      </w:r>
      <w:r w:rsidR="00B6131F">
        <w:rPr>
          <w:spacing w:val="4"/>
        </w:rPr>
        <w:t xml:space="preserve">interviews </w:t>
      </w:r>
      <w:r>
        <w:rPr>
          <w:spacing w:val="4"/>
        </w:rPr>
        <w:t>may elicit information that reflects</w:t>
      </w:r>
      <w:r w:rsidR="0033343C">
        <w:rPr>
          <w:spacing w:val="4"/>
        </w:rPr>
        <w:t xml:space="preserve"> negatively on staff or organization</w:t>
      </w:r>
      <w:r>
        <w:rPr>
          <w:spacing w:val="4"/>
        </w:rPr>
        <w:t xml:space="preserve"> </w:t>
      </w:r>
      <w:r w:rsidR="0033343C">
        <w:rPr>
          <w:spacing w:val="4"/>
        </w:rPr>
        <w:t>performance</w:t>
      </w:r>
      <w:r>
        <w:rPr>
          <w:spacing w:val="4"/>
        </w:rPr>
        <w:t xml:space="preserve">. </w:t>
      </w:r>
      <w:r>
        <w:rPr>
          <w:spacing w:val="6"/>
        </w:rPr>
        <w:t xml:space="preserve">Respondents will be explicitly informed that their participation is </w:t>
      </w:r>
      <w:r>
        <w:rPr>
          <w:spacing w:val="4"/>
        </w:rPr>
        <w:t>voluntary, information they provide is confidential to the extent provided by law, and they may choose to withdraw from the study or not respond to specific items without penalty.</w:t>
      </w:r>
      <w:r w:rsidR="00B6131F">
        <w:rPr>
          <w:spacing w:val="4"/>
        </w:rPr>
        <w:t xml:space="preserve"> </w:t>
      </w:r>
    </w:p>
    <w:p w:rsidRPr="00412C6F" w:rsidR="009B633D" w:rsidP="009B633D" w:rsidRDefault="009B633D" w14:paraId="3B0D1866" w14:textId="247512E5">
      <w:pPr>
        <w:pStyle w:val="Heading2"/>
        <w:rPr>
          <w:sz w:val="24"/>
        </w:rPr>
      </w:pPr>
      <w:bookmarkStart w:name="_Toc151782187" w:id="42"/>
      <w:bookmarkStart w:name="_Toc158526227" w:id="43"/>
      <w:bookmarkStart w:name="_Toc44596538" w:id="44"/>
      <w:r w:rsidRPr="00917755">
        <w:rPr>
          <w:sz w:val="24"/>
        </w:rPr>
        <w:t>12. Estimates of Annualized Burden Hours and Costs</w:t>
      </w:r>
      <w:bookmarkEnd w:id="42"/>
      <w:bookmarkEnd w:id="43"/>
      <w:bookmarkEnd w:id="44"/>
    </w:p>
    <w:p w:rsidR="00A36311" w:rsidP="00F94F66" w:rsidRDefault="00565818" w14:paraId="4B385A06" w14:textId="27FB3C24">
      <w:pPr>
        <w:rPr>
          <w:spacing w:val="6"/>
        </w:rPr>
      </w:pPr>
      <w:r>
        <w:t>Table 4</w:t>
      </w:r>
      <w:r w:rsidRPr="00B6114A" w:rsidR="0033343C">
        <w:t xml:space="preserve"> presents estimates of the reporting burden hours for the </w:t>
      </w:r>
      <w:r w:rsidR="00E057E5">
        <w:t>information</w:t>
      </w:r>
      <w:r w:rsidRPr="00993162" w:rsidR="00E057E5">
        <w:t xml:space="preserve"> </w:t>
      </w:r>
      <w:r w:rsidRPr="00B6114A" w:rsidR="0033343C">
        <w:t xml:space="preserve">collection efforts. </w:t>
      </w:r>
      <w:r w:rsidRPr="00B6114A" w:rsidR="0033343C">
        <w:rPr>
          <w:spacing w:val="6"/>
        </w:rPr>
        <w:t xml:space="preserve">Time estimates are based on </w:t>
      </w:r>
      <w:r w:rsidRPr="00B6114A" w:rsidR="0033343C">
        <w:t>prior experience</w:t>
      </w:r>
      <w:r w:rsidR="0033343C">
        <w:t>s</w:t>
      </w:r>
      <w:r w:rsidRPr="00B6114A" w:rsidR="0033343C">
        <w:t xml:space="preserve"> and what can reasonably be requested of participating </w:t>
      </w:r>
      <w:r w:rsidR="003423E7">
        <w:t>entities</w:t>
      </w:r>
      <w:r w:rsidRPr="00B6114A" w:rsidR="0033343C">
        <w:rPr>
          <w:spacing w:val="6"/>
        </w:rPr>
        <w:t>.</w:t>
      </w:r>
      <w:r w:rsidR="00326263">
        <w:rPr>
          <w:spacing w:val="6"/>
        </w:rPr>
        <w:t xml:space="preserve"> </w:t>
      </w:r>
    </w:p>
    <w:p w:rsidR="00574BA3" w:rsidP="00F94F66" w:rsidRDefault="00574BA3" w14:paraId="32AB9761" w14:textId="77777777">
      <w:pPr>
        <w:rPr>
          <w:spacing w:val="6"/>
        </w:rPr>
      </w:pPr>
    </w:p>
    <w:p w:rsidRPr="008F2AB7" w:rsidR="00574BA3" w:rsidP="00F94F66" w:rsidRDefault="00574BA3" w14:paraId="7BDB41F8" w14:textId="522C692C">
      <w:pPr>
        <w:rPr>
          <w:spacing w:val="6"/>
        </w:rPr>
      </w:pPr>
      <w:r w:rsidRPr="00B87A7C">
        <w:rPr>
          <w:b/>
          <w:spacing w:val="6"/>
        </w:rPr>
        <w:t>Key informant interviews</w:t>
      </w:r>
      <w:r w:rsidR="00A36311">
        <w:rPr>
          <w:b/>
          <w:spacing w:val="6"/>
        </w:rPr>
        <w:t>.</w:t>
      </w:r>
      <w:r w:rsidR="00326263">
        <w:rPr>
          <w:spacing w:val="6"/>
        </w:rPr>
        <w:t xml:space="preserve"> In-depth interviews will be conducted with </w:t>
      </w:r>
      <w:r w:rsidR="00A36311">
        <w:rPr>
          <w:spacing w:val="6"/>
        </w:rPr>
        <w:t>the</w:t>
      </w:r>
      <w:r w:rsidR="00326263">
        <w:rPr>
          <w:spacing w:val="6"/>
        </w:rPr>
        <w:t xml:space="preserve"> total of up to 88 individuals. </w:t>
      </w:r>
      <w:r w:rsidR="00A36311">
        <w:rPr>
          <w:spacing w:val="6"/>
        </w:rPr>
        <w:t xml:space="preserve">Respondents from Grantee and Cooperative leadership and Cooperative partner groups will be interviewed </w:t>
      </w:r>
      <w:r w:rsidR="00351D57">
        <w:rPr>
          <w:spacing w:val="6"/>
        </w:rPr>
        <w:t>every year for three years</w:t>
      </w:r>
      <w:r w:rsidR="00A36311">
        <w:rPr>
          <w:spacing w:val="6"/>
        </w:rPr>
        <w:t xml:space="preserve">. </w:t>
      </w:r>
      <w:r w:rsidR="00A36311">
        <w:rPr>
          <w:spacing w:val="6"/>
        </w:rPr>
        <w:lastRenderedPageBreak/>
        <w:t xml:space="preserve">Respondents from unaffiliated organizations and non-participating practices will be interviewed twice, in years </w:t>
      </w:r>
      <w:r w:rsidRPr="008F2AB7" w:rsidR="00A36311">
        <w:rPr>
          <w:spacing w:val="6"/>
        </w:rPr>
        <w:t xml:space="preserve">2 and 3, and respondents from participating practices once in year 3. </w:t>
      </w:r>
      <w:r w:rsidRPr="008F2AB7" w:rsidR="00351D57">
        <w:rPr>
          <w:spacing w:val="6"/>
        </w:rPr>
        <w:t>The interviews are expected to last for up to 1 hour. The</w:t>
      </w:r>
      <w:r w:rsidRPr="008F2AB7" w:rsidR="00B038B4">
        <w:rPr>
          <w:spacing w:val="6"/>
        </w:rPr>
        <w:t xml:space="preserve"> protocols are included in Attachment</w:t>
      </w:r>
      <w:r w:rsidRPr="008F2AB7" w:rsidR="00BD6DC8">
        <w:rPr>
          <w:spacing w:val="6"/>
        </w:rPr>
        <w:t>s</w:t>
      </w:r>
      <w:r w:rsidRPr="008F2AB7" w:rsidR="00B038B4">
        <w:rPr>
          <w:spacing w:val="6"/>
        </w:rPr>
        <w:t xml:space="preserve"> A</w:t>
      </w:r>
      <w:r w:rsidRPr="008F2AB7" w:rsidR="008F2AB7">
        <w:rPr>
          <w:spacing w:val="6"/>
        </w:rPr>
        <w:t xml:space="preserve"> </w:t>
      </w:r>
      <w:r w:rsidR="00482DD4">
        <w:rPr>
          <w:spacing w:val="6"/>
        </w:rPr>
        <w:t>–</w:t>
      </w:r>
      <w:r w:rsidRPr="008F2AB7" w:rsidR="008F2AB7">
        <w:rPr>
          <w:spacing w:val="6"/>
        </w:rPr>
        <w:t xml:space="preserve"> </w:t>
      </w:r>
      <w:r w:rsidR="00482DD4">
        <w:rPr>
          <w:spacing w:val="6"/>
        </w:rPr>
        <w:t>D</w:t>
      </w:r>
      <w:r w:rsidRPr="008F2AB7" w:rsidR="00B038B4">
        <w:rPr>
          <w:spacing w:val="6"/>
        </w:rPr>
        <w:t>.</w:t>
      </w:r>
    </w:p>
    <w:p w:rsidRPr="008F2AB7" w:rsidR="00A36311" w:rsidP="00F94F66" w:rsidRDefault="00A36311" w14:paraId="681AD079" w14:textId="77777777">
      <w:pPr>
        <w:rPr>
          <w:spacing w:val="6"/>
        </w:rPr>
      </w:pPr>
    </w:p>
    <w:p w:rsidR="00B038B4" w:rsidP="00B038B4" w:rsidRDefault="00A36311" w14:paraId="739B7EC4" w14:textId="168EF994">
      <w:pPr>
        <w:rPr>
          <w:spacing w:val="6"/>
        </w:rPr>
      </w:pPr>
      <w:r w:rsidRPr="008F2AB7">
        <w:rPr>
          <w:b/>
          <w:spacing w:val="6"/>
        </w:rPr>
        <w:t>Member checking sessions.</w:t>
      </w:r>
      <w:r w:rsidRPr="008F2AB7">
        <w:rPr>
          <w:spacing w:val="6"/>
        </w:rPr>
        <w:t xml:space="preserve"> Three member checking sessions will be conducted with the total of up to </w:t>
      </w:r>
      <w:r w:rsidRPr="008F2AB7" w:rsidR="00804C8E">
        <w:rPr>
          <w:spacing w:val="6"/>
        </w:rPr>
        <w:t>36</w:t>
      </w:r>
      <w:r w:rsidRPr="008F2AB7">
        <w:rPr>
          <w:spacing w:val="6"/>
        </w:rPr>
        <w:t xml:space="preserve"> participants. </w:t>
      </w:r>
      <w:r w:rsidRPr="008F2AB7" w:rsidR="00770E47">
        <w:rPr>
          <w:spacing w:val="6"/>
        </w:rPr>
        <w:t xml:space="preserve">Grantee and Cooperative leadership </w:t>
      </w:r>
      <w:r w:rsidRPr="008F2AB7">
        <w:rPr>
          <w:spacing w:val="6"/>
        </w:rPr>
        <w:t>will participate in two sessions</w:t>
      </w:r>
      <w:r w:rsidRPr="008F2AB7" w:rsidR="00770E47">
        <w:rPr>
          <w:spacing w:val="6"/>
        </w:rPr>
        <w:t>,</w:t>
      </w:r>
      <w:r w:rsidRPr="008F2AB7">
        <w:rPr>
          <w:spacing w:val="6"/>
        </w:rPr>
        <w:t xml:space="preserve"> in year 1 and year 3</w:t>
      </w:r>
      <w:r w:rsidRPr="008F2AB7" w:rsidR="00770E47">
        <w:rPr>
          <w:spacing w:val="6"/>
        </w:rPr>
        <w:t xml:space="preserve">, and </w:t>
      </w:r>
      <w:r w:rsidRPr="008F2AB7" w:rsidR="00804C8E">
        <w:rPr>
          <w:spacing w:val="6"/>
        </w:rPr>
        <w:t xml:space="preserve">Cooperative </w:t>
      </w:r>
      <w:r w:rsidRPr="008F2AB7" w:rsidR="00770E47">
        <w:rPr>
          <w:spacing w:val="6"/>
        </w:rPr>
        <w:t>partners only in year 3</w:t>
      </w:r>
      <w:r w:rsidRPr="008F2AB7">
        <w:rPr>
          <w:spacing w:val="6"/>
        </w:rPr>
        <w:t>.</w:t>
      </w:r>
      <w:r w:rsidRPr="008F2AB7" w:rsidR="00770E47">
        <w:rPr>
          <w:spacing w:val="6"/>
        </w:rPr>
        <w:t xml:space="preserve"> The sessions are expected to last </w:t>
      </w:r>
      <w:r w:rsidRPr="008F2AB7" w:rsidR="00351D57">
        <w:rPr>
          <w:spacing w:val="6"/>
        </w:rPr>
        <w:t xml:space="preserve">for </w:t>
      </w:r>
      <w:r w:rsidRPr="008F2AB7" w:rsidR="00770E47">
        <w:rPr>
          <w:spacing w:val="6"/>
        </w:rPr>
        <w:t>up to 1.5 hours.</w:t>
      </w:r>
      <w:r w:rsidRPr="008F2AB7">
        <w:rPr>
          <w:spacing w:val="6"/>
        </w:rPr>
        <w:t xml:space="preserve"> </w:t>
      </w:r>
      <w:r w:rsidRPr="008F2AB7" w:rsidR="00B038B4">
        <w:rPr>
          <w:spacing w:val="6"/>
        </w:rPr>
        <w:t>The protocols are included in Attachment</w:t>
      </w:r>
      <w:r w:rsidRPr="008F2AB7" w:rsidR="008F2AB7">
        <w:rPr>
          <w:spacing w:val="6"/>
        </w:rPr>
        <w:t xml:space="preserve">s </w:t>
      </w:r>
      <w:r w:rsidR="00482DD4">
        <w:rPr>
          <w:spacing w:val="6"/>
        </w:rPr>
        <w:t>E</w:t>
      </w:r>
      <w:r w:rsidRPr="008F2AB7" w:rsidR="008F2AB7">
        <w:rPr>
          <w:spacing w:val="6"/>
        </w:rPr>
        <w:t xml:space="preserve"> and </w:t>
      </w:r>
      <w:r w:rsidR="00482DD4">
        <w:rPr>
          <w:spacing w:val="6"/>
        </w:rPr>
        <w:t>F</w:t>
      </w:r>
      <w:r w:rsidRPr="008F2AB7" w:rsidR="00B038B4">
        <w:rPr>
          <w:spacing w:val="6"/>
        </w:rPr>
        <w:t>.</w:t>
      </w:r>
    </w:p>
    <w:p w:rsidR="00917755" w:rsidP="00B038B4" w:rsidRDefault="00917755" w14:paraId="7835737C" w14:textId="77777777">
      <w:pPr>
        <w:rPr>
          <w:spacing w:val="6"/>
        </w:rPr>
      </w:pPr>
    </w:p>
    <w:p w:rsidRPr="00B6114A" w:rsidR="004A4612" w:rsidP="004A4612" w:rsidRDefault="00565818" w14:paraId="41598CF0" w14:textId="49C8BF78">
      <w:r>
        <w:rPr>
          <w:b/>
        </w:rPr>
        <w:t xml:space="preserve">Table </w:t>
      </w:r>
      <w:r w:rsidR="00202A17">
        <w:rPr>
          <w:b/>
        </w:rPr>
        <w:t>3</w:t>
      </w:r>
      <w:r>
        <w:rPr>
          <w:b/>
        </w:rPr>
        <w:t xml:space="preserve">. </w:t>
      </w:r>
      <w:r w:rsidRPr="00B6114A" w:rsidR="004A4612">
        <w:rPr>
          <w:b/>
          <w:bCs/>
          <w:color w:val="000000"/>
        </w:rPr>
        <w:t>Estimated annualized burden hours</w:t>
      </w:r>
    </w:p>
    <w:tbl>
      <w:tblPr>
        <w:tblStyle w:val="TableGrid2"/>
        <w:tblW w:w="9360" w:type="dxa"/>
        <w:tblLayout w:type="fixed"/>
        <w:tblLook w:val="0000" w:firstRow="0" w:lastRow="0" w:firstColumn="0" w:lastColumn="0" w:noHBand="0" w:noVBand="0"/>
      </w:tblPr>
      <w:tblGrid>
        <w:gridCol w:w="3842"/>
        <w:gridCol w:w="1530"/>
        <w:gridCol w:w="1620"/>
        <w:gridCol w:w="1170"/>
        <w:gridCol w:w="1198"/>
      </w:tblGrid>
      <w:tr w:rsidRPr="00B6114A" w:rsidR="00E363B4" w:rsidTr="00B87A7C" w14:paraId="59DF5BD0" w14:textId="77777777">
        <w:trPr>
          <w:trHeight w:val="1151"/>
        </w:trPr>
        <w:tc>
          <w:tcPr>
            <w:tcW w:w="3842" w:type="dxa"/>
          </w:tcPr>
          <w:p w:rsidRPr="00A5413E" w:rsidR="004A4612" w:rsidP="00375E6A" w:rsidRDefault="004A4612" w14:paraId="2380ACE1" w14:textId="77777777">
            <w:pPr>
              <w:jc w:val="center"/>
              <w:rPr>
                <w:b/>
              </w:rPr>
            </w:pPr>
            <w:r w:rsidRPr="00A5413E">
              <w:rPr>
                <w:b/>
              </w:rPr>
              <w:t>Data Collection Method or Project Activity</w:t>
            </w:r>
          </w:p>
        </w:tc>
        <w:tc>
          <w:tcPr>
            <w:tcW w:w="1530" w:type="dxa"/>
          </w:tcPr>
          <w:p w:rsidRPr="00A5413E" w:rsidR="004A4612" w:rsidP="00375E6A" w:rsidRDefault="004A4612" w14:paraId="1A74F77A" w14:textId="77777777">
            <w:pPr>
              <w:jc w:val="center"/>
              <w:rPr>
                <w:b/>
                <w:color w:val="000000"/>
              </w:rPr>
            </w:pPr>
            <w:r w:rsidRPr="00A5413E">
              <w:rPr>
                <w:b/>
                <w:color w:val="000000"/>
              </w:rPr>
              <w:t>A.</w:t>
            </w:r>
          </w:p>
          <w:p w:rsidRPr="00A5413E" w:rsidR="004A4612" w:rsidP="00375E6A" w:rsidRDefault="004A4612" w14:paraId="1446BE97" w14:textId="77777777">
            <w:pPr>
              <w:jc w:val="center"/>
              <w:rPr>
                <w:b/>
              </w:rPr>
            </w:pPr>
            <w:r w:rsidRPr="00A5413E">
              <w:rPr>
                <w:b/>
                <w:color w:val="000000"/>
              </w:rPr>
              <w:t>Number of respondents</w:t>
            </w:r>
          </w:p>
        </w:tc>
        <w:tc>
          <w:tcPr>
            <w:tcW w:w="1620" w:type="dxa"/>
          </w:tcPr>
          <w:p w:rsidRPr="00A5413E" w:rsidR="004A4612" w:rsidP="00375E6A" w:rsidRDefault="004A4612" w14:paraId="211DB3AD" w14:textId="77777777">
            <w:pPr>
              <w:jc w:val="center"/>
              <w:rPr>
                <w:b/>
              </w:rPr>
            </w:pPr>
            <w:r w:rsidRPr="00A5413E">
              <w:rPr>
                <w:b/>
              </w:rPr>
              <w:t>B.</w:t>
            </w:r>
          </w:p>
          <w:p w:rsidRPr="00A5413E" w:rsidR="004A4612" w:rsidP="00375E6A" w:rsidRDefault="004A4612" w14:paraId="0B82C2C0" w14:textId="77777777">
            <w:pPr>
              <w:jc w:val="center"/>
              <w:rPr>
                <w:b/>
              </w:rPr>
            </w:pPr>
            <w:r w:rsidRPr="00A5413E">
              <w:rPr>
                <w:b/>
              </w:rPr>
              <w:t>Number of responses per respondent</w:t>
            </w:r>
          </w:p>
        </w:tc>
        <w:tc>
          <w:tcPr>
            <w:tcW w:w="1170" w:type="dxa"/>
          </w:tcPr>
          <w:p w:rsidRPr="00A5413E" w:rsidR="004A4612" w:rsidP="00375E6A" w:rsidRDefault="004A4612" w14:paraId="3275FD7E" w14:textId="77777777">
            <w:pPr>
              <w:jc w:val="center"/>
              <w:rPr>
                <w:b/>
                <w:color w:val="000000"/>
              </w:rPr>
            </w:pPr>
            <w:r w:rsidRPr="00A5413E">
              <w:rPr>
                <w:b/>
                <w:color w:val="000000"/>
              </w:rPr>
              <w:t>C.</w:t>
            </w:r>
          </w:p>
          <w:p w:rsidRPr="00A5413E" w:rsidR="004A4612" w:rsidP="00375E6A" w:rsidRDefault="004A4612" w14:paraId="738A9806" w14:textId="77777777">
            <w:pPr>
              <w:jc w:val="center"/>
              <w:rPr>
                <w:b/>
              </w:rPr>
            </w:pPr>
            <w:r w:rsidRPr="00A5413E">
              <w:rPr>
                <w:b/>
                <w:color w:val="000000"/>
              </w:rPr>
              <w:t>Hours per response</w:t>
            </w:r>
          </w:p>
        </w:tc>
        <w:tc>
          <w:tcPr>
            <w:tcW w:w="1198" w:type="dxa"/>
          </w:tcPr>
          <w:p w:rsidRPr="00A5413E" w:rsidR="004A4612" w:rsidP="00375E6A" w:rsidRDefault="004A4612" w14:paraId="6D2537A9" w14:textId="77777777">
            <w:pPr>
              <w:jc w:val="center"/>
              <w:rPr>
                <w:b/>
                <w:color w:val="000000"/>
              </w:rPr>
            </w:pPr>
            <w:r w:rsidRPr="00A5413E">
              <w:rPr>
                <w:b/>
                <w:color w:val="000000"/>
              </w:rPr>
              <w:t>D.</w:t>
            </w:r>
          </w:p>
          <w:p w:rsidR="004A4612" w:rsidP="00375E6A" w:rsidRDefault="004A4612" w14:paraId="02E35298" w14:textId="77777777">
            <w:pPr>
              <w:jc w:val="center"/>
              <w:rPr>
                <w:b/>
                <w:color w:val="000000"/>
              </w:rPr>
            </w:pPr>
            <w:r w:rsidRPr="00A5413E">
              <w:rPr>
                <w:b/>
                <w:color w:val="000000"/>
              </w:rPr>
              <w:t>Total burden hours</w:t>
            </w:r>
          </w:p>
          <w:p w:rsidRPr="00A5413E" w:rsidR="007A66D5" w:rsidP="00375E6A" w:rsidRDefault="007A66D5" w14:paraId="47D53858" w14:textId="65E45015">
            <w:pPr>
              <w:jc w:val="center"/>
              <w:rPr>
                <w:b/>
              </w:rPr>
            </w:pPr>
            <w:r>
              <w:rPr>
                <w:b/>
                <w:color w:val="000000"/>
              </w:rPr>
              <w:t>A*B*C</w:t>
            </w:r>
          </w:p>
        </w:tc>
      </w:tr>
      <w:tr w:rsidRPr="00B6114A" w:rsidR="00BD6DC8" w:rsidTr="00B87A7C" w14:paraId="54051C64" w14:textId="77777777">
        <w:trPr>
          <w:trHeight w:val="232"/>
        </w:trPr>
        <w:tc>
          <w:tcPr>
            <w:tcW w:w="3842" w:type="dxa"/>
          </w:tcPr>
          <w:p w:rsidRPr="00BD6DC8" w:rsidR="00BD6DC8" w:rsidP="00CA6762" w:rsidRDefault="00BD6DC8" w14:paraId="696121D4" w14:textId="130CD6FA">
            <w:pPr>
              <w:rPr>
                <w:b/>
                <w:sz w:val="22"/>
                <w:szCs w:val="22"/>
              </w:rPr>
            </w:pPr>
            <w:r w:rsidRPr="00BD6DC8">
              <w:rPr>
                <w:b/>
                <w:sz w:val="22"/>
                <w:szCs w:val="22"/>
              </w:rPr>
              <w:t>Key Informant Interviews</w:t>
            </w:r>
          </w:p>
        </w:tc>
        <w:tc>
          <w:tcPr>
            <w:tcW w:w="1530" w:type="dxa"/>
          </w:tcPr>
          <w:p w:rsidR="00BD6DC8" w:rsidP="00CA6762" w:rsidRDefault="00BD6DC8" w14:paraId="4E5BB15C" w14:textId="77777777"/>
        </w:tc>
        <w:tc>
          <w:tcPr>
            <w:tcW w:w="1620" w:type="dxa"/>
          </w:tcPr>
          <w:p w:rsidR="00BD6DC8" w:rsidP="00CA6762" w:rsidRDefault="00BD6DC8" w14:paraId="2EAFED1E" w14:textId="77777777"/>
        </w:tc>
        <w:tc>
          <w:tcPr>
            <w:tcW w:w="1170" w:type="dxa"/>
          </w:tcPr>
          <w:p w:rsidR="00BD6DC8" w:rsidP="00CA6762" w:rsidRDefault="00BD6DC8" w14:paraId="2E285172" w14:textId="77777777"/>
        </w:tc>
        <w:tc>
          <w:tcPr>
            <w:tcW w:w="1198" w:type="dxa"/>
          </w:tcPr>
          <w:p w:rsidR="00BD6DC8" w:rsidP="00CA6762" w:rsidRDefault="00BD6DC8" w14:paraId="5BC94912" w14:textId="77777777"/>
        </w:tc>
      </w:tr>
      <w:tr w:rsidRPr="00B6114A" w:rsidR="00CA6762" w:rsidTr="00B87A7C" w14:paraId="402AB91B" w14:textId="77777777">
        <w:trPr>
          <w:trHeight w:val="232"/>
        </w:trPr>
        <w:tc>
          <w:tcPr>
            <w:tcW w:w="3842" w:type="dxa"/>
          </w:tcPr>
          <w:p w:rsidR="00CA6762" w:rsidP="00BD6DC8" w:rsidRDefault="00B038B4" w14:paraId="3930FB45" w14:textId="77777777">
            <w:pPr>
              <w:rPr>
                <w:sz w:val="22"/>
                <w:szCs w:val="22"/>
              </w:rPr>
            </w:pPr>
            <w:r w:rsidRPr="00B038B4">
              <w:rPr>
                <w:sz w:val="22"/>
                <w:szCs w:val="22"/>
              </w:rPr>
              <w:t>Grantee leadership</w:t>
            </w:r>
          </w:p>
          <w:p w:rsidRPr="00B87A7C" w:rsidR="00482DD4" w:rsidP="00BD6DC8" w:rsidRDefault="00482DD4" w14:paraId="68D21E37" w14:textId="2065780F">
            <w:pPr>
              <w:rPr>
                <w:sz w:val="22"/>
                <w:szCs w:val="22"/>
              </w:rPr>
            </w:pPr>
            <w:r>
              <w:rPr>
                <w:sz w:val="22"/>
                <w:szCs w:val="22"/>
              </w:rPr>
              <w:t>(Attachment A)</w:t>
            </w:r>
          </w:p>
        </w:tc>
        <w:tc>
          <w:tcPr>
            <w:tcW w:w="1530" w:type="dxa"/>
          </w:tcPr>
          <w:p w:rsidRPr="00A5413E" w:rsidR="00CA6762" w:rsidP="00DE73FC" w:rsidRDefault="00B038B4" w14:paraId="5FDE1426" w14:textId="5F154ED5">
            <w:pPr>
              <w:jc w:val="right"/>
            </w:pPr>
            <w:r>
              <w:t>12</w:t>
            </w:r>
          </w:p>
        </w:tc>
        <w:tc>
          <w:tcPr>
            <w:tcW w:w="1620" w:type="dxa"/>
          </w:tcPr>
          <w:p w:rsidRPr="00A5413E" w:rsidR="00CA6762" w:rsidP="00DE73FC" w:rsidRDefault="00BE0513" w14:paraId="65B7CC6B" w14:textId="4F7E2482">
            <w:pPr>
              <w:jc w:val="right"/>
            </w:pPr>
            <w:r>
              <w:t>3</w:t>
            </w:r>
          </w:p>
        </w:tc>
        <w:tc>
          <w:tcPr>
            <w:tcW w:w="1170" w:type="dxa"/>
          </w:tcPr>
          <w:p w:rsidRPr="00A5413E" w:rsidR="00CA6762" w:rsidP="00DE73FC" w:rsidRDefault="00BE0513" w14:paraId="572A242C" w14:textId="2AD38E49">
            <w:pPr>
              <w:jc w:val="right"/>
            </w:pPr>
            <w:r>
              <w:t>1</w:t>
            </w:r>
          </w:p>
        </w:tc>
        <w:tc>
          <w:tcPr>
            <w:tcW w:w="1198" w:type="dxa"/>
          </w:tcPr>
          <w:p w:rsidRPr="00A5413E" w:rsidR="00CA6762" w:rsidP="00DE73FC" w:rsidRDefault="00BE0513" w14:paraId="06BA9D21" w14:textId="11065CD7">
            <w:pPr>
              <w:jc w:val="right"/>
            </w:pPr>
            <w:r>
              <w:t>36</w:t>
            </w:r>
          </w:p>
        </w:tc>
      </w:tr>
      <w:tr w:rsidRPr="00B6114A" w:rsidR="00BE0513" w:rsidTr="00B87A7C" w14:paraId="5B1457CC" w14:textId="77777777">
        <w:tc>
          <w:tcPr>
            <w:tcW w:w="3842" w:type="dxa"/>
          </w:tcPr>
          <w:p w:rsidR="00BE0513" w:rsidP="00BD6DC8" w:rsidRDefault="00BE0513" w14:paraId="3ED28773" w14:textId="77777777">
            <w:pPr>
              <w:rPr>
                <w:sz w:val="22"/>
                <w:szCs w:val="22"/>
              </w:rPr>
            </w:pPr>
            <w:r w:rsidRPr="00B038B4">
              <w:rPr>
                <w:sz w:val="22"/>
                <w:szCs w:val="22"/>
              </w:rPr>
              <w:t>Cooperative leadership</w:t>
            </w:r>
            <w:r w:rsidRPr="00B87A7C" w:rsidDel="00B038B4">
              <w:rPr>
                <w:sz w:val="22"/>
                <w:szCs w:val="22"/>
              </w:rPr>
              <w:t xml:space="preserve"> </w:t>
            </w:r>
          </w:p>
          <w:p w:rsidRPr="00B87A7C" w:rsidR="00482DD4" w:rsidP="00BD6DC8" w:rsidRDefault="00482DD4" w14:paraId="420C0A8A" w14:textId="4F31C1B9">
            <w:pPr>
              <w:rPr>
                <w:sz w:val="22"/>
                <w:szCs w:val="22"/>
              </w:rPr>
            </w:pPr>
            <w:r>
              <w:rPr>
                <w:sz w:val="22"/>
                <w:szCs w:val="22"/>
              </w:rPr>
              <w:t>(Attachment A)</w:t>
            </w:r>
          </w:p>
        </w:tc>
        <w:tc>
          <w:tcPr>
            <w:tcW w:w="1530" w:type="dxa"/>
          </w:tcPr>
          <w:p w:rsidRPr="00A5413E" w:rsidR="00BE0513" w:rsidP="00DE73FC" w:rsidRDefault="00BE0513" w14:paraId="62FD1FC8" w14:textId="476643DE">
            <w:pPr>
              <w:jc w:val="right"/>
            </w:pPr>
            <w:r>
              <w:t>12</w:t>
            </w:r>
          </w:p>
        </w:tc>
        <w:tc>
          <w:tcPr>
            <w:tcW w:w="1620" w:type="dxa"/>
          </w:tcPr>
          <w:p w:rsidRPr="00A5413E" w:rsidR="00BE0513" w:rsidP="00DE73FC" w:rsidRDefault="00BE0513" w14:paraId="23B918B8" w14:textId="39467377">
            <w:pPr>
              <w:jc w:val="right"/>
            </w:pPr>
            <w:r>
              <w:t>3</w:t>
            </w:r>
          </w:p>
        </w:tc>
        <w:tc>
          <w:tcPr>
            <w:tcW w:w="1170" w:type="dxa"/>
          </w:tcPr>
          <w:p w:rsidRPr="00A5413E" w:rsidR="00BE0513" w:rsidP="00DE73FC" w:rsidRDefault="00BE0513" w14:paraId="0EF61540" w14:textId="5EC87192">
            <w:pPr>
              <w:jc w:val="right"/>
            </w:pPr>
            <w:r>
              <w:t>1</w:t>
            </w:r>
          </w:p>
        </w:tc>
        <w:tc>
          <w:tcPr>
            <w:tcW w:w="1198" w:type="dxa"/>
          </w:tcPr>
          <w:p w:rsidRPr="00A5413E" w:rsidR="00BE0513" w:rsidP="00DE73FC" w:rsidRDefault="00BE0513" w14:paraId="1199F9E4" w14:textId="4AB9E9F8">
            <w:pPr>
              <w:jc w:val="right"/>
            </w:pPr>
            <w:r>
              <w:t>36</w:t>
            </w:r>
          </w:p>
        </w:tc>
      </w:tr>
      <w:tr w:rsidRPr="00B6114A" w:rsidR="00BE0513" w:rsidTr="00B87A7C" w14:paraId="5CE19421" w14:textId="77777777">
        <w:tc>
          <w:tcPr>
            <w:tcW w:w="3842" w:type="dxa"/>
          </w:tcPr>
          <w:p w:rsidR="00BE0513" w:rsidP="00BD6DC8" w:rsidRDefault="00BE0513" w14:paraId="34D7714D" w14:textId="77777777">
            <w:pPr>
              <w:rPr>
                <w:bCs/>
                <w:color w:val="000000"/>
                <w:sz w:val="22"/>
                <w:szCs w:val="22"/>
              </w:rPr>
            </w:pPr>
            <w:r w:rsidRPr="00B038B4">
              <w:rPr>
                <w:sz w:val="22"/>
                <w:szCs w:val="22"/>
              </w:rPr>
              <w:t>Cooperative partners</w:t>
            </w:r>
            <w:r w:rsidRPr="00B87A7C" w:rsidDel="00B038B4">
              <w:rPr>
                <w:bCs/>
                <w:color w:val="000000"/>
                <w:sz w:val="22"/>
                <w:szCs w:val="22"/>
              </w:rPr>
              <w:t xml:space="preserve"> </w:t>
            </w:r>
          </w:p>
          <w:p w:rsidRPr="00B87A7C" w:rsidR="00482DD4" w:rsidP="00BD6DC8" w:rsidRDefault="00482DD4" w14:paraId="36792140" w14:textId="637AE95E">
            <w:pPr>
              <w:rPr>
                <w:bCs/>
                <w:color w:val="000000"/>
                <w:sz w:val="22"/>
                <w:szCs w:val="22"/>
              </w:rPr>
            </w:pPr>
            <w:r>
              <w:rPr>
                <w:bCs/>
                <w:color w:val="000000"/>
                <w:sz w:val="22"/>
                <w:szCs w:val="22"/>
              </w:rPr>
              <w:t>(Attachment B)</w:t>
            </w:r>
          </w:p>
        </w:tc>
        <w:tc>
          <w:tcPr>
            <w:tcW w:w="1530" w:type="dxa"/>
          </w:tcPr>
          <w:p w:rsidRPr="00A5413E" w:rsidR="00BE0513" w:rsidP="00DE73FC" w:rsidRDefault="00BE0513" w14:paraId="5FFD5C8E" w14:textId="3F2F8FCF">
            <w:pPr>
              <w:jc w:val="right"/>
            </w:pPr>
            <w:r>
              <w:t>24</w:t>
            </w:r>
          </w:p>
        </w:tc>
        <w:tc>
          <w:tcPr>
            <w:tcW w:w="1620" w:type="dxa"/>
          </w:tcPr>
          <w:p w:rsidRPr="00A5413E" w:rsidR="00BE0513" w:rsidP="00DE73FC" w:rsidRDefault="00BE0513" w14:paraId="15D4984B" w14:textId="2794F9B3">
            <w:pPr>
              <w:jc w:val="right"/>
            </w:pPr>
            <w:r>
              <w:t>2</w:t>
            </w:r>
            <w:r w:rsidR="00BD20B6">
              <w:t>.5</w:t>
            </w:r>
            <w:r w:rsidRPr="00202A17" w:rsidR="00202A17">
              <w:rPr>
                <w:vertAlign w:val="superscript"/>
              </w:rPr>
              <w:t>*</w:t>
            </w:r>
          </w:p>
        </w:tc>
        <w:tc>
          <w:tcPr>
            <w:tcW w:w="1170" w:type="dxa"/>
          </w:tcPr>
          <w:p w:rsidRPr="00A5413E" w:rsidR="00BE0513" w:rsidP="00DE73FC" w:rsidRDefault="00BE0513" w14:paraId="17E32D85" w14:textId="2DEACD49">
            <w:pPr>
              <w:jc w:val="right"/>
            </w:pPr>
            <w:r>
              <w:t>1</w:t>
            </w:r>
          </w:p>
        </w:tc>
        <w:tc>
          <w:tcPr>
            <w:tcW w:w="1198" w:type="dxa"/>
          </w:tcPr>
          <w:p w:rsidRPr="00A5413E" w:rsidR="00BE0513" w:rsidP="00DE73FC" w:rsidRDefault="00BD20B6" w14:paraId="01560A9B" w14:textId="4681F329">
            <w:pPr>
              <w:jc w:val="right"/>
            </w:pPr>
            <w:r>
              <w:t>60</w:t>
            </w:r>
          </w:p>
        </w:tc>
      </w:tr>
      <w:tr w:rsidRPr="00B6114A" w:rsidR="00BE0513" w:rsidTr="00B87A7C" w14:paraId="29350D2F" w14:textId="77777777">
        <w:tc>
          <w:tcPr>
            <w:tcW w:w="3842" w:type="dxa"/>
          </w:tcPr>
          <w:p w:rsidR="00BE0513" w:rsidP="00BD6DC8" w:rsidRDefault="00BE0513" w14:paraId="64C18D5C" w14:textId="77777777">
            <w:pPr>
              <w:rPr>
                <w:sz w:val="22"/>
                <w:szCs w:val="22"/>
              </w:rPr>
            </w:pPr>
            <w:r w:rsidRPr="00B038B4">
              <w:rPr>
                <w:sz w:val="22"/>
                <w:szCs w:val="22"/>
              </w:rPr>
              <w:t xml:space="preserve">Unaffiliated organizations </w:t>
            </w:r>
          </w:p>
          <w:p w:rsidRPr="00B87A7C" w:rsidR="00482DD4" w:rsidP="00BD6DC8" w:rsidRDefault="00482DD4" w14:paraId="54FC9C31" w14:textId="2808F92E">
            <w:pPr>
              <w:rPr>
                <w:bCs/>
                <w:color w:val="000000"/>
                <w:sz w:val="22"/>
                <w:szCs w:val="22"/>
              </w:rPr>
            </w:pPr>
            <w:r>
              <w:rPr>
                <w:sz w:val="22"/>
                <w:szCs w:val="22"/>
              </w:rPr>
              <w:t>(Attachment C)</w:t>
            </w:r>
          </w:p>
        </w:tc>
        <w:tc>
          <w:tcPr>
            <w:tcW w:w="1530" w:type="dxa"/>
          </w:tcPr>
          <w:p w:rsidR="00BE0513" w:rsidP="00DE73FC" w:rsidRDefault="00BE0513" w14:paraId="7A00DFCF" w14:textId="36DCBEF1">
            <w:pPr>
              <w:jc w:val="right"/>
            </w:pPr>
            <w:r>
              <w:t>12</w:t>
            </w:r>
          </w:p>
        </w:tc>
        <w:tc>
          <w:tcPr>
            <w:tcW w:w="1620" w:type="dxa"/>
          </w:tcPr>
          <w:p w:rsidR="00BE0513" w:rsidP="00DE73FC" w:rsidRDefault="00BE0513" w14:paraId="0E970A81" w14:textId="4D95F1DA">
            <w:pPr>
              <w:jc w:val="right"/>
            </w:pPr>
            <w:r>
              <w:t>2</w:t>
            </w:r>
          </w:p>
        </w:tc>
        <w:tc>
          <w:tcPr>
            <w:tcW w:w="1170" w:type="dxa"/>
          </w:tcPr>
          <w:p w:rsidRPr="00A5413E" w:rsidR="00BE0513" w:rsidP="00DE73FC" w:rsidRDefault="00BE0513" w14:paraId="537AA58B" w14:textId="0C6C0AEB">
            <w:pPr>
              <w:jc w:val="right"/>
            </w:pPr>
            <w:r>
              <w:t>1</w:t>
            </w:r>
          </w:p>
        </w:tc>
        <w:tc>
          <w:tcPr>
            <w:tcW w:w="1198" w:type="dxa"/>
          </w:tcPr>
          <w:p w:rsidR="00BE0513" w:rsidP="00DE73FC" w:rsidRDefault="00BE0513" w14:paraId="232DA58E" w14:textId="27EBA13B">
            <w:pPr>
              <w:jc w:val="right"/>
            </w:pPr>
            <w:r>
              <w:t>24</w:t>
            </w:r>
          </w:p>
        </w:tc>
      </w:tr>
      <w:tr w:rsidRPr="00B6114A" w:rsidR="00135159" w:rsidTr="00B87A7C" w14:paraId="1B40EA06" w14:textId="77777777">
        <w:tc>
          <w:tcPr>
            <w:tcW w:w="3842" w:type="dxa"/>
          </w:tcPr>
          <w:p w:rsidR="00135159" w:rsidP="00135159" w:rsidRDefault="00135159" w14:paraId="05B8003C" w14:textId="77777777">
            <w:pPr>
              <w:rPr>
                <w:sz w:val="22"/>
                <w:szCs w:val="22"/>
              </w:rPr>
            </w:pPr>
            <w:r>
              <w:rPr>
                <w:sz w:val="22"/>
                <w:szCs w:val="22"/>
              </w:rPr>
              <w:t xml:space="preserve">Practices in network not </w:t>
            </w:r>
            <w:r w:rsidRPr="00B87A7C">
              <w:rPr>
                <w:sz w:val="22"/>
                <w:szCs w:val="22"/>
              </w:rPr>
              <w:t xml:space="preserve">participating </w:t>
            </w:r>
            <w:r>
              <w:rPr>
                <w:sz w:val="22"/>
                <w:szCs w:val="22"/>
              </w:rPr>
              <w:t>in Heart Health QI project</w:t>
            </w:r>
          </w:p>
          <w:p w:rsidRPr="00B87A7C" w:rsidR="00482DD4" w:rsidP="00135159" w:rsidRDefault="00482DD4" w14:paraId="73477A52" w14:textId="6609B5C6">
            <w:pPr>
              <w:rPr>
                <w:bCs/>
                <w:color w:val="000000"/>
                <w:sz w:val="22"/>
                <w:szCs w:val="22"/>
              </w:rPr>
            </w:pPr>
            <w:r>
              <w:rPr>
                <w:sz w:val="22"/>
                <w:szCs w:val="22"/>
              </w:rPr>
              <w:t>(Attachment D)</w:t>
            </w:r>
          </w:p>
        </w:tc>
        <w:tc>
          <w:tcPr>
            <w:tcW w:w="1530" w:type="dxa"/>
          </w:tcPr>
          <w:p w:rsidRPr="00A5413E" w:rsidR="00135159" w:rsidP="00DE73FC" w:rsidRDefault="00135159" w14:paraId="182C891D" w14:textId="1279DA84">
            <w:pPr>
              <w:jc w:val="right"/>
            </w:pPr>
            <w:r>
              <w:t>8</w:t>
            </w:r>
          </w:p>
        </w:tc>
        <w:tc>
          <w:tcPr>
            <w:tcW w:w="1620" w:type="dxa"/>
          </w:tcPr>
          <w:p w:rsidRPr="00A5413E" w:rsidR="00135159" w:rsidP="00DE73FC" w:rsidRDefault="00135159" w14:paraId="7F94D19B" w14:textId="67C0BAFD">
            <w:pPr>
              <w:jc w:val="right"/>
            </w:pPr>
            <w:r>
              <w:t>2</w:t>
            </w:r>
          </w:p>
        </w:tc>
        <w:tc>
          <w:tcPr>
            <w:tcW w:w="1170" w:type="dxa"/>
          </w:tcPr>
          <w:p w:rsidRPr="00A5413E" w:rsidR="00135159" w:rsidP="00DE73FC" w:rsidRDefault="00135159" w14:paraId="0B3A30BB" w14:textId="67D26F39">
            <w:pPr>
              <w:jc w:val="right"/>
            </w:pPr>
            <w:r>
              <w:t>1</w:t>
            </w:r>
          </w:p>
        </w:tc>
        <w:tc>
          <w:tcPr>
            <w:tcW w:w="1198" w:type="dxa"/>
          </w:tcPr>
          <w:p w:rsidRPr="00A5413E" w:rsidR="00135159" w:rsidP="00DE73FC" w:rsidRDefault="00135159" w14:paraId="526C2E81" w14:textId="0F01CC74">
            <w:pPr>
              <w:jc w:val="right"/>
            </w:pPr>
            <w:r>
              <w:t>16</w:t>
            </w:r>
          </w:p>
        </w:tc>
      </w:tr>
      <w:tr w:rsidRPr="00B6114A" w:rsidR="00135159" w:rsidTr="00B87A7C" w14:paraId="7346A887" w14:textId="77777777">
        <w:tc>
          <w:tcPr>
            <w:tcW w:w="3842" w:type="dxa"/>
          </w:tcPr>
          <w:p w:rsidR="00135159" w:rsidP="00135159" w:rsidRDefault="00135159" w14:paraId="7C3776BA" w14:textId="77777777">
            <w:pPr>
              <w:rPr>
                <w:sz w:val="22"/>
                <w:szCs w:val="22"/>
              </w:rPr>
            </w:pPr>
            <w:r>
              <w:rPr>
                <w:sz w:val="22"/>
                <w:szCs w:val="22"/>
              </w:rPr>
              <w:t xml:space="preserve">Practices in network </w:t>
            </w:r>
            <w:r w:rsidRPr="00B87A7C">
              <w:rPr>
                <w:sz w:val="22"/>
                <w:szCs w:val="22"/>
              </w:rPr>
              <w:t xml:space="preserve">participating </w:t>
            </w:r>
            <w:r>
              <w:rPr>
                <w:sz w:val="22"/>
                <w:szCs w:val="22"/>
              </w:rPr>
              <w:t>in Heart Health QI project</w:t>
            </w:r>
          </w:p>
          <w:p w:rsidRPr="00B87A7C" w:rsidR="00482DD4" w:rsidP="00135159" w:rsidRDefault="00482DD4" w14:paraId="245EB5E2" w14:textId="51FE60F6">
            <w:pPr>
              <w:rPr>
                <w:bCs/>
                <w:color w:val="000000"/>
                <w:sz w:val="22"/>
                <w:szCs w:val="22"/>
              </w:rPr>
            </w:pPr>
            <w:r>
              <w:rPr>
                <w:sz w:val="22"/>
                <w:szCs w:val="22"/>
              </w:rPr>
              <w:t>(Attachment D)</w:t>
            </w:r>
          </w:p>
        </w:tc>
        <w:tc>
          <w:tcPr>
            <w:tcW w:w="1530" w:type="dxa"/>
          </w:tcPr>
          <w:p w:rsidRPr="00A5413E" w:rsidR="00135159" w:rsidP="00DE73FC" w:rsidRDefault="00135159" w14:paraId="60746070" w14:textId="692A99E7">
            <w:pPr>
              <w:jc w:val="right"/>
            </w:pPr>
            <w:r>
              <w:t>20</w:t>
            </w:r>
          </w:p>
        </w:tc>
        <w:tc>
          <w:tcPr>
            <w:tcW w:w="1620" w:type="dxa"/>
          </w:tcPr>
          <w:p w:rsidRPr="00A5413E" w:rsidR="00135159" w:rsidP="00DE73FC" w:rsidRDefault="00135159" w14:paraId="6BA49183" w14:textId="141CA483">
            <w:pPr>
              <w:jc w:val="right"/>
            </w:pPr>
            <w:r>
              <w:t>1</w:t>
            </w:r>
            <w:r w:rsidR="0041783C">
              <w:t>.</w:t>
            </w:r>
            <w:r w:rsidR="00843627">
              <w:t>4</w:t>
            </w:r>
            <w:r w:rsidRPr="00202A17" w:rsidR="0041783C">
              <w:rPr>
                <w:vertAlign w:val="superscript"/>
              </w:rPr>
              <w:t>**</w:t>
            </w:r>
          </w:p>
        </w:tc>
        <w:tc>
          <w:tcPr>
            <w:tcW w:w="1170" w:type="dxa"/>
          </w:tcPr>
          <w:p w:rsidRPr="00A5413E" w:rsidR="00135159" w:rsidP="00DE73FC" w:rsidRDefault="00135159" w14:paraId="236F2CDA" w14:textId="39589C83">
            <w:pPr>
              <w:jc w:val="right"/>
            </w:pPr>
            <w:r>
              <w:t>1</w:t>
            </w:r>
          </w:p>
        </w:tc>
        <w:tc>
          <w:tcPr>
            <w:tcW w:w="1198" w:type="dxa"/>
          </w:tcPr>
          <w:p w:rsidRPr="00A5413E" w:rsidR="00135159" w:rsidP="00DE73FC" w:rsidRDefault="00843627" w14:paraId="7B186E26" w14:textId="10F100D7">
            <w:pPr>
              <w:jc w:val="right"/>
            </w:pPr>
            <w:r>
              <w:t>28</w:t>
            </w:r>
          </w:p>
        </w:tc>
      </w:tr>
      <w:tr w:rsidRPr="00B6114A" w:rsidR="00135159" w:rsidTr="00B87A7C" w14:paraId="2125DFFA" w14:textId="77777777">
        <w:tc>
          <w:tcPr>
            <w:tcW w:w="3842" w:type="dxa"/>
          </w:tcPr>
          <w:p w:rsidRPr="00BD6DC8" w:rsidR="00135159" w:rsidP="00135159" w:rsidRDefault="00135159" w14:paraId="2FCEFB73" w14:textId="4DA45A7E">
            <w:pPr>
              <w:rPr>
                <w:b/>
                <w:sz w:val="22"/>
                <w:szCs w:val="22"/>
              </w:rPr>
            </w:pPr>
            <w:r>
              <w:rPr>
                <w:b/>
                <w:sz w:val="22"/>
                <w:szCs w:val="22"/>
              </w:rPr>
              <w:t>Member Checking Sessions</w:t>
            </w:r>
          </w:p>
        </w:tc>
        <w:tc>
          <w:tcPr>
            <w:tcW w:w="1530" w:type="dxa"/>
          </w:tcPr>
          <w:p w:rsidR="00135159" w:rsidP="00DE73FC" w:rsidRDefault="00135159" w14:paraId="329124FF" w14:textId="77777777">
            <w:pPr>
              <w:jc w:val="right"/>
            </w:pPr>
          </w:p>
        </w:tc>
        <w:tc>
          <w:tcPr>
            <w:tcW w:w="1620" w:type="dxa"/>
          </w:tcPr>
          <w:p w:rsidR="00135159" w:rsidP="00DE73FC" w:rsidRDefault="00135159" w14:paraId="054529A6" w14:textId="77777777">
            <w:pPr>
              <w:jc w:val="right"/>
            </w:pPr>
          </w:p>
        </w:tc>
        <w:tc>
          <w:tcPr>
            <w:tcW w:w="1170" w:type="dxa"/>
          </w:tcPr>
          <w:p w:rsidR="00135159" w:rsidP="00DE73FC" w:rsidRDefault="00135159" w14:paraId="495B8512" w14:textId="77777777">
            <w:pPr>
              <w:jc w:val="right"/>
            </w:pPr>
          </w:p>
        </w:tc>
        <w:tc>
          <w:tcPr>
            <w:tcW w:w="1198" w:type="dxa"/>
          </w:tcPr>
          <w:p w:rsidR="00135159" w:rsidP="00DE73FC" w:rsidRDefault="00135159" w14:paraId="570CCD1E" w14:textId="77777777">
            <w:pPr>
              <w:jc w:val="right"/>
            </w:pPr>
          </w:p>
        </w:tc>
      </w:tr>
      <w:tr w:rsidRPr="00B6114A" w:rsidR="00135159" w:rsidTr="0027271F" w14:paraId="6BEB5208" w14:textId="77777777">
        <w:trPr>
          <w:trHeight w:val="232"/>
        </w:trPr>
        <w:tc>
          <w:tcPr>
            <w:tcW w:w="3842" w:type="dxa"/>
          </w:tcPr>
          <w:p w:rsidR="00135159" w:rsidP="00135159" w:rsidRDefault="00135159" w14:paraId="124BAE29" w14:textId="77777777">
            <w:pPr>
              <w:rPr>
                <w:sz w:val="22"/>
                <w:szCs w:val="22"/>
              </w:rPr>
            </w:pPr>
            <w:r w:rsidRPr="00B038B4">
              <w:rPr>
                <w:sz w:val="22"/>
                <w:szCs w:val="22"/>
              </w:rPr>
              <w:t>Grantee leadership</w:t>
            </w:r>
            <w:r w:rsidRPr="00B87A7C" w:rsidDel="00B038B4">
              <w:rPr>
                <w:sz w:val="22"/>
                <w:szCs w:val="22"/>
              </w:rPr>
              <w:t xml:space="preserve"> </w:t>
            </w:r>
          </w:p>
          <w:p w:rsidRPr="00B038B4" w:rsidR="00D70CF6" w:rsidP="00135159" w:rsidRDefault="00D70CF6" w14:paraId="3FC12BD8" w14:textId="3C472360">
            <w:pPr>
              <w:rPr>
                <w:sz w:val="22"/>
                <w:szCs w:val="22"/>
              </w:rPr>
            </w:pPr>
            <w:r>
              <w:rPr>
                <w:sz w:val="22"/>
                <w:szCs w:val="22"/>
              </w:rPr>
              <w:t xml:space="preserve">(Attachments E and F) </w:t>
            </w:r>
          </w:p>
        </w:tc>
        <w:tc>
          <w:tcPr>
            <w:tcW w:w="1530" w:type="dxa"/>
          </w:tcPr>
          <w:p w:rsidR="00135159" w:rsidP="00DE73FC" w:rsidRDefault="0041783C" w14:paraId="70BBDB34" w14:textId="08B9E178">
            <w:pPr>
              <w:jc w:val="right"/>
            </w:pPr>
            <w:r>
              <w:t>4</w:t>
            </w:r>
          </w:p>
        </w:tc>
        <w:tc>
          <w:tcPr>
            <w:tcW w:w="1620" w:type="dxa"/>
          </w:tcPr>
          <w:p w:rsidR="00135159" w:rsidP="00DE73FC" w:rsidRDefault="00135159" w14:paraId="71D53CA5" w14:textId="77777777">
            <w:pPr>
              <w:jc w:val="right"/>
            </w:pPr>
            <w:r>
              <w:t>2</w:t>
            </w:r>
          </w:p>
        </w:tc>
        <w:tc>
          <w:tcPr>
            <w:tcW w:w="1170" w:type="dxa"/>
          </w:tcPr>
          <w:p w:rsidR="00135159" w:rsidP="00DE73FC" w:rsidRDefault="00135159" w14:paraId="1C846F5E" w14:textId="77777777">
            <w:pPr>
              <w:jc w:val="right"/>
            </w:pPr>
            <w:r>
              <w:t>1.5</w:t>
            </w:r>
          </w:p>
        </w:tc>
        <w:tc>
          <w:tcPr>
            <w:tcW w:w="1198" w:type="dxa"/>
          </w:tcPr>
          <w:p w:rsidR="00135159" w:rsidP="00DE73FC" w:rsidRDefault="00782D21" w14:paraId="1FB13281" w14:textId="5E0B7642">
            <w:pPr>
              <w:jc w:val="right"/>
            </w:pPr>
            <w:r>
              <w:t>12</w:t>
            </w:r>
          </w:p>
        </w:tc>
      </w:tr>
      <w:tr w:rsidRPr="00B6114A" w:rsidR="00135159" w:rsidTr="0027271F" w14:paraId="64E8296C" w14:textId="77777777">
        <w:tc>
          <w:tcPr>
            <w:tcW w:w="3842" w:type="dxa"/>
          </w:tcPr>
          <w:p w:rsidR="00D70CF6" w:rsidP="00135159" w:rsidRDefault="00135159" w14:paraId="0D6BA8A3" w14:textId="77777777">
            <w:pPr>
              <w:rPr>
                <w:sz w:val="22"/>
                <w:szCs w:val="22"/>
              </w:rPr>
            </w:pPr>
            <w:r w:rsidRPr="00B038B4">
              <w:rPr>
                <w:sz w:val="22"/>
                <w:szCs w:val="22"/>
              </w:rPr>
              <w:t>Cooperative leadership</w:t>
            </w:r>
          </w:p>
          <w:p w:rsidRPr="00B038B4" w:rsidR="00135159" w:rsidP="00135159" w:rsidRDefault="00D70CF6" w14:paraId="318364FA" w14:textId="060951F9">
            <w:pPr>
              <w:rPr>
                <w:sz w:val="22"/>
                <w:szCs w:val="22"/>
              </w:rPr>
            </w:pPr>
            <w:r>
              <w:rPr>
                <w:sz w:val="22"/>
                <w:szCs w:val="22"/>
              </w:rPr>
              <w:t>(Attachments E and F)</w:t>
            </w:r>
          </w:p>
        </w:tc>
        <w:tc>
          <w:tcPr>
            <w:tcW w:w="1530" w:type="dxa"/>
          </w:tcPr>
          <w:p w:rsidRPr="00CF35E7" w:rsidR="00135159" w:rsidP="00DE73FC" w:rsidRDefault="0041783C" w14:paraId="18C5A3FD" w14:textId="78C4AE9F">
            <w:pPr>
              <w:jc w:val="right"/>
            </w:pPr>
            <w:r>
              <w:t>4</w:t>
            </w:r>
          </w:p>
        </w:tc>
        <w:tc>
          <w:tcPr>
            <w:tcW w:w="1620" w:type="dxa"/>
          </w:tcPr>
          <w:p w:rsidR="00135159" w:rsidP="00DE73FC" w:rsidRDefault="00135159" w14:paraId="7130DA3A" w14:textId="77777777">
            <w:pPr>
              <w:jc w:val="right"/>
            </w:pPr>
            <w:r>
              <w:t>2</w:t>
            </w:r>
          </w:p>
        </w:tc>
        <w:tc>
          <w:tcPr>
            <w:tcW w:w="1170" w:type="dxa"/>
          </w:tcPr>
          <w:p w:rsidR="00135159" w:rsidP="00DE73FC" w:rsidRDefault="00135159" w14:paraId="7A30E18C" w14:textId="77777777">
            <w:pPr>
              <w:jc w:val="right"/>
            </w:pPr>
            <w:r>
              <w:t>1.5</w:t>
            </w:r>
          </w:p>
        </w:tc>
        <w:tc>
          <w:tcPr>
            <w:tcW w:w="1198" w:type="dxa"/>
          </w:tcPr>
          <w:p w:rsidR="00135159" w:rsidP="00DE73FC" w:rsidRDefault="00782D21" w14:paraId="4049A914" w14:textId="2C6BF223">
            <w:pPr>
              <w:jc w:val="right"/>
            </w:pPr>
            <w:r>
              <w:t>12</w:t>
            </w:r>
          </w:p>
        </w:tc>
      </w:tr>
      <w:tr w:rsidRPr="00B6114A" w:rsidR="00135159" w:rsidTr="0027271F" w14:paraId="0CA49624" w14:textId="77777777">
        <w:tc>
          <w:tcPr>
            <w:tcW w:w="3842" w:type="dxa"/>
          </w:tcPr>
          <w:p w:rsidR="00135159" w:rsidP="00135159" w:rsidRDefault="00135159" w14:paraId="5850271D" w14:textId="77777777">
            <w:pPr>
              <w:rPr>
                <w:bCs/>
                <w:color w:val="000000"/>
                <w:sz w:val="22"/>
                <w:szCs w:val="22"/>
              </w:rPr>
            </w:pPr>
            <w:r w:rsidRPr="0050017C">
              <w:rPr>
                <w:sz w:val="22"/>
                <w:szCs w:val="22"/>
              </w:rPr>
              <w:t>Cooperative partners</w:t>
            </w:r>
            <w:r w:rsidRPr="0050017C" w:rsidDel="00B038B4">
              <w:rPr>
                <w:bCs/>
                <w:color w:val="000000"/>
                <w:sz w:val="22"/>
                <w:szCs w:val="22"/>
              </w:rPr>
              <w:t xml:space="preserve"> </w:t>
            </w:r>
          </w:p>
          <w:p w:rsidRPr="00B038B4" w:rsidR="00D70CF6" w:rsidP="00135159" w:rsidRDefault="00D70CF6" w14:paraId="59B06F48" w14:textId="3E396120">
            <w:pPr>
              <w:rPr>
                <w:sz w:val="22"/>
                <w:szCs w:val="22"/>
              </w:rPr>
            </w:pPr>
            <w:r>
              <w:rPr>
                <w:bCs/>
                <w:color w:val="000000"/>
                <w:sz w:val="22"/>
                <w:szCs w:val="22"/>
              </w:rPr>
              <w:t>(Attachments E and F)</w:t>
            </w:r>
          </w:p>
        </w:tc>
        <w:tc>
          <w:tcPr>
            <w:tcW w:w="1530" w:type="dxa"/>
          </w:tcPr>
          <w:p w:rsidR="00135159" w:rsidP="00DE73FC" w:rsidRDefault="00991287" w14:paraId="60A9F233" w14:textId="40D81173">
            <w:pPr>
              <w:jc w:val="right"/>
            </w:pPr>
            <w:r>
              <w:t>2</w:t>
            </w:r>
          </w:p>
        </w:tc>
        <w:tc>
          <w:tcPr>
            <w:tcW w:w="1620" w:type="dxa"/>
          </w:tcPr>
          <w:p w:rsidR="00135159" w:rsidP="00DE73FC" w:rsidRDefault="00782D21" w14:paraId="72BD6E95" w14:textId="3C222ED6">
            <w:pPr>
              <w:jc w:val="right"/>
            </w:pPr>
            <w:r>
              <w:t>2</w:t>
            </w:r>
          </w:p>
        </w:tc>
        <w:tc>
          <w:tcPr>
            <w:tcW w:w="1170" w:type="dxa"/>
          </w:tcPr>
          <w:p w:rsidRPr="00A5413E" w:rsidR="00135159" w:rsidP="00DE73FC" w:rsidRDefault="00135159" w14:paraId="68484516" w14:textId="77777777">
            <w:pPr>
              <w:jc w:val="right"/>
            </w:pPr>
            <w:r>
              <w:t>1.5</w:t>
            </w:r>
          </w:p>
        </w:tc>
        <w:tc>
          <w:tcPr>
            <w:tcW w:w="1198" w:type="dxa"/>
          </w:tcPr>
          <w:p w:rsidR="00135159" w:rsidP="00DE73FC" w:rsidRDefault="00C13605" w14:paraId="378F39AE" w14:textId="2FD597FD">
            <w:pPr>
              <w:jc w:val="right"/>
            </w:pPr>
            <w:r>
              <w:t>6</w:t>
            </w:r>
          </w:p>
        </w:tc>
      </w:tr>
      <w:tr w:rsidRPr="00B6114A" w:rsidR="0041783C" w:rsidTr="0027271F" w14:paraId="3B845352" w14:textId="77777777">
        <w:tc>
          <w:tcPr>
            <w:tcW w:w="3842" w:type="dxa"/>
          </w:tcPr>
          <w:p w:rsidR="0041783C" w:rsidP="00135159" w:rsidRDefault="00D32FF4" w14:paraId="74DE1573" w14:textId="77777777">
            <w:pPr>
              <w:rPr>
                <w:sz w:val="22"/>
                <w:szCs w:val="22"/>
              </w:rPr>
            </w:pPr>
            <w:r>
              <w:rPr>
                <w:sz w:val="22"/>
                <w:szCs w:val="22"/>
              </w:rPr>
              <w:t>Unaffiliated</w:t>
            </w:r>
            <w:r w:rsidR="0041783C">
              <w:rPr>
                <w:sz w:val="22"/>
                <w:szCs w:val="22"/>
              </w:rPr>
              <w:t xml:space="preserve"> organizations</w:t>
            </w:r>
          </w:p>
          <w:p w:rsidRPr="0050017C" w:rsidR="00D70CF6" w:rsidP="00135159" w:rsidRDefault="00D70CF6" w14:paraId="70DD2216" w14:textId="2AFC65D4">
            <w:pPr>
              <w:rPr>
                <w:sz w:val="22"/>
                <w:szCs w:val="22"/>
              </w:rPr>
            </w:pPr>
            <w:r>
              <w:rPr>
                <w:sz w:val="22"/>
                <w:szCs w:val="22"/>
              </w:rPr>
              <w:t>(Attachment F)</w:t>
            </w:r>
          </w:p>
        </w:tc>
        <w:tc>
          <w:tcPr>
            <w:tcW w:w="1530" w:type="dxa"/>
          </w:tcPr>
          <w:p w:rsidR="0041783C" w:rsidP="00DE73FC" w:rsidRDefault="0041783C" w14:paraId="6E718CCB" w14:textId="306B4328">
            <w:pPr>
              <w:jc w:val="right"/>
            </w:pPr>
            <w:r>
              <w:t>2</w:t>
            </w:r>
          </w:p>
        </w:tc>
        <w:tc>
          <w:tcPr>
            <w:tcW w:w="1620" w:type="dxa"/>
          </w:tcPr>
          <w:p w:rsidR="0041783C" w:rsidP="00DE73FC" w:rsidRDefault="00991287" w14:paraId="153329AE" w14:textId="1DFC2A47">
            <w:pPr>
              <w:jc w:val="right"/>
            </w:pPr>
            <w:r>
              <w:t>2</w:t>
            </w:r>
          </w:p>
        </w:tc>
        <w:tc>
          <w:tcPr>
            <w:tcW w:w="1170" w:type="dxa"/>
          </w:tcPr>
          <w:p w:rsidR="0041783C" w:rsidP="00DE73FC" w:rsidRDefault="0041783C" w14:paraId="66D2BB45" w14:textId="2512D3EF">
            <w:pPr>
              <w:jc w:val="right"/>
            </w:pPr>
            <w:r>
              <w:t>1.5</w:t>
            </w:r>
          </w:p>
        </w:tc>
        <w:tc>
          <w:tcPr>
            <w:tcW w:w="1198" w:type="dxa"/>
          </w:tcPr>
          <w:p w:rsidR="0041783C" w:rsidP="00DE73FC" w:rsidRDefault="00991287" w14:paraId="3D6735B6" w14:textId="6DEEA9FA">
            <w:pPr>
              <w:jc w:val="right"/>
            </w:pPr>
            <w:r>
              <w:t>6</w:t>
            </w:r>
          </w:p>
        </w:tc>
      </w:tr>
      <w:tr w:rsidRPr="00B6114A" w:rsidR="00991287" w:rsidTr="00B87A7C" w14:paraId="3ABF9C63" w14:textId="77777777">
        <w:tc>
          <w:tcPr>
            <w:tcW w:w="3842" w:type="dxa"/>
          </w:tcPr>
          <w:p w:rsidR="00991287" w:rsidP="00135159" w:rsidRDefault="00991287" w14:paraId="19AFF112" w14:textId="77777777">
            <w:pPr>
              <w:rPr>
                <w:bCs/>
                <w:color w:val="000000"/>
              </w:rPr>
            </w:pPr>
            <w:r>
              <w:rPr>
                <w:bCs/>
                <w:color w:val="000000"/>
              </w:rPr>
              <w:t>Network practices</w:t>
            </w:r>
          </w:p>
          <w:p w:rsidRPr="00A5413E" w:rsidR="00D70CF6" w:rsidP="00135159" w:rsidRDefault="00D70CF6" w14:paraId="0610B0C6" w14:textId="56C538FB">
            <w:pPr>
              <w:rPr>
                <w:bCs/>
                <w:color w:val="000000"/>
              </w:rPr>
            </w:pPr>
            <w:r>
              <w:rPr>
                <w:bCs/>
                <w:color w:val="000000"/>
              </w:rPr>
              <w:t>(Attachment F)</w:t>
            </w:r>
          </w:p>
        </w:tc>
        <w:tc>
          <w:tcPr>
            <w:tcW w:w="1530" w:type="dxa"/>
          </w:tcPr>
          <w:p w:rsidR="00991287" w:rsidP="00DE73FC" w:rsidRDefault="00991287" w14:paraId="495A40F2" w14:textId="7CE42E6C">
            <w:pPr>
              <w:jc w:val="right"/>
            </w:pPr>
            <w:r>
              <w:t>12</w:t>
            </w:r>
          </w:p>
        </w:tc>
        <w:tc>
          <w:tcPr>
            <w:tcW w:w="1620" w:type="dxa"/>
          </w:tcPr>
          <w:p w:rsidRPr="00A5413E" w:rsidR="00991287" w:rsidP="00DE73FC" w:rsidRDefault="00991287" w14:paraId="267A536A" w14:textId="552BB412">
            <w:pPr>
              <w:jc w:val="right"/>
            </w:pPr>
            <w:r>
              <w:t>1</w:t>
            </w:r>
          </w:p>
        </w:tc>
        <w:tc>
          <w:tcPr>
            <w:tcW w:w="1170" w:type="dxa"/>
          </w:tcPr>
          <w:p w:rsidRPr="00A5413E" w:rsidR="00991287" w:rsidP="00DE73FC" w:rsidRDefault="00991287" w14:paraId="3DDED8A2" w14:textId="3CFE992C">
            <w:pPr>
              <w:jc w:val="right"/>
            </w:pPr>
            <w:r>
              <w:t>1.5</w:t>
            </w:r>
          </w:p>
        </w:tc>
        <w:tc>
          <w:tcPr>
            <w:tcW w:w="1198" w:type="dxa"/>
          </w:tcPr>
          <w:p w:rsidR="00991287" w:rsidDel="0041783C" w:rsidP="00DE73FC" w:rsidRDefault="00991287" w14:paraId="29299180" w14:textId="1BD31966">
            <w:pPr>
              <w:jc w:val="right"/>
            </w:pPr>
            <w:r>
              <w:t>18</w:t>
            </w:r>
          </w:p>
        </w:tc>
      </w:tr>
      <w:tr w:rsidRPr="00B6114A" w:rsidR="00135159" w:rsidTr="00B87A7C" w14:paraId="651E583E" w14:textId="77777777">
        <w:tc>
          <w:tcPr>
            <w:tcW w:w="3842" w:type="dxa"/>
          </w:tcPr>
          <w:p w:rsidRPr="00A5413E" w:rsidR="00135159" w:rsidP="00135159" w:rsidRDefault="00135159" w14:paraId="4235C87D" w14:textId="77777777">
            <w:pPr>
              <w:rPr>
                <w:bCs/>
                <w:color w:val="000000"/>
              </w:rPr>
            </w:pPr>
            <w:r w:rsidRPr="00A5413E">
              <w:rPr>
                <w:bCs/>
                <w:color w:val="000000"/>
              </w:rPr>
              <w:t>TOTAL</w:t>
            </w:r>
          </w:p>
        </w:tc>
        <w:tc>
          <w:tcPr>
            <w:tcW w:w="1530" w:type="dxa"/>
          </w:tcPr>
          <w:p w:rsidRPr="00A5413E" w:rsidR="00135159" w:rsidP="00DE73FC" w:rsidRDefault="00135159" w14:paraId="24592D11" w14:textId="0C666A32">
            <w:pPr>
              <w:jc w:val="right"/>
            </w:pPr>
            <w:r>
              <w:t>112</w:t>
            </w:r>
          </w:p>
        </w:tc>
        <w:tc>
          <w:tcPr>
            <w:tcW w:w="1620" w:type="dxa"/>
          </w:tcPr>
          <w:p w:rsidRPr="00A5413E" w:rsidR="00135159" w:rsidP="00DE73FC" w:rsidRDefault="00135159" w14:paraId="0C22ADDC" w14:textId="6DA777F8">
            <w:pPr>
              <w:jc w:val="right"/>
            </w:pPr>
          </w:p>
        </w:tc>
        <w:tc>
          <w:tcPr>
            <w:tcW w:w="1170" w:type="dxa"/>
          </w:tcPr>
          <w:p w:rsidRPr="00A5413E" w:rsidR="00135159" w:rsidP="00DE73FC" w:rsidRDefault="00135159" w14:paraId="29748BBE" w14:textId="71D0F2C5">
            <w:pPr>
              <w:jc w:val="right"/>
            </w:pPr>
          </w:p>
        </w:tc>
        <w:tc>
          <w:tcPr>
            <w:tcW w:w="1198" w:type="dxa"/>
          </w:tcPr>
          <w:p w:rsidRPr="00A5413E" w:rsidR="00135159" w:rsidP="004D0AAD" w:rsidRDefault="00C13605" w14:paraId="7721C20D" w14:textId="3034A379">
            <w:pPr>
              <w:tabs>
                <w:tab w:val="center" w:pos="491"/>
                <w:tab w:val="right" w:pos="982"/>
              </w:tabs>
            </w:pPr>
            <w:r>
              <w:tab/>
              <w:t>254</w:t>
            </w:r>
          </w:p>
        </w:tc>
      </w:tr>
    </w:tbl>
    <w:p w:rsidR="0030308E" w:rsidP="004A4612" w:rsidRDefault="00202A17" w14:paraId="46B3A937" w14:textId="77777777">
      <w:pPr>
        <w:tabs>
          <w:tab w:val="left" w:pos="90"/>
        </w:tabs>
        <w:ind w:left="90"/>
        <w:rPr>
          <w:spacing w:val="6"/>
          <w:sz w:val="20"/>
          <w:szCs w:val="20"/>
        </w:rPr>
      </w:pPr>
      <w:r>
        <w:rPr>
          <w:spacing w:val="6"/>
          <w:vertAlign w:val="superscript"/>
        </w:rPr>
        <w:t>*</w:t>
      </w:r>
      <w:r>
        <w:rPr>
          <w:spacing w:val="6"/>
          <w:sz w:val="20"/>
          <w:szCs w:val="20"/>
        </w:rPr>
        <w:t>Note: This number reflects that in Year 1 we will only interview 12 respondents, but 24 in years 2 and 3, hence 2.5 # of responses.</w:t>
      </w:r>
      <w:r w:rsidR="0041783C">
        <w:rPr>
          <w:spacing w:val="6"/>
          <w:sz w:val="20"/>
          <w:szCs w:val="20"/>
        </w:rPr>
        <w:t xml:space="preserve"> </w:t>
      </w:r>
    </w:p>
    <w:p w:rsidR="00B038B4" w:rsidP="004A4612" w:rsidRDefault="0030308E" w14:paraId="5005210B" w14:textId="66402AB7">
      <w:pPr>
        <w:tabs>
          <w:tab w:val="left" w:pos="90"/>
        </w:tabs>
        <w:ind w:left="90"/>
        <w:rPr>
          <w:spacing w:val="6"/>
          <w:sz w:val="20"/>
          <w:szCs w:val="20"/>
        </w:rPr>
      </w:pPr>
      <w:r>
        <w:rPr>
          <w:spacing w:val="6"/>
          <w:sz w:val="20"/>
          <w:szCs w:val="20"/>
        </w:rPr>
        <w:t>**</w:t>
      </w:r>
      <w:r w:rsidR="0041783C">
        <w:rPr>
          <w:spacing w:val="6"/>
          <w:sz w:val="20"/>
          <w:szCs w:val="20"/>
        </w:rPr>
        <w:t>This number reflects that in Year 2 we will interview 8 respondents and in year 3 we will interview 20 respondents.</w:t>
      </w:r>
    </w:p>
    <w:p w:rsidRPr="00202A17" w:rsidR="00202A17" w:rsidP="004A4612" w:rsidRDefault="00202A17" w14:paraId="2131AF03" w14:textId="77777777">
      <w:pPr>
        <w:tabs>
          <w:tab w:val="left" w:pos="90"/>
        </w:tabs>
        <w:ind w:left="90"/>
        <w:rPr>
          <w:spacing w:val="6"/>
          <w:sz w:val="20"/>
          <w:szCs w:val="20"/>
        </w:rPr>
      </w:pPr>
    </w:p>
    <w:p w:rsidR="00917755" w:rsidP="00202A17" w:rsidRDefault="00565818" w14:paraId="359C51E9" w14:textId="6E701546">
      <w:pPr>
        <w:tabs>
          <w:tab w:val="left" w:pos="90"/>
        </w:tabs>
      </w:pPr>
      <w:r>
        <w:rPr>
          <w:spacing w:val="6"/>
        </w:rPr>
        <w:lastRenderedPageBreak/>
        <w:t xml:space="preserve">Table </w:t>
      </w:r>
      <w:r w:rsidR="00202A17">
        <w:rPr>
          <w:spacing w:val="6"/>
        </w:rPr>
        <w:t>4</w:t>
      </w:r>
      <w:r>
        <w:rPr>
          <w:spacing w:val="6"/>
        </w:rPr>
        <w:t xml:space="preserve"> </w:t>
      </w:r>
      <w:r w:rsidRPr="00202A17" w:rsidR="004A4612">
        <w:rPr>
          <w:spacing w:val="6"/>
        </w:rPr>
        <w:t xml:space="preserve">presents the estimated annualized cost burden associated with the respondents’ time to participate in this research. </w:t>
      </w:r>
      <w:r w:rsidRPr="00202A17" w:rsidR="004A4612">
        <w:t xml:space="preserve">The total cost burden is estimated to be </w:t>
      </w:r>
      <w:r w:rsidR="0030308E">
        <w:t>$29,</w:t>
      </w:r>
      <w:r w:rsidRPr="00AF0E04" w:rsidR="00AF0E04">
        <w:rPr>
          <w:color w:val="000000"/>
        </w:rPr>
        <w:t xml:space="preserve"> </w:t>
      </w:r>
      <w:r w:rsidR="00AF0E04">
        <w:rPr>
          <w:color w:val="000000"/>
        </w:rPr>
        <w:t>260.96.</w:t>
      </w:r>
    </w:p>
    <w:p w:rsidR="00917755" w:rsidP="004A4612" w:rsidRDefault="00917755" w14:paraId="48FF26D8" w14:textId="77777777">
      <w:pPr>
        <w:tabs>
          <w:tab w:val="left" w:pos="90"/>
        </w:tabs>
        <w:ind w:left="90"/>
      </w:pPr>
    </w:p>
    <w:p w:rsidRPr="00B6114A" w:rsidR="004A4612" w:rsidP="004A4612" w:rsidRDefault="00202A17" w14:paraId="00FB8D9C" w14:textId="3024EE41">
      <w:pPr>
        <w:tabs>
          <w:tab w:val="left" w:pos="90"/>
        </w:tabs>
        <w:ind w:left="90"/>
        <w:rPr>
          <w:b/>
        </w:rPr>
      </w:pPr>
      <w:r>
        <w:rPr>
          <w:b/>
        </w:rPr>
        <w:t>Table 4</w:t>
      </w:r>
      <w:r w:rsidRPr="00B6114A" w:rsidR="004A4612">
        <w:rPr>
          <w:b/>
        </w:rPr>
        <w:t>. Estimated annualized cost burden</w:t>
      </w:r>
    </w:p>
    <w:tbl>
      <w:tblPr>
        <w:tblStyle w:val="TableGrid2"/>
        <w:tblW w:w="9715" w:type="dxa"/>
        <w:tblLayout w:type="fixed"/>
        <w:tblLook w:val="0000" w:firstRow="0" w:lastRow="0" w:firstColumn="0" w:lastColumn="0" w:noHBand="0" w:noVBand="0"/>
      </w:tblPr>
      <w:tblGrid>
        <w:gridCol w:w="3842"/>
        <w:gridCol w:w="1530"/>
        <w:gridCol w:w="1620"/>
        <w:gridCol w:w="1170"/>
        <w:gridCol w:w="1553"/>
      </w:tblGrid>
      <w:tr w:rsidRPr="00FF5105" w:rsidR="005731F7" w:rsidTr="00FF5105" w14:paraId="1026D22A" w14:textId="77777777">
        <w:trPr>
          <w:trHeight w:val="773"/>
        </w:trPr>
        <w:tc>
          <w:tcPr>
            <w:tcW w:w="3842" w:type="dxa"/>
          </w:tcPr>
          <w:p w:rsidRPr="00FF5105" w:rsidR="005731F7" w:rsidP="005731F7" w:rsidRDefault="005731F7" w14:paraId="448DEF6E" w14:textId="77777777">
            <w:pPr>
              <w:jc w:val="center"/>
              <w:rPr>
                <w:b/>
              </w:rPr>
            </w:pPr>
            <w:r w:rsidRPr="00FF5105">
              <w:rPr>
                <w:b/>
              </w:rPr>
              <w:t>Data Collection Method or Project Activity</w:t>
            </w:r>
          </w:p>
        </w:tc>
        <w:tc>
          <w:tcPr>
            <w:tcW w:w="1530" w:type="dxa"/>
          </w:tcPr>
          <w:p w:rsidRPr="00FF5105" w:rsidR="007A66D5" w:rsidP="007A66D5" w:rsidRDefault="007A66D5" w14:paraId="02E11EAF" w14:textId="77777777">
            <w:pPr>
              <w:jc w:val="center"/>
              <w:rPr>
                <w:b/>
                <w:color w:val="000000"/>
              </w:rPr>
            </w:pPr>
            <w:r w:rsidRPr="00FF5105">
              <w:rPr>
                <w:b/>
                <w:color w:val="000000"/>
              </w:rPr>
              <w:t>A.</w:t>
            </w:r>
          </w:p>
          <w:p w:rsidRPr="00FF5105" w:rsidR="005731F7" w:rsidP="007A66D5" w:rsidRDefault="005731F7" w14:paraId="3C9D1A6C" w14:textId="690997A4">
            <w:pPr>
              <w:jc w:val="center"/>
              <w:rPr>
                <w:b/>
              </w:rPr>
            </w:pPr>
            <w:r w:rsidRPr="00FF5105">
              <w:rPr>
                <w:b/>
                <w:color w:val="000000"/>
              </w:rPr>
              <w:t>Number of respondents</w:t>
            </w:r>
          </w:p>
        </w:tc>
        <w:tc>
          <w:tcPr>
            <w:tcW w:w="1620" w:type="dxa"/>
          </w:tcPr>
          <w:p w:rsidRPr="00FF5105" w:rsidR="007A66D5" w:rsidP="007A66D5" w:rsidRDefault="007A66D5" w14:paraId="18C5BA33" w14:textId="7484F58A">
            <w:pPr>
              <w:jc w:val="center"/>
              <w:rPr>
                <w:b/>
                <w:color w:val="000000"/>
              </w:rPr>
            </w:pPr>
            <w:r w:rsidRPr="00FF5105">
              <w:rPr>
                <w:b/>
                <w:color w:val="000000"/>
              </w:rPr>
              <w:t>B.</w:t>
            </w:r>
          </w:p>
          <w:p w:rsidRPr="00FF5105" w:rsidR="005731F7" w:rsidP="007A66D5" w:rsidRDefault="005731F7" w14:paraId="3CB422A1" w14:textId="01229C24">
            <w:pPr>
              <w:jc w:val="center"/>
              <w:rPr>
                <w:b/>
              </w:rPr>
            </w:pPr>
            <w:r w:rsidRPr="00FF5105">
              <w:rPr>
                <w:b/>
                <w:color w:val="000000"/>
              </w:rPr>
              <w:t>Total burden hours</w:t>
            </w:r>
          </w:p>
        </w:tc>
        <w:tc>
          <w:tcPr>
            <w:tcW w:w="1170" w:type="dxa"/>
          </w:tcPr>
          <w:p w:rsidRPr="00FF5105" w:rsidR="007A66D5" w:rsidP="007A66D5" w:rsidRDefault="007A66D5" w14:paraId="2BCCA61F" w14:textId="650DB7D2">
            <w:pPr>
              <w:jc w:val="center"/>
              <w:rPr>
                <w:b/>
                <w:color w:val="000000"/>
              </w:rPr>
            </w:pPr>
            <w:r w:rsidRPr="00FF5105">
              <w:rPr>
                <w:b/>
                <w:color w:val="000000"/>
              </w:rPr>
              <w:t>C.</w:t>
            </w:r>
          </w:p>
          <w:p w:rsidRPr="00FF5105" w:rsidR="005731F7" w:rsidP="007A66D5" w:rsidRDefault="005731F7" w14:paraId="76588CC6" w14:textId="327789FF">
            <w:pPr>
              <w:jc w:val="center"/>
              <w:rPr>
                <w:b/>
              </w:rPr>
            </w:pPr>
            <w:r w:rsidRPr="00FF5105">
              <w:rPr>
                <w:b/>
                <w:color w:val="000000"/>
              </w:rPr>
              <w:t>Average hourly rate</w:t>
            </w:r>
          </w:p>
        </w:tc>
        <w:tc>
          <w:tcPr>
            <w:tcW w:w="1553" w:type="dxa"/>
          </w:tcPr>
          <w:p w:rsidRPr="00FF5105" w:rsidR="007A66D5" w:rsidP="007A66D5" w:rsidRDefault="007A66D5" w14:paraId="5A51D4D8" w14:textId="77777777">
            <w:pPr>
              <w:jc w:val="center"/>
              <w:rPr>
                <w:b/>
                <w:color w:val="000000"/>
              </w:rPr>
            </w:pPr>
            <w:r w:rsidRPr="00FF5105">
              <w:rPr>
                <w:b/>
                <w:color w:val="000000"/>
              </w:rPr>
              <w:t>D.</w:t>
            </w:r>
          </w:p>
          <w:p w:rsidRPr="00FF5105" w:rsidR="005731F7" w:rsidP="007A66D5" w:rsidRDefault="005731F7" w14:paraId="33739386" w14:textId="77777777">
            <w:pPr>
              <w:jc w:val="center"/>
              <w:rPr>
                <w:b/>
                <w:color w:val="000000"/>
              </w:rPr>
            </w:pPr>
            <w:r w:rsidRPr="00FF5105">
              <w:rPr>
                <w:b/>
                <w:color w:val="000000"/>
              </w:rPr>
              <w:t>Total cost burden</w:t>
            </w:r>
          </w:p>
          <w:p w:rsidRPr="00FF5105" w:rsidR="007A66D5" w:rsidP="007A66D5" w:rsidRDefault="007A66D5" w14:paraId="0E528E39" w14:textId="6FF2AE75">
            <w:pPr>
              <w:jc w:val="center"/>
              <w:rPr>
                <w:b/>
              </w:rPr>
            </w:pPr>
            <w:r w:rsidRPr="00FF5105">
              <w:rPr>
                <w:b/>
                <w:color w:val="000000"/>
              </w:rPr>
              <w:t>B*C</w:t>
            </w:r>
          </w:p>
        </w:tc>
      </w:tr>
      <w:tr w:rsidRPr="00FF5105" w:rsidR="00426C52" w:rsidTr="00FF5105" w14:paraId="23F58998" w14:textId="77777777">
        <w:trPr>
          <w:trHeight w:val="215"/>
        </w:trPr>
        <w:tc>
          <w:tcPr>
            <w:tcW w:w="3842" w:type="dxa"/>
          </w:tcPr>
          <w:p w:rsidRPr="00FF5105" w:rsidR="00426C52" w:rsidP="00426C52" w:rsidRDefault="00426C52" w14:paraId="742EA340" w14:textId="752E14A9">
            <w:pPr>
              <w:rPr>
                <w:b/>
              </w:rPr>
            </w:pPr>
            <w:r w:rsidRPr="00FF5105">
              <w:rPr>
                <w:b/>
              </w:rPr>
              <w:t>Key Informant Interviews</w:t>
            </w:r>
          </w:p>
        </w:tc>
        <w:tc>
          <w:tcPr>
            <w:tcW w:w="1530" w:type="dxa"/>
          </w:tcPr>
          <w:p w:rsidRPr="00FF5105" w:rsidR="00426C52" w:rsidP="007A66D5" w:rsidRDefault="00426C52" w14:paraId="3C39BF05" w14:textId="77777777">
            <w:pPr>
              <w:jc w:val="center"/>
              <w:rPr>
                <w:b/>
                <w:color w:val="000000"/>
              </w:rPr>
            </w:pPr>
          </w:p>
        </w:tc>
        <w:tc>
          <w:tcPr>
            <w:tcW w:w="1620" w:type="dxa"/>
          </w:tcPr>
          <w:p w:rsidRPr="00FF5105" w:rsidR="00426C52" w:rsidP="007A66D5" w:rsidRDefault="00426C52" w14:paraId="0E61E488" w14:textId="77777777">
            <w:pPr>
              <w:jc w:val="center"/>
              <w:rPr>
                <w:b/>
                <w:color w:val="000000"/>
              </w:rPr>
            </w:pPr>
          </w:p>
        </w:tc>
        <w:tc>
          <w:tcPr>
            <w:tcW w:w="1170" w:type="dxa"/>
          </w:tcPr>
          <w:p w:rsidRPr="00FF5105" w:rsidR="00426C52" w:rsidP="007A66D5" w:rsidRDefault="00426C52" w14:paraId="5C88F458" w14:textId="77777777">
            <w:pPr>
              <w:jc w:val="center"/>
              <w:rPr>
                <w:b/>
                <w:color w:val="000000"/>
              </w:rPr>
            </w:pPr>
          </w:p>
        </w:tc>
        <w:tc>
          <w:tcPr>
            <w:tcW w:w="1553" w:type="dxa"/>
          </w:tcPr>
          <w:p w:rsidRPr="00FF5105" w:rsidR="00426C52" w:rsidP="007A66D5" w:rsidRDefault="00426C52" w14:paraId="0D12C3FD" w14:textId="77777777">
            <w:pPr>
              <w:jc w:val="center"/>
              <w:rPr>
                <w:b/>
                <w:color w:val="000000"/>
              </w:rPr>
            </w:pPr>
          </w:p>
        </w:tc>
      </w:tr>
      <w:tr w:rsidRPr="00FF5105" w:rsidR="007F23B1" w:rsidTr="00FF5105" w14:paraId="013EACAB" w14:textId="77777777">
        <w:trPr>
          <w:trHeight w:val="232"/>
        </w:trPr>
        <w:tc>
          <w:tcPr>
            <w:tcW w:w="3842" w:type="dxa"/>
          </w:tcPr>
          <w:p w:rsidRPr="00FF5105" w:rsidR="007F23B1" w:rsidP="00426C52" w:rsidRDefault="007F23B1" w14:paraId="3C59443D" w14:textId="1D193AE2">
            <w:r w:rsidRPr="00FF5105">
              <w:t xml:space="preserve">Grantee leadership </w:t>
            </w:r>
          </w:p>
        </w:tc>
        <w:tc>
          <w:tcPr>
            <w:tcW w:w="1530" w:type="dxa"/>
          </w:tcPr>
          <w:p w:rsidRPr="00FF5105" w:rsidR="007F23B1" w:rsidP="002F4300" w:rsidRDefault="007F23B1" w14:paraId="479BADBA" w14:textId="77777777">
            <w:pPr>
              <w:jc w:val="right"/>
            </w:pPr>
            <w:r w:rsidRPr="00FF5105">
              <w:t>12</w:t>
            </w:r>
          </w:p>
        </w:tc>
        <w:tc>
          <w:tcPr>
            <w:tcW w:w="1620" w:type="dxa"/>
          </w:tcPr>
          <w:p w:rsidRPr="00FF5105" w:rsidR="007F23B1" w:rsidP="002F4300" w:rsidRDefault="007F23B1" w14:paraId="3A64A30B" w14:textId="34D99916">
            <w:pPr>
              <w:jc w:val="right"/>
            </w:pPr>
            <w:r w:rsidRPr="00FF5105">
              <w:t>36</w:t>
            </w:r>
          </w:p>
        </w:tc>
        <w:tc>
          <w:tcPr>
            <w:tcW w:w="1170" w:type="dxa"/>
          </w:tcPr>
          <w:p w:rsidRPr="00FF5105" w:rsidR="007F23B1" w:rsidP="002F4300" w:rsidRDefault="007F23B1" w14:paraId="41CFBB1B" w14:textId="6AE3DE11">
            <w:pPr>
              <w:jc w:val="right"/>
            </w:pPr>
            <w:r w:rsidRPr="00FF5105">
              <w:rPr>
                <w:color w:val="000000"/>
              </w:rPr>
              <w:t>$110.74</w:t>
            </w:r>
          </w:p>
        </w:tc>
        <w:tc>
          <w:tcPr>
            <w:tcW w:w="1553" w:type="dxa"/>
            <w:vAlign w:val="bottom"/>
          </w:tcPr>
          <w:p w:rsidRPr="00FF5105" w:rsidR="007F23B1" w:rsidP="002F4300" w:rsidRDefault="00866696" w14:paraId="5949DA0B" w14:textId="4C1BC23B">
            <w:pPr>
              <w:jc w:val="right"/>
            </w:pPr>
            <w:r>
              <w:rPr>
                <w:color w:val="000000"/>
              </w:rPr>
              <w:t>$3,986.64</w:t>
            </w:r>
          </w:p>
        </w:tc>
      </w:tr>
      <w:tr w:rsidRPr="00FF5105" w:rsidR="007F23B1" w:rsidTr="00FF5105" w14:paraId="19C49F73" w14:textId="77777777">
        <w:tc>
          <w:tcPr>
            <w:tcW w:w="3842" w:type="dxa"/>
          </w:tcPr>
          <w:p w:rsidRPr="00FF5105" w:rsidR="007F23B1" w:rsidP="00426C52" w:rsidRDefault="007F23B1" w14:paraId="38DCE9B9" w14:textId="6BF4B868">
            <w:r w:rsidRPr="00FF5105">
              <w:t>Cooperative leadership</w:t>
            </w:r>
            <w:r w:rsidRPr="00FF5105" w:rsidDel="00B038B4">
              <w:t xml:space="preserve"> </w:t>
            </w:r>
          </w:p>
        </w:tc>
        <w:tc>
          <w:tcPr>
            <w:tcW w:w="1530" w:type="dxa"/>
          </w:tcPr>
          <w:p w:rsidRPr="00FF5105" w:rsidR="007F23B1" w:rsidP="002F4300" w:rsidRDefault="007F23B1" w14:paraId="0DFF38A6" w14:textId="77777777">
            <w:pPr>
              <w:jc w:val="right"/>
            </w:pPr>
            <w:r w:rsidRPr="00FF5105">
              <w:t>12</w:t>
            </w:r>
          </w:p>
        </w:tc>
        <w:tc>
          <w:tcPr>
            <w:tcW w:w="1620" w:type="dxa"/>
          </w:tcPr>
          <w:p w:rsidRPr="00FF5105" w:rsidR="007F23B1" w:rsidP="002F4300" w:rsidRDefault="007F23B1" w14:paraId="132CF500" w14:textId="1E3FD29E">
            <w:pPr>
              <w:jc w:val="right"/>
            </w:pPr>
            <w:r w:rsidRPr="00FF5105">
              <w:t>36</w:t>
            </w:r>
          </w:p>
        </w:tc>
        <w:tc>
          <w:tcPr>
            <w:tcW w:w="1170" w:type="dxa"/>
          </w:tcPr>
          <w:p w:rsidRPr="00FF5105" w:rsidR="007F23B1" w:rsidP="002F4300" w:rsidRDefault="007F23B1" w14:paraId="3EBFB96C" w14:textId="0655FC10">
            <w:pPr>
              <w:jc w:val="right"/>
            </w:pPr>
            <w:r w:rsidRPr="00FF5105">
              <w:rPr>
                <w:color w:val="000000"/>
              </w:rPr>
              <w:t>$110.74</w:t>
            </w:r>
          </w:p>
        </w:tc>
        <w:tc>
          <w:tcPr>
            <w:tcW w:w="1553" w:type="dxa"/>
            <w:vAlign w:val="bottom"/>
          </w:tcPr>
          <w:p w:rsidRPr="00FF5105" w:rsidR="007F23B1" w:rsidP="002F4300" w:rsidRDefault="00866696" w14:paraId="5C393575" w14:textId="5FF7286C">
            <w:pPr>
              <w:jc w:val="right"/>
            </w:pPr>
            <w:r>
              <w:rPr>
                <w:color w:val="000000"/>
              </w:rPr>
              <w:t>$3,986.64</w:t>
            </w:r>
          </w:p>
        </w:tc>
      </w:tr>
      <w:tr w:rsidRPr="00FF5105" w:rsidR="007F23B1" w:rsidTr="00FF5105" w14:paraId="6BACB044" w14:textId="77777777">
        <w:tc>
          <w:tcPr>
            <w:tcW w:w="3842" w:type="dxa"/>
          </w:tcPr>
          <w:p w:rsidRPr="00FF5105" w:rsidR="007F23B1" w:rsidP="00426C52" w:rsidRDefault="007F23B1" w14:paraId="2A4A9BA0" w14:textId="2653527D">
            <w:pPr>
              <w:rPr>
                <w:bCs/>
                <w:color w:val="000000"/>
              </w:rPr>
            </w:pPr>
            <w:r w:rsidRPr="00FF5105">
              <w:t>Cooperative partners</w:t>
            </w:r>
            <w:r w:rsidRPr="00FF5105" w:rsidDel="00B038B4">
              <w:rPr>
                <w:bCs/>
                <w:color w:val="000000"/>
              </w:rPr>
              <w:t xml:space="preserve"> </w:t>
            </w:r>
          </w:p>
        </w:tc>
        <w:tc>
          <w:tcPr>
            <w:tcW w:w="1530" w:type="dxa"/>
          </w:tcPr>
          <w:p w:rsidRPr="00FF5105" w:rsidR="007F23B1" w:rsidP="002F4300" w:rsidRDefault="007F23B1" w14:paraId="0B411149" w14:textId="77777777">
            <w:pPr>
              <w:jc w:val="right"/>
            </w:pPr>
            <w:r w:rsidRPr="00FF5105">
              <w:t>24</w:t>
            </w:r>
          </w:p>
        </w:tc>
        <w:tc>
          <w:tcPr>
            <w:tcW w:w="1620" w:type="dxa"/>
          </w:tcPr>
          <w:p w:rsidRPr="00FF5105" w:rsidR="007F23B1" w:rsidP="002F4300" w:rsidRDefault="00BD20B6" w14:paraId="5A40CDEC" w14:textId="42568801">
            <w:pPr>
              <w:jc w:val="right"/>
            </w:pPr>
            <w:r w:rsidRPr="00FF5105">
              <w:t>60</w:t>
            </w:r>
          </w:p>
        </w:tc>
        <w:tc>
          <w:tcPr>
            <w:tcW w:w="1170" w:type="dxa"/>
          </w:tcPr>
          <w:p w:rsidRPr="00FF5105" w:rsidR="007F23B1" w:rsidP="002F4300" w:rsidRDefault="007F23B1" w14:paraId="0328BD9D" w14:textId="2717EB34">
            <w:pPr>
              <w:jc w:val="right"/>
            </w:pPr>
            <w:r w:rsidRPr="00FF5105">
              <w:rPr>
                <w:color w:val="000000"/>
              </w:rPr>
              <w:t>$110.74</w:t>
            </w:r>
          </w:p>
        </w:tc>
        <w:tc>
          <w:tcPr>
            <w:tcW w:w="1553" w:type="dxa"/>
            <w:vAlign w:val="bottom"/>
          </w:tcPr>
          <w:p w:rsidRPr="00FF5105" w:rsidR="007F23B1" w:rsidP="002F4300" w:rsidRDefault="00866696" w14:paraId="4CFEF292" w14:textId="452DDC43">
            <w:pPr>
              <w:jc w:val="right"/>
            </w:pPr>
            <w:r>
              <w:rPr>
                <w:color w:val="000000"/>
              </w:rPr>
              <w:t>$6,644.40</w:t>
            </w:r>
          </w:p>
        </w:tc>
      </w:tr>
      <w:tr w:rsidRPr="00FF5105" w:rsidR="00426C52" w:rsidTr="00FF5105" w14:paraId="5367413D" w14:textId="77777777">
        <w:tc>
          <w:tcPr>
            <w:tcW w:w="3842" w:type="dxa"/>
          </w:tcPr>
          <w:p w:rsidRPr="00FF5105" w:rsidR="00426C52" w:rsidP="00426C52" w:rsidRDefault="00426C52" w14:paraId="64374180" w14:textId="65903DAE">
            <w:pPr>
              <w:rPr>
                <w:bCs/>
                <w:color w:val="000000"/>
              </w:rPr>
            </w:pPr>
            <w:r w:rsidRPr="00FF5105">
              <w:t xml:space="preserve">Unaffiliated organizations </w:t>
            </w:r>
          </w:p>
        </w:tc>
        <w:tc>
          <w:tcPr>
            <w:tcW w:w="1530" w:type="dxa"/>
          </w:tcPr>
          <w:p w:rsidRPr="00FF5105" w:rsidR="00426C52" w:rsidP="002F4300" w:rsidRDefault="00426C52" w14:paraId="36D8C5EF" w14:textId="77777777">
            <w:pPr>
              <w:jc w:val="right"/>
            </w:pPr>
            <w:r w:rsidRPr="00FF5105">
              <w:t>12</w:t>
            </w:r>
          </w:p>
        </w:tc>
        <w:tc>
          <w:tcPr>
            <w:tcW w:w="1620" w:type="dxa"/>
          </w:tcPr>
          <w:p w:rsidRPr="00FF5105" w:rsidR="00426C52" w:rsidP="002F4300" w:rsidRDefault="00426C52" w14:paraId="352E3406" w14:textId="77777777">
            <w:pPr>
              <w:jc w:val="right"/>
            </w:pPr>
            <w:r w:rsidRPr="00FF5105">
              <w:t>24</w:t>
            </w:r>
          </w:p>
        </w:tc>
        <w:tc>
          <w:tcPr>
            <w:tcW w:w="1170" w:type="dxa"/>
          </w:tcPr>
          <w:p w:rsidRPr="00FF5105" w:rsidR="00426C52" w:rsidP="002F4300" w:rsidRDefault="00426C52" w14:paraId="488E879F" w14:textId="77777777">
            <w:pPr>
              <w:jc w:val="right"/>
            </w:pPr>
            <w:r w:rsidRPr="00FF5105">
              <w:rPr>
                <w:color w:val="000000"/>
              </w:rPr>
              <w:t>$110.74</w:t>
            </w:r>
          </w:p>
        </w:tc>
        <w:tc>
          <w:tcPr>
            <w:tcW w:w="1553" w:type="dxa"/>
            <w:vAlign w:val="bottom"/>
          </w:tcPr>
          <w:p w:rsidRPr="00FF5105" w:rsidR="00426C52" w:rsidP="002F4300" w:rsidRDefault="00866696" w14:paraId="1EF5B681" w14:textId="0B67D4FA">
            <w:pPr>
              <w:jc w:val="right"/>
            </w:pPr>
            <w:r>
              <w:rPr>
                <w:color w:val="000000"/>
              </w:rPr>
              <w:t>$2,657.</w:t>
            </w:r>
            <w:r w:rsidR="0030308E">
              <w:rPr>
                <w:color w:val="000000"/>
              </w:rPr>
              <w:t>76</w:t>
            </w:r>
          </w:p>
        </w:tc>
      </w:tr>
      <w:tr w:rsidRPr="00FF5105" w:rsidR="00135159" w:rsidTr="00FF5105" w14:paraId="679F5815" w14:textId="77777777">
        <w:tc>
          <w:tcPr>
            <w:tcW w:w="3842" w:type="dxa"/>
          </w:tcPr>
          <w:p w:rsidRPr="00FF5105" w:rsidR="00135159" w:rsidP="00135159" w:rsidRDefault="00135159" w14:paraId="3B3E9ADA" w14:textId="3151581F">
            <w:pPr>
              <w:rPr>
                <w:bCs/>
                <w:color w:val="000000"/>
              </w:rPr>
            </w:pPr>
            <w:r>
              <w:rPr>
                <w:sz w:val="22"/>
                <w:szCs w:val="22"/>
              </w:rPr>
              <w:t xml:space="preserve">Practices in network not </w:t>
            </w:r>
            <w:r w:rsidRPr="00B87A7C">
              <w:rPr>
                <w:sz w:val="22"/>
                <w:szCs w:val="22"/>
              </w:rPr>
              <w:t xml:space="preserve">participating </w:t>
            </w:r>
            <w:r>
              <w:rPr>
                <w:sz w:val="22"/>
                <w:szCs w:val="22"/>
              </w:rPr>
              <w:t>in Heart Health QI project</w:t>
            </w:r>
          </w:p>
        </w:tc>
        <w:tc>
          <w:tcPr>
            <w:tcW w:w="1530" w:type="dxa"/>
          </w:tcPr>
          <w:p w:rsidRPr="00FF5105" w:rsidR="00135159" w:rsidP="002F4300" w:rsidRDefault="00135159" w14:paraId="6BC760EE" w14:textId="77777777">
            <w:pPr>
              <w:jc w:val="right"/>
            </w:pPr>
            <w:r w:rsidRPr="00FF5105">
              <w:t>8</w:t>
            </w:r>
          </w:p>
        </w:tc>
        <w:tc>
          <w:tcPr>
            <w:tcW w:w="1620" w:type="dxa"/>
          </w:tcPr>
          <w:p w:rsidRPr="00FF5105" w:rsidR="00135159" w:rsidP="002F4300" w:rsidRDefault="00135159" w14:paraId="5ADE6C17" w14:textId="77777777">
            <w:pPr>
              <w:jc w:val="right"/>
            </w:pPr>
            <w:r w:rsidRPr="00FF5105">
              <w:t>16</w:t>
            </w:r>
          </w:p>
        </w:tc>
        <w:tc>
          <w:tcPr>
            <w:tcW w:w="1170" w:type="dxa"/>
          </w:tcPr>
          <w:p w:rsidRPr="00FF5105" w:rsidR="00135159" w:rsidP="002F4300" w:rsidRDefault="00135159" w14:paraId="21E5A246" w14:textId="77777777">
            <w:pPr>
              <w:jc w:val="right"/>
            </w:pPr>
            <w:r w:rsidRPr="00FF5105">
              <w:rPr>
                <w:color w:val="000000"/>
              </w:rPr>
              <w:t>$136.49</w:t>
            </w:r>
          </w:p>
        </w:tc>
        <w:tc>
          <w:tcPr>
            <w:tcW w:w="1553" w:type="dxa"/>
            <w:vAlign w:val="bottom"/>
          </w:tcPr>
          <w:p w:rsidRPr="00FF5105" w:rsidR="00135159" w:rsidP="002F4300" w:rsidRDefault="0030308E" w14:paraId="018F0AD6" w14:textId="29623E1C">
            <w:pPr>
              <w:jc w:val="right"/>
            </w:pPr>
            <w:r>
              <w:rPr>
                <w:color w:val="000000"/>
              </w:rPr>
              <w:t>$2,183.84</w:t>
            </w:r>
          </w:p>
        </w:tc>
      </w:tr>
      <w:tr w:rsidRPr="00FF5105" w:rsidR="00135159" w:rsidTr="00FF5105" w14:paraId="5463FEBB" w14:textId="77777777">
        <w:tc>
          <w:tcPr>
            <w:tcW w:w="3842" w:type="dxa"/>
          </w:tcPr>
          <w:p w:rsidRPr="00FF5105" w:rsidR="00135159" w:rsidP="00135159" w:rsidRDefault="00135159" w14:paraId="6702FB23" w14:textId="7610C9A7">
            <w:pPr>
              <w:rPr>
                <w:bCs/>
                <w:color w:val="000000"/>
              </w:rPr>
            </w:pPr>
            <w:r>
              <w:rPr>
                <w:sz w:val="22"/>
                <w:szCs w:val="22"/>
              </w:rPr>
              <w:t xml:space="preserve">Practices in network </w:t>
            </w:r>
            <w:r w:rsidRPr="00B87A7C">
              <w:rPr>
                <w:sz w:val="22"/>
                <w:szCs w:val="22"/>
              </w:rPr>
              <w:t xml:space="preserve">participating </w:t>
            </w:r>
            <w:r>
              <w:rPr>
                <w:sz w:val="22"/>
                <w:szCs w:val="22"/>
              </w:rPr>
              <w:t>in Heart Health QI project</w:t>
            </w:r>
          </w:p>
        </w:tc>
        <w:tc>
          <w:tcPr>
            <w:tcW w:w="1530" w:type="dxa"/>
          </w:tcPr>
          <w:p w:rsidRPr="00FF5105" w:rsidR="00135159" w:rsidP="002F4300" w:rsidRDefault="00135159" w14:paraId="78696D64" w14:textId="77777777">
            <w:pPr>
              <w:jc w:val="right"/>
            </w:pPr>
            <w:r w:rsidRPr="00FF5105">
              <w:t>20</w:t>
            </w:r>
          </w:p>
        </w:tc>
        <w:tc>
          <w:tcPr>
            <w:tcW w:w="1620" w:type="dxa"/>
          </w:tcPr>
          <w:p w:rsidRPr="00FF5105" w:rsidR="00135159" w:rsidP="002F4300" w:rsidRDefault="002E29E8" w14:paraId="7F9682F2" w14:textId="49CD9DDE">
            <w:pPr>
              <w:jc w:val="right"/>
            </w:pPr>
            <w:r>
              <w:t>28</w:t>
            </w:r>
          </w:p>
        </w:tc>
        <w:tc>
          <w:tcPr>
            <w:tcW w:w="1170" w:type="dxa"/>
          </w:tcPr>
          <w:p w:rsidRPr="00FF5105" w:rsidR="00135159" w:rsidP="002F4300" w:rsidRDefault="00135159" w14:paraId="4C2A743A" w14:textId="77777777">
            <w:pPr>
              <w:jc w:val="right"/>
            </w:pPr>
            <w:r w:rsidRPr="00FF5105">
              <w:rPr>
                <w:color w:val="000000"/>
              </w:rPr>
              <w:t>$136.49</w:t>
            </w:r>
          </w:p>
        </w:tc>
        <w:tc>
          <w:tcPr>
            <w:tcW w:w="1553" w:type="dxa"/>
            <w:vAlign w:val="bottom"/>
          </w:tcPr>
          <w:p w:rsidRPr="00FF5105" w:rsidR="00135159" w:rsidP="002F4300" w:rsidRDefault="0030308E" w14:paraId="13B9A7B8" w14:textId="1B1DD375">
            <w:pPr>
              <w:jc w:val="right"/>
            </w:pPr>
            <w:r>
              <w:rPr>
                <w:color w:val="000000"/>
              </w:rPr>
              <w:t>$3,821.72</w:t>
            </w:r>
          </w:p>
        </w:tc>
      </w:tr>
      <w:tr w:rsidRPr="00FF5105" w:rsidR="00426C52" w:rsidTr="00FF5105" w14:paraId="1E7A0763" w14:textId="77777777">
        <w:tc>
          <w:tcPr>
            <w:tcW w:w="3842" w:type="dxa"/>
          </w:tcPr>
          <w:p w:rsidRPr="00FF5105" w:rsidR="00426C52" w:rsidP="007F23B1" w:rsidRDefault="00426C52" w14:paraId="2EA53692" w14:textId="4CECD0FE">
            <w:pPr>
              <w:rPr>
                <w:b/>
              </w:rPr>
            </w:pPr>
            <w:r w:rsidRPr="00FF5105">
              <w:rPr>
                <w:b/>
              </w:rPr>
              <w:t>Member Checking Sessions</w:t>
            </w:r>
          </w:p>
        </w:tc>
        <w:tc>
          <w:tcPr>
            <w:tcW w:w="1530" w:type="dxa"/>
          </w:tcPr>
          <w:p w:rsidRPr="00FF5105" w:rsidR="00426C52" w:rsidP="002F4300" w:rsidRDefault="00426C52" w14:paraId="132B3C09" w14:textId="77777777">
            <w:pPr>
              <w:jc w:val="right"/>
            </w:pPr>
          </w:p>
        </w:tc>
        <w:tc>
          <w:tcPr>
            <w:tcW w:w="1620" w:type="dxa"/>
          </w:tcPr>
          <w:p w:rsidRPr="00FF5105" w:rsidR="00426C52" w:rsidP="002F4300" w:rsidRDefault="00426C52" w14:paraId="7CAADEB3" w14:textId="77777777">
            <w:pPr>
              <w:jc w:val="right"/>
            </w:pPr>
          </w:p>
        </w:tc>
        <w:tc>
          <w:tcPr>
            <w:tcW w:w="1170" w:type="dxa"/>
          </w:tcPr>
          <w:p w:rsidRPr="00FF5105" w:rsidR="00426C52" w:rsidP="002F4300" w:rsidRDefault="00426C52" w14:paraId="422E6EC7" w14:textId="77777777">
            <w:pPr>
              <w:jc w:val="right"/>
              <w:rPr>
                <w:color w:val="000000"/>
              </w:rPr>
            </w:pPr>
          </w:p>
        </w:tc>
        <w:tc>
          <w:tcPr>
            <w:tcW w:w="1553" w:type="dxa"/>
            <w:vAlign w:val="bottom"/>
          </w:tcPr>
          <w:p w:rsidRPr="00FF5105" w:rsidR="00426C52" w:rsidP="002F4300" w:rsidRDefault="00426C52" w14:paraId="0A5CA030" w14:textId="77777777">
            <w:pPr>
              <w:jc w:val="right"/>
              <w:rPr>
                <w:color w:val="000000"/>
              </w:rPr>
            </w:pPr>
          </w:p>
        </w:tc>
      </w:tr>
      <w:tr w:rsidRPr="00FF5105" w:rsidR="00426C52" w:rsidTr="00FF5105" w14:paraId="2C966CB7" w14:textId="77777777">
        <w:trPr>
          <w:trHeight w:val="232"/>
        </w:trPr>
        <w:tc>
          <w:tcPr>
            <w:tcW w:w="3842" w:type="dxa"/>
          </w:tcPr>
          <w:p w:rsidRPr="00FF5105" w:rsidR="00426C52" w:rsidP="00426C52" w:rsidRDefault="00426C52" w14:paraId="0BBEC8B8" w14:textId="589CBD02">
            <w:r w:rsidRPr="00FF5105">
              <w:t>Grantee leadership</w:t>
            </w:r>
            <w:r w:rsidRPr="00FF5105" w:rsidDel="00B038B4">
              <w:t xml:space="preserve"> </w:t>
            </w:r>
          </w:p>
        </w:tc>
        <w:tc>
          <w:tcPr>
            <w:tcW w:w="1530" w:type="dxa"/>
          </w:tcPr>
          <w:p w:rsidRPr="00FF5105" w:rsidR="00426C52" w:rsidP="002F4300" w:rsidRDefault="00782D21" w14:paraId="3126FE95" w14:textId="6245E84C">
            <w:pPr>
              <w:jc w:val="right"/>
            </w:pPr>
            <w:r>
              <w:t>4</w:t>
            </w:r>
          </w:p>
        </w:tc>
        <w:tc>
          <w:tcPr>
            <w:tcW w:w="1620" w:type="dxa"/>
          </w:tcPr>
          <w:p w:rsidRPr="00FF5105" w:rsidR="00426C52" w:rsidP="002F4300" w:rsidRDefault="00782D21" w14:paraId="40015566" w14:textId="2EED9FAD">
            <w:pPr>
              <w:jc w:val="right"/>
            </w:pPr>
            <w:r w:rsidRPr="00FF5105">
              <w:t>1</w:t>
            </w:r>
            <w:r>
              <w:t>2</w:t>
            </w:r>
          </w:p>
        </w:tc>
        <w:tc>
          <w:tcPr>
            <w:tcW w:w="1170" w:type="dxa"/>
          </w:tcPr>
          <w:p w:rsidRPr="00FF5105" w:rsidR="00426C52" w:rsidP="002F4300" w:rsidRDefault="00426C52" w14:paraId="0E35F789" w14:textId="77777777">
            <w:pPr>
              <w:jc w:val="right"/>
            </w:pPr>
            <w:r w:rsidRPr="00FF5105">
              <w:rPr>
                <w:color w:val="000000"/>
              </w:rPr>
              <w:t>$110.74</w:t>
            </w:r>
          </w:p>
        </w:tc>
        <w:tc>
          <w:tcPr>
            <w:tcW w:w="1553" w:type="dxa"/>
            <w:vAlign w:val="bottom"/>
          </w:tcPr>
          <w:p w:rsidRPr="00FF5105" w:rsidR="00426C52" w:rsidP="002F4300" w:rsidRDefault="0030308E" w14:paraId="4765EF34" w14:textId="353155E4">
            <w:pPr>
              <w:jc w:val="right"/>
            </w:pPr>
            <w:r>
              <w:t xml:space="preserve"> $1,328.88</w:t>
            </w:r>
          </w:p>
        </w:tc>
      </w:tr>
      <w:tr w:rsidRPr="00FF5105" w:rsidR="00426C52" w:rsidTr="00FF5105" w14:paraId="55CFB9D6" w14:textId="77777777">
        <w:tc>
          <w:tcPr>
            <w:tcW w:w="3842" w:type="dxa"/>
          </w:tcPr>
          <w:p w:rsidRPr="00FF5105" w:rsidR="00426C52" w:rsidP="00426C52" w:rsidRDefault="00426C52" w14:paraId="60FCBD7B" w14:textId="100BECA4">
            <w:r w:rsidRPr="00FF5105">
              <w:t>Cooperative leadership</w:t>
            </w:r>
            <w:r w:rsidRPr="00FF5105" w:rsidDel="00B038B4">
              <w:t xml:space="preserve"> </w:t>
            </w:r>
          </w:p>
        </w:tc>
        <w:tc>
          <w:tcPr>
            <w:tcW w:w="1530" w:type="dxa"/>
          </w:tcPr>
          <w:p w:rsidRPr="00FF5105" w:rsidR="00426C52" w:rsidP="002F4300" w:rsidRDefault="00782D21" w14:paraId="5AFE0DB2" w14:textId="40B8D99B">
            <w:pPr>
              <w:jc w:val="right"/>
            </w:pPr>
            <w:r>
              <w:t>4</w:t>
            </w:r>
          </w:p>
        </w:tc>
        <w:tc>
          <w:tcPr>
            <w:tcW w:w="1620" w:type="dxa"/>
          </w:tcPr>
          <w:p w:rsidRPr="00FF5105" w:rsidR="00426C52" w:rsidP="002F4300" w:rsidRDefault="00782D21" w14:paraId="5F6042B9" w14:textId="0E80D79E">
            <w:pPr>
              <w:jc w:val="right"/>
            </w:pPr>
            <w:r w:rsidRPr="00FF5105">
              <w:t>1</w:t>
            </w:r>
            <w:r>
              <w:t>2</w:t>
            </w:r>
          </w:p>
        </w:tc>
        <w:tc>
          <w:tcPr>
            <w:tcW w:w="1170" w:type="dxa"/>
          </w:tcPr>
          <w:p w:rsidRPr="00FF5105" w:rsidR="00426C52" w:rsidP="002F4300" w:rsidRDefault="00426C52" w14:paraId="0AECA3FA" w14:textId="77777777">
            <w:pPr>
              <w:jc w:val="right"/>
            </w:pPr>
            <w:r w:rsidRPr="00FF5105">
              <w:rPr>
                <w:color w:val="000000"/>
              </w:rPr>
              <w:t>$110.74</w:t>
            </w:r>
          </w:p>
        </w:tc>
        <w:tc>
          <w:tcPr>
            <w:tcW w:w="1553" w:type="dxa"/>
            <w:vAlign w:val="bottom"/>
          </w:tcPr>
          <w:p w:rsidR="00426C52" w:rsidP="002F4300" w:rsidRDefault="00426C52" w14:paraId="6FB40A72" w14:textId="436829F8">
            <w:pPr>
              <w:jc w:val="right"/>
            </w:pPr>
          </w:p>
          <w:p w:rsidRPr="00FF5105" w:rsidR="0030308E" w:rsidP="002F4300" w:rsidRDefault="0030308E" w14:paraId="335B6F75" w14:textId="64F0E155">
            <w:pPr>
              <w:jc w:val="right"/>
            </w:pPr>
            <w:r>
              <w:t>$1,328.88</w:t>
            </w:r>
          </w:p>
        </w:tc>
      </w:tr>
      <w:tr w:rsidRPr="00FF5105" w:rsidR="007F23B1" w:rsidTr="00FF5105" w14:paraId="5822FD49" w14:textId="77777777">
        <w:tc>
          <w:tcPr>
            <w:tcW w:w="3842" w:type="dxa"/>
          </w:tcPr>
          <w:p w:rsidRPr="00FF5105" w:rsidR="007F23B1" w:rsidP="00426C52" w:rsidRDefault="007F23B1" w14:paraId="5AF320C1" w14:textId="34821ACF">
            <w:r w:rsidRPr="00FF5105">
              <w:t>Cooperative partners</w:t>
            </w:r>
            <w:r w:rsidRPr="00FF5105" w:rsidDel="00B038B4">
              <w:rPr>
                <w:bCs/>
                <w:color w:val="000000"/>
              </w:rPr>
              <w:t xml:space="preserve"> </w:t>
            </w:r>
          </w:p>
        </w:tc>
        <w:tc>
          <w:tcPr>
            <w:tcW w:w="1530" w:type="dxa"/>
          </w:tcPr>
          <w:p w:rsidRPr="00FF5105" w:rsidR="007F23B1" w:rsidP="002F4300" w:rsidRDefault="00782D21" w14:paraId="3C3C764A" w14:textId="0E1EF440">
            <w:pPr>
              <w:jc w:val="right"/>
            </w:pPr>
            <w:r>
              <w:t>4</w:t>
            </w:r>
          </w:p>
        </w:tc>
        <w:tc>
          <w:tcPr>
            <w:tcW w:w="1620" w:type="dxa"/>
          </w:tcPr>
          <w:p w:rsidRPr="00FF5105" w:rsidR="007F23B1" w:rsidP="002F4300" w:rsidRDefault="00C94D62" w14:paraId="7692B71E" w14:textId="5CED00BC">
            <w:pPr>
              <w:jc w:val="right"/>
            </w:pPr>
            <w:r>
              <w:t>6</w:t>
            </w:r>
          </w:p>
        </w:tc>
        <w:tc>
          <w:tcPr>
            <w:tcW w:w="1170" w:type="dxa"/>
          </w:tcPr>
          <w:p w:rsidRPr="00FF5105" w:rsidR="007F23B1" w:rsidP="002F4300" w:rsidRDefault="007F23B1" w14:paraId="7587E99D" w14:textId="5BA6DFD6">
            <w:pPr>
              <w:jc w:val="right"/>
            </w:pPr>
            <w:r w:rsidRPr="00FF5105">
              <w:rPr>
                <w:color w:val="000000"/>
              </w:rPr>
              <w:t>$110.74</w:t>
            </w:r>
          </w:p>
        </w:tc>
        <w:tc>
          <w:tcPr>
            <w:tcW w:w="1553" w:type="dxa"/>
            <w:vAlign w:val="bottom"/>
          </w:tcPr>
          <w:p w:rsidRPr="00FF5105" w:rsidR="007F23B1" w:rsidP="000A1525" w:rsidRDefault="000A1525" w14:paraId="7A1A25A4" w14:textId="00BE29B3">
            <w:pPr>
              <w:jc w:val="right"/>
            </w:pPr>
            <w:r>
              <w:rPr>
                <w:color w:val="000000"/>
              </w:rPr>
              <w:t>$664.44</w:t>
            </w:r>
          </w:p>
        </w:tc>
      </w:tr>
      <w:tr w:rsidRPr="00FF5105" w:rsidR="00D32FF4" w:rsidTr="00FF5105" w14:paraId="2BD5A193" w14:textId="77777777">
        <w:tc>
          <w:tcPr>
            <w:tcW w:w="3842" w:type="dxa"/>
          </w:tcPr>
          <w:p w:rsidRPr="00FF5105" w:rsidR="00D32FF4" w:rsidP="00426C52" w:rsidRDefault="00D32FF4" w14:paraId="378940D6" w14:textId="11A2E42E">
            <w:r>
              <w:t>Unaffiliated organi</w:t>
            </w:r>
            <w:r w:rsidR="002E29E8">
              <w:t>z</w:t>
            </w:r>
            <w:r>
              <w:t>ations</w:t>
            </w:r>
          </w:p>
        </w:tc>
        <w:tc>
          <w:tcPr>
            <w:tcW w:w="1530" w:type="dxa"/>
          </w:tcPr>
          <w:p w:rsidRPr="00FF5105" w:rsidR="00D32FF4" w:rsidDel="00782D21" w:rsidP="002F4300" w:rsidRDefault="00D32FF4" w14:paraId="27892B35" w14:textId="66104250">
            <w:pPr>
              <w:jc w:val="right"/>
            </w:pPr>
            <w:r>
              <w:t>2</w:t>
            </w:r>
          </w:p>
        </w:tc>
        <w:tc>
          <w:tcPr>
            <w:tcW w:w="1620" w:type="dxa"/>
          </w:tcPr>
          <w:p w:rsidRPr="00FF5105" w:rsidR="00D32FF4" w:rsidDel="00782D21" w:rsidP="002F4300" w:rsidRDefault="00C94D62" w14:paraId="544B6572" w14:textId="1A5263DD">
            <w:pPr>
              <w:jc w:val="right"/>
            </w:pPr>
            <w:r>
              <w:t>6</w:t>
            </w:r>
          </w:p>
        </w:tc>
        <w:tc>
          <w:tcPr>
            <w:tcW w:w="1170" w:type="dxa"/>
          </w:tcPr>
          <w:p w:rsidRPr="00FF5105" w:rsidR="00D32FF4" w:rsidP="002F4300" w:rsidRDefault="002E29E8" w14:paraId="6B7FB468" w14:textId="51EA0478">
            <w:pPr>
              <w:jc w:val="right"/>
              <w:rPr>
                <w:color w:val="000000"/>
              </w:rPr>
            </w:pPr>
            <w:r>
              <w:rPr>
                <w:color w:val="000000"/>
              </w:rPr>
              <w:t>$110.74</w:t>
            </w:r>
          </w:p>
        </w:tc>
        <w:tc>
          <w:tcPr>
            <w:tcW w:w="1553" w:type="dxa"/>
            <w:vAlign w:val="bottom"/>
          </w:tcPr>
          <w:p w:rsidR="00D32FF4" w:rsidP="002F4300" w:rsidRDefault="000A1525" w14:paraId="1D38EC80" w14:textId="241A0CD1">
            <w:pPr>
              <w:jc w:val="right"/>
              <w:rPr>
                <w:color w:val="000000"/>
              </w:rPr>
            </w:pPr>
            <w:r>
              <w:rPr>
                <w:color w:val="000000"/>
              </w:rPr>
              <w:t>$664.44</w:t>
            </w:r>
          </w:p>
        </w:tc>
      </w:tr>
      <w:tr w:rsidRPr="00FF5105" w:rsidR="00782D21" w:rsidTr="00FF5105" w14:paraId="31F91B1E" w14:textId="77777777">
        <w:tc>
          <w:tcPr>
            <w:tcW w:w="3842" w:type="dxa"/>
          </w:tcPr>
          <w:p w:rsidRPr="00FF5105" w:rsidR="00782D21" w:rsidP="00426C52" w:rsidRDefault="00D32FF4" w14:paraId="00F8FFB4" w14:textId="7D87AB89">
            <w:r>
              <w:t>Network practices</w:t>
            </w:r>
          </w:p>
        </w:tc>
        <w:tc>
          <w:tcPr>
            <w:tcW w:w="1530" w:type="dxa"/>
          </w:tcPr>
          <w:p w:rsidRPr="00FF5105" w:rsidR="00782D21" w:rsidP="002F4300" w:rsidRDefault="00782D21" w14:paraId="6B76593B" w14:textId="4E1F6E6D">
            <w:pPr>
              <w:jc w:val="right"/>
            </w:pPr>
            <w:r>
              <w:t>12</w:t>
            </w:r>
          </w:p>
        </w:tc>
        <w:tc>
          <w:tcPr>
            <w:tcW w:w="1620" w:type="dxa"/>
          </w:tcPr>
          <w:p w:rsidRPr="00FF5105" w:rsidR="00782D21" w:rsidDel="00782D21" w:rsidP="002F4300" w:rsidRDefault="00782D21" w14:paraId="364A1928" w14:textId="3C922843">
            <w:pPr>
              <w:jc w:val="right"/>
            </w:pPr>
            <w:r>
              <w:t>18</w:t>
            </w:r>
          </w:p>
        </w:tc>
        <w:tc>
          <w:tcPr>
            <w:tcW w:w="1170" w:type="dxa"/>
          </w:tcPr>
          <w:p w:rsidRPr="00FF5105" w:rsidR="00782D21" w:rsidP="002F4300" w:rsidRDefault="00782D21" w14:paraId="53B3E820" w14:textId="5A677933">
            <w:pPr>
              <w:jc w:val="right"/>
              <w:rPr>
                <w:color w:val="000000"/>
              </w:rPr>
            </w:pPr>
            <w:r w:rsidRPr="00FF5105">
              <w:rPr>
                <w:color w:val="000000"/>
              </w:rPr>
              <w:t>$110.74</w:t>
            </w:r>
          </w:p>
        </w:tc>
        <w:tc>
          <w:tcPr>
            <w:tcW w:w="1553" w:type="dxa"/>
            <w:vAlign w:val="bottom"/>
          </w:tcPr>
          <w:p w:rsidR="00782D21" w:rsidP="002F4300" w:rsidRDefault="00782D21" w14:paraId="29E081DF" w14:textId="58CC9523">
            <w:pPr>
              <w:jc w:val="right"/>
              <w:rPr>
                <w:color w:val="000000"/>
              </w:rPr>
            </w:pPr>
          </w:p>
          <w:p w:rsidRPr="00FF5105" w:rsidR="0030308E" w:rsidP="002F4300" w:rsidRDefault="0030308E" w14:paraId="37DCF03D" w14:textId="5621F698">
            <w:pPr>
              <w:jc w:val="right"/>
              <w:rPr>
                <w:color w:val="000000"/>
              </w:rPr>
            </w:pPr>
            <w:r>
              <w:rPr>
                <w:color w:val="000000"/>
              </w:rPr>
              <w:t>$1,993.32</w:t>
            </w:r>
          </w:p>
        </w:tc>
      </w:tr>
      <w:tr w:rsidRPr="00FF5105" w:rsidR="007F23B1" w:rsidTr="00FF5105" w14:paraId="6BE11E2E" w14:textId="77777777">
        <w:tc>
          <w:tcPr>
            <w:tcW w:w="3842" w:type="dxa"/>
          </w:tcPr>
          <w:p w:rsidRPr="00FF5105" w:rsidR="007F23B1" w:rsidP="007F23B1" w:rsidRDefault="007F23B1" w14:paraId="3F8F5670" w14:textId="77777777">
            <w:pPr>
              <w:rPr>
                <w:bCs/>
                <w:color w:val="000000"/>
              </w:rPr>
            </w:pPr>
            <w:r w:rsidRPr="00FF5105">
              <w:rPr>
                <w:bCs/>
                <w:color w:val="000000"/>
              </w:rPr>
              <w:t>TOTAL</w:t>
            </w:r>
          </w:p>
        </w:tc>
        <w:tc>
          <w:tcPr>
            <w:tcW w:w="1530" w:type="dxa"/>
          </w:tcPr>
          <w:p w:rsidRPr="00FF5105" w:rsidR="007F23B1" w:rsidP="002F4300" w:rsidRDefault="00FF5105" w14:paraId="78F3CDF1" w14:textId="4ED74D52">
            <w:pPr>
              <w:jc w:val="right"/>
            </w:pPr>
            <w:r w:rsidRPr="00FF5105">
              <w:t>112</w:t>
            </w:r>
          </w:p>
        </w:tc>
        <w:tc>
          <w:tcPr>
            <w:tcW w:w="1620" w:type="dxa"/>
          </w:tcPr>
          <w:p w:rsidRPr="00FF5105" w:rsidR="007F23B1" w:rsidP="002F4300" w:rsidRDefault="00C94D62" w14:paraId="3C308CCA" w14:textId="166A64A0">
            <w:pPr>
              <w:jc w:val="right"/>
            </w:pPr>
            <w:r>
              <w:t>254</w:t>
            </w:r>
          </w:p>
        </w:tc>
        <w:tc>
          <w:tcPr>
            <w:tcW w:w="1170" w:type="dxa"/>
          </w:tcPr>
          <w:p w:rsidRPr="00FF5105" w:rsidR="007F23B1" w:rsidP="002F4300" w:rsidRDefault="007F23B1" w14:paraId="2D95ED23" w14:textId="77777777">
            <w:pPr>
              <w:jc w:val="right"/>
            </w:pPr>
          </w:p>
        </w:tc>
        <w:tc>
          <w:tcPr>
            <w:tcW w:w="1553" w:type="dxa"/>
            <w:vAlign w:val="bottom"/>
          </w:tcPr>
          <w:p w:rsidR="007F23B1" w:rsidP="002F4300" w:rsidRDefault="007F23B1" w14:paraId="64E7C4AF" w14:textId="4B3E0929">
            <w:pPr>
              <w:jc w:val="right"/>
              <w:rPr>
                <w:color w:val="000000"/>
              </w:rPr>
            </w:pPr>
          </w:p>
          <w:p w:rsidRPr="00FF5105" w:rsidR="0030308E" w:rsidP="0045488B" w:rsidRDefault="0045488B" w14:paraId="6BB723B1" w14:textId="2DF0DB0B">
            <w:pPr>
              <w:jc w:val="right"/>
            </w:pPr>
            <w:r>
              <w:rPr>
                <w:color w:val="000000"/>
              </w:rPr>
              <w:t>$29,260.96</w:t>
            </w:r>
          </w:p>
        </w:tc>
      </w:tr>
    </w:tbl>
    <w:p w:rsidR="0039012F" w:rsidP="007A66D5" w:rsidRDefault="00804DB6" w14:paraId="67D14466" w14:textId="5DFA8382">
      <w:pPr>
        <w:tabs>
          <w:tab w:val="left" w:pos="180"/>
        </w:tabs>
        <w:rPr>
          <w:color w:val="000000"/>
          <w:sz w:val="20"/>
          <w:szCs w:val="20"/>
        </w:rPr>
      </w:pPr>
      <w:r>
        <w:rPr>
          <w:color w:val="000000"/>
          <w:sz w:val="20"/>
          <w:szCs w:val="20"/>
        </w:rPr>
        <w:t xml:space="preserve">Note: the rates were based on the mean hourly wages from the </w:t>
      </w:r>
      <w:r w:rsidRPr="00804DB6">
        <w:rPr>
          <w:color w:val="000000"/>
          <w:sz w:val="20"/>
          <w:szCs w:val="20"/>
        </w:rPr>
        <w:t>Bureau of Labor &amp; Statistics</w:t>
      </w:r>
      <w:r>
        <w:rPr>
          <w:color w:val="000000"/>
          <w:sz w:val="20"/>
          <w:szCs w:val="20"/>
        </w:rPr>
        <w:t xml:space="preserve"> for the closest categories of respondents and doubled to account for overhead and fringe.</w:t>
      </w:r>
    </w:p>
    <w:p w:rsidR="00804DB6" w:rsidP="007A66D5" w:rsidRDefault="00804DB6" w14:paraId="62250846" w14:textId="77777777">
      <w:pPr>
        <w:tabs>
          <w:tab w:val="left" w:pos="180"/>
        </w:tabs>
        <w:rPr>
          <w:color w:val="000000"/>
          <w:sz w:val="20"/>
          <w:szCs w:val="20"/>
        </w:rPr>
      </w:pPr>
    </w:p>
    <w:p w:rsidR="0039012F" w:rsidP="007A66D5" w:rsidRDefault="008C1DAC" w14:paraId="7DA7DEE9" w14:textId="4067478D">
      <w:pPr>
        <w:tabs>
          <w:tab w:val="left" w:pos="180"/>
        </w:tabs>
      </w:pPr>
      <w:r w:rsidRPr="0039012F">
        <w:t xml:space="preserve">The </w:t>
      </w:r>
      <w:r w:rsidR="0039012F">
        <w:t xml:space="preserve">mean </w:t>
      </w:r>
      <w:r w:rsidRPr="0039012F" w:rsidR="00231420">
        <w:t>hourly wage rates were obtained from the Bureau of Labor &amp; Statistics</w:t>
      </w:r>
      <w:r w:rsidRPr="0039012F" w:rsidR="00231420">
        <w:rPr>
          <w:rStyle w:val="FootnoteReference"/>
        </w:rPr>
        <w:footnoteReference w:id="7"/>
      </w:r>
      <w:r w:rsidR="0039012F">
        <w:t xml:space="preserve"> and doubled to account for overhead and fringe benefits.</w:t>
      </w:r>
      <w:r w:rsidRPr="0039012F" w:rsidR="00231420">
        <w:t xml:space="preserve"> </w:t>
      </w:r>
      <w:r w:rsidR="0039012F">
        <w:t>The occupational codes used were as follows:</w:t>
      </w:r>
    </w:p>
    <w:p w:rsidRPr="00804DB6" w:rsidR="0039012F" w:rsidP="0039012F" w:rsidRDefault="0039012F" w14:paraId="66C53022" w14:textId="198D5621">
      <w:pPr>
        <w:pStyle w:val="ListParagraph"/>
        <w:numPr>
          <w:ilvl w:val="0"/>
          <w:numId w:val="58"/>
        </w:numPr>
        <w:tabs>
          <w:tab w:val="left" w:pos="180"/>
        </w:tabs>
        <w:rPr>
          <w:rFonts w:ascii="Times New Roman" w:hAnsi="Times New Roman" w:cs="Times New Roman"/>
        </w:rPr>
      </w:pPr>
      <w:r w:rsidRPr="00804DB6">
        <w:rPr>
          <w:rFonts w:ascii="Times New Roman" w:hAnsi="Times New Roman" w:cs="Times New Roman"/>
        </w:rPr>
        <w:t>For grantee and cooperative leadership</w:t>
      </w:r>
      <w:r w:rsidRPr="00804DB6" w:rsidR="00804DB6">
        <w:rPr>
          <w:rFonts w:ascii="Times New Roman" w:hAnsi="Times New Roman" w:cs="Times New Roman"/>
        </w:rPr>
        <w:t>, partners, and unaffiliated organizations – medical and health service managers (11-9111, $53.37)</w:t>
      </w:r>
    </w:p>
    <w:p w:rsidRPr="00804DB6" w:rsidR="0039012F" w:rsidP="007A66D5" w:rsidRDefault="0039012F" w14:paraId="35598354" w14:textId="10E936DD">
      <w:pPr>
        <w:pStyle w:val="ListParagraph"/>
        <w:numPr>
          <w:ilvl w:val="0"/>
          <w:numId w:val="58"/>
        </w:numPr>
        <w:tabs>
          <w:tab w:val="left" w:pos="180"/>
        </w:tabs>
        <w:rPr>
          <w:rFonts w:ascii="Times New Roman" w:hAnsi="Times New Roman" w:cs="Times New Roman"/>
        </w:rPr>
      </w:pPr>
      <w:r w:rsidRPr="00804DB6">
        <w:rPr>
          <w:rFonts w:ascii="Times New Roman" w:hAnsi="Times New Roman" w:cs="Times New Roman"/>
        </w:rPr>
        <w:t>For practices – an average of physicians (29-1228, $97.81), medical and health services managers (</w:t>
      </w:r>
      <w:r w:rsidRPr="00804DB6" w:rsidR="00954B99">
        <w:rPr>
          <w:rFonts w:ascii="Times New Roman" w:hAnsi="Times New Roman" w:cs="Times New Roman"/>
        </w:rPr>
        <w:t xml:space="preserve">11-9111, </w:t>
      </w:r>
      <w:r w:rsidRPr="00804DB6">
        <w:rPr>
          <w:rFonts w:ascii="Times New Roman" w:hAnsi="Times New Roman" w:cs="Times New Roman"/>
        </w:rPr>
        <w:t>$53.37), and nurse practitioners (29-1171, $53.77)</w:t>
      </w:r>
    </w:p>
    <w:p w:rsidRPr="00412C6F" w:rsidR="009B633D" w:rsidRDefault="009B633D" w14:paraId="6CDCD270" w14:textId="0420A126">
      <w:pPr>
        <w:pStyle w:val="Heading2"/>
        <w:rPr>
          <w:sz w:val="24"/>
        </w:rPr>
      </w:pPr>
      <w:bookmarkStart w:name="_Toc151782188" w:id="45"/>
      <w:bookmarkStart w:name="_Toc158526228" w:id="46"/>
      <w:bookmarkStart w:name="_Toc44596539" w:id="47"/>
      <w:r w:rsidRPr="007F23B1">
        <w:rPr>
          <w:sz w:val="24"/>
        </w:rPr>
        <w:t>13. Estimates of Annualized Respondent Capital and Maintenance Costs</w:t>
      </w:r>
      <w:bookmarkEnd w:id="45"/>
      <w:bookmarkEnd w:id="46"/>
      <w:bookmarkEnd w:id="47"/>
    </w:p>
    <w:p w:rsidR="00E14FC3" w:rsidP="00B87A7C" w:rsidRDefault="00B762E0" w14:paraId="0C69A59E" w14:textId="11259C94">
      <w:pPr>
        <w:spacing w:before="120"/>
      </w:pPr>
      <w:r w:rsidRPr="006C45D0">
        <w:t xml:space="preserve">Capital and maintenance costs include the purchase of </w:t>
      </w:r>
      <w:r w:rsidRPr="006C45D0" w:rsidR="00C205C8">
        <w:t xml:space="preserve">equipment, </w:t>
      </w:r>
      <w:r w:rsidRPr="006C45D0">
        <w:t>computer</w:t>
      </w:r>
      <w:r w:rsidRPr="006C45D0" w:rsidR="00C205C8">
        <w:t xml:space="preserve">s or computer software or services, or storage facilities for records, as a result of complying with this </w:t>
      </w:r>
      <w:r w:rsidR="00A54685">
        <w:lastRenderedPageBreak/>
        <w:t>information</w:t>
      </w:r>
      <w:r w:rsidRPr="006C45D0" w:rsidR="00C205C8">
        <w:t xml:space="preserve"> collection.</w:t>
      </w:r>
      <w:r w:rsidR="00FF6D85">
        <w:rPr>
          <w:i/>
        </w:rPr>
        <w:t xml:space="preserve"> </w:t>
      </w:r>
      <w:r w:rsidR="00C205C8">
        <w:t>T</w:t>
      </w:r>
      <w:r w:rsidR="0080612B">
        <w:t>here are no direct costs to respondents other than their time to participate in the study.</w:t>
      </w:r>
    </w:p>
    <w:p w:rsidR="009B633D" w:rsidP="009B633D" w:rsidRDefault="009B633D" w14:paraId="4C035013" w14:textId="4CDD6063">
      <w:pPr>
        <w:pStyle w:val="Heading2"/>
        <w:rPr>
          <w:sz w:val="24"/>
        </w:rPr>
      </w:pPr>
      <w:bookmarkStart w:name="_Toc58725299" w:id="48"/>
      <w:bookmarkStart w:name="_Toc151782189" w:id="49"/>
      <w:bookmarkStart w:name="_Toc158526229" w:id="50"/>
      <w:bookmarkStart w:name="_Toc44596540" w:id="51"/>
      <w:r w:rsidRPr="007F23B1">
        <w:rPr>
          <w:sz w:val="24"/>
        </w:rPr>
        <w:t>14. Estimates of Annualized Cost to the Government</w:t>
      </w:r>
      <w:bookmarkEnd w:id="48"/>
      <w:bookmarkEnd w:id="49"/>
      <w:bookmarkEnd w:id="50"/>
      <w:bookmarkEnd w:id="51"/>
    </w:p>
    <w:p w:rsidRPr="003428CE" w:rsidR="003428CE" w:rsidP="003428CE" w:rsidRDefault="003428CE" w14:paraId="3623D327" w14:textId="77777777"/>
    <w:p w:rsidR="00012FB9" w:rsidP="00012FB9" w:rsidRDefault="008C1DAC" w14:paraId="17684860" w14:textId="49D11701">
      <w:bookmarkStart w:name="_Toc151782190" w:id="52"/>
      <w:bookmarkStart w:name="_Toc158526230" w:id="53"/>
      <w:r>
        <w:rPr>
          <w:b/>
          <w:bCs/>
          <w:color w:val="000000"/>
        </w:rPr>
        <w:t>Table 6</w:t>
      </w:r>
      <w:r w:rsidR="00012FB9">
        <w:rPr>
          <w:b/>
          <w:bCs/>
          <w:color w:val="000000"/>
        </w:rPr>
        <w:t>.  Estimated</w:t>
      </w:r>
      <w:r w:rsidR="00FD1D9C">
        <w:rPr>
          <w:b/>
          <w:bCs/>
          <w:color w:val="000000"/>
        </w:rPr>
        <w:t xml:space="preserve"> Total and Annualized</w:t>
      </w:r>
      <w:r w:rsidR="00012FB9">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926"/>
        <w:gridCol w:w="1116"/>
        <w:gridCol w:w="1980"/>
      </w:tblGrid>
      <w:tr w:rsidR="00012FB9" w:rsidTr="003746EF" w14:paraId="4A1A036A" w14:textId="77777777">
        <w:tc>
          <w:tcPr>
            <w:tcW w:w="39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012FB9" w:rsidR="00012FB9" w:rsidP="00012FB9" w:rsidRDefault="00012FB9" w14:paraId="16AD501D" w14:textId="77777777">
            <w:pPr>
              <w:rPr>
                <w:b/>
              </w:rPr>
            </w:pPr>
            <w:r w:rsidRPr="00012FB9">
              <w:rPr>
                <w:b/>
                <w:color w:val="000000"/>
              </w:rPr>
              <w:t xml:space="preserve">Cost Component </w:t>
            </w:r>
          </w:p>
        </w:tc>
        <w:tc>
          <w:tcPr>
            <w:tcW w:w="11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012FB9" w:rsidP="001A28C0" w:rsidRDefault="00012FB9" w14:paraId="11E715B8" w14:textId="77777777">
            <w:pPr>
              <w:jc w:val="center"/>
              <w:rPr>
                <w:b/>
              </w:rPr>
            </w:pPr>
            <w:r w:rsidRPr="00012FB9">
              <w:rPr>
                <w:b/>
              </w:rPr>
              <w:t>Total Cost</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012FB9" w:rsidP="001A28C0" w:rsidRDefault="00012FB9" w14:paraId="6938FB9F" w14:textId="77777777">
            <w:pPr>
              <w:jc w:val="center"/>
              <w:rPr>
                <w:b/>
              </w:rPr>
            </w:pPr>
            <w:r w:rsidRPr="00012FB9">
              <w:rPr>
                <w:b/>
              </w:rPr>
              <w:t>Annualized Cost</w:t>
            </w:r>
          </w:p>
        </w:tc>
      </w:tr>
      <w:tr w:rsidR="007E384A" w:rsidTr="003746EF" w14:paraId="40E72790" w14:textId="77777777">
        <w:tc>
          <w:tcPr>
            <w:tcW w:w="39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7E384A" w:rsidP="007E384A" w:rsidRDefault="007F23B1" w14:paraId="6301CEA0" w14:textId="651AFEE0">
            <w:r>
              <w:t>Instrument development</w:t>
            </w:r>
          </w:p>
        </w:tc>
        <w:tc>
          <w:tcPr>
            <w:tcW w:w="111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A01E6" w:rsidR="007E384A" w:rsidP="00F70928" w:rsidRDefault="0018741E" w14:paraId="5760B726" w14:textId="3CCAED11">
            <w:pPr>
              <w:jc w:val="right"/>
            </w:pPr>
            <w:r>
              <w:t>$</w:t>
            </w:r>
            <w:r w:rsidR="00F70928">
              <w:t>30</w:t>
            </w:r>
            <w:r>
              <w:t>,000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7E384A" w:rsidP="00F70928" w:rsidRDefault="0018741E" w14:paraId="345F23A4" w14:textId="5D5FF651">
            <w:pPr>
              <w:jc w:val="right"/>
            </w:pPr>
            <w:r>
              <w:t>$</w:t>
            </w:r>
            <w:r w:rsidR="00F70928">
              <w:t>30</w:t>
            </w:r>
            <w:r>
              <w:t>,000</w:t>
            </w:r>
          </w:p>
        </w:tc>
      </w:tr>
      <w:tr w:rsidR="007E384A" w:rsidTr="003746EF" w14:paraId="7DF64C6B" w14:textId="77777777">
        <w:tc>
          <w:tcPr>
            <w:tcW w:w="39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7E384A" w:rsidP="007E384A" w:rsidRDefault="00E057E5" w14:paraId="7EE5A91C" w14:textId="769A8041">
            <w:r>
              <w:t xml:space="preserve">Information </w:t>
            </w:r>
            <w:r w:rsidR="007F23B1">
              <w:t>collection</w:t>
            </w:r>
          </w:p>
        </w:tc>
        <w:tc>
          <w:tcPr>
            <w:tcW w:w="111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F05A8B" w:rsidR="007E384A" w:rsidP="007E384A" w:rsidRDefault="00F70928" w14:paraId="4B95834B" w14:textId="4579695A">
            <w:pPr>
              <w:jc w:val="right"/>
            </w:pPr>
            <w:r>
              <w:t>$300,000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7E384A" w:rsidP="007E384A" w:rsidRDefault="00F70928" w14:paraId="41DAB248" w14:textId="5DCB790F">
            <w:pPr>
              <w:jc w:val="right"/>
            </w:pPr>
            <w:r>
              <w:t>$100,000</w:t>
            </w:r>
          </w:p>
        </w:tc>
      </w:tr>
      <w:tr w:rsidR="007E384A" w:rsidTr="003746EF" w14:paraId="1A4333E5" w14:textId="77777777">
        <w:tc>
          <w:tcPr>
            <w:tcW w:w="39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7E384A" w:rsidP="007F23B1" w:rsidRDefault="00E057E5" w14:paraId="6CDEA406" w14:textId="20374755">
            <w:r>
              <w:t xml:space="preserve">Information </w:t>
            </w:r>
            <w:r w:rsidR="007F23B1">
              <w:t>processing and a</w:t>
            </w:r>
            <w:r w:rsidR="007E384A">
              <w:t>nalysis</w:t>
            </w:r>
          </w:p>
        </w:tc>
        <w:tc>
          <w:tcPr>
            <w:tcW w:w="111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5E3B64" w:rsidR="007E384A" w:rsidP="007E384A" w:rsidRDefault="00F70928" w14:paraId="34475D76" w14:textId="61F02CB5">
            <w:pPr>
              <w:jc w:val="right"/>
            </w:pPr>
            <w:r>
              <w:t>$180,000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7E384A" w:rsidP="007E384A" w:rsidRDefault="00F70928" w14:paraId="30D94545" w14:textId="55F00A0C">
            <w:pPr>
              <w:jc w:val="right"/>
            </w:pPr>
            <w:r>
              <w:t>$60,000</w:t>
            </w:r>
          </w:p>
        </w:tc>
      </w:tr>
      <w:tr w:rsidR="007E384A" w:rsidTr="003746EF" w14:paraId="3A44231A" w14:textId="77777777">
        <w:tc>
          <w:tcPr>
            <w:tcW w:w="39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7E384A" w:rsidP="007E384A" w:rsidRDefault="007F23B1" w14:paraId="1F2AAB24" w14:textId="5D761582">
            <w:r>
              <w:t>Reporting of results</w:t>
            </w:r>
          </w:p>
        </w:tc>
        <w:tc>
          <w:tcPr>
            <w:tcW w:w="111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D134A" w:rsidR="007E384A" w:rsidP="007E384A" w:rsidRDefault="00F70928" w14:paraId="42F43A7A" w14:textId="74BE5695">
            <w:pPr>
              <w:jc w:val="right"/>
            </w:pPr>
            <w:r>
              <w:t>$60,000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7E384A" w:rsidP="007E384A" w:rsidRDefault="00F70928" w14:paraId="2E742F37" w14:textId="450C855E">
            <w:pPr>
              <w:jc w:val="right"/>
            </w:pPr>
            <w:r>
              <w:t>$20,000</w:t>
            </w:r>
          </w:p>
        </w:tc>
      </w:tr>
      <w:tr w:rsidR="007E384A" w:rsidTr="003746EF" w14:paraId="67BF1B22" w14:textId="77777777">
        <w:tc>
          <w:tcPr>
            <w:tcW w:w="39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7E384A" w:rsidP="007E384A" w:rsidRDefault="007F23B1" w14:paraId="63037948" w14:textId="7D365540">
            <w:r>
              <w:t>Project m</w:t>
            </w:r>
            <w:r w:rsidR="007E384A">
              <w:t>anagement</w:t>
            </w:r>
          </w:p>
        </w:tc>
        <w:tc>
          <w:tcPr>
            <w:tcW w:w="111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AF0EC4" w:rsidR="007E384A" w:rsidP="007E384A" w:rsidRDefault="0018741E" w14:paraId="17509B05" w14:textId="393D2580">
            <w:pPr>
              <w:jc w:val="right"/>
            </w:pPr>
            <w:r>
              <w:t>$30,000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7E384A" w:rsidP="007E384A" w:rsidRDefault="0018741E" w14:paraId="0A57DCD2" w14:textId="79D4616F">
            <w:pPr>
              <w:jc w:val="right"/>
            </w:pPr>
            <w:r>
              <w:t>$10,000</w:t>
            </w:r>
          </w:p>
        </w:tc>
      </w:tr>
      <w:tr w:rsidR="007E384A" w:rsidTr="003746EF" w14:paraId="1AAC6D52" w14:textId="77777777">
        <w:tc>
          <w:tcPr>
            <w:tcW w:w="39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D1C5E" w:rsidR="007E384A" w:rsidP="007E384A" w:rsidRDefault="007E384A" w14:paraId="2980E60F" w14:textId="77777777">
            <w:r w:rsidRPr="006D1C5E">
              <w:rPr>
                <w:b/>
                <w:bCs/>
                <w:color w:val="000000"/>
              </w:rPr>
              <w:t>Total</w:t>
            </w:r>
          </w:p>
        </w:tc>
        <w:tc>
          <w:tcPr>
            <w:tcW w:w="1114"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8451A8" w:rsidR="007E384A" w:rsidP="007E384A" w:rsidRDefault="0018741E" w14:paraId="510686D8" w14:textId="07AAA9B4">
            <w:pPr>
              <w:jc w:val="right"/>
            </w:pPr>
            <w:r>
              <w:t>$600,000</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7E384A" w:rsidP="007E384A" w:rsidRDefault="00C7077E" w14:paraId="026FEB8F" w14:textId="3062519F">
            <w:pPr>
              <w:jc w:val="right"/>
            </w:pPr>
            <w:r>
              <w:t>$200,000</w:t>
            </w:r>
          </w:p>
        </w:tc>
      </w:tr>
    </w:tbl>
    <w:p w:rsidR="00233BA3" w:rsidP="000563C5" w:rsidRDefault="00233BA3" w14:paraId="7F212B8A" w14:textId="77777777">
      <w:pPr>
        <w:rPr>
          <w:b/>
          <w:bCs/>
        </w:rPr>
      </w:pPr>
    </w:p>
    <w:p w:rsidRPr="00BE4CC6" w:rsidR="00E42494" w:rsidP="000563C5" w:rsidRDefault="008C1DAC" w14:paraId="3C457857" w14:textId="756C60EE">
      <w:pPr>
        <w:rPr>
          <w:b/>
          <w:bCs/>
        </w:rPr>
      </w:pPr>
      <w:r>
        <w:rPr>
          <w:b/>
          <w:bCs/>
        </w:rPr>
        <w:t>Table 7</w:t>
      </w:r>
      <w:r w:rsidRPr="00BE4CC6" w:rsidR="00E42494">
        <w:rPr>
          <w:b/>
          <w:bCs/>
        </w:rPr>
        <w:t>.  Government Personnel Cost</w:t>
      </w:r>
    </w:p>
    <w:tbl>
      <w:tblPr>
        <w:tblpPr w:leftFromText="180" w:rightFromText="180" w:vertAnchor="text" w:horzAnchor="margin" w:tblpXSpec="center" w:tblpY="150"/>
        <w:tblW w:w="8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94"/>
        <w:gridCol w:w="1530"/>
        <w:gridCol w:w="990"/>
        <w:gridCol w:w="990"/>
      </w:tblGrid>
      <w:tr w:rsidRPr="00444ADE" w:rsidR="00E42494" w:rsidTr="006C58B4" w14:paraId="7F4315F9" w14:textId="77777777">
        <w:trPr>
          <w:trHeight w:val="257"/>
        </w:trPr>
        <w:tc>
          <w:tcPr>
            <w:tcW w:w="5094" w:type="dxa"/>
            <w:vAlign w:val="center"/>
          </w:tcPr>
          <w:p w:rsidRPr="00444ADE" w:rsidR="00E42494" w:rsidP="006C58B4" w:rsidRDefault="00E42494" w14:paraId="50267A52" w14:textId="77777777">
            <w:pPr>
              <w:pStyle w:val="P1-StandPara"/>
              <w:spacing w:line="240" w:lineRule="auto"/>
              <w:ind w:firstLine="0"/>
              <w:rPr>
                <w:b/>
                <w:bCs/>
                <w:sz w:val="24"/>
                <w:szCs w:val="24"/>
              </w:rPr>
            </w:pPr>
            <w:r w:rsidRPr="00444ADE">
              <w:rPr>
                <w:b/>
                <w:bCs/>
                <w:sz w:val="24"/>
                <w:szCs w:val="24"/>
              </w:rPr>
              <w:t>Tasks/Personnel</w:t>
            </w:r>
          </w:p>
        </w:tc>
        <w:tc>
          <w:tcPr>
            <w:tcW w:w="1530" w:type="dxa"/>
            <w:vAlign w:val="center"/>
          </w:tcPr>
          <w:p w:rsidRPr="00444ADE" w:rsidR="00E42494" w:rsidP="006C58B4" w:rsidRDefault="00E42494" w14:paraId="6F2F7806" w14:textId="77777777">
            <w:pPr>
              <w:pStyle w:val="P1-StandPara"/>
              <w:spacing w:line="240" w:lineRule="auto"/>
              <w:ind w:firstLine="0"/>
              <w:jc w:val="center"/>
              <w:rPr>
                <w:b/>
                <w:bCs/>
                <w:sz w:val="24"/>
                <w:szCs w:val="24"/>
              </w:rPr>
            </w:pPr>
            <w:r w:rsidRPr="00444ADE">
              <w:rPr>
                <w:b/>
                <w:bCs/>
                <w:sz w:val="24"/>
                <w:szCs w:val="24"/>
              </w:rPr>
              <w:t>Annual Salary</w:t>
            </w:r>
          </w:p>
        </w:tc>
        <w:tc>
          <w:tcPr>
            <w:tcW w:w="990" w:type="dxa"/>
            <w:vAlign w:val="center"/>
          </w:tcPr>
          <w:p w:rsidRPr="00444ADE" w:rsidR="00E42494" w:rsidP="006C58B4" w:rsidRDefault="00E42494" w14:paraId="0B1C6F06" w14:textId="77777777">
            <w:pPr>
              <w:pStyle w:val="P1-StandPara"/>
              <w:spacing w:line="240" w:lineRule="auto"/>
              <w:ind w:firstLine="0"/>
              <w:jc w:val="center"/>
              <w:rPr>
                <w:b/>
                <w:bCs/>
                <w:sz w:val="24"/>
                <w:szCs w:val="24"/>
              </w:rPr>
            </w:pPr>
            <w:r w:rsidRPr="00444ADE">
              <w:rPr>
                <w:b/>
                <w:bCs/>
                <w:sz w:val="24"/>
                <w:szCs w:val="24"/>
              </w:rPr>
              <w:t>% of Time</w:t>
            </w:r>
          </w:p>
        </w:tc>
        <w:tc>
          <w:tcPr>
            <w:tcW w:w="990" w:type="dxa"/>
            <w:vAlign w:val="center"/>
          </w:tcPr>
          <w:p w:rsidRPr="00444ADE" w:rsidR="00E42494" w:rsidP="006C58B4" w:rsidRDefault="00E42494" w14:paraId="5CDC01EF" w14:textId="77777777">
            <w:pPr>
              <w:pStyle w:val="P1-StandPara"/>
              <w:spacing w:line="240" w:lineRule="auto"/>
              <w:ind w:firstLine="0"/>
              <w:jc w:val="center"/>
              <w:rPr>
                <w:b/>
                <w:bCs/>
                <w:sz w:val="24"/>
                <w:szCs w:val="24"/>
              </w:rPr>
            </w:pPr>
            <w:r w:rsidRPr="00444ADE">
              <w:rPr>
                <w:b/>
                <w:bCs/>
                <w:sz w:val="24"/>
                <w:szCs w:val="24"/>
              </w:rPr>
              <w:t>Cost</w:t>
            </w:r>
          </w:p>
        </w:tc>
      </w:tr>
      <w:tr w:rsidRPr="00BE4CC6" w:rsidR="00E42494" w:rsidTr="006C58B4" w14:paraId="0E7D148C" w14:textId="77777777">
        <w:trPr>
          <w:trHeight w:val="257"/>
        </w:trPr>
        <w:tc>
          <w:tcPr>
            <w:tcW w:w="8604" w:type="dxa"/>
            <w:gridSpan w:val="4"/>
            <w:vAlign w:val="center"/>
          </w:tcPr>
          <w:p w:rsidRPr="00BE4CC6" w:rsidR="00E42494" w:rsidP="006C58B4" w:rsidRDefault="00E42494" w14:paraId="4BAEDDBA" w14:textId="77777777">
            <w:pPr>
              <w:pStyle w:val="P1-StandPara"/>
              <w:spacing w:line="240" w:lineRule="auto"/>
              <w:ind w:firstLine="0"/>
              <w:rPr>
                <w:bCs/>
                <w:sz w:val="24"/>
                <w:szCs w:val="24"/>
              </w:rPr>
            </w:pPr>
            <w:r w:rsidRPr="00CE3972">
              <w:rPr>
                <w:bCs/>
                <w:sz w:val="24"/>
                <w:szCs w:val="24"/>
              </w:rPr>
              <w:t>PRE OMB Approval Costs</w:t>
            </w:r>
            <w:r w:rsidRPr="00BE4CC6">
              <w:rPr>
                <w:bCs/>
                <w:sz w:val="24"/>
                <w:szCs w:val="24"/>
              </w:rPr>
              <w:t xml:space="preserve"> </w:t>
            </w:r>
          </w:p>
        </w:tc>
      </w:tr>
      <w:tr w:rsidRPr="00BE4CC6" w:rsidR="00E42494" w:rsidTr="006C58B4" w14:paraId="1EE215C8" w14:textId="77777777">
        <w:trPr>
          <w:trHeight w:val="302"/>
        </w:trPr>
        <w:tc>
          <w:tcPr>
            <w:tcW w:w="5094" w:type="dxa"/>
            <w:vAlign w:val="center"/>
          </w:tcPr>
          <w:p w:rsidRPr="0073709E" w:rsidR="00E42494" w:rsidP="006C58B4" w:rsidRDefault="00E42494" w14:paraId="4F2F20CB" w14:textId="290EF9C0">
            <w:pPr>
              <w:pStyle w:val="P1-StandPara"/>
              <w:spacing w:line="240" w:lineRule="auto"/>
              <w:ind w:firstLine="0"/>
              <w:rPr>
                <w:bCs/>
                <w:sz w:val="24"/>
                <w:szCs w:val="24"/>
              </w:rPr>
            </w:pPr>
            <w:r>
              <w:rPr>
                <w:sz w:val="24"/>
                <w:szCs w:val="24"/>
              </w:rPr>
              <w:t xml:space="preserve">Social </w:t>
            </w:r>
            <w:r w:rsidRPr="0073709E">
              <w:rPr>
                <w:sz w:val="24"/>
                <w:szCs w:val="24"/>
              </w:rPr>
              <w:t xml:space="preserve">Science Analyst </w:t>
            </w:r>
            <w:r w:rsidRPr="0073709E">
              <w:rPr>
                <w:bCs/>
                <w:sz w:val="24"/>
                <w:szCs w:val="24"/>
              </w:rPr>
              <w:t>– GS15, Step 9</w:t>
            </w:r>
          </w:p>
        </w:tc>
        <w:tc>
          <w:tcPr>
            <w:tcW w:w="1530" w:type="dxa"/>
            <w:vAlign w:val="center"/>
          </w:tcPr>
          <w:p w:rsidRPr="00BE4CC6" w:rsidR="00E42494" w:rsidP="006C58B4" w:rsidRDefault="00E42494" w14:paraId="5E09FC96" w14:textId="77777777">
            <w:pPr>
              <w:pStyle w:val="P1-StandPara"/>
              <w:spacing w:line="240" w:lineRule="auto"/>
              <w:ind w:firstLine="0"/>
              <w:rPr>
                <w:bCs/>
                <w:sz w:val="24"/>
                <w:szCs w:val="24"/>
              </w:rPr>
            </w:pPr>
            <w:r>
              <w:rPr>
                <w:bCs/>
                <w:sz w:val="24"/>
                <w:szCs w:val="24"/>
              </w:rPr>
              <w:t>$164,2</w:t>
            </w:r>
            <w:r w:rsidRPr="00BE4CC6">
              <w:rPr>
                <w:bCs/>
                <w:sz w:val="24"/>
                <w:szCs w:val="24"/>
              </w:rPr>
              <w:t>00</w:t>
            </w:r>
          </w:p>
        </w:tc>
        <w:tc>
          <w:tcPr>
            <w:tcW w:w="990" w:type="dxa"/>
            <w:vAlign w:val="center"/>
          </w:tcPr>
          <w:p w:rsidRPr="00BE4CC6" w:rsidR="00E42494" w:rsidP="006C58B4" w:rsidRDefault="00E42494" w14:paraId="402BF576" w14:textId="77777777">
            <w:pPr>
              <w:pStyle w:val="P1-StandPara"/>
              <w:spacing w:line="240" w:lineRule="auto"/>
              <w:ind w:firstLine="0"/>
              <w:rPr>
                <w:bCs/>
                <w:sz w:val="24"/>
                <w:szCs w:val="24"/>
              </w:rPr>
            </w:pPr>
            <w:r w:rsidRPr="00BE4CC6">
              <w:rPr>
                <w:bCs/>
                <w:sz w:val="24"/>
                <w:szCs w:val="24"/>
              </w:rPr>
              <w:t>1%</w:t>
            </w:r>
          </w:p>
        </w:tc>
        <w:tc>
          <w:tcPr>
            <w:tcW w:w="990" w:type="dxa"/>
            <w:vAlign w:val="center"/>
          </w:tcPr>
          <w:p w:rsidRPr="00BE4CC6" w:rsidR="00E42494" w:rsidP="006C58B4" w:rsidRDefault="00E42494" w14:paraId="71748A14" w14:textId="77777777">
            <w:pPr>
              <w:pStyle w:val="P1-StandPara"/>
              <w:spacing w:line="240" w:lineRule="auto"/>
              <w:ind w:firstLine="0"/>
              <w:rPr>
                <w:bCs/>
                <w:sz w:val="24"/>
                <w:szCs w:val="24"/>
              </w:rPr>
            </w:pPr>
            <w:r w:rsidRPr="00BE4CC6">
              <w:rPr>
                <w:bCs/>
                <w:sz w:val="24"/>
                <w:szCs w:val="24"/>
              </w:rPr>
              <w:t>$1,</w:t>
            </w:r>
            <w:r>
              <w:rPr>
                <w:bCs/>
                <w:sz w:val="24"/>
                <w:szCs w:val="24"/>
              </w:rPr>
              <w:t>642</w:t>
            </w:r>
          </w:p>
        </w:tc>
      </w:tr>
      <w:tr w:rsidRPr="0073709E" w:rsidR="00E42494" w:rsidTr="006C58B4" w14:paraId="25B8C506" w14:textId="77777777">
        <w:trPr>
          <w:trHeight w:val="257"/>
        </w:trPr>
        <w:tc>
          <w:tcPr>
            <w:tcW w:w="8604" w:type="dxa"/>
            <w:gridSpan w:val="4"/>
            <w:vAlign w:val="center"/>
          </w:tcPr>
          <w:p w:rsidRPr="0073709E" w:rsidR="00E42494" w:rsidP="006C58B4" w:rsidRDefault="00E42494" w14:paraId="626A5E83" w14:textId="77777777">
            <w:pPr>
              <w:pStyle w:val="P1-StandPara"/>
              <w:spacing w:line="240" w:lineRule="auto"/>
              <w:ind w:firstLine="0"/>
              <w:rPr>
                <w:bCs/>
                <w:sz w:val="24"/>
                <w:szCs w:val="24"/>
                <w:highlight w:val="yellow"/>
              </w:rPr>
            </w:pPr>
            <w:r w:rsidRPr="00CE3972">
              <w:rPr>
                <w:bCs/>
                <w:sz w:val="24"/>
                <w:szCs w:val="24"/>
              </w:rPr>
              <w:t>POST OMB Approval Costs</w:t>
            </w:r>
          </w:p>
        </w:tc>
      </w:tr>
      <w:tr w:rsidRPr="00BE4CC6" w:rsidR="00E42494" w:rsidTr="006C58B4" w14:paraId="0A48881C" w14:textId="77777777">
        <w:trPr>
          <w:trHeight w:val="311"/>
        </w:trPr>
        <w:tc>
          <w:tcPr>
            <w:tcW w:w="5094" w:type="dxa"/>
            <w:vAlign w:val="center"/>
          </w:tcPr>
          <w:p w:rsidRPr="0073709E" w:rsidR="00E42494" w:rsidP="006C58B4" w:rsidRDefault="00E42494" w14:paraId="25292311" w14:textId="3E8FFF89">
            <w:pPr>
              <w:pStyle w:val="P1-StandPara"/>
              <w:spacing w:line="240" w:lineRule="auto"/>
              <w:ind w:firstLine="0"/>
              <w:rPr>
                <w:bCs/>
                <w:sz w:val="24"/>
                <w:szCs w:val="24"/>
              </w:rPr>
            </w:pPr>
            <w:r w:rsidRPr="0073709E">
              <w:rPr>
                <w:sz w:val="24"/>
                <w:szCs w:val="24"/>
              </w:rPr>
              <w:t xml:space="preserve">Social Science Analyst </w:t>
            </w:r>
            <w:r w:rsidRPr="0073709E">
              <w:rPr>
                <w:bCs/>
                <w:sz w:val="24"/>
                <w:szCs w:val="24"/>
              </w:rPr>
              <w:t>– GS15, Step 9</w:t>
            </w:r>
          </w:p>
        </w:tc>
        <w:tc>
          <w:tcPr>
            <w:tcW w:w="1530" w:type="dxa"/>
            <w:vAlign w:val="center"/>
          </w:tcPr>
          <w:p w:rsidRPr="00BE4CC6" w:rsidR="00E42494" w:rsidP="006C58B4" w:rsidRDefault="00E42494" w14:paraId="3632F7DA" w14:textId="77777777">
            <w:pPr>
              <w:pStyle w:val="P1-StandPara"/>
              <w:spacing w:line="240" w:lineRule="auto"/>
              <w:ind w:firstLine="0"/>
              <w:rPr>
                <w:bCs/>
                <w:sz w:val="24"/>
                <w:szCs w:val="24"/>
              </w:rPr>
            </w:pPr>
            <w:r w:rsidRPr="0073709E">
              <w:rPr>
                <w:bCs/>
                <w:sz w:val="24"/>
                <w:szCs w:val="24"/>
              </w:rPr>
              <w:t>$1</w:t>
            </w:r>
            <w:r>
              <w:rPr>
                <w:bCs/>
                <w:sz w:val="24"/>
                <w:szCs w:val="24"/>
              </w:rPr>
              <w:t>64,2</w:t>
            </w:r>
            <w:r w:rsidRPr="00BE4CC6">
              <w:rPr>
                <w:bCs/>
                <w:sz w:val="24"/>
                <w:szCs w:val="24"/>
              </w:rPr>
              <w:t>00</w:t>
            </w:r>
          </w:p>
        </w:tc>
        <w:tc>
          <w:tcPr>
            <w:tcW w:w="990" w:type="dxa"/>
            <w:vAlign w:val="center"/>
          </w:tcPr>
          <w:p w:rsidRPr="00BE4CC6" w:rsidR="00E42494" w:rsidP="006C58B4" w:rsidRDefault="00E42494" w14:paraId="5C5B3445" w14:textId="77777777">
            <w:pPr>
              <w:pStyle w:val="P1-StandPara"/>
              <w:spacing w:line="240" w:lineRule="auto"/>
              <w:ind w:firstLine="0"/>
              <w:rPr>
                <w:bCs/>
                <w:sz w:val="24"/>
                <w:szCs w:val="24"/>
              </w:rPr>
            </w:pPr>
            <w:r w:rsidRPr="00BE4CC6">
              <w:rPr>
                <w:bCs/>
                <w:sz w:val="24"/>
                <w:szCs w:val="24"/>
              </w:rPr>
              <w:t>2%</w:t>
            </w:r>
          </w:p>
        </w:tc>
        <w:tc>
          <w:tcPr>
            <w:tcW w:w="990" w:type="dxa"/>
            <w:vAlign w:val="center"/>
          </w:tcPr>
          <w:p w:rsidRPr="00BE4CC6" w:rsidR="00E42494" w:rsidP="006C58B4" w:rsidRDefault="00E42494" w14:paraId="31F11F3F" w14:textId="77777777">
            <w:pPr>
              <w:pStyle w:val="P1-StandPara"/>
              <w:spacing w:line="240" w:lineRule="auto"/>
              <w:ind w:firstLine="0"/>
              <w:rPr>
                <w:bCs/>
                <w:sz w:val="24"/>
                <w:szCs w:val="24"/>
              </w:rPr>
            </w:pPr>
            <w:r>
              <w:rPr>
                <w:bCs/>
                <w:sz w:val="24"/>
                <w:szCs w:val="24"/>
              </w:rPr>
              <w:t>$3,284</w:t>
            </w:r>
          </w:p>
        </w:tc>
      </w:tr>
      <w:tr w:rsidRPr="00444ADE" w:rsidR="00E42494" w:rsidTr="006C58B4" w14:paraId="03122839" w14:textId="77777777">
        <w:trPr>
          <w:trHeight w:val="320"/>
        </w:trPr>
        <w:tc>
          <w:tcPr>
            <w:tcW w:w="5094" w:type="dxa"/>
            <w:vAlign w:val="center"/>
          </w:tcPr>
          <w:p w:rsidRPr="00444ADE" w:rsidR="00E42494" w:rsidP="006C58B4" w:rsidRDefault="00E42494" w14:paraId="1B9A53F2" w14:textId="64AA16EB">
            <w:pPr>
              <w:pStyle w:val="P1-StandPara"/>
              <w:spacing w:line="240" w:lineRule="auto"/>
              <w:ind w:firstLine="0"/>
              <w:rPr>
                <w:b/>
                <w:bCs/>
                <w:sz w:val="24"/>
                <w:szCs w:val="24"/>
              </w:rPr>
            </w:pPr>
            <w:r w:rsidRPr="00444ADE">
              <w:rPr>
                <w:b/>
                <w:bCs/>
                <w:sz w:val="24"/>
                <w:szCs w:val="24"/>
              </w:rPr>
              <w:t>Total</w:t>
            </w:r>
          </w:p>
        </w:tc>
        <w:tc>
          <w:tcPr>
            <w:tcW w:w="1530" w:type="dxa"/>
          </w:tcPr>
          <w:p w:rsidRPr="00444ADE" w:rsidR="00E42494" w:rsidP="006C58B4" w:rsidRDefault="00E42494" w14:paraId="0A93201E" w14:textId="77777777">
            <w:pPr>
              <w:pStyle w:val="P1-StandPara"/>
              <w:spacing w:line="240" w:lineRule="auto"/>
              <w:ind w:firstLine="0"/>
              <w:rPr>
                <w:b/>
                <w:bCs/>
                <w:sz w:val="24"/>
                <w:szCs w:val="24"/>
              </w:rPr>
            </w:pPr>
          </w:p>
        </w:tc>
        <w:tc>
          <w:tcPr>
            <w:tcW w:w="990" w:type="dxa"/>
          </w:tcPr>
          <w:p w:rsidRPr="00444ADE" w:rsidR="00E42494" w:rsidP="006C58B4" w:rsidRDefault="00E42494" w14:paraId="4943D106" w14:textId="77777777">
            <w:pPr>
              <w:pStyle w:val="P1-StandPara"/>
              <w:spacing w:line="240" w:lineRule="auto"/>
              <w:ind w:firstLine="0"/>
              <w:rPr>
                <w:b/>
                <w:bCs/>
                <w:sz w:val="24"/>
                <w:szCs w:val="24"/>
              </w:rPr>
            </w:pPr>
          </w:p>
        </w:tc>
        <w:tc>
          <w:tcPr>
            <w:tcW w:w="990" w:type="dxa"/>
            <w:vAlign w:val="center"/>
          </w:tcPr>
          <w:p w:rsidRPr="00444ADE" w:rsidR="00E42494" w:rsidP="006C58B4" w:rsidRDefault="00E42494" w14:paraId="49B6C0E0" w14:textId="77777777">
            <w:pPr>
              <w:pStyle w:val="P1-StandPara"/>
              <w:spacing w:line="240" w:lineRule="auto"/>
              <w:ind w:firstLine="0"/>
              <w:rPr>
                <w:b/>
                <w:bCs/>
                <w:sz w:val="24"/>
                <w:szCs w:val="24"/>
                <w:highlight w:val="yellow"/>
              </w:rPr>
            </w:pPr>
            <w:r>
              <w:rPr>
                <w:b/>
                <w:bCs/>
                <w:sz w:val="24"/>
                <w:szCs w:val="24"/>
              </w:rPr>
              <w:t>$4,926</w:t>
            </w:r>
          </w:p>
        </w:tc>
      </w:tr>
    </w:tbl>
    <w:p w:rsidRPr="00E42494" w:rsidR="00E42494" w:rsidP="00E42494" w:rsidRDefault="008C1DAC" w14:paraId="6A9DB3D3" w14:textId="0CC49193">
      <w:pPr>
        <w:pStyle w:val="Heading2"/>
        <w:spacing w:before="0" w:after="0"/>
        <w:rPr>
          <w:rFonts w:ascii="Times New Roman" w:hAnsi="Times New Roman" w:cs="Times New Roman"/>
          <w:b w:val="0"/>
          <w:i w:val="0"/>
          <w:sz w:val="20"/>
          <w:szCs w:val="20"/>
        </w:rPr>
      </w:pPr>
      <w:bookmarkStart w:name="_Toc44596541" w:id="54"/>
      <w:r>
        <w:rPr>
          <w:rFonts w:ascii="Times New Roman" w:hAnsi="Times New Roman" w:cs="Times New Roman"/>
          <w:b w:val="0"/>
          <w:i w:val="0"/>
          <w:sz w:val="20"/>
          <w:szCs w:val="20"/>
        </w:rPr>
        <w:t xml:space="preserve">Note: </w:t>
      </w:r>
      <w:r w:rsidR="00EB4050">
        <w:rPr>
          <w:rFonts w:ascii="Times New Roman" w:hAnsi="Times New Roman" w:cs="Times New Roman"/>
          <w:b w:val="0"/>
          <w:i w:val="0"/>
          <w:sz w:val="20"/>
          <w:szCs w:val="20"/>
        </w:rPr>
        <w:t>Rates are b</w:t>
      </w:r>
      <w:r w:rsidR="00E42494">
        <w:rPr>
          <w:rFonts w:ascii="Times New Roman" w:hAnsi="Times New Roman" w:cs="Times New Roman"/>
          <w:b w:val="0"/>
          <w:i w:val="0"/>
          <w:sz w:val="20"/>
          <w:szCs w:val="20"/>
        </w:rPr>
        <w:t>ased on 2019</w:t>
      </w:r>
      <w:r w:rsidRPr="00444ADE" w:rsidR="00E42494">
        <w:rPr>
          <w:rFonts w:ascii="Times New Roman" w:hAnsi="Times New Roman" w:cs="Times New Roman"/>
          <w:b w:val="0"/>
          <w:i w:val="0"/>
          <w:sz w:val="20"/>
          <w:szCs w:val="20"/>
        </w:rPr>
        <w:t xml:space="preserve"> OPM Pay Schedule for Washington/DC area:  </w:t>
      </w:r>
      <w:r w:rsidRPr="00E42494" w:rsidR="00E42494">
        <w:rPr>
          <w:rFonts w:ascii="Times New Roman" w:hAnsi="Times New Roman" w:cs="Times New Roman"/>
          <w:b w:val="0"/>
          <w:i w:val="0"/>
          <w:sz w:val="20"/>
          <w:szCs w:val="20"/>
        </w:rPr>
        <w:t>https://www.opm.gov/policy-data-oversight/pay-leave/salaries-wages/2019/general-schedule/</w:t>
      </w:r>
      <w:bookmarkEnd w:id="54"/>
    </w:p>
    <w:p w:rsidR="009B633D" w:rsidP="00E42494" w:rsidRDefault="009B633D" w14:paraId="3F088A6F" w14:textId="5D2D2AD3">
      <w:pPr>
        <w:pStyle w:val="Heading2"/>
        <w:rPr>
          <w:sz w:val="24"/>
        </w:rPr>
      </w:pPr>
      <w:bookmarkStart w:name="_Toc44596542" w:id="55"/>
      <w:r w:rsidRPr="00412C6F">
        <w:rPr>
          <w:sz w:val="24"/>
        </w:rPr>
        <w:t>15. Changes in Hour Burden</w:t>
      </w:r>
      <w:bookmarkEnd w:id="52"/>
      <w:bookmarkEnd w:id="53"/>
      <w:bookmarkEnd w:id="55"/>
    </w:p>
    <w:p w:rsidRPr="00E42494" w:rsidR="00B47636" w:rsidP="00E42494" w:rsidRDefault="00E42494" w14:paraId="023F02A1" w14:textId="74C65754">
      <w:bookmarkStart w:name="_Toc267696114" w:id="56"/>
      <w:bookmarkStart w:name="_Toc267696539" w:id="57"/>
      <w:r>
        <w:t>T</w:t>
      </w:r>
      <w:r w:rsidRPr="00D40F34">
        <w:t>his is a new inform</w:t>
      </w:r>
      <w:r>
        <w:t>ation collection.</w:t>
      </w:r>
      <w:bookmarkEnd w:id="56"/>
      <w:bookmarkEnd w:id="57"/>
    </w:p>
    <w:p w:rsidR="009B633D" w:rsidP="009B633D" w:rsidRDefault="009B633D" w14:paraId="51C2E319" w14:textId="333A4E20">
      <w:pPr>
        <w:pStyle w:val="Heading2"/>
        <w:rPr>
          <w:sz w:val="24"/>
        </w:rPr>
      </w:pPr>
      <w:bookmarkStart w:name="_Toc151782191" w:id="58"/>
      <w:bookmarkStart w:name="_Toc158526231" w:id="59"/>
      <w:bookmarkStart w:name="_Toc44596543" w:id="60"/>
      <w:r w:rsidRPr="000563C5">
        <w:rPr>
          <w:sz w:val="24"/>
        </w:rPr>
        <w:t>16. Time Schedule, Publication and Analysis Plans</w:t>
      </w:r>
      <w:bookmarkEnd w:id="58"/>
      <w:bookmarkEnd w:id="59"/>
      <w:bookmarkEnd w:id="60"/>
    </w:p>
    <w:p w:rsidRPr="00E4420D" w:rsidR="007A66D5" w:rsidP="0013447B" w:rsidRDefault="007A66D5" w14:paraId="58E1130B" w14:textId="32F12CA4">
      <w:pPr>
        <w:spacing w:before="120"/>
        <w:rPr>
          <w:b/>
        </w:rPr>
      </w:pPr>
      <w:bookmarkStart w:name="_Toc151782196" w:id="61"/>
      <w:bookmarkStart w:name="_Toc158526232" w:id="62"/>
      <w:r w:rsidRPr="00E4420D">
        <w:rPr>
          <w:b/>
        </w:rPr>
        <w:t>Table 8. Project Timeline</w:t>
      </w:r>
    </w:p>
    <w:tbl>
      <w:tblPr>
        <w:tblStyle w:val="TableGrid2"/>
        <w:tblW w:w="8658" w:type="dxa"/>
        <w:tblLook w:val="0000" w:firstRow="0" w:lastRow="0" w:firstColumn="0" w:lastColumn="0" w:noHBand="0" w:noVBand="0"/>
      </w:tblPr>
      <w:tblGrid>
        <w:gridCol w:w="6295"/>
        <w:gridCol w:w="2363"/>
      </w:tblGrid>
      <w:tr w:rsidRPr="00012FB9" w:rsidR="007A66D5" w:rsidTr="00EB4050" w14:paraId="15266274" w14:textId="77777777">
        <w:tc>
          <w:tcPr>
            <w:tcW w:w="6295" w:type="dxa"/>
          </w:tcPr>
          <w:p w:rsidRPr="00012FB9" w:rsidR="007A66D5" w:rsidP="0023454E" w:rsidRDefault="007A66D5" w14:paraId="29B357FE" w14:textId="7C103F5E">
            <w:pPr>
              <w:rPr>
                <w:b/>
              </w:rPr>
            </w:pPr>
            <w:r>
              <w:rPr>
                <w:b/>
                <w:color w:val="000000"/>
              </w:rPr>
              <w:t>Description</w:t>
            </w:r>
            <w:r w:rsidRPr="00012FB9">
              <w:rPr>
                <w:b/>
                <w:color w:val="000000"/>
              </w:rPr>
              <w:t xml:space="preserve"> </w:t>
            </w:r>
          </w:p>
        </w:tc>
        <w:tc>
          <w:tcPr>
            <w:tcW w:w="2363" w:type="dxa"/>
          </w:tcPr>
          <w:p w:rsidRPr="00012FB9" w:rsidR="007A66D5" w:rsidP="00EB4050" w:rsidRDefault="007F23B1" w14:paraId="6043692A" w14:textId="160E2C62">
            <w:pPr>
              <w:rPr>
                <w:b/>
              </w:rPr>
            </w:pPr>
            <w:r>
              <w:rPr>
                <w:b/>
              </w:rPr>
              <w:t>Timing</w:t>
            </w:r>
          </w:p>
        </w:tc>
      </w:tr>
      <w:tr w:rsidRPr="00F05A8B" w:rsidR="007A66D5" w:rsidTr="00EB4050" w14:paraId="79F8912E" w14:textId="77777777">
        <w:tc>
          <w:tcPr>
            <w:tcW w:w="6295" w:type="dxa"/>
          </w:tcPr>
          <w:p w:rsidR="007A66D5" w:rsidP="007F23B1" w:rsidRDefault="007F23B1" w14:paraId="5E3E06D9" w14:textId="5C51EE9A">
            <w:r>
              <w:t>Interviews with grantees</w:t>
            </w:r>
            <w:r w:rsidR="00F37B71">
              <w:t>’</w:t>
            </w:r>
            <w:r>
              <w:t xml:space="preserve"> leadership</w:t>
            </w:r>
          </w:p>
        </w:tc>
        <w:tc>
          <w:tcPr>
            <w:tcW w:w="2363" w:type="dxa"/>
          </w:tcPr>
          <w:p w:rsidR="007A66D5" w:rsidP="007F23B1" w:rsidRDefault="007F23B1" w14:paraId="420EE5A6" w14:textId="77777777">
            <w:r>
              <w:t>Jan – Mar 2021</w:t>
            </w:r>
          </w:p>
          <w:p w:rsidR="007F23B1" w:rsidP="007F23B1" w:rsidRDefault="007F23B1" w14:paraId="3BC21E72" w14:textId="77777777">
            <w:r>
              <w:t>Jan – Mar 2022</w:t>
            </w:r>
          </w:p>
          <w:p w:rsidRPr="00F05A8B" w:rsidR="007F23B1" w:rsidP="007F23B1" w:rsidRDefault="007F23B1" w14:paraId="0C998E66" w14:textId="37A417F1">
            <w:r>
              <w:t>Jan – Mar 2023</w:t>
            </w:r>
          </w:p>
        </w:tc>
      </w:tr>
      <w:tr w:rsidRPr="00F05A8B" w:rsidR="00EB4050" w:rsidTr="00EB4050" w14:paraId="39218E17" w14:textId="77777777">
        <w:tc>
          <w:tcPr>
            <w:tcW w:w="6295" w:type="dxa"/>
          </w:tcPr>
          <w:p w:rsidR="00EB4050" w:rsidP="007F23B1" w:rsidRDefault="00EB4050" w14:paraId="3A6FC0D4" w14:textId="6519A2A4">
            <w:r>
              <w:t>Member checking session 1 with grantee and cooperative leadership and cooperative partners</w:t>
            </w:r>
          </w:p>
        </w:tc>
        <w:tc>
          <w:tcPr>
            <w:tcW w:w="2363" w:type="dxa"/>
          </w:tcPr>
          <w:p w:rsidR="00EB4050" w:rsidP="007F23B1" w:rsidRDefault="00EB4050" w14:paraId="6C45497F" w14:textId="014CE562">
            <w:r>
              <w:t>Jul – Sept 2021</w:t>
            </w:r>
          </w:p>
        </w:tc>
      </w:tr>
      <w:tr w:rsidRPr="005E3B64" w:rsidR="007A66D5" w:rsidTr="00EB4050" w14:paraId="553CB49B" w14:textId="77777777">
        <w:tc>
          <w:tcPr>
            <w:tcW w:w="6295" w:type="dxa"/>
          </w:tcPr>
          <w:p w:rsidR="007A66D5" w:rsidP="007F23B1" w:rsidRDefault="007F23B1" w14:paraId="4FE67F68" w14:textId="38D7487B">
            <w:r>
              <w:t>Interviews with cooperative leadership</w:t>
            </w:r>
          </w:p>
        </w:tc>
        <w:tc>
          <w:tcPr>
            <w:tcW w:w="2363" w:type="dxa"/>
          </w:tcPr>
          <w:p w:rsidR="007A66D5" w:rsidP="007F23B1" w:rsidRDefault="007F23B1" w14:paraId="07A591DE" w14:textId="77777777">
            <w:r>
              <w:t>Apr – Jun 2021</w:t>
            </w:r>
          </w:p>
          <w:p w:rsidR="00EB4050" w:rsidP="007F23B1" w:rsidRDefault="00EB4050" w14:paraId="1B38BDCF" w14:textId="77777777">
            <w:r>
              <w:t>Jul – Sept 2022</w:t>
            </w:r>
          </w:p>
          <w:p w:rsidRPr="005E3B64" w:rsidR="00EB4050" w:rsidP="007F23B1" w:rsidRDefault="00EB4050" w14:paraId="58B28F9F" w14:textId="365CE5F3">
            <w:r>
              <w:t>Jul – Sept 2023</w:t>
            </w:r>
          </w:p>
        </w:tc>
      </w:tr>
      <w:tr w:rsidRPr="00CD134A" w:rsidR="007A66D5" w:rsidTr="00EB4050" w14:paraId="655A54BF" w14:textId="77777777">
        <w:tc>
          <w:tcPr>
            <w:tcW w:w="6295" w:type="dxa"/>
          </w:tcPr>
          <w:p w:rsidR="007A66D5" w:rsidP="007F23B1" w:rsidRDefault="00EB4050" w14:paraId="14E98317" w14:textId="40A56824">
            <w:r>
              <w:t>Interviews with cooperative partners</w:t>
            </w:r>
          </w:p>
        </w:tc>
        <w:tc>
          <w:tcPr>
            <w:tcW w:w="2363" w:type="dxa"/>
          </w:tcPr>
          <w:p w:rsidR="00EB4050" w:rsidP="00EB4050" w:rsidRDefault="00EB4050" w14:paraId="4844864E" w14:textId="77777777">
            <w:r>
              <w:t>Apr – Jun 2021</w:t>
            </w:r>
          </w:p>
          <w:p w:rsidR="00EB4050" w:rsidP="00EB4050" w:rsidRDefault="00EB4050" w14:paraId="07E12B24" w14:textId="77777777">
            <w:r>
              <w:t>Jul – Sept 2022</w:t>
            </w:r>
          </w:p>
          <w:p w:rsidRPr="00CD134A" w:rsidR="007A66D5" w:rsidP="00EB4050" w:rsidRDefault="00EB4050" w14:paraId="5D56C898" w14:textId="6440BE85">
            <w:r>
              <w:t>Jul – Sept 2023</w:t>
            </w:r>
          </w:p>
        </w:tc>
      </w:tr>
      <w:tr w:rsidRPr="00AF0EC4" w:rsidR="00EB4050" w:rsidTr="00EB4050" w14:paraId="789C1249" w14:textId="77777777">
        <w:tc>
          <w:tcPr>
            <w:tcW w:w="6295" w:type="dxa"/>
          </w:tcPr>
          <w:p w:rsidR="00EB4050" w:rsidP="00EB4050" w:rsidRDefault="00EB4050" w14:paraId="4473DD6E" w14:textId="3AA7C6AB">
            <w:r>
              <w:t>Interviews with unaffiliated organizations</w:t>
            </w:r>
          </w:p>
        </w:tc>
        <w:tc>
          <w:tcPr>
            <w:tcW w:w="2363" w:type="dxa"/>
          </w:tcPr>
          <w:p w:rsidR="00EB4050" w:rsidP="00EB4050" w:rsidRDefault="00EB4050" w14:paraId="517D51B5" w14:textId="77777777">
            <w:r>
              <w:t>Jul – Sept 2022</w:t>
            </w:r>
          </w:p>
          <w:p w:rsidR="00EB4050" w:rsidP="00EB4050" w:rsidRDefault="00EB4050" w14:paraId="2C028B05" w14:textId="4FB46073">
            <w:r>
              <w:t>Jul – Sept 2023</w:t>
            </w:r>
          </w:p>
        </w:tc>
      </w:tr>
      <w:tr w:rsidRPr="00AF0EC4" w:rsidR="00EB4050" w:rsidTr="00EB4050" w14:paraId="50214F05" w14:textId="77777777">
        <w:tc>
          <w:tcPr>
            <w:tcW w:w="6295" w:type="dxa"/>
          </w:tcPr>
          <w:p w:rsidR="00EB4050" w:rsidP="00EB4050" w:rsidRDefault="00EB4050" w14:paraId="4BA8796B" w14:textId="075E3C8A">
            <w:r>
              <w:lastRenderedPageBreak/>
              <w:t>Interviews with not participating practices</w:t>
            </w:r>
          </w:p>
        </w:tc>
        <w:tc>
          <w:tcPr>
            <w:tcW w:w="2363" w:type="dxa"/>
          </w:tcPr>
          <w:p w:rsidR="00EB4050" w:rsidP="00EB4050" w:rsidRDefault="00EB4050" w14:paraId="4C378238" w14:textId="77777777">
            <w:r>
              <w:t>Jul – Sept 2022</w:t>
            </w:r>
          </w:p>
          <w:p w:rsidR="00EB4050" w:rsidP="00EB4050" w:rsidRDefault="00EB4050" w14:paraId="1946E73A" w14:textId="088B6DB2">
            <w:r>
              <w:t>Jul – Sept 2023</w:t>
            </w:r>
          </w:p>
        </w:tc>
      </w:tr>
      <w:tr w:rsidRPr="00AF0EC4" w:rsidR="00EB4050" w:rsidTr="00EB4050" w14:paraId="47E24086" w14:textId="77777777">
        <w:tc>
          <w:tcPr>
            <w:tcW w:w="6295" w:type="dxa"/>
          </w:tcPr>
          <w:p w:rsidR="00EB4050" w:rsidP="00EB4050" w:rsidRDefault="00EB4050" w14:paraId="557201F2" w14:textId="45452178">
            <w:r>
              <w:t>Interviews with participating practices</w:t>
            </w:r>
          </w:p>
        </w:tc>
        <w:tc>
          <w:tcPr>
            <w:tcW w:w="2363" w:type="dxa"/>
          </w:tcPr>
          <w:p w:rsidRPr="00AF0EC4" w:rsidR="00EB4050" w:rsidP="00EB4050" w:rsidRDefault="00EB4050" w14:paraId="11C18399" w14:textId="6BCC7021">
            <w:r>
              <w:t>Jul – Sept 2023</w:t>
            </w:r>
          </w:p>
        </w:tc>
      </w:tr>
      <w:tr w:rsidRPr="00AF0EC4" w:rsidR="00EB4050" w:rsidTr="00EB4050" w14:paraId="74C5D377" w14:textId="77777777">
        <w:tc>
          <w:tcPr>
            <w:tcW w:w="6295" w:type="dxa"/>
          </w:tcPr>
          <w:p w:rsidR="00EB4050" w:rsidP="00EB4050" w:rsidRDefault="00EB4050" w14:paraId="40C7DE19" w14:textId="1DF75D5A">
            <w:r w:rsidRPr="00765123">
              <w:t xml:space="preserve">Member checking </w:t>
            </w:r>
            <w:r>
              <w:t>session 2</w:t>
            </w:r>
            <w:r w:rsidRPr="00765123">
              <w:t xml:space="preserve"> with grantee and cooperative leadership </w:t>
            </w:r>
          </w:p>
        </w:tc>
        <w:tc>
          <w:tcPr>
            <w:tcW w:w="2363" w:type="dxa"/>
          </w:tcPr>
          <w:p w:rsidR="00EB4050" w:rsidP="00EB4050" w:rsidRDefault="00EB4050" w14:paraId="4EA0400B" w14:textId="574001F5">
            <w:r>
              <w:t>Oct – Dec 2023</w:t>
            </w:r>
          </w:p>
        </w:tc>
      </w:tr>
      <w:tr w:rsidRPr="00AF0EC4" w:rsidR="00EB4050" w:rsidTr="00EB4050" w14:paraId="7766EDCF" w14:textId="77777777">
        <w:tc>
          <w:tcPr>
            <w:tcW w:w="6295" w:type="dxa"/>
          </w:tcPr>
          <w:p w:rsidR="00EB4050" w:rsidP="00EB4050" w:rsidRDefault="00EB4050" w14:paraId="036C2F9D" w14:textId="35C503BD">
            <w:r w:rsidRPr="00765123">
              <w:t xml:space="preserve">Member checking </w:t>
            </w:r>
            <w:r>
              <w:t>session 3</w:t>
            </w:r>
            <w:r w:rsidRPr="00765123">
              <w:t xml:space="preserve"> with cooperative partners</w:t>
            </w:r>
          </w:p>
        </w:tc>
        <w:tc>
          <w:tcPr>
            <w:tcW w:w="2363" w:type="dxa"/>
          </w:tcPr>
          <w:p w:rsidR="00EB4050" w:rsidP="00EB4050" w:rsidRDefault="00EB4050" w14:paraId="686B4C9C" w14:textId="049A24EF">
            <w:r>
              <w:t>Oct – Dec 2023</w:t>
            </w:r>
          </w:p>
        </w:tc>
      </w:tr>
    </w:tbl>
    <w:p w:rsidR="0013447B" w:rsidP="0013447B" w:rsidRDefault="0013447B" w14:paraId="14154658" w14:textId="77777777">
      <w:pPr>
        <w:spacing w:before="120"/>
      </w:pPr>
    </w:p>
    <w:p w:rsidRPr="009547ED" w:rsidR="0013447B" w:rsidP="0013447B" w:rsidRDefault="0023454E" w14:paraId="0F386873" w14:textId="6C464AA5">
      <w:pPr>
        <w:rPr>
          <w:b/>
          <w:color w:val="000000"/>
        </w:rPr>
      </w:pPr>
      <w:r>
        <w:rPr>
          <w:b/>
          <w:color w:val="000000"/>
        </w:rPr>
        <w:t>Publication Plan</w:t>
      </w:r>
    </w:p>
    <w:p w:rsidR="0013447B" w:rsidP="0013447B" w:rsidRDefault="003E40DC" w14:paraId="020BCC63" w14:textId="1DA98E01">
      <w:pPr>
        <w:adjustRightInd w:val="0"/>
      </w:pPr>
      <w:r>
        <w:t>AHRQ intends to use the information collected from this information collection to develop case studies and other resources related to primary care improvement. AHRQ will also publish findings about the information collected from the interviews in peer</w:t>
      </w:r>
      <w:r w:rsidR="003746EF">
        <w:t>-r</w:t>
      </w:r>
      <w:r>
        <w:t>eviewed publications.</w:t>
      </w:r>
      <w:r w:rsidR="0013447B">
        <w:t xml:space="preserve"> </w:t>
      </w:r>
      <w:r w:rsidR="0013447B">
        <w:br/>
      </w:r>
    </w:p>
    <w:p w:rsidRPr="00554EFF" w:rsidR="00917755" w:rsidP="00917755" w:rsidRDefault="0023454E" w14:paraId="7DFF52CD" w14:textId="162FD8DB">
      <w:pPr>
        <w:pStyle w:val="BodyText"/>
      </w:pPr>
      <w:r>
        <w:rPr>
          <w:b/>
          <w:color w:val="000000"/>
        </w:rPr>
        <w:t>Analysis Plan</w:t>
      </w:r>
      <w:r w:rsidR="0013447B">
        <w:rPr>
          <w:b/>
          <w:color w:val="000000"/>
        </w:rPr>
        <w:br/>
      </w:r>
      <w:r w:rsidRPr="008E7FB3" w:rsidR="00917755">
        <w:t xml:space="preserve">Qualitative </w:t>
      </w:r>
      <w:r w:rsidR="00F37B71">
        <w:t>information</w:t>
      </w:r>
      <w:r w:rsidRPr="008E7FB3" w:rsidR="00F37B71">
        <w:t xml:space="preserve"> </w:t>
      </w:r>
      <w:r w:rsidRPr="008E7FB3" w:rsidR="00917755">
        <w:t xml:space="preserve">from </w:t>
      </w:r>
      <w:r w:rsidR="00917755">
        <w:t xml:space="preserve">interviews </w:t>
      </w:r>
      <w:r w:rsidRPr="00554EFF" w:rsidR="00917755">
        <w:t xml:space="preserve">will be </w:t>
      </w:r>
      <w:r w:rsidRPr="00743BDD" w:rsidR="00917755">
        <w:t xml:space="preserve">coded and analyzed using </w:t>
      </w:r>
      <w:proofErr w:type="spellStart"/>
      <w:r w:rsidRPr="00743BDD" w:rsidR="00917755">
        <w:rPr>
          <w:i/>
        </w:rPr>
        <w:t>NVivo</w:t>
      </w:r>
      <w:proofErr w:type="spellEnd"/>
      <w:r w:rsidRPr="00743BDD" w:rsidR="00917755">
        <w:t xml:space="preserve"> qualitative analytic software. The coding will be iterative and include deductive codes established </w:t>
      </w:r>
      <w:r w:rsidRPr="00743BDD" w:rsidR="00917755">
        <w:rPr>
          <w:i/>
        </w:rPr>
        <w:t>a priori</w:t>
      </w:r>
      <w:r w:rsidRPr="00743BDD" w:rsidR="00917755">
        <w:t xml:space="preserve"> from the research </w:t>
      </w:r>
      <w:r w:rsidR="00917755">
        <w:t xml:space="preserve">questions </w:t>
      </w:r>
      <w:r w:rsidRPr="00743BDD" w:rsidR="00917755">
        <w:t xml:space="preserve">and inductive codes which emerge from the </w:t>
      </w:r>
      <w:r w:rsidR="00A54685">
        <w:t>information</w:t>
      </w:r>
      <w:r w:rsidRPr="00743BDD" w:rsidR="00917755">
        <w:t xml:space="preserve">. Some qualitative codes, such as the type of organization recruited to participate in the Cooperative, may be transformed into quantitative codes that can be used as covariates in the quantitative analyses. Coding quality assurance procedures will </w:t>
      </w:r>
      <w:r w:rsidR="00A54685">
        <w:t xml:space="preserve">be used (e.g., </w:t>
      </w:r>
      <w:r w:rsidRPr="00743BDD" w:rsidR="00917755">
        <w:t>debrief</w:t>
      </w:r>
      <w:r w:rsidRPr="0043435F" w:rsidR="00917755">
        <w:t>s on coding</w:t>
      </w:r>
      <w:r w:rsidR="00A54685">
        <w:t>)</w:t>
      </w:r>
      <w:r w:rsidRPr="0043435F" w:rsidR="00917755">
        <w:t xml:space="preserve">. The resulting </w:t>
      </w:r>
      <w:r w:rsidR="00A54685">
        <w:t>information</w:t>
      </w:r>
      <w:r w:rsidRPr="0043435F" w:rsidR="00917755">
        <w:t xml:space="preserve"> will be </w:t>
      </w:r>
      <w:r w:rsidR="00917755">
        <w:t xml:space="preserve">triangulated with secondary sources and </w:t>
      </w:r>
      <w:r w:rsidR="00A54685">
        <w:t>examined</w:t>
      </w:r>
      <w:r w:rsidRPr="0043435F" w:rsidR="00917755">
        <w:t xml:space="preserve"> to create a case study of each grantee, which will support both compar</w:t>
      </w:r>
      <w:r w:rsidR="00A54685">
        <w:t>isons an</w:t>
      </w:r>
      <w:r w:rsidRPr="0043435F" w:rsidR="00917755">
        <w:t xml:space="preserve">d program-wide </w:t>
      </w:r>
      <w:r w:rsidR="00A54685">
        <w:t>understanding of effects</w:t>
      </w:r>
      <w:r w:rsidRPr="0043435F" w:rsidR="00917755">
        <w:t xml:space="preserve">. We will create a </w:t>
      </w:r>
      <w:r w:rsidRPr="00917755" w:rsidR="00917755">
        <w:t xml:space="preserve">typology of the QI support interventions and implementation strategies, </w:t>
      </w:r>
      <w:r w:rsidRPr="0043435F" w:rsidR="00917755">
        <w:t xml:space="preserve">similar to what was done for </w:t>
      </w:r>
      <w:proofErr w:type="spellStart"/>
      <w:r w:rsidRPr="0043435F" w:rsidR="00917755">
        <w:t>EvidenceNOW</w:t>
      </w:r>
      <w:proofErr w:type="spellEnd"/>
      <w:r w:rsidRPr="0043435F" w:rsidR="00917755">
        <w:t xml:space="preserve">. </w:t>
      </w:r>
      <w:r w:rsidRPr="008E7FB3" w:rsidR="00917755">
        <w:t xml:space="preserve">We will also identify </w:t>
      </w:r>
      <w:r w:rsidRPr="00554EFF" w:rsidR="00917755">
        <w:t xml:space="preserve">lessons learned and models used to structure the organization of, and define the function of, the </w:t>
      </w:r>
      <w:r w:rsidRPr="00743BDD" w:rsidR="00917755">
        <w:t xml:space="preserve">Cooperatives and networks. </w:t>
      </w:r>
    </w:p>
    <w:p w:rsidRPr="00424E6E" w:rsidR="009B633D" w:rsidP="00917755" w:rsidRDefault="009B633D" w14:paraId="2040100D" w14:textId="1239DD31">
      <w:pPr>
        <w:pStyle w:val="Heading2"/>
      </w:pPr>
      <w:bookmarkStart w:name="_Toc44596544" w:id="63"/>
      <w:r w:rsidRPr="007A66D5">
        <w:t>17. Exemption for Display of Expiration Date</w:t>
      </w:r>
      <w:bookmarkEnd w:id="61"/>
      <w:bookmarkEnd w:id="62"/>
      <w:bookmarkEnd w:id="63"/>
    </w:p>
    <w:p w:rsidR="009B633D" w:rsidP="009B633D" w:rsidRDefault="009B633D" w14:paraId="54B48AE1" w14:textId="77777777">
      <w:r w:rsidRPr="004F03D2">
        <w:t>AHRQ does not seek this exemption</w:t>
      </w:r>
      <w:r>
        <w:t>.</w:t>
      </w:r>
    </w:p>
    <w:p w:rsidRPr="00016560" w:rsidR="00016560" w:rsidP="00450538" w:rsidRDefault="00904CC3" w14:paraId="2D40B082" w14:textId="77777777">
      <w:pPr>
        <w:pStyle w:val="NormalWeb"/>
        <w:rPr>
          <w:rFonts w:ascii="Arial" w:hAnsi="Arial" w:cs="Arial"/>
          <w:b/>
        </w:rPr>
      </w:pPr>
      <w:r>
        <w:rPr>
          <w:rFonts w:ascii="Arial" w:hAnsi="Arial" w:cs="Arial"/>
          <w:b/>
        </w:rPr>
        <w:t xml:space="preserve">List of </w:t>
      </w:r>
      <w:r w:rsidRPr="00016560" w:rsidR="00016560">
        <w:rPr>
          <w:rFonts w:ascii="Arial" w:hAnsi="Arial" w:cs="Arial"/>
          <w:b/>
        </w:rPr>
        <w:t>Attachments:</w:t>
      </w:r>
    </w:p>
    <w:p w:rsidR="003428CE" w:rsidP="008573ED" w:rsidRDefault="008573ED" w14:paraId="585ADA8F" w14:textId="4EFF4C9F">
      <w:r>
        <w:t>Attachment</w:t>
      </w:r>
      <w:r w:rsidR="003428CE">
        <w:t xml:space="preserve"> A</w:t>
      </w:r>
      <w:r w:rsidR="002B356C">
        <w:t>:</w:t>
      </w:r>
      <w:r>
        <w:t xml:space="preserve"> </w:t>
      </w:r>
      <w:r w:rsidRPr="008F2AB7" w:rsidR="008F2AB7">
        <w:t>Grantee and Cooperative Leadership - Interview Protocol</w:t>
      </w:r>
      <w:r w:rsidR="003366EB">
        <w:br/>
      </w:r>
    </w:p>
    <w:p w:rsidR="00016560" w:rsidP="007208E0" w:rsidRDefault="003428CE" w14:paraId="2E9E0B5E" w14:textId="6027D3D3">
      <w:r>
        <w:t>Attachment B</w:t>
      </w:r>
      <w:r w:rsidR="002B356C">
        <w:t>:</w:t>
      </w:r>
      <w:r>
        <w:t xml:space="preserve"> </w:t>
      </w:r>
      <w:r w:rsidRPr="00B571A9" w:rsidR="008F2AB7">
        <w:t>Cooperative Partners - Interview Protocol</w:t>
      </w:r>
    </w:p>
    <w:p w:rsidR="008F2AB7" w:rsidP="008F2AB7" w:rsidRDefault="003366EB" w14:paraId="3B24AC39" w14:textId="332B52AB">
      <w:r>
        <w:br/>
      </w:r>
      <w:r w:rsidR="008F2AB7">
        <w:t xml:space="preserve">Attachment C: </w:t>
      </w:r>
      <w:r w:rsidRPr="008F2AB7" w:rsidR="008F2AB7">
        <w:t>Unaffiliated Organizations - Interview Protocol</w:t>
      </w:r>
    </w:p>
    <w:p w:rsidR="008F2AB7" w:rsidP="00135159" w:rsidRDefault="003366EB" w14:paraId="08EFD503" w14:textId="00D87F42">
      <w:r>
        <w:br/>
      </w:r>
      <w:r w:rsidR="008F2AB7">
        <w:t xml:space="preserve">Attachment D: </w:t>
      </w:r>
      <w:r w:rsidR="00482DD4">
        <w:t xml:space="preserve">Practices Participating and Non-participating in Implementing a QI Strategy – Interview Protocol </w:t>
      </w:r>
    </w:p>
    <w:p w:rsidR="008F2AB7" w:rsidP="008F2AB7" w:rsidRDefault="003366EB" w14:paraId="5341C53D" w14:textId="15AC80E4">
      <w:r>
        <w:br/>
      </w:r>
    </w:p>
    <w:p w:rsidR="008F2AB7" w:rsidP="008F2AB7" w:rsidRDefault="003366EB" w14:paraId="610B83A2" w14:textId="15D96E3B">
      <w:r>
        <w:br/>
      </w:r>
      <w:r w:rsidR="008F2AB7">
        <w:t xml:space="preserve">Attachment </w:t>
      </w:r>
      <w:r w:rsidR="00482DD4">
        <w:t>E</w:t>
      </w:r>
      <w:r w:rsidR="008F2AB7">
        <w:t xml:space="preserve">: </w:t>
      </w:r>
      <w:r w:rsidRPr="00B571A9" w:rsidR="008F2AB7">
        <w:t>Member Checking Session to Validate QI Infrastructure Models and Typology of QI Support Interventions</w:t>
      </w:r>
    </w:p>
    <w:p w:rsidR="008F2AB7" w:rsidP="007208E0" w:rsidRDefault="003366EB" w14:paraId="27C7D708" w14:textId="51667C86">
      <w:r>
        <w:lastRenderedPageBreak/>
        <w:br/>
      </w:r>
      <w:r w:rsidR="008F2AB7">
        <w:t xml:space="preserve">Attachment </w:t>
      </w:r>
      <w:r w:rsidR="00482DD4">
        <w:t>F</w:t>
      </w:r>
      <w:r w:rsidR="008F2AB7">
        <w:t xml:space="preserve">: </w:t>
      </w:r>
      <w:r w:rsidRPr="00B571A9" w:rsidR="008F2AB7">
        <w:t>Member Checking Sessions 2 and 3 to Validate Qualitative and Mixed-Methods Findings</w:t>
      </w:r>
      <w:r w:rsidR="008F2AB7">
        <w:t xml:space="preserve"> </w:t>
      </w:r>
    </w:p>
    <w:p w:rsidR="00955553" w:rsidP="007208E0" w:rsidRDefault="003366EB" w14:paraId="6ED3C6CA" w14:textId="63C413E1">
      <w:r>
        <w:br/>
      </w:r>
      <w:r w:rsidR="003428CE">
        <w:t xml:space="preserve">Attachment </w:t>
      </w:r>
      <w:r w:rsidR="00482DD4">
        <w:t>G</w:t>
      </w:r>
      <w:r w:rsidR="002B356C">
        <w:t xml:space="preserve">: </w:t>
      </w:r>
      <w:r w:rsidR="003428CE">
        <w:t xml:space="preserve">60-Day </w:t>
      </w:r>
      <w:r w:rsidR="00A15D49">
        <w:t>Federal Register Notice</w:t>
      </w:r>
    </w:p>
    <w:sectPr w:rsidR="00955553" w:rsidSect="00B5073D">
      <w:footerReference w:type="even" r:id="rId8"/>
      <w:footerReference w:type="default" r:id="rId9"/>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9C038" w14:textId="77777777" w:rsidR="00240201" w:rsidRDefault="00240201">
      <w:r>
        <w:separator/>
      </w:r>
    </w:p>
  </w:endnote>
  <w:endnote w:type="continuationSeparator" w:id="0">
    <w:p w14:paraId="1394F712" w14:textId="77777777" w:rsidR="00240201" w:rsidRDefault="0024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FrutigerLTStd-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3F23" w14:textId="77777777" w:rsidR="00A53D76" w:rsidRDefault="00A53D7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CCCA5" w14:textId="77777777" w:rsidR="00A53D76" w:rsidRDefault="00A53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F5D0" w14:textId="44AEF762" w:rsidR="00A53D76" w:rsidRDefault="00A53D7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815">
      <w:rPr>
        <w:rStyle w:val="PageNumber"/>
        <w:noProof/>
      </w:rPr>
      <w:t>10</w:t>
    </w:r>
    <w:r>
      <w:rPr>
        <w:rStyle w:val="PageNumber"/>
      </w:rPr>
      <w:fldChar w:fldCharType="end"/>
    </w:r>
  </w:p>
  <w:p w14:paraId="2A82F672" w14:textId="77777777" w:rsidR="00A53D76" w:rsidRDefault="00A53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8E0F3" w14:textId="77777777" w:rsidR="00240201" w:rsidRDefault="00240201">
      <w:r>
        <w:separator/>
      </w:r>
    </w:p>
  </w:footnote>
  <w:footnote w:type="continuationSeparator" w:id="0">
    <w:p w14:paraId="19BDA56B" w14:textId="77777777" w:rsidR="00240201" w:rsidRDefault="00240201">
      <w:r>
        <w:continuationSeparator/>
      </w:r>
    </w:p>
  </w:footnote>
  <w:footnote w:id="1">
    <w:p w14:paraId="22DA0107" w14:textId="77777777" w:rsidR="00A53D76" w:rsidRDefault="00A53D76" w:rsidP="00D4064E">
      <w:pPr>
        <w:pStyle w:val="FootnoteText"/>
        <w:tabs>
          <w:tab w:val="right" w:pos="8460"/>
        </w:tabs>
      </w:pPr>
      <w:r>
        <w:rPr>
          <w:rStyle w:val="FootnoteReference"/>
        </w:rPr>
        <w:footnoteRef/>
      </w:r>
      <w:r>
        <w:t xml:space="preserve"> </w:t>
      </w:r>
      <w:hyperlink r:id="rId1" w:history="1">
        <w:r w:rsidRPr="002772F4">
          <w:rPr>
            <w:rStyle w:val="Hyperlink"/>
          </w:rPr>
          <w:t>https://grants.nih.gov/grants/guide/rfa-files/RFA-HS-20-002.html</w:t>
        </w:r>
      </w:hyperlink>
    </w:p>
  </w:footnote>
  <w:footnote w:id="2">
    <w:p w14:paraId="768F8E1E" w14:textId="7FA71D3E" w:rsidR="00A53D76" w:rsidRDefault="00A53D76">
      <w:pPr>
        <w:pStyle w:val="FootnoteText"/>
      </w:pPr>
      <w:r>
        <w:rPr>
          <w:rStyle w:val="FootnoteReference"/>
        </w:rPr>
        <w:footnoteRef/>
      </w:r>
      <w:r>
        <w:t xml:space="preserve"> </w:t>
      </w:r>
      <w:r w:rsidRPr="00D134B5">
        <w:rPr>
          <w:szCs w:val="24"/>
        </w:rPr>
        <w:t xml:space="preserve">The </w:t>
      </w:r>
      <w:proofErr w:type="spellStart"/>
      <w:r w:rsidRPr="00D134B5">
        <w:rPr>
          <w:szCs w:val="24"/>
        </w:rPr>
        <w:t>EvidenceNOW</w:t>
      </w:r>
      <w:proofErr w:type="spellEnd"/>
      <w:r w:rsidRPr="00D134B5">
        <w:rPr>
          <w:szCs w:val="24"/>
        </w:rPr>
        <w:t xml:space="preserve"> Model: Providing External Support for Primary Care. Content last reviewed August 2019. Agency for Healthcare Research and Quality, Rockville, MD.</w:t>
      </w:r>
    </w:p>
  </w:footnote>
  <w:footnote w:id="3">
    <w:p w14:paraId="2DEC8926" w14:textId="6425835D" w:rsidR="00A53D76" w:rsidRDefault="00A53D76">
      <w:pPr>
        <w:pStyle w:val="FootnoteText"/>
      </w:pPr>
      <w:r>
        <w:rPr>
          <w:rStyle w:val="FootnoteReference"/>
        </w:rPr>
        <w:footnoteRef/>
      </w:r>
      <w:r>
        <w:t xml:space="preserve"> </w:t>
      </w:r>
      <w:r w:rsidRPr="00D134B5">
        <w:rPr>
          <w:szCs w:val="24"/>
        </w:rPr>
        <w:t xml:space="preserve">Kaufman, A. et al. The Role of Health Extension in Practice Transformation and Community Health Improvement: Lessons </w:t>
      </w:r>
      <w:proofErr w:type="gramStart"/>
      <w:r w:rsidRPr="00D134B5">
        <w:rPr>
          <w:szCs w:val="24"/>
        </w:rPr>
        <w:t>From</w:t>
      </w:r>
      <w:proofErr w:type="gramEnd"/>
      <w:r w:rsidRPr="00D134B5">
        <w:rPr>
          <w:szCs w:val="24"/>
        </w:rPr>
        <w:t xml:space="preserve"> 5 Case Studies. Ann </w:t>
      </w:r>
      <w:proofErr w:type="gramStart"/>
      <w:r w:rsidRPr="00D134B5">
        <w:rPr>
          <w:szCs w:val="24"/>
        </w:rPr>
        <w:t>Fam</w:t>
      </w:r>
      <w:proofErr w:type="gramEnd"/>
      <w:r w:rsidRPr="00D134B5">
        <w:rPr>
          <w:szCs w:val="24"/>
        </w:rPr>
        <w:t xml:space="preserve"> Med August 2019 vol. 17 no. </w:t>
      </w:r>
      <w:proofErr w:type="spellStart"/>
      <w:r w:rsidRPr="00D134B5">
        <w:rPr>
          <w:szCs w:val="24"/>
        </w:rPr>
        <w:t>Suppl</w:t>
      </w:r>
      <w:proofErr w:type="spellEnd"/>
      <w:r w:rsidRPr="00D134B5">
        <w:rPr>
          <w:szCs w:val="24"/>
        </w:rPr>
        <w:t xml:space="preserve"> 1 S67-S72</w:t>
      </w:r>
    </w:p>
  </w:footnote>
  <w:footnote w:id="4">
    <w:p w14:paraId="585EF384" w14:textId="7C5C9A81" w:rsidR="00A53D76" w:rsidRDefault="00A53D76">
      <w:pPr>
        <w:pStyle w:val="FootnoteText"/>
      </w:pPr>
      <w:r>
        <w:rPr>
          <w:rStyle w:val="FootnoteReference"/>
        </w:rPr>
        <w:footnoteRef/>
      </w:r>
      <w:r>
        <w:t xml:space="preserve"> </w:t>
      </w:r>
      <w:r w:rsidRPr="00EC427C">
        <w:t xml:space="preserve">Creswell, J. W., &amp; Miller, D. L. (2000). Getting good qualitative data to improve educational practice, Theory </w:t>
      </w:r>
      <w:proofErr w:type="gramStart"/>
      <w:r w:rsidRPr="00EC427C">
        <w:t>Into</w:t>
      </w:r>
      <w:proofErr w:type="gramEnd"/>
      <w:r w:rsidRPr="00EC427C">
        <w:t xml:space="preserve"> Practice, 39(3), 124-130.</w:t>
      </w:r>
    </w:p>
  </w:footnote>
  <w:footnote w:id="5">
    <w:p w14:paraId="6177E9EB" w14:textId="2E1762DE" w:rsidR="00A53D76" w:rsidRDefault="00A53D76">
      <w:pPr>
        <w:pStyle w:val="FootnoteText"/>
      </w:pPr>
      <w:r>
        <w:rPr>
          <w:rStyle w:val="FootnoteReference"/>
        </w:rPr>
        <w:footnoteRef/>
      </w:r>
      <w:r>
        <w:t xml:space="preserve"> </w:t>
      </w:r>
      <w:r w:rsidRPr="00EC427C">
        <w:t>Candela AG. Exploring the function of member checking. The Qualitative Report. 2019 Mar 1</w:t>
      </w:r>
      <w:proofErr w:type="gramStart"/>
      <w:r w:rsidRPr="00EC427C">
        <w:t>;24</w:t>
      </w:r>
      <w:proofErr w:type="gramEnd"/>
      <w:r w:rsidRPr="00EC427C">
        <w:t>(3):619-28.</w:t>
      </w:r>
    </w:p>
  </w:footnote>
  <w:footnote w:id="6">
    <w:p w14:paraId="7394C2B7" w14:textId="1E657D8E" w:rsidR="00A53D76" w:rsidRDefault="00A53D76">
      <w:pPr>
        <w:pStyle w:val="FootnoteText"/>
      </w:pPr>
      <w:r>
        <w:rPr>
          <w:rStyle w:val="FootnoteReference"/>
        </w:rPr>
        <w:footnoteRef/>
      </w:r>
      <w:r w:rsidRPr="0036605D">
        <w:t xml:space="preserve">Cohen DJ, </w:t>
      </w:r>
      <w:proofErr w:type="spellStart"/>
      <w:r w:rsidRPr="0036605D">
        <w:t>Balasubramanian</w:t>
      </w:r>
      <w:proofErr w:type="spellEnd"/>
      <w:r w:rsidRPr="0036605D">
        <w:t xml:space="preserve"> BA, Gordon L, Marino M, Ono S, Solberg LI, Crabtree BF, </w:t>
      </w:r>
      <w:proofErr w:type="spellStart"/>
      <w:r w:rsidRPr="0036605D">
        <w:t>Stange</w:t>
      </w:r>
      <w:proofErr w:type="spellEnd"/>
      <w:r w:rsidRPr="0036605D">
        <w:t xml:space="preserve"> KC, Davis M, Miller WL, </w:t>
      </w:r>
      <w:proofErr w:type="spellStart"/>
      <w:r w:rsidRPr="0036605D">
        <w:t>Damschroder</w:t>
      </w:r>
      <w:proofErr w:type="spellEnd"/>
      <w:r w:rsidRPr="0036605D">
        <w:t xml:space="preserve"> LJ. A national evaluation of a dissemination and implementation initiative to enhance primary care practice capacity and improve cardiovascular disease care: the ESCALATES study protocol. Implementation Science. 2015 Dec</w:t>
      </w:r>
      <w:proofErr w:type="gramStart"/>
      <w:r w:rsidRPr="0036605D">
        <w:t>;11</w:t>
      </w:r>
      <w:proofErr w:type="gramEnd"/>
      <w:r w:rsidRPr="0036605D">
        <w:t>(1):86.</w:t>
      </w:r>
      <w:r>
        <w:t xml:space="preserve"> </w:t>
      </w:r>
    </w:p>
  </w:footnote>
  <w:footnote w:id="7">
    <w:p w14:paraId="1CD6AB82" w14:textId="77777777" w:rsidR="00A53D76" w:rsidRDefault="00A53D76" w:rsidP="00231420">
      <w:pPr>
        <w:tabs>
          <w:tab w:val="left" w:pos="180"/>
        </w:tabs>
        <w:ind w:left="180" w:hanging="180"/>
      </w:pPr>
      <w:r>
        <w:rPr>
          <w:rStyle w:val="FootnoteReference"/>
        </w:rPr>
        <w:footnoteRef/>
      </w:r>
      <w:r>
        <w:t xml:space="preserve"> May 2019 National Occupational Employment and Wage Estimates</w:t>
      </w:r>
    </w:p>
    <w:p w14:paraId="35A66DAA" w14:textId="2E7DB5D8" w:rsidR="00A53D76" w:rsidRDefault="00A53D76" w:rsidP="00231420">
      <w:pPr>
        <w:tabs>
          <w:tab w:val="left" w:pos="180"/>
        </w:tabs>
        <w:ind w:left="180" w:hanging="180"/>
        <w:rPr>
          <w:color w:val="000000"/>
        </w:rPr>
      </w:pPr>
      <w:r>
        <w:t xml:space="preserve">United States. </w:t>
      </w:r>
      <w:r w:rsidRPr="00A5413E">
        <w:t xml:space="preserve">URL: </w:t>
      </w:r>
      <w:hyperlink r:id="rId2" w:anchor="b29-0000.htm" w:history="1">
        <w:r w:rsidRPr="00A5413E">
          <w:rPr>
            <w:color w:val="0000FF"/>
            <w:u w:val="single"/>
          </w:rPr>
          <w:t>http://www.bls.gov/oes/current/oes_nat.htm#b29-0000.htm</w:t>
        </w:r>
      </w:hyperlink>
    </w:p>
    <w:p w14:paraId="15B94D40" w14:textId="10660A51" w:rsidR="00A53D76" w:rsidRDefault="00A53D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7E35"/>
    <w:multiLevelType w:val="hybridMultilevel"/>
    <w:tmpl w:val="CA1405DE"/>
    <w:lvl w:ilvl="0" w:tplc="9638587E">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04834"/>
    <w:multiLevelType w:val="hybridMultilevel"/>
    <w:tmpl w:val="7B7C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F4F61"/>
    <w:multiLevelType w:val="hybridMultilevel"/>
    <w:tmpl w:val="07EE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81199"/>
    <w:multiLevelType w:val="hybridMultilevel"/>
    <w:tmpl w:val="3676C40E"/>
    <w:lvl w:ilvl="0" w:tplc="97869B4A">
      <w:numFmt w:val="bullet"/>
      <w:lvlText w:val="•"/>
      <w:lvlJc w:val="left"/>
      <w:pPr>
        <w:ind w:left="1080" w:hanging="720"/>
      </w:pPr>
      <w:rPr>
        <w:rFonts w:ascii="Times New Roman" w:eastAsia="Times New Roman" w:hAnsi="Times New Roman" w:cs="Times New Roman" w:hint="default"/>
      </w:rPr>
    </w:lvl>
    <w:lvl w:ilvl="1" w:tplc="BE287F3C">
      <w:numFmt w:val="bullet"/>
      <w:lvlText w:val=""/>
      <w:lvlJc w:val="left"/>
      <w:pPr>
        <w:ind w:left="1800" w:hanging="72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2637"/>
    <w:multiLevelType w:val="hybridMultilevel"/>
    <w:tmpl w:val="8A22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547A4"/>
    <w:multiLevelType w:val="hybridMultilevel"/>
    <w:tmpl w:val="6472C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6C7C"/>
    <w:multiLevelType w:val="hybridMultilevel"/>
    <w:tmpl w:val="4ECC4D46"/>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2377376E"/>
    <w:multiLevelType w:val="hybridMultilevel"/>
    <w:tmpl w:val="74404166"/>
    <w:lvl w:ilvl="0" w:tplc="97869B4A">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639E9"/>
    <w:multiLevelType w:val="hybridMultilevel"/>
    <w:tmpl w:val="AB881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7DE19B5"/>
    <w:multiLevelType w:val="hybridMultilevel"/>
    <w:tmpl w:val="EDE8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115B3"/>
    <w:multiLevelType w:val="hybridMultilevel"/>
    <w:tmpl w:val="6F663D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D97AAC"/>
    <w:multiLevelType w:val="hybridMultilevel"/>
    <w:tmpl w:val="F918B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0767A2"/>
    <w:multiLevelType w:val="hybridMultilevel"/>
    <w:tmpl w:val="E5F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154FC"/>
    <w:multiLevelType w:val="hybridMultilevel"/>
    <w:tmpl w:val="25F0BAAE"/>
    <w:lvl w:ilvl="0" w:tplc="E14239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7561D"/>
    <w:multiLevelType w:val="hybridMultilevel"/>
    <w:tmpl w:val="A88A4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BC1195"/>
    <w:multiLevelType w:val="hybridMultilevel"/>
    <w:tmpl w:val="7714B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1E4241"/>
    <w:multiLevelType w:val="hybridMultilevel"/>
    <w:tmpl w:val="ECBA1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22282"/>
    <w:multiLevelType w:val="hybridMultilevel"/>
    <w:tmpl w:val="2A36D1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5862C8"/>
    <w:multiLevelType w:val="hybridMultilevel"/>
    <w:tmpl w:val="CFD25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332D8F"/>
    <w:multiLevelType w:val="hybridMultilevel"/>
    <w:tmpl w:val="F40C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C2467"/>
    <w:multiLevelType w:val="hybridMultilevel"/>
    <w:tmpl w:val="8938941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BA092B"/>
    <w:multiLevelType w:val="hybridMultilevel"/>
    <w:tmpl w:val="C9E855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330C3F"/>
    <w:multiLevelType w:val="hybridMultilevel"/>
    <w:tmpl w:val="3D46F2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54EBF"/>
    <w:multiLevelType w:val="hybridMultilevel"/>
    <w:tmpl w:val="0464DA46"/>
    <w:lvl w:ilvl="0" w:tplc="C93A4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54160"/>
    <w:multiLevelType w:val="hybridMultilevel"/>
    <w:tmpl w:val="9C281D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D4802"/>
    <w:multiLevelType w:val="hybridMultilevel"/>
    <w:tmpl w:val="A9885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003A13"/>
    <w:multiLevelType w:val="hybridMultilevel"/>
    <w:tmpl w:val="D7E4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666486E">
      <w:start w:val="3"/>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7273C"/>
    <w:multiLevelType w:val="hybridMultilevel"/>
    <w:tmpl w:val="C1380F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6704CA2"/>
    <w:multiLevelType w:val="multilevel"/>
    <w:tmpl w:val="AA3C2EE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77C1B"/>
    <w:multiLevelType w:val="hybridMultilevel"/>
    <w:tmpl w:val="947CC136"/>
    <w:lvl w:ilvl="0" w:tplc="FE4EB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EB6E0B"/>
    <w:multiLevelType w:val="hybridMultilevel"/>
    <w:tmpl w:val="BFBE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7" w15:restartNumberingAfterBreak="0">
    <w:nsid w:val="5AE00AF4"/>
    <w:multiLevelType w:val="hybridMultilevel"/>
    <w:tmpl w:val="E42A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172B76"/>
    <w:multiLevelType w:val="hybridMultilevel"/>
    <w:tmpl w:val="25849F86"/>
    <w:lvl w:ilvl="0" w:tplc="4D7845F2">
      <w:start w:val="1"/>
      <w:numFmt w:val="decimal"/>
      <w:pStyle w:val="tabletextnumbered"/>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B0056E"/>
    <w:multiLevelType w:val="hybridMultilevel"/>
    <w:tmpl w:val="F68C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467DE7"/>
    <w:multiLevelType w:val="hybridMultilevel"/>
    <w:tmpl w:val="7E42390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E2456"/>
    <w:multiLevelType w:val="hybridMultilevel"/>
    <w:tmpl w:val="69DEF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ED1D55"/>
    <w:multiLevelType w:val="hybridMultilevel"/>
    <w:tmpl w:val="E4E0000E"/>
    <w:lvl w:ilvl="0" w:tplc="DB365C5A">
      <w:numFmt w:val="bullet"/>
      <w:lvlText w:val="•"/>
      <w:lvlJc w:val="left"/>
      <w:pPr>
        <w:ind w:left="780" w:hanging="360"/>
      </w:pPr>
      <w:rPr>
        <w:rFonts w:ascii="Calibri" w:eastAsiaTheme="minorHAnsi" w:hAnsi="Calibri"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47D52A1"/>
    <w:multiLevelType w:val="hybridMultilevel"/>
    <w:tmpl w:val="53D0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0D28BF"/>
    <w:multiLevelType w:val="hybridMultilevel"/>
    <w:tmpl w:val="A088F44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5" w15:restartNumberingAfterBreak="0">
    <w:nsid w:val="68BD5704"/>
    <w:multiLevelType w:val="hybridMultilevel"/>
    <w:tmpl w:val="EB26C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052EB3"/>
    <w:multiLevelType w:val="hybridMultilevel"/>
    <w:tmpl w:val="F90CC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327CBA"/>
    <w:multiLevelType w:val="hybridMultilevel"/>
    <w:tmpl w:val="8F3E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B9131A"/>
    <w:multiLevelType w:val="hybridMultilevel"/>
    <w:tmpl w:val="0212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9D65F0"/>
    <w:multiLevelType w:val="hybridMultilevel"/>
    <w:tmpl w:val="FB74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DD7D10"/>
    <w:multiLevelType w:val="hybridMultilevel"/>
    <w:tmpl w:val="3DC2ADA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2" w15:restartNumberingAfterBreak="0">
    <w:nsid w:val="73A07F56"/>
    <w:multiLevelType w:val="hybridMultilevel"/>
    <w:tmpl w:val="A41EA77C"/>
    <w:lvl w:ilvl="0" w:tplc="04090005">
      <w:start w:val="1"/>
      <w:numFmt w:val="bullet"/>
      <w:lvlText w:val=""/>
      <w:lvlJc w:val="left"/>
      <w:pPr>
        <w:ind w:left="381" w:hanging="360"/>
      </w:pPr>
      <w:rPr>
        <w:rFonts w:ascii="Wingdings" w:hAnsi="Wingdings"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53" w15:restartNumberingAfterBreak="0">
    <w:nsid w:val="73B00657"/>
    <w:multiLevelType w:val="hybridMultilevel"/>
    <w:tmpl w:val="7366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FF79CA"/>
    <w:multiLevelType w:val="hybridMultilevel"/>
    <w:tmpl w:val="BC64C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77F549ED"/>
    <w:multiLevelType w:val="hybridMultilevel"/>
    <w:tmpl w:val="860E5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8B875B0"/>
    <w:multiLevelType w:val="hybridMultilevel"/>
    <w:tmpl w:val="58682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9A92D46"/>
    <w:multiLevelType w:val="hybridMultilevel"/>
    <w:tmpl w:val="38741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2123DA"/>
    <w:multiLevelType w:val="hybridMultilevel"/>
    <w:tmpl w:val="049E8376"/>
    <w:lvl w:ilvl="0" w:tplc="B058904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AD63DA6"/>
    <w:multiLevelType w:val="singleLevel"/>
    <w:tmpl w:val="362ED368"/>
    <w:lvl w:ilvl="0">
      <w:start w:val="1"/>
      <w:numFmt w:val="bullet"/>
      <w:pStyle w:val="Bullets"/>
      <w:lvlText w:val=""/>
      <w:lvlJc w:val="left"/>
      <w:pPr>
        <w:ind w:left="360" w:hanging="360"/>
      </w:pPr>
      <w:rPr>
        <w:rFonts w:ascii="Symbol" w:hAnsi="Symbol" w:hint="default"/>
        <w:color w:val="auto"/>
        <w:sz w:val="22"/>
      </w:rPr>
    </w:lvl>
  </w:abstractNum>
  <w:abstractNum w:abstractNumId="60" w15:restartNumberingAfterBreak="0">
    <w:nsid w:val="7BA831E4"/>
    <w:multiLevelType w:val="hybridMultilevel"/>
    <w:tmpl w:val="1E9472AC"/>
    <w:lvl w:ilvl="0" w:tplc="0409000F">
      <w:start w:val="1"/>
      <w:numFmt w:val="decimal"/>
      <w:lvlText w:val="%1."/>
      <w:lvlJc w:val="left"/>
      <w:pPr>
        <w:ind w:left="1080" w:hanging="720"/>
      </w:pPr>
      <w:rPr>
        <w:rFonts w:hint="default"/>
      </w:rPr>
    </w:lvl>
    <w:lvl w:ilvl="1" w:tplc="BE287F3C">
      <w:numFmt w:val="bullet"/>
      <w:lvlText w:val=""/>
      <w:lvlJc w:val="left"/>
      <w:pPr>
        <w:ind w:left="1800" w:hanging="72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BA8627A8">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4961FD"/>
    <w:multiLevelType w:val="hybridMultilevel"/>
    <w:tmpl w:val="B8F2C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63" w15:restartNumberingAfterBreak="0">
    <w:nsid w:val="7F88656B"/>
    <w:multiLevelType w:val="hybridMultilevel"/>
    <w:tmpl w:val="17C0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36"/>
  </w:num>
  <w:num w:numId="3">
    <w:abstractNumId w:val="31"/>
  </w:num>
  <w:num w:numId="4">
    <w:abstractNumId w:val="28"/>
  </w:num>
  <w:num w:numId="5">
    <w:abstractNumId w:val="2"/>
  </w:num>
  <w:num w:numId="6">
    <w:abstractNumId w:val="5"/>
  </w:num>
  <w:num w:numId="7">
    <w:abstractNumId w:val="25"/>
  </w:num>
  <w:num w:numId="8">
    <w:abstractNumId w:val="48"/>
  </w:num>
  <w:num w:numId="9">
    <w:abstractNumId w:val="4"/>
  </w:num>
  <w:num w:numId="10">
    <w:abstractNumId w:val="9"/>
  </w:num>
  <w:num w:numId="11">
    <w:abstractNumId w:val="60"/>
  </w:num>
  <w:num w:numId="12">
    <w:abstractNumId w:val="45"/>
  </w:num>
  <w:num w:numId="13">
    <w:abstractNumId w:val="35"/>
  </w:num>
  <w:num w:numId="14">
    <w:abstractNumId w:val="59"/>
  </w:num>
  <w:num w:numId="15">
    <w:abstractNumId w:val="6"/>
  </w:num>
  <w:num w:numId="16">
    <w:abstractNumId w:val="24"/>
  </w:num>
  <w:num w:numId="17">
    <w:abstractNumId w:val="52"/>
  </w:num>
  <w:num w:numId="18">
    <w:abstractNumId w:val="61"/>
  </w:num>
  <w:num w:numId="19">
    <w:abstractNumId w:val="18"/>
  </w:num>
  <w:num w:numId="20">
    <w:abstractNumId w:val="16"/>
  </w:num>
  <w:num w:numId="21">
    <w:abstractNumId w:val="20"/>
  </w:num>
  <w:num w:numId="22">
    <w:abstractNumId w:val="29"/>
  </w:num>
  <w:num w:numId="23">
    <w:abstractNumId w:val="23"/>
  </w:num>
  <w:num w:numId="24">
    <w:abstractNumId w:val="12"/>
  </w:num>
  <w:num w:numId="25">
    <w:abstractNumId w:val="1"/>
  </w:num>
  <w:num w:numId="26">
    <w:abstractNumId w:val="27"/>
  </w:num>
  <w:num w:numId="27">
    <w:abstractNumId w:val="56"/>
  </w:num>
  <w:num w:numId="28">
    <w:abstractNumId w:val="54"/>
  </w:num>
  <w:num w:numId="29">
    <w:abstractNumId w:val="14"/>
  </w:num>
  <w:num w:numId="30">
    <w:abstractNumId w:val="15"/>
  </w:num>
  <w:num w:numId="31">
    <w:abstractNumId w:val="0"/>
  </w:num>
  <w:num w:numId="32">
    <w:abstractNumId w:val="53"/>
  </w:num>
  <w:num w:numId="33">
    <w:abstractNumId w:val="3"/>
  </w:num>
  <w:num w:numId="34">
    <w:abstractNumId w:val="17"/>
  </w:num>
  <w:num w:numId="35">
    <w:abstractNumId w:val="13"/>
  </w:num>
  <w:num w:numId="36">
    <w:abstractNumId w:val="47"/>
  </w:num>
  <w:num w:numId="37">
    <w:abstractNumId w:val="22"/>
  </w:num>
  <w:num w:numId="38">
    <w:abstractNumId w:val="26"/>
  </w:num>
  <w:num w:numId="39">
    <w:abstractNumId w:val="21"/>
  </w:num>
  <w:num w:numId="40">
    <w:abstractNumId w:val="50"/>
  </w:num>
  <w:num w:numId="41">
    <w:abstractNumId w:val="11"/>
  </w:num>
  <w:num w:numId="42">
    <w:abstractNumId w:val="38"/>
  </w:num>
  <w:num w:numId="43">
    <w:abstractNumId w:val="63"/>
  </w:num>
  <w:num w:numId="44">
    <w:abstractNumId w:val="58"/>
  </w:num>
  <w:num w:numId="45">
    <w:abstractNumId w:val="57"/>
  </w:num>
  <w:num w:numId="46">
    <w:abstractNumId w:val="30"/>
  </w:num>
  <w:num w:numId="47">
    <w:abstractNumId w:val="51"/>
  </w:num>
  <w:num w:numId="48">
    <w:abstractNumId w:val="40"/>
  </w:num>
  <w:num w:numId="49">
    <w:abstractNumId w:val="41"/>
  </w:num>
  <w:num w:numId="50">
    <w:abstractNumId w:val="8"/>
  </w:num>
  <w:num w:numId="51">
    <w:abstractNumId w:val="44"/>
  </w:num>
  <w:num w:numId="52">
    <w:abstractNumId w:val="34"/>
  </w:num>
  <w:num w:numId="53">
    <w:abstractNumId w:val="43"/>
  </w:num>
  <w:num w:numId="54">
    <w:abstractNumId w:val="42"/>
  </w:num>
  <w:num w:numId="55">
    <w:abstractNumId w:val="19"/>
  </w:num>
  <w:num w:numId="56">
    <w:abstractNumId w:val="55"/>
  </w:num>
  <w:num w:numId="57">
    <w:abstractNumId w:val="49"/>
  </w:num>
  <w:num w:numId="58">
    <w:abstractNumId w:val="39"/>
  </w:num>
  <w:num w:numId="59">
    <w:abstractNumId w:val="32"/>
  </w:num>
  <w:num w:numId="60">
    <w:abstractNumId w:val="10"/>
  </w:num>
  <w:num w:numId="61">
    <w:abstractNumId w:val="33"/>
  </w:num>
  <w:num w:numId="62">
    <w:abstractNumId w:val="7"/>
  </w:num>
  <w:num w:numId="63">
    <w:abstractNumId w:val="46"/>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788"/>
    <w:rsid w:val="00011E85"/>
    <w:rsid w:val="00012677"/>
    <w:rsid w:val="00012921"/>
    <w:rsid w:val="00012FB9"/>
    <w:rsid w:val="000136ED"/>
    <w:rsid w:val="00015AAF"/>
    <w:rsid w:val="00016560"/>
    <w:rsid w:val="000225E1"/>
    <w:rsid w:val="00023A32"/>
    <w:rsid w:val="00024FEE"/>
    <w:rsid w:val="00027D6B"/>
    <w:rsid w:val="000329FA"/>
    <w:rsid w:val="00033301"/>
    <w:rsid w:val="00033CC8"/>
    <w:rsid w:val="00037998"/>
    <w:rsid w:val="00043473"/>
    <w:rsid w:val="00045959"/>
    <w:rsid w:val="000462AB"/>
    <w:rsid w:val="00046359"/>
    <w:rsid w:val="000475D7"/>
    <w:rsid w:val="00050C27"/>
    <w:rsid w:val="00051D81"/>
    <w:rsid w:val="000562B5"/>
    <w:rsid w:val="000563C5"/>
    <w:rsid w:val="0006207D"/>
    <w:rsid w:val="00070096"/>
    <w:rsid w:val="000769F7"/>
    <w:rsid w:val="000779A9"/>
    <w:rsid w:val="00082047"/>
    <w:rsid w:val="000835B2"/>
    <w:rsid w:val="000927EA"/>
    <w:rsid w:val="00094648"/>
    <w:rsid w:val="000A0975"/>
    <w:rsid w:val="000A10E2"/>
    <w:rsid w:val="000A140E"/>
    <w:rsid w:val="000A1525"/>
    <w:rsid w:val="000A3475"/>
    <w:rsid w:val="000A4745"/>
    <w:rsid w:val="000A755A"/>
    <w:rsid w:val="000B18C4"/>
    <w:rsid w:val="000B46B5"/>
    <w:rsid w:val="000B6204"/>
    <w:rsid w:val="000B78CB"/>
    <w:rsid w:val="000C4626"/>
    <w:rsid w:val="000D429E"/>
    <w:rsid w:val="000E01D1"/>
    <w:rsid w:val="000E4300"/>
    <w:rsid w:val="000F0457"/>
    <w:rsid w:val="000F1328"/>
    <w:rsid w:val="000F2B59"/>
    <w:rsid w:val="000F3569"/>
    <w:rsid w:val="00101174"/>
    <w:rsid w:val="001012CD"/>
    <w:rsid w:val="00112DF2"/>
    <w:rsid w:val="00120A0C"/>
    <w:rsid w:val="00120F3F"/>
    <w:rsid w:val="00124007"/>
    <w:rsid w:val="00124917"/>
    <w:rsid w:val="00125DD7"/>
    <w:rsid w:val="001301AA"/>
    <w:rsid w:val="001303F7"/>
    <w:rsid w:val="00131443"/>
    <w:rsid w:val="0013447B"/>
    <w:rsid w:val="00135159"/>
    <w:rsid w:val="001378F3"/>
    <w:rsid w:val="00161A18"/>
    <w:rsid w:val="0016255C"/>
    <w:rsid w:val="0016687D"/>
    <w:rsid w:val="00166A69"/>
    <w:rsid w:val="00176C71"/>
    <w:rsid w:val="001822B3"/>
    <w:rsid w:val="001864C2"/>
    <w:rsid w:val="00186775"/>
    <w:rsid w:val="001868E0"/>
    <w:rsid w:val="0018741E"/>
    <w:rsid w:val="00187A50"/>
    <w:rsid w:val="00187E75"/>
    <w:rsid w:val="0019257D"/>
    <w:rsid w:val="00193251"/>
    <w:rsid w:val="001A0694"/>
    <w:rsid w:val="001A1C0D"/>
    <w:rsid w:val="001A28C0"/>
    <w:rsid w:val="001A5DFD"/>
    <w:rsid w:val="001A6DAD"/>
    <w:rsid w:val="001B1C61"/>
    <w:rsid w:val="001B516E"/>
    <w:rsid w:val="001B51F0"/>
    <w:rsid w:val="001B64A1"/>
    <w:rsid w:val="001C59E4"/>
    <w:rsid w:val="001D5AA5"/>
    <w:rsid w:val="001E63C6"/>
    <w:rsid w:val="001F196F"/>
    <w:rsid w:val="001F7184"/>
    <w:rsid w:val="001F7349"/>
    <w:rsid w:val="0020029A"/>
    <w:rsid w:val="002009C8"/>
    <w:rsid w:val="00202A17"/>
    <w:rsid w:val="00204509"/>
    <w:rsid w:val="00211E70"/>
    <w:rsid w:val="0021297D"/>
    <w:rsid w:val="0022366A"/>
    <w:rsid w:val="00224DD8"/>
    <w:rsid w:val="00225F13"/>
    <w:rsid w:val="00231420"/>
    <w:rsid w:val="00233BA3"/>
    <w:rsid w:val="0023454E"/>
    <w:rsid w:val="00240201"/>
    <w:rsid w:val="00240C40"/>
    <w:rsid w:val="0024173B"/>
    <w:rsid w:val="00242422"/>
    <w:rsid w:val="00261E03"/>
    <w:rsid w:val="0026424E"/>
    <w:rsid w:val="00267FAE"/>
    <w:rsid w:val="0027271F"/>
    <w:rsid w:val="00272E29"/>
    <w:rsid w:val="00291B73"/>
    <w:rsid w:val="0029563C"/>
    <w:rsid w:val="0029734C"/>
    <w:rsid w:val="002A3674"/>
    <w:rsid w:val="002A505B"/>
    <w:rsid w:val="002A5AAD"/>
    <w:rsid w:val="002B3165"/>
    <w:rsid w:val="002B356C"/>
    <w:rsid w:val="002B382B"/>
    <w:rsid w:val="002B7635"/>
    <w:rsid w:val="002D664C"/>
    <w:rsid w:val="002E29E8"/>
    <w:rsid w:val="002E54EF"/>
    <w:rsid w:val="002E6525"/>
    <w:rsid w:val="002F22CB"/>
    <w:rsid w:val="002F2436"/>
    <w:rsid w:val="002F4300"/>
    <w:rsid w:val="002F49EC"/>
    <w:rsid w:val="002F4DE8"/>
    <w:rsid w:val="002F76AF"/>
    <w:rsid w:val="00300479"/>
    <w:rsid w:val="003022D3"/>
    <w:rsid w:val="0030308E"/>
    <w:rsid w:val="00303366"/>
    <w:rsid w:val="00303792"/>
    <w:rsid w:val="00321BF6"/>
    <w:rsid w:val="00321CCD"/>
    <w:rsid w:val="00323D9E"/>
    <w:rsid w:val="00325B9C"/>
    <w:rsid w:val="00326263"/>
    <w:rsid w:val="003270FA"/>
    <w:rsid w:val="0033343C"/>
    <w:rsid w:val="003366EB"/>
    <w:rsid w:val="00340D97"/>
    <w:rsid w:val="003423E7"/>
    <w:rsid w:val="003428CE"/>
    <w:rsid w:val="0034325D"/>
    <w:rsid w:val="003454A2"/>
    <w:rsid w:val="00350E4E"/>
    <w:rsid w:val="00351D57"/>
    <w:rsid w:val="00356AB7"/>
    <w:rsid w:val="003579BC"/>
    <w:rsid w:val="003601EC"/>
    <w:rsid w:val="00361F52"/>
    <w:rsid w:val="00365B7B"/>
    <w:rsid w:val="0036754B"/>
    <w:rsid w:val="003701FB"/>
    <w:rsid w:val="0037032F"/>
    <w:rsid w:val="0037254D"/>
    <w:rsid w:val="0037427A"/>
    <w:rsid w:val="003746EF"/>
    <w:rsid w:val="003759DB"/>
    <w:rsid w:val="00375E6A"/>
    <w:rsid w:val="00377301"/>
    <w:rsid w:val="0037771B"/>
    <w:rsid w:val="0038217D"/>
    <w:rsid w:val="00384B88"/>
    <w:rsid w:val="00387076"/>
    <w:rsid w:val="0039012F"/>
    <w:rsid w:val="00390DE5"/>
    <w:rsid w:val="00394170"/>
    <w:rsid w:val="003A0672"/>
    <w:rsid w:val="003A0D05"/>
    <w:rsid w:val="003A2914"/>
    <w:rsid w:val="003A74E2"/>
    <w:rsid w:val="003B1BB7"/>
    <w:rsid w:val="003B2951"/>
    <w:rsid w:val="003B5859"/>
    <w:rsid w:val="003B6B41"/>
    <w:rsid w:val="003C20AA"/>
    <w:rsid w:val="003C60BD"/>
    <w:rsid w:val="003D1AD8"/>
    <w:rsid w:val="003D21A7"/>
    <w:rsid w:val="003D3937"/>
    <w:rsid w:val="003D58C2"/>
    <w:rsid w:val="003D5B1E"/>
    <w:rsid w:val="003D73D8"/>
    <w:rsid w:val="003E2801"/>
    <w:rsid w:val="003E3B22"/>
    <w:rsid w:val="003E40DC"/>
    <w:rsid w:val="003F0A13"/>
    <w:rsid w:val="003F5921"/>
    <w:rsid w:val="00401A79"/>
    <w:rsid w:val="004023ED"/>
    <w:rsid w:val="00403C04"/>
    <w:rsid w:val="00414C80"/>
    <w:rsid w:val="004155E1"/>
    <w:rsid w:val="0041783C"/>
    <w:rsid w:val="00425974"/>
    <w:rsid w:val="00426C52"/>
    <w:rsid w:val="00427F33"/>
    <w:rsid w:val="00430491"/>
    <w:rsid w:val="0043400D"/>
    <w:rsid w:val="0043596B"/>
    <w:rsid w:val="00440AE7"/>
    <w:rsid w:val="00443427"/>
    <w:rsid w:val="0044769A"/>
    <w:rsid w:val="00450538"/>
    <w:rsid w:val="00452268"/>
    <w:rsid w:val="00454448"/>
    <w:rsid w:val="0045488B"/>
    <w:rsid w:val="00456179"/>
    <w:rsid w:val="004670C2"/>
    <w:rsid w:val="00467163"/>
    <w:rsid w:val="0047504D"/>
    <w:rsid w:val="00480523"/>
    <w:rsid w:val="00480994"/>
    <w:rsid w:val="004811AD"/>
    <w:rsid w:val="00482DD4"/>
    <w:rsid w:val="00490AA7"/>
    <w:rsid w:val="00491842"/>
    <w:rsid w:val="00492AEB"/>
    <w:rsid w:val="00494C9F"/>
    <w:rsid w:val="00496E11"/>
    <w:rsid w:val="004A0FC3"/>
    <w:rsid w:val="004A2AB3"/>
    <w:rsid w:val="004A4612"/>
    <w:rsid w:val="004A624D"/>
    <w:rsid w:val="004B1D0B"/>
    <w:rsid w:val="004B1EF2"/>
    <w:rsid w:val="004B3FEE"/>
    <w:rsid w:val="004C3BA7"/>
    <w:rsid w:val="004C4A74"/>
    <w:rsid w:val="004D0AAD"/>
    <w:rsid w:val="004E16F6"/>
    <w:rsid w:val="004E3A1B"/>
    <w:rsid w:val="004E5E2D"/>
    <w:rsid w:val="004F47BB"/>
    <w:rsid w:val="004F7598"/>
    <w:rsid w:val="00501308"/>
    <w:rsid w:val="00502316"/>
    <w:rsid w:val="00504919"/>
    <w:rsid w:val="005050EF"/>
    <w:rsid w:val="00510909"/>
    <w:rsid w:val="00510D42"/>
    <w:rsid w:val="00520CE0"/>
    <w:rsid w:val="005221D9"/>
    <w:rsid w:val="00523E78"/>
    <w:rsid w:val="00527BBD"/>
    <w:rsid w:val="00531857"/>
    <w:rsid w:val="00535B56"/>
    <w:rsid w:val="00537291"/>
    <w:rsid w:val="00542EAB"/>
    <w:rsid w:val="00545164"/>
    <w:rsid w:val="00555FF8"/>
    <w:rsid w:val="00556066"/>
    <w:rsid w:val="00556E63"/>
    <w:rsid w:val="0056238F"/>
    <w:rsid w:val="00564A89"/>
    <w:rsid w:val="00565818"/>
    <w:rsid w:val="00571A17"/>
    <w:rsid w:val="00571C02"/>
    <w:rsid w:val="005731F7"/>
    <w:rsid w:val="00574BA3"/>
    <w:rsid w:val="00581E5A"/>
    <w:rsid w:val="00581FD2"/>
    <w:rsid w:val="00584935"/>
    <w:rsid w:val="0058766D"/>
    <w:rsid w:val="00593643"/>
    <w:rsid w:val="00593E67"/>
    <w:rsid w:val="00596B85"/>
    <w:rsid w:val="005A1517"/>
    <w:rsid w:val="005A2425"/>
    <w:rsid w:val="005B032B"/>
    <w:rsid w:val="005B2955"/>
    <w:rsid w:val="005B3C01"/>
    <w:rsid w:val="005B62CF"/>
    <w:rsid w:val="005B6FAA"/>
    <w:rsid w:val="005B715B"/>
    <w:rsid w:val="005C1A51"/>
    <w:rsid w:val="005C208C"/>
    <w:rsid w:val="005C562A"/>
    <w:rsid w:val="005D26A5"/>
    <w:rsid w:val="005D2974"/>
    <w:rsid w:val="005E49B8"/>
    <w:rsid w:val="005E5F75"/>
    <w:rsid w:val="005E79D3"/>
    <w:rsid w:val="005F29E3"/>
    <w:rsid w:val="005F4B12"/>
    <w:rsid w:val="005F716D"/>
    <w:rsid w:val="0060047D"/>
    <w:rsid w:val="006014DB"/>
    <w:rsid w:val="00604437"/>
    <w:rsid w:val="00606400"/>
    <w:rsid w:val="00607068"/>
    <w:rsid w:val="006135D2"/>
    <w:rsid w:val="00613C05"/>
    <w:rsid w:val="00620B93"/>
    <w:rsid w:val="00620E8F"/>
    <w:rsid w:val="0062233A"/>
    <w:rsid w:val="00625C1B"/>
    <w:rsid w:val="00626D1D"/>
    <w:rsid w:val="00626FC1"/>
    <w:rsid w:val="00631C81"/>
    <w:rsid w:val="00635119"/>
    <w:rsid w:val="00636A0C"/>
    <w:rsid w:val="00640769"/>
    <w:rsid w:val="00643998"/>
    <w:rsid w:val="00644F76"/>
    <w:rsid w:val="00645943"/>
    <w:rsid w:val="00646BED"/>
    <w:rsid w:val="00647A4F"/>
    <w:rsid w:val="00650CFA"/>
    <w:rsid w:val="00652FEA"/>
    <w:rsid w:val="00655A17"/>
    <w:rsid w:val="0065668F"/>
    <w:rsid w:val="00661459"/>
    <w:rsid w:val="00671555"/>
    <w:rsid w:val="00671BFD"/>
    <w:rsid w:val="006729CF"/>
    <w:rsid w:val="00673146"/>
    <w:rsid w:val="00673643"/>
    <w:rsid w:val="006817E9"/>
    <w:rsid w:val="006823A7"/>
    <w:rsid w:val="00683D84"/>
    <w:rsid w:val="006923FB"/>
    <w:rsid w:val="006931D6"/>
    <w:rsid w:val="00694FBB"/>
    <w:rsid w:val="006A28E1"/>
    <w:rsid w:val="006A4752"/>
    <w:rsid w:val="006A4D4E"/>
    <w:rsid w:val="006A7F99"/>
    <w:rsid w:val="006B5217"/>
    <w:rsid w:val="006C45D0"/>
    <w:rsid w:val="006C58B4"/>
    <w:rsid w:val="006C73B0"/>
    <w:rsid w:val="006D0EB5"/>
    <w:rsid w:val="006D1C5E"/>
    <w:rsid w:val="006D4A64"/>
    <w:rsid w:val="006E1D7A"/>
    <w:rsid w:val="006E2449"/>
    <w:rsid w:val="006E73E9"/>
    <w:rsid w:val="006F5599"/>
    <w:rsid w:val="0070072D"/>
    <w:rsid w:val="00703573"/>
    <w:rsid w:val="00704586"/>
    <w:rsid w:val="007109B1"/>
    <w:rsid w:val="00710B06"/>
    <w:rsid w:val="00710C91"/>
    <w:rsid w:val="00720196"/>
    <w:rsid w:val="007208E0"/>
    <w:rsid w:val="00721964"/>
    <w:rsid w:val="00723075"/>
    <w:rsid w:val="00727792"/>
    <w:rsid w:val="00732422"/>
    <w:rsid w:val="0073338A"/>
    <w:rsid w:val="00744D19"/>
    <w:rsid w:val="00745F03"/>
    <w:rsid w:val="00747205"/>
    <w:rsid w:val="00747A7E"/>
    <w:rsid w:val="00747D2F"/>
    <w:rsid w:val="007518BC"/>
    <w:rsid w:val="00752EA8"/>
    <w:rsid w:val="00754AF7"/>
    <w:rsid w:val="00760D73"/>
    <w:rsid w:val="0076180B"/>
    <w:rsid w:val="007625DF"/>
    <w:rsid w:val="00764112"/>
    <w:rsid w:val="00765D1A"/>
    <w:rsid w:val="007700A7"/>
    <w:rsid w:val="00770E47"/>
    <w:rsid w:val="007721F3"/>
    <w:rsid w:val="007761AD"/>
    <w:rsid w:val="00776654"/>
    <w:rsid w:val="007768F9"/>
    <w:rsid w:val="00781332"/>
    <w:rsid w:val="00782D21"/>
    <w:rsid w:val="00787248"/>
    <w:rsid w:val="00793E88"/>
    <w:rsid w:val="00796E59"/>
    <w:rsid w:val="007A1525"/>
    <w:rsid w:val="007A265C"/>
    <w:rsid w:val="007A45B4"/>
    <w:rsid w:val="007A66D5"/>
    <w:rsid w:val="007B07FD"/>
    <w:rsid w:val="007B0CF3"/>
    <w:rsid w:val="007B3A8E"/>
    <w:rsid w:val="007B6854"/>
    <w:rsid w:val="007C1ECB"/>
    <w:rsid w:val="007C3C01"/>
    <w:rsid w:val="007D466E"/>
    <w:rsid w:val="007D4F9F"/>
    <w:rsid w:val="007D749F"/>
    <w:rsid w:val="007E0697"/>
    <w:rsid w:val="007E362D"/>
    <w:rsid w:val="007E384A"/>
    <w:rsid w:val="007E4359"/>
    <w:rsid w:val="007E5BB2"/>
    <w:rsid w:val="007F23B1"/>
    <w:rsid w:val="007F2A23"/>
    <w:rsid w:val="007F394D"/>
    <w:rsid w:val="007F4A48"/>
    <w:rsid w:val="0080149A"/>
    <w:rsid w:val="008015C1"/>
    <w:rsid w:val="00801FCA"/>
    <w:rsid w:val="00804C8E"/>
    <w:rsid w:val="00804DB6"/>
    <w:rsid w:val="00804ECF"/>
    <w:rsid w:val="0080612B"/>
    <w:rsid w:val="00811735"/>
    <w:rsid w:val="00812F09"/>
    <w:rsid w:val="00817DA0"/>
    <w:rsid w:val="00821288"/>
    <w:rsid w:val="00824FD7"/>
    <w:rsid w:val="00825DA9"/>
    <w:rsid w:val="008301D7"/>
    <w:rsid w:val="0083145C"/>
    <w:rsid w:val="00836DFF"/>
    <w:rsid w:val="00841047"/>
    <w:rsid w:val="00843627"/>
    <w:rsid w:val="008450C0"/>
    <w:rsid w:val="00854533"/>
    <w:rsid w:val="008573ED"/>
    <w:rsid w:val="00861E61"/>
    <w:rsid w:val="008628B0"/>
    <w:rsid w:val="008637BD"/>
    <w:rsid w:val="00866696"/>
    <w:rsid w:val="00866DDD"/>
    <w:rsid w:val="00873F74"/>
    <w:rsid w:val="00880DFE"/>
    <w:rsid w:val="008851FF"/>
    <w:rsid w:val="00887F65"/>
    <w:rsid w:val="00891283"/>
    <w:rsid w:val="00891699"/>
    <w:rsid w:val="00892655"/>
    <w:rsid w:val="0089365B"/>
    <w:rsid w:val="00896548"/>
    <w:rsid w:val="008A20F7"/>
    <w:rsid w:val="008A30B9"/>
    <w:rsid w:val="008A35A9"/>
    <w:rsid w:val="008B593F"/>
    <w:rsid w:val="008B7D8C"/>
    <w:rsid w:val="008C1DAC"/>
    <w:rsid w:val="008C580E"/>
    <w:rsid w:val="008D028E"/>
    <w:rsid w:val="008D699F"/>
    <w:rsid w:val="008D798B"/>
    <w:rsid w:val="008E1394"/>
    <w:rsid w:val="008E4FC9"/>
    <w:rsid w:val="008E567E"/>
    <w:rsid w:val="008F0B8B"/>
    <w:rsid w:val="008F2AB7"/>
    <w:rsid w:val="008F7209"/>
    <w:rsid w:val="00903CB2"/>
    <w:rsid w:val="00904CC3"/>
    <w:rsid w:val="0090606E"/>
    <w:rsid w:val="00917755"/>
    <w:rsid w:val="00926A2C"/>
    <w:rsid w:val="009278A1"/>
    <w:rsid w:val="0093098D"/>
    <w:rsid w:val="009339F3"/>
    <w:rsid w:val="009374DF"/>
    <w:rsid w:val="00941295"/>
    <w:rsid w:val="00943949"/>
    <w:rsid w:val="00950D13"/>
    <w:rsid w:val="00952D65"/>
    <w:rsid w:val="00954B99"/>
    <w:rsid w:val="00955553"/>
    <w:rsid w:val="00957284"/>
    <w:rsid w:val="009706DB"/>
    <w:rsid w:val="009746A1"/>
    <w:rsid w:val="00975571"/>
    <w:rsid w:val="00986FA4"/>
    <w:rsid w:val="00987B05"/>
    <w:rsid w:val="00991287"/>
    <w:rsid w:val="009916DA"/>
    <w:rsid w:val="00993162"/>
    <w:rsid w:val="009943E2"/>
    <w:rsid w:val="009943E4"/>
    <w:rsid w:val="00994C16"/>
    <w:rsid w:val="0099646C"/>
    <w:rsid w:val="009978AF"/>
    <w:rsid w:val="009A237A"/>
    <w:rsid w:val="009A49A7"/>
    <w:rsid w:val="009B0131"/>
    <w:rsid w:val="009B0CE4"/>
    <w:rsid w:val="009B0D52"/>
    <w:rsid w:val="009B18CA"/>
    <w:rsid w:val="009B3622"/>
    <w:rsid w:val="009B633D"/>
    <w:rsid w:val="009C3531"/>
    <w:rsid w:val="009C4881"/>
    <w:rsid w:val="009C4E7D"/>
    <w:rsid w:val="009D3DBB"/>
    <w:rsid w:val="009D729A"/>
    <w:rsid w:val="009E0868"/>
    <w:rsid w:val="009E2AAE"/>
    <w:rsid w:val="009E2CBB"/>
    <w:rsid w:val="009F1EC6"/>
    <w:rsid w:val="009F299E"/>
    <w:rsid w:val="009F43EA"/>
    <w:rsid w:val="009F4779"/>
    <w:rsid w:val="009F597D"/>
    <w:rsid w:val="009F6883"/>
    <w:rsid w:val="009F749D"/>
    <w:rsid w:val="00A04AFF"/>
    <w:rsid w:val="00A10D45"/>
    <w:rsid w:val="00A129CF"/>
    <w:rsid w:val="00A1373C"/>
    <w:rsid w:val="00A13D8D"/>
    <w:rsid w:val="00A15D49"/>
    <w:rsid w:val="00A23DD6"/>
    <w:rsid w:val="00A30D9A"/>
    <w:rsid w:val="00A34E30"/>
    <w:rsid w:val="00A36311"/>
    <w:rsid w:val="00A44855"/>
    <w:rsid w:val="00A4694A"/>
    <w:rsid w:val="00A5377F"/>
    <w:rsid w:val="00A53D76"/>
    <w:rsid w:val="00A54685"/>
    <w:rsid w:val="00A61C27"/>
    <w:rsid w:val="00A64E80"/>
    <w:rsid w:val="00A65884"/>
    <w:rsid w:val="00A725A7"/>
    <w:rsid w:val="00A72EC5"/>
    <w:rsid w:val="00A759B0"/>
    <w:rsid w:val="00A76611"/>
    <w:rsid w:val="00A777E1"/>
    <w:rsid w:val="00A835E4"/>
    <w:rsid w:val="00A905D8"/>
    <w:rsid w:val="00A94219"/>
    <w:rsid w:val="00AA0B6B"/>
    <w:rsid w:val="00AA1DDC"/>
    <w:rsid w:val="00AA3F0B"/>
    <w:rsid w:val="00AA788A"/>
    <w:rsid w:val="00AB0B76"/>
    <w:rsid w:val="00AB1EB8"/>
    <w:rsid w:val="00AC55D8"/>
    <w:rsid w:val="00AC76FB"/>
    <w:rsid w:val="00AD38AF"/>
    <w:rsid w:val="00AD50D1"/>
    <w:rsid w:val="00AD6516"/>
    <w:rsid w:val="00AE4551"/>
    <w:rsid w:val="00AE4702"/>
    <w:rsid w:val="00AF0E04"/>
    <w:rsid w:val="00AF1840"/>
    <w:rsid w:val="00AF379D"/>
    <w:rsid w:val="00B01E81"/>
    <w:rsid w:val="00B038B4"/>
    <w:rsid w:val="00B10CEB"/>
    <w:rsid w:val="00B22714"/>
    <w:rsid w:val="00B238AD"/>
    <w:rsid w:val="00B24863"/>
    <w:rsid w:val="00B257FE"/>
    <w:rsid w:val="00B440F4"/>
    <w:rsid w:val="00B47636"/>
    <w:rsid w:val="00B5073D"/>
    <w:rsid w:val="00B51B73"/>
    <w:rsid w:val="00B52533"/>
    <w:rsid w:val="00B53C82"/>
    <w:rsid w:val="00B6131F"/>
    <w:rsid w:val="00B61FEB"/>
    <w:rsid w:val="00B645ED"/>
    <w:rsid w:val="00B65556"/>
    <w:rsid w:val="00B6794C"/>
    <w:rsid w:val="00B720EC"/>
    <w:rsid w:val="00B762E0"/>
    <w:rsid w:val="00B76532"/>
    <w:rsid w:val="00B76CD5"/>
    <w:rsid w:val="00B825D0"/>
    <w:rsid w:val="00B83929"/>
    <w:rsid w:val="00B8522B"/>
    <w:rsid w:val="00B8746C"/>
    <w:rsid w:val="00B87A7C"/>
    <w:rsid w:val="00B90D68"/>
    <w:rsid w:val="00B90F1A"/>
    <w:rsid w:val="00B915F1"/>
    <w:rsid w:val="00B94AEC"/>
    <w:rsid w:val="00B979E4"/>
    <w:rsid w:val="00BA3D24"/>
    <w:rsid w:val="00BA7DEC"/>
    <w:rsid w:val="00BB1C2F"/>
    <w:rsid w:val="00BB2479"/>
    <w:rsid w:val="00BB7136"/>
    <w:rsid w:val="00BC053E"/>
    <w:rsid w:val="00BC2E2E"/>
    <w:rsid w:val="00BD20B6"/>
    <w:rsid w:val="00BD357C"/>
    <w:rsid w:val="00BD6DC8"/>
    <w:rsid w:val="00BE0430"/>
    <w:rsid w:val="00BE0513"/>
    <w:rsid w:val="00BE7A61"/>
    <w:rsid w:val="00BF2069"/>
    <w:rsid w:val="00BF4E0B"/>
    <w:rsid w:val="00BF735E"/>
    <w:rsid w:val="00C0035F"/>
    <w:rsid w:val="00C05A1F"/>
    <w:rsid w:val="00C0644C"/>
    <w:rsid w:val="00C134BF"/>
    <w:rsid w:val="00C13605"/>
    <w:rsid w:val="00C163C6"/>
    <w:rsid w:val="00C205C8"/>
    <w:rsid w:val="00C25B1C"/>
    <w:rsid w:val="00C27DCF"/>
    <w:rsid w:val="00C4006D"/>
    <w:rsid w:val="00C4152E"/>
    <w:rsid w:val="00C51E92"/>
    <w:rsid w:val="00C652B1"/>
    <w:rsid w:val="00C65B05"/>
    <w:rsid w:val="00C7077E"/>
    <w:rsid w:val="00C7106B"/>
    <w:rsid w:val="00C7319E"/>
    <w:rsid w:val="00C73F08"/>
    <w:rsid w:val="00C77433"/>
    <w:rsid w:val="00C84911"/>
    <w:rsid w:val="00C84913"/>
    <w:rsid w:val="00C929D4"/>
    <w:rsid w:val="00C933ED"/>
    <w:rsid w:val="00C94D62"/>
    <w:rsid w:val="00CA0C83"/>
    <w:rsid w:val="00CA136B"/>
    <w:rsid w:val="00CA1417"/>
    <w:rsid w:val="00CA6762"/>
    <w:rsid w:val="00CA7470"/>
    <w:rsid w:val="00CB018F"/>
    <w:rsid w:val="00CB0E1C"/>
    <w:rsid w:val="00CB512A"/>
    <w:rsid w:val="00CC2FEA"/>
    <w:rsid w:val="00CC6330"/>
    <w:rsid w:val="00CC6736"/>
    <w:rsid w:val="00CD02FE"/>
    <w:rsid w:val="00CD1C9A"/>
    <w:rsid w:val="00CD655B"/>
    <w:rsid w:val="00CD7B72"/>
    <w:rsid w:val="00CE014E"/>
    <w:rsid w:val="00CF3861"/>
    <w:rsid w:val="00CF3A7B"/>
    <w:rsid w:val="00D02283"/>
    <w:rsid w:val="00D02E9A"/>
    <w:rsid w:val="00D05451"/>
    <w:rsid w:val="00D0660C"/>
    <w:rsid w:val="00D11271"/>
    <w:rsid w:val="00D150A9"/>
    <w:rsid w:val="00D21818"/>
    <w:rsid w:val="00D23FFD"/>
    <w:rsid w:val="00D2521F"/>
    <w:rsid w:val="00D27089"/>
    <w:rsid w:val="00D27D52"/>
    <w:rsid w:val="00D32FF4"/>
    <w:rsid w:val="00D4064E"/>
    <w:rsid w:val="00D40AE8"/>
    <w:rsid w:val="00D44C62"/>
    <w:rsid w:val="00D44D4E"/>
    <w:rsid w:val="00D474B5"/>
    <w:rsid w:val="00D51F3A"/>
    <w:rsid w:val="00D52E18"/>
    <w:rsid w:val="00D543D5"/>
    <w:rsid w:val="00D54EEE"/>
    <w:rsid w:val="00D61636"/>
    <w:rsid w:val="00D618E1"/>
    <w:rsid w:val="00D64194"/>
    <w:rsid w:val="00D66E74"/>
    <w:rsid w:val="00D67633"/>
    <w:rsid w:val="00D7090E"/>
    <w:rsid w:val="00D70CF6"/>
    <w:rsid w:val="00D71264"/>
    <w:rsid w:val="00D849E4"/>
    <w:rsid w:val="00D852D2"/>
    <w:rsid w:val="00D91657"/>
    <w:rsid w:val="00D97671"/>
    <w:rsid w:val="00DA097F"/>
    <w:rsid w:val="00DA0FAF"/>
    <w:rsid w:val="00DA3E7C"/>
    <w:rsid w:val="00DA4794"/>
    <w:rsid w:val="00DA4E5A"/>
    <w:rsid w:val="00DA5363"/>
    <w:rsid w:val="00DA5815"/>
    <w:rsid w:val="00DA723F"/>
    <w:rsid w:val="00DA73A3"/>
    <w:rsid w:val="00DB3948"/>
    <w:rsid w:val="00DB4768"/>
    <w:rsid w:val="00DB49A0"/>
    <w:rsid w:val="00DC57EF"/>
    <w:rsid w:val="00DD0A49"/>
    <w:rsid w:val="00DE62E4"/>
    <w:rsid w:val="00DE73FC"/>
    <w:rsid w:val="00DF2D2A"/>
    <w:rsid w:val="00DF4F3C"/>
    <w:rsid w:val="00DF4F6F"/>
    <w:rsid w:val="00E05459"/>
    <w:rsid w:val="00E057E5"/>
    <w:rsid w:val="00E06FA3"/>
    <w:rsid w:val="00E076A3"/>
    <w:rsid w:val="00E14FC3"/>
    <w:rsid w:val="00E22ACC"/>
    <w:rsid w:val="00E2421B"/>
    <w:rsid w:val="00E2592B"/>
    <w:rsid w:val="00E31A67"/>
    <w:rsid w:val="00E329EE"/>
    <w:rsid w:val="00E34A39"/>
    <w:rsid w:val="00E35D8D"/>
    <w:rsid w:val="00E363B4"/>
    <w:rsid w:val="00E42494"/>
    <w:rsid w:val="00E435CE"/>
    <w:rsid w:val="00E4420D"/>
    <w:rsid w:val="00E449A5"/>
    <w:rsid w:val="00E44D6F"/>
    <w:rsid w:val="00E47851"/>
    <w:rsid w:val="00E52235"/>
    <w:rsid w:val="00E56716"/>
    <w:rsid w:val="00E57F3F"/>
    <w:rsid w:val="00E627BD"/>
    <w:rsid w:val="00E65E27"/>
    <w:rsid w:val="00E706B3"/>
    <w:rsid w:val="00E738C7"/>
    <w:rsid w:val="00E7422B"/>
    <w:rsid w:val="00E83A2B"/>
    <w:rsid w:val="00E85286"/>
    <w:rsid w:val="00E9076F"/>
    <w:rsid w:val="00E959FF"/>
    <w:rsid w:val="00E97584"/>
    <w:rsid w:val="00EA3EC2"/>
    <w:rsid w:val="00EB3A7C"/>
    <w:rsid w:val="00EB4050"/>
    <w:rsid w:val="00EB58F3"/>
    <w:rsid w:val="00EC1659"/>
    <w:rsid w:val="00ED0EBB"/>
    <w:rsid w:val="00EE2296"/>
    <w:rsid w:val="00EE28B7"/>
    <w:rsid w:val="00EE4455"/>
    <w:rsid w:val="00EE4A82"/>
    <w:rsid w:val="00EE54A5"/>
    <w:rsid w:val="00EF745B"/>
    <w:rsid w:val="00F00EF3"/>
    <w:rsid w:val="00F04055"/>
    <w:rsid w:val="00F074E4"/>
    <w:rsid w:val="00F1219D"/>
    <w:rsid w:val="00F122B9"/>
    <w:rsid w:val="00F12B49"/>
    <w:rsid w:val="00F14AAD"/>
    <w:rsid w:val="00F2093E"/>
    <w:rsid w:val="00F21CD9"/>
    <w:rsid w:val="00F22750"/>
    <w:rsid w:val="00F22F57"/>
    <w:rsid w:val="00F2499B"/>
    <w:rsid w:val="00F257B0"/>
    <w:rsid w:val="00F3207F"/>
    <w:rsid w:val="00F3541A"/>
    <w:rsid w:val="00F37AD0"/>
    <w:rsid w:val="00F37B71"/>
    <w:rsid w:val="00F405D8"/>
    <w:rsid w:val="00F42706"/>
    <w:rsid w:val="00F45AA1"/>
    <w:rsid w:val="00F45CD2"/>
    <w:rsid w:val="00F46275"/>
    <w:rsid w:val="00F512A6"/>
    <w:rsid w:val="00F55DD3"/>
    <w:rsid w:val="00F5665F"/>
    <w:rsid w:val="00F60488"/>
    <w:rsid w:val="00F631B6"/>
    <w:rsid w:val="00F63BC0"/>
    <w:rsid w:val="00F640FB"/>
    <w:rsid w:val="00F70715"/>
    <w:rsid w:val="00F70928"/>
    <w:rsid w:val="00F719B8"/>
    <w:rsid w:val="00F72324"/>
    <w:rsid w:val="00F80F9D"/>
    <w:rsid w:val="00F83D21"/>
    <w:rsid w:val="00F85B5C"/>
    <w:rsid w:val="00F91C1F"/>
    <w:rsid w:val="00F94B00"/>
    <w:rsid w:val="00F94F66"/>
    <w:rsid w:val="00FA03AD"/>
    <w:rsid w:val="00FA2E89"/>
    <w:rsid w:val="00FA7B17"/>
    <w:rsid w:val="00FB10DA"/>
    <w:rsid w:val="00FB2F70"/>
    <w:rsid w:val="00FB4BFF"/>
    <w:rsid w:val="00FB6500"/>
    <w:rsid w:val="00FC430C"/>
    <w:rsid w:val="00FC4F75"/>
    <w:rsid w:val="00FC7332"/>
    <w:rsid w:val="00FD1D9C"/>
    <w:rsid w:val="00FD4F34"/>
    <w:rsid w:val="00FD727C"/>
    <w:rsid w:val="00FE03D6"/>
    <w:rsid w:val="00FE0D90"/>
    <w:rsid w:val="00FE0D9B"/>
    <w:rsid w:val="00FE3C20"/>
    <w:rsid w:val="00FF35B1"/>
    <w:rsid w:val="00FF42BD"/>
    <w:rsid w:val="00FF5105"/>
    <w:rsid w:val="00FF6D85"/>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1E0BC"/>
  <w15:chartTrackingRefBased/>
  <w15:docId w15:val="{3F25701B-C351-4F23-AA3C-58415172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E83A2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73F74"/>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character" w:customStyle="1" w:styleId="Heading5Char">
    <w:name w:val="Heading 5 Char"/>
    <w:link w:val="Heading5"/>
    <w:semiHidden/>
    <w:rsid w:val="00E83A2B"/>
    <w:rPr>
      <w:rFonts w:ascii="Calibri" w:eastAsia="Times New Roman" w:hAnsi="Calibri" w:cs="Times New Roman"/>
      <w:b/>
      <w:bCs/>
      <w:i/>
      <w:iCs/>
      <w:sz w:val="26"/>
      <w:szCs w:val="26"/>
    </w:rPr>
  </w:style>
  <w:style w:type="paragraph" w:styleId="BodyText">
    <w:name w:val="Body Text"/>
    <w:aliases w:val="Char, Char Char"/>
    <w:basedOn w:val="Normal"/>
    <w:link w:val="BodyTextChar"/>
    <w:rsid w:val="00443427"/>
    <w:pPr>
      <w:spacing w:after="120"/>
    </w:pPr>
  </w:style>
  <w:style w:type="character" w:customStyle="1" w:styleId="BodyTextChar">
    <w:name w:val="Body Text Char"/>
    <w:aliases w:val="Char Char, Char Char Char"/>
    <w:link w:val="BodyText"/>
    <w:rsid w:val="00443427"/>
    <w:rPr>
      <w:sz w:val="24"/>
      <w:szCs w:val="24"/>
    </w:rPr>
  </w:style>
  <w:style w:type="paragraph" w:customStyle="1" w:styleId="BulletsLast">
    <w:name w:val="BulletsLast"/>
    <w:basedOn w:val="Bullets"/>
    <w:rsid w:val="00443427"/>
    <w:pPr>
      <w:spacing w:after="180"/>
    </w:pPr>
  </w:style>
  <w:style w:type="paragraph" w:customStyle="1" w:styleId="Bullets">
    <w:name w:val="Bullets"/>
    <w:basedOn w:val="BodyText"/>
    <w:rsid w:val="00443427"/>
    <w:pPr>
      <w:numPr>
        <w:numId w:val="14"/>
      </w:numPr>
      <w:spacing w:after="60" w:line="264" w:lineRule="auto"/>
    </w:pPr>
    <w:rPr>
      <w:sz w:val="22"/>
      <w:szCs w:val="20"/>
    </w:rPr>
  </w:style>
  <w:style w:type="character" w:customStyle="1" w:styleId="FootnoteTextChar">
    <w:name w:val="Footnote Text Char"/>
    <w:link w:val="FootnoteText"/>
    <w:uiPriority w:val="99"/>
    <w:rsid w:val="00443427"/>
    <w:rPr>
      <w:lang w:bidi="ar-QA"/>
    </w:rPr>
  </w:style>
  <w:style w:type="paragraph" w:customStyle="1" w:styleId="P1-StandPara">
    <w:name w:val="P1-Stand Para"/>
    <w:link w:val="P1-StandParaChar"/>
    <w:rsid w:val="00E42494"/>
    <w:pPr>
      <w:spacing w:line="480" w:lineRule="auto"/>
      <w:ind w:firstLine="720"/>
    </w:pPr>
    <w:rPr>
      <w:sz w:val="22"/>
    </w:rPr>
  </w:style>
  <w:style w:type="character" w:customStyle="1" w:styleId="P1-StandParaChar">
    <w:name w:val="P1-Stand Para Char"/>
    <w:link w:val="P1-StandPara"/>
    <w:rsid w:val="00E42494"/>
    <w:rPr>
      <w:sz w:val="22"/>
    </w:rPr>
  </w:style>
  <w:style w:type="paragraph" w:styleId="ListParagraph">
    <w:name w:val="List Paragraph"/>
    <w:basedOn w:val="Normal"/>
    <w:uiPriority w:val="34"/>
    <w:qFormat/>
    <w:rsid w:val="00510D42"/>
    <w:pPr>
      <w:widowControl w:val="0"/>
      <w:autoSpaceDE w:val="0"/>
      <w:autoSpaceDN w:val="0"/>
      <w:adjustRightInd w:val="0"/>
      <w:ind w:left="720"/>
      <w:contextualSpacing/>
    </w:pPr>
    <w:rPr>
      <w:rFonts w:ascii="Courier" w:hAnsi="Courier" w:cs="Courier"/>
    </w:rPr>
  </w:style>
  <w:style w:type="paragraph" w:styleId="Revision">
    <w:name w:val="Revision"/>
    <w:hidden/>
    <w:uiPriority w:val="99"/>
    <w:semiHidden/>
    <w:rsid w:val="00683D84"/>
    <w:rPr>
      <w:sz w:val="24"/>
      <w:szCs w:val="24"/>
    </w:rPr>
  </w:style>
  <w:style w:type="character" w:customStyle="1" w:styleId="EndnoteTextChar">
    <w:name w:val="Endnote Text Char"/>
    <w:basedOn w:val="DefaultParagraphFont"/>
    <w:link w:val="EndnoteText"/>
    <w:uiPriority w:val="99"/>
    <w:rsid w:val="00523E78"/>
  </w:style>
  <w:style w:type="paragraph" w:customStyle="1" w:styleId="TableText">
    <w:name w:val="Table Text"/>
    <w:basedOn w:val="Normal"/>
    <w:qFormat/>
    <w:rsid w:val="000562B5"/>
    <w:rPr>
      <w:rFonts w:ascii="Arial Narrow" w:hAnsi="Arial Narrow"/>
      <w:sz w:val="20"/>
      <w:szCs w:val="20"/>
    </w:rPr>
  </w:style>
  <w:style w:type="table" w:customStyle="1" w:styleId="TableGrid2">
    <w:name w:val="Table Grid2"/>
    <w:basedOn w:val="TableNormal"/>
    <w:next w:val="TableGrid"/>
    <w:uiPriority w:val="59"/>
    <w:rsid w:val="0005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umbered">
    <w:name w:val="table text numbered"/>
    <w:basedOn w:val="ListParagraph"/>
    <w:qFormat/>
    <w:rsid w:val="000562B5"/>
    <w:pPr>
      <w:widowControl/>
      <w:numPr>
        <w:numId w:val="42"/>
      </w:numPr>
      <w:autoSpaceDE/>
      <w:autoSpaceDN/>
      <w:adjustRightInd/>
      <w:ind w:left="317" w:hanging="270"/>
    </w:pPr>
    <w:rPr>
      <w:rFonts w:ascii="Arial Narrow" w:eastAsia="Calibri" w:hAnsi="Arial Narrow" w:cstheme="minorBidi"/>
      <w:sz w:val="20"/>
      <w:szCs w:val="22"/>
    </w:rPr>
  </w:style>
  <w:style w:type="paragraph" w:customStyle="1" w:styleId="Default">
    <w:name w:val="Default"/>
    <w:rsid w:val="009E0868"/>
    <w:pPr>
      <w:autoSpaceDE w:val="0"/>
      <w:autoSpaceDN w:val="0"/>
      <w:adjustRightInd w:val="0"/>
    </w:pPr>
    <w:rPr>
      <w:color w:val="000000"/>
      <w:sz w:val="24"/>
      <w:szCs w:val="24"/>
    </w:rPr>
  </w:style>
  <w:style w:type="paragraph" w:styleId="TOCHeading">
    <w:name w:val="TOC Heading"/>
    <w:basedOn w:val="Heading1"/>
    <w:next w:val="Normal"/>
    <w:uiPriority w:val="39"/>
    <w:unhideWhenUsed/>
    <w:qFormat/>
    <w:rsid w:val="00B5073D"/>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90284431">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65977635">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49242301">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11024840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61840116">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50993032">
      <w:bodyDiv w:val="1"/>
      <w:marLeft w:val="0"/>
      <w:marRight w:val="0"/>
      <w:marTop w:val="0"/>
      <w:marBottom w:val="0"/>
      <w:divBdr>
        <w:top w:val="none" w:sz="0" w:space="0" w:color="auto"/>
        <w:left w:val="none" w:sz="0" w:space="0" w:color="auto"/>
        <w:bottom w:val="none" w:sz="0" w:space="0" w:color="auto"/>
        <w:right w:val="none" w:sz="0" w:space="0" w:color="auto"/>
      </w:divBdr>
      <w:divsChild>
        <w:div w:id="143668006">
          <w:marLeft w:val="0"/>
          <w:marRight w:val="0"/>
          <w:marTop w:val="0"/>
          <w:marBottom w:val="0"/>
          <w:divBdr>
            <w:top w:val="none" w:sz="0" w:space="0" w:color="auto"/>
            <w:left w:val="none" w:sz="0" w:space="0" w:color="auto"/>
            <w:bottom w:val="none" w:sz="0" w:space="0" w:color="auto"/>
            <w:right w:val="none" w:sz="0" w:space="0" w:color="auto"/>
          </w:divBdr>
          <w:divsChild>
            <w:div w:id="1859537335">
              <w:marLeft w:val="-225"/>
              <w:marRight w:val="-225"/>
              <w:marTop w:val="0"/>
              <w:marBottom w:val="0"/>
              <w:divBdr>
                <w:top w:val="none" w:sz="0" w:space="0" w:color="auto"/>
                <w:left w:val="none" w:sz="0" w:space="0" w:color="auto"/>
                <w:bottom w:val="none" w:sz="0" w:space="0" w:color="auto"/>
                <w:right w:val="none" w:sz="0" w:space="0" w:color="auto"/>
              </w:divBdr>
              <w:divsChild>
                <w:div w:id="1104106805">
                  <w:marLeft w:val="0"/>
                  <w:marRight w:val="0"/>
                  <w:marTop w:val="0"/>
                  <w:marBottom w:val="0"/>
                  <w:divBdr>
                    <w:top w:val="none" w:sz="0" w:space="0" w:color="auto"/>
                    <w:left w:val="none" w:sz="0" w:space="0" w:color="auto"/>
                    <w:bottom w:val="none" w:sz="0" w:space="0" w:color="auto"/>
                    <w:right w:val="none" w:sz="0" w:space="0" w:color="auto"/>
                  </w:divBdr>
                  <w:divsChild>
                    <w:div w:id="1174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78641">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676569">
      <w:bodyDiv w:val="1"/>
      <w:marLeft w:val="0"/>
      <w:marRight w:val="0"/>
      <w:marTop w:val="0"/>
      <w:marBottom w:val="0"/>
      <w:divBdr>
        <w:top w:val="none" w:sz="0" w:space="0" w:color="auto"/>
        <w:left w:val="none" w:sz="0" w:space="0" w:color="auto"/>
        <w:bottom w:val="none" w:sz="0" w:space="0" w:color="auto"/>
        <w:right w:val="none" w:sz="0" w:space="0" w:color="auto"/>
      </w:divBdr>
    </w:div>
    <w:div w:id="1692074469">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s://grants.nih.gov/grants/guide/rfa-files/RFA-HS-20-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8737-D790-45C1-8E6B-F15F8468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15</Pages>
  <Words>4224</Words>
  <Characters>26046</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30210</CharactersWithSpaces>
  <SharedDoc>false</SharedDoc>
  <HLinks>
    <vt:vector size="6" baseType="variant">
      <vt:variant>
        <vt:i4>3014750</vt:i4>
      </vt:variant>
      <vt:variant>
        <vt:i4>3</vt:i4>
      </vt:variant>
      <vt:variant>
        <vt:i4>0</vt:i4>
      </vt:variant>
      <vt:variant>
        <vt:i4>5</vt:i4>
      </vt:variant>
      <vt:variant>
        <vt:lpwstr>http://www.bls.gov/oes/current/oes_nat.htm</vt:lpwstr>
      </vt:variant>
      <vt:variant>
        <vt:lpwstr>b29-0000.htm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4</cp:revision>
  <cp:lastPrinted>2019-02-01T13:22:00Z</cp:lastPrinted>
  <dcterms:created xsi:type="dcterms:W3CDTF">2020-10-16T20:19:00Z</dcterms:created>
  <dcterms:modified xsi:type="dcterms:W3CDTF">2020-10-19T20:15:00Z</dcterms:modified>
</cp:coreProperties>
</file>