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36F01" w:rsidR="00193582" w:rsidP="00636F01" w:rsidRDefault="008F1EB4">
      <w:pPr>
        <w:jc w:val="center"/>
        <w:rPr>
          <w:sz w:val="24"/>
        </w:rPr>
      </w:pPr>
      <w:r w:rsidRPr="00636F01">
        <w:rPr>
          <w:sz w:val="24"/>
        </w:rPr>
        <w:t xml:space="preserve">Supporting Statement </w:t>
      </w:r>
      <w:r w:rsidR="00906C15">
        <w:rPr>
          <w:sz w:val="24"/>
        </w:rPr>
        <w:t>Part A</w:t>
      </w:r>
    </w:p>
    <w:p w:rsidRPr="00636F01" w:rsidR="00193582" w:rsidP="00636F01" w:rsidRDefault="008F1EB4">
      <w:pPr>
        <w:jc w:val="center"/>
        <w:rPr>
          <w:sz w:val="24"/>
        </w:rPr>
      </w:pPr>
      <w:r w:rsidRPr="00636F01">
        <w:rPr>
          <w:sz w:val="24"/>
        </w:rPr>
        <w:t>Submissions</w:t>
      </w:r>
      <w:r w:rsidRPr="00636F01" w:rsidR="00193582">
        <w:rPr>
          <w:sz w:val="24"/>
        </w:rPr>
        <w:t xml:space="preserve"> of 1135 Waiver Request Automated Process </w:t>
      </w:r>
      <w:r w:rsidR="00906C15">
        <w:rPr>
          <w:sz w:val="24"/>
        </w:rPr>
        <w:t>(</w:t>
      </w:r>
      <w:r w:rsidRPr="00636F01" w:rsidR="00193582">
        <w:rPr>
          <w:sz w:val="24"/>
        </w:rPr>
        <w:t>CMS-10752</w:t>
      </w:r>
      <w:r w:rsidR="00906C15">
        <w:rPr>
          <w:sz w:val="24"/>
        </w:rPr>
        <w:t>)</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30B10" w:rsidP="00630B10" w:rsidRDefault="00630B10">
      <w:pPr>
        <w:rPr>
          <w:sz w:val="24"/>
        </w:rPr>
      </w:pPr>
      <w:bookmarkStart w:name="_GoBack" w:id="0"/>
      <w:r w:rsidRPr="00BB0BDD">
        <w:rPr>
          <w:sz w:val="24"/>
        </w:rPr>
        <w:t xml:space="preserve">Waivers under Section 1135 of the Social Security Act (the Act) and certain flexibilities allow the CMS to relax certain requirements, known as the Conditions of Participation (CoPs) or Conditions of Coverage to promote the health and safety of </w:t>
      </w:r>
      <w:r>
        <w:rPr>
          <w:sz w:val="24"/>
        </w:rPr>
        <w:t>beneficiaries.</w:t>
      </w:r>
      <w:r w:rsidRPr="00BB0BDD">
        <w:rPr>
          <w:sz w:val="24"/>
        </w:rPr>
        <w:t xml:space="preserve"> Under Section 1135 of the Act, the Secretary may temporarily waive or modify certain Medicare, Medicaid, and </w:t>
      </w:r>
      <w:r w:rsidRPr="002966A3" w:rsidR="00062C0E">
        <w:rPr>
          <w:sz w:val="24"/>
        </w:rPr>
        <w:t>Children’s Health Insurance Program (</w:t>
      </w:r>
      <w:r w:rsidRPr="002966A3">
        <w:rPr>
          <w:sz w:val="24"/>
        </w:rPr>
        <w:t>CHIP</w:t>
      </w:r>
      <w:r w:rsidRPr="002966A3" w:rsidR="00062C0E">
        <w:rPr>
          <w:sz w:val="24"/>
        </w:rPr>
        <w:t>)</w:t>
      </w:r>
      <w:r w:rsidRPr="00BB0BDD">
        <w:rPr>
          <w:sz w:val="24"/>
        </w:rPr>
        <w:t xml:space="preserve"> requirements to ensure that sufficient health care services are available to meet the needs of individuals enrolled in Social Security Act programs in the emergency area and time periods</w:t>
      </w:r>
      <w:r>
        <w:rPr>
          <w:sz w:val="24"/>
        </w:rPr>
        <w:t>.</w:t>
      </w:r>
      <w:r w:rsidRPr="00BB0BDD">
        <w:rPr>
          <w:sz w:val="24"/>
        </w:rPr>
        <w:t xml:space="preserve"> </w:t>
      </w:r>
      <w:r>
        <w:rPr>
          <w:sz w:val="24"/>
        </w:rPr>
        <w:t>These waivers ensure that providers</w:t>
      </w:r>
      <w:r w:rsidRPr="00BB0BDD">
        <w:rPr>
          <w:sz w:val="24"/>
        </w:rPr>
        <w:t xml:space="preserve"> who provide such services in good faith can be reimbursed and exempted from sanctions. </w:t>
      </w:r>
    </w:p>
    <w:p w:rsidR="00BF43C2" w:rsidP="00630B10" w:rsidRDefault="00BF43C2">
      <w:pPr>
        <w:rPr>
          <w:sz w:val="24"/>
        </w:rPr>
      </w:pPr>
    </w:p>
    <w:p w:rsidRPr="00BB0BDD" w:rsidR="00600D16" w:rsidP="008C250E" w:rsidRDefault="00156D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During emergencies, such as the current COVID-19 </w:t>
      </w:r>
      <w:r w:rsidRPr="00BB0BDD" w:rsidR="00193582">
        <w:rPr>
          <w:sz w:val="24"/>
        </w:rPr>
        <w:t>public health emergency (PHE)</w:t>
      </w:r>
      <w:r w:rsidRPr="00BB0BDD">
        <w:rPr>
          <w:sz w:val="24"/>
        </w:rPr>
        <w:t xml:space="preserve">, CMS must be able to apply program waivers and flexibilities under section 1135 of the Social Security Act, in a timely manner to respond quickly to unfolding events. </w:t>
      </w:r>
      <w:r w:rsidR="00E71A88">
        <w:rPr>
          <w:sz w:val="24"/>
        </w:rPr>
        <w:t>In</w:t>
      </w:r>
      <w:r w:rsidRPr="00BB0BDD">
        <w:rPr>
          <w:sz w:val="24"/>
        </w:rPr>
        <w:t xml:space="preserve"> a disaster or emergency, waivers and flexibilities assist health care providers/suppliers </w:t>
      </w:r>
      <w:r w:rsidR="00E71A88">
        <w:rPr>
          <w:sz w:val="24"/>
        </w:rPr>
        <w:t>in providing</w:t>
      </w:r>
      <w:r w:rsidRPr="00BB0BDD">
        <w:rPr>
          <w:sz w:val="24"/>
        </w:rPr>
        <w:t xml:space="preserve"> timely healthcare and services to people who have been affected and enable</w:t>
      </w:r>
      <w:r w:rsidR="00E71A88">
        <w:rPr>
          <w:sz w:val="24"/>
        </w:rPr>
        <w:t>s</w:t>
      </w:r>
      <w:r w:rsidRPr="00BB0BDD">
        <w:rPr>
          <w:sz w:val="24"/>
        </w:rPr>
        <w:t xml:space="preserve"> states, Federal districts, and U.S. territories to ensure Medicare and/or Medicaid beneficiaries have continued access to care. During disasters and emergencies, it is not uncommon to</w:t>
      </w:r>
      <w:r w:rsidRPr="00BB0BDD" w:rsidR="00193582">
        <w:rPr>
          <w:sz w:val="24"/>
        </w:rPr>
        <w:t xml:space="preserve"> </w:t>
      </w:r>
      <w:r w:rsidRPr="00BB0BDD">
        <w:rPr>
          <w:sz w:val="24"/>
        </w:rPr>
        <w:t xml:space="preserve">evacuate </w:t>
      </w:r>
      <w:r w:rsidRPr="00BB0BDD" w:rsidR="00193582">
        <w:rPr>
          <w:sz w:val="24"/>
        </w:rPr>
        <w:t xml:space="preserve">Medicare-participating </w:t>
      </w:r>
      <w:r w:rsidRPr="00BB0BDD">
        <w:rPr>
          <w:sz w:val="24"/>
        </w:rPr>
        <w:t>facilities and relocate patients</w:t>
      </w:r>
      <w:r w:rsidRPr="00BB0BDD" w:rsidR="00193582">
        <w:rPr>
          <w:sz w:val="24"/>
        </w:rPr>
        <w:t>/residents</w:t>
      </w:r>
      <w:r w:rsidRPr="00BB0BDD">
        <w:rPr>
          <w:sz w:val="24"/>
        </w:rPr>
        <w:t xml:space="preserve"> to other provider settings or across state lines, especially, during hurricane and tornado events. </w:t>
      </w:r>
      <w:r w:rsidRPr="00BB0BDD" w:rsidR="00630B10">
        <w:rPr>
          <w:sz w:val="24"/>
        </w:rPr>
        <w:t>CMS must collect relevant information for which a provider is requesting a waiver or flexibility to make proper decisions about approving or denying such requests. Collection of this data aids in the prevention of gaps in access to care and services before, during, and after an emergency.</w:t>
      </w:r>
      <w:r w:rsidR="00B44FD9">
        <w:rPr>
          <w:sz w:val="24"/>
        </w:rPr>
        <w:t xml:space="preserve"> CMS must also respond to inquiries related to a PHE from providers and beneficiaries. CMS is not collecting information from these inquiries; we are merely responding to them.</w:t>
      </w:r>
    </w:p>
    <w:bookmarkEnd w:id="0"/>
    <w:p w:rsidR="007B71BC" w:rsidP="002966A3" w:rsidRDefault="007B7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7B71BC" w:rsidP="00C23572" w:rsidRDefault="007B7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Prior to this request, CMS did not have a standard process or </w:t>
      </w:r>
      <w:r w:rsidR="00BE3801">
        <w:rPr>
          <w:sz w:val="24"/>
        </w:rPr>
        <w:t>OMB approval</w:t>
      </w:r>
      <w:r w:rsidRPr="00BB0BDD">
        <w:rPr>
          <w:sz w:val="24"/>
        </w:rPr>
        <w:t xml:space="preserve"> for providers/suppliers impacted to </w:t>
      </w:r>
      <w:r w:rsidR="00BF43C2">
        <w:rPr>
          <w:sz w:val="24"/>
        </w:rPr>
        <w:t xml:space="preserve">submit </w:t>
      </w:r>
      <w:r w:rsidRPr="00BB0BDD">
        <w:rPr>
          <w:sz w:val="24"/>
        </w:rPr>
        <w:t>1135 waiver</w:t>
      </w:r>
      <w:r w:rsidRPr="002966A3" w:rsidR="00BF43C2">
        <w:rPr>
          <w:sz w:val="24"/>
        </w:rPr>
        <w:t>/</w:t>
      </w:r>
      <w:r w:rsidRPr="002966A3">
        <w:rPr>
          <w:sz w:val="24"/>
        </w:rPr>
        <w:t>flexibilit</w:t>
      </w:r>
      <w:r w:rsidRPr="002966A3" w:rsidR="00BF43C2">
        <w:rPr>
          <w:sz w:val="24"/>
        </w:rPr>
        <w:t>y</w:t>
      </w:r>
      <w:r w:rsidRPr="002966A3" w:rsidR="001C3552">
        <w:rPr>
          <w:sz w:val="24"/>
        </w:rPr>
        <w:t xml:space="preserve"> </w:t>
      </w:r>
      <w:r w:rsidRPr="002966A3" w:rsidR="00BF43C2">
        <w:rPr>
          <w:sz w:val="24"/>
        </w:rPr>
        <w:t xml:space="preserve">requests </w:t>
      </w:r>
      <w:r w:rsidRPr="002966A3" w:rsidR="001C3552">
        <w:rPr>
          <w:sz w:val="24"/>
        </w:rPr>
        <w:t>or</w:t>
      </w:r>
      <w:r w:rsidR="001C3552">
        <w:rPr>
          <w:sz w:val="24"/>
        </w:rPr>
        <w:t xml:space="preserve"> inquiries</w:t>
      </w:r>
      <w:r w:rsidRPr="00BB0BDD">
        <w:rPr>
          <w:sz w:val="24"/>
        </w:rPr>
        <w:t xml:space="preserve">, as these were generally seen on a smaller scale (natural disasters) prior to the COVID-19 public health emergency. CMS has provided general guidance to Medicare-participating facilities which can be viewed at </w:t>
      </w:r>
      <w:hyperlink w:history="1" r:id="rId7">
        <w:r w:rsidRPr="001B0E3D" w:rsidR="00FD1BCE">
          <w:rPr>
            <w:rStyle w:val="Hyperlink"/>
            <w:sz w:val="24"/>
          </w:rPr>
          <w:t>https://www.cms.gov/Medicare/Provider-Enrollment-and-Certification/SurveyCertEmergPrep/1135-Waivers</w:t>
        </w:r>
      </w:hyperlink>
      <w:r w:rsidR="00FD1BCE">
        <w:rPr>
          <w:sz w:val="24"/>
        </w:rPr>
        <w:t xml:space="preserve"> </w:t>
      </w:r>
      <w:r w:rsidRPr="00A97AF4">
        <w:rPr>
          <w:sz w:val="24"/>
        </w:rPr>
        <w:t xml:space="preserve">. The requests </w:t>
      </w:r>
      <w:r w:rsidR="001C3552">
        <w:rPr>
          <w:sz w:val="24"/>
        </w:rPr>
        <w:t xml:space="preserve">and inquiries </w:t>
      </w:r>
      <w:r w:rsidRPr="00A97AF4">
        <w:rPr>
          <w:sz w:val="24"/>
        </w:rPr>
        <w:t>would be sent directly</w:t>
      </w:r>
      <w:r w:rsidR="00250694">
        <w:rPr>
          <w:sz w:val="24"/>
        </w:rPr>
        <w:t xml:space="preserve">, </w:t>
      </w:r>
      <w:r w:rsidRPr="002966A3" w:rsidR="00250694">
        <w:rPr>
          <w:sz w:val="24"/>
        </w:rPr>
        <w:t>via e-mail,</w:t>
      </w:r>
      <w:r w:rsidRPr="00A97AF4">
        <w:rPr>
          <w:sz w:val="24"/>
        </w:rPr>
        <w:t xml:space="preserve"> </w:t>
      </w:r>
      <w:r w:rsidRPr="00C23572">
        <w:rPr>
          <w:sz w:val="24"/>
        </w:rPr>
        <w:t xml:space="preserve">to the </w:t>
      </w:r>
      <w:r w:rsidRPr="002966A3" w:rsidR="00BF43C2">
        <w:rPr>
          <w:sz w:val="24"/>
        </w:rPr>
        <w:t>Survey Operations Group in each</w:t>
      </w:r>
      <w:r w:rsidR="00BF43C2">
        <w:rPr>
          <w:sz w:val="24"/>
        </w:rPr>
        <w:t xml:space="preserve"> </w:t>
      </w:r>
      <w:r w:rsidRPr="00C23572">
        <w:rPr>
          <w:sz w:val="24"/>
        </w:rPr>
        <w:t xml:space="preserve">CMS </w:t>
      </w:r>
      <w:r w:rsidRPr="002966A3" w:rsidR="00BF43C2">
        <w:rPr>
          <w:sz w:val="24"/>
        </w:rPr>
        <w:t>Location</w:t>
      </w:r>
      <w:r w:rsidR="00BF43C2">
        <w:rPr>
          <w:sz w:val="24"/>
        </w:rPr>
        <w:t xml:space="preserve"> </w:t>
      </w:r>
      <w:r w:rsidRPr="00C23572">
        <w:rPr>
          <w:sz w:val="24"/>
        </w:rPr>
        <w:t xml:space="preserve">(previously known as CMS Regional Offices) and the </w:t>
      </w:r>
      <w:r w:rsidRPr="002966A3" w:rsidR="00250694">
        <w:rPr>
          <w:sz w:val="24"/>
        </w:rPr>
        <w:t>entity</w:t>
      </w:r>
      <w:r w:rsidRPr="00C23572" w:rsidR="00250694">
        <w:rPr>
          <w:sz w:val="24"/>
        </w:rPr>
        <w:t xml:space="preserve"> </w:t>
      </w:r>
      <w:r w:rsidRPr="00C23572">
        <w:rPr>
          <w:sz w:val="24"/>
        </w:rPr>
        <w:t xml:space="preserve">would </w:t>
      </w:r>
      <w:r w:rsidRPr="002966A3" w:rsidR="00250694">
        <w:rPr>
          <w:sz w:val="24"/>
        </w:rPr>
        <w:t>provide a brief summary</w:t>
      </w:r>
      <w:r w:rsidR="00250694">
        <w:rPr>
          <w:sz w:val="24"/>
        </w:rPr>
        <w:t xml:space="preserve"> </w:t>
      </w:r>
      <w:r w:rsidRPr="00250694" w:rsidR="008158F5">
        <w:rPr>
          <w:sz w:val="24"/>
        </w:rPr>
        <w:t xml:space="preserve">to </w:t>
      </w:r>
      <w:r w:rsidRPr="00250694">
        <w:rPr>
          <w:sz w:val="24"/>
        </w:rPr>
        <w:t>CMS for a waiver</w:t>
      </w:r>
      <w:r w:rsidRPr="002966A3" w:rsidR="00250694">
        <w:rPr>
          <w:sz w:val="24"/>
        </w:rPr>
        <w:t>/flexibility request</w:t>
      </w:r>
      <w:r w:rsidRPr="00250694" w:rsidR="001C3552">
        <w:rPr>
          <w:sz w:val="24"/>
        </w:rPr>
        <w:t xml:space="preserve"> </w:t>
      </w:r>
      <w:r w:rsidRPr="00250694" w:rsidR="00B44FD9">
        <w:rPr>
          <w:sz w:val="24"/>
        </w:rPr>
        <w:t>or an answer to an inquiry.</w:t>
      </w:r>
      <w:r w:rsidRPr="00C23572">
        <w:rPr>
          <w:sz w:val="24"/>
        </w:rPr>
        <w:t xml:space="preserve"> </w:t>
      </w:r>
    </w:p>
    <w:p w:rsidRPr="00BB0BDD" w:rsidR="00600D16" w:rsidP="007B71BC" w:rsidRDefault="00600D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7B71BC" w:rsidR="007B71BC" w:rsidP="00C23572" w:rsidRDefault="008158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BB0BDD" w:rsidR="007B71BC">
        <w:rPr>
          <w:sz w:val="24"/>
        </w:rPr>
        <w:t>he collection of the information surrounding 1135 Waiver requests</w:t>
      </w:r>
      <w:r w:rsidRPr="002966A3" w:rsidR="00671600">
        <w:rPr>
          <w:sz w:val="24"/>
        </w:rPr>
        <w:t>/inquiries</w:t>
      </w:r>
      <w:r w:rsidRPr="00BB0BDD" w:rsidR="007B71BC">
        <w:rPr>
          <w:sz w:val="24"/>
        </w:rPr>
        <w:t xml:space="preserve"> </w:t>
      </w:r>
      <w:r w:rsidR="008C250E">
        <w:rPr>
          <w:sz w:val="24"/>
        </w:rPr>
        <w:t>is</w:t>
      </w:r>
      <w:r w:rsidRPr="00BB0BDD" w:rsidR="008C250E">
        <w:rPr>
          <w:sz w:val="24"/>
        </w:rPr>
        <w:t xml:space="preserve"> </w:t>
      </w:r>
      <w:r w:rsidRPr="00BB0BDD" w:rsidR="007B71BC">
        <w:rPr>
          <w:sz w:val="24"/>
        </w:rPr>
        <w:t xml:space="preserve">based on a case-by-case basis and not regularly scheduled (e.g. quarterly, annually, by all providers/suppliers). The collection of information only occurs when </w:t>
      </w:r>
      <w:r w:rsidRPr="002966A3" w:rsidR="00610ABF">
        <w:rPr>
          <w:sz w:val="24"/>
        </w:rPr>
        <w:t>the healthcare entity</w:t>
      </w:r>
      <w:r w:rsidRPr="00BB0BDD" w:rsidR="007B71BC">
        <w:rPr>
          <w:sz w:val="24"/>
        </w:rPr>
        <w:t xml:space="preserve">, impacted by an emergency, </w:t>
      </w:r>
      <w:r w:rsidR="002966A3">
        <w:rPr>
          <w:sz w:val="24"/>
        </w:rPr>
        <w:t>is</w:t>
      </w:r>
      <w:r w:rsidRPr="00BB0BDD" w:rsidR="002966A3">
        <w:rPr>
          <w:sz w:val="24"/>
        </w:rPr>
        <w:t xml:space="preserve"> </w:t>
      </w:r>
      <w:r w:rsidRPr="00A97AF4" w:rsidR="007B71BC">
        <w:rPr>
          <w:sz w:val="24"/>
        </w:rPr>
        <w:t xml:space="preserve">requesting </w:t>
      </w:r>
      <w:r w:rsidR="00610ABF">
        <w:rPr>
          <w:sz w:val="24"/>
        </w:rPr>
        <w:t>or inquiring about waivers/</w:t>
      </w:r>
      <w:r w:rsidRPr="00A97AF4" w:rsidR="007B71BC">
        <w:rPr>
          <w:sz w:val="24"/>
        </w:rPr>
        <w:t xml:space="preserve">flexibilities under Section 1135 of the Act. The collection of information is also dependent on provider </w:t>
      </w:r>
      <w:r w:rsidRPr="00A97AF4" w:rsidR="00FD1BCE">
        <w:rPr>
          <w:sz w:val="24"/>
        </w:rPr>
        <w:t>types;</w:t>
      </w:r>
      <w:r w:rsidRPr="00A97AF4" w:rsidR="007B71BC">
        <w:rPr>
          <w:sz w:val="24"/>
        </w:rPr>
        <w:t xml:space="preserve"> </w:t>
      </w:r>
      <w:r w:rsidRPr="00A97AF4" w:rsidR="00895DFE">
        <w:rPr>
          <w:sz w:val="24"/>
        </w:rPr>
        <w:t>therefore,</w:t>
      </w:r>
      <w:r w:rsidRPr="00A97AF4" w:rsidR="007B71BC">
        <w:rPr>
          <w:sz w:val="24"/>
        </w:rPr>
        <w:t xml:space="preserve"> it is not a</w:t>
      </w:r>
      <w:r w:rsidRPr="007B71BC" w:rsidR="007B71BC">
        <w:rPr>
          <w:sz w:val="24"/>
        </w:rPr>
        <w:t xml:space="preserve"> collection for all Medicare-participating facilities.</w:t>
      </w:r>
    </w:p>
    <w:p w:rsidRPr="007B71BC" w:rsidR="007B71BC" w:rsidP="007B71BC" w:rsidRDefault="007B7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B71BC" w:rsidP="00C23572" w:rsidRDefault="007B71B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B71BC">
        <w:rPr>
          <w:sz w:val="24"/>
        </w:rPr>
        <w:lastRenderedPageBreak/>
        <w:t xml:space="preserve">We are now developing a </w:t>
      </w:r>
      <w:r w:rsidR="00895DFE">
        <w:rPr>
          <w:sz w:val="24"/>
        </w:rPr>
        <w:t>streamlined, automated</w:t>
      </w:r>
      <w:r w:rsidRPr="007B71BC" w:rsidR="00895DFE">
        <w:rPr>
          <w:sz w:val="24"/>
        </w:rPr>
        <w:t xml:space="preserve"> </w:t>
      </w:r>
      <w:r w:rsidRPr="007B71BC">
        <w:rPr>
          <w:sz w:val="24"/>
        </w:rPr>
        <w:t>process to standardize the 1135 waiver requests</w:t>
      </w:r>
      <w:r w:rsidR="001C3552">
        <w:rPr>
          <w:sz w:val="24"/>
        </w:rPr>
        <w:t xml:space="preserve"> and inquiries</w:t>
      </w:r>
      <w:r w:rsidRPr="007B71BC">
        <w:rPr>
          <w:sz w:val="24"/>
        </w:rPr>
        <w:t xml:space="preserve"> submitted based on lessons learned during COVID-19 PHE, primarily based on the volume of requests to ensure timely response to facility needs. </w:t>
      </w:r>
    </w:p>
    <w:p w:rsidR="005022FB" w:rsidP="00C23572" w:rsidRDefault="00502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5022FB" w:rsidR="005022FB" w:rsidP="005022FB" w:rsidRDefault="00502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are requesting </w:t>
      </w:r>
      <w:r w:rsidRPr="005022FB">
        <w:rPr>
          <w:sz w:val="24"/>
        </w:rPr>
        <w:t>emergency</w:t>
      </w:r>
      <w:r>
        <w:rPr>
          <w:sz w:val="24"/>
        </w:rPr>
        <w:t xml:space="preserve"> approval for the 1135 web tool for four months. </w:t>
      </w:r>
      <w:r w:rsidRPr="005022FB">
        <w:rPr>
          <w:sz w:val="24"/>
        </w:rPr>
        <w:t xml:space="preserve"> </w:t>
      </w:r>
      <w:r>
        <w:rPr>
          <w:sz w:val="24"/>
        </w:rPr>
        <w:t>We will</w:t>
      </w:r>
      <w:r w:rsidRPr="005022FB">
        <w:rPr>
          <w:sz w:val="24"/>
        </w:rPr>
        <w:t xml:space="preserve"> also publish a 60-day notice to begin the transition of this collection to be a standard collection.  </w:t>
      </w:r>
    </w:p>
    <w:p w:rsidRPr="005022FB" w:rsidR="005022FB" w:rsidP="005022FB" w:rsidRDefault="00502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D1B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w:t>
      </w:r>
      <w:r w:rsidR="008F1EB4">
        <w:rPr>
          <w:sz w:val="24"/>
        </w:rPr>
        <w:tab/>
      </w:r>
      <w:r w:rsidRPr="00FA2758" w:rsidR="008F1EB4">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156D90" w:rsidP="00C23572" w:rsidRDefault="00156D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When the President declares a disaster or emergency under the Stafford Act or National Emergencies Act and the HHS Secretary declares a public health emergency under Section 319 of the Public Health Service Act, the Secretary is authorized to temporarily waive or modify certain Medicare, Medicaid, CHIP and Health Insurance Portability and Accountability Act (HIPAA) requirements. Waiving such requirements </w:t>
      </w:r>
      <w:r w:rsidRPr="00C23572">
        <w:rPr>
          <w:sz w:val="24"/>
        </w:rPr>
        <w:t xml:space="preserve">ensures that sufficient health care </w:t>
      </w:r>
      <w:r w:rsidRPr="00C23572" w:rsidR="00636F01">
        <w:rPr>
          <w:sz w:val="24"/>
        </w:rPr>
        <w:t>s</w:t>
      </w:r>
      <w:r w:rsidRPr="00C23572">
        <w:rPr>
          <w:sz w:val="24"/>
        </w:rPr>
        <w:t>ervices are available to meet the needs of individuals enrolled in Social Security Act programs in the emergency area and time periods, and to reimburse and exempt from sanctions providers who provide such services in good faith</w:t>
      </w:r>
      <w:r w:rsidRPr="00BB0BDD">
        <w:rPr>
          <w:sz w:val="24"/>
        </w:rPr>
        <w:t xml:space="preserve">. </w:t>
      </w:r>
      <w:r w:rsidRPr="00BB0BDD">
        <w:rPr>
          <w:sz w:val="24"/>
        </w:rPr>
        <w:br/>
      </w:r>
    </w:p>
    <w:p w:rsidR="00600D16" w:rsidP="00C23572" w:rsidRDefault="00FA2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The statutory authorities that allow for the implementation of waivers and flexibilities are Section 1812(f) of the Social Security Act, Section 1135 of the Social Security Act, and Section 319 of the Public Health Service Act. Prior to </w:t>
      </w:r>
      <w:r w:rsidRPr="00C23572" w:rsidR="00600D16">
        <w:rPr>
          <w:sz w:val="24"/>
        </w:rPr>
        <w:t xml:space="preserve">the </w:t>
      </w:r>
      <w:r w:rsidRPr="00BB0BDD">
        <w:rPr>
          <w:sz w:val="24"/>
        </w:rPr>
        <w:t>COVID-19</w:t>
      </w:r>
      <w:r w:rsidRPr="00C23572" w:rsidR="00600D16">
        <w:rPr>
          <w:sz w:val="24"/>
        </w:rPr>
        <w:t xml:space="preserve"> PHE</w:t>
      </w:r>
      <w:r w:rsidRPr="00BB0BDD">
        <w:rPr>
          <w:sz w:val="24"/>
        </w:rPr>
        <w:t xml:space="preserve">, CMS Central and Regional offices executed manual processes using Excel spreadsheets, </w:t>
      </w:r>
      <w:r w:rsidRPr="00BB0BDD" w:rsidR="008F2E1A">
        <w:rPr>
          <w:sz w:val="24"/>
        </w:rPr>
        <w:t xml:space="preserve">Access databases, </w:t>
      </w:r>
      <w:r w:rsidRPr="00BB0BDD">
        <w:rPr>
          <w:sz w:val="24"/>
        </w:rPr>
        <w:t>Word documents and Outlook email to monitor, track, respond and report on the volume and specifics of request</w:t>
      </w:r>
      <w:r w:rsidRPr="002966A3" w:rsidR="00062C0E">
        <w:rPr>
          <w:sz w:val="24"/>
        </w:rPr>
        <w:t>s and inquiries</w:t>
      </w:r>
      <w:r w:rsidRPr="00BB0BDD">
        <w:rPr>
          <w:sz w:val="24"/>
        </w:rPr>
        <w:t xml:space="preserve">. However, </w:t>
      </w:r>
      <w:r w:rsidRPr="00C23572" w:rsidR="00600D16">
        <w:rPr>
          <w:sz w:val="24"/>
        </w:rPr>
        <w:t xml:space="preserve">the </w:t>
      </w:r>
      <w:r w:rsidRPr="00BB0BDD">
        <w:rPr>
          <w:sz w:val="24"/>
        </w:rPr>
        <w:t xml:space="preserve">COVID-19 </w:t>
      </w:r>
      <w:r w:rsidRPr="00C23572" w:rsidR="00600D16">
        <w:rPr>
          <w:sz w:val="24"/>
        </w:rPr>
        <w:t xml:space="preserve">PHE </w:t>
      </w:r>
      <w:r w:rsidRPr="00BB0BDD">
        <w:rPr>
          <w:sz w:val="24"/>
        </w:rPr>
        <w:t>presented a new challenge as Medicare and Medicaid providers</w:t>
      </w:r>
      <w:r w:rsidRPr="00BB0BDD" w:rsidR="008F2E1A">
        <w:rPr>
          <w:sz w:val="24"/>
        </w:rPr>
        <w:t>/suppliers</w:t>
      </w:r>
      <w:r w:rsidRPr="00BB0BDD">
        <w:rPr>
          <w:sz w:val="24"/>
        </w:rPr>
        <w:t xml:space="preserve"> have continue</w:t>
      </w:r>
      <w:r w:rsidRPr="00BB0BDD" w:rsidR="008F2E1A">
        <w:rPr>
          <w:sz w:val="24"/>
        </w:rPr>
        <w:t>d</w:t>
      </w:r>
      <w:r w:rsidRPr="00BB0BDD">
        <w:rPr>
          <w:sz w:val="24"/>
        </w:rPr>
        <w:t xml:space="preserve"> to be impacted on a 24-hour basis </w:t>
      </w:r>
      <w:bookmarkStart w:name="_Hlk51663942" w:id="1"/>
      <w:r w:rsidRPr="00C23572" w:rsidR="00600D16">
        <w:rPr>
          <w:sz w:val="24"/>
        </w:rPr>
        <w:t>throughout the duration of the PHE</w:t>
      </w:r>
      <w:r w:rsidRPr="00BB0BDD">
        <w:rPr>
          <w:sz w:val="24"/>
        </w:rPr>
        <w:t xml:space="preserve">. </w:t>
      </w:r>
      <w:r w:rsidRPr="00C23572" w:rsidR="00600D16">
        <w:rPr>
          <w:sz w:val="24"/>
        </w:rPr>
        <w:t xml:space="preserve">While the </w:t>
      </w:r>
      <w:r w:rsidRPr="00BB0BDD" w:rsidR="008F2E1A">
        <w:rPr>
          <w:sz w:val="24"/>
        </w:rPr>
        <w:t xml:space="preserve">COVID-19 </w:t>
      </w:r>
      <w:r w:rsidRPr="00C23572" w:rsidR="00600D16">
        <w:rPr>
          <w:sz w:val="24"/>
        </w:rPr>
        <w:t xml:space="preserve">PHE highlighted challenges due to the volume, CMS acknowledges that a streamlined process will assist in all public health emergencies, such as during </w:t>
      </w:r>
      <w:r w:rsidRPr="00BB0BDD" w:rsidR="008F2E1A">
        <w:rPr>
          <w:sz w:val="24"/>
        </w:rPr>
        <w:t xml:space="preserve">hurricanes, wildfires, tornados, active shooters, </w:t>
      </w:r>
      <w:r w:rsidRPr="00C23572" w:rsidR="00600D16">
        <w:rPr>
          <w:sz w:val="24"/>
        </w:rPr>
        <w:t>and other emergencies seen even throughout the existing COVID-19 PHE</w:t>
      </w:r>
      <w:r w:rsidRPr="00BB0BDD" w:rsidR="008F2E1A">
        <w:rPr>
          <w:sz w:val="24"/>
        </w:rPr>
        <w:t xml:space="preserve">. </w:t>
      </w:r>
    </w:p>
    <w:p w:rsidRPr="00C23572" w:rsidR="008158F5" w:rsidP="00C23572" w:rsidRDefault="008158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1"/>
    <w:p w:rsidRPr="00975E39" w:rsidR="008158F5" w:rsidP="008158F5" w:rsidRDefault="008158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5E39">
        <w:rPr>
          <w:sz w:val="24"/>
        </w:rPr>
        <w:t>The magnitude and continued volume of 1135 requests</w:t>
      </w:r>
      <w:r w:rsidR="00062C0E">
        <w:rPr>
          <w:sz w:val="24"/>
        </w:rPr>
        <w:t xml:space="preserve"> </w:t>
      </w:r>
      <w:r w:rsidRPr="002966A3" w:rsidR="00062C0E">
        <w:rPr>
          <w:sz w:val="24"/>
        </w:rPr>
        <w:t>and inquiries</w:t>
      </w:r>
      <w:r w:rsidRPr="00975E39">
        <w:rPr>
          <w:sz w:val="24"/>
        </w:rPr>
        <w:t xml:space="preserve"> by </w:t>
      </w:r>
      <w:r w:rsidRPr="002966A3" w:rsidR="00062C0E">
        <w:rPr>
          <w:sz w:val="24"/>
        </w:rPr>
        <w:t>CMS</w:t>
      </w:r>
      <w:r w:rsidRPr="00975E39">
        <w:rPr>
          <w:sz w:val="24"/>
        </w:rPr>
        <w:t>-participating providers and suppliers is ongoing to date. The influx of COVID-19 related 1135 submissions, now compiled with wildfire and hurricane requests, has expedited the need for a long-term information technology (IT) solution to support the incoming requests</w:t>
      </w:r>
      <w:r w:rsidRPr="002966A3" w:rsidR="00062C0E">
        <w:rPr>
          <w:sz w:val="24"/>
        </w:rPr>
        <w:t>/inquiries</w:t>
      </w:r>
      <w:r w:rsidRPr="00975E39">
        <w:rPr>
          <w:sz w:val="24"/>
        </w:rPr>
        <w:t xml:space="preserve">, maintain a repository for tracking purposes, improve data quality and automate the process, where possible, to improve program efficiencies and CMS/HHS responsiveness. </w:t>
      </w:r>
    </w:p>
    <w:p w:rsidRPr="00BB0BDD" w:rsidR="00FA2758" w:rsidRDefault="00FA2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sidRPr="00BB0BDD">
        <w:rPr>
          <w:sz w:val="24"/>
          <w:u w:val="single"/>
        </w:rPr>
        <w:t>Information Users</w:t>
      </w: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FA2758" w:rsidP="00C23572" w:rsidRDefault="00FA275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This information will be used by CMS to receive, triage</w:t>
      </w:r>
      <w:r w:rsidRPr="00BB0BDD" w:rsidR="00C40E5A">
        <w:rPr>
          <w:sz w:val="24"/>
        </w:rPr>
        <w:t>,</w:t>
      </w:r>
      <w:r w:rsidRPr="00BB0BDD">
        <w:rPr>
          <w:sz w:val="24"/>
        </w:rPr>
        <w:t xml:space="preserve"> respond to</w:t>
      </w:r>
      <w:r w:rsidRPr="00BB0BDD" w:rsidR="00C40E5A">
        <w:rPr>
          <w:sz w:val="24"/>
        </w:rPr>
        <w:t xml:space="preserve"> and report on</w:t>
      </w:r>
      <w:r w:rsidRPr="00BB0BDD">
        <w:rPr>
          <w:sz w:val="24"/>
        </w:rPr>
        <w:t xml:space="preserve"> requests and/or </w:t>
      </w:r>
      <w:r w:rsidRPr="002966A3" w:rsidR="00062C0E">
        <w:rPr>
          <w:sz w:val="24"/>
        </w:rPr>
        <w:t>inquiries</w:t>
      </w:r>
      <w:r w:rsidRPr="00BB0BDD" w:rsidR="00062C0E">
        <w:rPr>
          <w:sz w:val="24"/>
        </w:rPr>
        <w:t xml:space="preserve"> </w:t>
      </w:r>
      <w:r w:rsidRPr="00BB0BDD" w:rsidR="00C65A20">
        <w:rPr>
          <w:sz w:val="24"/>
        </w:rPr>
        <w:t>for Medicare, Medicaid</w:t>
      </w:r>
      <w:r w:rsidRPr="00BB0BDD" w:rsidR="00B85319">
        <w:rPr>
          <w:sz w:val="24"/>
        </w:rPr>
        <w:t>,</w:t>
      </w:r>
      <w:r w:rsidRPr="00BB0BDD" w:rsidR="00C65A20">
        <w:rPr>
          <w:sz w:val="24"/>
        </w:rPr>
        <w:t xml:space="preserve"> </w:t>
      </w:r>
      <w:r w:rsidRPr="00BB0BDD" w:rsidR="00B85319">
        <w:rPr>
          <w:sz w:val="24"/>
        </w:rPr>
        <w:t xml:space="preserve">and </w:t>
      </w:r>
      <w:r w:rsidRPr="00BB0BDD" w:rsidR="00C65A20">
        <w:rPr>
          <w:sz w:val="24"/>
        </w:rPr>
        <w:t xml:space="preserve">CHIP </w:t>
      </w:r>
      <w:r w:rsidRPr="00BB0BDD" w:rsidR="00B85319">
        <w:rPr>
          <w:sz w:val="24"/>
        </w:rPr>
        <w:t>beneficiaries.</w:t>
      </w:r>
      <w:r w:rsidRPr="00BB0BDD">
        <w:rPr>
          <w:sz w:val="24"/>
        </w:rPr>
        <w:t xml:space="preserve"> </w:t>
      </w:r>
      <w:r w:rsidRPr="00BB0BDD" w:rsidR="00156D90">
        <w:rPr>
          <w:sz w:val="24"/>
        </w:rPr>
        <w:t xml:space="preserve">This information will be used to make decisions about approving or denying waiver and flexibility </w:t>
      </w:r>
      <w:r w:rsidRPr="00BB0BDD" w:rsidR="001F15A5">
        <w:rPr>
          <w:sz w:val="24"/>
        </w:rPr>
        <w:t>requests and</w:t>
      </w:r>
      <w:r w:rsidRPr="00BB0BDD" w:rsidR="00156D90">
        <w:rPr>
          <w:sz w:val="24"/>
        </w:rPr>
        <w:t xml:space="preserve"> may be used to identify trends that inform CMS Conditions for Coverage or Conditions for </w:t>
      </w:r>
      <w:r w:rsidRPr="00BB0BDD" w:rsidR="001F15A5">
        <w:rPr>
          <w:sz w:val="24"/>
        </w:rPr>
        <w:t>Participation</w:t>
      </w:r>
      <w:r w:rsidRPr="00BB0BDD" w:rsidR="00156D90">
        <w:rPr>
          <w:sz w:val="24"/>
        </w:rPr>
        <w:t xml:space="preserve"> policies</w:t>
      </w:r>
      <w:r w:rsidRPr="00C23572" w:rsidR="000F6ADB">
        <w:rPr>
          <w:sz w:val="24"/>
        </w:rPr>
        <w:t xml:space="preserve"> during </w:t>
      </w:r>
      <w:r w:rsidRPr="00C23572" w:rsidR="000F6ADB">
        <w:rPr>
          <w:sz w:val="24"/>
        </w:rPr>
        <w:lastRenderedPageBreak/>
        <w:t>public health emergencies, when declared by the President and the HHS Secretary.</w:t>
      </w: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B0BDD">
        <w:rPr>
          <w:sz w:val="24"/>
        </w:rPr>
        <w:t>3.</w:t>
      </w:r>
      <w:r w:rsidRPr="00BB0BDD">
        <w:rPr>
          <w:sz w:val="24"/>
        </w:rPr>
        <w:tab/>
      </w:r>
      <w:r w:rsidRPr="00BB0BDD">
        <w:rPr>
          <w:sz w:val="24"/>
          <w:u w:val="single"/>
        </w:rPr>
        <w:t>Use of Information Technology</w:t>
      </w: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P="00C23572" w:rsidRDefault="00C65A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This information will be collected electronically </w:t>
      </w:r>
      <w:r w:rsidRPr="00BB0BDD" w:rsidR="00FD1BCE">
        <w:rPr>
          <w:sz w:val="24"/>
        </w:rPr>
        <w:t>using</w:t>
      </w:r>
      <w:r w:rsidRPr="00BB0BDD">
        <w:rPr>
          <w:sz w:val="24"/>
        </w:rPr>
        <w:t xml:space="preserve"> a public-facing web form</w:t>
      </w:r>
      <w:r w:rsidR="00906C15">
        <w:rPr>
          <w:sz w:val="24"/>
        </w:rPr>
        <w:t>.</w:t>
      </w:r>
      <w:r w:rsidR="008158F5">
        <w:rPr>
          <w:sz w:val="24"/>
        </w:rPr>
        <w:t xml:space="preserve"> </w:t>
      </w:r>
      <w:r w:rsidRPr="00C23572" w:rsidR="000F6ADB">
        <w:rPr>
          <w:sz w:val="24"/>
        </w:rPr>
        <w:t xml:space="preserve">This process would include the requesting Medicare-participating provider/supplier or association or State/local government </w:t>
      </w:r>
      <w:r w:rsidR="002965E0">
        <w:rPr>
          <w:sz w:val="24"/>
        </w:rPr>
        <w:t xml:space="preserve">submitting </w:t>
      </w:r>
      <w:r w:rsidRPr="00C23572" w:rsidR="000F6ADB">
        <w:rPr>
          <w:sz w:val="24"/>
        </w:rPr>
        <w:t>on behalf of a provider/supplier</w:t>
      </w:r>
      <w:r w:rsidR="002965E0">
        <w:rPr>
          <w:sz w:val="24"/>
        </w:rPr>
        <w:t xml:space="preserve">. </w:t>
      </w:r>
      <w:r w:rsidRPr="00C23572" w:rsidR="000F6ADB">
        <w:rPr>
          <w:sz w:val="24"/>
        </w:rPr>
        <w:t xml:space="preserve"> </w:t>
      </w:r>
    </w:p>
    <w:p w:rsidRPr="00975E39" w:rsidR="00975E39" w:rsidP="00975E39" w:rsidRDefault="00975E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75E39" w:rsidR="00975E39" w:rsidP="00975E39" w:rsidRDefault="00975E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75E39">
        <w:rPr>
          <w:sz w:val="24"/>
        </w:rPr>
        <w:t>CMS is proposing the creation of a public facing web form to support nationwide submission of 1135 waiver</w:t>
      </w:r>
      <w:r w:rsidR="00906752">
        <w:rPr>
          <w:sz w:val="24"/>
        </w:rPr>
        <w:t xml:space="preserve"> </w:t>
      </w:r>
      <w:r w:rsidRPr="002966A3" w:rsidR="00906752">
        <w:rPr>
          <w:sz w:val="24"/>
        </w:rPr>
        <w:t>request</w:t>
      </w:r>
      <w:r w:rsidRPr="002966A3">
        <w:rPr>
          <w:sz w:val="24"/>
        </w:rPr>
        <w:t>s</w:t>
      </w:r>
      <w:r w:rsidRPr="002966A3" w:rsidR="00906752">
        <w:rPr>
          <w:sz w:val="24"/>
        </w:rPr>
        <w:t xml:space="preserve"> and inquiries</w:t>
      </w:r>
      <w:r w:rsidRPr="00975E39">
        <w:rPr>
          <w:sz w:val="24"/>
        </w:rPr>
        <w:t xml:space="preserve"> by collecting required information from impacted Medicare/Medicaid providers, Healthcare Associations, Governors and States. </w:t>
      </w:r>
      <w:r w:rsidR="008158F5">
        <w:rPr>
          <w:sz w:val="24"/>
        </w:rPr>
        <w:t>Thus,</w:t>
      </w:r>
      <w:r w:rsidRPr="00975E39">
        <w:rPr>
          <w:sz w:val="24"/>
        </w:rPr>
        <w:t xml:space="preserve"> creation of a standard and automated 1135 process by utilizing a publicly accessible web form will enable </w:t>
      </w:r>
      <w:r w:rsidR="00AE7DE1">
        <w:rPr>
          <w:sz w:val="24"/>
        </w:rPr>
        <w:t xml:space="preserve">standardized, </w:t>
      </w:r>
      <w:r w:rsidRPr="00975E39">
        <w:rPr>
          <w:sz w:val="24"/>
        </w:rPr>
        <w:t xml:space="preserve">user-friendly submission </w:t>
      </w:r>
      <w:r w:rsidR="00AE7DE1">
        <w:rPr>
          <w:sz w:val="24"/>
        </w:rPr>
        <w:t xml:space="preserve">by requesters </w:t>
      </w:r>
      <w:r w:rsidRPr="00975E39">
        <w:rPr>
          <w:sz w:val="24"/>
        </w:rPr>
        <w:t xml:space="preserve">and more efficient processing for all impacted components within CMS. </w:t>
      </w:r>
    </w:p>
    <w:p w:rsidRPr="00C23572" w:rsidR="000F6ADB" w:rsidRDefault="000F6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B0BDD">
        <w:rPr>
          <w:sz w:val="24"/>
        </w:rPr>
        <w:t>4.</w:t>
      </w:r>
      <w:r w:rsidRPr="00BB0BDD">
        <w:rPr>
          <w:sz w:val="24"/>
        </w:rPr>
        <w:tab/>
      </w:r>
      <w:r w:rsidRPr="00BB0BDD">
        <w:rPr>
          <w:sz w:val="24"/>
          <w:u w:val="single"/>
        </w:rPr>
        <w:t>Duplication of Efforts</w:t>
      </w:r>
    </w:p>
    <w:p w:rsidRPr="00BB0BDD"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8F1EB4" w:rsidRDefault="00C65A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BDD">
        <w:rPr>
          <w:sz w:val="24"/>
        </w:rPr>
        <w:t>This information collection does not duplicate any other effort and the information cannot be obtained from any other source.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B16C0F" w:rsidRDefault="00B16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5.</w:t>
      </w:r>
      <w:r w:rsidRPr="00C23572">
        <w:rPr>
          <w:sz w:val="24"/>
        </w:rPr>
        <w:tab/>
      </w:r>
      <w:r w:rsidRPr="00C23572">
        <w:rPr>
          <w:sz w:val="24"/>
          <w:u w:val="single"/>
        </w:rPr>
        <w:t>Small Businesses</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F6ADB" w:rsidRDefault="000F6A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These requirements do affect small businesses, however, the information collection is only collected if requested </w:t>
      </w:r>
      <w:r w:rsidRPr="00C23572" w:rsidR="00DD546B">
        <w:rPr>
          <w:sz w:val="24"/>
        </w:rPr>
        <w:t xml:space="preserve">during an emergency event, which has been declared a public health emergency by the President and HHS Secretary </w:t>
      </w:r>
      <w:r w:rsidR="00906C15">
        <w:rPr>
          <w:sz w:val="24"/>
        </w:rPr>
        <w:t>and</w:t>
      </w:r>
      <w:r w:rsidRPr="00C23572" w:rsidR="00906C15">
        <w:rPr>
          <w:sz w:val="24"/>
        </w:rPr>
        <w:t xml:space="preserve"> </w:t>
      </w:r>
      <w:r w:rsidRPr="00C23572" w:rsidR="00DD546B">
        <w:rPr>
          <w:sz w:val="24"/>
        </w:rPr>
        <w:t xml:space="preserve">if an 1135 Waiver </w:t>
      </w:r>
      <w:r w:rsidRPr="002966A3" w:rsidR="00906752">
        <w:rPr>
          <w:sz w:val="24"/>
        </w:rPr>
        <w:t>request or inquiry</w:t>
      </w:r>
      <w:r w:rsidR="00906752">
        <w:rPr>
          <w:sz w:val="24"/>
        </w:rPr>
        <w:t xml:space="preserve"> </w:t>
      </w:r>
      <w:r w:rsidRPr="00C23572" w:rsidR="00DD546B">
        <w:rPr>
          <w:sz w:val="24"/>
        </w:rPr>
        <w:t xml:space="preserve">is </w:t>
      </w:r>
      <w:r w:rsidRPr="002966A3" w:rsidR="00906752">
        <w:rPr>
          <w:sz w:val="24"/>
        </w:rPr>
        <w:t>submitted</w:t>
      </w:r>
      <w:r w:rsidRPr="00C23572" w:rsidR="00906752">
        <w:rPr>
          <w:sz w:val="24"/>
        </w:rPr>
        <w:t xml:space="preserve"> </w:t>
      </w:r>
      <w:r w:rsidRPr="00C23572" w:rsidR="00DD546B">
        <w:rPr>
          <w:sz w:val="24"/>
        </w:rPr>
        <w:t>by the Medicare-participating provider, or on behalf of a provider</w:t>
      </w:r>
      <w:r w:rsidRPr="00C23572">
        <w:rPr>
          <w:sz w:val="24"/>
        </w:rPr>
        <w:t>. These paperwork requirements are minimal and are necessary to meet the documentation and disclosure requirements of the law.</w:t>
      </w:r>
    </w:p>
    <w:p w:rsidRPr="00C23572" w:rsidR="00906752" w:rsidRDefault="009067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B0BDD" w:rsidR="005D01AF" w:rsidRDefault="005D01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BDD">
        <w:rPr>
          <w:sz w:val="24"/>
        </w:rPr>
        <w:t>Offering an automated process minimizes the burden on small businesses by:</w:t>
      </w:r>
    </w:p>
    <w:p w:rsidRPr="00BB0BDD" w:rsidR="0093471B" w:rsidP="00C23572" w:rsidRDefault="0093471B">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1854478" w:id="2"/>
      <w:r w:rsidRPr="00BB0BDD">
        <w:rPr>
          <w:sz w:val="24"/>
        </w:rPr>
        <w:t>Standardiz</w:t>
      </w:r>
      <w:r w:rsidRPr="00BB0BDD" w:rsidR="00B07467">
        <w:rPr>
          <w:sz w:val="24"/>
        </w:rPr>
        <w:t>ing</w:t>
      </w:r>
      <w:r w:rsidRPr="00BB0BDD">
        <w:rPr>
          <w:sz w:val="24"/>
        </w:rPr>
        <w:t xml:space="preserve"> the process so providers don’t have to come up with their own form</w:t>
      </w:r>
    </w:p>
    <w:p w:rsidRPr="002966A3" w:rsidR="00906752" w:rsidP="00C23572" w:rsidRDefault="00906752">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966A3">
        <w:rPr>
          <w:sz w:val="24"/>
        </w:rPr>
        <w:t xml:space="preserve">Decreasing the amount of time required by providers to submit their requests </w:t>
      </w:r>
      <w:r w:rsidR="002966A3">
        <w:rPr>
          <w:sz w:val="24"/>
        </w:rPr>
        <w:t xml:space="preserve">  </w:t>
      </w:r>
      <w:r w:rsidRPr="002966A3">
        <w:rPr>
          <w:sz w:val="24"/>
        </w:rPr>
        <w:t>and/or inquiries to CMS</w:t>
      </w:r>
    </w:p>
    <w:p w:rsidRPr="00BB0BDD" w:rsidR="0093471B" w:rsidP="00C23572" w:rsidRDefault="0093471B">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Eliminat</w:t>
      </w:r>
      <w:r w:rsidRPr="00BB0BDD" w:rsidR="00B07467">
        <w:rPr>
          <w:sz w:val="24"/>
        </w:rPr>
        <w:t>ing</w:t>
      </w:r>
      <w:r w:rsidRPr="00BB0BDD">
        <w:rPr>
          <w:sz w:val="24"/>
        </w:rPr>
        <w:t xml:space="preserve"> fragmented responses by CMS</w:t>
      </w:r>
    </w:p>
    <w:p w:rsidR="00C23572" w:rsidP="00C23572" w:rsidRDefault="0093471B">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Improv</w:t>
      </w:r>
      <w:r w:rsidRPr="00BB0BDD" w:rsidR="00B07467">
        <w:rPr>
          <w:sz w:val="24"/>
        </w:rPr>
        <w:t xml:space="preserve">ing the </w:t>
      </w:r>
      <w:r w:rsidRPr="00BB0BDD">
        <w:rPr>
          <w:sz w:val="24"/>
        </w:rPr>
        <w:t>timeliness of responses to requesters</w:t>
      </w:r>
    </w:p>
    <w:p w:rsidRPr="00C23572" w:rsidR="0093471B" w:rsidP="00C23572" w:rsidRDefault="00B07467">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Ensuring nationwide </w:t>
      </w:r>
      <w:r w:rsidRPr="00C23572" w:rsidR="0093471B">
        <w:rPr>
          <w:sz w:val="24"/>
        </w:rPr>
        <w:t>consistency among impacted components</w:t>
      </w:r>
    </w:p>
    <w:p w:rsidR="00C23572" w:rsidP="00C23572" w:rsidRDefault="0093471B">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Reduc</w:t>
      </w:r>
      <w:r w:rsidRPr="00BB0BDD" w:rsidR="00B07467">
        <w:rPr>
          <w:sz w:val="24"/>
        </w:rPr>
        <w:t>ing</w:t>
      </w:r>
      <w:r w:rsidRPr="00BB0BDD">
        <w:rPr>
          <w:sz w:val="24"/>
        </w:rPr>
        <w:t xml:space="preserve"> the need for CMS to request additional information, so providers do not </w:t>
      </w:r>
      <w:r w:rsidR="00C23572">
        <w:rPr>
          <w:sz w:val="24"/>
        </w:rPr>
        <w:t xml:space="preserve">       </w:t>
      </w:r>
      <w:r w:rsidRPr="00BB0BDD">
        <w:rPr>
          <w:sz w:val="24"/>
        </w:rPr>
        <w:t xml:space="preserve">have to resubmit requests </w:t>
      </w:r>
    </w:p>
    <w:p w:rsidR="008F1EB4" w:rsidP="00C23572" w:rsidRDefault="0093471B">
      <w:pPr>
        <w:numPr>
          <w:ilvl w:val="0"/>
          <w:numId w:val="1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100% of this information will be used electronically</w:t>
      </w:r>
    </w:p>
    <w:bookmarkEnd w:id="2"/>
    <w:p w:rsidRPr="00C23572" w:rsidR="00E55440" w:rsidP="00E55440" w:rsidRDefault="00E5544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6.</w:t>
      </w:r>
      <w:r w:rsidRPr="00C23572">
        <w:rPr>
          <w:sz w:val="24"/>
        </w:rPr>
        <w:tab/>
      </w:r>
      <w:r w:rsidRPr="00C23572">
        <w:rPr>
          <w:sz w:val="24"/>
          <w:u w:val="single"/>
        </w:rPr>
        <w:t>Less Frequent Collection</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C65A20" w:rsidRDefault="00D05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There is no schedule of collection; these waiver requests </w:t>
      </w:r>
      <w:r w:rsidRPr="002966A3" w:rsidR="00906752">
        <w:rPr>
          <w:sz w:val="24"/>
        </w:rPr>
        <w:t>and inquiries</w:t>
      </w:r>
      <w:r w:rsidR="00906752">
        <w:rPr>
          <w:sz w:val="24"/>
        </w:rPr>
        <w:t xml:space="preserve"> </w:t>
      </w:r>
      <w:r w:rsidRPr="00C23572">
        <w:rPr>
          <w:sz w:val="24"/>
        </w:rPr>
        <w:t xml:space="preserve">are submitted as needed when there is a natural or man-made disaster or emergency that impacts access to care </w:t>
      </w:r>
      <w:r w:rsidRPr="00C23572">
        <w:rPr>
          <w:sz w:val="24"/>
        </w:rPr>
        <w:lastRenderedPageBreak/>
        <w:t xml:space="preserve">for Medicare/Medicaid/CHIP beneficiaries. </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7.</w:t>
      </w:r>
      <w:r w:rsidRPr="00C23572">
        <w:rPr>
          <w:sz w:val="24"/>
        </w:rPr>
        <w:tab/>
      </w:r>
      <w:r w:rsidRPr="00C23572">
        <w:rPr>
          <w:sz w:val="24"/>
          <w:u w:val="single"/>
        </w:rPr>
        <w:t>Special Circumstances</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C65A20" w:rsidRDefault="00D050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There are no special circumstances.</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23572">
        <w:rPr>
          <w:sz w:val="24"/>
        </w:rPr>
        <w:t>8.</w:t>
      </w:r>
      <w:r w:rsidRPr="00C23572">
        <w:rPr>
          <w:sz w:val="24"/>
        </w:rPr>
        <w:tab/>
      </w:r>
      <w:r w:rsidRPr="00C23572">
        <w:rPr>
          <w:sz w:val="24"/>
          <w:u w:val="single"/>
        </w:rPr>
        <w:t>Federal Register/Outside Consultation</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B0BDD" w:rsidR="00906C04" w:rsidP="00936087" w:rsidRDefault="00906C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BDD">
        <w:rPr>
          <w:sz w:val="24"/>
        </w:rPr>
        <w:t xml:space="preserve">CMS consulted with </w:t>
      </w:r>
      <w:r w:rsidRPr="00BB0BDD" w:rsidR="000C668A">
        <w:rPr>
          <w:sz w:val="24"/>
        </w:rPr>
        <w:t xml:space="preserve">representatives from </w:t>
      </w:r>
      <w:r w:rsidR="0074773A">
        <w:rPr>
          <w:sz w:val="24"/>
        </w:rPr>
        <w:t xml:space="preserve">the Florida and California State Survey </w:t>
      </w:r>
      <w:r w:rsidR="00AE7DE1">
        <w:rPr>
          <w:sz w:val="24"/>
        </w:rPr>
        <w:t xml:space="preserve">Agencies </w:t>
      </w:r>
      <w:r w:rsidRPr="00BB0BDD" w:rsidR="00AE7DE1">
        <w:rPr>
          <w:sz w:val="24"/>
        </w:rPr>
        <w:t>to</w:t>
      </w:r>
      <w:r w:rsidR="0074773A">
        <w:rPr>
          <w:sz w:val="24"/>
        </w:rPr>
        <w:t xml:space="preserve"> solicit</w:t>
      </w:r>
      <w:r w:rsidRPr="00BB0BDD">
        <w:rPr>
          <w:sz w:val="24"/>
        </w:rPr>
        <w:t xml:space="preserve"> feedback on the data elements to be collected on the draft web form and related instructions. These </w:t>
      </w:r>
      <w:r w:rsidRPr="00BB0BDD" w:rsidR="000C668A">
        <w:rPr>
          <w:sz w:val="24"/>
        </w:rPr>
        <w:t>users</w:t>
      </w:r>
      <w:r w:rsidRPr="00BB0BDD">
        <w:rPr>
          <w:sz w:val="24"/>
        </w:rPr>
        <w:t xml:space="preserve"> are heavily impacted by public health emergencies such as hurricanes and wildfires and submit substantially more waiver requests than other states. </w:t>
      </w:r>
    </w:p>
    <w:p w:rsidRPr="00C23572" w:rsidR="008F1EB4" w:rsidRDefault="00C65A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B0BDD">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RDefault="00A73D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are no payments or gifts to respondents.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10.</w:t>
      </w:r>
      <w:r>
        <w:rPr>
          <w:sz w:val="24"/>
        </w:rPr>
        <w:tab/>
      </w:r>
      <w:r w:rsidRPr="00C23572">
        <w:rPr>
          <w:sz w:val="24"/>
          <w:u w:val="single"/>
        </w:rPr>
        <w:t>Confidentiality</w:t>
      </w:r>
    </w:p>
    <w:p w:rsidRPr="00C23572" w:rsidR="00B16C0F" w:rsidRDefault="00B16C0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C23572" w:rsidR="002965E0" w:rsidP="0060720C" w:rsidRDefault="006072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Personally identifiable information, including social security numbers (SSN), is not being collected on this web form. Information is being collected electronically in the Service Now system and is covered by that system’s Privacy Impact Assessment (PIA)</w:t>
      </w:r>
      <w:r w:rsidR="00632325">
        <w:rPr>
          <w:sz w:val="24"/>
        </w:rPr>
        <w:t>,</w:t>
      </w:r>
      <w:r w:rsidRPr="00632325" w:rsidR="00632325">
        <w:t xml:space="preserve"> </w:t>
      </w:r>
      <w:r w:rsidRPr="00632325" w:rsidR="00632325">
        <w:rPr>
          <w:sz w:val="24"/>
        </w:rPr>
        <w:t>updates for which are expected to be completed by October 23, 2020</w:t>
      </w:r>
      <w:r>
        <w:rPr>
          <w:sz w:val="24"/>
        </w:rPr>
        <w:t>. Information will be stored electronically in the Service Now system</w:t>
      </w:r>
      <w:r w:rsidR="00A7782A">
        <w:rPr>
          <w:sz w:val="24"/>
        </w:rPr>
        <w:t>.</w:t>
      </w:r>
      <w:r w:rsidRPr="002966A3" w:rsidR="002966A3">
        <w:t xml:space="preserve"> </w:t>
      </w:r>
      <w:r w:rsidRPr="002966A3" w:rsidR="002966A3">
        <w:rPr>
          <w:sz w:val="24"/>
        </w:rPr>
        <w:t xml:space="preserve">PII/PHI, should it be submitted, will be identified by a CMS triage agent and will follow the current CMS processes and procedures for reporting PII incidents. This includes opening a </w:t>
      </w:r>
      <w:r w:rsidR="002966A3">
        <w:rPr>
          <w:sz w:val="24"/>
        </w:rPr>
        <w:t>s</w:t>
      </w:r>
      <w:r w:rsidRPr="002966A3" w:rsidR="002966A3">
        <w:rPr>
          <w:sz w:val="24"/>
        </w:rPr>
        <w:t xml:space="preserve">ecurity incident, investigation, and remediation. </w:t>
      </w:r>
      <w:r w:rsidR="002966A3">
        <w:rPr>
          <w:sz w:val="24"/>
        </w:rPr>
        <w:t xml:space="preserve"> </w:t>
      </w:r>
      <w:r w:rsidRPr="003D7E06" w:rsidR="003D7E06">
        <w:rPr>
          <w:sz w:val="24"/>
        </w:rPr>
        <w:t>Data collected via the automated process will be retained for seven years, as approved by the National Archives and Records Administration Records Schedule DM-0440-2015-0008. The data will reside in the ServiceNow system.</w:t>
      </w:r>
      <w:r>
        <w:rPr>
          <w:sz w:val="24"/>
        </w:rPr>
        <w:t xml:space="preserve"> </w:t>
      </w:r>
      <w:r w:rsidRPr="00A7782A" w:rsidR="00A7782A">
        <w:rPr>
          <w:sz w:val="24"/>
        </w:rPr>
        <w:t>The confidentiality, integrity, and availability of information being processed is protected by a wide variety of organizational, process, and technical controls to ensure professionalism and trustworthiness.  Such safeguards include communication protocols, software to facilitate incident analysis and mitigation practices as well as other incident analysis resources</w:t>
      </w:r>
      <w:r w:rsidR="00A7782A">
        <w:rPr>
          <w:sz w:val="24"/>
        </w:rPr>
        <w:t>.</w:t>
      </w:r>
      <w:r w:rsidR="002966A3">
        <w:rPr>
          <w:sz w:val="24"/>
        </w:rPr>
        <w:t xml:space="preserve"> </w:t>
      </w:r>
    </w:p>
    <w:p w:rsidRPr="00C23572"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5E32E8" w:rsidP="001E4EE4" w:rsidRDefault="005E32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23572">
        <w:rPr>
          <w:sz w:val="24"/>
        </w:rPr>
        <w:t xml:space="preserve">There are no questions of a sensitive nature.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sidRPr="000751A4">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690F37" w:rsidP="00B16C0F" w:rsidRDefault="00690F37">
      <w:pPr>
        <w:ind w:firstLine="432"/>
        <w:rPr>
          <w:rFonts w:eastAsia="Calibri"/>
          <w:sz w:val="24"/>
        </w:rPr>
      </w:pPr>
      <w:r w:rsidRPr="00C23572">
        <w:rPr>
          <w:rFonts w:eastAsia="Calibri"/>
          <w:sz w:val="24"/>
        </w:rPr>
        <w:t>Wage Estimates</w:t>
      </w:r>
    </w:p>
    <w:p w:rsidRPr="00C23572" w:rsidR="00690F37" w:rsidP="00690F37" w:rsidRDefault="00690F37">
      <w:pPr>
        <w:rPr>
          <w:rFonts w:eastAsia="Calibri"/>
          <w:sz w:val="24"/>
        </w:rPr>
      </w:pPr>
    </w:p>
    <w:p w:rsidRPr="00C23572" w:rsidR="00690F37" w:rsidP="00690F37" w:rsidRDefault="00690F37">
      <w:pPr>
        <w:rPr>
          <w:rFonts w:eastAsia="Calibri"/>
          <w:sz w:val="24"/>
        </w:rPr>
      </w:pPr>
      <w:r w:rsidRPr="00C23572">
        <w:rPr>
          <w:rFonts w:eastAsia="Calibri"/>
          <w:sz w:val="24"/>
        </w:rPr>
        <w:t>To derive average costs, we used data from the U.S. Bureau of Labor Statistics’  2019 National Occupational Employment and Wage Estimates for all salary estimates (</w:t>
      </w:r>
      <w:hyperlink w:history="1" r:id="rId8">
        <w:r w:rsidRPr="001B0E3D" w:rsidR="00E55440">
          <w:rPr>
            <w:rStyle w:val="Hyperlink"/>
            <w:rFonts w:eastAsia="Calibri"/>
            <w:sz w:val="24"/>
          </w:rPr>
          <w:t>http://www.bls.gov/oes/current/oes_nat.htm</w:t>
        </w:r>
      </w:hyperlink>
      <w:r w:rsidR="00E55440">
        <w:rPr>
          <w:rFonts w:eastAsia="Calibri"/>
          <w:sz w:val="24"/>
        </w:rPr>
        <w:t xml:space="preserve"> </w:t>
      </w:r>
      <w:r w:rsidRPr="00C23572">
        <w:rPr>
          <w:rFonts w:eastAsia="Calibri"/>
          <w:sz w:val="24"/>
        </w:rPr>
        <w:t xml:space="preserve">). In this regard, the following table presents the mean hourly wage, the cost of fringe benefits and overhead (calculated at 100 percent of salary), and the adjusted hourly wage. </w:t>
      </w:r>
    </w:p>
    <w:p w:rsidRPr="00690F37" w:rsidR="00690F37" w:rsidP="00690F37" w:rsidRDefault="00690F37">
      <w:pPr>
        <w:rPr>
          <w:rFonts w:eastAsia="Calibri"/>
        </w:rPr>
      </w:pPr>
    </w:p>
    <w:p w:rsidRPr="00C23572" w:rsidR="00690F37" w:rsidP="00690F37" w:rsidRDefault="00690F37">
      <w:pPr>
        <w:rPr>
          <w:rFonts w:eastAsia="Calibri"/>
          <w:sz w:val="24"/>
        </w:rPr>
      </w:pPr>
      <w:r w:rsidRPr="00C23572">
        <w:rPr>
          <w:rFonts w:eastAsia="Calibri"/>
          <w:sz w:val="24"/>
        </w:rPr>
        <w:t>Table 1: National Occupational Employment and Wage Estimates</w:t>
      </w:r>
    </w:p>
    <w:tbl>
      <w:tblPr>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3"/>
        <w:gridCol w:w="1980"/>
        <w:gridCol w:w="1452"/>
        <w:gridCol w:w="2042"/>
        <w:gridCol w:w="1608"/>
      </w:tblGrid>
      <w:tr w:rsidRPr="00C23572" w:rsidR="00690F37" w:rsidTr="00690F37">
        <w:tc>
          <w:tcPr>
            <w:tcW w:w="2173" w:type="dxa"/>
            <w:shd w:val="clear" w:color="auto" w:fill="auto"/>
            <w:hideMark/>
          </w:tcPr>
          <w:p w:rsidRPr="00C23572" w:rsidR="00690F37" w:rsidP="00690F37" w:rsidRDefault="00690F37">
            <w:pPr>
              <w:rPr>
                <w:sz w:val="24"/>
              </w:rPr>
            </w:pPr>
            <w:r w:rsidRPr="00C23572">
              <w:rPr>
                <w:sz w:val="24"/>
              </w:rPr>
              <w:t>Occupation title</w:t>
            </w:r>
          </w:p>
        </w:tc>
        <w:tc>
          <w:tcPr>
            <w:tcW w:w="1980" w:type="dxa"/>
            <w:shd w:val="clear" w:color="auto" w:fill="auto"/>
            <w:hideMark/>
          </w:tcPr>
          <w:p w:rsidRPr="00C23572" w:rsidR="00690F37" w:rsidP="00690F37" w:rsidRDefault="00690F37">
            <w:pPr>
              <w:rPr>
                <w:sz w:val="24"/>
              </w:rPr>
            </w:pPr>
            <w:r w:rsidRPr="00C23572">
              <w:rPr>
                <w:sz w:val="24"/>
              </w:rPr>
              <w:t>Occupation code</w:t>
            </w:r>
          </w:p>
        </w:tc>
        <w:tc>
          <w:tcPr>
            <w:tcW w:w="1452" w:type="dxa"/>
            <w:shd w:val="clear" w:color="auto" w:fill="auto"/>
            <w:hideMark/>
          </w:tcPr>
          <w:p w:rsidRPr="00C23572" w:rsidR="00690F37" w:rsidP="00690F37" w:rsidRDefault="00690F37">
            <w:pPr>
              <w:rPr>
                <w:sz w:val="24"/>
              </w:rPr>
            </w:pPr>
            <w:r w:rsidRPr="00C23572">
              <w:rPr>
                <w:sz w:val="24"/>
              </w:rPr>
              <w:t>Mean hourly wage ($/hr)</w:t>
            </w:r>
          </w:p>
        </w:tc>
        <w:tc>
          <w:tcPr>
            <w:tcW w:w="2042" w:type="dxa"/>
            <w:shd w:val="clear" w:color="auto" w:fill="auto"/>
            <w:hideMark/>
          </w:tcPr>
          <w:p w:rsidRPr="00C23572" w:rsidR="00690F37" w:rsidP="00690F37" w:rsidRDefault="00690F37">
            <w:pPr>
              <w:rPr>
                <w:sz w:val="24"/>
              </w:rPr>
            </w:pPr>
            <w:r w:rsidRPr="00C23572">
              <w:rPr>
                <w:sz w:val="24"/>
              </w:rPr>
              <w:t>Fringe benefits and overhead ($/hr)</w:t>
            </w:r>
          </w:p>
        </w:tc>
        <w:tc>
          <w:tcPr>
            <w:tcW w:w="1608" w:type="dxa"/>
            <w:shd w:val="clear" w:color="auto" w:fill="auto"/>
            <w:hideMark/>
          </w:tcPr>
          <w:p w:rsidRPr="00C23572" w:rsidR="00690F37" w:rsidP="00690F37" w:rsidRDefault="00690F37">
            <w:pPr>
              <w:rPr>
                <w:sz w:val="24"/>
              </w:rPr>
            </w:pPr>
            <w:r w:rsidRPr="00C23572">
              <w:rPr>
                <w:sz w:val="24"/>
              </w:rPr>
              <w:t>Adjusted hourly wage ($/hr)</w:t>
            </w:r>
          </w:p>
        </w:tc>
      </w:tr>
      <w:tr w:rsidRPr="00C23572" w:rsidR="00690F37" w:rsidTr="00690F37">
        <w:tc>
          <w:tcPr>
            <w:tcW w:w="2173" w:type="dxa"/>
            <w:shd w:val="clear" w:color="auto" w:fill="auto"/>
          </w:tcPr>
          <w:p w:rsidRPr="00C23572" w:rsidR="00690F37" w:rsidP="00690F37" w:rsidRDefault="00F466C9">
            <w:pPr>
              <w:rPr>
                <w:sz w:val="24"/>
              </w:rPr>
            </w:pPr>
            <w:r w:rsidRPr="00C23572">
              <w:rPr>
                <w:sz w:val="24"/>
              </w:rPr>
              <w:t>Blended Occupations</w:t>
            </w:r>
            <w:r w:rsidR="00AC550B">
              <w:rPr>
                <w:sz w:val="24"/>
              </w:rPr>
              <w:t xml:space="preserve"> – Waiver Requests</w:t>
            </w:r>
          </w:p>
        </w:tc>
        <w:tc>
          <w:tcPr>
            <w:tcW w:w="1980" w:type="dxa"/>
            <w:shd w:val="clear" w:color="auto" w:fill="auto"/>
          </w:tcPr>
          <w:p w:rsidRPr="00C23572" w:rsidR="00690F37" w:rsidP="00690F37" w:rsidRDefault="00B16C0F">
            <w:pPr>
              <w:rPr>
                <w:sz w:val="24"/>
              </w:rPr>
            </w:pPr>
            <w:r>
              <w:rPr>
                <w:sz w:val="24"/>
              </w:rPr>
              <w:t>See table below</w:t>
            </w:r>
          </w:p>
        </w:tc>
        <w:tc>
          <w:tcPr>
            <w:tcW w:w="1452" w:type="dxa"/>
            <w:shd w:val="clear" w:color="auto" w:fill="auto"/>
          </w:tcPr>
          <w:p w:rsidRPr="00C23572" w:rsidR="00690F37" w:rsidP="00690F37" w:rsidRDefault="003639DB">
            <w:pPr>
              <w:rPr>
                <w:sz w:val="24"/>
              </w:rPr>
            </w:pPr>
            <w:r w:rsidRPr="00C23572">
              <w:rPr>
                <w:sz w:val="24"/>
              </w:rPr>
              <w:t>54.81</w:t>
            </w:r>
          </w:p>
        </w:tc>
        <w:tc>
          <w:tcPr>
            <w:tcW w:w="2042" w:type="dxa"/>
            <w:shd w:val="clear" w:color="auto" w:fill="auto"/>
          </w:tcPr>
          <w:p w:rsidRPr="00C23572" w:rsidR="00690F37" w:rsidP="00690F37" w:rsidRDefault="003639DB">
            <w:pPr>
              <w:rPr>
                <w:sz w:val="24"/>
              </w:rPr>
            </w:pPr>
            <w:r w:rsidRPr="00C23572">
              <w:rPr>
                <w:sz w:val="24"/>
              </w:rPr>
              <w:t>54.81</w:t>
            </w:r>
          </w:p>
        </w:tc>
        <w:tc>
          <w:tcPr>
            <w:tcW w:w="1608" w:type="dxa"/>
            <w:shd w:val="clear" w:color="auto" w:fill="auto"/>
          </w:tcPr>
          <w:p w:rsidRPr="00C23572" w:rsidR="00690F37" w:rsidP="00690F37" w:rsidRDefault="003639DB">
            <w:pPr>
              <w:rPr>
                <w:sz w:val="24"/>
              </w:rPr>
            </w:pPr>
            <w:r w:rsidRPr="00C23572">
              <w:rPr>
                <w:sz w:val="24"/>
              </w:rPr>
              <w:t>109.62</w:t>
            </w:r>
          </w:p>
        </w:tc>
      </w:tr>
      <w:tr w:rsidRPr="00C23572" w:rsidR="00AC550B" w:rsidTr="00690F37">
        <w:tc>
          <w:tcPr>
            <w:tcW w:w="2173" w:type="dxa"/>
            <w:shd w:val="clear" w:color="auto" w:fill="auto"/>
          </w:tcPr>
          <w:p w:rsidRPr="00C23572" w:rsidR="00AC550B" w:rsidP="00690F37" w:rsidRDefault="00AC550B">
            <w:pPr>
              <w:rPr>
                <w:sz w:val="24"/>
              </w:rPr>
            </w:pPr>
            <w:r>
              <w:rPr>
                <w:sz w:val="24"/>
              </w:rPr>
              <w:t>Blended Occupations - Inquiries</w:t>
            </w:r>
          </w:p>
        </w:tc>
        <w:tc>
          <w:tcPr>
            <w:tcW w:w="1980" w:type="dxa"/>
            <w:shd w:val="clear" w:color="auto" w:fill="auto"/>
          </w:tcPr>
          <w:p w:rsidR="00AC550B" w:rsidP="00690F37" w:rsidRDefault="00AC550B">
            <w:pPr>
              <w:rPr>
                <w:sz w:val="24"/>
              </w:rPr>
            </w:pPr>
            <w:r>
              <w:rPr>
                <w:sz w:val="24"/>
              </w:rPr>
              <w:t>See table below</w:t>
            </w:r>
          </w:p>
        </w:tc>
        <w:tc>
          <w:tcPr>
            <w:tcW w:w="1452" w:type="dxa"/>
            <w:shd w:val="clear" w:color="auto" w:fill="auto"/>
          </w:tcPr>
          <w:p w:rsidRPr="00C23572" w:rsidR="00AC550B" w:rsidP="00690F37" w:rsidRDefault="00AC550B">
            <w:pPr>
              <w:rPr>
                <w:sz w:val="24"/>
              </w:rPr>
            </w:pPr>
            <w:r>
              <w:rPr>
                <w:sz w:val="24"/>
              </w:rPr>
              <w:t>51.56</w:t>
            </w:r>
          </w:p>
        </w:tc>
        <w:tc>
          <w:tcPr>
            <w:tcW w:w="2042" w:type="dxa"/>
            <w:shd w:val="clear" w:color="auto" w:fill="auto"/>
          </w:tcPr>
          <w:p w:rsidRPr="00C23572" w:rsidR="00AC550B" w:rsidP="00690F37" w:rsidRDefault="00AC550B">
            <w:pPr>
              <w:rPr>
                <w:sz w:val="24"/>
              </w:rPr>
            </w:pPr>
            <w:r>
              <w:rPr>
                <w:sz w:val="24"/>
              </w:rPr>
              <w:t>51.56</w:t>
            </w:r>
          </w:p>
        </w:tc>
        <w:tc>
          <w:tcPr>
            <w:tcW w:w="1608" w:type="dxa"/>
            <w:shd w:val="clear" w:color="auto" w:fill="auto"/>
          </w:tcPr>
          <w:p w:rsidRPr="00C23572" w:rsidR="00AC550B" w:rsidP="00690F37" w:rsidRDefault="00AC550B">
            <w:pPr>
              <w:rPr>
                <w:sz w:val="24"/>
              </w:rPr>
            </w:pPr>
            <w:r>
              <w:rPr>
                <w:sz w:val="24"/>
              </w:rPr>
              <w:t>103.12</w:t>
            </w:r>
          </w:p>
        </w:tc>
      </w:tr>
    </w:tbl>
    <w:p w:rsidRPr="00690F37" w:rsidR="00690F37" w:rsidP="00690F37" w:rsidRDefault="00690F37">
      <w:pPr>
        <w:rPr>
          <w:rFonts w:eastAsia="Calibri"/>
        </w:rPr>
      </w:pPr>
    </w:p>
    <w:p w:rsidRPr="00C23572" w:rsidR="00690F37" w:rsidP="00690F37" w:rsidRDefault="00690F37">
      <w:pPr>
        <w:rPr>
          <w:rFonts w:eastAsia="Calibri"/>
          <w:sz w:val="24"/>
        </w:rPr>
      </w:pPr>
      <w:r w:rsidRPr="00C23572">
        <w:rPr>
          <w:rFonts w:eastAsia="Calibri"/>
          <w:sz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C23572" w:rsidR="00690F37" w:rsidRDefault="00690F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E611D5" w:rsidP="00C23572" w:rsidRDefault="00690F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In calendar year 2020 to date, CMS has received over 3,000 individual 1135 Waiver Requests. We anticipate that </w:t>
      </w:r>
      <w:r w:rsidR="00E92674">
        <w:rPr>
          <w:sz w:val="24"/>
        </w:rPr>
        <w:t xml:space="preserve">it would </w:t>
      </w:r>
      <w:r w:rsidRPr="00C23572">
        <w:rPr>
          <w:sz w:val="24"/>
        </w:rPr>
        <w:t>generally</w:t>
      </w:r>
      <w:r w:rsidR="00E92674">
        <w:rPr>
          <w:sz w:val="24"/>
        </w:rPr>
        <w:t xml:space="preserve"> take </w:t>
      </w:r>
      <w:r w:rsidR="00AB51BD">
        <w:rPr>
          <w:sz w:val="24"/>
        </w:rPr>
        <w:t>45</w:t>
      </w:r>
      <w:r w:rsidR="00AE7DE1">
        <w:rPr>
          <w:sz w:val="24"/>
        </w:rPr>
        <w:t xml:space="preserve"> </w:t>
      </w:r>
      <w:r w:rsidR="00E92674">
        <w:rPr>
          <w:sz w:val="24"/>
        </w:rPr>
        <w:t xml:space="preserve">minutes </w:t>
      </w:r>
      <w:r w:rsidR="001576F4">
        <w:rPr>
          <w:sz w:val="24"/>
        </w:rPr>
        <w:t>per entity</w:t>
      </w:r>
      <w:r w:rsidRPr="00C23572" w:rsidR="001576F4">
        <w:rPr>
          <w:sz w:val="24"/>
        </w:rPr>
        <w:t xml:space="preserve"> </w:t>
      </w:r>
      <w:r w:rsidR="00E92674">
        <w:rPr>
          <w:sz w:val="24"/>
        </w:rPr>
        <w:t xml:space="preserve">to </w:t>
      </w:r>
      <w:r w:rsidRPr="00C23572">
        <w:rPr>
          <w:sz w:val="24"/>
        </w:rPr>
        <w:t xml:space="preserve">submit the </w:t>
      </w:r>
      <w:r w:rsidR="00E611D5">
        <w:rPr>
          <w:sz w:val="24"/>
        </w:rPr>
        <w:t>w</w:t>
      </w:r>
      <w:r w:rsidRPr="00C23572" w:rsidR="00E611D5">
        <w:rPr>
          <w:sz w:val="24"/>
        </w:rPr>
        <w:t xml:space="preserve">aiver </w:t>
      </w:r>
      <w:r w:rsidRPr="00C23572">
        <w:rPr>
          <w:sz w:val="24"/>
        </w:rPr>
        <w:t>request to CMS</w:t>
      </w:r>
      <w:r w:rsidR="00E611D5">
        <w:rPr>
          <w:sz w:val="24"/>
        </w:rPr>
        <w:t>.</w:t>
      </w:r>
      <w:r w:rsidRPr="00C23572">
        <w:rPr>
          <w:sz w:val="24"/>
        </w:rPr>
        <w:t xml:space="preserve"> </w:t>
      </w:r>
      <w:r w:rsidR="00E611D5">
        <w:rPr>
          <w:sz w:val="24"/>
        </w:rPr>
        <w:t xml:space="preserve">  It would also take 15 minutes to consult with the</w:t>
      </w:r>
    </w:p>
    <w:p w:rsidR="00690F37" w:rsidP="00C23572" w:rsidRDefault="00690F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the provider/</w:t>
      </w:r>
      <w:r w:rsidRPr="00C23572" w:rsidR="00C23572">
        <w:rPr>
          <w:sz w:val="24"/>
        </w:rPr>
        <w:t>supplier’s</w:t>
      </w:r>
      <w:r w:rsidRPr="00C23572">
        <w:rPr>
          <w:sz w:val="24"/>
        </w:rPr>
        <w:t xml:space="preserve"> administrator, CEO or other top executive. </w:t>
      </w:r>
      <w:r w:rsidR="00E611D5">
        <w:rPr>
          <w:sz w:val="24"/>
        </w:rPr>
        <w:t xml:space="preserve">This would be a total of </w:t>
      </w:r>
      <w:r w:rsidR="00AB51BD">
        <w:rPr>
          <w:sz w:val="24"/>
        </w:rPr>
        <w:t>60</w:t>
      </w:r>
      <w:r w:rsidR="00AE7DE1">
        <w:rPr>
          <w:sz w:val="24"/>
        </w:rPr>
        <w:t xml:space="preserve"> </w:t>
      </w:r>
      <w:r w:rsidR="00E611D5">
        <w:rPr>
          <w:sz w:val="24"/>
        </w:rPr>
        <w:t xml:space="preserve">minutes.  The total burden hours would be </w:t>
      </w:r>
      <w:r w:rsidR="00AB51BD">
        <w:rPr>
          <w:sz w:val="24"/>
        </w:rPr>
        <w:t>3,000</w:t>
      </w:r>
      <w:r w:rsidR="00E611D5">
        <w:rPr>
          <w:sz w:val="24"/>
        </w:rPr>
        <w:t>(</w:t>
      </w:r>
      <w:r w:rsidR="00AB51BD">
        <w:rPr>
          <w:sz w:val="24"/>
        </w:rPr>
        <w:t>1</w:t>
      </w:r>
      <w:r w:rsidR="00E611D5">
        <w:rPr>
          <w:sz w:val="24"/>
        </w:rPr>
        <w:t xml:space="preserve"> hour</w:t>
      </w:r>
      <w:r w:rsidR="00975E39">
        <w:rPr>
          <w:sz w:val="24"/>
        </w:rPr>
        <w:t xml:space="preserve"> </w:t>
      </w:r>
      <w:r w:rsidR="00E611D5">
        <w:rPr>
          <w:sz w:val="24"/>
        </w:rPr>
        <w:t>X 3,000 waivers).</w:t>
      </w:r>
    </w:p>
    <w:p w:rsidR="00E611D5" w:rsidP="00C23572" w:rsidRDefault="00E611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1D5" w:rsidP="00C23572" w:rsidRDefault="00E611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cost would be $</w:t>
      </w:r>
      <w:r w:rsidR="00AB51BD">
        <w:rPr>
          <w:sz w:val="24"/>
        </w:rPr>
        <w:t>328,860</w:t>
      </w:r>
      <w:r>
        <w:rPr>
          <w:sz w:val="24"/>
        </w:rPr>
        <w:t xml:space="preserve"> (</w:t>
      </w:r>
      <w:r w:rsidR="00AB51BD">
        <w:rPr>
          <w:sz w:val="24"/>
        </w:rPr>
        <w:t>3,000</w:t>
      </w:r>
      <w:r>
        <w:rPr>
          <w:sz w:val="24"/>
        </w:rPr>
        <w:t xml:space="preserve"> hours X 109.62</w:t>
      </w:r>
      <w:r w:rsidR="001C3552">
        <w:rPr>
          <w:sz w:val="24"/>
        </w:rPr>
        <w:t xml:space="preserve"> </w:t>
      </w:r>
      <w:r>
        <w:rPr>
          <w:sz w:val="24"/>
        </w:rPr>
        <w:t>)</w:t>
      </w:r>
    </w:p>
    <w:p w:rsidRPr="00C23572" w:rsidR="00E611D5" w:rsidP="00C23572" w:rsidRDefault="00E611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F15E13" w:rsidRDefault="00F15E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466C9" w:rsidRDefault="00F466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tbl>
      <w:tblPr>
        <w:tblW w:w="7440" w:type="dxa"/>
        <w:tblInd w:w="108" w:type="dxa"/>
        <w:tblLook w:val="04A0" w:firstRow="1" w:lastRow="0" w:firstColumn="1" w:lastColumn="0" w:noHBand="0" w:noVBand="1"/>
      </w:tblPr>
      <w:tblGrid>
        <w:gridCol w:w="3560"/>
        <w:gridCol w:w="1700"/>
        <w:gridCol w:w="996"/>
        <w:gridCol w:w="1220"/>
      </w:tblGrid>
      <w:tr w:rsidRPr="00F466C9" w:rsidR="00F466C9" w:rsidTr="00F466C9">
        <w:trPr>
          <w:trHeight w:val="765"/>
        </w:trPr>
        <w:tc>
          <w:tcPr>
            <w:tcW w:w="3560" w:type="dxa"/>
            <w:tcBorders>
              <w:top w:val="nil"/>
              <w:left w:val="nil"/>
              <w:bottom w:val="nil"/>
              <w:right w:val="nil"/>
            </w:tcBorders>
            <w:shd w:val="clear" w:color="auto" w:fill="auto"/>
            <w:noWrap/>
            <w:vAlign w:val="bottom"/>
            <w:hideMark/>
          </w:tcPr>
          <w:p w:rsidRPr="00E55440" w:rsidR="00F466C9" w:rsidP="00F466C9" w:rsidRDefault="00E55440">
            <w:pPr>
              <w:widowControl/>
              <w:autoSpaceDE/>
              <w:autoSpaceDN/>
              <w:adjustRightInd/>
              <w:rPr>
                <w:b/>
                <w:bCs/>
                <w:color w:val="000000"/>
                <w:sz w:val="24"/>
              </w:rPr>
            </w:pPr>
            <w:r w:rsidRPr="00E55440">
              <w:rPr>
                <w:b/>
                <w:bCs/>
                <w:color w:val="000000"/>
                <w:sz w:val="24"/>
              </w:rPr>
              <w:t>Blended Occupations</w:t>
            </w:r>
          </w:p>
        </w:tc>
        <w:tc>
          <w:tcPr>
            <w:tcW w:w="1700" w:type="dxa"/>
            <w:tcBorders>
              <w:top w:val="nil"/>
              <w:left w:val="nil"/>
              <w:bottom w:val="nil"/>
              <w:right w:val="nil"/>
            </w:tcBorders>
            <w:shd w:val="clear" w:color="auto" w:fill="auto"/>
            <w:vAlign w:val="bottom"/>
            <w:hideMark/>
          </w:tcPr>
          <w:p w:rsidRPr="00E55440" w:rsidR="00F466C9" w:rsidP="00F466C9" w:rsidRDefault="00F466C9">
            <w:pPr>
              <w:widowControl/>
              <w:autoSpaceDE/>
              <w:autoSpaceDN/>
              <w:adjustRightInd/>
              <w:rPr>
                <w:b/>
                <w:bCs/>
                <w:color w:val="000000"/>
                <w:sz w:val="24"/>
              </w:rPr>
            </w:pPr>
            <w:r w:rsidRPr="00E55440">
              <w:rPr>
                <w:b/>
                <w:bCs/>
                <w:color w:val="000000"/>
                <w:sz w:val="24"/>
              </w:rPr>
              <w:t>BLS Occupation Code</w:t>
            </w:r>
          </w:p>
        </w:tc>
        <w:tc>
          <w:tcPr>
            <w:tcW w:w="960" w:type="dxa"/>
            <w:tcBorders>
              <w:top w:val="single" w:color="000000" w:sz="4" w:space="0"/>
              <w:left w:val="single" w:color="000000" w:sz="4" w:space="0"/>
              <w:bottom w:val="nil"/>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b/>
                <w:bCs/>
                <w:color w:val="000000"/>
                <w:sz w:val="24"/>
              </w:rPr>
            </w:pPr>
            <w:r w:rsidRPr="00E55440">
              <w:rPr>
                <w:b/>
                <w:bCs/>
                <w:color w:val="000000"/>
                <w:sz w:val="24"/>
              </w:rPr>
              <w:t>Mean hourly wage</w:t>
            </w:r>
          </w:p>
        </w:tc>
        <w:tc>
          <w:tcPr>
            <w:tcW w:w="1220" w:type="dxa"/>
            <w:tcBorders>
              <w:top w:val="single" w:color="000000" w:sz="4" w:space="0"/>
              <w:left w:val="nil"/>
              <w:bottom w:val="nil"/>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b/>
                <w:bCs/>
                <w:color w:val="000000"/>
                <w:sz w:val="24"/>
              </w:rPr>
            </w:pPr>
            <w:r w:rsidRPr="00E55440">
              <w:rPr>
                <w:b/>
                <w:bCs/>
                <w:color w:val="000000"/>
                <w:sz w:val="24"/>
              </w:rPr>
              <w:t>Fringe Benefits</w:t>
            </w:r>
          </w:p>
        </w:tc>
      </w:tr>
      <w:tr w:rsidRPr="00F466C9" w:rsidR="00F466C9" w:rsidTr="00F466C9">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Nursing Home Administrator</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43-1011</w:t>
            </w:r>
          </w:p>
        </w:tc>
        <w:tc>
          <w:tcPr>
            <w:tcW w:w="960" w:type="dxa"/>
            <w:tcBorders>
              <w:top w:val="single" w:color="000000" w:sz="4" w:space="0"/>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$28.91 </w:t>
            </w:r>
          </w:p>
        </w:tc>
        <w:tc>
          <w:tcPr>
            <w:tcW w:w="1220" w:type="dxa"/>
            <w:tcBorders>
              <w:top w:val="single" w:color="000000" w:sz="4" w:space="0"/>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$28.91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General Physician</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29-1216</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$96.85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$96.85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Hospital 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11*9111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$55.37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$55.37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CEO</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11-1011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$93.20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$93.20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Rehabilitation Therapist</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21-1015</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$19.31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$19.31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rPr>
                <w:color w:val="000000"/>
                <w:sz w:val="24"/>
              </w:rPr>
            </w:pPr>
            <w:r w:rsidRPr="00E55440">
              <w:rPr>
                <w:color w:val="000000"/>
                <w:sz w:val="24"/>
              </w:rPr>
              <w:t>43-1011</w:t>
            </w:r>
          </w:p>
        </w:tc>
        <w:tc>
          <w:tcPr>
            <w:tcW w:w="960" w:type="dxa"/>
            <w:tcBorders>
              <w:top w:val="nil"/>
              <w:left w:val="nil"/>
              <w:bottom w:val="single" w:color="000000" w:sz="4" w:space="0"/>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$28.91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$28.91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State Agency Director</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11-1000</w:t>
            </w:r>
          </w:p>
        </w:tc>
        <w:tc>
          <w:tcPr>
            <w:tcW w:w="960" w:type="dxa"/>
            <w:tcBorders>
              <w:top w:val="nil"/>
              <w:left w:val="nil"/>
              <w:bottom w:val="nil"/>
              <w:right w:val="single" w:color="000000"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$61.09 </w:t>
            </w:r>
          </w:p>
        </w:tc>
        <w:tc>
          <w:tcPr>
            <w:tcW w:w="1220" w:type="dxa"/>
            <w:tcBorders>
              <w:top w:val="nil"/>
              <w:left w:val="nil"/>
              <w:bottom w:val="nil"/>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$61.09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Total Mean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sz w:val="24"/>
              </w:rPr>
            </w:pPr>
            <w:r w:rsidRPr="00E55440">
              <w:rPr>
                <w:sz w:val="24"/>
              </w:rPr>
              <w:t> </w:t>
            </w:r>
          </w:p>
        </w:tc>
        <w:tc>
          <w:tcPr>
            <w:tcW w:w="960" w:type="dxa"/>
            <w:tcBorders>
              <w:top w:val="single" w:color="auto" w:sz="4" w:space="0"/>
              <w:left w:val="nil"/>
              <w:bottom w:val="single" w:color="auto"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$383.64 </w:t>
            </w:r>
          </w:p>
        </w:tc>
        <w:tc>
          <w:tcPr>
            <w:tcW w:w="1220" w:type="dxa"/>
            <w:tcBorders>
              <w:top w:val="single" w:color="auto" w:sz="4" w:space="0"/>
              <w:left w:val="nil"/>
              <w:bottom w:val="single" w:color="auto" w:sz="4" w:space="0"/>
              <w:right w:val="single" w:color="auto" w:sz="4" w:space="0"/>
            </w:tcBorders>
            <w:shd w:val="clear" w:color="000000" w:fill="FFFFFF"/>
            <w:vAlign w:val="center"/>
            <w:hideMark/>
          </w:tcPr>
          <w:p w:rsidRPr="00E55440" w:rsidR="00F466C9" w:rsidP="00F466C9" w:rsidRDefault="00F466C9">
            <w:pPr>
              <w:widowControl/>
              <w:autoSpaceDE/>
              <w:autoSpaceDN/>
              <w:adjustRightInd/>
              <w:jc w:val="center"/>
              <w:rPr>
                <w:color w:val="000000"/>
                <w:sz w:val="24"/>
              </w:rPr>
            </w:pPr>
            <w:r w:rsidRPr="00E55440">
              <w:rPr>
                <w:color w:val="000000"/>
                <w:sz w:val="24"/>
              </w:rPr>
              <w:t xml:space="preserve">$383.64 </w:t>
            </w:r>
          </w:p>
        </w:tc>
      </w:tr>
      <w:tr w:rsidRPr="00F466C9" w:rsidR="00F466C9" w:rsidTr="00F466C9">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b/>
                <w:bCs/>
                <w:sz w:val="24"/>
              </w:rPr>
            </w:pPr>
            <w:r w:rsidRPr="00E55440">
              <w:rPr>
                <w:b/>
                <w:bCs/>
                <w:sz w:val="24"/>
              </w:rPr>
              <w:t>Average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F466C9" w:rsidP="00F466C9" w:rsidRDefault="00F466C9">
            <w:pPr>
              <w:widowControl/>
              <w:autoSpaceDE/>
              <w:autoSpaceDN/>
              <w:adjustRightInd/>
              <w:rPr>
                <w:b/>
                <w:bCs/>
                <w:sz w:val="24"/>
              </w:rPr>
            </w:pPr>
            <w:r w:rsidRPr="00E55440">
              <w:rPr>
                <w:b/>
                <w:bCs/>
                <w:sz w:val="24"/>
              </w:rPr>
              <w:t> </w:t>
            </w:r>
          </w:p>
        </w:tc>
        <w:tc>
          <w:tcPr>
            <w:tcW w:w="96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jc w:val="center"/>
              <w:rPr>
                <w:b/>
                <w:bCs/>
                <w:color w:val="000000"/>
                <w:sz w:val="24"/>
              </w:rPr>
            </w:pPr>
            <w:r w:rsidRPr="00E55440">
              <w:rPr>
                <w:b/>
                <w:bCs/>
                <w:color w:val="000000"/>
                <w:sz w:val="24"/>
              </w:rPr>
              <w:t xml:space="preserve">$54.81 </w:t>
            </w:r>
          </w:p>
        </w:tc>
        <w:tc>
          <w:tcPr>
            <w:tcW w:w="1220" w:type="dxa"/>
            <w:tcBorders>
              <w:top w:val="nil"/>
              <w:left w:val="nil"/>
              <w:bottom w:val="single" w:color="auto" w:sz="4" w:space="0"/>
              <w:right w:val="single" w:color="auto" w:sz="4" w:space="0"/>
            </w:tcBorders>
            <w:shd w:val="clear" w:color="auto" w:fill="auto"/>
            <w:noWrap/>
            <w:vAlign w:val="bottom"/>
            <w:hideMark/>
          </w:tcPr>
          <w:p w:rsidRPr="00E55440" w:rsidR="00F466C9" w:rsidP="00F466C9" w:rsidRDefault="00F466C9">
            <w:pPr>
              <w:widowControl/>
              <w:autoSpaceDE/>
              <w:autoSpaceDN/>
              <w:adjustRightInd/>
              <w:jc w:val="center"/>
              <w:rPr>
                <w:b/>
                <w:bCs/>
                <w:color w:val="000000"/>
                <w:sz w:val="24"/>
              </w:rPr>
            </w:pPr>
            <w:r w:rsidRPr="00E55440">
              <w:rPr>
                <w:b/>
                <w:bCs/>
                <w:color w:val="000000"/>
                <w:sz w:val="24"/>
              </w:rPr>
              <w:t xml:space="preserve">$54.81 </w:t>
            </w:r>
          </w:p>
        </w:tc>
      </w:tr>
      <w:tr w:rsidRPr="00F466C9" w:rsidR="00F466C9" w:rsidTr="00F466C9">
        <w:trPr>
          <w:trHeight w:val="300"/>
        </w:trPr>
        <w:tc>
          <w:tcPr>
            <w:tcW w:w="3560" w:type="dxa"/>
            <w:tcBorders>
              <w:top w:val="nil"/>
              <w:left w:val="nil"/>
              <w:bottom w:val="nil"/>
              <w:right w:val="nil"/>
            </w:tcBorders>
            <w:shd w:val="clear" w:color="auto" w:fill="auto"/>
            <w:noWrap/>
            <w:vAlign w:val="bottom"/>
            <w:hideMark/>
          </w:tcPr>
          <w:p w:rsidRPr="00F466C9" w:rsidR="00F466C9" w:rsidP="00F466C9" w:rsidRDefault="00F466C9">
            <w:pPr>
              <w:widowControl/>
              <w:autoSpaceDE/>
              <w:autoSpaceDN/>
              <w:adjustRightInd/>
              <w:jc w:val="center"/>
              <w:rPr>
                <w:rFonts w:ascii="Calibri" w:hAnsi="Calibri" w:cs="Calibri"/>
                <w:b/>
                <w:bCs/>
                <w:color w:val="000000"/>
                <w:sz w:val="22"/>
                <w:szCs w:val="22"/>
              </w:rPr>
            </w:pPr>
          </w:p>
        </w:tc>
        <w:tc>
          <w:tcPr>
            <w:tcW w:w="1700" w:type="dxa"/>
            <w:tcBorders>
              <w:top w:val="nil"/>
              <w:left w:val="nil"/>
              <w:bottom w:val="nil"/>
              <w:right w:val="nil"/>
            </w:tcBorders>
            <w:shd w:val="clear" w:color="auto" w:fill="auto"/>
            <w:noWrap/>
            <w:vAlign w:val="bottom"/>
            <w:hideMark/>
          </w:tcPr>
          <w:p w:rsidRPr="00F466C9" w:rsidR="00F466C9" w:rsidP="00F466C9" w:rsidRDefault="00F466C9">
            <w:pPr>
              <w:widowControl/>
              <w:autoSpaceDE/>
              <w:autoSpaceDN/>
              <w:adjustRightInd/>
              <w:rPr>
                <w:szCs w:val="20"/>
              </w:rPr>
            </w:pPr>
          </w:p>
        </w:tc>
        <w:tc>
          <w:tcPr>
            <w:tcW w:w="960" w:type="dxa"/>
            <w:tcBorders>
              <w:top w:val="nil"/>
              <w:left w:val="nil"/>
              <w:bottom w:val="nil"/>
              <w:right w:val="nil"/>
            </w:tcBorders>
            <w:shd w:val="clear" w:color="auto" w:fill="auto"/>
            <w:noWrap/>
            <w:vAlign w:val="bottom"/>
            <w:hideMark/>
          </w:tcPr>
          <w:p w:rsidRPr="00F466C9" w:rsidR="00F466C9" w:rsidP="00F466C9" w:rsidRDefault="00F466C9">
            <w:pPr>
              <w:widowControl/>
              <w:autoSpaceDE/>
              <w:autoSpaceDN/>
              <w:adjustRightInd/>
              <w:rPr>
                <w:szCs w:val="20"/>
              </w:rPr>
            </w:pPr>
          </w:p>
        </w:tc>
        <w:tc>
          <w:tcPr>
            <w:tcW w:w="1220" w:type="dxa"/>
            <w:tcBorders>
              <w:top w:val="nil"/>
              <w:left w:val="nil"/>
              <w:bottom w:val="nil"/>
              <w:right w:val="nil"/>
            </w:tcBorders>
            <w:shd w:val="clear" w:color="auto" w:fill="auto"/>
            <w:noWrap/>
            <w:vAlign w:val="bottom"/>
            <w:hideMark/>
          </w:tcPr>
          <w:p w:rsidRPr="00F466C9" w:rsidR="00F466C9" w:rsidP="00F466C9" w:rsidRDefault="00F466C9">
            <w:pPr>
              <w:widowControl/>
              <w:autoSpaceDE/>
              <w:autoSpaceDN/>
              <w:adjustRightInd/>
              <w:rPr>
                <w:szCs w:val="20"/>
              </w:rPr>
            </w:pPr>
          </w:p>
        </w:tc>
      </w:tr>
      <w:tr w:rsidRPr="00C23572" w:rsidR="00F466C9" w:rsidTr="00F466C9">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t xml:space="preserve">$54.81 </w:t>
            </w:r>
          </w:p>
        </w:tc>
        <w:tc>
          <w:tcPr>
            <w:tcW w:w="2660" w:type="dxa"/>
            <w:gridSpan w:val="2"/>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t>average hourly wage</w:t>
            </w:r>
          </w:p>
        </w:tc>
        <w:tc>
          <w:tcPr>
            <w:tcW w:w="122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p>
        </w:tc>
      </w:tr>
      <w:tr w:rsidRPr="00C23572" w:rsidR="00F466C9" w:rsidTr="00F466C9">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t>$54.81</w:t>
            </w:r>
          </w:p>
        </w:tc>
        <w:tc>
          <w:tcPr>
            <w:tcW w:w="3880" w:type="dxa"/>
            <w:gridSpan w:val="3"/>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t>increased by a factor of 100 percent</w:t>
            </w:r>
          </w:p>
        </w:tc>
      </w:tr>
      <w:tr w:rsidRPr="00C23572" w:rsidR="00F466C9" w:rsidTr="00F466C9">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b/>
                <w:bCs/>
                <w:color w:val="000000"/>
                <w:sz w:val="24"/>
              </w:rPr>
            </w:pPr>
            <w:r w:rsidRPr="00C23572">
              <w:rPr>
                <w:b/>
                <w:bCs/>
                <w:color w:val="000000"/>
                <w:sz w:val="24"/>
              </w:rPr>
              <w:t xml:space="preserve">$109.62 </w:t>
            </w:r>
          </w:p>
        </w:tc>
        <w:tc>
          <w:tcPr>
            <w:tcW w:w="3880" w:type="dxa"/>
            <w:gridSpan w:val="3"/>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t>Average Hourly wage used in PRA package</w:t>
            </w:r>
          </w:p>
        </w:tc>
      </w:tr>
      <w:tr w:rsidRPr="00C23572" w:rsidR="00F466C9" w:rsidTr="00F466C9">
        <w:trPr>
          <w:trHeight w:val="300"/>
        </w:trPr>
        <w:tc>
          <w:tcPr>
            <w:tcW w:w="356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color w:val="000000"/>
                <w:sz w:val="24"/>
              </w:rPr>
            </w:pPr>
            <w:r w:rsidRPr="00C23572">
              <w:rPr>
                <w:color w:val="000000"/>
                <w:sz w:val="24"/>
              </w:rPr>
              <w:lastRenderedPageBreak/>
              <w:t>Number of unique respondents:</w:t>
            </w:r>
          </w:p>
        </w:tc>
        <w:tc>
          <w:tcPr>
            <w:tcW w:w="170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jc w:val="right"/>
              <w:rPr>
                <w:color w:val="000000"/>
                <w:sz w:val="24"/>
              </w:rPr>
            </w:pPr>
            <w:r w:rsidRPr="00C23572">
              <w:rPr>
                <w:color w:val="000000"/>
                <w:sz w:val="24"/>
              </w:rPr>
              <w:t>3</w:t>
            </w:r>
            <w:r w:rsidR="00842B7E">
              <w:rPr>
                <w:color w:val="000000"/>
                <w:sz w:val="24"/>
              </w:rPr>
              <w:t>,</w:t>
            </w:r>
            <w:r w:rsidRPr="00C23572">
              <w:rPr>
                <w:color w:val="000000"/>
                <w:sz w:val="24"/>
              </w:rPr>
              <w:t>000</w:t>
            </w:r>
          </w:p>
        </w:tc>
        <w:tc>
          <w:tcPr>
            <w:tcW w:w="96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jc w:val="right"/>
              <w:rPr>
                <w:color w:val="000000"/>
                <w:sz w:val="24"/>
              </w:rPr>
            </w:pPr>
          </w:p>
        </w:tc>
        <w:tc>
          <w:tcPr>
            <w:tcW w:w="1220" w:type="dxa"/>
            <w:tcBorders>
              <w:top w:val="nil"/>
              <w:left w:val="nil"/>
              <w:bottom w:val="nil"/>
              <w:right w:val="nil"/>
            </w:tcBorders>
            <w:shd w:val="clear" w:color="auto" w:fill="auto"/>
            <w:noWrap/>
            <w:vAlign w:val="bottom"/>
            <w:hideMark/>
          </w:tcPr>
          <w:p w:rsidRPr="00C23572" w:rsidR="00F466C9" w:rsidP="00F466C9" w:rsidRDefault="00F466C9">
            <w:pPr>
              <w:widowControl/>
              <w:autoSpaceDE/>
              <w:autoSpaceDN/>
              <w:adjustRightInd/>
              <w:rPr>
                <w:sz w:val="24"/>
              </w:rPr>
            </w:pPr>
          </w:p>
        </w:tc>
      </w:tr>
    </w:tbl>
    <w:p w:rsidR="00690F37" w:rsidRDefault="00690F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 xml:space="preserve">In calendar year 2020 to date, CMS has received </w:t>
      </w:r>
      <w:r>
        <w:rPr>
          <w:sz w:val="24"/>
        </w:rPr>
        <w:t>about 139</w:t>
      </w:r>
      <w:r w:rsidRPr="00C23572">
        <w:rPr>
          <w:sz w:val="24"/>
        </w:rPr>
        <w:t xml:space="preserve"> individual </w:t>
      </w:r>
      <w:r>
        <w:rPr>
          <w:sz w:val="24"/>
        </w:rPr>
        <w:t>Inquiries</w:t>
      </w:r>
      <w:r w:rsidRPr="00C23572">
        <w:rPr>
          <w:sz w:val="24"/>
        </w:rPr>
        <w:t xml:space="preserve">. We anticipate that </w:t>
      </w:r>
      <w:r>
        <w:rPr>
          <w:sz w:val="24"/>
        </w:rPr>
        <w:t xml:space="preserve">it would </w:t>
      </w:r>
      <w:r w:rsidRPr="00C23572">
        <w:rPr>
          <w:sz w:val="24"/>
        </w:rPr>
        <w:t>generally</w:t>
      </w:r>
      <w:r>
        <w:rPr>
          <w:sz w:val="24"/>
        </w:rPr>
        <w:t xml:space="preserve"> take 60 minutes per entity</w:t>
      </w:r>
      <w:r w:rsidRPr="00C23572">
        <w:rPr>
          <w:sz w:val="24"/>
        </w:rPr>
        <w:t xml:space="preserve"> </w:t>
      </w:r>
      <w:r>
        <w:rPr>
          <w:sz w:val="24"/>
        </w:rPr>
        <w:t xml:space="preserve">to </w:t>
      </w:r>
      <w:r w:rsidRPr="00C23572">
        <w:rPr>
          <w:sz w:val="24"/>
        </w:rPr>
        <w:t xml:space="preserve">submit </w:t>
      </w:r>
      <w:r>
        <w:rPr>
          <w:sz w:val="24"/>
        </w:rPr>
        <w:t>an inquiry</w:t>
      </w:r>
      <w:r w:rsidRPr="00C23572">
        <w:rPr>
          <w:sz w:val="24"/>
        </w:rPr>
        <w:t xml:space="preserve"> to CMS</w:t>
      </w:r>
      <w:r>
        <w:rPr>
          <w:sz w:val="24"/>
        </w:rPr>
        <w:t>.</w:t>
      </w:r>
      <w:r w:rsidRPr="00C23572">
        <w:rPr>
          <w:sz w:val="24"/>
        </w:rPr>
        <w:t xml:space="preserve"> </w:t>
      </w:r>
      <w:r>
        <w:rPr>
          <w:sz w:val="24"/>
        </w:rPr>
        <w:t xml:space="preserve"> This would be a total of 60 minutes.  The total burden hours would be 139 (1 hour X 139 inquiries).</w:t>
      </w: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total cost would be $14,334 (139 hours X 103.12).</w:t>
      </w: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7476" w:type="dxa"/>
        <w:tblInd w:w="108" w:type="dxa"/>
        <w:tblLook w:val="04A0" w:firstRow="1" w:lastRow="0" w:firstColumn="1" w:lastColumn="0" w:noHBand="0" w:noVBand="1"/>
      </w:tblPr>
      <w:tblGrid>
        <w:gridCol w:w="3560"/>
        <w:gridCol w:w="1700"/>
        <w:gridCol w:w="996"/>
        <w:gridCol w:w="1220"/>
      </w:tblGrid>
      <w:tr w:rsidRPr="00E55440" w:rsidR="00AC550B" w:rsidTr="003E0DAC">
        <w:trPr>
          <w:trHeight w:val="765"/>
        </w:trPr>
        <w:tc>
          <w:tcPr>
            <w:tcW w:w="3560" w:type="dxa"/>
            <w:tcBorders>
              <w:top w:val="nil"/>
              <w:left w:val="nil"/>
              <w:bottom w:val="nil"/>
              <w:right w:val="nil"/>
            </w:tcBorders>
            <w:shd w:val="clear" w:color="auto" w:fill="auto"/>
            <w:noWrap/>
            <w:vAlign w:val="bottom"/>
            <w:hideMark/>
          </w:tcPr>
          <w:p w:rsidRPr="00E55440" w:rsidR="00AC550B" w:rsidP="003E0DAC" w:rsidRDefault="00AC550B">
            <w:pPr>
              <w:widowControl/>
              <w:autoSpaceDE/>
              <w:autoSpaceDN/>
              <w:adjustRightInd/>
              <w:rPr>
                <w:b/>
                <w:bCs/>
                <w:color w:val="000000"/>
                <w:sz w:val="24"/>
              </w:rPr>
            </w:pPr>
            <w:r w:rsidRPr="00E55440">
              <w:rPr>
                <w:b/>
                <w:bCs/>
                <w:color w:val="000000"/>
                <w:sz w:val="24"/>
              </w:rPr>
              <w:t>Blended Occupations</w:t>
            </w:r>
          </w:p>
        </w:tc>
        <w:tc>
          <w:tcPr>
            <w:tcW w:w="1700" w:type="dxa"/>
            <w:tcBorders>
              <w:top w:val="nil"/>
              <w:left w:val="nil"/>
              <w:bottom w:val="nil"/>
              <w:right w:val="nil"/>
            </w:tcBorders>
            <w:shd w:val="clear" w:color="auto" w:fill="auto"/>
            <w:vAlign w:val="bottom"/>
            <w:hideMark/>
          </w:tcPr>
          <w:p w:rsidRPr="00E55440" w:rsidR="00AC550B" w:rsidP="003E0DAC" w:rsidRDefault="00AC550B">
            <w:pPr>
              <w:widowControl/>
              <w:autoSpaceDE/>
              <w:autoSpaceDN/>
              <w:adjustRightInd/>
              <w:rPr>
                <w:b/>
                <w:bCs/>
                <w:color w:val="000000"/>
                <w:sz w:val="24"/>
              </w:rPr>
            </w:pPr>
            <w:r w:rsidRPr="00E55440">
              <w:rPr>
                <w:b/>
                <w:bCs/>
                <w:color w:val="000000"/>
                <w:sz w:val="24"/>
              </w:rPr>
              <w:t>BLS Occupation Code</w:t>
            </w:r>
          </w:p>
        </w:tc>
        <w:tc>
          <w:tcPr>
            <w:tcW w:w="996" w:type="dxa"/>
            <w:tcBorders>
              <w:top w:val="single" w:color="000000" w:sz="4" w:space="0"/>
              <w:left w:val="single" w:color="000000" w:sz="4" w:space="0"/>
              <w:bottom w:val="nil"/>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b/>
                <w:bCs/>
                <w:color w:val="000000"/>
                <w:sz w:val="24"/>
              </w:rPr>
            </w:pPr>
            <w:r w:rsidRPr="00E55440">
              <w:rPr>
                <w:b/>
                <w:bCs/>
                <w:color w:val="000000"/>
                <w:sz w:val="24"/>
              </w:rPr>
              <w:t>Mean hourly wage</w:t>
            </w:r>
          </w:p>
        </w:tc>
        <w:tc>
          <w:tcPr>
            <w:tcW w:w="1220" w:type="dxa"/>
            <w:tcBorders>
              <w:top w:val="single" w:color="000000" w:sz="4" w:space="0"/>
              <w:left w:val="nil"/>
              <w:bottom w:val="nil"/>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b/>
                <w:bCs/>
                <w:color w:val="000000"/>
                <w:sz w:val="24"/>
              </w:rPr>
            </w:pPr>
            <w:r w:rsidRPr="00E55440">
              <w:rPr>
                <w:b/>
                <w:bCs/>
                <w:color w:val="000000"/>
                <w:sz w:val="24"/>
              </w:rPr>
              <w:t>Fringe Benefits</w:t>
            </w:r>
          </w:p>
        </w:tc>
      </w:tr>
      <w:tr w:rsidRPr="00E55440" w:rsidR="00AC550B" w:rsidTr="003E0DAC">
        <w:trPr>
          <w:trHeight w:val="300"/>
        </w:trPr>
        <w:tc>
          <w:tcPr>
            <w:tcW w:w="35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Nursing Home Administrator</w:t>
            </w:r>
          </w:p>
        </w:tc>
        <w:tc>
          <w:tcPr>
            <w:tcW w:w="1700" w:type="dxa"/>
            <w:tcBorders>
              <w:top w:val="single" w:color="auto" w:sz="4" w:space="0"/>
              <w:left w:val="nil"/>
              <w:bottom w:val="single" w:color="auto" w:sz="4" w:space="0"/>
              <w:right w:val="single" w:color="auto" w:sz="4" w:space="0"/>
            </w:tcBorders>
            <w:shd w:val="clear" w:color="auto" w:fill="auto"/>
            <w:noWrap/>
            <w:vAlign w:val="bottom"/>
            <w:hideMark/>
          </w:tcPr>
          <w:p w:rsidRPr="00E55440" w:rsidR="00AC550B" w:rsidP="003E0DAC" w:rsidRDefault="00AC550B">
            <w:pPr>
              <w:widowControl/>
              <w:autoSpaceDE/>
              <w:autoSpaceDN/>
              <w:adjustRightInd/>
              <w:rPr>
                <w:color w:val="000000"/>
                <w:sz w:val="24"/>
              </w:rPr>
            </w:pPr>
            <w:r w:rsidRPr="00E55440">
              <w:rPr>
                <w:color w:val="000000"/>
                <w:sz w:val="24"/>
              </w:rPr>
              <w:t>43-1011</w:t>
            </w:r>
          </w:p>
        </w:tc>
        <w:tc>
          <w:tcPr>
            <w:tcW w:w="996" w:type="dxa"/>
            <w:tcBorders>
              <w:top w:val="single" w:color="000000" w:sz="4" w:space="0"/>
              <w:left w:val="nil"/>
              <w:bottom w:val="single" w:color="000000" w:sz="4" w:space="0"/>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$28.91 </w:t>
            </w:r>
          </w:p>
        </w:tc>
        <w:tc>
          <w:tcPr>
            <w:tcW w:w="1220" w:type="dxa"/>
            <w:tcBorders>
              <w:top w:val="single" w:color="000000" w:sz="4" w:space="0"/>
              <w:left w:val="nil"/>
              <w:bottom w:val="single" w:color="000000" w:sz="4" w:space="0"/>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$28.91 </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General Physician</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pPr>
              <w:widowControl/>
              <w:autoSpaceDE/>
              <w:autoSpaceDN/>
              <w:adjustRightInd/>
              <w:rPr>
                <w:color w:val="000000"/>
                <w:sz w:val="24"/>
              </w:rPr>
            </w:pPr>
            <w:r w:rsidRPr="00E55440">
              <w:rPr>
                <w:color w:val="000000"/>
                <w:sz w:val="24"/>
              </w:rPr>
              <w:t>29-1216</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$96.85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$96.85 </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Hospital 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pPr>
              <w:widowControl/>
              <w:autoSpaceDE/>
              <w:autoSpaceDN/>
              <w:adjustRightInd/>
              <w:rPr>
                <w:color w:val="000000"/>
                <w:sz w:val="24"/>
              </w:rPr>
            </w:pPr>
            <w:r w:rsidRPr="00E55440">
              <w:rPr>
                <w:color w:val="000000"/>
                <w:sz w:val="24"/>
              </w:rPr>
              <w:t>11*9111</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$55.37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$55.37 </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Administrator</w:t>
            </w:r>
          </w:p>
        </w:tc>
        <w:tc>
          <w:tcPr>
            <w:tcW w:w="1700" w:type="dxa"/>
            <w:tcBorders>
              <w:top w:val="nil"/>
              <w:left w:val="nil"/>
              <w:bottom w:val="single" w:color="auto" w:sz="4" w:space="0"/>
              <w:right w:val="single" w:color="auto" w:sz="4" w:space="0"/>
            </w:tcBorders>
            <w:shd w:val="clear" w:color="auto" w:fill="auto"/>
            <w:noWrap/>
            <w:vAlign w:val="bottom"/>
            <w:hideMark/>
          </w:tcPr>
          <w:p w:rsidRPr="00E55440" w:rsidR="00AC550B" w:rsidP="003E0DAC" w:rsidRDefault="00AC550B">
            <w:pPr>
              <w:widowControl/>
              <w:autoSpaceDE/>
              <w:autoSpaceDN/>
              <w:adjustRightInd/>
              <w:rPr>
                <w:color w:val="000000"/>
                <w:sz w:val="24"/>
              </w:rPr>
            </w:pPr>
            <w:r w:rsidRPr="00E55440">
              <w:rPr>
                <w:color w:val="000000"/>
                <w:sz w:val="24"/>
              </w:rPr>
              <w:t>43-1011</w:t>
            </w:r>
          </w:p>
        </w:tc>
        <w:tc>
          <w:tcPr>
            <w:tcW w:w="996" w:type="dxa"/>
            <w:tcBorders>
              <w:top w:val="nil"/>
              <w:left w:val="nil"/>
              <w:bottom w:val="single" w:color="000000" w:sz="4" w:space="0"/>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$28.91 </w:t>
            </w:r>
          </w:p>
        </w:tc>
        <w:tc>
          <w:tcPr>
            <w:tcW w:w="1220" w:type="dxa"/>
            <w:tcBorders>
              <w:top w:val="nil"/>
              <w:left w:val="nil"/>
              <w:bottom w:val="single" w:color="000000" w:sz="4" w:space="0"/>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$28.91 </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State Agency Director</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11-1000</w:t>
            </w:r>
          </w:p>
        </w:tc>
        <w:tc>
          <w:tcPr>
            <w:tcW w:w="996" w:type="dxa"/>
            <w:tcBorders>
              <w:top w:val="nil"/>
              <w:left w:val="nil"/>
              <w:bottom w:val="nil"/>
              <w:right w:val="single" w:color="000000"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$61.09 </w:t>
            </w:r>
          </w:p>
        </w:tc>
        <w:tc>
          <w:tcPr>
            <w:tcW w:w="1220" w:type="dxa"/>
            <w:tcBorders>
              <w:top w:val="nil"/>
              <w:left w:val="nil"/>
              <w:bottom w:val="nil"/>
              <w:right w:val="single" w:color="auto" w:sz="4" w:space="0"/>
            </w:tcBorders>
            <w:shd w:val="clear" w:color="000000" w:fill="FFFFFF"/>
            <w:vAlign w:val="center"/>
            <w:hideMark/>
          </w:tcPr>
          <w:p w:rsidRPr="00E55440" w:rsidR="00AC550B" w:rsidP="003E0DAC" w:rsidRDefault="00AC550B">
            <w:pPr>
              <w:widowControl/>
              <w:autoSpaceDE/>
              <w:autoSpaceDN/>
              <w:adjustRightInd/>
              <w:jc w:val="center"/>
              <w:rPr>
                <w:color w:val="000000"/>
                <w:sz w:val="24"/>
              </w:rPr>
            </w:pPr>
            <w:r w:rsidRPr="00E55440">
              <w:rPr>
                <w:color w:val="000000"/>
                <w:sz w:val="24"/>
              </w:rPr>
              <w:t xml:space="preserve">$61.09 </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tcPr>
          <w:p w:rsidRPr="00E55440" w:rsidR="00AC550B" w:rsidP="003E0DAC" w:rsidRDefault="00AC550B">
            <w:pPr>
              <w:widowControl/>
              <w:autoSpaceDE/>
              <w:autoSpaceDN/>
              <w:adjustRightInd/>
              <w:rPr>
                <w:sz w:val="24"/>
              </w:rPr>
            </w:pPr>
            <w:r>
              <w:rPr>
                <w:sz w:val="24"/>
              </w:rPr>
              <w:t>Medicare/Medicaid Beneficiary*</w:t>
            </w:r>
          </w:p>
        </w:tc>
        <w:tc>
          <w:tcPr>
            <w:tcW w:w="1700" w:type="dxa"/>
            <w:tcBorders>
              <w:top w:val="nil"/>
              <w:left w:val="nil"/>
              <w:bottom w:val="single" w:color="auto" w:sz="4" w:space="0"/>
              <w:right w:val="single" w:color="auto" w:sz="4" w:space="0"/>
            </w:tcBorders>
            <w:shd w:val="clear" w:color="auto" w:fill="auto"/>
            <w:vAlign w:val="center"/>
          </w:tcPr>
          <w:p w:rsidRPr="00E55440" w:rsidR="00AC550B" w:rsidP="003E0DAC" w:rsidRDefault="00AC550B">
            <w:pPr>
              <w:widowControl/>
              <w:autoSpaceDE/>
              <w:autoSpaceDN/>
              <w:adjustRightInd/>
              <w:rPr>
                <w:sz w:val="24"/>
              </w:rPr>
            </w:pPr>
            <w:r>
              <w:rPr>
                <w:sz w:val="24"/>
              </w:rPr>
              <w:t>Civilian Workers</w:t>
            </w:r>
          </w:p>
        </w:tc>
        <w:tc>
          <w:tcPr>
            <w:tcW w:w="996" w:type="dxa"/>
            <w:tcBorders>
              <w:top w:val="nil"/>
              <w:left w:val="nil"/>
              <w:bottom w:val="nil"/>
              <w:right w:val="single" w:color="000000" w:sz="4" w:space="0"/>
            </w:tcBorders>
            <w:shd w:val="clear" w:color="000000" w:fill="FFFFFF"/>
            <w:vAlign w:val="center"/>
          </w:tcPr>
          <w:p w:rsidRPr="00E55440" w:rsidR="00AC550B" w:rsidP="003E0DAC" w:rsidRDefault="00AC550B">
            <w:pPr>
              <w:widowControl/>
              <w:autoSpaceDE/>
              <w:autoSpaceDN/>
              <w:adjustRightInd/>
              <w:jc w:val="center"/>
              <w:rPr>
                <w:color w:val="000000"/>
                <w:sz w:val="24"/>
              </w:rPr>
            </w:pPr>
            <w:r>
              <w:rPr>
                <w:color w:val="000000"/>
                <w:sz w:val="24"/>
              </w:rPr>
              <w:t>$38.20</w:t>
            </w:r>
          </w:p>
        </w:tc>
        <w:tc>
          <w:tcPr>
            <w:tcW w:w="1220" w:type="dxa"/>
            <w:tcBorders>
              <w:top w:val="nil"/>
              <w:left w:val="nil"/>
              <w:bottom w:val="nil"/>
              <w:right w:val="single" w:color="auto" w:sz="4" w:space="0"/>
            </w:tcBorders>
            <w:shd w:val="clear" w:color="000000" w:fill="FFFFFF"/>
            <w:vAlign w:val="center"/>
          </w:tcPr>
          <w:p w:rsidRPr="00E55440" w:rsidR="00AC550B" w:rsidP="003E0DAC" w:rsidRDefault="00AC550B">
            <w:pPr>
              <w:widowControl/>
              <w:autoSpaceDE/>
              <w:autoSpaceDN/>
              <w:adjustRightInd/>
              <w:jc w:val="center"/>
              <w:rPr>
                <w:color w:val="000000"/>
                <w:sz w:val="24"/>
              </w:rPr>
            </w:pPr>
            <w:r>
              <w:rPr>
                <w:color w:val="000000"/>
                <w:sz w:val="24"/>
              </w:rPr>
              <w:t>$38.20</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Total Mean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sz w:val="24"/>
              </w:rPr>
            </w:pPr>
            <w:r w:rsidRPr="00E55440">
              <w:rPr>
                <w:sz w:val="24"/>
              </w:rPr>
              <w:t> </w:t>
            </w:r>
          </w:p>
        </w:tc>
        <w:tc>
          <w:tcPr>
            <w:tcW w:w="996" w:type="dxa"/>
            <w:tcBorders>
              <w:top w:val="single" w:color="auto" w:sz="4" w:space="0"/>
              <w:left w:val="nil"/>
              <w:bottom w:val="single" w:color="auto" w:sz="4" w:space="0"/>
              <w:right w:val="single" w:color="auto" w:sz="4" w:space="0"/>
            </w:tcBorders>
            <w:shd w:val="clear" w:color="000000" w:fill="FFFFFF"/>
            <w:vAlign w:val="center"/>
          </w:tcPr>
          <w:p w:rsidRPr="00E55440" w:rsidR="00AC550B" w:rsidP="003E0DAC" w:rsidRDefault="00AC550B">
            <w:pPr>
              <w:widowControl/>
              <w:autoSpaceDE/>
              <w:autoSpaceDN/>
              <w:adjustRightInd/>
              <w:jc w:val="center"/>
              <w:rPr>
                <w:color w:val="000000"/>
                <w:sz w:val="24"/>
              </w:rPr>
            </w:pPr>
            <w:r>
              <w:rPr>
                <w:color w:val="000000"/>
                <w:sz w:val="24"/>
              </w:rPr>
              <w:t>$309.33</w:t>
            </w:r>
          </w:p>
        </w:tc>
        <w:tc>
          <w:tcPr>
            <w:tcW w:w="1220" w:type="dxa"/>
            <w:tcBorders>
              <w:top w:val="single" w:color="auto" w:sz="4" w:space="0"/>
              <w:left w:val="nil"/>
              <w:bottom w:val="single" w:color="auto" w:sz="4" w:space="0"/>
              <w:right w:val="single" w:color="auto" w:sz="4" w:space="0"/>
            </w:tcBorders>
            <w:shd w:val="clear" w:color="000000" w:fill="FFFFFF"/>
            <w:vAlign w:val="center"/>
          </w:tcPr>
          <w:p w:rsidRPr="00E55440" w:rsidR="00AC550B" w:rsidP="003E0DAC" w:rsidRDefault="00AC550B">
            <w:pPr>
              <w:widowControl/>
              <w:autoSpaceDE/>
              <w:autoSpaceDN/>
              <w:adjustRightInd/>
              <w:jc w:val="center"/>
              <w:rPr>
                <w:color w:val="000000"/>
                <w:sz w:val="24"/>
              </w:rPr>
            </w:pPr>
            <w:r>
              <w:rPr>
                <w:color w:val="000000"/>
                <w:sz w:val="24"/>
              </w:rPr>
              <w:t>$309.33</w:t>
            </w:r>
          </w:p>
        </w:tc>
      </w:tr>
      <w:tr w:rsidRPr="00E55440" w:rsidR="00AC550B" w:rsidTr="003E0DAC">
        <w:trPr>
          <w:trHeight w:val="300"/>
        </w:trPr>
        <w:tc>
          <w:tcPr>
            <w:tcW w:w="3560" w:type="dxa"/>
            <w:tcBorders>
              <w:top w:val="nil"/>
              <w:left w:val="single" w:color="auto" w:sz="4" w:space="0"/>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b/>
                <w:bCs/>
                <w:sz w:val="24"/>
              </w:rPr>
            </w:pPr>
            <w:r w:rsidRPr="00E55440">
              <w:rPr>
                <w:b/>
                <w:bCs/>
                <w:sz w:val="24"/>
              </w:rPr>
              <w:t>Average Hourly Wage</w:t>
            </w:r>
          </w:p>
        </w:tc>
        <w:tc>
          <w:tcPr>
            <w:tcW w:w="1700" w:type="dxa"/>
            <w:tcBorders>
              <w:top w:val="nil"/>
              <w:left w:val="nil"/>
              <w:bottom w:val="single" w:color="auto" w:sz="4" w:space="0"/>
              <w:right w:val="single" w:color="auto" w:sz="4" w:space="0"/>
            </w:tcBorders>
            <w:shd w:val="clear" w:color="auto" w:fill="auto"/>
            <w:vAlign w:val="center"/>
            <w:hideMark/>
          </w:tcPr>
          <w:p w:rsidRPr="00E55440" w:rsidR="00AC550B" w:rsidP="003E0DAC" w:rsidRDefault="00AC550B">
            <w:pPr>
              <w:widowControl/>
              <w:autoSpaceDE/>
              <w:autoSpaceDN/>
              <w:adjustRightInd/>
              <w:rPr>
                <w:b/>
                <w:bCs/>
                <w:sz w:val="24"/>
              </w:rPr>
            </w:pPr>
            <w:r w:rsidRPr="00E55440">
              <w:rPr>
                <w:b/>
                <w:bCs/>
                <w:sz w:val="24"/>
              </w:rPr>
              <w:t> </w:t>
            </w:r>
          </w:p>
        </w:tc>
        <w:tc>
          <w:tcPr>
            <w:tcW w:w="996" w:type="dxa"/>
            <w:tcBorders>
              <w:top w:val="nil"/>
              <w:left w:val="nil"/>
              <w:bottom w:val="single" w:color="auto" w:sz="4" w:space="0"/>
              <w:right w:val="single" w:color="auto" w:sz="4" w:space="0"/>
            </w:tcBorders>
            <w:shd w:val="clear" w:color="auto" w:fill="auto"/>
            <w:noWrap/>
            <w:vAlign w:val="bottom"/>
          </w:tcPr>
          <w:p w:rsidRPr="00E55440" w:rsidR="00AC550B" w:rsidP="003E0DAC" w:rsidRDefault="00AC550B">
            <w:pPr>
              <w:widowControl/>
              <w:autoSpaceDE/>
              <w:autoSpaceDN/>
              <w:adjustRightInd/>
              <w:jc w:val="center"/>
              <w:rPr>
                <w:b/>
                <w:bCs/>
                <w:color w:val="000000"/>
                <w:sz w:val="24"/>
              </w:rPr>
            </w:pPr>
            <w:r>
              <w:rPr>
                <w:b/>
                <w:bCs/>
                <w:color w:val="000000"/>
                <w:sz w:val="24"/>
              </w:rPr>
              <w:t>$51.56</w:t>
            </w:r>
          </w:p>
        </w:tc>
        <w:tc>
          <w:tcPr>
            <w:tcW w:w="1220" w:type="dxa"/>
            <w:tcBorders>
              <w:top w:val="nil"/>
              <w:left w:val="nil"/>
              <w:bottom w:val="single" w:color="auto" w:sz="4" w:space="0"/>
              <w:right w:val="single" w:color="auto" w:sz="4" w:space="0"/>
            </w:tcBorders>
            <w:shd w:val="clear" w:color="auto" w:fill="auto"/>
            <w:noWrap/>
            <w:vAlign w:val="bottom"/>
          </w:tcPr>
          <w:p w:rsidRPr="00E55440" w:rsidR="00AC550B" w:rsidP="003E0DAC" w:rsidRDefault="00AC550B">
            <w:pPr>
              <w:widowControl/>
              <w:autoSpaceDE/>
              <w:autoSpaceDN/>
              <w:adjustRightInd/>
              <w:jc w:val="center"/>
              <w:rPr>
                <w:b/>
                <w:bCs/>
                <w:color w:val="000000"/>
                <w:sz w:val="24"/>
              </w:rPr>
            </w:pPr>
            <w:r>
              <w:rPr>
                <w:b/>
                <w:bCs/>
                <w:color w:val="000000"/>
                <w:sz w:val="24"/>
              </w:rPr>
              <w:t>$51.56</w:t>
            </w:r>
          </w:p>
        </w:tc>
      </w:tr>
    </w:tbl>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sidRPr="00D7341F">
        <w:t xml:space="preserve"> </w:t>
      </w:r>
      <w:r>
        <w:t>W</w:t>
      </w:r>
      <w:r w:rsidRPr="00D7341F">
        <w:rPr>
          <w:sz w:val="24"/>
        </w:rPr>
        <w:t>e used data from the U.S. Bureau of Labor Statistics’  2019 National Occupational Employment and Wage Estimates for all salary estimates</w:t>
      </w:r>
      <w:r>
        <w:rPr>
          <w:sz w:val="24"/>
        </w:rPr>
        <w:t xml:space="preserve"> except Medicare/Medicaid Beneficiaries, for whom we used at </w:t>
      </w:r>
      <w:hyperlink w:history="1" r:id="rId9">
        <w:r w:rsidRPr="00697ED4">
          <w:rPr>
            <w:rStyle w:val="Hyperlink"/>
            <w:sz w:val="24"/>
          </w:rPr>
          <w:t>https://www.bls.gov/news.release/ecec.t02.htm</w:t>
        </w:r>
      </w:hyperlink>
      <w:r>
        <w:rPr>
          <w:sz w:val="24"/>
        </w:rPr>
        <w:t>.</w:t>
      </w: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550B" w:rsidP="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We estimate the total cost for healthcare entities to submit waiver requests or inquiries to be $343,194.</w:t>
      </w:r>
    </w:p>
    <w:p w:rsidRPr="00C23572" w:rsidR="00AC550B" w:rsidRDefault="00AC550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C65A2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sidRPr="004023E8">
        <w:rPr>
          <w:sz w:val="24"/>
          <w:u w:val="single"/>
        </w:rPr>
        <w:t>Capital Costs</w:t>
      </w:r>
    </w:p>
    <w:p w:rsidRPr="00C65A2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4023E8" w:rsidP="005D62A2" w:rsidRDefault="00F15E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23572">
        <w:rPr>
          <w:sz w:val="24"/>
        </w:rPr>
        <w:t>Although there are no capital costs associated with this collection</w:t>
      </w:r>
      <w:r w:rsidRPr="00C23572" w:rsidR="00AD779C">
        <w:rPr>
          <w:sz w:val="24"/>
        </w:rPr>
        <w:t>, t</w:t>
      </w:r>
      <w:r w:rsidRPr="00C23572" w:rsidR="004023E8">
        <w:rPr>
          <w:sz w:val="24"/>
        </w:rPr>
        <w:t xml:space="preserve">his public-facing web form provides an automated mechanism for submitting waiver requests. </w:t>
      </w:r>
    </w:p>
    <w:p w:rsidRPr="00C65A2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65A2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C65A20">
        <w:rPr>
          <w:sz w:val="24"/>
        </w:rPr>
        <w:t>14.</w:t>
      </w:r>
      <w:r w:rsidRPr="00C65A20">
        <w:rPr>
          <w:sz w:val="24"/>
        </w:rPr>
        <w:tab/>
      </w:r>
      <w:r w:rsidRPr="00C65A20">
        <w:rPr>
          <w:sz w:val="24"/>
          <w:u w:val="single"/>
        </w:rPr>
        <w:t>Cost to Federal Government</w:t>
      </w:r>
    </w:p>
    <w:p w:rsidRPr="00C65A20"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23572" w:rsidR="00B07467" w:rsidP="00B07467" w:rsidRDefault="00B074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Hlk50617081" w:id="3"/>
      <w:r w:rsidRPr="00C23572">
        <w:rPr>
          <w:sz w:val="24"/>
        </w:rPr>
        <w:t>Development of the public facing web form requires a contract with an application development organization and the purchase of user licenses for CMS users. The total estimated annualized cost is $1,616,528.08.</w:t>
      </w:r>
    </w:p>
    <w:p w:rsidR="00B07467" w:rsidP="00B07467" w:rsidRDefault="00B074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5880" w:type="dxa"/>
        <w:tblInd w:w="113" w:type="dxa"/>
        <w:tblLook w:val="04A0" w:firstRow="1" w:lastRow="0" w:firstColumn="1" w:lastColumn="0" w:noHBand="0" w:noVBand="1"/>
      </w:tblPr>
      <w:tblGrid>
        <w:gridCol w:w="2260"/>
        <w:gridCol w:w="2260"/>
        <w:gridCol w:w="1360"/>
      </w:tblGrid>
      <w:tr w:rsidRPr="00B07467" w:rsidR="00B07467" w:rsidTr="00B07467">
        <w:trPr>
          <w:trHeight w:val="300"/>
        </w:trPr>
        <w:tc>
          <w:tcPr>
            <w:tcW w:w="22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w:t>
            </w:r>
          </w:p>
        </w:tc>
        <w:tc>
          <w:tcPr>
            <w:tcW w:w="2260" w:type="dxa"/>
            <w:tcBorders>
              <w:top w:val="single" w:color="auto" w:sz="4" w:space="0"/>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b/>
                <w:bCs/>
                <w:color w:val="000000"/>
                <w:sz w:val="24"/>
              </w:rPr>
            </w:pPr>
            <w:r w:rsidRPr="00C23572">
              <w:rPr>
                <w:b/>
                <w:bCs/>
                <w:color w:val="000000"/>
                <w:sz w:val="24"/>
              </w:rPr>
              <w:t>Development Contract</w:t>
            </w:r>
          </w:p>
        </w:tc>
        <w:tc>
          <w:tcPr>
            <w:tcW w:w="1360" w:type="dxa"/>
            <w:tcBorders>
              <w:top w:val="single" w:color="auto" w:sz="4" w:space="0"/>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b/>
                <w:bCs/>
                <w:color w:val="000000"/>
                <w:sz w:val="24"/>
              </w:rPr>
            </w:pPr>
            <w:r w:rsidRPr="00C23572">
              <w:rPr>
                <w:b/>
                <w:bCs/>
                <w:color w:val="000000"/>
                <w:sz w:val="24"/>
              </w:rPr>
              <w:t>User Licenses</w:t>
            </w:r>
          </w:p>
        </w:tc>
      </w:tr>
      <w:tr w:rsidRPr="00B07467" w:rsidR="00B07467" w:rsidTr="00B0746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b/>
                <w:bCs/>
                <w:color w:val="000000"/>
                <w:sz w:val="24"/>
              </w:rPr>
            </w:pPr>
            <w:r w:rsidRPr="00C23572">
              <w:rPr>
                <w:b/>
                <w:bCs/>
                <w:color w:val="000000"/>
                <w:sz w:val="24"/>
              </w:rPr>
              <w:t>Annual Cost</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xml:space="preserve">$1,588,111.00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xml:space="preserve">$28,417.08 </w:t>
            </w:r>
          </w:p>
        </w:tc>
      </w:tr>
      <w:tr w:rsidRPr="00B07467" w:rsidR="00B07467" w:rsidTr="00B0746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w:t>
            </w:r>
          </w:p>
        </w:tc>
      </w:tr>
      <w:tr w:rsidRPr="00B07467" w:rsidR="00B07467" w:rsidTr="00B07467">
        <w:trPr>
          <w:trHeight w:val="300"/>
        </w:trPr>
        <w:tc>
          <w:tcPr>
            <w:tcW w:w="2260" w:type="dxa"/>
            <w:tcBorders>
              <w:top w:val="nil"/>
              <w:left w:val="single" w:color="auto" w:sz="4" w:space="0"/>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b/>
                <w:bCs/>
                <w:color w:val="000000"/>
                <w:sz w:val="24"/>
              </w:rPr>
            </w:pPr>
            <w:r w:rsidRPr="00C23572">
              <w:rPr>
                <w:b/>
                <w:bCs/>
                <w:color w:val="000000"/>
                <w:sz w:val="24"/>
              </w:rPr>
              <w:t>Total Annual Cost</w:t>
            </w:r>
          </w:p>
        </w:tc>
        <w:tc>
          <w:tcPr>
            <w:tcW w:w="22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xml:space="preserve">$1,616,528.08 </w:t>
            </w:r>
          </w:p>
        </w:tc>
        <w:tc>
          <w:tcPr>
            <w:tcW w:w="1360" w:type="dxa"/>
            <w:tcBorders>
              <w:top w:val="nil"/>
              <w:left w:val="nil"/>
              <w:bottom w:val="single" w:color="auto" w:sz="4" w:space="0"/>
              <w:right w:val="single" w:color="auto" w:sz="4" w:space="0"/>
            </w:tcBorders>
            <w:shd w:val="clear" w:color="auto" w:fill="auto"/>
            <w:noWrap/>
            <w:vAlign w:val="bottom"/>
            <w:hideMark/>
          </w:tcPr>
          <w:p w:rsidRPr="00C23572" w:rsidR="00B07467" w:rsidP="00B07467" w:rsidRDefault="00B07467">
            <w:pPr>
              <w:widowControl/>
              <w:autoSpaceDE/>
              <w:autoSpaceDN/>
              <w:adjustRightInd/>
              <w:rPr>
                <w:color w:val="000000"/>
                <w:sz w:val="24"/>
              </w:rPr>
            </w:pPr>
            <w:r w:rsidRPr="00C23572">
              <w:rPr>
                <w:color w:val="000000"/>
                <w:sz w:val="24"/>
              </w:rPr>
              <w:t> </w:t>
            </w:r>
          </w:p>
        </w:tc>
      </w:tr>
    </w:tbl>
    <w:p w:rsidR="00690E3A" w:rsidRDefault="00690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Pr="00C23572" w:rsidR="00690E3A" w:rsidP="00690E3A" w:rsidRDefault="00690E3A">
      <w:pPr>
        <w:pStyle w:val="CommentText"/>
        <w:rPr>
          <w:sz w:val="24"/>
          <w:szCs w:val="24"/>
        </w:rPr>
      </w:pPr>
      <w:r w:rsidRPr="00C23572">
        <w:rPr>
          <w:sz w:val="24"/>
          <w:szCs w:val="24"/>
        </w:rPr>
        <w:lastRenderedPageBreak/>
        <w:t xml:space="preserve">The CMS </w:t>
      </w:r>
      <w:r w:rsidRPr="00AC550B" w:rsidR="00906752">
        <w:rPr>
          <w:sz w:val="24"/>
          <w:szCs w:val="24"/>
        </w:rPr>
        <w:t xml:space="preserve">Locations (formerly known as </w:t>
      </w:r>
      <w:r w:rsidRPr="00AC550B">
        <w:rPr>
          <w:sz w:val="24"/>
          <w:szCs w:val="24"/>
        </w:rPr>
        <w:t>Regional Offices</w:t>
      </w:r>
      <w:r w:rsidRPr="00AC550B" w:rsidR="00906752">
        <w:rPr>
          <w:sz w:val="24"/>
          <w:szCs w:val="24"/>
        </w:rPr>
        <w:t>)</w:t>
      </w:r>
      <w:r w:rsidRPr="00C23572">
        <w:rPr>
          <w:sz w:val="24"/>
          <w:szCs w:val="24"/>
        </w:rPr>
        <w:t xml:space="preserve"> are responsible for </w:t>
      </w:r>
      <w:r w:rsidRPr="00AC550B" w:rsidR="00906752">
        <w:rPr>
          <w:sz w:val="24"/>
          <w:szCs w:val="24"/>
        </w:rPr>
        <w:t>responding to</w:t>
      </w:r>
      <w:r w:rsidRPr="00C23572">
        <w:rPr>
          <w:sz w:val="24"/>
          <w:szCs w:val="24"/>
        </w:rPr>
        <w:t xml:space="preserve"> 1135 </w:t>
      </w:r>
      <w:r w:rsidR="002E2AB6">
        <w:rPr>
          <w:sz w:val="24"/>
          <w:szCs w:val="24"/>
        </w:rPr>
        <w:t>w</w:t>
      </w:r>
      <w:r w:rsidRPr="00C23572">
        <w:rPr>
          <w:sz w:val="24"/>
          <w:szCs w:val="24"/>
        </w:rPr>
        <w:t xml:space="preserve">aiver </w:t>
      </w:r>
      <w:r w:rsidR="002E2AB6">
        <w:rPr>
          <w:sz w:val="24"/>
          <w:szCs w:val="24"/>
        </w:rPr>
        <w:t>r</w:t>
      </w:r>
      <w:r w:rsidRPr="00C23572">
        <w:rPr>
          <w:sz w:val="24"/>
          <w:szCs w:val="24"/>
        </w:rPr>
        <w:t>equest</w:t>
      </w:r>
      <w:r w:rsidR="002E2AB6">
        <w:rPr>
          <w:sz w:val="24"/>
          <w:szCs w:val="24"/>
        </w:rPr>
        <w:t>s</w:t>
      </w:r>
      <w:r w:rsidR="00906752">
        <w:rPr>
          <w:sz w:val="24"/>
          <w:szCs w:val="24"/>
        </w:rPr>
        <w:t xml:space="preserve"> </w:t>
      </w:r>
      <w:r w:rsidRPr="00AC550B" w:rsidR="00906752">
        <w:rPr>
          <w:sz w:val="24"/>
          <w:szCs w:val="24"/>
        </w:rPr>
        <w:t>and inquiries</w:t>
      </w:r>
      <w:r w:rsidRPr="00C23572">
        <w:rPr>
          <w:sz w:val="24"/>
          <w:szCs w:val="24"/>
        </w:rPr>
        <w:t xml:space="preserve">. We estimate that it would take 30 minutes of time by a Regional Office (RO) reviewer to review and determine if the </w:t>
      </w:r>
      <w:r w:rsidRPr="00AC550B" w:rsidR="00B40A14">
        <w:rPr>
          <w:sz w:val="24"/>
          <w:szCs w:val="24"/>
        </w:rPr>
        <w:t>1135 waiver request and/or inquiry</w:t>
      </w:r>
      <w:r w:rsidRPr="00C23572" w:rsidR="00B40A14">
        <w:rPr>
          <w:sz w:val="24"/>
          <w:szCs w:val="24"/>
        </w:rPr>
        <w:t xml:space="preserve"> </w:t>
      </w:r>
      <w:r w:rsidRPr="00C23572">
        <w:rPr>
          <w:sz w:val="24"/>
          <w:szCs w:val="24"/>
        </w:rPr>
        <w:t xml:space="preserve">has sufficient information to make a determination. </w:t>
      </w:r>
    </w:p>
    <w:p w:rsidRPr="00C23572" w:rsidR="00690E3A" w:rsidP="00690E3A" w:rsidRDefault="00690E3A">
      <w:pPr>
        <w:pStyle w:val="CommentText"/>
        <w:rPr>
          <w:sz w:val="24"/>
          <w:szCs w:val="24"/>
        </w:rPr>
      </w:pPr>
    </w:p>
    <w:p w:rsidRPr="00C23572" w:rsidR="00690E3A" w:rsidP="00690E3A" w:rsidRDefault="00690E3A">
      <w:pPr>
        <w:pStyle w:val="CommentText"/>
        <w:rPr>
          <w:sz w:val="24"/>
          <w:szCs w:val="24"/>
        </w:rPr>
      </w:pPr>
      <w:r w:rsidRPr="00C23572">
        <w:rPr>
          <w:sz w:val="24"/>
          <w:szCs w:val="24"/>
        </w:rPr>
        <w:t>We estimate that the cost associated with review</w:t>
      </w:r>
      <w:r w:rsidR="002E2AB6">
        <w:rPr>
          <w:sz w:val="24"/>
          <w:szCs w:val="24"/>
        </w:rPr>
        <w:t>ing</w:t>
      </w:r>
      <w:r w:rsidRPr="00C23572">
        <w:rPr>
          <w:sz w:val="24"/>
          <w:szCs w:val="24"/>
        </w:rPr>
        <w:t xml:space="preserve"> each </w:t>
      </w:r>
      <w:r w:rsidR="002E2AB6">
        <w:rPr>
          <w:sz w:val="24"/>
          <w:szCs w:val="24"/>
        </w:rPr>
        <w:t>web</w:t>
      </w:r>
      <w:r w:rsidRPr="00C23572">
        <w:rPr>
          <w:sz w:val="24"/>
          <w:szCs w:val="24"/>
        </w:rPr>
        <w:t xml:space="preserve"> form by the CMS </w:t>
      </w:r>
      <w:r w:rsidRPr="00AC550B" w:rsidR="00B40A14">
        <w:rPr>
          <w:sz w:val="24"/>
          <w:szCs w:val="24"/>
        </w:rPr>
        <w:t>Location</w:t>
      </w:r>
      <w:r w:rsidRPr="00C23572">
        <w:rPr>
          <w:sz w:val="24"/>
          <w:szCs w:val="24"/>
        </w:rPr>
        <w:t xml:space="preserve"> would be $25.67. We note, these are not </w:t>
      </w:r>
      <w:r w:rsidRPr="00C23572" w:rsidR="00AD779C">
        <w:rPr>
          <w:sz w:val="24"/>
          <w:szCs w:val="24"/>
        </w:rPr>
        <w:t>reoccurring</w:t>
      </w:r>
      <w:r w:rsidRPr="00C23572">
        <w:rPr>
          <w:sz w:val="24"/>
          <w:szCs w:val="24"/>
        </w:rPr>
        <w:t xml:space="preserve"> submissions and are only </w:t>
      </w:r>
      <w:r w:rsidRPr="00C23572" w:rsidR="00AD779C">
        <w:rPr>
          <w:sz w:val="24"/>
          <w:szCs w:val="24"/>
        </w:rPr>
        <w:t xml:space="preserve">submitted </w:t>
      </w:r>
      <w:r w:rsidRPr="00C23572">
        <w:rPr>
          <w:sz w:val="24"/>
          <w:szCs w:val="24"/>
        </w:rPr>
        <w:t xml:space="preserve">during emergency events. </w:t>
      </w:r>
    </w:p>
    <w:p w:rsidRPr="00C23572" w:rsidR="00690E3A" w:rsidP="00690E3A" w:rsidRDefault="00690E3A">
      <w:pPr>
        <w:pStyle w:val="CommentText"/>
        <w:rPr>
          <w:sz w:val="24"/>
          <w:szCs w:val="24"/>
        </w:rPr>
      </w:pPr>
    </w:p>
    <w:p w:rsidRPr="00C23572" w:rsidR="00690E3A" w:rsidP="00690E3A" w:rsidRDefault="00690E3A">
      <w:pPr>
        <w:pStyle w:val="CommentText"/>
        <w:rPr>
          <w:sz w:val="24"/>
          <w:szCs w:val="24"/>
        </w:rPr>
      </w:pPr>
      <w:r w:rsidRPr="00C23572">
        <w:rPr>
          <w:sz w:val="24"/>
          <w:szCs w:val="24"/>
        </w:rPr>
        <w:t xml:space="preserve">These costs were calculated using the annual salary of a GS-13, step 5 reviewer in the Pennsylvania </w:t>
      </w:r>
      <w:r w:rsidRPr="00AC550B" w:rsidR="00B40A14">
        <w:rPr>
          <w:sz w:val="24"/>
          <w:szCs w:val="24"/>
        </w:rPr>
        <w:t>CMS Location</w:t>
      </w:r>
      <w:r w:rsidRPr="00C23572">
        <w:rPr>
          <w:sz w:val="24"/>
          <w:szCs w:val="24"/>
        </w:rPr>
        <w:t xml:space="preserve">, which is $108,899, and which equates to an average hourly salary of $52.18.  </w:t>
      </w:r>
      <w:r w:rsidR="008619EF">
        <w:rPr>
          <w:sz w:val="24"/>
          <w:szCs w:val="24"/>
        </w:rPr>
        <w:t xml:space="preserve">It takes the </w:t>
      </w:r>
      <w:r w:rsidRPr="00AC550B" w:rsidR="00B40A14">
        <w:rPr>
          <w:sz w:val="24"/>
          <w:szCs w:val="24"/>
        </w:rPr>
        <w:t>CMS Location</w:t>
      </w:r>
      <w:r w:rsidR="00B40A14">
        <w:rPr>
          <w:sz w:val="24"/>
          <w:szCs w:val="24"/>
        </w:rPr>
        <w:t xml:space="preserve"> </w:t>
      </w:r>
      <w:r w:rsidRPr="00C23572">
        <w:rPr>
          <w:sz w:val="24"/>
          <w:szCs w:val="24"/>
        </w:rPr>
        <w:t>30 min</w:t>
      </w:r>
      <w:r w:rsidR="008619EF">
        <w:rPr>
          <w:sz w:val="24"/>
          <w:szCs w:val="24"/>
        </w:rPr>
        <w:t xml:space="preserve"> to review at a rate of $26.09 (.5</w:t>
      </w:r>
      <w:r w:rsidRPr="00C23572">
        <w:rPr>
          <w:sz w:val="24"/>
          <w:szCs w:val="24"/>
        </w:rPr>
        <w:t xml:space="preserve"> x $52.18 per hour</w:t>
      </w:r>
      <w:r w:rsidR="00B44FD9">
        <w:rPr>
          <w:sz w:val="24"/>
          <w:szCs w:val="24"/>
        </w:rPr>
        <w:t>).</w:t>
      </w:r>
      <w:r w:rsidRPr="00C23572">
        <w:rPr>
          <w:sz w:val="24"/>
          <w:szCs w:val="24"/>
        </w:rPr>
        <w:t xml:space="preserve"> </w:t>
      </w:r>
      <w:r w:rsidR="00B922E3">
        <w:rPr>
          <w:sz w:val="24"/>
          <w:szCs w:val="24"/>
        </w:rPr>
        <w:t xml:space="preserve">The total cost is </w:t>
      </w:r>
      <w:r w:rsidR="00A70767">
        <w:rPr>
          <w:sz w:val="24"/>
          <w:szCs w:val="24"/>
        </w:rPr>
        <w:t>$</w:t>
      </w:r>
      <w:r w:rsidR="00B44FD9">
        <w:rPr>
          <w:sz w:val="24"/>
          <w:szCs w:val="24"/>
        </w:rPr>
        <w:t>81,897</w:t>
      </w:r>
      <w:r w:rsidR="00B922E3">
        <w:rPr>
          <w:sz w:val="24"/>
          <w:szCs w:val="24"/>
        </w:rPr>
        <w:t xml:space="preserve"> (</w:t>
      </w:r>
      <w:r w:rsidR="008619EF">
        <w:rPr>
          <w:sz w:val="24"/>
          <w:szCs w:val="24"/>
        </w:rPr>
        <w:t>$26.09</w:t>
      </w:r>
      <w:r w:rsidR="00936087">
        <w:rPr>
          <w:sz w:val="24"/>
          <w:szCs w:val="24"/>
        </w:rPr>
        <w:t xml:space="preserve"> X</w:t>
      </w:r>
      <w:r w:rsidR="00A70767">
        <w:rPr>
          <w:sz w:val="24"/>
          <w:szCs w:val="24"/>
        </w:rPr>
        <w:t xml:space="preserve"> </w:t>
      </w:r>
      <w:r w:rsidR="00B44FD9">
        <w:rPr>
          <w:sz w:val="24"/>
          <w:szCs w:val="24"/>
        </w:rPr>
        <w:t>3,139</w:t>
      </w:r>
      <w:r w:rsidR="00B922E3">
        <w:rPr>
          <w:sz w:val="24"/>
          <w:szCs w:val="24"/>
        </w:rPr>
        <w:t xml:space="preserve"> forms)</w:t>
      </w:r>
      <w:r w:rsidR="00975E39">
        <w:rPr>
          <w:sz w:val="24"/>
          <w:szCs w:val="24"/>
        </w:rPr>
        <w:t>.</w:t>
      </w:r>
    </w:p>
    <w:p w:rsidRPr="00C23572" w:rsidR="00690E3A" w:rsidP="00690E3A" w:rsidRDefault="00690E3A">
      <w:pPr>
        <w:pStyle w:val="CommentText"/>
        <w:rPr>
          <w:sz w:val="24"/>
          <w:szCs w:val="24"/>
        </w:rPr>
      </w:pPr>
    </w:p>
    <w:bookmarkEnd w:id="3"/>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bookmarkStart w:name="_Hlk50617392" w:id="4"/>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bookmarkEnd w:id="4"/>
    <w:p w:rsidR="001931B6" w:rsidRDefault="00531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is a new information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65A20" w:rsidP="00AD779C" w:rsidRDefault="00FE646B">
      <w:pPr>
        <w:tabs>
          <w:tab w:val="left" w:pos="0"/>
          <w:tab w:val="left" w:pos="432"/>
          <w:tab w:val="left" w:pos="720"/>
          <w:tab w:val="left" w:pos="1440"/>
          <w:tab w:val="left" w:pos="2160"/>
          <w:tab w:val="left" w:pos="2880"/>
          <w:tab w:val="left" w:pos="6480"/>
        </w:tabs>
        <w:rPr>
          <w:sz w:val="24"/>
        </w:rPr>
      </w:pPr>
      <w:r>
        <w:rPr>
          <w:sz w:val="24"/>
        </w:rPr>
        <w:t xml:space="preserve">       </w:t>
      </w:r>
      <w:r w:rsidR="005314D5">
        <w:rPr>
          <w:sz w:val="24"/>
        </w:rPr>
        <w:t xml:space="preserve">There will be no publication. </w:t>
      </w:r>
      <w:r w:rsidR="00690E3A">
        <w:rPr>
          <w:sz w:val="24"/>
        </w:rPr>
        <w:tab/>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C65A20" w:rsidRDefault="005314D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rPr>
          <w:sz w:val="24"/>
        </w:rPr>
        <w:t>CMS will display the expiration date on the collection instrument</w:t>
      </w:r>
      <w:r w:rsidR="00FE646B">
        <w:rPr>
          <w:sz w:val="24"/>
        </w:rPr>
        <w:t>.</w:t>
      </w:r>
    </w:p>
    <w:p w:rsidR="00690E3A" w:rsidRDefault="00690E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B590E" w:rsidRDefault="003B59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There are no exceptions.</w:t>
      </w:r>
    </w:p>
    <w:p w:rsidR="00B36A2A" w:rsidRDefault="00B36A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B36A2A" w:rsidRDefault="00B36A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00FE646B" w:rsidRDefault="000F3AF4">
      <w:pPr>
        <w:widowControl/>
        <w:autoSpaceDE/>
        <w:autoSpaceDN/>
        <w:adjustRightInd/>
        <w:spacing w:before="100" w:beforeAutospacing="1" w:after="100" w:afterAutospacing="1"/>
        <w:rPr>
          <w:b/>
          <w:bCs/>
          <w:sz w:val="24"/>
          <w:u w:val="single"/>
        </w:rPr>
      </w:pPr>
    </w:p>
    <w:sectPr w:rsidR="000F3AF4" w:rsidSect="00B16C0F">
      <w:footerReference w:type="default" r:id="rId10"/>
      <w:endnotePr>
        <w:numFmt w:val="decimal"/>
      </w:endnotePr>
      <w:type w:val="continuous"/>
      <w:pgSz w:w="12240" w:h="15840"/>
      <w:pgMar w:top="720" w:right="1296" w:bottom="72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453" w:rsidRDefault="00EB7453">
      <w:r>
        <w:separator/>
      </w:r>
    </w:p>
  </w:endnote>
  <w:endnote w:type="continuationSeparator" w:id="0">
    <w:p w:rsidR="00EB7453" w:rsidRDefault="00EB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37" w:rsidRDefault="00690F37">
    <w:pPr>
      <w:spacing w:line="240" w:lineRule="exact"/>
    </w:pPr>
  </w:p>
  <w:p w:rsidR="00690F37" w:rsidRDefault="00690F3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A798A">
      <w:rPr>
        <w:noProof/>
        <w:sz w:val="24"/>
      </w:rPr>
      <w:t>7</w:t>
    </w:r>
    <w:r>
      <w:rPr>
        <w:sz w:val="24"/>
      </w:rPr>
      <w:fldChar w:fldCharType="end"/>
    </w:r>
  </w:p>
  <w:p w:rsidR="00690F37" w:rsidRDefault="00690F3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453" w:rsidRDefault="00EB7453">
      <w:r>
        <w:separator/>
      </w:r>
    </w:p>
  </w:footnote>
  <w:footnote w:type="continuationSeparator" w:id="0">
    <w:p w:rsidR="00EB7453" w:rsidRDefault="00EB7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991"/>
    <w:multiLevelType w:val="multilevel"/>
    <w:tmpl w:val="FF309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C462A"/>
    <w:multiLevelType w:val="multilevel"/>
    <w:tmpl w:val="12943E6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12C37831"/>
    <w:multiLevelType w:val="multilevel"/>
    <w:tmpl w:val="5DE232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16683B2F"/>
    <w:multiLevelType w:val="hybridMultilevel"/>
    <w:tmpl w:val="6174FD6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22C10251"/>
    <w:multiLevelType w:val="multilevel"/>
    <w:tmpl w:val="21DAF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816DF"/>
    <w:multiLevelType w:val="hybridMultilevel"/>
    <w:tmpl w:val="FFE24B52"/>
    <w:lvl w:ilvl="0" w:tplc="04090001">
      <w:start w:val="1"/>
      <w:numFmt w:val="bullet"/>
      <w:lvlText w:val=""/>
      <w:lvlJc w:val="left"/>
      <w:pPr>
        <w:ind w:left="1152" w:hanging="360"/>
      </w:pPr>
      <w:rPr>
        <w:rFonts w:ascii="Symbol" w:hAnsi="Symbol" w:hint="default"/>
      </w:rPr>
    </w:lvl>
    <w:lvl w:ilvl="1" w:tplc="096A8726">
      <w:numFmt w:val="bullet"/>
      <w:lvlText w:val="-"/>
      <w:lvlJc w:val="left"/>
      <w:pPr>
        <w:ind w:left="1872" w:hanging="360"/>
      </w:pPr>
      <w:rPr>
        <w:rFonts w:ascii="Times New Roman" w:eastAsia="Times New Roman"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2C7532A9"/>
    <w:multiLevelType w:val="multilevel"/>
    <w:tmpl w:val="8A2E8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B5B3B"/>
    <w:multiLevelType w:val="multilevel"/>
    <w:tmpl w:val="824A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20DAB"/>
    <w:multiLevelType w:val="multilevel"/>
    <w:tmpl w:val="169EEBE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40C206F8"/>
    <w:multiLevelType w:val="hybridMultilevel"/>
    <w:tmpl w:val="1DB2BEEA"/>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0" w15:restartNumberingAfterBreak="0">
    <w:nsid w:val="5A152DF0"/>
    <w:multiLevelType w:val="multilevel"/>
    <w:tmpl w:val="FD58E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4754FA"/>
    <w:multiLevelType w:val="multilevel"/>
    <w:tmpl w:val="7690F22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74E70AE3"/>
    <w:multiLevelType w:val="hybridMultilevel"/>
    <w:tmpl w:val="EB0CBFAC"/>
    <w:lvl w:ilvl="0" w:tplc="9504469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7DEC109D"/>
    <w:multiLevelType w:val="multilevel"/>
    <w:tmpl w:val="1A98B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lvlOverride w:ilvl="3"/>
    <w:lvlOverride w:ilvl="4"/>
    <w:lvlOverride w:ilvl="5"/>
    <w:lvlOverride w:ilvl="6"/>
    <w:lvlOverride w:ilvl="7"/>
    <w:lvlOverride w:ilvl="8"/>
  </w:num>
  <w:num w:numId="3">
    <w:abstractNumId w:val="7"/>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1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62C0E"/>
    <w:rsid w:val="000664B5"/>
    <w:rsid w:val="000751A4"/>
    <w:rsid w:val="00083912"/>
    <w:rsid w:val="000A2827"/>
    <w:rsid w:val="000C668A"/>
    <w:rsid w:val="000E089D"/>
    <w:rsid w:val="000F3AF4"/>
    <w:rsid w:val="000F663A"/>
    <w:rsid w:val="000F6ADB"/>
    <w:rsid w:val="00101F30"/>
    <w:rsid w:val="00122893"/>
    <w:rsid w:val="00156D90"/>
    <w:rsid w:val="001576F4"/>
    <w:rsid w:val="001675A7"/>
    <w:rsid w:val="001931B6"/>
    <w:rsid w:val="00193582"/>
    <w:rsid w:val="001A166C"/>
    <w:rsid w:val="001C3552"/>
    <w:rsid w:val="001C613D"/>
    <w:rsid w:val="001E4EE4"/>
    <w:rsid w:val="001E7AD5"/>
    <w:rsid w:val="001F15A5"/>
    <w:rsid w:val="00225C8C"/>
    <w:rsid w:val="0023034F"/>
    <w:rsid w:val="00250694"/>
    <w:rsid w:val="0029235E"/>
    <w:rsid w:val="002965E0"/>
    <w:rsid w:val="002966A3"/>
    <w:rsid w:val="002E2AB6"/>
    <w:rsid w:val="002E63A2"/>
    <w:rsid w:val="003333AC"/>
    <w:rsid w:val="003639DB"/>
    <w:rsid w:val="0037109F"/>
    <w:rsid w:val="0037352E"/>
    <w:rsid w:val="00381CA0"/>
    <w:rsid w:val="003B590E"/>
    <w:rsid w:val="003C16AA"/>
    <w:rsid w:val="003C3280"/>
    <w:rsid w:val="003D7E06"/>
    <w:rsid w:val="003E0687"/>
    <w:rsid w:val="003E0DAC"/>
    <w:rsid w:val="003E5DD5"/>
    <w:rsid w:val="004023E8"/>
    <w:rsid w:val="004169E9"/>
    <w:rsid w:val="00442E3C"/>
    <w:rsid w:val="00493312"/>
    <w:rsid w:val="00494C08"/>
    <w:rsid w:val="004A2573"/>
    <w:rsid w:val="005022FB"/>
    <w:rsid w:val="005314D5"/>
    <w:rsid w:val="005701D4"/>
    <w:rsid w:val="005A536F"/>
    <w:rsid w:val="005B7673"/>
    <w:rsid w:val="005D01AF"/>
    <w:rsid w:val="005D62A2"/>
    <w:rsid w:val="005E32E8"/>
    <w:rsid w:val="005F1C95"/>
    <w:rsid w:val="00600D16"/>
    <w:rsid w:val="0060720C"/>
    <w:rsid w:val="00610ABF"/>
    <w:rsid w:val="006142DB"/>
    <w:rsid w:val="00627383"/>
    <w:rsid w:val="00630B10"/>
    <w:rsid w:val="00632325"/>
    <w:rsid w:val="006348AF"/>
    <w:rsid w:val="00636F01"/>
    <w:rsid w:val="006473F1"/>
    <w:rsid w:val="00665F48"/>
    <w:rsid w:val="00671600"/>
    <w:rsid w:val="00682330"/>
    <w:rsid w:val="00690E3A"/>
    <w:rsid w:val="00690F37"/>
    <w:rsid w:val="006C23D6"/>
    <w:rsid w:val="006D575A"/>
    <w:rsid w:val="006F7AE5"/>
    <w:rsid w:val="0074773A"/>
    <w:rsid w:val="0075109E"/>
    <w:rsid w:val="007735EF"/>
    <w:rsid w:val="00797516"/>
    <w:rsid w:val="007A798A"/>
    <w:rsid w:val="007B71BC"/>
    <w:rsid w:val="007F07C0"/>
    <w:rsid w:val="008158F5"/>
    <w:rsid w:val="00832FB2"/>
    <w:rsid w:val="00842B7E"/>
    <w:rsid w:val="008619EF"/>
    <w:rsid w:val="00870D59"/>
    <w:rsid w:val="00895DFE"/>
    <w:rsid w:val="008C250E"/>
    <w:rsid w:val="008F1EB4"/>
    <w:rsid w:val="008F2E1A"/>
    <w:rsid w:val="00906752"/>
    <w:rsid w:val="00906C04"/>
    <w:rsid w:val="00906C15"/>
    <w:rsid w:val="0092741A"/>
    <w:rsid w:val="0093471B"/>
    <w:rsid w:val="00936087"/>
    <w:rsid w:val="00947E24"/>
    <w:rsid w:val="00966341"/>
    <w:rsid w:val="00975E39"/>
    <w:rsid w:val="009B2459"/>
    <w:rsid w:val="009C5AAC"/>
    <w:rsid w:val="009F01AA"/>
    <w:rsid w:val="00A66DA1"/>
    <w:rsid w:val="00A67BEE"/>
    <w:rsid w:val="00A70767"/>
    <w:rsid w:val="00A73DA8"/>
    <w:rsid w:val="00A7782A"/>
    <w:rsid w:val="00A87F9E"/>
    <w:rsid w:val="00A97AF4"/>
    <w:rsid w:val="00AB51BD"/>
    <w:rsid w:val="00AC550B"/>
    <w:rsid w:val="00AD49AE"/>
    <w:rsid w:val="00AD779C"/>
    <w:rsid w:val="00AE58CD"/>
    <w:rsid w:val="00AE7DE1"/>
    <w:rsid w:val="00B0466F"/>
    <w:rsid w:val="00B07467"/>
    <w:rsid w:val="00B12126"/>
    <w:rsid w:val="00B16C0F"/>
    <w:rsid w:val="00B16D39"/>
    <w:rsid w:val="00B259D1"/>
    <w:rsid w:val="00B36A2A"/>
    <w:rsid w:val="00B40A14"/>
    <w:rsid w:val="00B44FD9"/>
    <w:rsid w:val="00B85319"/>
    <w:rsid w:val="00B922E3"/>
    <w:rsid w:val="00BB0BDD"/>
    <w:rsid w:val="00BB4A37"/>
    <w:rsid w:val="00BD75FB"/>
    <w:rsid w:val="00BE2942"/>
    <w:rsid w:val="00BE3801"/>
    <w:rsid w:val="00BF43C2"/>
    <w:rsid w:val="00C23572"/>
    <w:rsid w:val="00C40E5A"/>
    <w:rsid w:val="00C65A20"/>
    <w:rsid w:val="00C811BC"/>
    <w:rsid w:val="00C94811"/>
    <w:rsid w:val="00CC66CD"/>
    <w:rsid w:val="00D050CA"/>
    <w:rsid w:val="00D271F3"/>
    <w:rsid w:val="00D34CB8"/>
    <w:rsid w:val="00D54572"/>
    <w:rsid w:val="00D97F10"/>
    <w:rsid w:val="00DC20F1"/>
    <w:rsid w:val="00DD097C"/>
    <w:rsid w:val="00DD546B"/>
    <w:rsid w:val="00DF6803"/>
    <w:rsid w:val="00E543F6"/>
    <w:rsid w:val="00E55440"/>
    <w:rsid w:val="00E611D5"/>
    <w:rsid w:val="00E704F6"/>
    <w:rsid w:val="00E71A88"/>
    <w:rsid w:val="00E72A3D"/>
    <w:rsid w:val="00E7566D"/>
    <w:rsid w:val="00E92674"/>
    <w:rsid w:val="00EB7453"/>
    <w:rsid w:val="00F12359"/>
    <w:rsid w:val="00F15E13"/>
    <w:rsid w:val="00F466C9"/>
    <w:rsid w:val="00F763D7"/>
    <w:rsid w:val="00F82C86"/>
    <w:rsid w:val="00FA2758"/>
    <w:rsid w:val="00FD0FD6"/>
    <w:rsid w:val="00FD1135"/>
    <w:rsid w:val="00FD1BCE"/>
    <w:rsid w:val="00FE6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840FB75-B3BD-45C8-B013-AE2926C6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emiHidden/>
  </w:style>
  <w:style w:type="paragraph" w:styleId="BalloonText">
    <w:name w:val="Balloon Text"/>
    <w:basedOn w:val="Normal"/>
    <w:link w:val="BalloonTextChar"/>
    <w:rsid w:val="007735EF"/>
    <w:rPr>
      <w:rFonts w:ascii="Segoe UI" w:hAnsi="Segoe UI" w:cs="Segoe UI"/>
      <w:sz w:val="18"/>
      <w:szCs w:val="18"/>
    </w:rPr>
  </w:style>
  <w:style w:type="character" w:customStyle="1" w:styleId="BalloonTextChar">
    <w:name w:val="Balloon Text Char"/>
    <w:link w:val="BalloonText"/>
    <w:rsid w:val="007735EF"/>
    <w:rPr>
      <w:rFonts w:ascii="Segoe UI" w:hAnsi="Segoe UI" w:cs="Segoe UI"/>
      <w:sz w:val="18"/>
      <w:szCs w:val="18"/>
    </w:rPr>
  </w:style>
  <w:style w:type="character" w:styleId="CommentReference">
    <w:name w:val="annotation reference"/>
    <w:rsid w:val="00797516"/>
    <w:rPr>
      <w:sz w:val="16"/>
      <w:szCs w:val="16"/>
    </w:rPr>
  </w:style>
  <w:style w:type="paragraph" w:styleId="CommentText">
    <w:name w:val="annotation text"/>
    <w:aliases w:val="t"/>
    <w:basedOn w:val="Normal"/>
    <w:link w:val="CommentTextChar"/>
    <w:uiPriority w:val="99"/>
    <w:qFormat/>
    <w:rsid w:val="00797516"/>
    <w:rPr>
      <w:szCs w:val="20"/>
    </w:rPr>
  </w:style>
  <w:style w:type="character" w:customStyle="1" w:styleId="CommentTextChar">
    <w:name w:val="Comment Text Char"/>
    <w:basedOn w:val="DefaultParagraphFont"/>
    <w:link w:val="CommentText"/>
    <w:rsid w:val="00797516"/>
  </w:style>
  <w:style w:type="paragraph" w:styleId="CommentSubject">
    <w:name w:val="annotation subject"/>
    <w:basedOn w:val="CommentText"/>
    <w:next w:val="CommentText"/>
    <w:link w:val="CommentSubjectChar"/>
    <w:rsid w:val="00797516"/>
    <w:rPr>
      <w:b/>
      <w:bCs/>
    </w:rPr>
  </w:style>
  <w:style w:type="character" w:customStyle="1" w:styleId="CommentSubjectChar">
    <w:name w:val="Comment Subject Char"/>
    <w:link w:val="CommentSubject"/>
    <w:rsid w:val="00797516"/>
    <w:rPr>
      <w:b/>
      <w:bCs/>
    </w:rPr>
  </w:style>
  <w:style w:type="character" w:styleId="Hyperlink">
    <w:name w:val="Hyperlink"/>
    <w:uiPriority w:val="99"/>
    <w:unhideWhenUsed/>
    <w:rsid w:val="00690E3A"/>
    <w:rPr>
      <w:color w:val="0563C1"/>
      <w:u w:val="single"/>
    </w:rPr>
  </w:style>
  <w:style w:type="paragraph" w:styleId="FootnoteText">
    <w:name w:val="footnote text"/>
    <w:basedOn w:val="Normal"/>
    <w:link w:val="FootnoteTextChar"/>
    <w:uiPriority w:val="99"/>
    <w:unhideWhenUsed/>
    <w:rsid w:val="00690E3A"/>
    <w:pPr>
      <w:widowControl/>
      <w:autoSpaceDE/>
      <w:autoSpaceDN/>
      <w:adjustRightInd/>
    </w:pPr>
    <w:rPr>
      <w:szCs w:val="20"/>
    </w:rPr>
  </w:style>
  <w:style w:type="character" w:customStyle="1" w:styleId="FootnoteTextChar">
    <w:name w:val="Footnote Text Char"/>
    <w:basedOn w:val="DefaultParagraphFont"/>
    <w:link w:val="FootnoteText"/>
    <w:uiPriority w:val="99"/>
    <w:rsid w:val="00690E3A"/>
  </w:style>
  <w:style w:type="paragraph" w:styleId="Revision">
    <w:name w:val="Revision"/>
    <w:hidden/>
    <w:uiPriority w:val="99"/>
    <w:semiHidden/>
    <w:rsid w:val="00636F01"/>
    <w:rPr>
      <w:szCs w:val="24"/>
    </w:rPr>
  </w:style>
  <w:style w:type="character" w:customStyle="1" w:styleId="UnresolvedMention">
    <w:name w:val="Unresolved Mention"/>
    <w:uiPriority w:val="99"/>
    <w:semiHidden/>
    <w:unhideWhenUsed/>
    <w:rsid w:val="00FD1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727502">
      <w:bodyDiv w:val="1"/>
      <w:marLeft w:val="0"/>
      <w:marRight w:val="0"/>
      <w:marTop w:val="0"/>
      <w:marBottom w:val="0"/>
      <w:divBdr>
        <w:top w:val="none" w:sz="0" w:space="0" w:color="auto"/>
        <w:left w:val="none" w:sz="0" w:space="0" w:color="auto"/>
        <w:bottom w:val="none" w:sz="0" w:space="0" w:color="auto"/>
        <w:right w:val="none" w:sz="0" w:space="0" w:color="auto"/>
      </w:divBdr>
    </w:div>
    <w:div w:id="1276903522">
      <w:bodyDiv w:val="1"/>
      <w:marLeft w:val="0"/>
      <w:marRight w:val="0"/>
      <w:marTop w:val="0"/>
      <w:marBottom w:val="0"/>
      <w:divBdr>
        <w:top w:val="none" w:sz="0" w:space="0" w:color="auto"/>
        <w:left w:val="none" w:sz="0" w:space="0" w:color="auto"/>
        <w:bottom w:val="none" w:sz="0" w:space="0" w:color="auto"/>
        <w:right w:val="none" w:sz="0" w:space="0" w:color="auto"/>
      </w:divBdr>
    </w:div>
    <w:div w:id="128642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s://www.cms.gov/Medicare/Provider-Enrollment-and-Certification/SurveyCertEmergPrep/1135-Waiv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news.release/ecec.t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15951</CharactersWithSpaces>
  <SharedDoc>false</SharedDoc>
  <HLinks>
    <vt:vector size="18" baseType="variant">
      <vt:variant>
        <vt:i4>131077</vt:i4>
      </vt:variant>
      <vt:variant>
        <vt:i4>6</vt:i4>
      </vt:variant>
      <vt:variant>
        <vt:i4>0</vt:i4>
      </vt:variant>
      <vt:variant>
        <vt:i4>5</vt:i4>
      </vt:variant>
      <vt:variant>
        <vt:lpwstr>https://www.bls.gov/news.release/ecec.t02.htm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2687075</vt:i4>
      </vt:variant>
      <vt:variant>
        <vt:i4>0</vt:i4>
      </vt:variant>
      <vt:variant>
        <vt:i4>0</vt:i4>
      </vt:variant>
      <vt:variant>
        <vt:i4>5</vt:i4>
      </vt:variant>
      <vt:variant>
        <vt:lpwstr>https://www.cms.gov/Medicare/Provider-Enrollment-and-Certification/SurveyCertEmergPrep/1135-Waivers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Denise King</cp:lastModifiedBy>
  <cp:revision>2</cp:revision>
  <cp:lastPrinted>2020-10-06T12:48:00Z</cp:lastPrinted>
  <dcterms:created xsi:type="dcterms:W3CDTF">2020-10-08T16:02:00Z</dcterms:created>
  <dcterms:modified xsi:type="dcterms:W3CDTF">2020-10-08T16:02:00Z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