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9CC" w:rsidRDefault="004D7BD5">
      <w:pPr>
        <w:pStyle w:val="BodyText"/>
        <w:spacing w:before="86" w:line="259" w:lineRule="auto"/>
        <w:ind w:left="223" w:right="122"/>
        <w:jc w:val="center"/>
      </w:pPr>
      <w:r>
        <w:t>Supporting Statement for the State Medicaid Eligibility Quality Control (MEQC) Case Review and Reports of Findings and Supporting Regulations at 42 CFR 431.800 – 431.820</w:t>
      </w:r>
    </w:p>
    <w:p w:rsidR="00D869CC" w:rsidRDefault="004D7BD5">
      <w:pPr>
        <w:pStyle w:val="BodyText"/>
        <w:spacing w:before="159"/>
        <w:ind w:left="1972"/>
      </w:pPr>
      <w:r>
        <w:t>(CMS-319/OMB control number: 0938-0147)</w:t>
      </w:r>
    </w:p>
    <w:p w:rsidR="00D869CC" w:rsidRDefault="00D869CC">
      <w:pPr>
        <w:pStyle w:val="BodyText"/>
        <w:rPr>
          <w:sz w:val="26"/>
        </w:rPr>
      </w:pPr>
    </w:p>
    <w:p w:rsidR="00D869CC" w:rsidRDefault="00D869CC">
      <w:pPr>
        <w:pStyle w:val="BodyText"/>
        <w:rPr>
          <w:sz w:val="30"/>
        </w:rPr>
      </w:pPr>
    </w:p>
    <w:p w:rsidR="00D869CC" w:rsidRDefault="004D7BD5">
      <w:pPr>
        <w:pStyle w:val="ListParagraph"/>
        <w:numPr>
          <w:ilvl w:val="0"/>
          <w:numId w:val="1"/>
        </w:numPr>
        <w:tabs>
          <w:tab w:val="left" w:pos="819"/>
          <w:tab w:val="left" w:pos="820"/>
        </w:tabs>
        <w:spacing w:before="1"/>
        <w:rPr>
          <w:sz w:val="24"/>
          <w:u w:val="none"/>
        </w:rPr>
      </w:pPr>
      <w:r>
        <w:rPr>
          <w:sz w:val="24"/>
        </w:rPr>
        <w:t>Background</w:t>
      </w:r>
    </w:p>
    <w:p w:rsidR="00D869CC" w:rsidRDefault="004D7BD5">
      <w:pPr>
        <w:pStyle w:val="BodyText"/>
        <w:tabs>
          <w:tab w:val="left" w:pos="3843"/>
          <w:tab w:val="left" w:pos="4275"/>
        </w:tabs>
        <w:spacing w:before="181" w:line="259" w:lineRule="auto"/>
        <w:ind w:left="100" w:right="143"/>
      </w:pPr>
      <w:r>
        <w:t>The Medicaid Eligibility Quality Control (MEQC) program</w:t>
      </w:r>
      <w:r>
        <w:rPr>
          <w:spacing w:val="-21"/>
        </w:rPr>
        <w:t xml:space="preserve"> </w:t>
      </w:r>
      <w:r>
        <w:t>provides states and the District of Columbia (hereinafter, “states”) a unique opportunity to improve the quality and accuracy of their Medicaid and Children’s Health Insurance Program (CHIP) eligibili</w:t>
      </w:r>
      <w:r>
        <w:t>ty</w:t>
      </w:r>
      <w:r>
        <w:rPr>
          <w:spacing w:val="-2"/>
        </w:rPr>
        <w:t xml:space="preserve"> </w:t>
      </w:r>
      <w:r>
        <w:t>determinations.</w:t>
      </w:r>
      <w:r>
        <w:tab/>
        <w:t>The MEQC program is intended to complement the Payment Error Rate Measurement (PERM) program by ensuring state operations make accurate and timely eligibility determinations so that Medicaid and CHIP services are appropriately provided t</w:t>
      </w:r>
      <w:r>
        <w:t>o eligible individuals. Current regulations require that states review equal numbers of active cases and negative case actions (i.e., denials and</w:t>
      </w:r>
      <w:r>
        <w:rPr>
          <w:spacing w:val="-21"/>
        </w:rPr>
        <w:t xml:space="preserve"> </w:t>
      </w:r>
      <w:r>
        <w:t>terminations) through</w:t>
      </w:r>
      <w:r>
        <w:rPr>
          <w:spacing w:val="-2"/>
        </w:rPr>
        <w:t xml:space="preserve"> </w:t>
      </w:r>
      <w:r>
        <w:t>random</w:t>
      </w:r>
      <w:r>
        <w:rPr>
          <w:spacing w:val="-1"/>
        </w:rPr>
        <w:t xml:space="preserve"> </w:t>
      </w:r>
      <w:r>
        <w:t>sampling.</w:t>
      </w:r>
      <w:r>
        <w:tab/>
        <w:t>Active case reviews are conducted to determine whether or not the sampl</w:t>
      </w:r>
      <w:r>
        <w:t>ed cases meet all current criteria and requirements for Medicaid or CHIP</w:t>
      </w:r>
      <w:r>
        <w:rPr>
          <w:spacing w:val="-8"/>
        </w:rPr>
        <w:t xml:space="preserve"> </w:t>
      </w:r>
      <w:r>
        <w:t>eligibility.</w:t>
      </w:r>
    </w:p>
    <w:p w:rsidR="00D869CC" w:rsidRDefault="004D7BD5">
      <w:pPr>
        <w:pStyle w:val="BodyText"/>
        <w:spacing w:line="259" w:lineRule="auto"/>
        <w:ind w:left="100" w:right="143"/>
        <w:jc w:val="both"/>
      </w:pPr>
      <w:r>
        <w:t xml:space="preserve">Negative case reviews are conducted to determine if Medicaid </w:t>
      </w:r>
      <w:r>
        <w:rPr>
          <w:spacing w:val="-4"/>
        </w:rPr>
        <w:t xml:space="preserve">and </w:t>
      </w:r>
      <w:r>
        <w:t xml:space="preserve">CHIP denials and terminations were appropriate and undertaken </w:t>
      </w:r>
      <w:r>
        <w:rPr>
          <w:spacing w:val="-6"/>
        </w:rPr>
        <w:t xml:space="preserve">in </w:t>
      </w:r>
      <w:r>
        <w:t>accordance with due process.</w:t>
      </w:r>
    </w:p>
    <w:p w:rsidR="00D869CC" w:rsidRDefault="004D7BD5">
      <w:pPr>
        <w:pStyle w:val="BodyText"/>
        <w:tabs>
          <w:tab w:val="left" w:pos="4275"/>
        </w:tabs>
        <w:spacing w:before="157" w:line="259" w:lineRule="auto"/>
        <w:ind w:left="100" w:right="143"/>
        <w:rPr>
          <w:sz w:val="16"/>
        </w:rPr>
      </w:pPr>
      <w:r>
        <w:t>Section 601</w:t>
      </w:r>
      <w:r>
        <w:t>(e) of the Children's Health Insurance Program Reauthorization Act of 2009 (CHIPRA) (Pub. L. 111-3) required harmonization of the MEQC and PERM programs’ eligibility review requirements to improve coordination of the two programs, decrease duplicate effort</w:t>
      </w:r>
      <w:r>
        <w:t>s, and minimize state burden. In an effort to further harmonize the MEQC and PERM programs and orient states to the new eligibility determination regulations under the Affordable Care Act (ACA), CMS had states conduct a series of five (5) eligibility pilot</w:t>
      </w:r>
      <w:r>
        <w:t>s over the period of FY</w:t>
      </w:r>
      <w:r>
        <w:rPr>
          <w:spacing w:val="-13"/>
        </w:rPr>
        <w:t xml:space="preserve"> </w:t>
      </w:r>
      <w:r>
        <w:t>2015 to FY 2018. During this time the eligibility component of the PERM program</w:t>
      </w:r>
      <w:r>
        <w:rPr>
          <w:spacing w:val="-3"/>
        </w:rPr>
        <w:t xml:space="preserve"> </w:t>
      </w:r>
      <w:r>
        <w:t>was</w:t>
      </w:r>
      <w:r>
        <w:rPr>
          <w:spacing w:val="-1"/>
        </w:rPr>
        <w:t xml:space="preserve"> </w:t>
      </w:r>
      <w:r>
        <w:t>suspended.</w:t>
      </w:r>
      <w:r>
        <w:tab/>
        <w:t>As the eligibility pilots were drawing to a close, CMS issued a final rule revising the MEQC program by formalizing the MEQC pilot proces</w:t>
      </w:r>
      <w:r>
        <w:t>s. The rule was published in the July 5, 2017 edition of the Federal</w:t>
      </w:r>
      <w:r>
        <w:rPr>
          <w:spacing w:val="-3"/>
        </w:rPr>
        <w:t xml:space="preserve"> </w:t>
      </w:r>
      <w:r>
        <w:t>Register.</w:t>
      </w:r>
      <w:hyperlink w:history="1" w:anchor="_bookmark0">
        <w:r>
          <w:rPr>
            <w:position w:val="6"/>
            <w:sz w:val="16"/>
          </w:rPr>
          <w:t>1</w:t>
        </w:r>
      </w:hyperlink>
    </w:p>
    <w:p w:rsidR="00D869CC" w:rsidRDefault="00D869CC">
      <w:pPr>
        <w:pStyle w:val="BodyText"/>
        <w:rPr>
          <w:sz w:val="20"/>
        </w:rPr>
      </w:pPr>
    </w:p>
    <w:p w:rsidR="00D869CC" w:rsidRDefault="00D869CC">
      <w:pPr>
        <w:pStyle w:val="BodyText"/>
        <w:rPr>
          <w:sz w:val="20"/>
        </w:rPr>
      </w:pPr>
    </w:p>
    <w:p w:rsidR="00D869CC" w:rsidRDefault="004D7BD5">
      <w:pPr>
        <w:pStyle w:val="BodyText"/>
        <w:spacing w:before="6"/>
        <w:rPr>
          <w:sz w:val="17"/>
        </w:rPr>
      </w:pPr>
      <w:r>
        <w:rPr>
          <w:noProof/>
          <w:lang w:bidi="ar-SA"/>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156210</wp:posOffset>
                </wp:positionV>
                <wp:extent cx="1828800" cy="0"/>
                <wp:effectExtent l="9525" t="7620" r="9525"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1in,12.3pt" to="3in,12.3pt" w14:anchorId="16F9B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O0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">
                <w10:wrap type="topAndBottom" anchorx="page"/>
              </v:line>
            </w:pict>
          </mc:Fallback>
        </mc:AlternateContent>
      </w:r>
    </w:p>
    <w:p w:rsidR="00D869CC" w:rsidRDefault="004D7BD5">
      <w:pPr>
        <w:spacing w:before="67"/>
        <w:ind w:left="100" w:right="114"/>
        <w:rPr>
          <w:rFonts w:ascii="Calibri"/>
          <w:sz w:val="20"/>
        </w:rPr>
      </w:pPr>
      <w:bookmarkStart w:name="_bookmark0" w:id="0"/>
      <w:bookmarkEnd w:id="0"/>
      <w:r>
        <w:rPr>
          <w:rFonts w:ascii="Calibri"/>
          <w:position w:val="7"/>
          <w:sz w:val="13"/>
        </w:rPr>
        <w:t xml:space="preserve">1 </w:t>
      </w:r>
      <w:r>
        <w:rPr>
          <w:rFonts w:ascii="Calibri"/>
          <w:i/>
          <w:sz w:val="20"/>
        </w:rPr>
        <w:t xml:space="preserve">See </w:t>
      </w:r>
      <w:r>
        <w:rPr>
          <w:rFonts w:ascii="Calibri"/>
          <w:sz w:val="20"/>
        </w:rPr>
        <w:t xml:space="preserve">82 FR 31158, </w:t>
      </w:r>
      <w:hyperlink r:id="rId5">
        <w:r>
          <w:rPr>
            <w:rFonts w:ascii="Calibri"/>
            <w:color w:val="0563C1"/>
            <w:sz w:val="20"/>
            <w:u w:val="single" w:color="0563C1"/>
          </w:rPr>
          <w:t>https://www.federalregister.gov/documents/2017/07/05/2017-13710/medicaidchip-program-</w:t>
        </w:r>
      </w:hyperlink>
      <w:r>
        <w:rPr>
          <w:rFonts w:ascii="Calibri"/>
          <w:color w:val="0563C1"/>
          <w:sz w:val="20"/>
        </w:rPr>
        <w:t xml:space="preserve"> </w:t>
      </w:r>
      <w:hyperlink r:id="rId6">
        <w:r>
          <w:rPr>
            <w:rFonts w:ascii="Calibri"/>
            <w:color w:val="0563C1"/>
            <w:sz w:val="20"/>
            <w:u w:val="single" w:color="0563C1"/>
          </w:rPr>
          <w:t>medicaid-program-and-childrens-health-insurance-program-chip-changes-to-the</w:t>
        </w:r>
        <w:r>
          <w:rPr>
            <w:rFonts w:ascii="Calibri"/>
            <w:color w:val="0563C1"/>
            <w:sz w:val="20"/>
          </w:rPr>
          <w:t>.</w:t>
        </w:r>
      </w:hyperlink>
    </w:p>
    <w:p w:rsidR="00D869CC" w:rsidRDefault="00D869CC">
      <w:pPr>
        <w:rPr>
          <w:rFonts w:ascii="Calibri"/>
          <w:sz w:val="20"/>
        </w:rPr>
        <w:sectPr w:rsidR="00D869CC">
          <w:type w:val="continuous"/>
          <w:pgSz w:w="12240" w:h="15840"/>
          <w:pgMar w:top="1360" w:right="1440" w:bottom="280" w:left="1340" w:header="720" w:footer="720" w:gutter="0"/>
          <w:cols w:space="720"/>
        </w:sectPr>
      </w:pPr>
    </w:p>
    <w:p w:rsidR="00D869CC" w:rsidRDefault="004D7BD5">
      <w:pPr>
        <w:pStyle w:val="BodyText"/>
        <w:spacing w:before="86" w:line="259" w:lineRule="auto"/>
        <w:ind w:left="100"/>
      </w:pPr>
      <w:r>
        <w:lastRenderedPageBreak/>
        <w:t>It requires states</w:t>
      </w:r>
      <w:r>
        <w:rPr>
          <w:u w:val="single"/>
        </w:rPr>
        <w:t xml:space="preserve"> </w:t>
      </w:r>
      <w:r>
        <w:t>to conduct an MEQC pilot during the two-year period that falls between each state's triennial PERM cycle.</w:t>
      </w:r>
    </w:p>
    <w:p w:rsidR="00D869CC" w:rsidRDefault="004D7BD5">
      <w:pPr>
        <w:pStyle w:val="BodyText"/>
        <w:tabs>
          <w:tab w:val="left" w:pos="4131"/>
        </w:tabs>
        <w:spacing w:before="159" w:line="259" w:lineRule="auto"/>
        <w:ind w:left="100" w:right="143"/>
      </w:pPr>
      <w:r>
        <w:t>At the completion of the MEQC pilots, for all active and negative cases reviewed, the state must submit a detailed case- level report in a format provided by CMS as well as a report on the corrective actions taken on all sampled cases with errors</w:t>
      </w:r>
      <w:r>
        <w:rPr>
          <w:spacing w:val="-12"/>
        </w:rPr>
        <w:t xml:space="preserve"> </w:t>
      </w:r>
      <w:r>
        <w:t>or techni</w:t>
      </w:r>
      <w:r>
        <w:t>cal deficiencies. All case-level findings and corrective action plans (CAPs) are due to CMS by August 1 following the</w:t>
      </w:r>
      <w:r>
        <w:rPr>
          <w:spacing w:val="-14"/>
        </w:rPr>
        <w:t xml:space="preserve"> </w:t>
      </w:r>
      <w:r>
        <w:t>end of the MEQC</w:t>
      </w:r>
      <w:r>
        <w:rPr>
          <w:spacing w:val="-4"/>
        </w:rPr>
        <w:t xml:space="preserve"> </w:t>
      </w:r>
      <w:r>
        <w:t>review</w:t>
      </w:r>
      <w:r>
        <w:rPr>
          <w:spacing w:val="-1"/>
        </w:rPr>
        <w:t xml:space="preserve"> </w:t>
      </w:r>
      <w:r>
        <w:t>period.</w:t>
      </w:r>
      <w:r>
        <w:tab/>
        <w:t>States are required to do a limited payment review as part of their MEQC</w:t>
      </w:r>
      <w:r>
        <w:rPr>
          <w:spacing w:val="-8"/>
        </w:rPr>
        <w:t xml:space="preserve"> </w:t>
      </w:r>
      <w:r>
        <w:t>pilots.</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0"/>
          <w:numId w:val="1"/>
        </w:numPr>
        <w:tabs>
          <w:tab w:val="left" w:pos="819"/>
          <w:tab w:val="left" w:pos="820"/>
        </w:tabs>
        <w:rPr>
          <w:sz w:val="24"/>
          <w:u w:val="none"/>
        </w:rPr>
      </w:pPr>
      <w:r>
        <w:rPr>
          <w:sz w:val="24"/>
        </w:rPr>
        <w:t>Justification</w:t>
      </w:r>
    </w:p>
    <w:p w:rsidR="00D869CC" w:rsidRDefault="004D7BD5">
      <w:pPr>
        <w:pStyle w:val="ListParagraph"/>
        <w:numPr>
          <w:ilvl w:val="1"/>
          <w:numId w:val="1"/>
        </w:numPr>
        <w:tabs>
          <w:tab w:val="left" w:pos="819"/>
          <w:tab w:val="left" w:pos="820"/>
        </w:tabs>
        <w:spacing w:before="182"/>
        <w:rPr>
          <w:sz w:val="24"/>
          <w:u w:val="none"/>
        </w:rPr>
      </w:pPr>
      <w:r>
        <w:rPr>
          <w:sz w:val="24"/>
        </w:rPr>
        <w:t>Need and L</w:t>
      </w:r>
      <w:r>
        <w:rPr>
          <w:sz w:val="24"/>
        </w:rPr>
        <w:t>egal</w:t>
      </w:r>
      <w:r>
        <w:rPr>
          <w:spacing w:val="-4"/>
          <w:sz w:val="24"/>
        </w:rPr>
        <w:t xml:space="preserve"> </w:t>
      </w:r>
      <w:r>
        <w:rPr>
          <w:sz w:val="24"/>
        </w:rPr>
        <w:t>Basis</w:t>
      </w:r>
    </w:p>
    <w:p w:rsidR="00D869CC" w:rsidRDefault="004D7BD5">
      <w:pPr>
        <w:pStyle w:val="BodyText"/>
        <w:tabs>
          <w:tab w:val="left" w:pos="8019"/>
        </w:tabs>
        <w:spacing w:before="182" w:line="259" w:lineRule="auto"/>
        <w:ind w:left="100" w:right="143"/>
      </w:pPr>
      <w:r>
        <w:t>The authority for collecting this information is Section</w:t>
      </w:r>
      <w:r>
        <w:rPr>
          <w:spacing w:val="-21"/>
        </w:rPr>
        <w:t xml:space="preserve"> </w:t>
      </w:r>
      <w:r>
        <w:t>1903(u) of the Social Security Act and 42 CFR Part 431 Subpart P, Medicaid Eligibility Quality Control</w:t>
      </w:r>
      <w:r>
        <w:rPr>
          <w:spacing w:val="-5"/>
        </w:rPr>
        <w:t xml:space="preserve"> </w:t>
      </w:r>
      <w:r>
        <w:t>(MEQC)</w:t>
      </w:r>
      <w:r>
        <w:rPr>
          <w:spacing w:val="-1"/>
        </w:rPr>
        <w:t xml:space="preserve"> </w:t>
      </w:r>
      <w:r>
        <w:t>Program.</w:t>
      </w:r>
      <w:r>
        <w:tab/>
        <w:t>The specific requirement for submitting case level reports and CAPs i</w:t>
      </w:r>
      <w:r>
        <w:t>s described in regulations at 42 CFR 431.816 and 431.820, respectively.</w:t>
      </w:r>
    </w:p>
    <w:p w:rsidR="00D869CC" w:rsidRDefault="004D7BD5">
      <w:pPr>
        <w:pStyle w:val="BodyText"/>
        <w:spacing w:before="158" w:line="259" w:lineRule="auto"/>
        <w:ind w:left="100"/>
      </w:pPr>
      <w:r>
        <w:t>The collection of information is also necessary to implement CHIPRA requirements to harmonize the MEQC and PERM programs.</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Information</w:t>
      </w:r>
      <w:r>
        <w:rPr>
          <w:spacing w:val="-1"/>
          <w:sz w:val="24"/>
        </w:rPr>
        <w:t xml:space="preserve"> </w:t>
      </w:r>
      <w:r>
        <w:rPr>
          <w:sz w:val="24"/>
        </w:rPr>
        <w:t>Users</w:t>
      </w:r>
    </w:p>
    <w:p w:rsidR="00D869CC" w:rsidRDefault="004D7BD5">
      <w:pPr>
        <w:pStyle w:val="BodyText"/>
        <w:spacing w:before="182" w:line="259" w:lineRule="auto"/>
        <w:ind w:left="100" w:right="143"/>
      </w:pPr>
      <w:r>
        <w:t>State Title XIX and Title XXI agencies are</w:t>
      </w:r>
      <w:r>
        <w:t xml:space="preserve"> required to submit MEQC case level and CAP reports based on pilot findings in accordance with 42 CFR 431.816 and 431.820, respectively.</w:t>
      </w:r>
    </w:p>
    <w:p w:rsidR="00D869CC" w:rsidRDefault="004D7BD5">
      <w:pPr>
        <w:pStyle w:val="BodyText"/>
        <w:tabs>
          <w:tab w:val="left" w:pos="1683"/>
          <w:tab w:val="left" w:pos="2979"/>
        </w:tabs>
        <w:spacing w:before="158" w:line="259" w:lineRule="auto"/>
        <w:ind w:left="100" w:right="143"/>
      </w:pPr>
      <w:r>
        <w:t>The primary users of this information are state Medicaid (and where applicable CHIP) agencies and the Centers for Medic</w:t>
      </w:r>
      <w:r>
        <w:t>are &amp; Medicaid</w:t>
      </w:r>
      <w:r>
        <w:rPr>
          <w:spacing w:val="-2"/>
        </w:rPr>
        <w:t xml:space="preserve"> </w:t>
      </w:r>
      <w:r>
        <w:t>Services.</w:t>
      </w:r>
      <w:r>
        <w:tab/>
        <w:t>State agencies are expected to use the information collected for continuous quality improvement purposes.</w:t>
      </w:r>
      <w:r>
        <w:tab/>
        <w:t>They will identify patterns of error in their eligibility processing operations and systems and take corrective actions to ad</w:t>
      </w:r>
      <w:r>
        <w:t>dress issues and improve the</w:t>
      </w:r>
      <w:r>
        <w:rPr>
          <w:spacing w:val="-21"/>
        </w:rPr>
        <w:t xml:space="preserve"> </w:t>
      </w:r>
      <w:r>
        <w:t>eligibility determination</w:t>
      </w:r>
      <w:r>
        <w:rPr>
          <w:spacing w:val="-2"/>
        </w:rPr>
        <w:t xml:space="preserve"> </w:t>
      </w:r>
      <w:r>
        <w:t>process.</w:t>
      </w:r>
    </w:p>
    <w:p w:rsidR="00D869CC" w:rsidRDefault="004D7BD5">
      <w:pPr>
        <w:pStyle w:val="BodyText"/>
        <w:tabs>
          <w:tab w:val="left" w:pos="3267"/>
          <w:tab w:val="left" w:pos="8019"/>
        </w:tabs>
        <w:spacing w:before="159" w:line="259" w:lineRule="auto"/>
        <w:ind w:left="100" w:right="287"/>
      </w:pPr>
      <w:r>
        <w:t>CMS will use the data collected to identify and help those states that are most in need of</w:t>
      </w:r>
      <w:r>
        <w:rPr>
          <w:spacing w:val="-8"/>
        </w:rPr>
        <w:t xml:space="preserve"> </w:t>
      </w:r>
      <w:r>
        <w:t>technical</w:t>
      </w:r>
      <w:r>
        <w:rPr>
          <w:spacing w:val="-1"/>
        </w:rPr>
        <w:t xml:space="preserve"> </w:t>
      </w:r>
      <w:r>
        <w:t>assistance.</w:t>
      </w:r>
      <w:r>
        <w:tab/>
        <w:t xml:space="preserve">CMS </w:t>
      </w:r>
      <w:r>
        <w:rPr>
          <w:spacing w:val="-5"/>
        </w:rPr>
        <w:t xml:space="preserve">will </w:t>
      </w:r>
      <w:r>
        <w:t>also use the data set to identify potential weaknesses in federal</w:t>
      </w:r>
      <w:r>
        <w:rPr>
          <w:spacing w:val="-2"/>
        </w:rPr>
        <w:t xml:space="preserve"> </w:t>
      </w:r>
      <w:r>
        <w:t>regulations.</w:t>
      </w:r>
      <w:r>
        <w:tab/>
        <w:t>It will propose regulatory</w:t>
      </w:r>
      <w:r>
        <w:rPr>
          <w:spacing w:val="-4"/>
        </w:rPr>
        <w:t xml:space="preserve"> </w:t>
      </w:r>
      <w:r>
        <w:t>modifications</w:t>
      </w:r>
    </w:p>
    <w:p w:rsidR="00D869CC" w:rsidRDefault="00D869CC">
      <w:pPr>
        <w:spacing w:line="259" w:lineRule="auto"/>
        <w:sectPr w:rsidR="00D869CC">
          <w:pgSz w:w="12240" w:h="15840"/>
          <w:pgMar w:top="1360" w:right="1440" w:bottom="280" w:left="1340" w:header="720" w:footer="720" w:gutter="0"/>
          <w:cols w:space="720"/>
        </w:sectPr>
      </w:pPr>
    </w:p>
    <w:p w:rsidR="00D869CC" w:rsidRDefault="004D7BD5">
      <w:pPr>
        <w:pStyle w:val="BodyText"/>
        <w:spacing w:before="86" w:line="259" w:lineRule="auto"/>
        <w:ind w:left="100" w:right="162"/>
      </w:pPr>
      <w:r>
        <w:lastRenderedPageBreak/>
        <w:t>designed to ensure that there are more effective quality controls in the eligibility determination process.</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Use of Information</w:t>
      </w:r>
      <w:r>
        <w:rPr>
          <w:spacing w:val="-4"/>
          <w:sz w:val="24"/>
        </w:rPr>
        <w:t xml:space="preserve"> </w:t>
      </w:r>
      <w:r>
        <w:rPr>
          <w:sz w:val="24"/>
        </w:rPr>
        <w:t>Technology</w:t>
      </w:r>
    </w:p>
    <w:p w:rsidR="00D869CC" w:rsidRDefault="004D7BD5">
      <w:pPr>
        <w:pStyle w:val="BodyText"/>
        <w:tabs>
          <w:tab w:val="left" w:pos="4707"/>
          <w:tab w:val="left" w:pos="7011"/>
        </w:tabs>
        <w:spacing w:before="182" w:line="259" w:lineRule="auto"/>
        <w:ind w:left="100" w:right="143"/>
      </w:pPr>
      <w:r>
        <w:t>States will be required to submit their MEQC case leve</w:t>
      </w:r>
      <w:r>
        <w:t>l reports and corrective action plans in accordance with reporting specifications in CMS</w:t>
      </w:r>
      <w:r>
        <w:rPr>
          <w:spacing w:val="-4"/>
        </w:rPr>
        <w:t xml:space="preserve"> </w:t>
      </w:r>
      <w:r>
        <w:t>sub-regulatory</w:t>
      </w:r>
      <w:r>
        <w:rPr>
          <w:spacing w:val="-1"/>
        </w:rPr>
        <w:t xml:space="preserve"> </w:t>
      </w:r>
      <w:r>
        <w:t>guidance.</w:t>
      </w:r>
      <w:r>
        <w:tab/>
        <w:t xml:space="preserve">The reports </w:t>
      </w:r>
      <w:r>
        <w:rPr>
          <w:spacing w:val="-5"/>
        </w:rPr>
        <w:t xml:space="preserve">will </w:t>
      </w:r>
      <w:r>
        <w:t>be sent electronically</w:t>
      </w:r>
      <w:r>
        <w:rPr>
          <w:spacing w:val="-4"/>
        </w:rPr>
        <w:t xml:space="preserve"> </w:t>
      </w:r>
      <w:r>
        <w:t>to</w:t>
      </w:r>
      <w:r>
        <w:rPr>
          <w:spacing w:val="-1"/>
        </w:rPr>
        <w:t xml:space="preserve"> </w:t>
      </w:r>
      <w:r>
        <w:t>CMS.</w:t>
      </w:r>
      <w:r>
        <w:tab/>
        <w:t>The reports will then be</w:t>
      </w:r>
      <w:r>
        <w:rPr>
          <w:spacing w:val="-18"/>
        </w:rPr>
        <w:t xml:space="preserve"> </w:t>
      </w:r>
      <w:r>
        <w:t>subject to a number of baseline quality assurance checks; and compara</w:t>
      </w:r>
      <w:r>
        <w:t xml:space="preserve">tive reports on state eligibility improper payment </w:t>
      </w:r>
      <w:r>
        <w:rPr>
          <w:spacing w:val="-3"/>
        </w:rPr>
        <w:t xml:space="preserve">rates, </w:t>
      </w:r>
      <w:r>
        <w:t>top 10 errors, and other findings may be generated for further state and federal</w:t>
      </w:r>
      <w:r>
        <w:rPr>
          <w:spacing w:val="-4"/>
        </w:rPr>
        <w:t xml:space="preserve"> </w:t>
      </w:r>
      <w:r>
        <w:t>analysis.</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Duplication of</w:t>
      </w:r>
      <w:r>
        <w:rPr>
          <w:spacing w:val="-3"/>
          <w:sz w:val="24"/>
        </w:rPr>
        <w:t xml:space="preserve"> </w:t>
      </w:r>
      <w:r>
        <w:rPr>
          <w:sz w:val="24"/>
        </w:rPr>
        <w:t>Efforts</w:t>
      </w:r>
    </w:p>
    <w:p w:rsidR="00D869CC" w:rsidRDefault="004D7BD5">
      <w:pPr>
        <w:pStyle w:val="BodyText"/>
        <w:spacing w:before="179" w:line="259" w:lineRule="auto"/>
        <w:ind w:left="100" w:right="162"/>
      </w:pPr>
      <w:r>
        <w:t xml:space="preserve">CHIPRA requires CMS to review PERM and MEQC requirements and coordinate both sets </w:t>
      </w:r>
      <w:r>
        <w:t>of requirements in an effort to reduce redundancies. The revised MEQC pilot reporting will streamline the PERM and MEQC requirements and eliminate redundancies in both programs.</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Small</w:t>
      </w:r>
      <w:r>
        <w:rPr>
          <w:spacing w:val="-1"/>
          <w:sz w:val="24"/>
        </w:rPr>
        <w:t xml:space="preserve"> </w:t>
      </w:r>
      <w:r>
        <w:rPr>
          <w:sz w:val="24"/>
        </w:rPr>
        <w:t>Businesses</w:t>
      </w:r>
    </w:p>
    <w:p w:rsidR="00D869CC" w:rsidRDefault="004D7BD5">
      <w:pPr>
        <w:pStyle w:val="BodyText"/>
        <w:spacing w:before="182" w:line="259" w:lineRule="auto"/>
        <w:ind w:left="100"/>
      </w:pPr>
      <w:r>
        <w:t>This collection of information does not involve small busin</w:t>
      </w:r>
      <w:r>
        <w:t>esses or other small entities.</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Less Frequent</w:t>
      </w:r>
      <w:r>
        <w:rPr>
          <w:spacing w:val="-3"/>
          <w:sz w:val="24"/>
        </w:rPr>
        <w:t xml:space="preserve"> </w:t>
      </w:r>
      <w:r>
        <w:rPr>
          <w:sz w:val="24"/>
        </w:rPr>
        <w:t>Collection</w:t>
      </w:r>
    </w:p>
    <w:p w:rsidR="00D869CC" w:rsidRDefault="004D7BD5">
      <w:pPr>
        <w:pStyle w:val="BodyText"/>
        <w:spacing w:before="182" w:line="259" w:lineRule="auto"/>
        <w:ind w:left="100"/>
      </w:pPr>
      <w:r>
        <w:t>All case-level findings and CAPs will be due to CMS by August 1 following the end of the MEQC review period.</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Special</w:t>
      </w:r>
      <w:r>
        <w:rPr>
          <w:spacing w:val="-2"/>
          <w:sz w:val="24"/>
        </w:rPr>
        <w:t xml:space="preserve"> </w:t>
      </w:r>
      <w:r>
        <w:rPr>
          <w:sz w:val="24"/>
        </w:rPr>
        <w:t>Circumstances</w:t>
      </w:r>
    </w:p>
    <w:p w:rsidR="00D869CC" w:rsidRDefault="004D7BD5">
      <w:pPr>
        <w:pStyle w:val="BodyText"/>
        <w:spacing w:before="181" w:line="259" w:lineRule="auto"/>
        <w:ind w:left="100"/>
      </w:pPr>
      <w:r>
        <w:t>This collection is conducted in a manner consistent with the regulations at 5 CFR 1320.6.</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Federal Register Notice/Outside</w:t>
      </w:r>
      <w:r>
        <w:rPr>
          <w:spacing w:val="-4"/>
          <w:sz w:val="24"/>
        </w:rPr>
        <w:t xml:space="preserve"> </w:t>
      </w:r>
      <w:r>
        <w:rPr>
          <w:sz w:val="24"/>
        </w:rPr>
        <w:t>Consultation</w:t>
      </w:r>
    </w:p>
    <w:p w:rsidR="00D869CC" w:rsidP="006F096F" w:rsidRDefault="004D7BD5">
      <w:pPr>
        <w:pStyle w:val="BodyText"/>
        <w:tabs>
          <w:tab w:val="left" w:pos="8883"/>
        </w:tabs>
        <w:spacing w:before="182"/>
        <w:ind w:left="100"/>
        <w:sectPr w:rsidR="00D869CC">
          <w:pgSz w:w="12240" w:h="15840"/>
          <w:pgMar w:top="1360" w:right="1440" w:bottom="280" w:left="1340" w:header="720" w:footer="720" w:gutter="0"/>
          <w:cols w:space="720"/>
        </w:sectPr>
      </w:pPr>
      <w:r>
        <w:t>The 60-day Federal Register notice</w:t>
      </w:r>
      <w:r>
        <w:rPr>
          <w:spacing w:val="-6"/>
        </w:rPr>
        <w:t xml:space="preserve"> </w:t>
      </w:r>
      <w:r>
        <w:t>published</w:t>
      </w:r>
      <w:r>
        <w:rPr>
          <w:spacing w:val="-1"/>
        </w:rPr>
        <w:t xml:space="preserve"> </w:t>
      </w:r>
      <w:r>
        <w:t>on</w:t>
      </w:r>
      <w:r w:rsidR="006F096F">
        <w:t xml:space="preserve"> May 7, 2020 (85 FR   27228).  The 30-day FR Notice published on September 24, 2020 (85 FR 60169). No comments were received.</w:t>
      </w:r>
    </w:p>
    <w:p w:rsidR="00D869CC" w:rsidRDefault="004D7BD5">
      <w:pPr>
        <w:pStyle w:val="BodyText"/>
        <w:spacing w:before="86"/>
        <w:ind w:left="100"/>
      </w:pPr>
      <w:r>
        <w:lastRenderedPageBreak/>
        <w:t>N</w:t>
      </w:r>
      <w:r>
        <w:t>o outside consultation was sought.</w:t>
      </w:r>
    </w:p>
    <w:p w:rsidR="00D869CC" w:rsidRDefault="004D7BD5">
      <w:pPr>
        <w:pStyle w:val="ListParagraph"/>
        <w:numPr>
          <w:ilvl w:val="1"/>
          <w:numId w:val="1"/>
        </w:numPr>
        <w:tabs>
          <w:tab w:val="left" w:pos="819"/>
          <w:tab w:val="left" w:pos="820"/>
        </w:tabs>
        <w:spacing w:before="182"/>
        <w:rPr>
          <w:sz w:val="24"/>
          <w:u w:val="none"/>
        </w:rPr>
      </w:pPr>
      <w:r>
        <w:rPr>
          <w:sz w:val="24"/>
        </w:rPr>
        <w:t>Payments of</w:t>
      </w:r>
      <w:r>
        <w:rPr>
          <w:spacing w:val="-3"/>
          <w:sz w:val="24"/>
        </w:rPr>
        <w:t xml:space="preserve"> </w:t>
      </w:r>
      <w:r>
        <w:rPr>
          <w:sz w:val="24"/>
        </w:rPr>
        <w:t>Gifts</w:t>
      </w:r>
    </w:p>
    <w:p w:rsidR="00D869CC" w:rsidRDefault="004D7BD5">
      <w:pPr>
        <w:pStyle w:val="BodyText"/>
        <w:spacing w:before="182" w:line="259" w:lineRule="auto"/>
        <w:ind w:left="100"/>
      </w:pPr>
      <w:r>
        <w:t>There is no provision for any payment or gift to respondents associated with this reporting requirement.</w:t>
      </w:r>
    </w:p>
    <w:p w:rsidR="00D869CC" w:rsidRDefault="00D869CC">
      <w:pPr>
        <w:pStyle w:val="BodyText"/>
        <w:rPr>
          <w:sz w:val="26"/>
        </w:rPr>
      </w:pPr>
    </w:p>
    <w:p w:rsidR="00D869CC" w:rsidRDefault="00D869CC">
      <w:pPr>
        <w:pStyle w:val="BodyText"/>
        <w:spacing w:before="1"/>
        <w:rPr>
          <w:sz w:val="28"/>
        </w:rPr>
      </w:pPr>
    </w:p>
    <w:p w:rsidR="00D869CC" w:rsidRDefault="004D7BD5">
      <w:pPr>
        <w:pStyle w:val="ListParagraph"/>
        <w:numPr>
          <w:ilvl w:val="1"/>
          <w:numId w:val="1"/>
        </w:numPr>
        <w:tabs>
          <w:tab w:val="left" w:pos="819"/>
          <w:tab w:val="left" w:pos="820"/>
        </w:tabs>
        <w:rPr>
          <w:sz w:val="24"/>
          <w:u w:val="none"/>
        </w:rPr>
      </w:pPr>
      <w:r>
        <w:rPr>
          <w:sz w:val="24"/>
        </w:rPr>
        <w:t>Confidentiality</w:t>
      </w:r>
    </w:p>
    <w:p w:rsidR="00D869CC" w:rsidRDefault="004D7BD5">
      <w:pPr>
        <w:pStyle w:val="BodyText"/>
        <w:spacing w:before="182" w:line="259" w:lineRule="auto"/>
        <w:ind w:left="100"/>
      </w:pPr>
      <w:r>
        <w:t>Confidentiality has been assured in accordance with Section 1902(a)(7) of the Social Security Act.</w:t>
      </w:r>
    </w:p>
    <w:p w:rsidR="00D869CC" w:rsidRDefault="00D869CC">
      <w:pPr>
        <w:pStyle w:val="BodyText"/>
        <w:rPr>
          <w:sz w:val="26"/>
        </w:rPr>
      </w:pPr>
    </w:p>
    <w:p w:rsidR="00D869CC" w:rsidRDefault="00D869CC">
      <w:pPr>
        <w:pStyle w:val="BodyText"/>
        <w:rPr>
          <w:sz w:val="28"/>
        </w:rPr>
      </w:pPr>
    </w:p>
    <w:p w:rsidR="00D869CC" w:rsidRDefault="004D7BD5">
      <w:pPr>
        <w:pStyle w:val="ListParagraph"/>
        <w:numPr>
          <w:ilvl w:val="1"/>
          <w:numId w:val="1"/>
        </w:numPr>
        <w:tabs>
          <w:tab w:val="left" w:pos="819"/>
          <w:tab w:val="left" w:pos="820"/>
        </w:tabs>
        <w:spacing w:before="1"/>
        <w:rPr>
          <w:sz w:val="24"/>
          <w:u w:val="none"/>
        </w:rPr>
      </w:pPr>
      <w:r>
        <w:rPr>
          <w:sz w:val="24"/>
        </w:rPr>
        <w:t>Sensitive</w:t>
      </w:r>
      <w:r>
        <w:rPr>
          <w:spacing w:val="-1"/>
          <w:sz w:val="24"/>
        </w:rPr>
        <w:t xml:space="preserve"> </w:t>
      </w:r>
      <w:r>
        <w:rPr>
          <w:sz w:val="24"/>
        </w:rPr>
        <w:t>Questions</w:t>
      </w:r>
    </w:p>
    <w:p w:rsidR="00D869CC" w:rsidRDefault="004D7BD5">
      <w:pPr>
        <w:pStyle w:val="BodyText"/>
        <w:spacing w:before="181"/>
        <w:ind w:left="100"/>
      </w:pPr>
      <w:r>
        <w:t>No questions of a sensitive nature are asked.</w:t>
      </w:r>
    </w:p>
    <w:p w:rsidR="00D869CC" w:rsidRDefault="00D869CC">
      <w:pPr>
        <w:pStyle w:val="BodyText"/>
        <w:rPr>
          <w:sz w:val="26"/>
        </w:rPr>
      </w:pPr>
    </w:p>
    <w:p w:rsidR="00D869CC" w:rsidRDefault="00D869CC">
      <w:pPr>
        <w:pStyle w:val="BodyText"/>
        <w:rPr>
          <w:sz w:val="26"/>
        </w:rPr>
      </w:pPr>
    </w:p>
    <w:p w:rsidR="00D869CC" w:rsidRDefault="00D869CC">
      <w:pPr>
        <w:pStyle w:val="BodyText"/>
        <w:rPr>
          <w:sz w:val="26"/>
        </w:rPr>
      </w:pPr>
    </w:p>
    <w:p w:rsidR="00D869CC" w:rsidRDefault="004D7BD5">
      <w:pPr>
        <w:pStyle w:val="ListParagraph"/>
        <w:numPr>
          <w:ilvl w:val="1"/>
          <w:numId w:val="1"/>
        </w:numPr>
        <w:tabs>
          <w:tab w:val="left" w:pos="819"/>
          <w:tab w:val="left" w:pos="820"/>
        </w:tabs>
        <w:spacing w:before="206"/>
        <w:rPr>
          <w:sz w:val="24"/>
          <w:u w:val="none"/>
        </w:rPr>
      </w:pPr>
      <w:r>
        <w:rPr>
          <w:sz w:val="24"/>
        </w:rPr>
        <w:t>Burden Estimates (Hours and</w:t>
      </w:r>
      <w:r>
        <w:rPr>
          <w:spacing w:val="-5"/>
          <w:sz w:val="24"/>
        </w:rPr>
        <w:t xml:space="preserve"> </w:t>
      </w:r>
      <w:r>
        <w:rPr>
          <w:sz w:val="24"/>
        </w:rPr>
        <w:t>Wages)</w:t>
      </w:r>
    </w:p>
    <w:p w:rsidR="00D869CC" w:rsidRDefault="004D7BD5">
      <w:pPr>
        <w:pStyle w:val="BodyText"/>
        <w:tabs>
          <w:tab w:val="left" w:pos="2691"/>
          <w:tab w:val="left" w:pos="4419"/>
          <w:tab w:val="left" w:pos="5571"/>
          <w:tab w:val="left" w:pos="6147"/>
        </w:tabs>
        <w:spacing w:before="179" w:line="259" w:lineRule="auto"/>
        <w:ind w:left="100" w:right="287"/>
      </w:pPr>
      <w:r>
        <w:t>The public burden involves those tasks in the MEQC pilots that come after the MEQC pilot planning documents are created and approved</w:t>
      </w:r>
      <w:r>
        <w:rPr>
          <w:spacing w:val="-2"/>
        </w:rPr>
        <w:t xml:space="preserve"> </w:t>
      </w:r>
      <w:r>
        <w:t>by</w:t>
      </w:r>
      <w:r>
        <w:rPr>
          <w:spacing w:val="-1"/>
        </w:rPr>
        <w:t xml:space="preserve"> </w:t>
      </w:r>
      <w:r>
        <w:t>CMS.</w:t>
      </w:r>
      <w:r>
        <w:tab/>
        <w:t>The</w:t>
      </w:r>
      <w:r>
        <w:rPr>
          <w:spacing w:val="-1"/>
        </w:rPr>
        <w:t xml:space="preserve"> </w:t>
      </w:r>
      <w:r>
        <w:t>tasks</w:t>
      </w:r>
      <w:r>
        <w:rPr>
          <w:spacing w:val="-1"/>
        </w:rPr>
        <w:t xml:space="preserve"> </w:t>
      </w:r>
      <w:r>
        <w:t>include:</w:t>
      </w:r>
      <w:r>
        <w:tab/>
        <w:t>compiling ac</w:t>
      </w:r>
      <w:r>
        <w:t xml:space="preserve">tive and negative case universes, choosing sample records, reviewing </w:t>
      </w:r>
      <w:r>
        <w:rPr>
          <w:spacing w:val="-5"/>
        </w:rPr>
        <w:t xml:space="preserve">the </w:t>
      </w:r>
      <w:r>
        <w:t>selected records (at least 400 active cases and 400 negative case actions), and compiling case level reports and corrective action plans for submission to CMS (due no later than Augus</w:t>
      </w:r>
      <w:r>
        <w:t>t 1 of the pilot’s</w:t>
      </w:r>
      <w:r>
        <w:rPr>
          <w:spacing w:val="-4"/>
        </w:rPr>
        <w:t xml:space="preserve"> </w:t>
      </w:r>
      <w:r>
        <w:t>second</w:t>
      </w:r>
      <w:r>
        <w:rPr>
          <w:spacing w:val="-1"/>
        </w:rPr>
        <w:t xml:space="preserve"> </w:t>
      </w:r>
      <w:r>
        <w:t>year).</w:t>
      </w:r>
      <w:r>
        <w:tab/>
        <w:t>Every state must complete these tasks as part of their required MEQC pilot during the two</w:t>
      </w:r>
      <w:r>
        <w:rPr>
          <w:spacing w:val="-13"/>
        </w:rPr>
        <w:t xml:space="preserve"> </w:t>
      </w:r>
      <w:r>
        <w:t>years that fall between the PERM</w:t>
      </w:r>
      <w:r>
        <w:rPr>
          <w:spacing w:val="-6"/>
        </w:rPr>
        <w:t xml:space="preserve"> </w:t>
      </w:r>
      <w:r>
        <w:t>review</w:t>
      </w:r>
      <w:r>
        <w:rPr>
          <w:spacing w:val="-1"/>
        </w:rPr>
        <w:t xml:space="preserve"> </w:t>
      </w:r>
      <w:r>
        <w:t>years.</w:t>
      </w:r>
      <w:r>
        <w:tab/>
        <w:t xml:space="preserve">At any given time, </w:t>
      </w:r>
      <w:r>
        <w:rPr>
          <w:spacing w:val="-8"/>
        </w:rPr>
        <w:t xml:space="preserve">34 </w:t>
      </w:r>
      <w:r>
        <w:t>State Title XIX and Title XXI agencies (representing the</w:t>
      </w:r>
      <w:r>
        <w:rPr>
          <w:spacing w:val="-21"/>
        </w:rPr>
        <w:t xml:space="preserve"> </w:t>
      </w:r>
      <w:r>
        <w:t xml:space="preserve">states </w:t>
      </w:r>
      <w:r>
        <w:t>in two PERM cycles) will be working on the MEQC</w:t>
      </w:r>
      <w:r>
        <w:rPr>
          <w:spacing w:val="-11"/>
        </w:rPr>
        <w:t xml:space="preserve"> </w:t>
      </w:r>
      <w:r>
        <w:t>pilots.</w:t>
      </w:r>
    </w:p>
    <w:p w:rsidR="00D869CC" w:rsidRDefault="004D7BD5">
      <w:pPr>
        <w:pStyle w:val="BodyText"/>
        <w:tabs>
          <w:tab w:val="left" w:pos="1251"/>
        </w:tabs>
        <w:spacing w:before="158" w:line="259" w:lineRule="auto"/>
        <w:ind w:left="100" w:right="143"/>
      </w:pPr>
      <w:r>
        <w:t>Each state’s burden for MEQC pilot tasks is estimated at 1,900 hours.</w:t>
      </w:r>
      <w:r>
        <w:tab/>
        <w:t xml:space="preserve">This assumes that states spend approximately 100 hours </w:t>
      </w:r>
      <w:r>
        <w:rPr>
          <w:spacing w:val="-11"/>
        </w:rPr>
        <w:t xml:space="preserve">a </w:t>
      </w:r>
      <w:r>
        <w:t>month on the required activities (100 hours x 19 months = 1,900 hours) du</w:t>
      </w:r>
      <w:r>
        <w:t>ring the 19-month period in which the state undertakes MEQC sampling, case reviews and case level and CAP report creation.</w:t>
      </w:r>
    </w:p>
    <w:p w:rsidR="00D869CC" w:rsidRDefault="004D7BD5">
      <w:pPr>
        <w:pStyle w:val="BodyText"/>
        <w:spacing w:before="158" w:line="259" w:lineRule="auto"/>
        <w:ind w:left="100" w:right="142"/>
      </w:pPr>
      <w:r>
        <w:t>The estimated MEQC reporting cost for a State is $110,960. To derive average costs, we used data from the U.S. Bureau of</w:t>
      </w:r>
      <w:r>
        <w:rPr>
          <w:spacing w:val="-13"/>
        </w:rPr>
        <w:t xml:space="preserve"> </w:t>
      </w:r>
      <w:r>
        <w:t>Labor Statis</w:t>
      </w:r>
      <w:r w:rsidR="00751930">
        <w:t>tics’(BLS) May 2019</w:t>
      </w:r>
      <w:r>
        <w:t xml:space="preserve"> National Industry-Specific Occupational Employment and Wage Estimates for State</w:t>
      </w:r>
      <w:r>
        <w:rPr>
          <w:spacing w:val="-9"/>
        </w:rPr>
        <w:t xml:space="preserve"> </w:t>
      </w:r>
      <w:r>
        <w:t>Government</w:t>
      </w:r>
    </w:p>
    <w:p w:rsidR="00D869CC" w:rsidRDefault="00D869CC">
      <w:pPr>
        <w:spacing w:line="259" w:lineRule="auto"/>
        <w:sectPr w:rsidR="00D869CC">
          <w:pgSz w:w="12240" w:h="15840"/>
          <w:pgMar w:top="1360" w:right="1440" w:bottom="280" w:left="1340" w:header="720" w:footer="720" w:gutter="0"/>
          <w:cols w:space="720"/>
        </w:sectPr>
      </w:pPr>
    </w:p>
    <w:p w:rsidR="00D869CC" w:rsidRDefault="004D7BD5">
      <w:pPr>
        <w:pStyle w:val="BodyText"/>
        <w:tabs>
          <w:tab w:val="left" w:pos="4707"/>
          <w:tab w:val="left" w:pos="8019"/>
          <w:tab w:val="left" w:pos="8451"/>
        </w:tabs>
        <w:spacing w:before="46" w:line="259" w:lineRule="auto"/>
        <w:ind w:left="100" w:right="434"/>
      </w:pPr>
      <w:r>
        <w:lastRenderedPageBreak/>
        <w:t>(NAICS 999200) (</w:t>
      </w:r>
      <w:hyperlink w:history="1" r:id="rId7">
        <w:r w:rsidRPr="00A129EB" w:rsidR="00751930">
          <w:rPr>
            <w:rStyle w:val="Hyperlink"/>
            <w:rFonts w:ascii="Calibri" w:hAnsi="Calibri"/>
            <w:u w:color="0563C1"/>
          </w:rPr>
          <w:t>https://www.bls.gov/oes/2019/may/naics4_999200.htm#31-0000</w:t>
        </w:r>
      </w:hyperlink>
      <w:r>
        <w:t>) for the occupation titled ‘Claims Adjusters, Appraisers, Examiners, and Investigators’ (Occupation Code 13-1031). This estimate includes the mean hourly wage ($29.20) with fringe benefits calculat</w:t>
      </w:r>
      <w:r>
        <w:t>ed at 100% totaling $58.40</w:t>
      </w:r>
      <w:r>
        <w:rPr>
          <w:spacing w:val="-7"/>
        </w:rPr>
        <w:t xml:space="preserve"> </w:t>
      </w:r>
      <w:r>
        <w:t>per</w:t>
      </w:r>
      <w:r>
        <w:rPr>
          <w:spacing w:val="-1"/>
        </w:rPr>
        <w:t xml:space="preserve"> </w:t>
      </w:r>
      <w:r>
        <w:t>hour.</w:t>
      </w:r>
      <w:r>
        <w:tab/>
        <w:t>As the first MEQC pilots (for the PERM Cycle 1 states) are not yet completed, this estimate is not based on real</w:t>
      </w:r>
      <w:r>
        <w:rPr>
          <w:spacing w:val="-9"/>
        </w:rPr>
        <w:t xml:space="preserve"> </w:t>
      </w:r>
      <w:r>
        <w:t>time</w:t>
      </w:r>
      <w:r>
        <w:rPr>
          <w:spacing w:val="-1"/>
        </w:rPr>
        <w:t xml:space="preserve"> </w:t>
      </w:r>
      <w:r>
        <w:t>data.</w:t>
      </w:r>
      <w:r>
        <w:tab/>
        <w:t>We have based these numbers on previous packages and the FY2014- 2017 Eligibility Review pilots</w:t>
      </w:r>
      <w:r>
        <w:t>, and have estimated the associated</w:t>
      </w:r>
      <w:r>
        <w:rPr>
          <w:spacing w:val="-2"/>
        </w:rPr>
        <w:t xml:space="preserve"> </w:t>
      </w:r>
      <w:r>
        <w:t>burden</w:t>
      </w:r>
      <w:r>
        <w:rPr>
          <w:spacing w:val="-1"/>
        </w:rPr>
        <w:t xml:space="preserve"> </w:t>
      </w:r>
      <w:r>
        <w:t>accordingly.</w:t>
      </w:r>
      <w:r>
        <w:tab/>
        <w:t>Once real time data is available, we will solicit information from the</w:t>
      </w:r>
      <w:r>
        <w:rPr>
          <w:spacing w:val="-8"/>
        </w:rPr>
        <w:t xml:space="preserve"> </w:t>
      </w:r>
      <w:r>
        <w:t>states.</w:t>
      </w:r>
    </w:p>
    <w:p w:rsidR="00D869CC" w:rsidRDefault="004D7BD5">
      <w:pPr>
        <w:pStyle w:val="BodyText"/>
        <w:spacing w:before="158" w:line="259" w:lineRule="auto"/>
        <w:ind w:left="100"/>
      </w:pPr>
      <w:r>
        <w:t xml:space="preserve">It is estimated that each State </w:t>
      </w:r>
      <w:r>
        <w:t xml:space="preserve">will spend up to 1,900 hours of time, per pilot, per program, to support this collection </w:t>
      </w:r>
      <w:r>
        <w:t>of information. The hours for the main components of the estimated State burden are listed below:</w:t>
      </w:r>
    </w:p>
    <w:p w:rsidR="00D869CC" w:rsidRDefault="004D7BD5">
      <w:pPr>
        <w:pStyle w:val="ListParagraph"/>
        <w:numPr>
          <w:ilvl w:val="2"/>
          <w:numId w:val="1"/>
        </w:numPr>
        <w:tabs>
          <w:tab w:val="left" w:pos="819"/>
          <w:tab w:val="left" w:pos="820"/>
        </w:tabs>
        <w:spacing w:before="159" w:line="355" w:lineRule="auto"/>
        <w:ind w:right="575"/>
        <w:rPr>
          <w:sz w:val="24"/>
          <w:u w:val="none"/>
        </w:rPr>
      </w:pPr>
      <w:r>
        <w:rPr>
          <w:sz w:val="24"/>
        </w:rPr>
        <w:t>Universe compilation, sampling, eligibility case</w:t>
      </w:r>
      <w:r>
        <w:rPr>
          <w:spacing w:val="-19"/>
          <w:sz w:val="24"/>
        </w:rPr>
        <w:t xml:space="preserve"> </w:t>
      </w:r>
      <w:r>
        <w:rPr>
          <w:sz w:val="24"/>
        </w:rPr>
        <w:t>reviews and reporting</w:t>
      </w:r>
      <w:r>
        <w:rPr>
          <w:sz w:val="24"/>
          <w:u w:val="none"/>
        </w:rPr>
        <w:t xml:space="preserve"> – findings reported for all pilot review findings for both active and negative cases, in a</w:t>
      </w:r>
      <w:r>
        <w:rPr>
          <w:spacing w:val="-21"/>
          <w:sz w:val="24"/>
          <w:u w:val="none"/>
        </w:rPr>
        <w:t xml:space="preserve"> </w:t>
      </w:r>
      <w:r>
        <w:rPr>
          <w:sz w:val="24"/>
          <w:u w:val="none"/>
        </w:rPr>
        <w:t>format specified by CMS (1600</w:t>
      </w:r>
      <w:r>
        <w:rPr>
          <w:spacing w:val="-5"/>
          <w:sz w:val="24"/>
          <w:u w:val="none"/>
        </w:rPr>
        <w:t xml:space="preserve"> </w:t>
      </w:r>
      <w:r>
        <w:rPr>
          <w:sz w:val="24"/>
          <w:u w:val="none"/>
        </w:rPr>
        <w:t>hours)</w:t>
      </w:r>
    </w:p>
    <w:p w:rsidR="00D869CC" w:rsidRDefault="004D7BD5">
      <w:pPr>
        <w:pStyle w:val="ListParagraph"/>
        <w:numPr>
          <w:ilvl w:val="2"/>
          <w:numId w:val="1"/>
        </w:numPr>
        <w:tabs>
          <w:tab w:val="left" w:pos="819"/>
          <w:tab w:val="left" w:pos="820"/>
        </w:tabs>
        <w:spacing w:before="131" w:line="343" w:lineRule="auto"/>
        <w:ind w:right="1295"/>
        <w:rPr>
          <w:sz w:val="24"/>
          <w:u w:val="none"/>
        </w:rPr>
      </w:pPr>
      <w:r>
        <w:rPr>
          <w:sz w:val="24"/>
        </w:rPr>
        <w:t>Corrective action plan</w:t>
      </w:r>
      <w:r>
        <w:rPr>
          <w:sz w:val="24"/>
          <w:u w:val="none"/>
        </w:rPr>
        <w:t xml:space="preserve"> – developing, submitting </w:t>
      </w:r>
      <w:r>
        <w:rPr>
          <w:spacing w:val="-5"/>
          <w:sz w:val="24"/>
          <w:u w:val="none"/>
        </w:rPr>
        <w:t xml:space="preserve">and </w:t>
      </w:r>
      <w:r>
        <w:rPr>
          <w:sz w:val="24"/>
          <w:u w:val="none"/>
        </w:rPr>
        <w:t>implementing (300</w:t>
      </w:r>
      <w:r>
        <w:rPr>
          <w:spacing w:val="-3"/>
          <w:sz w:val="24"/>
          <w:u w:val="none"/>
        </w:rPr>
        <w:t xml:space="preserve"> </w:t>
      </w:r>
      <w:r>
        <w:rPr>
          <w:sz w:val="24"/>
          <w:u w:val="none"/>
        </w:rPr>
        <w:t>hours)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91"/>
        <w:gridCol w:w="1897"/>
        <w:gridCol w:w="1891"/>
        <w:gridCol w:w="1885"/>
        <w:gridCol w:w="1886"/>
      </w:tblGrid>
      <w:tr w:rsidRPr="00D10EC2" w:rsidR="006F096F" w:rsidTr="00B35495">
        <w:tc>
          <w:tcPr>
            <w:tcW w:w="1915" w:type="dxa"/>
          </w:tcPr>
          <w:p w:rsidRPr="00D10EC2" w:rsidR="006F096F" w:rsidP="00B35495" w:rsidRDefault="006F096F">
            <w:pPr>
              <w:jc w:val="center"/>
              <w:rPr>
                <w:b/>
                <w:sz w:val="20"/>
                <w:szCs w:val="20"/>
              </w:rPr>
            </w:pPr>
            <w:r w:rsidRPr="00D10EC2">
              <w:rPr>
                <w:b/>
                <w:sz w:val="20"/>
                <w:szCs w:val="20"/>
              </w:rPr>
              <w:t>Type of Respondent</w:t>
            </w:r>
          </w:p>
        </w:tc>
        <w:tc>
          <w:tcPr>
            <w:tcW w:w="1915" w:type="dxa"/>
          </w:tcPr>
          <w:p w:rsidRPr="00D10EC2" w:rsidR="006F096F" w:rsidP="00B35495" w:rsidRDefault="006F096F">
            <w:pPr>
              <w:jc w:val="center"/>
              <w:rPr>
                <w:b/>
                <w:sz w:val="20"/>
                <w:szCs w:val="20"/>
              </w:rPr>
            </w:pPr>
            <w:r w:rsidRPr="00D10EC2">
              <w:rPr>
                <w:b/>
                <w:sz w:val="20"/>
                <w:szCs w:val="20"/>
              </w:rPr>
              <w:t>Number of Respondents</w:t>
            </w:r>
          </w:p>
        </w:tc>
        <w:tc>
          <w:tcPr>
            <w:tcW w:w="1915" w:type="dxa"/>
          </w:tcPr>
          <w:p w:rsidRPr="00D10EC2" w:rsidR="006F096F" w:rsidP="00B35495" w:rsidRDefault="006F096F">
            <w:pPr>
              <w:jc w:val="center"/>
              <w:rPr>
                <w:b/>
                <w:sz w:val="20"/>
                <w:szCs w:val="20"/>
              </w:rPr>
            </w:pPr>
            <w:r w:rsidRPr="00D10EC2">
              <w:rPr>
                <w:b/>
                <w:sz w:val="20"/>
                <w:szCs w:val="20"/>
              </w:rPr>
              <w:t>Number of Responses per Respondent</w:t>
            </w:r>
          </w:p>
        </w:tc>
        <w:tc>
          <w:tcPr>
            <w:tcW w:w="1915" w:type="dxa"/>
          </w:tcPr>
          <w:p w:rsidRPr="00D10EC2" w:rsidR="006F096F" w:rsidP="00B35495" w:rsidRDefault="006F096F">
            <w:pPr>
              <w:jc w:val="center"/>
              <w:rPr>
                <w:b/>
                <w:sz w:val="20"/>
                <w:szCs w:val="20"/>
              </w:rPr>
            </w:pPr>
            <w:r w:rsidRPr="00D10EC2">
              <w:rPr>
                <w:b/>
                <w:sz w:val="20"/>
                <w:szCs w:val="20"/>
              </w:rPr>
              <w:t>Estimated Time per Response (hours)</w:t>
            </w:r>
          </w:p>
        </w:tc>
        <w:tc>
          <w:tcPr>
            <w:tcW w:w="1916" w:type="dxa"/>
          </w:tcPr>
          <w:p w:rsidRPr="00D10EC2" w:rsidR="006F096F" w:rsidP="00B35495" w:rsidRDefault="006F096F">
            <w:pPr>
              <w:jc w:val="center"/>
              <w:rPr>
                <w:b/>
                <w:sz w:val="20"/>
                <w:szCs w:val="20"/>
              </w:rPr>
            </w:pPr>
            <w:r w:rsidRPr="00D10EC2">
              <w:rPr>
                <w:b/>
                <w:sz w:val="20"/>
                <w:szCs w:val="20"/>
              </w:rPr>
              <w:t>Estimated Annual Burden (hours)</w:t>
            </w:r>
          </w:p>
        </w:tc>
      </w:tr>
      <w:tr w:rsidRPr="00D10EC2" w:rsidR="006F096F" w:rsidTr="00B35495">
        <w:tc>
          <w:tcPr>
            <w:tcW w:w="1915" w:type="dxa"/>
          </w:tcPr>
          <w:p w:rsidRPr="00D10EC2" w:rsidR="006F096F" w:rsidP="00B35495" w:rsidRDefault="006F096F">
            <w:pPr>
              <w:rPr>
                <w:sz w:val="24"/>
              </w:rPr>
            </w:pPr>
            <w:r w:rsidRPr="00D10EC2">
              <w:rPr>
                <w:sz w:val="24"/>
              </w:rPr>
              <w:t>States</w:t>
            </w:r>
          </w:p>
        </w:tc>
        <w:tc>
          <w:tcPr>
            <w:tcW w:w="1915" w:type="dxa"/>
            <w:tcBorders>
              <w:bottom w:val="single" w:color="000000" w:sz="4" w:space="0"/>
            </w:tcBorders>
          </w:tcPr>
          <w:p w:rsidRPr="00D10EC2" w:rsidR="006F096F" w:rsidP="00B35495" w:rsidRDefault="006F096F">
            <w:pPr>
              <w:rPr>
                <w:sz w:val="24"/>
              </w:rPr>
            </w:pPr>
            <w:r>
              <w:rPr>
                <w:sz w:val="24"/>
              </w:rPr>
              <w:t>34</w:t>
            </w:r>
          </w:p>
        </w:tc>
        <w:tc>
          <w:tcPr>
            <w:tcW w:w="1915" w:type="dxa"/>
            <w:tcBorders>
              <w:bottom w:val="single" w:color="000000" w:sz="4" w:space="0"/>
            </w:tcBorders>
          </w:tcPr>
          <w:p w:rsidRPr="00D10EC2" w:rsidR="006F096F" w:rsidP="00B35495" w:rsidRDefault="006F096F">
            <w:pPr>
              <w:rPr>
                <w:sz w:val="24"/>
              </w:rPr>
            </w:pPr>
            <w:r>
              <w:rPr>
                <w:sz w:val="24"/>
              </w:rPr>
              <w:t>19</w:t>
            </w:r>
          </w:p>
        </w:tc>
        <w:tc>
          <w:tcPr>
            <w:tcW w:w="1915" w:type="dxa"/>
            <w:tcBorders>
              <w:bottom w:val="single" w:color="000000" w:sz="4" w:space="0"/>
            </w:tcBorders>
          </w:tcPr>
          <w:p w:rsidRPr="00D10EC2" w:rsidR="006F096F" w:rsidP="00B35495" w:rsidRDefault="006F096F">
            <w:pPr>
              <w:rPr>
                <w:sz w:val="24"/>
              </w:rPr>
            </w:pPr>
            <w:r>
              <w:rPr>
                <w:sz w:val="24"/>
              </w:rPr>
              <w:t>100</w:t>
            </w:r>
          </w:p>
        </w:tc>
        <w:tc>
          <w:tcPr>
            <w:tcW w:w="1916" w:type="dxa"/>
          </w:tcPr>
          <w:p w:rsidRPr="00D10EC2" w:rsidR="006F096F" w:rsidP="00B35495" w:rsidRDefault="006F096F">
            <w:pPr>
              <w:rPr>
                <w:sz w:val="24"/>
              </w:rPr>
            </w:pPr>
            <w:r>
              <w:rPr>
                <w:sz w:val="24"/>
              </w:rPr>
              <w:t>1,900</w:t>
            </w:r>
          </w:p>
        </w:tc>
      </w:tr>
      <w:tr w:rsidRPr="00D10EC2" w:rsidR="006F096F" w:rsidTr="00B35495">
        <w:tc>
          <w:tcPr>
            <w:tcW w:w="1915" w:type="dxa"/>
          </w:tcPr>
          <w:p w:rsidRPr="00D10EC2" w:rsidR="006F096F" w:rsidP="00B35495" w:rsidRDefault="006F096F">
            <w:pPr>
              <w:rPr>
                <w:sz w:val="24"/>
              </w:rPr>
            </w:pPr>
            <w:r w:rsidRPr="00D10EC2">
              <w:rPr>
                <w:sz w:val="24"/>
              </w:rPr>
              <w:t>Total</w:t>
            </w:r>
          </w:p>
        </w:tc>
        <w:tc>
          <w:tcPr>
            <w:tcW w:w="1915" w:type="dxa"/>
            <w:shd w:val="clear" w:color="auto" w:fill="808080"/>
          </w:tcPr>
          <w:p w:rsidRPr="00D10EC2" w:rsidR="006F096F" w:rsidP="00B35495" w:rsidRDefault="006F096F">
            <w:pPr>
              <w:rPr>
                <w:sz w:val="24"/>
              </w:rPr>
            </w:pPr>
          </w:p>
        </w:tc>
        <w:tc>
          <w:tcPr>
            <w:tcW w:w="1915" w:type="dxa"/>
            <w:shd w:val="clear" w:color="auto" w:fill="808080"/>
          </w:tcPr>
          <w:p w:rsidRPr="00D10EC2" w:rsidR="006F096F" w:rsidP="00B35495" w:rsidRDefault="006F096F">
            <w:pPr>
              <w:rPr>
                <w:sz w:val="24"/>
              </w:rPr>
            </w:pPr>
          </w:p>
        </w:tc>
        <w:tc>
          <w:tcPr>
            <w:tcW w:w="1915" w:type="dxa"/>
            <w:shd w:val="clear" w:color="auto" w:fill="808080"/>
          </w:tcPr>
          <w:p w:rsidRPr="00D10EC2" w:rsidR="006F096F" w:rsidP="00B35495" w:rsidRDefault="006F096F">
            <w:pPr>
              <w:rPr>
                <w:sz w:val="24"/>
              </w:rPr>
            </w:pPr>
          </w:p>
        </w:tc>
        <w:tc>
          <w:tcPr>
            <w:tcW w:w="1916" w:type="dxa"/>
          </w:tcPr>
          <w:p w:rsidRPr="00D10EC2" w:rsidR="006F096F" w:rsidP="00B35495" w:rsidRDefault="006F096F">
            <w:pPr>
              <w:rPr>
                <w:sz w:val="24"/>
              </w:rPr>
            </w:pPr>
            <w:r>
              <w:rPr>
                <w:sz w:val="24"/>
              </w:rPr>
              <w:t>64,600</w:t>
            </w:r>
          </w:p>
        </w:tc>
      </w:tr>
    </w:tbl>
    <w:p w:rsidRPr="006F096F" w:rsidR="006F096F" w:rsidP="006F096F" w:rsidRDefault="006F096F">
      <w:pPr>
        <w:tabs>
          <w:tab w:val="left" w:pos="819"/>
          <w:tab w:val="left" w:pos="820"/>
        </w:tabs>
        <w:spacing w:before="131" w:line="343" w:lineRule="auto"/>
        <w:ind w:left="349" w:right="1295"/>
        <w:rPr>
          <w:sz w:val="24"/>
        </w:rPr>
      </w:pPr>
    </w:p>
    <w:p w:rsidR="00D869CC" w:rsidRDefault="004D7BD5">
      <w:pPr>
        <w:pStyle w:val="ListParagraph"/>
        <w:numPr>
          <w:ilvl w:val="1"/>
          <w:numId w:val="1"/>
        </w:numPr>
        <w:tabs>
          <w:tab w:val="left" w:pos="819"/>
          <w:tab w:val="left" w:pos="820"/>
        </w:tabs>
        <w:spacing w:before="149"/>
        <w:rPr>
          <w:sz w:val="24"/>
          <w:u w:val="none"/>
        </w:rPr>
      </w:pPr>
      <w:r>
        <w:rPr>
          <w:sz w:val="24"/>
        </w:rPr>
        <w:t>C</w:t>
      </w:r>
      <w:r>
        <w:rPr>
          <w:sz w:val="24"/>
        </w:rPr>
        <w:t>apital</w:t>
      </w:r>
      <w:r>
        <w:rPr>
          <w:spacing w:val="-1"/>
          <w:sz w:val="24"/>
        </w:rPr>
        <w:t xml:space="preserve"> </w:t>
      </w:r>
      <w:r>
        <w:rPr>
          <w:sz w:val="24"/>
        </w:rPr>
        <w:t>Costs</w:t>
      </w:r>
    </w:p>
    <w:p w:rsidR="00D869CC" w:rsidRDefault="004D7BD5">
      <w:pPr>
        <w:pStyle w:val="BodyText"/>
        <w:spacing w:before="182"/>
        <w:ind w:left="100"/>
      </w:pPr>
      <w:r>
        <w:t>There are no capital costs.</w:t>
      </w:r>
    </w:p>
    <w:p w:rsidR="00D869CC" w:rsidRDefault="00D869CC">
      <w:pPr>
        <w:pStyle w:val="BodyText"/>
        <w:rPr>
          <w:sz w:val="26"/>
        </w:rPr>
      </w:pPr>
    </w:p>
    <w:p w:rsidR="00D869CC" w:rsidRDefault="00D869CC">
      <w:pPr>
        <w:pStyle w:val="BodyText"/>
        <w:rPr>
          <w:sz w:val="30"/>
        </w:rPr>
      </w:pPr>
    </w:p>
    <w:p w:rsidR="00D869CC" w:rsidRDefault="004D7BD5">
      <w:pPr>
        <w:pStyle w:val="ListParagraph"/>
        <w:numPr>
          <w:ilvl w:val="1"/>
          <w:numId w:val="1"/>
        </w:numPr>
        <w:tabs>
          <w:tab w:val="left" w:pos="819"/>
          <w:tab w:val="left" w:pos="820"/>
        </w:tabs>
        <w:spacing w:before="1"/>
        <w:rPr>
          <w:sz w:val="24"/>
          <w:u w:val="none"/>
        </w:rPr>
      </w:pPr>
      <w:r>
        <w:rPr>
          <w:sz w:val="24"/>
        </w:rPr>
        <w:t>Cost t</w:t>
      </w:r>
      <w:r>
        <w:rPr>
          <w:sz w:val="24"/>
        </w:rPr>
        <w:t>o Federal</w:t>
      </w:r>
      <w:r>
        <w:rPr>
          <w:spacing w:val="-4"/>
          <w:sz w:val="24"/>
        </w:rPr>
        <w:t xml:space="preserve"> </w:t>
      </w:r>
      <w:r>
        <w:rPr>
          <w:sz w:val="24"/>
        </w:rPr>
        <w:t>Government</w:t>
      </w:r>
    </w:p>
    <w:p w:rsidR="00D869CC" w:rsidRDefault="004D7BD5">
      <w:pPr>
        <w:pStyle w:val="BodyText"/>
        <w:tabs>
          <w:tab w:val="left" w:pos="5859"/>
        </w:tabs>
        <w:spacing w:before="179" w:line="259" w:lineRule="auto"/>
        <w:ind w:left="100" w:right="143"/>
      </w:pPr>
      <w:r>
        <w:t>CMS expects that federal staff will devote approximately 4000 hours to all MEQC</w:t>
      </w:r>
      <w:r>
        <w:rPr>
          <w:spacing w:val="-5"/>
        </w:rPr>
        <w:t xml:space="preserve"> </w:t>
      </w:r>
      <w:r>
        <w:t>activities</w:t>
      </w:r>
      <w:r>
        <w:rPr>
          <w:spacing w:val="-1"/>
        </w:rPr>
        <w:t xml:space="preserve"> </w:t>
      </w:r>
      <w:r>
        <w:t>annually.</w:t>
      </w:r>
      <w:r>
        <w:tab/>
        <w:t xml:space="preserve">This takes into account the assumption that 2080 hours equal one full-time equivalent </w:t>
      </w:r>
      <w:r>
        <w:rPr>
          <w:spacing w:val="-6"/>
        </w:rPr>
        <w:t xml:space="preserve">or </w:t>
      </w:r>
      <w:r>
        <w:t xml:space="preserve">FTE. The bulk of the MEQC workload is divided among 3 core MEQC staff, with four other persons assisting during periods when </w:t>
      </w:r>
      <w:r>
        <w:rPr>
          <w:spacing w:val="-4"/>
        </w:rPr>
        <w:t xml:space="preserve">key </w:t>
      </w:r>
      <w:r>
        <w:t>deliverables must be reviewed under tight time</w:t>
      </w:r>
      <w:r>
        <w:rPr>
          <w:spacing w:val="-8"/>
        </w:rPr>
        <w:t xml:space="preserve"> </w:t>
      </w:r>
      <w:r>
        <w:t>frames.</w:t>
      </w:r>
    </w:p>
    <w:p w:rsidR="00D869CC" w:rsidRDefault="004D7BD5">
      <w:pPr>
        <w:pStyle w:val="BodyText"/>
        <w:spacing w:before="161" w:line="259" w:lineRule="auto"/>
        <w:ind w:left="100" w:right="401"/>
      </w:pPr>
      <w:r>
        <w:t>To derive average costs, we used data from the U.S. Bureau of Labor Stat</w:t>
      </w:r>
      <w:r w:rsidR="006F096F">
        <w:t>istics’(BLS) May 2019</w:t>
      </w:r>
      <w:r>
        <w:t xml:space="preserve"> National Industry-Specific Occupational Employment and Wage Estimates for the Federal </w:t>
      </w:r>
      <w:r>
        <w:lastRenderedPageBreak/>
        <w:t>Executive Branch (NAICS 999100) (</w:t>
      </w:r>
      <w:hyperlink w:anchor="31-0000" r:id="rId8">
        <w:r>
          <w:rPr>
            <w:rFonts w:ascii="Calibri" w:hAnsi="Calibri"/>
            <w:color w:val="0563C1"/>
            <w:sz w:val="22"/>
            <w:u w:val="single" w:color="0563C1"/>
          </w:rPr>
          <w:t>https://www.bls.gov/oes/2018/may</w:t>
        </w:r>
        <w:r>
          <w:rPr>
            <w:rFonts w:ascii="Calibri" w:hAnsi="Calibri"/>
            <w:color w:val="0563C1"/>
            <w:sz w:val="22"/>
            <w:u w:val="single" w:color="0563C1"/>
          </w:rPr>
          <w:t>/naics4_999200.htm#31-0000</w:t>
        </w:r>
      </w:hyperlink>
      <w:r>
        <w:t>) for the occupation</w:t>
      </w:r>
    </w:p>
    <w:p w:rsidR="00D869CC" w:rsidRDefault="00D869CC">
      <w:pPr>
        <w:spacing w:line="259" w:lineRule="auto"/>
        <w:sectPr w:rsidR="00D869CC">
          <w:pgSz w:w="12240" w:h="15840"/>
          <w:pgMar w:top="1400" w:right="1440" w:bottom="280" w:left="1340" w:header="720" w:footer="720" w:gutter="0"/>
          <w:cols w:space="720"/>
        </w:sectPr>
      </w:pPr>
    </w:p>
    <w:p w:rsidR="00D869CC" w:rsidRDefault="004D7BD5">
      <w:pPr>
        <w:pStyle w:val="BodyText"/>
        <w:spacing w:before="86" w:line="259" w:lineRule="auto"/>
        <w:ind w:left="100"/>
      </w:pPr>
      <w:r>
        <w:lastRenderedPageBreak/>
        <w:t>titled ‘Claims Adjusters, Appraisers, Examiners, and Investigators’ (Occupation Code 13-1031). This estimate includes the mean hourly wage ($36.42) with fringe benefits calculated at 100% totaling $72.</w:t>
      </w:r>
      <w:r>
        <w:t>84 per hour. Multiplying the estimated federal burden in hours times the mean hourly wage with fringe benefits (4000 x $72.84) yields an estimated Federal cost of $</w:t>
      </w:r>
      <w:bookmarkStart w:name="_GoBack" w:id="1"/>
      <w:r>
        <w:t>291,360</w:t>
      </w:r>
      <w:bookmarkEnd w:id="1"/>
      <w:r>
        <w:t>.</w:t>
      </w:r>
    </w:p>
    <w:p w:rsidR="00D869CC" w:rsidRDefault="00D869CC">
      <w:pPr>
        <w:pStyle w:val="BodyText"/>
        <w:rPr>
          <w:sz w:val="26"/>
        </w:rPr>
      </w:pPr>
    </w:p>
    <w:p w:rsidR="00D869CC" w:rsidRDefault="00D869CC">
      <w:pPr>
        <w:pStyle w:val="BodyText"/>
        <w:spacing w:before="11"/>
        <w:rPr>
          <w:sz w:val="27"/>
        </w:rPr>
      </w:pPr>
    </w:p>
    <w:p w:rsidR="00D869CC" w:rsidRDefault="004D7BD5">
      <w:pPr>
        <w:pStyle w:val="ListParagraph"/>
        <w:numPr>
          <w:ilvl w:val="1"/>
          <w:numId w:val="1"/>
        </w:numPr>
        <w:tabs>
          <w:tab w:val="left" w:pos="819"/>
          <w:tab w:val="left" w:pos="820"/>
        </w:tabs>
        <w:rPr>
          <w:sz w:val="24"/>
          <w:u w:val="none"/>
        </w:rPr>
      </w:pPr>
      <w:r>
        <w:rPr>
          <w:sz w:val="24"/>
        </w:rPr>
        <w:t>Changes to</w:t>
      </w:r>
      <w:r>
        <w:rPr>
          <w:spacing w:val="-3"/>
          <w:sz w:val="24"/>
        </w:rPr>
        <w:t xml:space="preserve"> </w:t>
      </w:r>
      <w:r>
        <w:rPr>
          <w:sz w:val="24"/>
        </w:rPr>
        <w:t>Burden</w:t>
      </w:r>
    </w:p>
    <w:p w:rsidR="00D869CC" w:rsidRDefault="004D7BD5">
      <w:pPr>
        <w:pStyle w:val="BodyText"/>
        <w:tabs>
          <w:tab w:val="left" w:pos="6003"/>
          <w:tab w:val="left" w:pos="7299"/>
        </w:tabs>
        <w:spacing w:before="182" w:line="259" w:lineRule="auto"/>
        <w:ind w:left="100" w:right="143"/>
      </w:pPr>
      <w:r>
        <w:t>All 50 States and the District of Columbia will conduct the</w:t>
      </w:r>
      <w:r>
        <w:rPr>
          <w:spacing w:val="-13"/>
        </w:rPr>
        <w:t xml:space="preserve"> </w:t>
      </w:r>
      <w:r>
        <w:t>MEQC pilot during their off-cycle PERM years. At any given point in time, 34 States will be working on the front end or back end of their MEQC pilots. All states will be required to submit their MEQC case level reports and CAPs to CMS in a CMS specified fo</w:t>
      </w:r>
      <w:r>
        <w:t xml:space="preserve">rmat by August 1 following the end of the MEQC review period. The cumulative burden of conducting MEQC reviews and preparing case level reports and CAPs has been increased (from 1500 hours to 1900 hours, a total of 400 hours/state) from the estimate found </w:t>
      </w:r>
      <w:r>
        <w:t>in the preamble to the final regulation of July 5, 2017</w:t>
      </w:r>
      <w:r>
        <w:rPr>
          <w:spacing w:val="-14"/>
        </w:rPr>
        <w:t xml:space="preserve"> </w:t>
      </w:r>
      <w:r>
        <w:t>as published in the Federal Register (82</w:t>
      </w:r>
      <w:r>
        <w:rPr>
          <w:spacing w:val="-7"/>
        </w:rPr>
        <w:t xml:space="preserve"> </w:t>
      </w:r>
      <w:r>
        <w:t>FR</w:t>
      </w:r>
      <w:r>
        <w:rPr>
          <w:spacing w:val="-1"/>
        </w:rPr>
        <w:t xml:space="preserve"> </w:t>
      </w:r>
      <w:r>
        <w:t>31158).</w:t>
      </w:r>
      <w:r>
        <w:tab/>
        <w:t>The increase in burden is based on the actual time period available to</w:t>
      </w:r>
      <w:r>
        <w:rPr>
          <w:spacing w:val="-13"/>
        </w:rPr>
        <w:t xml:space="preserve"> </w:t>
      </w:r>
      <w:r>
        <w:t xml:space="preserve">states for conducting sampling, performing MEQC case reviews, and developing </w:t>
      </w:r>
      <w:r>
        <w:t>case level reports</w:t>
      </w:r>
      <w:r>
        <w:rPr>
          <w:spacing w:val="-5"/>
        </w:rPr>
        <w:t xml:space="preserve"> </w:t>
      </w:r>
      <w:r>
        <w:t>and</w:t>
      </w:r>
      <w:r>
        <w:rPr>
          <w:spacing w:val="-1"/>
        </w:rPr>
        <w:t xml:space="preserve"> </w:t>
      </w:r>
      <w:r>
        <w:t>CAPs.</w:t>
      </w:r>
      <w:r>
        <w:tab/>
        <w:t>This period is substantially longer than the duration of each round of the previous eligibility pilots; and the required caseloads are commensurately</w:t>
      </w:r>
      <w:r>
        <w:rPr>
          <w:spacing w:val="-2"/>
        </w:rPr>
        <w:t xml:space="preserve"> </w:t>
      </w:r>
      <w:r>
        <w:t>larger.</w:t>
      </w:r>
    </w:p>
    <w:p w:rsidR="00D869CC" w:rsidRDefault="00D869CC">
      <w:pPr>
        <w:pStyle w:val="BodyText"/>
        <w:rPr>
          <w:sz w:val="26"/>
        </w:rPr>
      </w:pPr>
    </w:p>
    <w:p w:rsidR="00D869CC" w:rsidRDefault="00D869CC">
      <w:pPr>
        <w:pStyle w:val="BodyText"/>
        <w:spacing w:before="9"/>
        <w:rPr>
          <w:sz w:val="27"/>
        </w:rPr>
      </w:pPr>
    </w:p>
    <w:p w:rsidR="00D869CC" w:rsidRDefault="004D7BD5">
      <w:pPr>
        <w:pStyle w:val="ListParagraph"/>
        <w:numPr>
          <w:ilvl w:val="1"/>
          <w:numId w:val="1"/>
        </w:numPr>
        <w:tabs>
          <w:tab w:val="left" w:pos="819"/>
          <w:tab w:val="left" w:pos="820"/>
        </w:tabs>
        <w:rPr>
          <w:sz w:val="24"/>
          <w:u w:val="none"/>
        </w:rPr>
      </w:pPr>
      <w:r>
        <w:rPr>
          <w:sz w:val="24"/>
        </w:rPr>
        <w:t>Publication and Tabulation</w:t>
      </w:r>
      <w:r>
        <w:rPr>
          <w:spacing w:val="-4"/>
          <w:sz w:val="24"/>
        </w:rPr>
        <w:t xml:space="preserve"> </w:t>
      </w:r>
      <w:r>
        <w:rPr>
          <w:sz w:val="24"/>
        </w:rPr>
        <w:t>Dates</w:t>
      </w:r>
    </w:p>
    <w:p w:rsidR="00D869CC" w:rsidRDefault="004D7BD5">
      <w:pPr>
        <w:pStyle w:val="BodyText"/>
        <w:spacing w:before="182"/>
        <w:ind w:left="100"/>
      </w:pPr>
      <w:r>
        <w:t>There are no plans to publish this</w:t>
      </w:r>
      <w:r>
        <w:t xml:space="preserve"> information collection.</w:t>
      </w:r>
    </w:p>
    <w:p w:rsidR="00D869CC" w:rsidRDefault="00D869CC">
      <w:pPr>
        <w:pStyle w:val="BodyText"/>
        <w:rPr>
          <w:sz w:val="26"/>
        </w:rPr>
      </w:pPr>
    </w:p>
    <w:p w:rsidR="00D869CC" w:rsidRDefault="00D869CC">
      <w:pPr>
        <w:pStyle w:val="BodyText"/>
        <w:spacing w:before="1"/>
        <w:rPr>
          <w:sz w:val="30"/>
        </w:rPr>
      </w:pPr>
    </w:p>
    <w:p w:rsidR="00D869CC" w:rsidRDefault="004D7BD5">
      <w:pPr>
        <w:pStyle w:val="ListParagraph"/>
        <w:numPr>
          <w:ilvl w:val="1"/>
          <w:numId w:val="1"/>
        </w:numPr>
        <w:tabs>
          <w:tab w:val="left" w:pos="819"/>
          <w:tab w:val="left" w:pos="820"/>
        </w:tabs>
        <w:rPr>
          <w:sz w:val="24"/>
          <w:u w:val="none"/>
        </w:rPr>
      </w:pPr>
      <w:r>
        <w:rPr>
          <w:sz w:val="24"/>
        </w:rPr>
        <w:t>Display of Expiration</w:t>
      </w:r>
      <w:r>
        <w:rPr>
          <w:spacing w:val="-4"/>
          <w:sz w:val="24"/>
        </w:rPr>
        <w:t xml:space="preserve"> </w:t>
      </w:r>
      <w:r>
        <w:rPr>
          <w:sz w:val="24"/>
        </w:rPr>
        <w:t>Date</w:t>
      </w:r>
    </w:p>
    <w:sectPr w:rsidR="00D869CC">
      <w:pgSz w:w="12240" w:h="15840"/>
      <w:pgMar w:top="136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A0358"/>
    <w:multiLevelType w:val="hybridMultilevel"/>
    <w:tmpl w:val="C83C3AC2"/>
    <w:lvl w:ilvl="0" w:tplc="8A1847CC">
      <w:start w:val="1"/>
      <w:numFmt w:val="upperLetter"/>
      <w:lvlText w:val="%1."/>
      <w:lvlJc w:val="left"/>
      <w:pPr>
        <w:ind w:left="820" w:hanging="720"/>
        <w:jc w:val="left"/>
      </w:pPr>
      <w:rPr>
        <w:rFonts w:ascii="Courier New" w:eastAsia="Courier New" w:hAnsi="Courier New" w:cs="Courier New" w:hint="default"/>
        <w:w w:val="99"/>
        <w:sz w:val="24"/>
        <w:szCs w:val="24"/>
        <w:lang w:val="en-US" w:eastAsia="en-US" w:bidi="en-US"/>
      </w:rPr>
    </w:lvl>
    <w:lvl w:ilvl="1" w:tplc="D876A3DC">
      <w:start w:val="1"/>
      <w:numFmt w:val="decimal"/>
      <w:lvlText w:val="%2."/>
      <w:lvlJc w:val="left"/>
      <w:pPr>
        <w:ind w:left="820" w:hanging="720"/>
        <w:jc w:val="left"/>
      </w:pPr>
      <w:rPr>
        <w:rFonts w:ascii="Courier New" w:eastAsia="Courier New" w:hAnsi="Courier New" w:cs="Courier New" w:hint="default"/>
        <w:w w:val="99"/>
        <w:sz w:val="24"/>
        <w:szCs w:val="24"/>
        <w:lang w:val="en-US" w:eastAsia="en-US" w:bidi="en-US"/>
      </w:rPr>
    </w:lvl>
    <w:lvl w:ilvl="2" w:tplc="C86AFF98">
      <w:numFmt w:val="bullet"/>
      <w:lvlText w:val=""/>
      <w:lvlJc w:val="left"/>
      <w:pPr>
        <w:ind w:left="820" w:hanging="471"/>
      </w:pPr>
      <w:rPr>
        <w:rFonts w:ascii="Symbol" w:eastAsia="Symbol" w:hAnsi="Symbol" w:cs="Symbol" w:hint="default"/>
        <w:w w:val="100"/>
        <w:sz w:val="24"/>
        <w:szCs w:val="24"/>
        <w:lang w:val="en-US" w:eastAsia="en-US" w:bidi="en-US"/>
      </w:rPr>
    </w:lvl>
    <w:lvl w:ilvl="3" w:tplc="F370B0B6">
      <w:numFmt w:val="bullet"/>
      <w:lvlText w:val="•"/>
      <w:lvlJc w:val="left"/>
      <w:pPr>
        <w:ind w:left="3412" w:hanging="471"/>
      </w:pPr>
      <w:rPr>
        <w:rFonts w:hint="default"/>
        <w:lang w:val="en-US" w:eastAsia="en-US" w:bidi="en-US"/>
      </w:rPr>
    </w:lvl>
    <w:lvl w:ilvl="4" w:tplc="C01EC202">
      <w:numFmt w:val="bullet"/>
      <w:lvlText w:val="•"/>
      <w:lvlJc w:val="left"/>
      <w:pPr>
        <w:ind w:left="4276" w:hanging="471"/>
      </w:pPr>
      <w:rPr>
        <w:rFonts w:hint="default"/>
        <w:lang w:val="en-US" w:eastAsia="en-US" w:bidi="en-US"/>
      </w:rPr>
    </w:lvl>
    <w:lvl w:ilvl="5" w:tplc="565697AA">
      <w:numFmt w:val="bullet"/>
      <w:lvlText w:val="•"/>
      <w:lvlJc w:val="left"/>
      <w:pPr>
        <w:ind w:left="5140" w:hanging="471"/>
      </w:pPr>
      <w:rPr>
        <w:rFonts w:hint="default"/>
        <w:lang w:val="en-US" w:eastAsia="en-US" w:bidi="en-US"/>
      </w:rPr>
    </w:lvl>
    <w:lvl w:ilvl="6" w:tplc="D2C8C580">
      <w:numFmt w:val="bullet"/>
      <w:lvlText w:val="•"/>
      <w:lvlJc w:val="left"/>
      <w:pPr>
        <w:ind w:left="6004" w:hanging="471"/>
      </w:pPr>
      <w:rPr>
        <w:rFonts w:hint="default"/>
        <w:lang w:val="en-US" w:eastAsia="en-US" w:bidi="en-US"/>
      </w:rPr>
    </w:lvl>
    <w:lvl w:ilvl="7" w:tplc="7226B092">
      <w:numFmt w:val="bullet"/>
      <w:lvlText w:val="•"/>
      <w:lvlJc w:val="left"/>
      <w:pPr>
        <w:ind w:left="6868" w:hanging="471"/>
      </w:pPr>
      <w:rPr>
        <w:rFonts w:hint="default"/>
        <w:lang w:val="en-US" w:eastAsia="en-US" w:bidi="en-US"/>
      </w:rPr>
    </w:lvl>
    <w:lvl w:ilvl="8" w:tplc="86F04CA6">
      <w:numFmt w:val="bullet"/>
      <w:lvlText w:val="•"/>
      <w:lvlJc w:val="left"/>
      <w:pPr>
        <w:ind w:left="7732" w:hanging="47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CC"/>
    <w:rsid w:val="004D7BD5"/>
    <w:rsid w:val="006F096F"/>
    <w:rsid w:val="00751930"/>
    <w:rsid w:val="00B47987"/>
    <w:rsid w:val="00D511C2"/>
    <w:rsid w:val="00D8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8D0A00"/>
  <w15:docId w15:val="{8505DB59-8298-4829-BE43-EA3F60DB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1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2018/may/naics4_999200.htm" TargetMode="External"/><Relationship Id="rId3" Type="http://schemas.openxmlformats.org/officeDocument/2006/relationships/settings" Target="settings.xml"/><Relationship Id="rId7" Type="http://schemas.openxmlformats.org/officeDocument/2006/relationships/hyperlink" Target="https://www.bls.gov/oes/2019/may/naics4_999200.htm#31-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gister.gov/documents/2017/07/05/2017-13710/medicaidchip-program-medicaid-program-and-childrens-health-insurance-program-chip-changes-to-the" TargetMode="External"/><Relationship Id="rId5" Type="http://schemas.openxmlformats.org/officeDocument/2006/relationships/hyperlink" Target="https://www.federalregister.gov/documents/2017/07/05/2017-13710/medicaidchip-program-medicaid-program-and-childrens-health-insurance-program-chip-changes-to-t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the State Medicaid Eligibility Quality Control Case Review and Reports of Findings and Supporting Regulations</vt:lpstr>
    </vt:vector>
  </TitlesOfParts>
  <Company>CMS</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State Medicaid Eligibility Quality Control Case Review and Reports of Findings and Supporting Regulations</dc:title>
  <dc:creator>TASHA TRUSTY</dc:creator>
  <cp:lastModifiedBy>JAMAA HILL</cp:lastModifiedBy>
  <cp:revision>2</cp:revision>
  <dcterms:created xsi:type="dcterms:W3CDTF">2020-10-13T15:33:00Z</dcterms:created>
  <dcterms:modified xsi:type="dcterms:W3CDTF">2020-10-13T15:33:00Z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Acrobat PDFMaker 15 for Word</vt:lpwstr>
  </property>
  <property fmtid="{D5CDD505-2E9C-101B-9397-08002B2CF9AE}" pid="4" name="LastSaved">
    <vt:filetime>2020-10-13T00:00:00Z</vt:filetime>
  </property>
</Properties>
</file>