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41C7" w:rsidR="000241C7" w:rsidP="000241C7" w:rsidRDefault="00024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241C7">
        <w:rPr>
          <w:b/>
          <w:bCs/>
          <w:sz w:val="24"/>
        </w:rPr>
        <w:t>Supporting Statement – Part A</w:t>
      </w:r>
    </w:p>
    <w:p w:rsidRPr="000241C7" w:rsidR="000241C7" w:rsidP="000241C7" w:rsidRDefault="00024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241C7">
        <w:rPr>
          <w:b/>
          <w:bCs/>
          <w:sz w:val="24"/>
        </w:rPr>
        <w:t>Appropriate Use Criteria for Advanced Diagnostic Imaging Services</w:t>
      </w:r>
    </w:p>
    <w:p w:rsidRPr="000241C7" w:rsidR="008F1EB4" w:rsidP="000241C7" w:rsidRDefault="00024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CMS-10570 (OMB 0938-1288</w:t>
      </w:r>
      <w:r w:rsidRPr="000241C7">
        <w:rPr>
          <w:b/>
          <w:bCs/>
          <w:sz w:val="24"/>
        </w:rPr>
        <w:t>)</w:t>
      </w:r>
    </w:p>
    <w:p w:rsidR="000241C7" w:rsidP="000241C7" w:rsidRDefault="00024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rsidRPr="00B93ED5" w:rsidR="00E01E1E" w:rsidP="00E01E1E" w:rsidRDefault="00E01E1E">
      <w:pPr>
        <w:rPr>
          <w:spacing w:val="-1"/>
          <w:sz w:val="24"/>
        </w:rPr>
      </w:pPr>
    </w:p>
    <w:p w:rsidR="00EC30A5" w:rsidP="00E01E1E" w:rsidRDefault="00E01E1E">
      <w:pPr>
        <w:rPr>
          <w:sz w:val="24"/>
        </w:rPr>
      </w:pPr>
      <w:r w:rsidRPr="00B93ED5">
        <w:rPr>
          <w:sz w:val="24"/>
        </w:rPr>
        <w:t xml:space="preserve">This package </w:t>
      </w:r>
      <w:proofErr w:type="gramStart"/>
      <w:r w:rsidR="00EC30A5">
        <w:rPr>
          <w:sz w:val="24"/>
        </w:rPr>
        <w:t>was first approved</w:t>
      </w:r>
      <w:proofErr w:type="gramEnd"/>
      <w:r w:rsidR="00EC30A5">
        <w:rPr>
          <w:sz w:val="24"/>
        </w:rPr>
        <w:t xml:space="preserve"> on June 24, 2016 and was</w:t>
      </w:r>
      <w:r w:rsidRPr="00B93ED5">
        <w:rPr>
          <w:sz w:val="24"/>
        </w:rPr>
        <w:t xml:space="preserve"> associated with a November 16, 2015, final rule (80 FR 70886) (CMS-1631-FC; RIN 0938-AS40).</w:t>
      </w:r>
      <w:r w:rsidR="00EC30A5">
        <w:rPr>
          <w:sz w:val="24"/>
        </w:rPr>
        <w:t xml:space="preserve"> </w:t>
      </w:r>
    </w:p>
    <w:p w:rsidR="008D5E98" w:rsidP="00E01E1E" w:rsidRDefault="008D5E98">
      <w:pPr>
        <w:rPr>
          <w:sz w:val="24"/>
        </w:rPr>
      </w:pPr>
    </w:p>
    <w:p w:rsidR="00E01E1E" w:rsidP="00E01E1E" w:rsidRDefault="00EC30A5">
      <w:pPr>
        <w:rPr>
          <w:sz w:val="24"/>
        </w:rPr>
      </w:pPr>
      <w:r>
        <w:rPr>
          <w:sz w:val="24"/>
        </w:rPr>
        <w:t xml:space="preserve">This package seeks to reinstate the collection of information. This package includes </w:t>
      </w:r>
      <w:r w:rsidR="00693ED7">
        <w:rPr>
          <w:sz w:val="24"/>
        </w:rPr>
        <w:t>revisions to the burden estimates to take into account the actual number of applications received in the first few years of the program as well as updating the wage estimates using the most current 2019 BLS wage index.</w:t>
      </w:r>
      <w:r>
        <w:rPr>
          <w:sz w:val="24"/>
        </w:rPr>
        <w:t xml:space="preserve"> </w:t>
      </w:r>
    </w:p>
    <w:p w:rsidRPr="000241C7" w:rsidR="00E01E1E" w:rsidP="00E01E1E" w:rsidRDefault="00E01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241C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41C7">
        <w:rPr>
          <w:b/>
          <w:bCs/>
          <w:sz w:val="24"/>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D57CC" w:rsidRDefault="006418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of information under the Appropriate Use Criteria (AUC) for Diagnostic Imaging Services program is an essential component of this program. </w:t>
      </w:r>
      <w:r w:rsidR="00B57441">
        <w:rPr>
          <w:sz w:val="24"/>
        </w:rPr>
        <w:t>In general, AUC are a set of individual criteria that present information in a manner that links a specific clinical condition or presentation, one or more services, and an assessment of the appropriateness of the service(s)</w:t>
      </w:r>
      <w:r w:rsidR="004B69F3">
        <w:rPr>
          <w:sz w:val="24"/>
        </w:rPr>
        <w:t xml:space="preserve">.  </w:t>
      </w:r>
      <w:r w:rsidR="00B57441">
        <w:rPr>
          <w:sz w:val="24"/>
        </w:rPr>
        <w:t xml:space="preserve">Evidence-based AUC for imaging can assist clinicians in selecting the imaging study that is most likely to improve health outcomes for patients based on their individual context. A provider-led entity (PLE) as defined in </w:t>
      </w:r>
      <w:r w:rsidR="00A77C94">
        <w:rPr>
          <w:sz w:val="24"/>
        </w:rPr>
        <w:t xml:space="preserve">42 CFR </w:t>
      </w:r>
      <w:r w:rsidR="00B57441">
        <w:rPr>
          <w:sz w:val="24"/>
        </w:rPr>
        <w:t>§</w:t>
      </w:r>
      <w:r w:rsidR="00A77C94">
        <w:rPr>
          <w:sz w:val="24"/>
        </w:rPr>
        <w:t xml:space="preserve"> </w:t>
      </w:r>
      <w:r w:rsidR="00B57441">
        <w:rPr>
          <w:sz w:val="24"/>
        </w:rPr>
        <w:t>414.94(b) is a national professional medical specialty society or other organization that is comprised primarily of providers or practitioners who, either within the organization or outside the organization, predominantly provide direct patient care.</w:t>
      </w:r>
      <w:r w:rsidR="004B69F3">
        <w:rPr>
          <w:sz w:val="24"/>
        </w:rPr>
        <w:t xml:space="preserve"> </w:t>
      </w:r>
      <w:r w:rsidR="00B57441">
        <w:rPr>
          <w:sz w:val="24"/>
        </w:rPr>
        <w:t xml:space="preserve"> </w:t>
      </w:r>
    </w:p>
    <w:p w:rsidR="002D57CC" w:rsidRDefault="002D57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4B69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Per the definition of AUC in </w:t>
      </w:r>
      <w:r w:rsidRPr="004B69F3">
        <w:rPr>
          <w:sz w:val="24"/>
        </w:rPr>
        <w:t>§</w:t>
      </w:r>
      <w:r w:rsidR="00A77C94">
        <w:rPr>
          <w:sz w:val="24"/>
        </w:rPr>
        <w:t xml:space="preserve"> </w:t>
      </w:r>
      <w:r w:rsidRPr="004B69F3">
        <w:rPr>
          <w:sz w:val="24"/>
        </w:rPr>
        <w:t>414.94(b)</w:t>
      </w:r>
      <w:r>
        <w:rPr>
          <w:sz w:val="24"/>
        </w:rPr>
        <w:t>, AUC are criteria developed or endorsed by national professional medical specialty societies or other PLEs.  This program require</w:t>
      </w:r>
      <w:r w:rsidR="00693ED7">
        <w:rPr>
          <w:sz w:val="24"/>
        </w:rPr>
        <w:t>s</w:t>
      </w:r>
      <w:r>
        <w:rPr>
          <w:sz w:val="24"/>
        </w:rPr>
        <w:t xml:space="preserve"> professionals ordering applicable imaging services as defined in </w:t>
      </w:r>
      <w:r w:rsidRPr="004B69F3">
        <w:rPr>
          <w:sz w:val="24"/>
        </w:rPr>
        <w:t>§</w:t>
      </w:r>
      <w:r w:rsidR="00A77C94">
        <w:rPr>
          <w:sz w:val="24"/>
        </w:rPr>
        <w:t xml:space="preserve"> </w:t>
      </w:r>
      <w:r w:rsidRPr="004B69F3">
        <w:rPr>
          <w:sz w:val="24"/>
        </w:rPr>
        <w:t xml:space="preserve">414.94(b) </w:t>
      </w:r>
      <w:r>
        <w:rPr>
          <w:sz w:val="24"/>
        </w:rPr>
        <w:t>to consult</w:t>
      </w:r>
      <w:r w:rsidRPr="004B69F3">
        <w:rPr>
          <w:sz w:val="24"/>
        </w:rPr>
        <w:t xml:space="preserve"> </w:t>
      </w:r>
      <w:r>
        <w:rPr>
          <w:sz w:val="24"/>
        </w:rPr>
        <w:t xml:space="preserve">with specified applicable AUC, which are criteria developed, endorsed or modified by a qualified PLE.  </w:t>
      </w:r>
      <w:r w:rsidR="0064181D">
        <w:rPr>
          <w:sz w:val="24"/>
        </w:rPr>
        <w:t xml:space="preserve">In order for CMS to identify </w:t>
      </w:r>
      <w:r w:rsidR="00B57441">
        <w:rPr>
          <w:sz w:val="24"/>
        </w:rPr>
        <w:t>PLEs</w:t>
      </w:r>
      <w:r w:rsidR="0064181D">
        <w:rPr>
          <w:sz w:val="24"/>
        </w:rPr>
        <w:t xml:space="preserve"> that are qualified to develop AUC, we developed requirements that entities must meet in their AUC development processes. To ensure that these requirements </w:t>
      </w:r>
      <w:proofErr w:type="gramStart"/>
      <w:r w:rsidR="0064181D">
        <w:rPr>
          <w:sz w:val="24"/>
        </w:rPr>
        <w:t>are met</w:t>
      </w:r>
      <w:proofErr w:type="gramEnd"/>
      <w:r w:rsidR="0064181D">
        <w:rPr>
          <w:sz w:val="24"/>
        </w:rPr>
        <w:t>, we requir</w:t>
      </w:r>
      <w:r w:rsidR="00693ED7">
        <w:rPr>
          <w:sz w:val="24"/>
        </w:rPr>
        <w:t>e</w:t>
      </w:r>
      <w:r w:rsidR="0064181D">
        <w:rPr>
          <w:sz w:val="24"/>
        </w:rPr>
        <w:t xml:space="preserve"> </w:t>
      </w:r>
      <w:r w:rsidR="002B3869">
        <w:rPr>
          <w:sz w:val="24"/>
        </w:rPr>
        <w:t xml:space="preserve">PLEs </w:t>
      </w:r>
      <w:r w:rsidR="0064181D">
        <w:rPr>
          <w:sz w:val="24"/>
        </w:rPr>
        <w:t xml:space="preserve">to submit information demonstrating their adherence to these requirements. </w:t>
      </w:r>
      <w:r w:rsidR="00823808">
        <w:rPr>
          <w:sz w:val="24"/>
        </w:rPr>
        <w:t>CMS qualifies t</w:t>
      </w:r>
      <w:r w:rsidR="0064181D">
        <w:rPr>
          <w:sz w:val="24"/>
        </w:rPr>
        <w:t xml:space="preserve">hose </w:t>
      </w:r>
      <w:r w:rsidR="002B3869">
        <w:rPr>
          <w:sz w:val="24"/>
        </w:rPr>
        <w:t>PLEs</w:t>
      </w:r>
      <w:r w:rsidR="0064181D">
        <w:rPr>
          <w:sz w:val="24"/>
        </w:rPr>
        <w:t xml:space="preserve"> that demonstrate adherence to the requirements</w:t>
      </w:r>
      <w:r w:rsidR="00823808">
        <w:rPr>
          <w:sz w:val="24"/>
        </w:rPr>
        <w:t xml:space="preserve"> for a period of five years</w:t>
      </w:r>
      <w:r w:rsidR="0064181D">
        <w:rPr>
          <w:sz w:val="24"/>
        </w:rPr>
        <w:t xml:space="preserve">. Qualified </w:t>
      </w:r>
      <w:r w:rsidR="002B3869">
        <w:rPr>
          <w:sz w:val="24"/>
        </w:rPr>
        <w:t>PLEs</w:t>
      </w:r>
      <w:r w:rsidR="00F47C0C">
        <w:rPr>
          <w:sz w:val="24"/>
        </w:rPr>
        <w:t xml:space="preserve"> are also required,</w:t>
      </w:r>
      <w:r w:rsidR="0064181D">
        <w:rPr>
          <w:sz w:val="24"/>
        </w:rPr>
        <w:t xml:space="preserve"> </w:t>
      </w:r>
      <w:r w:rsidR="002B3869">
        <w:rPr>
          <w:sz w:val="24"/>
        </w:rPr>
        <w:t>during the 5</w:t>
      </w:r>
      <w:r w:rsidRPr="00F47C0C" w:rsidR="002B3869">
        <w:rPr>
          <w:sz w:val="24"/>
          <w:vertAlign w:val="superscript"/>
        </w:rPr>
        <w:t>th</w:t>
      </w:r>
      <w:r w:rsidR="002B3869">
        <w:rPr>
          <w:sz w:val="24"/>
        </w:rPr>
        <w:t xml:space="preserve"> year</w:t>
      </w:r>
      <w:r w:rsidR="00693ED7">
        <w:rPr>
          <w:sz w:val="24"/>
        </w:rPr>
        <w:t>s</w:t>
      </w:r>
      <w:r w:rsidR="002B3869">
        <w:rPr>
          <w:sz w:val="24"/>
        </w:rPr>
        <w:t xml:space="preserve"> after their most recent approval date</w:t>
      </w:r>
      <w:r w:rsidR="00F47C0C">
        <w:rPr>
          <w:sz w:val="24"/>
        </w:rPr>
        <w:t>,</w:t>
      </w:r>
      <w:r w:rsidR="002B3869">
        <w:rPr>
          <w:sz w:val="24"/>
        </w:rPr>
        <w:t xml:space="preserve"> </w:t>
      </w:r>
      <w:r w:rsidR="0064181D">
        <w:rPr>
          <w:sz w:val="24"/>
        </w:rPr>
        <w:t xml:space="preserve">to ensure adherence </w:t>
      </w:r>
      <w:proofErr w:type="gramStart"/>
      <w:r w:rsidR="0064181D">
        <w:rPr>
          <w:sz w:val="24"/>
        </w:rPr>
        <w:t>has been maintained</w:t>
      </w:r>
      <w:proofErr w:type="gramEnd"/>
      <w:r w:rsidR="0064181D">
        <w:rPr>
          <w:sz w:val="24"/>
        </w:rPr>
        <w:t xml:space="preserve"> and to account f</w:t>
      </w:r>
      <w:r w:rsidR="00F47C0C">
        <w:rPr>
          <w:sz w:val="24"/>
        </w:rPr>
        <w:t xml:space="preserve">or any changes in the entities’ </w:t>
      </w:r>
      <w:r w:rsidR="0064181D">
        <w:rPr>
          <w:sz w:val="24"/>
        </w:rPr>
        <w:t>processes.</w:t>
      </w:r>
      <w:r w:rsidR="00823808">
        <w:rPr>
          <w:sz w:val="24"/>
        </w:rPr>
        <w:t xml:space="preserve"> Qualified PLEs must reapply every five years</w:t>
      </w:r>
      <w:r w:rsidR="004720DE">
        <w:rPr>
          <w:sz w:val="24"/>
        </w:rPr>
        <w:t xml:space="preserve"> and must submit the applications by January 1 of the 5</w:t>
      </w:r>
      <w:r w:rsidRPr="004720DE" w:rsidR="004720DE">
        <w:rPr>
          <w:sz w:val="24"/>
          <w:vertAlign w:val="superscript"/>
        </w:rPr>
        <w:t>th</w:t>
      </w:r>
      <w:r w:rsidR="004720DE">
        <w:rPr>
          <w:sz w:val="24"/>
        </w:rPr>
        <w:t xml:space="preserve"> year after the PLE’s most recent approval date</w:t>
      </w:r>
      <w:r w:rsidR="00823808">
        <w:rPr>
          <w:sz w:val="24"/>
        </w:rPr>
        <w:t xml:space="preserve">. The first PLEs were qualified in </w:t>
      </w:r>
      <w:r w:rsidR="004720DE">
        <w:rPr>
          <w:sz w:val="24"/>
        </w:rPr>
        <w:t xml:space="preserve">June </w:t>
      </w:r>
      <w:r w:rsidR="00823808">
        <w:rPr>
          <w:sz w:val="24"/>
        </w:rPr>
        <w:t>2016</w:t>
      </w:r>
      <w:r w:rsidR="004720DE">
        <w:rPr>
          <w:sz w:val="24"/>
        </w:rPr>
        <w:t xml:space="preserve"> through June 2021 </w:t>
      </w:r>
      <w:r w:rsidR="00823808">
        <w:rPr>
          <w:sz w:val="24"/>
        </w:rPr>
        <w:t xml:space="preserve">and </w:t>
      </w:r>
      <w:proofErr w:type="gramStart"/>
      <w:r w:rsidR="00823808">
        <w:rPr>
          <w:sz w:val="24"/>
        </w:rPr>
        <w:t>are expected</w:t>
      </w:r>
      <w:proofErr w:type="gramEnd"/>
      <w:r w:rsidR="00823808">
        <w:rPr>
          <w:sz w:val="24"/>
        </w:rPr>
        <w:t xml:space="preserve"> to reapply </w:t>
      </w:r>
      <w:r w:rsidR="004720DE">
        <w:rPr>
          <w:sz w:val="24"/>
        </w:rPr>
        <w:t>by January 1,</w:t>
      </w:r>
      <w:r w:rsidR="00823808">
        <w:rPr>
          <w:sz w:val="24"/>
        </w:rPr>
        <w:t xml:space="preserve"> 2021.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1953" w:rsidRDefault="004B19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1953" w:rsidRDefault="004B19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241C7" w:rsidR="008F1EB4" w:rsidRDefault="000241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241C7">
        <w:rPr>
          <w:b/>
          <w:bCs/>
          <w:sz w:val="24"/>
        </w:rPr>
        <w:t>A</w:t>
      </w:r>
      <w:r w:rsidRPr="000241C7" w:rsidR="008F1EB4">
        <w:rPr>
          <w:b/>
          <w:bCs/>
          <w:sz w:val="24"/>
        </w:rPr>
        <w:t>.</w:t>
      </w:r>
      <w:r w:rsidRPr="000241C7" w:rsidR="008F1EB4">
        <w:rPr>
          <w:b/>
          <w:bCs/>
          <w:sz w:val="24"/>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04BC">
        <w:rPr>
          <w:sz w:val="24"/>
        </w:rPr>
        <w:t xml:space="preserve">Section 218(b) of the </w:t>
      </w:r>
      <w:r w:rsidR="004B69F3">
        <w:rPr>
          <w:sz w:val="24"/>
        </w:rPr>
        <w:t>Protecting Access to Medicare Act (</w:t>
      </w:r>
      <w:r w:rsidRPr="00D704BC">
        <w:rPr>
          <w:sz w:val="24"/>
        </w:rPr>
        <w:t>PAMA</w:t>
      </w:r>
      <w:r w:rsidR="004B69F3">
        <w:rPr>
          <w:sz w:val="24"/>
        </w:rPr>
        <w:t>) of 2014</w:t>
      </w:r>
      <w:r w:rsidRPr="00D704BC">
        <w:rPr>
          <w:sz w:val="24"/>
        </w:rPr>
        <w:t xml:space="preserve"> amended the Medicare Part B statute by adding a new section 1834(q) of the Act entitled, “Recognizing Appropriate Use Criteria for Certain Imaging Services,” which directs </w:t>
      </w:r>
      <w:r w:rsidR="00A77C94">
        <w:rPr>
          <w:sz w:val="24"/>
        </w:rPr>
        <w:t>the Secretary</w:t>
      </w:r>
      <w:r w:rsidRPr="00D704BC">
        <w:rPr>
          <w:sz w:val="24"/>
        </w:rPr>
        <w:t xml:space="preserve"> to establish a program to promote the use of AUC. </w:t>
      </w:r>
      <w:r w:rsidR="00C54659">
        <w:rPr>
          <w:sz w:val="24"/>
        </w:rPr>
        <w:t xml:space="preserve">This program is </w:t>
      </w:r>
      <w:r w:rsidR="00A77C94">
        <w:rPr>
          <w:sz w:val="24"/>
        </w:rPr>
        <w:t>codified</w:t>
      </w:r>
      <w:r w:rsidR="00C54659">
        <w:rPr>
          <w:sz w:val="24"/>
        </w:rPr>
        <w:t xml:space="preserve"> at 42 CFR </w:t>
      </w:r>
      <w:r w:rsidR="00A77C94">
        <w:rPr>
          <w:sz w:val="24"/>
        </w:rPr>
        <w:t xml:space="preserve">§ </w:t>
      </w:r>
      <w:r w:rsidR="00C54659">
        <w:rPr>
          <w:sz w:val="24"/>
        </w:rPr>
        <w:t>414.94.</w:t>
      </w:r>
    </w:p>
    <w:p w:rsidR="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04BC">
        <w:rPr>
          <w:sz w:val="24"/>
        </w:rPr>
        <w:t xml:space="preserve">   </w:t>
      </w:r>
    </w:p>
    <w:p w:rsidR="00D704BC" w:rsidP="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To implement this program</w:t>
      </w:r>
      <w:r w:rsidR="00E6105C">
        <w:rPr>
          <w:sz w:val="24"/>
        </w:rPr>
        <w:t>,</w:t>
      </w:r>
      <w:r>
        <w:rPr>
          <w:sz w:val="24"/>
        </w:rPr>
        <w:t xml:space="preserve"> we </w:t>
      </w:r>
      <w:r w:rsidRPr="00D704BC">
        <w:rPr>
          <w:sz w:val="24"/>
        </w:rPr>
        <w:t xml:space="preserve">first </w:t>
      </w:r>
      <w:r>
        <w:rPr>
          <w:sz w:val="24"/>
        </w:rPr>
        <w:t>establish</w:t>
      </w:r>
      <w:r w:rsidR="00A77C94">
        <w:rPr>
          <w:sz w:val="24"/>
        </w:rPr>
        <w:t>ed</w:t>
      </w:r>
      <w:r w:rsidRPr="00D704BC">
        <w:rPr>
          <w:sz w:val="24"/>
        </w:rPr>
        <w:t xml:space="preserve"> a process by which </w:t>
      </w:r>
      <w:r w:rsidR="002B3869">
        <w:rPr>
          <w:sz w:val="24"/>
        </w:rPr>
        <w:t>PLEs</w:t>
      </w:r>
      <w:r w:rsidRPr="00D704BC">
        <w:rPr>
          <w:sz w:val="24"/>
        </w:rPr>
        <w:t xml:space="preserve"> </w:t>
      </w:r>
      <w:proofErr w:type="gramStart"/>
      <w:r w:rsidRPr="00D704BC">
        <w:rPr>
          <w:sz w:val="24"/>
        </w:rPr>
        <w:t>become qualified</w:t>
      </w:r>
      <w:proofErr w:type="gramEnd"/>
      <w:r w:rsidRPr="00D704BC">
        <w:rPr>
          <w:sz w:val="24"/>
        </w:rPr>
        <w:t xml:space="preserve"> by Medicare to develop or endorse AUC. The cornerstone of this process is for </w:t>
      </w:r>
      <w:r w:rsidR="002B3869">
        <w:rPr>
          <w:sz w:val="24"/>
        </w:rPr>
        <w:t>PLEs</w:t>
      </w:r>
      <w:r w:rsidRPr="00D704BC">
        <w:rPr>
          <w:sz w:val="24"/>
        </w:rPr>
        <w:t xml:space="preserve"> to demonstrate that they engage in a rigorous evidence-based process for developing, modifying, or endorsing AUC.  It is through this demonstration that </w:t>
      </w:r>
      <w:r w:rsidRPr="00D704BC" w:rsidR="00351711">
        <w:rPr>
          <w:sz w:val="24"/>
        </w:rPr>
        <w:t>we meet</w:t>
      </w:r>
      <w:r w:rsidRPr="00D704BC">
        <w:rPr>
          <w:sz w:val="24"/>
        </w:rPr>
        <w:t xml:space="preserve"> the requirements of section 1834(q</w:t>
      </w:r>
      <w:proofErr w:type="gramStart"/>
      <w:r w:rsidRPr="00D704BC">
        <w:rPr>
          <w:sz w:val="24"/>
        </w:rPr>
        <w:t>)(</w:t>
      </w:r>
      <w:proofErr w:type="gramEnd"/>
      <w:r w:rsidRPr="00D704BC">
        <w:rPr>
          <w:sz w:val="24"/>
        </w:rPr>
        <w:t>2)(B) of the Act to take into account certain considerations for the AUC.  Section 1834(q</w:t>
      </w:r>
      <w:proofErr w:type="gramStart"/>
      <w:r w:rsidRPr="00D704BC">
        <w:rPr>
          <w:sz w:val="24"/>
        </w:rPr>
        <w:t>)(</w:t>
      </w:r>
      <w:proofErr w:type="gramEnd"/>
      <w:r w:rsidRPr="00D704BC">
        <w:rPr>
          <w:sz w:val="24"/>
        </w:rPr>
        <w:t xml:space="preserve">2)(B) specifies that the Secretary must consider whether AUC have stakeholder consensus, are scientifically valid and evidence-based, and are based on studies that are published and reviewable by stakeholders.  It is not feasible for us to </w:t>
      </w:r>
      <w:r w:rsidR="00F47C0C">
        <w:rPr>
          <w:sz w:val="24"/>
        </w:rPr>
        <w:t>review every individual criterion</w:t>
      </w:r>
      <w:r w:rsidRPr="00D704BC">
        <w:rPr>
          <w:sz w:val="24"/>
        </w:rPr>
        <w:t xml:space="preserve">.  Rather, we </w:t>
      </w:r>
      <w:r w:rsidR="002B3869">
        <w:rPr>
          <w:sz w:val="24"/>
        </w:rPr>
        <w:t>have established</w:t>
      </w:r>
      <w:r w:rsidRPr="00D704BC">
        <w:rPr>
          <w:sz w:val="24"/>
        </w:rPr>
        <w:t xml:space="preserve"> a qualification process and requirements for qualified </w:t>
      </w:r>
      <w:r w:rsidR="002B3869">
        <w:rPr>
          <w:sz w:val="24"/>
        </w:rPr>
        <w:t>PLEs</w:t>
      </w:r>
      <w:r w:rsidRPr="00D704BC">
        <w:rPr>
          <w:sz w:val="24"/>
        </w:rPr>
        <w:t xml:space="preserve"> in order to ensure that the AUC development or endorsement processes used by a </w:t>
      </w:r>
      <w:r w:rsidR="002B3869">
        <w:rPr>
          <w:sz w:val="24"/>
        </w:rPr>
        <w:t xml:space="preserve">PLE </w:t>
      </w:r>
      <w:r w:rsidRPr="00D704BC">
        <w:rPr>
          <w:sz w:val="24"/>
        </w:rPr>
        <w:t xml:space="preserve">result in high quality, evidence-based AUC in accordance with section 1834(q)(2)(B).  </w:t>
      </w:r>
    </w:p>
    <w:p w:rsidR="00D704BC" w:rsidP="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704BC" w:rsidP="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704BC">
        <w:rPr>
          <w:sz w:val="24"/>
        </w:rPr>
        <w:t xml:space="preserve">In order to become and remain a qualified </w:t>
      </w:r>
      <w:r w:rsidR="002B3869">
        <w:rPr>
          <w:sz w:val="24"/>
        </w:rPr>
        <w:t>PLE</w:t>
      </w:r>
      <w:r w:rsidRPr="00D704BC">
        <w:rPr>
          <w:sz w:val="24"/>
        </w:rPr>
        <w:t xml:space="preserve">, we </w:t>
      </w:r>
      <w:r>
        <w:rPr>
          <w:sz w:val="24"/>
        </w:rPr>
        <w:t>requir</w:t>
      </w:r>
      <w:r w:rsidR="002B3869">
        <w:rPr>
          <w:sz w:val="24"/>
        </w:rPr>
        <w:t>e</w:t>
      </w:r>
      <w:r w:rsidRPr="00D704BC">
        <w:rPr>
          <w:sz w:val="24"/>
        </w:rPr>
        <w:t xml:space="preserve"> </w:t>
      </w:r>
      <w:r w:rsidR="002B3869">
        <w:rPr>
          <w:sz w:val="24"/>
        </w:rPr>
        <w:t>PLEs</w:t>
      </w:r>
      <w:r w:rsidRPr="00D704BC">
        <w:rPr>
          <w:sz w:val="24"/>
        </w:rPr>
        <w:t xml:space="preserve"> to demonstrate adherence to specific requirements when developing, modifying or endorsing AUC.</w:t>
      </w:r>
      <w:r>
        <w:rPr>
          <w:sz w:val="24"/>
        </w:rPr>
        <w:t xml:space="preserve"> </w:t>
      </w:r>
      <w:proofErr w:type="gramStart"/>
      <w:r>
        <w:rPr>
          <w:sz w:val="24"/>
        </w:rPr>
        <w:t xml:space="preserve">The requirements include: </w:t>
      </w:r>
      <w:r w:rsidRPr="00D704BC">
        <w:rPr>
          <w:sz w:val="24"/>
        </w:rPr>
        <w:t>a systematic literature review of the clinical topic and relevant imaging studies; AUC development led by at least one multidisciplinary team with autonomous governance; a process for identifying team members’ conflicts of interest; publication of individual appropriate use criterion on each organization</w:t>
      </w:r>
      <w:r w:rsidR="000F627C">
        <w:rPr>
          <w:sz w:val="24"/>
        </w:rPr>
        <w:t>’</w:t>
      </w:r>
      <w:r w:rsidRPr="00D704BC">
        <w:rPr>
          <w:sz w:val="24"/>
        </w:rPr>
        <w:t xml:space="preserve">s website; </w:t>
      </w:r>
      <w:r w:rsidRPr="002B3869" w:rsidR="002B3869">
        <w:rPr>
          <w:sz w:val="24"/>
        </w:rPr>
        <w:t>identification of AUC that are relevant to priority clinical areas;</w:t>
      </w:r>
      <w:r w:rsidR="002B3869">
        <w:rPr>
          <w:sz w:val="24"/>
        </w:rPr>
        <w:t xml:space="preserve"> </w:t>
      </w:r>
      <w:r w:rsidRPr="00D704BC">
        <w:rPr>
          <w:sz w:val="24"/>
        </w:rPr>
        <w:t>identification of key decision points for individual criterion as evidence-based or consensus-based and strength of evidence grading per a formal, published, and widely recognized methodology; a transparent process for the timely and continual updating of each criterion; a process for developing, modifying or endorsing AUC publicly posted on the entity’s website</w:t>
      </w:r>
      <w:r w:rsidR="002B3869">
        <w:rPr>
          <w:sz w:val="24"/>
        </w:rPr>
        <w:t xml:space="preserve">; and </w:t>
      </w:r>
      <w:r w:rsidRPr="002B3869" w:rsidR="002B3869">
        <w:rPr>
          <w:sz w:val="24"/>
        </w:rPr>
        <w:t>disclosure of external parties involved in the AUC development process</w:t>
      </w:r>
      <w:r w:rsidRPr="00D704BC">
        <w:rPr>
          <w:sz w:val="24"/>
        </w:rPr>
        <w:t>.</w:t>
      </w:r>
      <w:proofErr w:type="gramEnd"/>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04BC" w:rsidRDefault="00D704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information </w:t>
      </w:r>
      <w:proofErr w:type="gramStart"/>
      <w:r w:rsidR="00087E90">
        <w:rPr>
          <w:sz w:val="24"/>
        </w:rPr>
        <w:t>is</w:t>
      </w:r>
      <w:r>
        <w:rPr>
          <w:sz w:val="24"/>
        </w:rPr>
        <w:t xml:space="preserve"> used</w:t>
      </w:r>
      <w:proofErr w:type="gramEnd"/>
      <w:r>
        <w:rPr>
          <w:sz w:val="24"/>
        </w:rPr>
        <w:t xml:space="preserve"> by CMS to determine if </w:t>
      </w:r>
      <w:r w:rsidR="002B3869">
        <w:rPr>
          <w:sz w:val="24"/>
        </w:rPr>
        <w:t>PLEs</w:t>
      </w:r>
      <w:r>
        <w:rPr>
          <w:sz w:val="24"/>
        </w:rPr>
        <w:t xml:space="preserve"> demonstrate adherence to the </w:t>
      </w:r>
      <w:r w:rsidR="00C54659">
        <w:rPr>
          <w:sz w:val="24"/>
        </w:rPr>
        <w:t xml:space="preserve">AUC development </w:t>
      </w:r>
      <w:r>
        <w:rPr>
          <w:sz w:val="24"/>
        </w:rPr>
        <w:t xml:space="preserve">requirements set forth for this program.  </w:t>
      </w:r>
      <w:r w:rsidR="00087E90">
        <w:rPr>
          <w:sz w:val="24"/>
        </w:rPr>
        <w:t>CMS</w:t>
      </w:r>
      <w:r>
        <w:rPr>
          <w:sz w:val="24"/>
        </w:rPr>
        <w:t xml:space="preserve"> review</w:t>
      </w:r>
      <w:r w:rsidR="00087E90">
        <w:rPr>
          <w:sz w:val="24"/>
        </w:rPr>
        <w:t>s</w:t>
      </w:r>
      <w:r>
        <w:rPr>
          <w:sz w:val="24"/>
        </w:rPr>
        <w:t xml:space="preserve"> the submitted information and determine</w:t>
      </w:r>
      <w:r w:rsidR="006411FA">
        <w:rPr>
          <w:sz w:val="24"/>
        </w:rPr>
        <w:t>s</w:t>
      </w:r>
      <w:r>
        <w:rPr>
          <w:sz w:val="24"/>
        </w:rPr>
        <w:t xml:space="preserve"> whether to qualify the entity based upon </w:t>
      </w:r>
      <w:r w:rsidR="00BD1449">
        <w:rPr>
          <w:sz w:val="24"/>
        </w:rPr>
        <w:t xml:space="preserve">their submission.  </w:t>
      </w:r>
      <w:r w:rsidR="00D22AAA">
        <w:rPr>
          <w:sz w:val="24"/>
        </w:rPr>
        <w:t>CMS reviews re-application information</w:t>
      </w:r>
      <w:r w:rsidR="00BD1449">
        <w:rPr>
          <w:sz w:val="24"/>
        </w:rPr>
        <w:t xml:space="preserve"> in a similar manner to ensure adherence to the AUC development requirements.</w:t>
      </w:r>
      <w:r w:rsidR="00C54659">
        <w:rPr>
          <w:sz w:val="24"/>
        </w:rPr>
        <w:t xml:space="preserve">  </w:t>
      </w:r>
      <w:r w:rsidR="00D22AAA">
        <w:rPr>
          <w:sz w:val="24"/>
        </w:rPr>
        <w:t xml:space="preserve">CMS posts the </w:t>
      </w:r>
      <w:r w:rsidR="00223E58">
        <w:rPr>
          <w:sz w:val="24"/>
        </w:rPr>
        <w:t>names of a</w:t>
      </w:r>
      <w:r w:rsidR="00C54659">
        <w:rPr>
          <w:sz w:val="24"/>
        </w:rPr>
        <w:t xml:space="preserve">ll qualified </w:t>
      </w:r>
      <w:r w:rsidR="00C1435A">
        <w:rPr>
          <w:sz w:val="24"/>
        </w:rPr>
        <w:t>PLEs</w:t>
      </w:r>
      <w:r w:rsidR="00C54659">
        <w:rPr>
          <w:sz w:val="24"/>
        </w:rPr>
        <w:t xml:space="preserve"> to the CMS website.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05C" w:rsidRDefault="00E610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D1449" w:rsidRDefault="00BD14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lastRenderedPageBreak/>
        <w:t xml:space="preserve">Submissions </w:t>
      </w:r>
      <w:proofErr w:type="gramStart"/>
      <w:r w:rsidR="00223E58">
        <w:rPr>
          <w:sz w:val="24"/>
        </w:rPr>
        <w:t>are</w:t>
      </w:r>
      <w:r>
        <w:rPr>
          <w:sz w:val="24"/>
        </w:rPr>
        <w:t xml:space="preserve"> only accepted</w:t>
      </w:r>
      <w:proofErr w:type="gramEnd"/>
      <w:r>
        <w:rPr>
          <w:sz w:val="24"/>
        </w:rPr>
        <w:t xml:space="preserve"> electronically.  </w:t>
      </w:r>
      <w:r w:rsidR="006B3696">
        <w:rPr>
          <w:sz w:val="24"/>
        </w:rPr>
        <w:t xml:space="preserve">Because submissions include a large amount of information and </w:t>
      </w:r>
      <w:proofErr w:type="gramStart"/>
      <w:r w:rsidR="00223E58">
        <w:rPr>
          <w:sz w:val="24"/>
        </w:rPr>
        <w:t>are</w:t>
      </w:r>
      <w:r w:rsidR="006B3696">
        <w:rPr>
          <w:sz w:val="24"/>
        </w:rPr>
        <w:t xml:space="preserve"> reviewed</w:t>
      </w:r>
      <w:proofErr w:type="gramEnd"/>
      <w:r w:rsidR="006B3696">
        <w:rPr>
          <w:sz w:val="24"/>
        </w:rPr>
        <w:t xml:space="preserve"> by numerous CMS staff, it </w:t>
      </w:r>
      <w:r w:rsidR="00223E58">
        <w:rPr>
          <w:sz w:val="24"/>
        </w:rPr>
        <w:t>was</w:t>
      </w:r>
      <w:r w:rsidR="006B3696">
        <w:rPr>
          <w:sz w:val="24"/>
        </w:rPr>
        <w:t xml:space="preserve"> important t</w:t>
      </w:r>
      <w:r w:rsidR="00223E58">
        <w:rPr>
          <w:sz w:val="24"/>
        </w:rPr>
        <w:t>o</w:t>
      </w:r>
      <w:r w:rsidR="006B3696">
        <w:rPr>
          <w:sz w:val="24"/>
        </w:rPr>
        <w:t xml:space="preserve"> establish a single streamlined means for submission and have the ability to readily distribute internally. </w:t>
      </w:r>
      <w:r w:rsidR="004B1953">
        <w:rPr>
          <w:sz w:val="24"/>
        </w:rPr>
        <w:t xml:space="preserve"> </w:t>
      </w:r>
      <w:r w:rsidR="006B3696">
        <w:rPr>
          <w:sz w:val="24"/>
        </w:rPr>
        <w:t xml:space="preserve">As such, hard copy submissions are not feasible for this program. </w:t>
      </w:r>
      <w:r w:rsidR="00D21FBB">
        <w:rPr>
          <w:sz w:val="24"/>
        </w:rPr>
        <w:t xml:space="preserve"> A signature is not required for the submission. </w:t>
      </w:r>
      <w:proofErr w:type="gramStart"/>
      <w:r w:rsidR="00497042">
        <w:rPr>
          <w:sz w:val="24"/>
        </w:rPr>
        <w:t>We  created</w:t>
      </w:r>
      <w:proofErr w:type="gramEnd"/>
      <w:r w:rsidR="00497042">
        <w:rPr>
          <w:sz w:val="24"/>
        </w:rPr>
        <w:t xml:space="preserve"> the following email address to which 100% of submission</w:t>
      </w:r>
      <w:r w:rsidR="00F47C0C">
        <w:rPr>
          <w:sz w:val="24"/>
        </w:rPr>
        <w:t>s</w:t>
      </w:r>
      <w:r w:rsidR="00497042">
        <w:rPr>
          <w:sz w:val="24"/>
        </w:rPr>
        <w:t xml:space="preserve"> must be sent: </w:t>
      </w:r>
      <w:hyperlink w:history="1" r:id="rId8">
        <w:r w:rsidRPr="00501CCC" w:rsidR="00F47C0C">
          <w:rPr>
            <w:rStyle w:val="Hyperlink"/>
            <w:sz w:val="24"/>
          </w:rPr>
          <w:t>ImagingAUC@cms.hhs.gov</w:t>
        </w:r>
      </w:hyperlink>
      <w:r w:rsidR="00497042">
        <w:rPr>
          <w:sz w:val="24"/>
        </w:rPr>
        <w:t xml:space="preserve">. </w:t>
      </w:r>
      <w:r w:rsidR="006B3696">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15C6F" w:rsidRDefault="00223E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S</w:t>
      </w:r>
      <w:r w:rsidR="00115C6F">
        <w:rPr>
          <w:sz w:val="24"/>
        </w:rPr>
        <w:t xml:space="preserve">imilar information </w:t>
      </w:r>
      <w:proofErr w:type="gramStart"/>
      <w:r w:rsidR="00115C6F">
        <w:rPr>
          <w:sz w:val="24"/>
        </w:rPr>
        <w:t>is not currently collected</w:t>
      </w:r>
      <w:proofErr w:type="gramEnd"/>
      <w:r w:rsidR="00115C6F">
        <w:rPr>
          <w:sz w:val="24"/>
        </w:rPr>
        <w:t xml:space="preserve"> by CMS that could be used or modified to demonstrate adherence by </w:t>
      </w:r>
      <w:r w:rsidR="00C1435A">
        <w:rPr>
          <w:sz w:val="24"/>
        </w:rPr>
        <w:t>PLEs</w:t>
      </w:r>
      <w:r w:rsidR="00115C6F">
        <w:rPr>
          <w:sz w:val="24"/>
        </w:rPr>
        <w:t xml:space="preserve"> to the AUC development requirements. T</w:t>
      </w:r>
      <w:r w:rsidRPr="00115C6F" w:rsidR="00115C6F">
        <w:rPr>
          <w:sz w:val="24"/>
        </w:rPr>
        <w:t xml:space="preserve">his information collection does not duplicate any other effort and the information </w:t>
      </w:r>
      <w:proofErr w:type="gramStart"/>
      <w:r w:rsidRPr="00115C6F" w:rsidR="00115C6F">
        <w:rPr>
          <w:sz w:val="24"/>
        </w:rPr>
        <w:t>cannot be</w:t>
      </w:r>
      <w:r w:rsidR="00115C6F">
        <w:rPr>
          <w:sz w:val="24"/>
        </w:rPr>
        <w:t xml:space="preserve"> obtained</w:t>
      </w:r>
      <w:proofErr w:type="gramEnd"/>
      <w:r w:rsidR="00115C6F">
        <w:rPr>
          <w:sz w:val="24"/>
        </w:rPr>
        <w:t xml:space="preserve">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54659" w:rsidRDefault="00C54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highlight w:val="yellow"/>
        </w:rPr>
      </w:pPr>
      <w:r w:rsidRPr="00C54659">
        <w:rPr>
          <w:sz w:val="24"/>
        </w:rPr>
        <w:t xml:space="preserve">There may be small entities or small businesses that are </w:t>
      </w:r>
      <w:r w:rsidR="00C1435A">
        <w:rPr>
          <w:sz w:val="24"/>
        </w:rPr>
        <w:t>PLEs</w:t>
      </w:r>
      <w:r w:rsidRPr="00C54659">
        <w:rPr>
          <w:sz w:val="24"/>
        </w:rPr>
        <w:t xml:space="preserve">. To the extent they choose to </w:t>
      </w:r>
      <w:proofErr w:type="gramStart"/>
      <w:r w:rsidRPr="00C54659">
        <w:rPr>
          <w:sz w:val="24"/>
        </w:rPr>
        <w:t>apply</w:t>
      </w:r>
      <w:proofErr w:type="gramEnd"/>
      <w:r w:rsidRPr="00C54659">
        <w:rPr>
          <w:sz w:val="24"/>
        </w:rPr>
        <w:t xml:space="preserve"> to become qualified </w:t>
      </w:r>
      <w:r w:rsidR="00C1435A">
        <w:rPr>
          <w:sz w:val="24"/>
        </w:rPr>
        <w:t>PLEs</w:t>
      </w:r>
      <w:r w:rsidRPr="00C54659">
        <w:rPr>
          <w:sz w:val="24"/>
        </w:rPr>
        <w:t xml:space="preserve"> under this AUC program then they would be impacted.</w:t>
      </w:r>
      <w:r w:rsidR="004B1953">
        <w:rPr>
          <w:sz w:val="24"/>
        </w:rPr>
        <w:t xml:space="preserve">  </w:t>
      </w:r>
      <w:r w:rsidRPr="00C54659">
        <w:rPr>
          <w:sz w:val="24"/>
        </w:rPr>
        <w:t xml:space="preserve">The burden associated with this application to become qualified is already at a minimum and because of the nature of the </w:t>
      </w:r>
      <w:proofErr w:type="gramStart"/>
      <w:r w:rsidRPr="00C54659">
        <w:rPr>
          <w:sz w:val="24"/>
        </w:rPr>
        <w:t>application,</w:t>
      </w:r>
      <w:proofErr w:type="gramEnd"/>
      <w:r w:rsidRPr="00C54659">
        <w:rPr>
          <w:sz w:val="24"/>
        </w:rPr>
        <w:t xml:space="preserve"> we do not believe small entities would be adversely impacted compared to larger entities</w:t>
      </w:r>
      <w:r w:rsidR="00223E58">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D4C98" w:rsidRDefault="009D4C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This collection of information is essential to ensure that </w:t>
      </w:r>
      <w:r w:rsidR="00C1435A">
        <w:rPr>
          <w:sz w:val="24"/>
        </w:rPr>
        <w:t>PLEs</w:t>
      </w:r>
      <w:r>
        <w:rPr>
          <w:sz w:val="24"/>
        </w:rPr>
        <w:t xml:space="preserve"> are developing AUC as required by this program. </w:t>
      </w:r>
      <w:r w:rsidR="004B1953">
        <w:rPr>
          <w:sz w:val="24"/>
        </w:rPr>
        <w:t xml:space="preserve"> </w:t>
      </w:r>
      <w:r>
        <w:rPr>
          <w:sz w:val="24"/>
        </w:rPr>
        <w:t xml:space="preserve">Demonstrating adherence to the AUC development requirements is important to ensure that AUC </w:t>
      </w:r>
      <w:proofErr w:type="gramStart"/>
      <w:r>
        <w:rPr>
          <w:sz w:val="24"/>
        </w:rPr>
        <w:t>are developed</w:t>
      </w:r>
      <w:proofErr w:type="gramEnd"/>
      <w:r>
        <w:rPr>
          <w:sz w:val="24"/>
        </w:rPr>
        <w:t xml:space="preserve"> consistent with the comprehensive requirements in </w:t>
      </w:r>
      <w:r w:rsidR="00CE7433">
        <w:rPr>
          <w:sz w:val="24"/>
        </w:rPr>
        <w:t>statute and regulation.</w:t>
      </w:r>
      <w:r w:rsidR="004B1953">
        <w:rPr>
          <w:sz w:val="24"/>
        </w:rPr>
        <w:t xml:space="preserve"> </w:t>
      </w:r>
      <w:r w:rsidR="00CE7433">
        <w:rPr>
          <w:sz w:val="24"/>
        </w:rPr>
        <w:t xml:space="preserve"> Failure to collect this information could result in the use of lower quality AUC that </w:t>
      </w:r>
      <w:proofErr w:type="gramStart"/>
      <w:r w:rsidR="00CE7433">
        <w:rPr>
          <w:sz w:val="24"/>
        </w:rPr>
        <w:t>may not be developed</w:t>
      </w:r>
      <w:proofErr w:type="gramEnd"/>
      <w:r w:rsidR="00CE7433">
        <w:rPr>
          <w:sz w:val="24"/>
        </w:rPr>
        <w:t xml:space="preserve"> by appropriate experts and may not be evidence based which would compromise the value of this program and the intended outcomes of reducing overutilization </w:t>
      </w:r>
      <w:r w:rsidR="00DC209A">
        <w:rPr>
          <w:sz w:val="24"/>
        </w:rPr>
        <w:t xml:space="preserve">and ensuring appropriate use </w:t>
      </w:r>
      <w:r w:rsidR="00CE7433">
        <w:rPr>
          <w:sz w:val="24"/>
        </w:rPr>
        <w:t xml:space="preserve">of advanced diagnostic imaging services. </w:t>
      </w:r>
      <w:r w:rsidR="004B1953">
        <w:rPr>
          <w:sz w:val="24"/>
        </w:rPr>
        <w:t xml:space="preserve"> </w:t>
      </w:r>
      <w:r w:rsidR="00DC209A">
        <w:rPr>
          <w:sz w:val="24"/>
        </w:rPr>
        <w:t xml:space="preserve">Less frequent collection of information than every </w:t>
      </w:r>
      <w:r w:rsidR="00497042">
        <w:rPr>
          <w:sz w:val="24"/>
        </w:rPr>
        <w:t xml:space="preserve">five </w:t>
      </w:r>
      <w:r w:rsidR="00DC209A">
        <w:rPr>
          <w:sz w:val="24"/>
        </w:rPr>
        <w:t xml:space="preserve">years for purposes of re-application would have the same </w:t>
      </w:r>
      <w:proofErr w:type="gramStart"/>
      <w:r w:rsidR="00DC209A">
        <w:rPr>
          <w:sz w:val="24"/>
        </w:rPr>
        <w:t>effect</w:t>
      </w:r>
      <w:proofErr w:type="gramEnd"/>
      <w:r w:rsidR="00DC209A">
        <w:rPr>
          <w:sz w:val="24"/>
        </w:rPr>
        <w:t xml:space="preserve"> as it is important to ensure that qualified </w:t>
      </w:r>
      <w:r w:rsidR="00C1435A">
        <w:rPr>
          <w:sz w:val="24"/>
        </w:rPr>
        <w:t>PLEs</w:t>
      </w:r>
      <w:r w:rsidR="00DC209A">
        <w:rPr>
          <w:sz w:val="24"/>
        </w:rPr>
        <w:t xml:space="preserve"> maintain adherence to the AUC development requirements.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54659" w:rsidR="00C54659" w:rsidRDefault="00C54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54659">
        <w:rPr>
          <w:sz w:val="24"/>
        </w:rPr>
        <w:t>This information collection does not involve any 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D5E98" w:rsidP="008D5E98" w:rsidRDefault="008D5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 60-day Federal Register notice published on </w:t>
      </w:r>
      <w:r w:rsidR="00A33676">
        <w:rPr>
          <w:sz w:val="24"/>
        </w:rPr>
        <w:t>August 21, 2020 (85 FR 51721).  There were         no public comments received.</w:t>
      </w:r>
    </w:p>
    <w:p w:rsidR="00A33676" w:rsidP="008D5E98" w:rsidRDefault="00A336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33676" w:rsidP="008D5E98" w:rsidRDefault="00A336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The 30-day Federal Register notice published on October 28, 2020 (85 FR 68332).</w:t>
      </w:r>
    </w:p>
    <w:p w:rsidR="00E505E6" w:rsidRDefault="00E505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505E6" w:rsidP="00E505E6" w:rsidRDefault="00E505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have </w:t>
      </w:r>
      <w:r w:rsidR="002674C4">
        <w:rPr>
          <w:sz w:val="24"/>
        </w:rPr>
        <w:t xml:space="preserve">continued to </w:t>
      </w:r>
      <w:r>
        <w:rPr>
          <w:sz w:val="24"/>
        </w:rPr>
        <w:t>engage governmental and nongovernmental stakeholders in discussions regarding the AUC program in general.</w:t>
      </w:r>
    </w:p>
    <w:p w:rsidR="00E505E6" w:rsidRDefault="00E505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C209A" w:rsidR="00DC209A" w:rsidRDefault="00DC20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C209A">
        <w:rPr>
          <w:sz w:val="24"/>
        </w:rPr>
        <w:t xml:space="preserve">No payment or gifts </w:t>
      </w:r>
      <w:proofErr w:type="gramStart"/>
      <w:r w:rsidRPr="00DC209A">
        <w:rPr>
          <w:sz w:val="24"/>
        </w:rPr>
        <w:t>will be provided</w:t>
      </w:r>
      <w:proofErr w:type="gramEnd"/>
      <w:r w:rsidRPr="00DC209A">
        <w:rPr>
          <w:sz w:val="24"/>
        </w:rPr>
        <w:t xml:space="preserve">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209A" w:rsidP="00DC209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DC209A" w:rsidRDefault="00DC20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54659" w:rsidRDefault="00C54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54659">
        <w:rPr>
          <w:sz w:val="24"/>
        </w:rPr>
        <w:t>There is no assurance of confidentiality regarding applications.</w:t>
      </w:r>
      <w:r w:rsidR="004B1953">
        <w:rPr>
          <w:sz w:val="24"/>
        </w:rPr>
        <w:t xml:space="preserve">  </w:t>
      </w:r>
      <w:r w:rsidR="002674C4">
        <w:rPr>
          <w:sz w:val="24"/>
        </w:rPr>
        <w:t xml:space="preserve">CMS posts the names of the qualified PLEs </w:t>
      </w:r>
      <w:r w:rsidRPr="00C54659">
        <w:rPr>
          <w:sz w:val="24"/>
        </w:rPr>
        <w:t xml:space="preserve">to the CMS website. </w:t>
      </w:r>
      <w:r w:rsidR="004B1953">
        <w:rPr>
          <w:sz w:val="24"/>
        </w:rPr>
        <w:t xml:space="preserve"> </w:t>
      </w:r>
      <w:r w:rsidRPr="00C54659">
        <w:rPr>
          <w:sz w:val="24"/>
        </w:rPr>
        <w:t>In addition, applications</w:t>
      </w:r>
      <w:r w:rsidR="002674C4">
        <w:rPr>
          <w:sz w:val="24"/>
        </w:rPr>
        <w:t xml:space="preserve"> </w:t>
      </w:r>
      <w:r w:rsidRPr="00C54659">
        <w:rPr>
          <w:sz w:val="24"/>
        </w:rPr>
        <w:t>may be subject to FOIA.</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DC209A" w:rsidR="00DC209A" w:rsidP="00DC209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C209A" w:rsidRDefault="00DC20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Questions of a sensitive nature are not part of this collection of information.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42D96" w:rsidR="008F1EB4" w:rsidP="00E42D9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E42D96">
        <w:rPr>
          <w:sz w:val="24"/>
        </w:rPr>
        <w:t>12.</w:t>
      </w:r>
      <w:r w:rsidRPr="00E42D96">
        <w:rPr>
          <w:sz w:val="24"/>
        </w:rPr>
        <w:tab/>
      </w:r>
      <w:r w:rsidRPr="00E42D96">
        <w:rPr>
          <w:sz w:val="24"/>
          <w:u w:val="single"/>
        </w:rPr>
        <w:t>Burden Estimates (Hours &amp; Wages)</w:t>
      </w:r>
    </w:p>
    <w:p w:rsidRPr="00E42D96" w:rsidR="008F1EB4" w:rsidP="00E42D9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42D96" w:rsidR="00E42D96" w:rsidP="00B41459" w:rsidRDefault="00E42D9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i/>
          <w:snapToGrid w:val="0"/>
          <w:sz w:val="24"/>
        </w:rPr>
      </w:pPr>
      <w:r w:rsidRPr="00E42D96">
        <w:rPr>
          <w:i/>
          <w:snapToGrid w:val="0"/>
          <w:sz w:val="24"/>
        </w:rPr>
        <w:t>Wage Estimates</w:t>
      </w:r>
    </w:p>
    <w:p w:rsidR="00E42D96" w:rsidP="00B41459" w:rsidRDefault="00E42D96">
      <w:pPr>
        <w:ind w:left="432" w:firstLine="720"/>
        <w:rPr>
          <w:rFonts w:eastAsia="Calibri"/>
          <w:sz w:val="24"/>
        </w:rPr>
      </w:pPr>
    </w:p>
    <w:p w:rsidR="00E42D96" w:rsidP="00B41459" w:rsidRDefault="00E42D96">
      <w:pPr>
        <w:ind w:left="432"/>
        <w:rPr>
          <w:rFonts w:eastAsia="Calibri"/>
          <w:sz w:val="24"/>
        </w:rPr>
      </w:pPr>
      <w:r w:rsidRPr="00E42D96">
        <w:rPr>
          <w:rFonts w:eastAsia="Calibri"/>
          <w:sz w:val="24"/>
        </w:rPr>
        <w:t>To derive average costs, we used data from the U.S. Bureau of Labor Statistics’ May 201</w:t>
      </w:r>
      <w:r w:rsidR="00064753">
        <w:rPr>
          <w:rFonts w:eastAsia="Calibri"/>
          <w:sz w:val="24"/>
        </w:rPr>
        <w:t>9</w:t>
      </w:r>
      <w:r w:rsidRPr="00E42D96">
        <w:rPr>
          <w:rFonts w:eastAsia="Calibri"/>
          <w:sz w:val="24"/>
        </w:rPr>
        <w:t xml:space="preserve"> National Occupational Employment and Wage Estimates for all salary estimates (</w:t>
      </w:r>
      <w:hyperlink w:history="1" r:id="rId9">
        <w:r w:rsidRPr="00E42D96">
          <w:rPr>
            <w:rFonts w:eastAsia="Calibri"/>
            <w:sz w:val="24"/>
            <w:u w:val="single"/>
          </w:rPr>
          <w:t>www.bls.gov/oes/current/oes_nat.htm</w:t>
        </w:r>
      </w:hyperlink>
      <w:r w:rsidRPr="00E42D96">
        <w:rPr>
          <w:rFonts w:eastAsia="Calibri"/>
          <w:sz w:val="24"/>
        </w:rPr>
        <w:t xml:space="preserve">).  In this regard, </w:t>
      </w:r>
      <w:r w:rsidR="00B41459">
        <w:rPr>
          <w:rFonts w:eastAsia="Calibri"/>
          <w:sz w:val="24"/>
        </w:rPr>
        <w:t>the following t</w:t>
      </w:r>
      <w:r w:rsidRPr="00E42D96">
        <w:rPr>
          <w:rFonts w:eastAsia="Calibri"/>
          <w:sz w:val="24"/>
        </w:rPr>
        <w:t>able presents the mean hourly wage, the cost of fringe benefits, and the adjusted hourly wage.</w:t>
      </w:r>
    </w:p>
    <w:p w:rsidRPr="00E42D96" w:rsidR="00DA6B8D" w:rsidP="00E42D96" w:rsidRDefault="00DA6B8D">
      <w:pPr>
        <w:ind w:firstLine="720"/>
        <w:rPr>
          <w:rFonts w:eastAsia="Calibri"/>
          <w:sz w:val="24"/>
        </w:rPr>
      </w:pPr>
    </w:p>
    <w:p w:rsidRPr="00DA6B8D" w:rsidR="00E42D96" w:rsidP="00E42D96" w:rsidRDefault="00E42D96">
      <w:pPr>
        <w:keepNext/>
        <w:jc w:val="center"/>
        <w:rPr>
          <w:rFonts w:eastAsia="Calibri"/>
          <w:sz w:val="24"/>
        </w:rPr>
      </w:pPr>
      <w:r w:rsidRPr="00DA6B8D">
        <w:rPr>
          <w:rFonts w:eastAsia="Calibri"/>
          <w:sz w:val="24"/>
        </w:rPr>
        <w:t>Estimated Hourly Wages</w:t>
      </w:r>
    </w:p>
    <w:tbl>
      <w:tblPr>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3"/>
        <w:gridCol w:w="1806"/>
        <w:gridCol w:w="1729"/>
        <w:gridCol w:w="1734"/>
        <w:gridCol w:w="1764"/>
      </w:tblGrid>
      <w:tr w:rsidRPr="00E42D96" w:rsidR="00E42D96" w:rsidTr="00064753">
        <w:tc>
          <w:tcPr>
            <w:tcW w:w="1904"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Occupation Title</w:t>
            </w:r>
          </w:p>
        </w:tc>
        <w:tc>
          <w:tcPr>
            <w:tcW w:w="1809"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Occupation Code</w:t>
            </w:r>
          </w:p>
        </w:tc>
        <w:tc>
          <w:tcPr>
            <w:tcW w:w="1733"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Mean Hourly Wage ($/</w:t>
            </w:r>
            <w:proofErr w:type="spellStart"/>
            <w:r w:rsidRPr="00EF4EA1">
              <w:rPr>
                <w:rFonts w:ascii="Arial" w:hAnsi="Arial" w:eastAsia="Calibri" w:cs="Arial"/>
                <w:sz w:val="18"/>
                <w:szCs w:val="18"/>
              </w:rPr>
              <w:t>hr</w:t>
            </w:r>
            <w:proofErr w:type="spellEnd"/>
            <w:r w:rsidRPr="00EF4EA1">
              <w:rPr>
                <w:rFonts w:ascii="Arial" w:hAnsi="Arial" w:eastAsia="Calibri" w:cs="Arial"/>
                <w:sz w:val="18"/>
                <w:szCs w:val="18"/>
              </w:rPr>
              <w:t>)</w:t>
            </w:r>
          </w:p>
        </w:tc>
        <w:tc>
          <w:tcPr>
            <w:tcW w:w="1738"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Fringe Benefit ($/</w:t>
            </w:r>
            <w:proofErr w:type="spellStart"/>
            <w:r w:rsidRPr="00EF4EA1">
              <w:rPr>
                <w:rFonts w:ascii="Arial" w:hAnsi="Arial" w:eastAsia="Calibri" w:cs="Arial"/>
                <w:sz w:val="18"/>
                <w:szCs w:val="18"/>
              </w:rPr>
              <w:t>hr</w:t>
            </w:r>
            <w:proofErr w:type="spellEnd"/>
            <w:r w:rsidRPr="00EF4EA1">
              <w:rPr>
                <w:rFonts w:ascii="Arial" w:hAnsi="Arial" w:eastAsia="Calibri" w:cs="Arial"/>
                <w:sz w:val="18"/>
                <w:szCs w:val="18"/>
              </w:rPr>
              <w:t>)</w:t>
            </w:r>
          </w:p>
        </w:tc>
        <w:tc>
          <w:tcPr>
            <w:tcW w:w="1767"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Adjusted Hourly Wage ($/</w:t>
            </w:r>
            <w:proofErr w:type="spellStart"/>
            <w:r w:rsidRPr="00EF4EA1">
              <w:rPr>
                <w:rFonts w:ascii="Arial" w:hAnsi="Arial" w:eastAsia="Calibri" w:cs="Arial"/>
                <w:sz w:val="18"/>
                <w:szCs w:val="18"/>
              </w:rPr>
              <w:t>hr</w:t>
            </w:r>
            <w:proofErr w:type="spellEnd"/>
            <w:r w:rsidRPr="00EF4EA1">
              <w:rPr>
                <w:rFonts w:ascii="Arial" w:hAnsi="Arial" w:eastAsia="Calibri" w:cs="Arial"/>
                <w:sz w:val="18"/>
                <w:szCs w:val="18"/>
              </w:rPr>
              <w:t>)</w:t>
            </w:r>
          </w:p>
        </w:tc>
      </w:tr>
      <w:tr w:rsidRPr="00E42D96" w:rsidR="00E42D96" w:rsidTr="00064753">
        <w:tc>
          <w:tcPr>
            <w:tcW w:w="1904"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Business Operations Specialists</w:t>
            </w:r>
          </w:p>
        </w:tc>
        <w:tc>
          <w:tcPr>
            <w:tcW w:w="1809"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13-1000</w:t>
            </w:r>
          </w:p>
        </w:tc>
        <w:tc>
          <w:tcPr>
            <w:tcW w:w="1733"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3</w:t>
            </w:r>
            <w:r w:rsidR="00A47D76">
              <w:rPr>
                <w:rFonts w:ascii="Arial" w:hAnsi="Arial" w:eastAsia="Calibri" w:cs="Arial"/>
                <w:sz w:val="18"/>
                <w:szCs w:val="18"/>
              </w:rPr>
              <w:t>6.61</w:t>
            </w:r>
          </w:p>
        </w:tc>
        <w:tc>
          <w:tcPr>
            <w:tcW w:w="1738"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3</w:t>
            </w:r>
            <w:r w:rsidR="00A47D76">
              <w:rPr>
                <w:rFonts w:ascii="Arial" w:hAnsi="Arial" w:eastAsia="Calibri" w:cs="Arial"/>
                <w:sz w:val="18"/>
                <w:szCs w:val="18"/>
              </w:rPr>
              <w:t>6.61</w:t>
            </w:r>
          </w:p>
        </w:tc>
        <w:tc>
          <w:tcPr>
            <w:tcW w:w="1767" w:type="dxa"/>
            <w:shd w:val="clear" w:color="auto" w:fill="auto"/>
          </w:tcPr>
          <w:p w:rsidRPr="00EF4EA1" w:rsidR="00E42D96" w:rsidP="00E42D96" w:rsidRDefault="00A47D76">
            <w:pPr>
              <w:keepNext/>
              <w:rPr>
                <w:rFonts w:ascii="Arial" w:hAnsi="Arial" w:eastAsia="Calibri" w:cs="Arial"/>
                <w:sz w:val="18"/>
                <w:szCs w:val="18"/>
              </w:rPr>
            </w:pPr>
            <w:r>
              <w:rPr>
                <w:rFonts w:ascii="Arial" w:hAnsi="Arial" w:eastAsia="Calibri" w:cs="Arial"/>
                <w:sz w:val="18"/>
                <w:szCs w:val="18"/>
              </w:rPr>
              <w:t>73.22</w:t>
            </w:r>
          </w:p>
        </w:tc>
      </w:tr>
      <w:tr w:rsidRPr="00E42D96" w:rsidR="00E42D96" w:rsidTr="00064753">
        <w:tc>
          <w:tcPr>
            <w:tcW w:w="1904"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Medical and Health Services Managers</w:t>
            </w:r>
          </w:p>
        </w:tc>
        <w:tc>
          <w:tcPr>
            <w:tcW w:w="1809"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11-9111</w:t>
            </w:r>
          </w:p>
        </w:tc>
        <w:tc>
          <w:tcPr>
            <w:tcW w:w="1733" w:type="dxa"/>
            <w:shd w:val="clear" w:color="auto" w:fill="auto"/>
          </w:tcPr>
          <w:p w:rsidRPr="00EF4EA1" w:rsidR="00E42D96" w:rsidP="00E42D96" w:rsidRDefault="00A47D76">
            <w:pPr>
              <w:keepNext/>
              <w:rPr>
                <w:rFonts w:ascii="Arial" w:hAnsi="Arial" w:eastAsia="Calibri" w:cs="Arial"/>
                <w:sz w:val="18"/>
                <w:szCs w:val="18"/>
              </w:rPr>
            </w:pPr>
            <w:r>
              <w:rPr>
                <w:rFonts w:ascii="Arial" w:hAnsi="Arial" w:eastAsia="Calibri" w:cs="Arial"/>
                <w:sz w:val="18"/>
                <w:szCs w:val="18"/>
              </w:rPr>
              <w:t>55.37</w:t>
            </w:r>
          </w:p>
        </w:tc>
        <w:tc>
          <w:tcPr>
            <w:tcW w:w="1738" w:type="dxa"/>
            <w:shd w:val="clear" w:color="auto" w:fill="auto"/>
          </w:tcPr>
          <w:p w:rsidRPr="00EF4EA1" w:rsidR="00E42D96" w:rsidP="00E42D96" w:rsidRDefault="00A47D76">
            <w:pPr>
              <w:keepNext/>
              <w:rPr>
                <w:rFonts w:ascii="Arial" w:hAnsi="Arial" w:eastAsia="Calibri" w:cs="Arial"/>
                <w:sz w:val="18"/>
                <w:szCs w:val="18"/>
              </w:rPr>
            </w:pPr>
            <w:r>
              <w:rPr>
                <w:rFonts w:ascii="Arial" w:hAnsi="Arial" w:eastAsia="Calibri" w:cs="Arial"/>
                <w:sz w:val="18"/>
                <w:szCs w:val="18"/>
              </w:rPr>
              <w:t>55.37</w:t>
            </w:r>
          </w:p>
        </w:tc>
        <w:tc>
          <w:tcPr>
            <w:tcW w:w="1767" w:type="dxa"/>
            <w:shd w:val="clear" w:color="auto" w:fill="auto"/>
          </w:tcPr>
          <w:p w:rsidRPr="00EF4EA1" w:rsidR="00E42D96" w:rsidP="00E42D96" w:rsidRDefault="00A47D76">
            <w:pPr>
              <w:keepNext/>
              <w:rPr>
                <w:rFonts w:ascii="Arial" w:hAnsi="Arial" w:eastAsia="Calibri" w:cs="Arial"/>
                <w:sz w:val="18"/>
                <w:szCs w:val="18"/>
              </w:rPr>
            </w:pPr>
            <w:r>
              <w:rPr>
                <w:rFonts w:ascii="Arial" w:hAnsi="Arial" w:eastAsia="Calibri" w:cs="Arial"/>
                <w:sz w:val="18"/>
                <w:szCs w:val="18"/>
              </w:rPr>
              <w:t>110.74</w:t>
            </w:r>
          </w:p>
        </w:tc>
      </w:tr>
      <w:tr w:rsidRPr="00E42D96" w:rsidR="00E42D96" w:rsidTr="00064753">
        <w:tc>
          <w:tcPr>
            <w:tcW w:w="1904"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Physicians</w:t>
            </w:r>
            <w:r w:rsidR="00A34411">
              <w:rPr>
                <w:rFonts w:ascii="Arial" w:hAnsi="Arial" w:eastAsia="Calibri" w:cs="Arial"/>
                <w:sz w:val="18"/>
                <w:szCs w:val="18"/>
              </w:rPr>
              <w:t xml:space="preserve">, all Other; and </w:t>
            </w:r>
            <w:r w:rsidR="00064753">
              <w:rPr>
                <w:rFonts w:ascii="Arial" w:hAnsi="Arial" w:eastAsia="Calibri" w:cs="Arial"/>
                <w:sz w:val="18"/>
                <w:szCs w:val="18"/>
              </w:rPr>
              <w:t>Ophthalmologists</w:t>
            </w:r>
            <w:r w:rsidR="00A34411">
              <w:rPr>
                <w:rFonts w:ascii="Arial" w:hAnsi="Arial" w:eastAsia="Calibri" w:cs="Arial"/>
                <w:sz w:val="18"/>
                <w:szCs w:val="18"/>
              </w:rPr>
              <w:t>, Except Pediatric</w:t>
            </w:r>
          </w:p>
        </w:tc>
        <w:tc>
          <w:tcPr>
            <w:tcW w:w="1809" w:type="dxa"/>
            <w:shd w:val="clear" w:color="auto" w:fill="auto"/>
          </w:tcPr>
          <w:p w:rsidRPr="00EF4EA1" w:rsidR="00E42D96" w:rsidP="00E42D96" w:rsidRDefault="00E42D96">
            <w:pPr>
              <w:keepNext/>
              <w:rPr>
                <w:rFonts w:ascii="Arial" w:hAnsi="Arial" w:eastAsia="Calibri" w:cs="Arial"/>
                <w:sz w:val="18"/>
                <w:szCs w:val="18"/>
              </w:rPr>
            </w:pPr>
            <w:r w:rsidRPr="00EF4EA1">
              <w:rPr>
                <w:rFonts w:ascii="Arial" w:hAnsi="Arial" w:eastAsia="Calibri" w:cs="Arial"/>
                <w:sz w:val="18"/>
                <w:szCs w:val="18"/>
              </w:rPr>
              <w:t>29-1</w:t>
            </w:r>
            <w:r w:rsidR="00A34411">
              <w:rPr>
                <w:rFonts w:ascii="Arial" w:hAnsi="Arial" w:eastAsia="Calibri" w:cs="Arial"/>
                <w:sz w:val="18"/>
                <w:szCs w:val="18"/>
              </w:rPr>
              <w:t>228</w:t>
            </w:r>
          </w:p>
        </w:tc>
        <w:tc>
          <w:tcPr>
            <w:tcW w:w="1733" w:type="dxa"/>
            <w:shd w:val="clear" w:color="auto" w:fill="auto"/>
          </w:tcPr>
          <w:p w:rsidRPr="00EF4EA1" w:rsidR="00E42D96" w:rsidP="00E42D96" w:rsidRDefault="00A34411">
            <w:pPr>
              <w:keepNext/>
              <w:rPr>
                <w:rFonts w:ascii="Arial" w:hAnsi="Arial" w:eastAsia="Calibri" w:cs="Arial"/>
                <w:sz w:val="18"/>
                <w:szCs w:val="18"/>
              </w:rPr>
            </w:pPr>
            <w:r>
              <w:rPr>
                <w:rFonts w:ascii="Arial" w:hAnsi="Arial" w:eastAsia="Calibri" w:cs="Arial"/>
                <w:sz w:val="18"/>
                <w:szCs w:val="18"/>
              </w:rPr>
              <w:t>97.81</w:t>
            </w:r>
          </w:p>
        </w:tc>
        <w:tc>
          <w:tcPr>
            <w:tcW w:w="1738" w:type="dxa"/>
            <w:shd w:val="clear" w:color="auto" w:fill="auto"/>
          </w:tcPr>
          <w:p w:rsidRPr="00EF4EA1" w:rsidR="00E42D96" w:rsidP="00E42D96" w:rsidRDefault="00A34411">
            <w:pPr>
              <w:keepNext/>
              <w:rPr>
                <w:rFonts w:ascii="Arial" w:hAnsi="Arial" w:eastAsia="Calibri" w:cs="Arial"/>
                <w:sz w:val="18"/>
                <w:szCs w:val="18"/>
              </w:rPr>
            </w:pPr>
            <w:r>
              <w:rPr>
                <w:rFonts w:ascii="Arial" w:hAnsi="Arial" w:eastAsia="Calibri" w:cs="Arial"/>
                <w:sz w:val="18"/>
                <w:szCs w:val="18"/>
              </w:rPr>
              <w:t>97.81</w:t>
            </w:r>
          </w:p>
        </w:tc>
        <w:tc>
          <w:tcPr>
            <w:tcW w:w="1767" w:type="dxa"/>
            <w:shd w:val="clear" w:color="auto" w:fill="auto"/>
          </w:tcPr>
          <w:p w:rsidRPr="00EF4EA1" w:rsidR="00E42D96" w:rsidP="00E42D96" w:rsidRDefault="00064753">
            <w:pPr>
              <w:keepNext/>
              <w:rPr>
                <w:rFonts w:ascii="Arial" w:hAnsi="Arial" w:eastAsia="Calibri" w:cs="Arial"/>
                <w:sz w:val="18"/>
                <w:szCs w:val="18"/>
              </w:rPr>
            </w:pPr>
            <w:r>
              <w:rPr>
                <w:rFonts w:ascii="Arial" w:hAnsi="Arial" w:eastAsia="Calibri" w:cs="Arial"/>
                <w:sz w:val="18"/>
                <w:szCs w:val="18"/>
              </w:rPr>
              <w:t>195.62</w:t>
            </w:r>
          </w:p>
        </w:tc>
      </w:tr>
    </w:tbl>
    <w:p w:rsidR="00E42D96" w:rsidP="00E42D96" w:rsidRDefault="00E42D96">
      <w:pPr>
        <w:ind w:firstLine="720"/>
        <w:rPr>
          <w:rFonts w:eastAsia="Calibri"/>
          <w:sz w:val="24"/>
        </w:rPr>
      </w:pPr>
    </w:p>
    <w:p w:rsidRPr="008D5E98" w:rsidR="00E42D96" w:rsidP="008D5E98" w:rsidRDefault="00E42D96">
      <w:pPr>
        <w:ind w:left="432"/>
        <w:rPr>
          <w:rFonts w:eastAsia="Calibri"/>
          <w:sz w:val="24"/>
        </w:rPr>
      </w:pPr>
      <w:r w:rsidRPr="00E42D96">
        <w:rPr>
          <w:rFonts w:eastAsia="Calibri"/>
          <w:sz w:val="24"/>
        </w:rPr>
        <w:t xml:space="preserve">Except where </w:t>
      </w:r>
      <w:proofErr w:type="gramStart"/>
      <w:r w:rsidRPr="00E42D96">
        <w:rPr>
          <w:rFonts w:eastAsia="Calibri"/>
          <w:sz w:val="24"/>
        </w:rPr>
        <w:t>noted</w:t>
      </w:r>
      <w:proofErr w:type="gramEnd"/>
      <w:r w:rsidRPr="00E42D96">
        <w:rPr>
          <w:rFonts w:eastAsia="Calibri"/>
          <w:sz w:val="24"/>
        </w:rPr>
        <w:t>,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DF5394" w:rsidRDefault="00DF53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B1953" w:rsidP="003E4B94" w:rsidRDefault="004B19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p>
    <w:p w:rsidRPr="003E4B94" w:rsidR="00DF5394" w:rsidP="003E4B94" w:rsidRDefault="006D3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Pr>
          <w:i/>
          <w:sz w:val="24"/>
        </w:rPr>
        <w:lastRenderedPageBreak/>
        <w:t>Requirements/</w:t>
      </w:r>
      <w:r w:rsidRPr="003E4B94" w:rsidR="003E4B94">
        <w:rPr>
          <w:i/>
          <w:sz w:val="24"/>
        </w:rPr>
        <w:t>Burden</w:t>
      </w:r>
    </w:p>
    <w:p w:rsidR="00DF5394" w:rsidP="0080245F" w:rsidRDefault="00DF53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80245F"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245F">
        <w:rPr>
          <w:sz w:val="24"/>
        </w:rPr>
        <w:t>Consistent with section 1834(q) of Title XVIII of the Act (as amended by section 218(b) of the PAMA), we have adopted specific requirements for the development of appropriate use criteria (AUC) that can be specified under §</w:t>
      </w:r>
      <w:r w:rsidR="00E13298">
        <w:rPr>
          <w:sz w:val="24"/>
        </w:rPr>
        <w:t xml:space="preserve"> </w:t>
      </w:r>
      <w:r w:rsidRPr="0080245F">
        <w:rPr>
          <w:sz w:val="24"/>
        </w:rPr>
        <w:t xml:space="preserve">414.94 as part of the Medicare program.  PLEs that use processes that meet certain requirements and want to </w:t>
      </w:r>
      <w:proofErr w:type="gramStart"/>
      <w:r w:rsidRPr="0080245F">
        <w:rPr>
          <w:sz w:val="24"/>
        </w:rPr>
        <w:t>be recognized</w:t>
      </w:r>
      <w:proofErr w:type="gramEnd"/>
      <w:r w:rsidRPr="0080245F">
        <w:rPr>
          <w:sz w:val="24"/>
        </w:rPr>
        <w:t xml:space="preserve"> as qualified PLEs for the purpose of this section may apply to CMS.  </w:t>
      </w: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80245F"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sidRPr="0080245F">
        <w:rPr>
          <w:sz w:val="24"/>
        </w:rPr>
        <w:t>Applications must be submitted electronically and demonstrate how the organization’s processes for developing AUC meet the requirements specified in §</w:t>
      </w:r>
      <w:r w:rsidR="00E13298">
        <w:rPr>
          <w:sz w:val="24"/>
        </w:rPr>
        <w:t xml:space="preserve"> </w:t>
      </w:r>
      <w:r w:rsidRPr="0080245F">
        <w:rPr>
          <w:sz w:val="24"/>
        </w:rPr>
        <w:t>414.94(c)(1) which include: a systematic literature review of the clinical topic and relevant imaging studies; led by at least one multidisciplinary team with autonomous governance; a process for identifying and resolving conflicts of interest of team members, the PLE and any other party participating in AUC development or modification; publication of individual appropriate use criterion on the qualified PLE’s website; identification of AUC that are relevant to priority clinical areas; identification of key decision points for individual criterion as evidence-based or consensus-based and strength of evidence grading per a formal, published, and widely recognized methodology; a transparent process for the timely and continual updating of each criterion (at least annually); a process for developing, modifying or endorsing AUC publicly posted on the entity’s website; and the disclosure of external parties involved in the AUC development process.</w:t>
      </w:r>
      <w:proofErr w:type="gramEnd"/>
      <w:r w:rsidRPr="0080245F">
        <w:rPr>
          <w:sz w:val="24"/>
        </w:rPr>
        <w:t xml:space="preserve"> </w:t>
      </w: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245F">
        <w:rPr>
          <w:sz w:val="24"/>
        </w:rPr>
        <w:t>To be identified as a qualified PLE by CMS, organizations must meet the definition of PLE, and demonstrate adherence to the requirements in their application for CMS review and use the application process identified in §</w:t>
      </w:r>
      <w:r w:rsidR="00E13298">
        <w:rPr>
          <w:sz w:val="24"/>
        </w:rPr>
        <w:t xml:space="preserve"> </w:t>
      </w:r>
      <w:r w:rsidRPr="0080245F">
        <w:rPr>
          <w:sz w:val="24"/>
        </w:rPr>
        <w:t>414.94(c)(2) of the regulations.</w:t>
      </w:r>
      <w:r w:rsidR="004B1953">
        <w:rPr>
          <w:sz w:val="24"/>
        </w:rPr>
        <w:t xml:space="preserve"> </w:t>
      </w:r>
      <w:r w:rsidRPr="0080245F">
        <w:rPr>
          <w:sz w:val="24"/>
        </w:rPr>
        <w:t xml:space="preserve"> </w:t>
      </w:r>
      <w:proofErr w:type="gramStart"/>
      <w:r w:rsidRPr="0080245F">
        <w:rPr>
          <w:sz w:val="24"/>
        </w:rPr>
        <w:t xml:space="preserve">Applicant PLEs must submit applications documenting adherence to each AUC development requirement; applications </w:t>
      </w:r>
      <w:r w:rsidR="00E13298">
        <w:rPr>
          <w:sz w:val="24"/>
        </w:rPr>
        <w:t>are</w:t>
      </w:r>
      <w:r w:rsidRPr="0080245F">
        <w:rPr>
          <w:sz w:val="24"/>
        </w:rPr>
        <w:t xml:space="preserve"> accepted annually by January 1; all qualified PLEs approved in each year </w:t>
      </w:r>
      <w:r w:rsidR="00E13298">
        <w:rPr>
          <w:sz w:val="24"/>
        </w:rPr>
        <w:t>are</w:t>
      </w:r>
      <w:r w:rsidRPr="0080245F">
        <w:rPr>
          <w:sz w:val="24"/>
        </w:rPr>
        <w:t xml:space="preserve"> posted to the CMS website by June 30; all qualified PLEs must re-apply every 5 years</w:t>
      </w:r>
      <w:r w:rsidR="00E13298">
        <w:rPr>
          <w:sz w:val="24"/>
        </w:rPr>
        <w:t>;</w:t>
      </w:r>
      <w:r w:rsidRPr="0080245F">
        <w:rPr>
          <w:sz w:val="24"/>
        </w:rPr>
        <w:t xml:space="preserve"> and </w:t>
      </w:r>
      <w:r w:rsidR="00E13298">
        <w:rPr>
          <w:sz w:val="24"/>
        </w:rPr>
        <w:t>re-</w:t>
      </w:r>
      <w:r w:rsidRPr="0080245F">
        <w:rPr>
          <w:sz w:val="24"/>
        </w:rPr>
        <w:t>applications must be submitted by January 1 during the 5th year after the qualified PLE’s most recent approval date.</w:t>
      </w:r>
      <w:proofErr w:type="gramEnd"/>
      <w:r w:rsidR="00BD49CE">
        <w:rPr>
          <w:sz w:val="24"/>
        </w:rPr>
        <w:t xml:space="preserve"> </w:t>
      </w:r>
      <w:r w:rsidRPr="0080245F">
        <w:rPr>
          <w:sz w:val="24"/>
        </w:rPr>
        <w:t xml:space="preserve"> If a qualified PLE </w:t>
      </w:r>
      <w:proofErr w:type="gramStart"/>
      <w:r w:rsidRPr="0080245F">
        <w:rPr>
          <w:sz w:val="24"/>
        </w:rPr>
        <w:t>is found</w:t>
      </w:r>
      <w:proofErr w:type="gramEnd"/>
      <w:r w:rsidRPr="0080245F">
        <w:rPr>
          <w:sz w:val="24"/>
        </w:rPr>
        <w:t xml:space="preserve"> to be non-adherent to the requirements identified above, CMS may terminate its qualified status or may consider this information during re-qualification.</w:t>
      </w:r>
    </w:p>
    <w:p w:rsidR="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80245F" w:rsidR="0080245F" w:rsidP="0080245F" w:rsidRDefault="003E0E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At the time of establishment of the program</w:t>
      </w:r>
      <w:r w:rsidR="00F36CF5">
        <w:rPr>
          <w:sz w:val="24"/>
        </w:rPr>
        <w:t xml:space="preserve"> in 2015</w:t>
      </w:r>
      <w:r>
        <w:rPr>
          <w:sz w:val="24"/>
        </w:rPr>
        <w:t>, we estimated t</w:t>
      </w:r>
      <w:r w:rsidRPr="007E7EB5" w:rsidR="0080245F">
        <w:rPr>
          <w:sz w:val="24"/>
        </w:rPr>
        <w:t>he one-time burden associated with the requirements under §</w:t>
      </w:r>
      <w:r w:rsidRPr="007E7EB5" w:rsidR="0085643D">
        <w:rPr>
          <w:sz w:val="24"/>
        </w:rPr>
        <w:t xml:space="preserve"> </w:t>
      </w:r>
      <w:r w:rsidRPr="007E7EB5" w:rsidR="0080245F">
        <w:rPr>
          <w:sz w:val="24"/>
        </w:rPr>
        <w:t xml:space="preserve">414.94(c)(2) </w:t>
      </w:r>
      <w:r>
        <w:rPr>
          <w:sz w:val="24"/>
        </w:rPr>
        <w:t>to be</w:t>
      </w:r>
      <w:r w:rsidRPr="007E7EB5" w:rsidR="0080245F">
        <w:rPr>
          <w:sz w:val="24"/>
        </w:rPr>
        <w:t xml:space="preserve"> the time and effort it </w:t>
      </w:r>
      <w:r>
        <w:rPr>
          <w:sz w:val="24"/>
        </w:rPr>
        <w:t>would</w:t>
      </w:r>
      <w:r w:rsidRPr="007E7EB5" w:rsidR="0080245F">
        <w:rPr>
          <w:sz w:val="24"/>
        </w:rPr>
        <w:t xml:space="preserve"> take each of the 30 organizations that h</w:t>
      </w:r>
      <w:r>
        <w:rPr>
          <w:sz w:val="24"/>
        </w:rPr>
        <w:t>ad</w:t>
      </w:r>
      <w:r w:rsidRPr="007E7EB5" w:rsidR="0080245F">
        <w:rPr>
          <w:sz w:val="24"/>
        </w:rPr>
        <w:t xml:space="preserve"> expressed interest in developing AUC to compile, review and submit documentation demonstrating adherence to the AUC development requirements.  </w:t>
      </w:r>
      <w:r w:rsidR="007E7EB5">
        <w:rPr>
          <w:sz w:val="24"/>
        </w:rPr>
        <w:t>At that time, w</w:t>
      </w:r>
      <w:r w:rsidRPr="007E7EB5" w:rsidR="0080245F">
        <w:rPr>
          <w:sz w:val="24"/>
        </w:rPr>
        <w:t>e anticipate</w:t>
      </w:r>
      <w:r w:rsidR="007E7EB5">
        <w:rPr>
          <w:sz w:val="24"/>
        </w:rPr>
        <w:t>d</w:t>
      </w:r>
      <w:r w:rsidRPr="007E7EB5" w:rsidR="0080245F">
        <w:rPr>
          <w:sz w:val="24"/>
        </w:rPr>
        <w:t xml:space="preserve"> 30 respondents based on the number of national professional medical specialty societies and other organizations that ha</w:t>
      </w:r>
      <w:r w:rsidR="007E7EB5">
        <w:rPr>
          <w:sz w:val="24"/>
        </w:rPr>
        <w:t>d</w:t>
      </w:r>
      <w:r w:rsidRPr="007E7EB5" w:rsidR="0080245F">
        <w:rPr>
          <w:sz w:val="24"/>
        </w:rPr>
        <w:t xml:space="preserve"> expressed interest in participating in this program as well as other entities we </w:t>
      </w:r>
      <w:r w:rsidR="007E7EB5">
        <w:rPr>
          <w:sz w:val="24"/>
        </w:rPr>
        <w:t xml:space="preserve">expected </w:t>
      </w:r>
      <w:r w:rsidRPr="007E7EB5" w:rsidR="0080245F">
        <w:rPr>
          <w:sz w:val="24"/>
        </w:rPr>
        <w:t>to participate.</w:t>
      </w:r>
      <w:r w:rsidR="003944C0">
        <w:rPr>
          <w:sz w:val="24"/>
        </w:rPr>
        <w:t xml:space="preserve"> </w:t>
      </w: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36CF5"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245F">
        <w:rPr>
          <w:sz w:val="24"/>
        </w:rPr>
        <w:t>We estimate</w:t>
      </w:r>
      <w:r w:rsidR="003E0E50">
        <w:rPr>
          <w:sz w:val="24"/>
        </w:rPr>
        <w:t>d</w:t>
      </w:r>
      <w:r w:rsidRPr="0080245F">
        <w:rPr>
          <w:sz w:val="24"/>
        </w:rPr>
        <w:t xml:space="preserve"> it w</w:t>
      </w:r>
      <w:r w:rsidR="003E0E50">
        <w:rPr>
          <w:sz w:val="24"/>
        </w:rPr>
        <w:t>ould</w:t>
      </w:r>
      <w:r w:rsidRPr="0080245F">
        <w:rPr>
          <w:sz w:val="24"/>
        </w:rPr>
        <w:t xml:space="preserve"> take 20 hours at $67.38/</w:t>
      </w:r>
      <w:proofErr w:type="spellStart"/>
      <w:r w:rsidRPr="0080245F">
        <w:rPr>
          <w:sz w:val="24"/>
        </w:rPr>
        <w:t>hr</w:t>
      </w:r>
      <w:proofErr w:type="spellEnd"/>
      <w:r w:rsidRPr="0080245F">
        <w:rPr>
          <w:sz w:val="24"/>
        </w:rPr>
        <w:t xml:space="preserve"> for a business operations specialist to compile, prepare and submit the required information, 5 hours at $99.68/</w:t>
      </w:r>
      <w:proofErr w:type="spellStart"/>
      <w:r w:rsidRPr="0080245F">
        <w:rPr>
          <w:sz w:val="24"/>
        </w:rPr>
        <w:t>hr</w:t>
      </w:r>
      <w:proofErr w:type="spellEnd"/>
      <w:r w:rsidRPr="0080245F">
        <w:rPr>
          <w:sz w:val="24"/>
        </w:rPr>
        <w:t xml:space="preserve"> for a medical and health services manager to review and approve the submission, and 5 hours at $187.48/</w:t>
      </w:r>
      <w:proofErr w:type="spellStart"/>
      <w:r w:rsidRPr="0080245F">
        <w:rPr>
          <w:sz w:val="24"/>
        </w:rPr>
        <w:t>hr</w:t>
      </w:r>
      <w:proofErr w:type="spellEnd"/>
      <w:r w:rsidRPr="0080245F">
        <w:rPr>
          <w:sz w:val="24"/>
        </w:rPr>
        <w:t xml:space="preserve"> for </w:t>
      </w:r>
      <w:r w:rsidRPr="0080245F">
        <w:rPr>
          <w:sz w:val="24"/>
        </w:rPr>
        <w:lastRenderedPageBreak/>
        <w:t xml:space="preserve">a physician to review and approve the submission materials.  In this regard, we estimate 30 hours per submission at a cost of $2,783.40 per organization.  In aggregate, we estimate 900 hours (30 </w:t>
      </w:r>
      <w:proofErr w:type="spellStart"/>
      <w:r w:rsidRPr="0080245F">
        <w:rPr>
          <w:sz w:val="24"/>
        </w:rPr>
        <w:t>hr</w:t>
      </w:r>
      <w:proofErr w:type="spellEnd"/>
      <w:r w:rsidRPr="0080245F">
        <w:rPr>
          <w:sz w:val="24"/>
        </w:rPr>
        <w:t xml:space="preserve"> x 30 submissions) at $83,502 ($2,783.40 x 30 submissions).</w:t>
      </w:r>
      <w:r w:rsidR="00012BBF">
        <w:rPr>
          <w:sz w:val="24"/>
        </w:rPr>
        <w:t xml:space="preserve"> </w:t>
      </w:r>
    </w:p>
    <w:p w:rsidR="00F36CF5" w:rsidP="0080245F" w:rsidRDefault="00F36C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80245F" w:rsidR="00526667" w:rsidP="0080245F" w:rsidRDefault="00012B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currently 22 qualified PLEs over th</w:t>
      </w:r>
      <w:r w:rsidR="00996E9F">
        <w:rPr>
          <w:sz w:val="24"/>
        </w:rPr>
        <w:t>e five-</w:t>
      </w:r>
      <w:r>
        <w:rPr>
          <w:sz w:val="24"/>
        </w:rPr>
        <w:t xml:space="preserve">year period. </w:t>
      </w:r>
      <w:r w:rsidR="00BD49CE">
        <w:rPr>
          <w:sz w:val="24"/>
        </w:rPr>
        <w:t xml:space="preserve"> </w:t>
      </w:r>
      <w:r w:rsidR="00B8790D">
        <w:rPr>
          <w:sz w:val="24"/>
        </w:rPr>
        <w:t>In 2016</w:t>
      </w:r>
      <w:r w:rsidR="00DF3341">
        <w:rPr>
          <w:sz w:val="24"/>
        </w:rPr>
        <w:t>, the first year we accepted and reviewed PLE applications</w:t>
      </w:r>
      <w:r w:rsidR="00B8790D">
        <w:rPr>
          <w:sz w:val="24"/>
        </w:rPr>
        <w:t>, we received 19 applications</w:t>
      </w:r>
      <w:r w:rsidR="00DF3341">
        <w:rPr>
          <w:sz w:val="24"/>
        </w:rPr>
        <w:t>.  Of the 19 entities requesting qualification, we determined that 11 met the regulatory requirements so 11 PLEs were qualified from the first group of applicants.</w:t>
      </w:r>
      <w:r w:rsidR="00B8790D">
        <w:rPr>
          <w:sz w:val="24"/>
        </w:rPr>
        <w:t xml:space="preserve"> One </w:t>
      </w:r>
      <w:r w:rsidR="00DF3341">
        <w:rPr>
          <w:sz w:val="24"/>
        </w:rPr>
        <w:t>of these entities</w:t>
      </w:r>
      <w:r w:rsidR="00B8790D">
        <w:rPr>
          <w:sz w:val="24"/>
        </w:rPr>
        <w:t xml:space="preserve"> later withdrew its participation</w:t>
      </w:r>
      <w:r w:rsidR="00DF3341">
        <w:rPr>
          <w:sz w:val="24"/>
        </w:rPr>
        <w:t>, so 10 PLEs remain qualified from the first group of applicants</w:t>
      </w:r>
      <w:r w:rsidR="00BD49CE">
        <w:rPr>
          <w:sz w:val="24"/>
        </w:rPr>
        <w:t xml:space="preserve">.  </w:t>
      </w:r>
      <w:r w:rsidR="00B8790D">
        <w:rPr>
          <w:sz w:val="24"/>
        </w:rPr>
        <w:t xml:space="preserve">In 2017, we received nine applications and </w:t>
      </w:r>
      <w:r w:rsidR="00DF3341">
        <w:rPr>
          <w:sz w:val="24"/>
        </w:rPr>
        <w:t>qualified</w:t>
      </w:r>
      <w:r w:rsidR="00B8790D">
        <w:rPr>
          <w:sz w:val="24"/>
        </w:rPr>
        <w:t xml:space="preserve"> seven </w:t>
      </w:r>
      <w:r w:rsidR="00DF3341">
        <w:rPr>
          <w:sz w:val="24"/>
        </w:rPr>
        <w:t xml:space="preserve">new </w:t>
      </w:r>
      <w:r w:rsidR="00BD49CE">
        <w:rPr>
          <w:sz w:val="24"/>
        </w:rPr>
        <w:t xml:space="preserve">PLEs.  </w:t>
      </w:r>
      <w:r w:rsidR="00B8790D">
        <w:rPr>
          <w:sz w:val="24"/>
        </w:rPr>
        <w:t xml:space="preserve">In 2018, we received six applications and </w:t>
      </w:r>
      <w:r w:rsidR="00DF3341">
        <w:rPr>
          <w:sz w:val="24"/>
        </w:rPr>
        <w:t>qualified</w:t>
      </w:r>
      <w:r w:rsidR="00B8790D">
        <w:rPr>
          <w:sz w:val="24"/>
        </w:rPr>
        <w:t xml:space="preserve"> three</w:t>
      </w:r>
      <w:r w:rsidR="00DF3341">
        <w:rPr>
          <w:sz w:val="24"/>
        </w:rPr>
        <w:t xml:space="preserve"> new PLEs</w:t>
      </w:r>
      <w:r w:rsidR="00B8790D">
        <w:rPr>
          <w:sz w:val="24"/>
        </w:rPr>
        <w:t xml:space="preserve">. In 2019, we received four applications and </w:t>
      </w:r>
      <w:r w:rsidR="00DF3341">
        <w:rPr>
          <w:sz w:val="24"/>
        </w:rPr>
        <w:t>qualified</w:t>
      </w:r>
      <w:r w:rsidR="00B8790D">
        <w:rPr>
          <w:sz w:val="24"/>
        </w:rPr>
        <w:t xml:space="preserve"> two</w:t>
      </w:r>
      <w:r w:rsidR="00DF3341">
        <w:rPr>
          <w:sz w:val="24"/>
        </w:rPr>
        <w:t xml:space="preserve"> new PLEs</w:t>
      </w:r>
      <w:r w:rsidR="00B8790D">
        <w:rPr>
          <w:sz w:val="24"/>
        </w:rPr>
        <w:t>.</w:t>
      </w:r>
      <w:r w:rsidR="00BD49CE">
        <w:rPr>
          <w:sz w:val="24"/>
        </w:rPr>
        <w:t xml:space="preserve"> </w:t>
      </w:r>
      <w:r w:rsidR="00B8790D">
        <w:rPr>
          <w:sz w:val="24"/>
        </w:rPr>
        <w:t xml:space="preserve"> In 2020, we did not receive any applications. </w:t>
      </w: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80245F" w:rsidR="0080245F" w:rsidP="0080245F" w:rsidRDefault="00647C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previously estimated that after</w:t>
      </w:r>
      <w:r w:rsidR="00BD49CE">
        <w:rPr>
          <w:sz w:val="24"/>
        </w:rPr>
        <w:t xml:space="preserve"> the first year of applications</w:t>
      </w:r>
      <w:r w:rsidRPr="0080245F" w:rsidR="0080245F">
        <w:rPr>
          <w:sz w:val="24"/>
        </w:rPr>
        <w:t xml:space="preserve">, we </w:t>
      </w:r>
      <w:r>
        <w:rPr>
          <w:sz w:val="24"/>
        </w:rPr>
        <w:t xml:space="preserve">annually </w:t>
      </w:r>
      <w:r w:rsidRPr="0080245F" w:rsidR="0080245F">
        <w:rPr>
          <w:sz w:val="24"/>
        </w:rPr>
        <w:t>expect</w:t>
      </w:r>
      <w:r>
        <w:rPr>
          <w:sz w:val="24"/>
        </w:rPr>
        <w:t>ed</w:t>
      </w:r>
      <w:r w:rsidRPr="0080245F" w:rsidR="0080245F">
        <w:rPr>
          <w:sz w:val="24"/>
        </w:rPr>
        <w:t xml:space="preserve"> less than 10 </w:t>
      </w:r>
      <w:r w:rsidR="00307F2E">
        <w:rPr>
          <w:sz w:val="24"/>
        </w:rPr>
        <w:t xml:space="preserve">new </w:t>
      </w:r>
      <w:r w:rsidRPr="0080245F" w:rsidR="0080245F">
        <w:rPr>
          <w:sz w:val="24"/>
        </w:rPr>
        <w:t xml:space="preserve">applicants to apply to become qualified PLEs </w:t>
      </w:r>
      <w:r w:rsidR="00012BBF">
        <w:rPr>
          <w:sz w:val="24"/>
        </w:rPr>
        <w:t>in years 2-5</w:t>
      </w:r>
      <w:r w:rsidRPr="0080245F" w:rsidR="0080245F">
        <w:rPr>
          <w:sz w:val="24"/>
        </w:rPr>
        <w:t xml:space="preserve">. </w:t>
      </w:r>
      <w:r w:rsidR="00BD49CE">
        <w:rPr>
          <w:sz w:val="24"/>
        </w:rPr>
        <w:t xml:space="preserve"> </w:t>
      </w:r>
      <w:r>
        <w:rPr>
          <w:sz w:val="24"/>
        </w:rPr>
        <w:t xml:space="preserve">This estimation was correct. </w:t>
      </w:r>
      <w:r w:rsidR="00BD49CE">
        <w:rPr>
          <w:sz w:val="24"/>
        </w:rPr>
        <w:t xml:space="preserve"> </w:t>
      </w:r>
      <w:r w:rsidRPr="0080245F" w:rsidR="0080245F">
        <w:rPr>
          <w:sz w:val="24"/>
        </w:rPr>
        <w:t xml:space="preserve">Since we </w:t>
      </w:r>
      <w:r w:rsidR="00012BBF">
        <w:rPr>
          <w:sz w:val="24"/>
        </w:rPr>
        <w:t xml:space="preserve">have </w:t>
      </w:r>
      <w:r>
        <w:rPr>
          <w:sz w:val="24"/>
        </w:rPr>
        <w:t xml:space="preserve">received </w:t>
      </w:r>
      <w:r w:rsidRPr="0080245F" w:rsidR="0080245F">
        <w:rPr>
          <w:sz w:val="24"/>
        </w:rPr>
        <w:t>fewer than ten respondents</w:t>
      </w:r>
      <w:r w:rsidR="003944C0">
        <w:rPr>
          <w:sz w:val="24"/>
        </w:rPr>
        <w:t xml:space="preserve"> </w:t>
      </w:r>
      <w:r w:rsidR="00F36CF5">
        <w:rPr>
          <w:sz w:val="24"/>
        </w:rPr>
        <w:t xml:space="preserve">in </w:t>
      </w:r>
      <w:r w:rsidR="003944C0">
        <w:rPr>
          <w:sz w:val="24"/>
        </w:rPr>
        <w:t>each year after</w:t>
      </w:r>
      <w:r w:rsidR="00012BBF">
        <w:rPr>
          <w:sz w:val="24"/>
        </w:rPr>
        <w:t xml:space="preserve"> 2016</w:t>
      </w:r>
      <w:r w:rsidRPr="0080245F" w:rsidR="0080245F">
        <w:rPr>
          <w:sz w:val="24"/>
        </w:rPr>
        <w:t xml:space="preserve">, the information collection requirements </w:t>
      </w:r>
      <w:r w:rsidR="003944C0">
        <w:rPr>
          <w:sz w:val="24"/>
        </w:rPr>
        <w:t xml:space="preserve">for new applicants </w:t>
      </w:r>
      <w:r w:rsidRPr="0080245F" w:rsidR="0080245F">
        <w:rPr>
          <w:sz w:val="24"/>
        </w:rPr>
        <w:t xml:space="preserve">are exempt (5 CFR 1320.3(c)) from the requirements of the Paperwork Reduction Act of 1995 (44 U.S.C. 3501 </w:t>
      </w:r>
      <w:proofErr w:type="gramStart"/>
      <w:r w:rsidRPr="0080245F" w:rsidR="0080245F">
        <w:rPr>
          <w:sz w:val="24"/>
        </w:rPr>
        <w:t>et</w:t>
      </w:r>
      <w:proofErr w:type="gramEnd"/>
      <w:r w:rsidRPr="0080245F" w:rsidR="0080245F">
        <w:rPr>
          <w:sz w:val="24"/>
        </w:rPr>
        <w:t xml:space="preserve"> </w:t>
      </w:r>
      <w:proofErr w:type="spellStart"/>
      <w:r w:rsidRPr="0080245F" w:rsidR="0080245F">
        <w:rPr>
          <w:sz w:val="24"/>
        </w:rPr>
        <w:t>seq</w:t>
      </w:r>
      <w:proofErr w:type="spellEnd"/>
      <w:r w:rsidRPr="0080245F" w:rsidR="0080245F">
        <w:rPr>
          <w:sz w:val="24"/>
        </w:rPr>
        <w:t xml:space="preserve">). </w:t>
      </w:r>
    </w:p>
    <w:p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26667"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245F">
        <w:rPr>
          <w:sz w:val="24"/>
        </w:rPr>
        <w:t>Qualified PLEs must re-apply every 5 years.</w:t>
      </w:r>
      <w:r w:rsidR="00BD49CE">
        <w:rPr>
          <w:sz w:val="24"/>
        </w:rPr>
        <w:t xml:space="preserve">  </w:t>
      </w:r>
      <w:r w:rsidRPr="0080245F">
        <w:rPr>
          <w:sz w:val="24"/>
        </w:rPr>
        <w:t>Therefore</w:t>
      </w:r>
      <w:r w:rsidR="005F3BF1">
        <w:rPr>
          <w:sz w:val="24"/>
        </w:rPr>
        <w:t>,</w:t>
      </w:r>
      <w:r w:rsidRPr="0080245F">
        <w:rPr>
          <w:sz w:val="24"/>
        </w:rPr>
        <w:t xml:space="preserve"> </w:t>
      </w:r>
      <w:r w:rsidR="00647CE0">
        <w:rPr>
          <w:sz w:val="24"/>
        </w:rPr>
        <w:t>by January 1, 2021</w:t>
      </w:r>
      <w:r w:rsidRPr="0080245F">
        <w:rPr>
          <w:sz w:val="24"/>
        </w:rPr>
        <w:t xml:space="preserve">, we expect that the </w:t>
      </w:r>
      <w:r w:rsidR="00B8790D">
        <w:rPr>
          <w:sz w:val="24"/>
        </w:rPr>
        <w:t xml:space="preserve">10 </w:t>
      </w:r>
      <w:r w:rsidRPr="0080245F">
        <w:rPr>
          <w:sz w:val="24"/>
        </w:rPr>
        <w:t xml:space="preserve">entities </w:t>
      </w:r>
      <w:r w:rsidR="00B8790D">
        <w:rPr>
          <w:sz w:val="24"/>
        </w:rPr>
        <w:t>approved in 2016</w:t>
      </w:r>
      <w:r w:rsidR="005B7F62">
        <w:rPr>
          <w:sz w:val="24"/>
        </w:rPr>
        <w:t xml:space="preserve"> and still participating,</w:t>
      </w:r>
      <w:r w:rsidR="00B8790D">
        <w:rPr>
          <w:sz w:val="24"/>
        </w:rPr>
        <w:t xml:space="preserve"> </w:t>
      </w:r>
      <w:r w:rsidRPr="0080245F">
        <w:rPr>
          <w:sz w:val="24"/>
        </w:rPr>
        <w:t>will re-apply</w:t>
      </w:r>
      <w:r w:rsidR="00891115">
        <w:rPr>
          <w:sz w:val="24"/>
        </w:rPr>
        <w:t xml:space="preserve">. </w:t>
      </w:r>
      <w:r w:rsidR="00B8790D">
        <w:rPr>
          <w:sz w:val="24"/>
        </w:rPr>
        <w:t>We continue to expect t</w:t>
      </w:r>
      <w:r w:rsidRPr="0080245F">
        <w:rPr>
          <w:sz w:val="24"/>
        </w:rPr>
        <w:t>he burden for re-applying to be half the burden of the initial application process.</w:t>
      </w:r>
      <w:r w:rsidR="00BD49CE">
        <w:rPr>
          <w:sz w:val="24"/>
        </w:rPr>
        <w:t xml:space="preserve">  </w:t>
      </w:r>
      <w:proofErr w:type="gramStart"/>
      <w:r w:rsidRPr="0080245F">
        <w:rPr>
          <w:sz w:val="24"/>
        </w:rPr>
        <w:t>The PLEs will be able to make modifications to their original application which should result in a burden of 10 hours at $</w:t>
      </w:r>
      <w:r w:rsidR="00064753">
        <w:rPr>
          <w:sz w:val="24"/>
        </w:rPr>
        <w:t>73.22</w:t>
      </w:r>
      <w:r w:rsidRPr="0080245F">
        <w:rPr>
          <w:sz w:val="24"/>
        </w:rPr>
        <w:t>/</w:t>
      </w:r>
      <w:proofErr w:type="spellStart"/>
      <w:r w:rsidRPr="0080245F">
        <w:rPr>
          <w:sz w:val="24"/>
        </w:rPr>
        <w:t>hr</w:t>
      </w:r>
      <w:proofErr w:type="spellEnd"/>
      <w:r w:rsidRPr="0080245F">
        <w:rPr>
          <w:sz w:val="24"/>
        </w:rPr>
        <w:t xml:space="preserve"> for a business operations specialist to compile, prepare and submit the required information, 2.5 hours at $</w:t>
      </w:r>
      <w:r w:rsidR="00064753">
        <w:rPr>
          <w:sz w:val="24"/>
        </w:rPr>
        <w:t>110.74</w:t>
      </w:r>
      <w:r w:rsidRPr="0080245F">
        <w:rPr>
          <w:sz w:val="24"/>
        </w:rPr>
        <w:t>/</w:t>
      </w:r>
      <w:proofErr w:type="spellStart"/>
      <w:r w:rsidRPr="0080245F">
        <w:rPr>
          <w:sz w:val="24"/>
        </w:rPr>
        <w:t>hr</w:t>
      </w:r>
      <w:proofErr w:type="spellEnd"/>
      <w:r w:rsidRPr="0080245F">
        <w:rPr>
          <w:sz w:val="24"/>
        </w:rPr>
        <w:t xml:space="preserve"> for a medical and health services manager to review and approve the submission, and 2.5 hours at $</w:t>
      </w:r>
      <w:r w:rsidR="00064753">
        <w:rPr>
          <w:sz w:val="24"/>
        </w:rPr>
        <w:t>195.62</w:t>
      </w:r>
      <w:r w:rsidRPr="0080245F">
        <w:rPr>
          <w:sz w:val="24"/>
        </w:rPr>
        <w:t>/</w:t>
      </w:r>
      <w:proofErr w:type="spellStart"/>
      <w:r w:rsidRPr="0080245F">
        <w:rPr>
          <w:sz w:val="24"/>
        </w:rPr>
        <w:t>hr</w:t>
      </w:r>
      <w:proofErr w:type="spellEnd"/>
      <w:r w:rsidRPr="0080245F">
        <w:rPr>
          <w:sz w:val="24"/>
        </w:rPr>
        <w:t xml:space="preserve"> for a physician to review and approve the submission materials.</w:t>
      </w:r>
      <w:proofErr w:type="gramEnd"/>
      <w:r w:rsidRPr="0080245F">
        <w:rPr>
          <w:sz w:val="24"/>
        </w:rPr>
        <w:t xml:space="preserve">  Annually, we estimate 15 hours per submission at a cost of $1,</w:t>
      </w:r>
      <w:r w:rsidR="00064753">
        <w:rPr>
          <w:sz w:val="24"/>
        </w:rPr>
        <w:t>498.00</w:t>
      </w:r>
      <w:r w:rsidRPr="0080245F">
        <w:rPr>
          <w:sz w:val="24"/>
        </w:rPr>
        <w:t xml:space="preserve"> per organization.  In aggregate, we estimate </w:t>
      </w:r>
      <w:r w:rsidR="003159AD">
        <w:rPr>
          <w:sz w:val="24"/>
        </w:rPr>
        <w:t>150</w:t>
      </w:r>
      <w:r w:rsidRPr="0080245F">
        <w:rPr>
          <w:sz w:val="24"/>
        </w:rPr>
        <w:t xml:space="preserve"> hours (15 </w:t>
      </w:r>
      <w:proofErr w:type="spellStart"/>
      <w:r w:rsidRPr="0080245F">
        <w:rPr>
          <w:sz w:val="24"/>
        </w:rPr>
        <w:t>hr</w:t>
      </w:r>
      <w:proofErr w:type="spellEnd"/>
      <w:r w:rsidRPr="0080245F">
        <w:rPr>
          <w:sz w:val="24"/>
        </w:rPr>
        <w:t xml:space="preserve"> x </w:t>
      </w:r>
      <w:r w:rsidR="003159AD">
        <w:rPr>
          <w:sz w:val="24"/>
        </w:rPr>
        <w:t>10</w:t>
      </w:r>
      <w:r w:rsidRPr="0080245F">
        <w:rPr>
          <w:sz w:val="24"/>
        </w:rPr>
        <w:t xml:space="preserve"> submissions) at $</w:t>
      </w:r>
      <w:r w:rsidR="00064753">
        <w:rPr>
          <w:sz w:val="24"/>
        </w:rPr>
        <w:t>14,980</w:t>
      </w:r>
      <w:r w:rsidRPr="0080245F">
        <w:rPr>
          <w:sz w:val="24"/>
        </w:rPr>
        <w:t xml:space="preserve"> ($1,</w:t>
      </w:r>
      <w:r w:rsidR="00064753">
        <w:rPr>
          <w:sz w:val="24"/>
        </w:rPr>
        <w:t>498</w:t>
      </w:r>
      <w:r w:rsidRPr="0080245F">
        <w:rPr>
          <w:sz w:val="24"/>
        </w:rPr>
        <w:t xml:space="preserve"> x </w:t>
      </w:r>
      <w:r w:rsidR="003159AD">
        <w:rPr>
          <w:sz w:val="24"/>
        </w:rPr>
        <w:t>10</w:t>
      </w:r>
      <w:r w:rsidRPr="0080245F">
        <w:rPr>
          <w:sz w:val="24"/>
        </w:rPr>
        <w:t xml:space="preserve"> submissions).</w:t>
      </w:r>
    </w:p>
    <w:p w:rsidR="0080245F" w:rsidP="0080245F" w:rsidRDefault="00637E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 </w:t>
      </w:r>
    </w:p>
    <w:p w:rsidR="005B7F62" w:rsidP="005B7F62" w:rsidRDefault="005B7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We previously estimated that after the first year of applications</w:t>
      </w:r>
      <w:r w:rsidRPr="0080245F">
        <w:rPr>
          <w:sz w:val="24"/>
        </w:rPr>
        <w:t xml:space="preserve">, we </w:t>
      </w:r>
      <w:r>
        <w:rPr>
          <w:sz w:val="24"/>
        </w:rPr>
        <w:t xml:space="preserve">annually </w:t>
      </w:r>
      <w:r w:rsidRPr="0080245F">
        <w:rPr>
          <w:sz w:val="24"/>
        </w:rPr>
        <w:t>expect</w:t>
      </w:r>
      <w:r>
        <w:rPr>
          <w:sz w:val="24"/>
        </w:rPr>
        <w:t>ed</w:t>
      </w:r>
      <w:r w:rsidRPr="0080245F">
        <w:rPr>
          <w:sz w:val="24"/>
        </w:rPr>
        <w:t xml:space="preserve"> less than 10 applicants to apply to become qualified PLEs </w:t>
      </w:r>
      <w:r>
        <w:rPr>
          <w:sz w:val="24"/>
        </w:rPr>
        <w:t>in years 2-5</w:t>
      </w:r>
      <w:r w:rsidRPr="0080245F">
        <w:rPr>
          <w:sz w:val="24"/>
        </w:rPr>
        <w:t xml:space="preserve">. </w:t>
      </w:r>
      <w:r w:rsidR="001D7603">
        <w:rPr>
          <w:sz w:val="24"/>
        </w:rPr>
        <w:t>After five years of experience,</w:t>
      </w:r>
      <w:r w:rsidR="00891115">
        <w:rPr>
          <w:sz w:val="24"/>
        </w:rPr>
        <w:t xml:space="preserve"> </w:t>
      </w:r>
      <w:r w:rsidR="001D7603">
        <w:rPr>
          <w:sz w:val="24"/>
        </w:rPr>
        <w:t xml:space="preserve">we </w:t>
      </w:r>
      <w:r w:rsidR="008D5E98">
        <w:rPr>
          <w:sz w:val="24"/>
        </w:rPr>
        <w:t xml:space="preserve">have confirmed that there will be less than 10 re-applicants in each of the years 2022-2025.  We </w:t>
      </w:r>
      <w:r w:rsidR="001D7603">
        <w:rPr>
          <w:sz w:val="24"/>
        </w:rPr>
        <w:t xml:space="preserve">expect the </w:t>
      </w:r>
      <w:r w:rsidR="00307F2E">
        <w:rPr>
          <w:sz w:val="24"/>
        </w:rPr>
        <w:t xml:space="preserve">seven </w:t>
      </w:r>
      <w:r w:rsidR="001D7603">
        <w:rPr>
          <w:sz w:val="24"/>
        </w:rPr>
        <w:t>PLEs app</w:t>
      </w:r>
      <w:r w:rsidR="00307F2E">
        <w:rPr>
          <w:sz w:val="24"/>
        </w:rPr>
        <w:t>roved in 2017</w:t>
      </w:r>
      <w:r w:rsidR="001D7603">
        <w:rPr>
          <w:sz w:val="24"/>
        </w:rPr>
        <w:t xml:space="preserve"> will reapply</w:t>
      </w:r>
      <w:r w:rsidR="00DF3341">
        <w:rPr>
          <w:sz w:val="24"/>
        </w:rPr>
        <w:t xml:space="preserve"> in 2022</w:t>
      </w:r>
      <w:r w:rsidR="001D7603">
        <w:rPr>
          <w:sz w:val="24"/>
        </w:rPr>
        <w:t xml:space="preserve">. </w:t>
      </w:r>
      <w:r w:rsidR="00BD49CE">
        <w:rPr>
          <w:sz w:val="24"/>
        </w:rPr>
        <w:t xml:space="preserve"> </w:t>
      </w:r>
      <w:r w:rsidR="00891115">
        <w:rPr>
          <w:sz w:val="24"/>
        </w:rPr>
        <w:t xml:space="preserve">In 2023, </w:t>
      </w:r>
      <w:r w:rsidR="00307F2E">
        <w:rPr>
          <w:sz w:val="24"/>
        </w:rPr>
        <w:t xml:space="preserve">we expect </w:t>
      </w:r>
      <w:r w:rsidR="00891115">
        <w:rPr>
          <w:sz w:val="24"/>
        </w:rPr>
        <w:t xml:space="preserve">the three entities approved in 2018 </w:t>
      </w:r>
      <w:r w:rsidR="00307F2E">
        <w:rPr>
          <w:sz w:val="24"/>
        </w:rPr>
        <w:t xml:space="preserve">will </w:t>
      </w:r>
      <w:r w:rsidR="00891115">
        <w:rPr>
          <w:sz w:val="24"/>
        </w:rPr>
        <w:t xml:space="preserve">reapply. </w:t>
      </w:r>
      <w:r w:rsidR="00BD49CE">
        <w:rPr>
          <w:sz w:val="24"/>
        </w:rPr>
        <w:t xml:space="preserve"> </w:t>
      </w:r>
      <w:r w:rsidR="00891115">
        <w:rPr>
          <w:sz w:val="24"/>
        </w:rPr>
        <w:t>We expect two re-applications in 2024 and no re-applications in 2025.</w:t>
      </w:r>
      <w:r w:rsidR="00BD49CE">
        <w:rPr>
          <w:sz w:val="24"/>
        </w:rPr>
        <w:t xml:space="preserve"> </w:t>
      </w:r>
      <w:r w:rsidR="00891115">
        <w:rPr>
          <w:sz w:val="24"/>
        </w:rPr>
        <w:t xml:space="preserve"> </w:t>
      </w:r>
      <w:r w:rsidRPr="0080245F">
        <w:rPr>
          <w:sz w:val="24"/>
        </w:rPr>
        <w:t xml:space="preserve">Since we </w:t>
      </w:r>
      <w:r w:rsidR="00FF2DEB">
        <w:rPr>
          <w:sz w:val="24"/>
        </w:rPr>
        <w:t>will receive</w:t>
      </w:r>
      <w:r>
        <w:rPr>
          <w:sz w:val="24"/>
        </w:rPr>
        <w:t xml:space="preserve"> </w:t>
      </w:r>
      <w:r w:rsidRPr="0080245F">
        <w:rPr>
          <w:sz w:val="24"/>
        </w:rPr>
        <w:t>fewer</w:t>
      </w:r>
      <w:r w:rsidR="00FF2DEB">
        <w:rPr>
          <w:sz w:val="24"/>
        </w:rPr>
        <w:t xml:space="preserve"> than ten re-applications</w:t>
      </w:r>
      <w:r>
        <w:rPr>
          <w:sz w:val="24"/>
        </w:rPr>
        <w:t xml:space="preserve"> in each year after 20</w:t>
      </w:r>
      <w:r w:rsidR="00625C0E">
        <w:rPr>
          <w:sz w:val="24"/>
        </w:rPr>
        <w:t>21</w:t>
      </w:r>
      <w:r w:rsidRPr="0080245F">
        <w:rPr>
          <w:sz w:val="24"/>
        </w:rPr>
        <w:t xml:space="preserve">, the information collection requirements </w:t>
      </w:r>
      <w:r w:rsidR="00891115">
        <w:rPr>
          <w:sz w:val="24"/>
        </w:rPr>
        <w:t>for renewing</w:t>
      </w:r>
      <w:r>
        <w:rPr>
          <w:sz w:val="24"/>
        </w:rPr>
        <w:t xml:space="preserve"> applicants </w:t>
      </w:r>
      <w:r w:rsidR="00891115">
        <w:rPr>
          <w:sz w:val="24"/>
        </w:rPr>
        <w:t xml:space="preserve">in years 2022 through 2025 </w:t>
      </w:r>
      <w:r w:rsidRPr="0080245F">
        <w:rPr>
          <w:sz w:val="24"/>
        </w:rPr>
        <w:t xml:space="preserve">are exempt (5 CFR 1320.3(c)) from the requirements of the Paperwork Reduction Act of 1995 (44 U.S.C. 3501 et </w:t>
      </w:r>
      <w:proofErr w:type="spellStart"/>
      <w:r w:rsidRPr="0080245F">
        <w:rPr>
          <w:sz w:val="24"/>
        </w:rPr>
        <w:t>seq</w:t>
      </w:r>
      <w:proofErr w:type="spellEnd"/>
      <w:r w:rsidRPr="0080245F">
        <w:rPr>
          <w:sz w:val="24"/>
        </w:rPr>
        <w:t xml:space="preserve">). </w:t>
      </w:r>
    </w:p>
    <w:p w:rsidR="005B7F62" w:rsidP="0080245F" w:rsidRDefault="005B7F6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80245F" w:rsidR="0080245F" w:rsidP="0080245F"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0245F">
        <w:rPr>
          <w:sz w:val="24"/>
        </w:rPr>
        <w:t>Section 414.94(f</w:t>
      </w:r>
      <w:proofErr w:type="gramStart"/>
      <w:r w:rsidRPr="0080245F">
        <w:rPr>
          <w:sz w:val="24"/>
        </w:rPr>
        <w:t>)(</w:t>
      </w:r>
      <w:proofErr w:type="gramEnd"/>
      <w:r w:rsidRPr="0080245F">
        <w:rPr>
          <w:sz w:val="24"/>
        </w:rPr>
        <w:t>3) provides that CMS may terminate the qualified status of a PLE if it finds that the PLE is not adherent to the requirements in §</w:t>
      </w:r>
      <w:r w:rsidR="00647CE0">
        <w:rPr>
          <w:sz w:val="24"/>
        </w:rPr>
        <w:t xml:space="preserve"> </w:t>
      </w:r>
      <w:r w:rsidRPr="0080245F">
        <w:rPr>
          <w:sz w:val="24"/>
        </w:rPr>
        <w:t>414.94(c).</w:t>
      </w:r>
      <w:r w:rsidR="00526667">
        <w:rPr>
          <w:sz w:val="24"/>
        </w:rPr>
        <w:t xml:space="preserve">  </w:t>
      </w:r>
      <w:r w:rsidRPr="0080245F">
        <w:rPr>
          <w:sz w:val="24"/>
        </w:rPr>
        <w:t xml:space="preserve">In this </w:t>
      </w:r>
      <w:proofErr w:type="gramStart"/>
      <w:r w:rsidRPr="0080245F">
        <w:rPr>
          <w:sz w:val="24"/>
        </w:rPr>
        <w:t>instance</w:t>
      </w:r>
      <w:proofErr w:type="gramEnd"/>
      <w:r w:rsidRPr="0080245F">
        <w:rPr>
          <w:sz w:val="24"/>
        </w:rPr>
        <w:t xml:space="preserve"> the PLE would need to re-qualify to reinstate their status. </w:t>
      </w:r>
      <w:r w:rsidR="00BD49CE">
        <w:rPr>
          <w:sz w:val="24"/>
        </w:rPr>
        <w:t xml:space="preserve"> </w:t>
      </w:r>
      <w:r w:rsidRPr="0080245F">
        <w:rPr>
          <w:sz w:val="24"/>
        </w:rPr>
        <w:t xml:space="preserve">The requalification requirements are associated with an administrative action.  In accordance with the implementing regulations of </w:t>
      </w:r>
      <w:r w:rsidRPr="0080245F">
        <w:rPr>
          <w:sz w:val="24"/>
        </w:rPr>
        <w:lastRenderedPageBreak/>
        <w:t xml:space="preserve">the PRA at 5 CFR </w:t>
      </w:r>
      <w:r w:rsidR="00647CE0">
        <w:rPr>
          <w:sz w:val="24"/>
        </w:rPr>
        <w:t xml:space="preserve">§ </w:t>
      </w:r>
      <w:r w:rsidRPr="0080245F">
        <w:rPr>
          <w:sz w:val="24"/>
        </w:rPr>
        <w:t>1320.4(a</w:t>
      </w:r>
      <w:proofErr w:type="gramStart"/>
      <w:r w:rsidRPr="0080245F">
        <w:rPr>
          <w:sz w:val="24"/>
        </w:rPr>
        <w:t>)(</w:t>
      </w:r>
      <w:proofErr w:type="gramEnd"/>
      <w:r w:rsidRPr="0080245F">
        <w:rPr>
          <w:sz w:val="24"/>
        </w:rPr>
        <w:t xml:space="preserve">2) and (c), the associated burden is exempt from the requirements of the Paperwork Reduction Act of 1995 (44 U.S.C. 3501 et seq.).  We also estimate that the requalification process would apply to fewer than ten respondents per year. Consequently, the information collection requirements are also exempt under </w:t>
      </w:r>
      <w:proofErr w:type="gramStart"/>
      <w:r w:rsidRPr="0080245F">
        <w:rPr>
          <w:sz w:val="24"/>
        </w:rPr>
        <w:t>5</w:t>
      </w:r>
      <w:proofErr w:type="gramEnd"/>
      <w:r w:rsidRPr="0080245F">
        <w:rPr>
          <w:sz w:val="24"/>
        </w:rPr>
        <w:t xml:space="preserve"> CFR </w:t>
      </w:r>
      <w:r w:rsidR="00647CE0">
        <w:rPr>
          <w:sz w:val="24"/>
        </w:rPr>
        <w:t xml:space="preserve">§ </w:t>
      </w:r>
      <w:r w:rsidRPr="0080245F">
        <w:rPr>
          <w:sz w:val="24"/>
        </w:rPr>
        <w:t>1320.3(c) of the Paperwork Reduction Act’s implementing regulations.</w:t>
      </w:r>
    </w:p>
    <w:p w:rsidR="0080245F" w:rsidP="009129E8" w:rsidRDefault="00802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F13B8" w:rsidP="009129E8" w:rsidRDefault="00CF13B8">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i/>
        </w:rPr>
      </w:pPr>
      <w:r w:rsidRPr="005D0240">
        <w:rPr>
          <w:rFonts w:ascii="Times New Roman" w:hAnsi="Times New Roman"/>
          <w:i/>
        </w:rPr>
        <w:t>Summary of Annual Burden Estimates</w:t>
      </w:r>
    </w:p>
    <w:p w:rsidRPr="005D0240" w:rsidR="009129E8" w:rsidP="009129E8" w:rsidRDefault="009129E8">
      <w:pPr>
        <w:pStyle w:val="ListParagraph"/>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rFonts w:ascii="Times New Roman" w:hAnsi="Times New Roman"/>
          <w:b/>
          <w:i/>
        </w:rPr>
      </w:pPr>
    </w:p>
    <w:tbl>
      <w:tblPr>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366"/>
        <w:gridCol w:w="1361"/>
        <w:gridCol w:w="1181"/>
        <w:gridCol w:w="1080"/>
        <w:gridCol w:w="972"/>
        <w:gridCol w:w="1068"/>
        <w:gridCol w:w="1073"/>
      </w:tblGrid>
      <w:tr w:rsidRPr="00DB521B" w:rsidR="00460F57" w:rsidTr="00526667">
        <w:trPr>
          <w:tblHeader/>
          <w:jc w:val="center"/>
        </w:trPr>
        <w:tc>
          <w:tcPr>
            <w:tcW w:w="1366"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Regulation Section(s)</w:t>
            </w:r>
          </w:p>
        </w:tc>
        <w:tc>
          <w:tcPr>
            <w:tcW w:w="1361"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Respondents</w:t>
            </w:r>
          </w:p>
        </w:tc>
        <w:tc>
          <w:tcPr>
            <w:tcW w:w="1181"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Total Responses</w:t>
            </w:r>
          </w:p>
        </w:tc>
        <w:tc>
          <w:tcPr>
            <w:tcW w:w="1080"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Burden per Response (hours)</w:t>
            </w:r>
          </w:p>
        </w:tc>
        <w:tc>
          <w:tcPr>
            <w:tcW w:w="972"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Total Annual Burden (hours)</w:t>
            </w:r>
          </w:p>
        </w:tc>
        <w:tc>
          <w:tcPr>
            <w:tcW w:w="1068" w:type="dxa"/>
            <w:vAlign w:val="bottom"/>
          </w:tcPr>
          <w:p w:rsidRPr="00DB521B" w:rsidR="00460F57" w:rsidP="009129E8" w:rsidRDefault="00460F57">
            <w:pPr>
              <w:widowControl/>
              <w:jc w:val="center"/>
              <w:rPr>
                <w:rFonts w:ascii="Arial" w:hAnsi="Arial" w:cs="Arial"/>
                <w:b/>
                <w:bCs/>
                <w:color w:val="000000"/>
                <w:sz w:val="18"/>
                <w:szCs w:val="18"/>
              </w:rPr>
            </w:pPr>
            <w:r w:rsidRPr="00DB521B">
              <w:rPr>
                <w:rFonts w:ascii="Arial" w:hAnsi="Arial" w:cs="Arial"/>
                <w:b/>
                <w:bCs/>
                <w:color w:val="000000"/>
                <w:sz w:val="18"/>
                <w:szCs w:val="18"/>
              </w:rPr>
              <w:t>Labor</w:t>
            </w:r>
          </w:p>
          <w:p w:rsidRPr="00DB521B" w:rsidR="00460F57" w:rsidP="009129E8" w:rsidRDefault="00460F57">
            <w:pPr>
              <w:widowControl/>
              <w:jc w:val="center"/>
              <w:rPr>
                <w:rFonts w:ascii="Arial" w:hAnsi="Arial" w:cs="Arial"/>
                <w:b/>
                <w:bCs/>
                <w:color w:val="000000"/>
                <w:sz w:val="18"/>
                <w:szCs w:val="18"/>
              </w:rPr>
            </w:pPr>
            <w:r w:rsidRPr="00DB521B">
              <w:rPr>
                <w:rFonts w:ascii="Arial" w:hAnsi="Arial" w:cs="Arial"/>
                <w:b/>
                <w:bCs/>
                <w:color w:val="000000"/>
                <w:sz w:val="18"/>
                <w:szCs w:val="18"/>
              </w:rPr>
              <w:t>Cost of</w:t>
            </w:r>
          </w:p>
          <w:p w:rsidRPr="00DB521B" w:rsidR="00460F57" w:rsidP="009129E8" w:rsidRDefault="00460F57">
            <w:pPr>
              <w:widowControl/>
              <w:jc w:val="center"/>
              <w:rPr>
                <w:rFonts w:ascii="Arial" w:hAnsi="Arial" w:cs="Arial"/>
                <w:b/>
                <w:bCs/>
                <w:color w:val="000000"/>
                <w:sz w:val="18"/>
                <w:szCs w:val="18"/>
              </w:rPr>
            </w:pPr>
            <w:r w:rsidRPr="00DB521B">
              <w:rPr>
                <w:rFonts w:ascii="Arial" w:hAnsi="Arial" w:cs="Arial"/>
                <w:b/>
                <w:bCs/>
                <w:color w:val="000000"/>
                <w:sz w:val="18"/>
                <w:szCs w:val="18"/>
              </w:rPr>
              <w:t>Reporting</w:t>
            </w:r>
          </w:p>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bCs/>
                <w:color w:val="000000"/>
                <w:sz w:val="18"/>
                <w:szCs w:val="18"/>
              </w:rPr>
              <w:t>($)</w:t>
            </w:r>
          </w:p>
        </w:tc>
        <w:tc>
          <w:tcPr>
            <w:tcW w:w="1073" w:type="dxa"/>
            <w:vAlign w:val="bottom"/>
          </w:tcPr>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sz w:val="18"/>
                <w:szCs w:val="18"/>
              </w:rPr>
              <w:t>Total Cost</w:t>
            </w:r>
          </w:p>
          <w:p w:rsidRPr="00DB521B" w:rsidR="00460F57" w:rsidP="009129E8" w:rsidRDefault="00460F5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b/>
                <w:sz w:val="18"/>
                <w:szCs w:val="18"/>
              </w:rPr>
            </w:pPr>
            <w:r w:rsidRPr="00DB521B">
              <w:rPr>
                <w:rFonts w:ascii="Arial" w:hAnsi="Arial" w:cs="Arial"/>
                <w:b/>
                <w:sz w:val="18"/>
                <w:szCs w:val="18"/>
              </w:rPr>
              <w:t>($)</w:t>
            </w:r>
          </w:p>
        </w:tc>
      </w:tr>
      <w:tr w:rsidRPr="00DB521B" w:rsidR="00DB521B" w:rsidTr="00526667">
        <w:trPr>
          <w:jc w:val="center"/>
        </w:trPr>
        <w:tc>
          <w:tcPr>
            <w:tcW w:w="1366" w:type="dxa"/>
          </w:tcPr>
          <w:p w:rsidRPr="00DB521B" w:rsidR="00DB521B" w:rsidP="00DB521B" w:rsidRDefault="00DB52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DB521B">
              <w:rPr>
                <w:rFonts w:ascii="Arial" w:hAnsi="Arial" w:cs="Arial"/>
                <w:sz w:val="18"/>
                <w:szCs w:val="18"/>
              </w:rPr>
              <w:t>414.94(c)(2) (reapplication)</w:t>
            </w:r>
          </w:p>
        </w:tc>
        <w:tc>
          <w:tcPr>
            <w:tcW w:w="1361" w:type="dxa"/>
          </w:tcPr>
          <w:p w:rsidRPr="00DB521B" w:rsidR="00DB521B" w:rsidP="00460F57" w:rsidRDefault="005266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10</w:t>
            </w:r>
          </w:p>
        </w:tc>
        <w:tc>
          <w:tcPr>
            <w:tcW w:w="1181" w:type="dxa"/>
          </w:tcPr>
          <w:p w:rsidRPr="00DB521B" w:rsidR="00DB521B" w:rsidP="00460F57" w:rsidRDefault="005266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10</w:t>
            </w:r>
          </w:p>
        </w:tc>
        <w:tc>
          <w:tcPr>
            <w:tcW w:w="1080" w:type="dxa"/>
          </w:tcPr>
          <w:p w:rsidRPr="00DB521B" w:rsidR="00DB521B" w:rsidP="00460F57" w:rsidRDefault="00DB521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sidRPr="00DB521B">
              <w:rPr>
                <w:rFonts w:ascii="Arial" w:hAnsi="Arial" w:cs="Arial"/>
                <w:sz w:val="18"/>
                <w:szCs w:val="18"/>
              </w:rPr>
              <w:t>15</w:t>
            </w:r>
          </w:p>
        </w:tc>
        <w:tc>
          <w:tcPr>
            <w:tcW w:w="972" w:type="dxa"/>
          </w:tcPr>
          <w:p w:rsidRPr="00DB521B" w:rsidR="00DB521B" w:rsidP="00460F57" w:rsidRDefault="00603F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150</w:t>
            </w:r>
          </w:p>
        </w:tc>
        <w:tc>
          <w:tcPr>
            <w:tcW w:w="1068" w:type="dxa"/>
          </w:tcPr>
          <w:p w:rsidRPr="00DB521B" w:rsidR="00DB521B" w:rsidP="00460F57" w:rsidRDefault="0052666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Varies (see above)</w:t>
            </w:r>
          </w:p>
        </w:tc>
        <w:tc>
          <w:tcPr>
            <w:tcW w:w="1073" w:type="dxa"/>
          </w:tcPr>
          <w:p w:rsidRPr="00DB521B" w:rsidR="00DB521B" w:rsidP="00DB521B" w:rsidRDefault="00F17F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14,980</w:t>
            </w:r>
          </w:p>
        </w:tc>
      </w:tr>
      <w:tr w:rsidRPr="00DB521B" w:rsidR="00460F57" w:rsidTr="00526667">
        <w:trPr>
          <w:jc w:val="center"/>
        </w:trPr>
        <w:tc>
          <w:tcPr>
            <w:tcW w:w="1366" w:type="dxa"/>
          </w:tcPr>
          <w:p w:rsidRPr="00DB521B" w:rsidR="00460F57" w:rsidP="00460F57" w:rsidRDefault="00460F5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DB521B">
              <w:rPr>
                <w:rFonts w:ascii="Arial" w:hAnsi="Arial" w:cs="Arial"/>
                <w:b/>
                <w:sz w:val="18"/>
                <w:szCs w:val="18"/>
              </w:rPr>
              <w:t>Total</w:t>
            </w:r>
          </w:p>
        </w:tc>
        <w:tc>
          <w:tcPr>
            <w:tcW w:w="1361" w:type="dxa"/>
          </w:tcPr>
          <w:p w:rsidRPr="00DB521B" w:rsidR="00460F57" w:rsidP="00460F57" w:rsidRDefault="00603FB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10</w:t>
            </w:r>
          </w:p>
        </w:tc>
        <w:tc>
          <w:tcPr>
            <w:tcW w:w="1181" w:type="dxa"/>
          </w:tcPr>
          <w:p w:rsidRPr="00DB521B" w:rsidR="00460F57" w:rsidP="00460F57" w:rsidRDefault="00603FB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10</w:t>
            </w:r>
          </w:p>
        </w:tc>
        <w:tc>
          <w:tcPr>
            <w:tcW w:w="1080" w:type="dxa"/>
          </w:tcPr>
          <w:p w:rsidRPr="00DB521B" w:rsidR="00460F57" w:rsidP="00460F57" w:rsidRDefault="00DB521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sidRPr="00DB521B">
              <w:rPr>
                <w:rFonts w:ascii="Arial" w:hAnsi="Arial" w:cs="Arial"/>
                <w:sz w:val="18"/>
                <w:szCs w:val="18"/>
              </w:rPr>
              <w:t>--</w:t>
            </w:r>
          </w:p>
        </w:tc>
        <w:tc>
          <w:tcPr>
            <w:tcW w:w="972" w:type="dxa"/>
          </w:tcPr>
          <w:p w:rsidRPr="00DB521B" w:rsidR="00460F57" w:rsidP="00460F57" w:rsidRDefault="00603FB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8"/>
                <w:szCs w:val="18"/>
              </w:rPr>
            </w:pPr>
            <w:r>
              <w:rPr>
                <w:rFonts w:ascii="Arial" w:hAnsi="Arial" w:cs="Arial"/>
                <w:sz w:val="18"/>
                <w:szCs w:val="18"/>
              </w:rPr>
              <w:t>150</w:t>
            </w:r>
          </w:p>
        </w:tc>
        <w:tc>
          <w:tcPr>
            <w:tcW w:w="1068" w:type="dxa"/>
          </w:tcPr>
          <w:p w:rsidRPr="00DB521B" w:rsidR="00460F57" w:rsidP="00460F57" w:rsidRDefault="00DB521B">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sidRPr="00DB521B">
              <w:rPr>
                <w:rFonts w:ascii="Arial" w:hAnsi="Arial" w:cs="Arial"/>
                <w:sz w:val="18"/>
                <w:szCs w:val="18"/>
              </w:rPr>
              <w:t>Varies (see above)</w:t>
            </w:r>
          </w:p>
        </w:tc>
        <w:tc>
          <w:tcPr>
            <w:tcW w:w="1073" w:type="dxa"/>
          </w:tcPr>
          <w:p w:rsidRPr="00DB521B" w:rsidR="00460F57" w:rsidP="002A57B8" w:rsidRDefault="00F17F07">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Arial" w:hAnsi="Arial" w:cs="Arial"/>
                <w:sz w:val="18"/>
                <w:szCs w:val="18"/>
              </w:rPr>
            </w:pPr>
            <w:r>
              <w:rPr>
                <w:rFonts w:ascii="Arial" w:hAnsi="Arial" w:cs="Arial"/>
                <w:sz w:val="18"/>
                <w:szCs w:val="18"/>
              </w:rPr>
              <w:t>14, 980</w:t>
            </w:r>
          </w:p>
        </w:tc>
      </w:tr>
    </w:tbl>
    <w:p w:rsidRPr="00460F57" w:rsidR="00CF13B8" w:rsidRDefault="00CF13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42E1" w:rsidRDefault="00E872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w:t>
      </w:r>
      <w:r w:rsidR="0046514F">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457B3"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457B3">
        <w:rPr>
          <w:sz w:val="24"/>
        </w:rPr>
        <w:t xml:space="preserve">We estimate the cost to the federal government based on the percentage of time required by each of the </w:t>
      </w:r>
      <w:r>
        <w:rPr>
          <w:sz w:val="24"/>
        </w:rPr>
        <w:t>staff with Baltimore/Washington DC locality pay involved in reviewing the applications submitted.  We estimate the following percentages of time and cost for each FTE and the total cost below</w:t>
      </w:r>
      <w:r w:rsidR="00D77BA0">
        <w:rPr>
          <w:sz w:val="24"/>
        </w:rPr>
        <w:t xml:space="preserve"> using the 2</w:t>
      </w:r>
      <w:r w:rsidR="006E493B">
        <w:rPr>
          <w:sz w:val="24"/>
        </w:rPr>
        <w:t>020</w:t>
      </w:r>
      <w:r w:rsidR="00D77BA0">
        <w:rPr>
          <w:sz w:val="24"/>
        </w:rPr>
        <w:t xml:space="preserve"> OPM </w:t>
      </w:r>
      <w:r w:rsidR="00351711">
        <w:rPr>
          <w:sz w:val="24"/>
        </w:rPr>
        <w:t>pay scale</w:t>
      </w:r>
      <w:r w:rsidR="00D77BA0">
        <w:rPr>
          <w:sz w:val="24"/>
        </w:rPr>
        <w:t xml:space="preserve"> (</w:t>
      </w:r>
      <w:r w:rsidRPr="00E6547D" w:rsidR="00E6547D">
        <w:rPr>
          <w:sz w:val="24"/>
        </w:rPr>
        <w:t>https://www.opm.gov/policy-data-oversight/pay-leave/salaries-wages/salary-tables/pdf/2020/DCB.pdf</w:t>
      </w:r>
      <w:r w:rsidR="00D77BA0">
        <w:rPr>
          <w:sz w:val="24"/>
        </w:rPr>
        <w:t xml:space="preserve">): </w:t>
      </w:r>
      <w:r w:rsidRPr="00E457B3">
        <w:rPr>
          <w:sz w:val="24"/>
        </w:rPr>
        <w:t xml:space="preserve"> </w:t>
      </w:r>
    </w:p>
    <w:p w:rsidR="00E457B3"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tbl>
      <w:tblPr>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4"/>
        <w:gridCol w:w="1319"/>
        <w:gridCol w:w="1334"/>
        <w:gridCol w:w="2615"/>
      </w:tblGrid>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Position</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 time</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Salary</w:t>
            </w:r>
          </w:p>
        </w:tc>
        <w:tc>
          <w:tcPr>
            <w:tcW w:w="2682"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Cost</w:t>
            </w:r>
          </w:p>
        </w:tc>
      </w:tr>
      <w:tr w:rsidRPr="00F3438A" w:rsidR="00C35DF6" w:rsidTr="00F3438A">
        <w:tc>
          <w:tcPr>
            <w:tcW w:w="3906" w:type="dxa"/>
            <w:shd w:val="clear" w:color="auto" w:fill="auto"/>
          </w:tcPr>
          <w:p w:rsidRPr="00F3438A" w:rsidR="00C35DF6"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 GS-15, step 5 Supervisory Health Insurance Specialist</w:t>
            </w:r>
          </w:p>
        </w:tc>
        <w:tc>
          <w:tcPr>
            <w:tcW w:w="1350" w:type="dxa"/>
            <w:shd w:val="clear" w:color="auto" w:fill="auto"/>
          </w:tcPr>
          <w:p w:rsidRPr="00F3438A" w:rsidR="00C35DF6"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5</w:t>
            </w:r>
          </w:p>
        </w:tc>
        <w:tc>
          <w:tcPr>
            <w:tcW w:w="1350" w:type="dxa"/>
            <w:shd w:val="clear" w:color="auto" w:fill="auto"/>
          </w:tcPr>
          <w:p w:rsidRPr="00F3438A" w:rsidR="00C35DF6"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w:t>
            </w:r>
            <w:r w:rsidR="00E6547D">
              <w:rPr>
                <w:sz w:val="24"/>
              </w:rPr>
              <w:t>61,730</w:t>
            </w:r>
          </w:p>
        </w:tc>
        <w:tc>
          <w:tcPr>
            <w:tcW w:w="2682" w:type="dxa"/>
            <w:shd w:val="clear" w:color="auto" w:fill="auto"/>
          </w:tcPr>
          <w:p w:rsidRPr="00F3438A" w:rsidR="00C35DF6" w:rsidP="00F3438A" w:rsidRDefault="00E65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8,086.5</w:t>
            </w:r>
            <w:r w:rsidR="00C3737C">
              <w:rPr>
                <w:sz w:val="24"/>
              </w:rPr>
              <w:t>0</w:t>
            </w:r>
          </w:p>
        </w:tc>
      </w:tr>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 GS-15, step 5 Medical Officer</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10</w:t>
            </w:r>
          </w:p>
        </w:tc>
        <w:tc>
          <w:tcPr>
            <w:tcW w:w="1350" w:type="dxa"/>
            <w:shd w:val="clear" w:color="auto" w:fill="auto"/>
          </w:tcPr>
          <w:p w:rsidRPr="00F3438A" w:rsidR="00E457B3"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w:t>
            </w:r>
            <w:r w:rsidR="00E6547D">
              <w:rPr>
                <w:sz w:val="24"/>
              </w:rPr>
              <w:t>61,730</w:t>
            </w:r>
          </w:p>
        </w:tc>
        <w:tc>
          <w:tcPr>
            <w:tcW w:w="2682" w:type="dxa"/>
            <w:shd w:val="clear" w:color="auto" w:fill="auto"/>
          </w:tcPr>
          <w:p w:rsidRPr="00F3438A" w:rsidR="00E457B3" w:rsidP="00F3438A" w:rsidRDefault="00E65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16,173.0</w:t>
            </w:r>
          </w:p>
        </w:tc>
      </w:tr>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 GS-15, step 5 Health Insurance Specialist</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15</w:t>
            </w:r>
          </w:p>
        </w:tc>
        <w:tc>
          <w:tcPr>
            <w:tcW w:w="1350" w:type="dxa"/>
            <w:shd w:val="clear" w:color="auto" w:fill="auto"/>
          </w:tcPr>
          <w:p w:rsidRPr="00F3438A" w:rsidR="00E457B3"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w:t>
            </w:r>
            <w:r w:rsidR="00E6547D">
              <w:rPr>
                <w:sz w:val="24"/>
              </w:rPr>
              <w:t>61,730</w:t>
            </w:r>
          </w:p>
        </w:tc>
        <w:tc>
          <w:tcPr>
            <w:tcW w:w="2682" w:type="dxa"/>
            <w:shd w:val="clear" w:color="auto" w:fill="auto"/>
          </w:tcPr>
          <w:p w:rsidRPr="00F3438A" w:rsidR="00E457B3"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2</w:t>
            </w:r>
            <w:r w:rsidR="00E6547D">
              <w:rPr>
                <w:sz w:val="24"/>
              </w:rPr>
              <w:t>4,259.5</w:t>
            </w:r>
            <w:r w:rsidR="00C3737C">
              <w:rPr>
                <w:sz w:val="24"/>
              </w:rPr>
              <w:t>0</w:t>
            </w:r>
          </w:p>
        </w:tc>
      </w:tr>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 GS-13, step 5 Health Insurance Specialist</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20</w:t>
            </w:r>
          </w:p>
        </w:tc>
        <w:tc>
          <w:tcPr>
            <w:tcW w:w="1350" w:type="dxa"/>
            <w:shd w:val="clear" w:color="auto" w:fill="auto"/>
          </w:tcPr>
          <w:p w:rsidRPr="00F3438A" w:rsidR="00E457B3"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w:t>
            </w:r>
            <w:r w:rsidR="00E6547D">
              <w:rPr>
                <w:sz w:val="24"/>
              </w:rPr>
              <w:t>16,353</w:t>
            </w:r>
          </w:p>
        </w:tc>
        <w:tc>
          <w:tcPr>
            <w:tcW w:w="2682" w:type="dxa"/>
            <w:shd w:val="clear" w:color="auto" w:fill="auto"/>
          </w:tcPr>
          <w:p w:rsidRPr="00F3438A" w:rsidR="00E457B3" w:rsidP="00F3438A" w:rsidRDefault="00C35D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2</w:t>
            </w:r>
            <w:r w:rsidR="00E6547D">
              <w:rPr>
                <w:sz w:val="24"/>
              </w:rPr>
              <w:t>3,270.6</w:t>
            </w:r>
            <w:r w:rsidR="00C3737C">
              <w:rPr>
                <w:sz w:val="24"/>
              </w:rPr>
              <w:t>0</w:t>
            </w:r>
          </w:p>
        </w:tc>
      </w:tr>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 GS-9, step 5 Health Insurance Specialist</w:t>
            </w: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10</w:t>
            </w:r>
          </w:p>
        </w:tc>
        <w:tc>
          <w:tcPr>
            <w:tcW w:w="1350" w:type="dxa"/>
            <w:shd w:val="clear" w:color="auto" w:fill="auto"/>
          </w:tcPr>
          <w:p w:rsidRPr="00F3438A" w:rsidR="00E457B3" w:rsidP="00F3438A" w:rsidRDefault="00E65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67,473</w:t>
            </w:r>
          </w:p>
        </w:tc>
        <w:tc>
          <w:tcPr>
            <w:tcW w:w="2682" w:type="dxa"/>
            <w:shd w:val="clear" w:color="auto" w:fill="auto"/>
          </w:tcPr>
          <w:p w:rsidRPr="00F3438A" w:rsidR="00E457B3" w:rsidP="00F3438A" w:rsidRDefault="00E654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6,747.3</w:t>
            </w:r>
            <w:r w:rsidR="00C3737C">
              <w:rPr>
                <w:sz w:val="24"/>
              </w:rPr>
              <w:t>0</w:t>
            </w:r>
          </w:p>
        </w:tc>
      </w:tr>
      <w:tr w:rsidRPr="00F3438A" w:rsidR="00E457B3" w:rsidTr="00F3438A">
        <w:tc>
          <w:tcPr>
            <w:tcW w:w="3906"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1350" w:type="dxa"/>
            <w:shd w:val="clear" w:color="auto" w:fill="auto"/>
          </w:tcPr>
          <w:p w:rsidRPr="00F3438A" w:rsidR="00E457B3" w:rsidP="00F3438A"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c>
        <w:tc>
          <w:tcPr>
            <w:tcW w:w="2682" w:type="dxa"/>
            <w:shd w:val="clear" w:color="auto" w:fill="auto"/>
          </w:tcPr>
          <w:p w:rsidRPr="00F3438A" w:rsidR="00E457B3" w:rsidP="00211FAE" w:rsidRDefault="00E457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3438A">
              <w:rPr>
                <w:sz w:val="24"/>
              </w:rPr>
              <w:t xml:space="preserve">Total Cost: </w:t>
            </w:r>
            <w:r w:rsidRPr="00F3438A" w:rsidR="00C35DF6">
              <w:rPr>
                <w:sz w:val="24"/>
              </w:rPr>
              <w:t>$</w:t>
            </w:r>
            <w:r w:rsidR="00C3737C">
              <w:rPr>
                <w:sz w:val="24"/>
              </w:rPr>
              <w:t>78,53</w:t>
            </w:r>
            <w:r w:rsidR="00211FAE">
              <w:rPr>
                <w:sz w:val="24"/>
              </w:rPr>
              <w:t>7</w:t>
            </w:r>
            <w:bookmarkStart w:name="_GoBack" w:id="0"/>
            <w:bookmarkEnd w:id="0"/>
          </w:p>
        </w:tc>
      </w:tr>
    </w:tbl>
    <w:p w:rsidR="008F1EB4" w:rsidRDefault="00BD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 </w:t>
      </w:r>
    </w:p>
    <w:p w:rsidR="00BD49CE" w:rsidRDefault="00BD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265B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changes to burden consist of the following:</w:t>
      </w:r>
    </w:p>
    <w:p w:rsidR="00265BFE" w:rsidP="00265BFE" w:rsidRDefault="00265BFE">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Reduction of the number of respondents</w:t>
      </w:r>
      <w:r w:rsidR="006E493B">
        <w:rPr>
          <w:sz w:val="24"/>
        </w:rPr>
        <w:t xml:space="preserve"> based on the number of actual responses received in year 1 (2016)</w:t>
      </w:r>
      <w:r>
        <w:rPr>
          <w:sz w:val="24"/>
        </w:rPr>
        <w:t>, which decreases the total annual hours and total cost</w:t>
      </w:r>
      <w:r w:rsidR="006E493B">
        <w:rPr>
          <w:sz w:val="24"/>
        </w:rPr>
        <w:t>.</w:t>
      </w:r>
      <w:r w:rsidR="00603FB2">
        <w:rPr>
          <w:sz w:val="24"/>
        </w:rPr>
        <w:t xml:space="preserve"> </w:t>
      </w:r>
      <w:r w:rsidR="00BD49CE">
        <w:rPr>
          <w:sz w:val="24"/>
        </w:rPr>
        <w:t xml:space="preserve"> </w:t>
      </w:r>
      <w:r w:rsidR="00603FB2">
        <w:rPr>
          <w:sz w:val="24"/>
        </w:rPr>
        <w:t>Removal of the one</w:t>
      </w:r>
      <w:r w:rsidR="00717C61">
        <w:rPr>
          <w:sz w:val="24"/>
        </w:rPr>
        <w:t>-</w:t>
      </w:r>
      <w:r w:rsidR="00603FB2">
        <w:rPr>
          <w:sz w:val="24"/>
        </w:rPr>
        <w:t xml:space="preserve"> time burden calculation for new applications, since we have received less than ten applications each year since 2017. </w:t>
      </w:r>
    </w:p>
    <w:p w:rsidRPr="000B2DB3" w:rsidR="00036E97" w:rsidP="00F17F07" w:rsidRDefault="006E493B">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Updated the wage estimates using the most currently available </w:t>
      </w:r>
      <w:r w:rsidRPr="00E42D96">
        <w:rPr>
          <w:rFonts w:eastAsia="Calibri"/>
          <w:sz w:val="24"/>
        </w:rPr>
        <w:t>U.S. Bureau of Labor Statistics’ May 201</w:t>
      </w:r>
      <w:r w:rsidR="00564229">
        <w:rPr>
          <w:rFonts w:eastAsia="Calibri"/>
          <w:sz w:val="24"/>
        </w:rPr>
        <w:t>9</w:t>
      </w:r>
      <w:r w:rsidRPr="00E42D96">
        <w:rPr>
          <w:rFonts w:eastAsia="Calibri"/>
          <w:sz w:val="24"/>
        </w:rPr>
        <w:t xml:space="preserve"> National Occupational Employment and Wage Estimates for all salary estimates</w:t>
      </w:r>
      <w:r>
        <w:rPr>
          <w:rFonts w:eastAsia="Calibri"/>
          <w:sz w:val="24"/>
        </w:rPr>
        <w:t xml:space="preserve">. </w:t>
      </w:r>
      <w:r w:rsidR="00BD49CE">
        <w:rPr>
          <w:rFonts w:eastAsia="Calibri"/>
          <w:sz w:val="24"/>
        </w:rPr>
        <w:t xml:space="preserve"> </w:t>
      </w:r>
      <w:r w:rsidR="00F17F07">
        <w:rPr>
          <w:rFonts w:eastAsia="Calibri"/>
          <w:sz w:val="24"/>
        </w:rPr>
        <w:t xml:space="preserve">The broad category 29-1060 which included all physicians and surgeons was deleted from the BLS wage estimates for 2019, replaced with several </w:t>
      </w:r>
      <w:proofErr w:type="gramStart"/>
      <w:r w:rsidR="00F17F07">
        <w:rPr>
          <w:rFonts w:eastAsia="Calibri"/>
          <w:sz w:val="24"/>
        </w:rPr>
        <w:t>more detailed categories</w:t>
      </w:r>
      <w:proofErr w:type="gramEnd"/>
      <w:r w:rsidR="00BD49CE">
        <w:rPr>
          <w:rFonts w:eastAsia="Calibri"/>
          <w:sz w:val="24"/>
        </w:rPr>
        <w:t xml:space="preserve">.  </w:t>
      </w:r>
      <w:r w:rsidR="00F17F07">
        <w:rPr>
          <w:rFonts w:eastAsia="Calibri"/>
          <w:sz w:val="24"/>
        </w:rPr>
        <w:t>We chose 29-1228 (</w:t>
      </w:r>
      <w:r w:rsidRPr="00F17F07" w:rsidR="00F17F07">
        <w:rPr>
          <w:rFonts w:eastAsia="Calibri"/>
          <w:sz w:val="24"/>
        </w:rPr>
        <w:t>Physicians, All Other; and Ophthalmologists, Except Pediatric</w:t>
      </w:r>
      <w:r w:rsidR="00F17F07">
        <w:rPr>
          <w:rFonts w:eastAsia="Calibri"/>
          <w:sz w:val="24"/>
        </w:rPr>
        <w:t xml:space="preserve">) as the most appropriate category that would include radiologists. </w:t>
      </w:r>
    </w:p>
    <w:p w:rsidR="00036E97" w:rsidP="00036E97" w:rsidRDefault="00603FB2">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Reflecting the burden associated </w:t>
      </w:r>
      <w:r w:rsidR="00C3737C">
        <w:rPr>
          <w:sz w:val="24"/>
        </w:rPr>
        <w:t xml:space="preserve">with re-applications </w:t>
      </w:r>
      <w:r>
        <w:rPr>
          <w:sz w:val="24"/>
        </w:rPr>
        <w:t xml:space="preserve">as a </w:t>
      </w:r>
      <w:r w:rsidR="00AF0215">
        <w:rPr>
          <w:sz w:val="24"/>
        </w:rPr>
        <w:t>one-</w:t>
      </w:r>
      <w:r>
        <w:rPr>
          <w:sz w:val="24"/>
        </w:rPr>
        <w:t xml:space="preserve">time cost, instead of an annualized cost spread over 5 years, due to the number of applications received and approved each year. </w:t>
      </w:r>
    </w:p>
    <w:p w:rsidR="00BD49CE" w:rsidP="00036E97" w:rsidRDefault="00BD49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36E97" w:rsidP="00036E97" w:rsidRDefault="00036E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The changes result in a net decrease in respondents, total annual burden hours and total cost. </w:t>
      </w:r>
    </w:p>
    <w:p w:rsidR="00C3737C" w:rsidP="00036E97" w:rsidRDefault="00C3737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In summary, the total burden hours decreased from 1,350 hours to 150 hours</w:t>
      </w:r>
      <w:r w:rsidR="000728D6">
        <w:rPr>
          <w:sz w:val="24"/>
        </w:rPr>
        <w:t xml:space="preserve"> and the total cost decreased from </w:t>
      </w:r>
      <w:r w:rsidR="00F17F07">
        <w:rPr>
          <w:sz w:val="24"/>
        </w:rPr>
        <w:t>$84,984 to $14,980</w:t>
      </w:r>
      <w:r w:rsidR="000728D6">
        <w:rPr>
          <w:sz w:val="24"/>
        </w:rPr>
        <w:t>.</w:t>
      </w:r>
    </w:p>
    <w:p w:rsidRPr="00036E97" w:rsidR="00F17F07" w:rsidP="00036E97" w:rsidRDefault="00F17F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36E97" w:rsidRDefault="00036E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24807" w:rsidRDefault="002248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Information collected under this program </w:t>
      </w:r>
      <w:proofErr w:type="gramStart"/>
      <w:r>
        <w:rPr>
          <w:sz w:val="24"/>
        </w:rPr>
        <w:t>will not be published</w:t>
      </w:r>
      <w:proofErr w:type="gramEnd"/>
      <w:r>
        <w:rPr>
          <w:sz w:val="24"/>
        </w:rPr>
        <w:t xml:space="preserve"> by CMS.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61C09" w:rsidP="00FD111B" w:rsidRDefault="00FD11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FD111B">
        <w:rPr>
          <w:sz w:val="24"/>
        </w:rPr>
        <w:t xml:space="preserve">We will </w:t>
      </w:r>
      <w:r>
        <w:rPr>
          <w:sz w:val="24"/>
        </w:rPr>
        <w:t xml:space="preserve">display </w:t>
      </w:r>
      <w:r w:rsidRPr="00FD111B">
        <w:rPr>
          <w:sz w:val="24"/>
        </w:rPr>
        <w:t xml:space="preserve">the expiration date on the Appropriate Use Criteria Program website at </w:t>
      </w:r>
      <w:hyperlink w:history="1" r:id="rId10">
        <w:r w:rsidRPr="00070787">
          <w:rPr>
            <w:rStyle w:val="Hyperlink"/>
            <w:sz w:val="24"/>
          </w:rPr>
          <w:t>https://www.cms.gov/Medicare/Quality-Initiatives-Patient-Assessment-Instruments/Appropriate-Use-Criteria-Program/index.html</w:t>
        </w:r>
      </w:hyperlink>
      <w:r w:rsidRPr="00FD111B">
        <w:rPr>
          <w:sz w:val="24"/>
        </w:rPr>
        <w:t>.</w:t>
      </w:r>
    </w:p>
    <w:p w:rsidR="00961C09" w:rsidRDefault="00961C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6105C" w:rsidR="000241C7" w:rsidP="001D3861" w:rsidRDefault="00F644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sz w:val="24"/>
        </w:rPr>
        <w:tab/>
      </w:r>
      <w:r w:rsidRPr="00F644D7">
        <w:rPr>
          <w:sz w:val="24"/>
        </w:rPr>
        <w:t>There are no exceptions to the certification statement</w:t>
      </w:r>
      <w:r w:rsidRPr="00E6105C" w:rsidR="001D3861">
        <w:rPr>
          <w:bCs/>
          <w:sz w:val="24"/>
        </w:rPr>
        <w:t>.</w:t>
      </w:r>
    </w:p>
    <w:sectPr w:rsidRPr="00E6105C" w:rsidR="000241C7">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894" w:rsidRDefault="00F97894">
      <w:r>
        <w:separator/>
      </w:r>
    </w:p>
  </w:endnote>
  <w:endnote w:type="continuationSeparator" w:id="0">
    <w:p w:rsidR="00F97894" w:rsidRDefault="00F9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DEB" w:rsidRDefault="00FF2DEB">
    <w:pPr>
      <w:spacing w:line="240" w:lineRule="exact"/>
    </w:pPr>
  </w:p>
  <w:p w:rsidR="00FF2DEB" w:rsidRDefault="00FF2DEB">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11FAE">
      <w:rPr>
        <w:noProof/>
        <w:sz w:val="24"/>
      </w:rPr>
      <w:t>8</w:t>
    </w:r>
    <w:r>
      <w:rPr>
        <w:sz w:val="24"/>
      </w:rPr>
      <w:fldChar w:fldCharType="end"/>
    </w:r>
  </w:p>
  <w:p w:rsidR="00FF2DEB" w:rsidRDefault="00FF2DEB">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894" w:rsidRDefault="00F97894">
      <w:r>
        <w:separator/>
      </w:r>
    </w:p>
  </w:footnote>
  <w:footnote w:type="continuationSeparator" w:id="0">
    <w:p w:rsidR="00F97894" w:rsidRDefault="00F97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90E27"/>
    <w:multiLevelType w:val="hybridMultilevel"/>
    <w:tmpl w:val="61102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2BBF"/>
    <w:rsid w:val="000241C7"/>
    <w:rsid w:val="000321D7"/>
    <w:rsid w:val="00036E97"/>
    <w:rsid w:val="00050456"/>
    <w:rsid w:val="00062362"/>
    <w:rsid w:val="000630BC"/>
    <w:rsid w:val="00064753"/>
    <w:rsid w:val="000728D6"/>
    <w:rsid w:val="00087E90"/>
    <w:rsid w:val="00095BE8"/>
    <w:rsid w:val="000B2DB3"/>
    <w:rsid w:val="000F3AF4"/>
    <w:rsid w:val="000F627C"/>
    <w:rsid w:val="00103777"/>
    <w:rsid w:val="00115C6F"/>
    <w:rsid w:val="00137975"/>
    <w:rsid w:val="001764F1"/>
    <w:rsid w:val="001B6027"/>
    <w:rsid w:val="001C66CE"/>
    <w:rsid w:val="001D3861"/>
    <w:rsid w:val="001D7603"/>
    <w:rsid w:val="001D768B"/>
    <w:rsid w:val="00211FAE"/>
    <w:rsid w:val="00223E58"/>
    <w:rsid w:val="00224807"/>
    <w:rsid w:val="002345D7"/>
    <w:rsid w:val="00265BFE"/>
    <w:rsid w:val="0026705B"/>
    <w:rsid w:val="002674C4"/>
    <w:rsid w:val="002817FB"/>
    <w:rsid w:val="00283C7E"/>
    <w:rsid w:val="002A00F9"/>
    <w:rsid w:val="002A57B8"/>
    <w:rsid w:val="002B3869"/>
    <w:rsid w:val="002C6201"/>
    <w:rsid w:val="002D01FB"/>
    <w:rsid w:val="002D57CC"/>
    <w:rsid w:val="002D6632"/>
    <w:rsid w:val="002D7811"/>
    <w:rsid w:val="002E600B"/>
    <w:rsid w:val="00307F2E"/>
    <w:rsid w:val="003159AD"/>
    <w:rsid w:val="0032271A"/>
    <w:rsid w:val="003342E1"/>
    <w:rsid w:val="00351711"/>
    <w:rsid w:val="0036350D"/>
    <w:rsid w:val="00381320"/>
    <w:rsid w:val="00381CA0"/>
    <w:rsid w:val="003944C0"/>
    <w:rsid w:val="003A0187"/>
    <w:rsid w:val="003A0A65"/>
    <w:rsid w:val="003D72A5"/>
    <w:rsid w:val="003E0E50"/>
    <w:rsid w:val="003E2C3E"/>
    <w:rsid w:val="003E4B94"/>
    <w:rsid w:val="004049EE"/>
    <w:rsid w:val="0041108E"/>
    <w:rsid w:val="00455CB5"/>
    <w:rsid w:val="00460F57"/>
    <w:rsid w:val="0046514F"/>
    <w:rsid w:val="004720DE"/>
    <w:rsid w:val="00497042"/>
    <w:rsid w:val="004B1953"/>
    <w:rsid w:val="004B69F3"/>
    <w:rsid w:val="004D5C57"/>
    <w:rsid w:val="0052549E"/>
    <w:rsid w:val="00526667"/>
    <w:rsid w:val="00564229"/>
    <w:rsid w:val="00567A88"/>
    <w:rsid w:val="005A1E19"/>
    <w:rsid w:val="005B130F"/>
    <w:rsid w:val="005B1889"/>
    <w:rsid w:val="005B2B67"/>
    <w:rsid w:val="005B6D63"/>
    <w:rsid w:val="005B7F62"/>
    <w:rsid w:val="005D0240"/>
    <w:rsid w:val="005F3BF1"/>
    <w:rsid w:val="00603FB2"/>
    <w:rsid w:val="00617AE2"/>
    <w:rsid w:val="00622300"/>
    <w:rsid w:val="00625C0E"/>
    <w:rsid w:val="006348AF"/>
    <w:rsid w:val="00637ED4"/>
    <w:rsid w:val="006411FA"/>
    <w:rsid w:val="0064181D"/>
    <w:rsid w:val="00647CE0"/>
    <w:rsid w:val="00667D3F"/>
    <w:rsid w:val="00684BCF"/>
    <w:rsid w:val="00693ED7"/>
    <w:rsid w:val="006A54DC"/>
    <w:rsid w:val="006B3696"/>
    <w:rsid w:val="006D35F4"/>
    <w:rsid w:val="006D3664"/>
    <w:rsid w:val="006E2D1F"/>
    <w:rsid w:val="006E493B"/>
    <w:rsid w:val="00717C61"/>
    <w:rsid w:val="00740FC2"/>
    <w:rsid w:val="0074138D"/>
    <w:rsid w:val="007A2176"/>
    <w:rsid w:val="007C0ED7"/>
    <w:rsid w:val="007D4B2B"/>
    <w:rsid w:val="007E1383"/>
    <w:rsid w:val="007E3BB8"/>
    <w:rsid w:val="007E7EB5"/>
    <w:rsid w:val="0080245F"/>
    <w:rsid w:val="00823808"/>
    <w:rsid w:val="0085643D"/>
    <w:rsid w:val="00870D59"/>
    <w:rsid w:val="00891115"/>
    <w:rsid w:val="008C1004"/>
    <w:rsid w:val="008C3EBC"/>
    <w:rsid w:val="008D3EC4"/>
    <w:rsid w:val="008D5E98"/>
    <w:rsid w:val="008E5DA8"/>
    <w:rsid w:val="008F1EB4"/>
    <w:rsid w:val="009129E8"/>
    <w:rsid w:val="00947659"/>
    <w:rsid w:val="00961C09"/>
    <w:rsid w:val="009654B5"/>
    <w:rsid w:val="00996E9F"/>
    <w:rsid w:val="009D4C98"/>
    <w:rsid w:val="00A244B0"/>
    <w:rsid w:val="00A27834"/>
    <w:rsid w:val="00A33676"/>
    <w:rsid w:val="00A34411"/>
    <w:rsid w:val="00A34CEC"/>
    <w:rsid w:val="00A43894"/>
    <w:rsid w:val="00A47D76"/>
    <w:rsid w:val="00A531C0"/>
    <w:rsid w:val="00A77C94"/>
    <w:rsid w:val="00AC12F6"/>
    <w:rsid w:val="00AD49AE"/>
    <w:rsid w:val="00AE58CD"/>
    <w:rsid w:val="00AF0215"/>
    <w:rsid w:val="00B41459"/>
    <w:rsid w:val="00B57441"/>
    <w:rsid w:val="00B772BC"/>
    <w:rsid w:val="00B8248A"/>
    <w:rsid w:val="00B8790D"/>
    <w:rsid w:val="00BD1449"/>
    <w:rsid w:val="00BD49CE"/>
    <w:rsid w:val="00BD75FB"/>
    <w:rsid w:val="00BE37AE"/>
    <w:rsid w:val="00BF40A5"/>
    <w:rsid w:val="00C00BF6"/>
    <w:rsid w:val="00C03687"/>
    <w:rsid w:val="00C1435A"/>
    <w:rsid w:val="00C35DF6"/>
    <w:rsid w:val="00C3737C"/>
    <w:rsid w:val="00C54659"/>
    <w:rsid w:val="00CC15E3"/>
    <w:rsid w:val="00CE7433"/>
    <w:rsid w:val="00CF13B8"/>
    <w:rsid w:val="00D21FBB"/>
    <w:rsid w:val="00D22AAA"/>
    <w:rsid w:val="00D277B5"/>
    <w:rsid w:val="00D60BB2"/>
    <w:rsid w:val="00D704BC"/>
    <w:rsid w:val="00D74B50"/>
    <w:rsid w:val="00D77BA0"/>
    <w:rsid w:val="00D8093B"/>
    <w:rsid w:val="00D84EB5"/>
    <w:rsid w:val="00DA6B8D"/>
    <w:rsid w:val="00DB521B"/>
    <w:rsid w:val="00DC209A"/>
    <w:rsid w:val="00DD2135"/>
    <w:rsid w:val="00DE133E"/>
    <w:rsid w:val="00DF3341"/>
    <w:rsid w:val="00DF5394"/>
    <w:rsid w:val="00E01E1E"/>
    <w:rsid w:val="00E13298"/>
    <w:rsid w:val="00E42D96"/>
    <w:rsid w:val="00E457B3"/>
    <w:rsid w:val="00E505E6"/>
    <w:rsid w:val="00E6105C"/>
    <w:rsid w:val="00E6547D"/>
    <w:rsid w:val="00E6676A"/>
    <w:rsid w:val="00E81B48"/>
    <w:rsid w:val="00E837F9"/>
    <w:rsid w:val="00E872F2"/>
    <w:rsid w:val="00E92060"/>
    <w:rsid w:val="00EC1FD2"/>
    <w:rsid w:val="00EC30A5"/>
    <w:rsid w:val="00ED4DC4"/>
    <w:rsid w:val="00ED6913"/>
    <w:rsid w:val="00EE24A2"/>
    <w:rsid w:val="00EF4EA1"/>
    <w:rsid w:val="00EF6BEC"/>
    <w:rsid w:val="00F0273A"/>
    <w:rsid w:val="00F15908"/>
    <w:rsid w:val="00F17F07"/>
    <w:rsid w:val="00F3438A"/>
    <w:rsid w:val="00F36B8D"/>
    <w:rsid w:val="00F36CF5"/>
    <w:rsid w:val="00F4234D"/>
    <w:rsid w:val="00F47C0C"/>
    <w:rsid w:val="00F60B5F"/>
    <w:rsid w:val="00F644D7"/>
    <w:rsid w:val="00F74D68"/>
    <w:rsid w:val="00F82C86"/>
    <w:rsid w:val="00F97894"/>
    <w:rsid w:val="00FA415B"/>
    <w:rsid w:val="00FB0CDB"/>
    <w:rsid w:val="00FD111B"/>
    <w:rsid w:val="00FD1135"/>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137FE"/>
  <w15:chartTrackingRefBased/>
  <w15:docId w15:val="{38CB6923-F888-4E07-B02F-29A2B92E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E45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77BA0"/>
    <w:rPr>
      <w:color w:val="0000FF"/>
      <w:u w:val="single"/>
    </w:rPr>
  </w:style>
  <w:style w:type="paragraph" w:styleId="BalloonText">
    <w:name w:val="Balloon Text"/>
    <w:basedOn w:val="Normal"/>
    <w:link w:val="BalloonTextChar"/>
    <w:rsid w:val="002B3869"/>
    <w:rPr>
      <w:rFonts w:ascii="Tahoma" w:hAnsi="Tahoma" w:cs="Tahoma"/>
      <w:sz w:val="16"/>
      <w:szCs w:val="16"/>
    </w:rPr>
  </w:style>
  <w:style w:type="character" w:customStyle="1" w:styleId="BalloonTextChar">
    <w:name w:val="Balloon Text Char"/>
    <w:link w:val="BalloonText"/>
    <w:rsid w:val="002B3869"/>
    <w:rPr>
      <w:rFonts w:ascii="Tahoma" w:hAnsi="Tahoma" w:cs="Tahoma"/>
      <w:sz w:val="16"/>
      <w:szCs w:val="16"/>
    </w:rPr>
  </w:style>
  <w:style w:type="character" w:styleId="CommentReference">
    <w:name w:val="annotation reference"/>
    <w:rsid w:val="00C1435A"/>
    <w:rPr>
      <w:sz w:val="16"/>
      <w:szCs w:val="16"/>
    </w:rPr>
  </w:style>
  <w:style w:type="paragraph" w:styleId="CommentText">
    <w:name w:val="annotation text"/>
    <w:basedOn w:val="Normal"/>
    <w:link w:val="CommentTextChar"/>
    <w:rsid w:val="00C1435A"/>
    <w:rPr>
      <w:szCs w:val="20"/>
    </w:rPr>
  </w:style>
  <w:style w:type="character" w:customStyle="1" w:styleId="CommentTextChar">
    <w:name w:val="Comment Text Char"/>
    <w:basedOn w:val="DefaultParagraphFont"/>
    <w:link w:val="CommentText"/>
    <w:rsid w:val="00C1435A"/>
  </w:style>
  <w:style w:type="paragraph" w:styleId="CommentSubject">
    <w:name w:val="annotation subject"/>
    <w:basedOn w:val="CommentText"/>
    <w:next w:val="CommentText"/>
    <w:link w:val="CommentSubjectChar"/>
    <w:rsid w:val="00C1435A"/>
    <w:rPr>
      <w:b/>
      <w:bCs/>
    </w:rPr>
  </w:style>
  <w:style w:type="character" w:customStyle="1" w:styleId="CommentSubjectChar">
    <w:name w:val="Comment Subject Char"/>
    <w:link w:val="CommentSubject"/>
    <w:rsid w:val="00C1435A"/>
    <w:rPr>
      <w:b/>
      <w:bCs/>
    </w:rPr>
  </w:style>
  <w:style w:type="paragraph" w:styleId="ListParagraph">
    <w:name w:val="List Paragraph"/>
    <w:basedOn w:val="Normal"/>
    <w:uiPriority w:val="99"/>
    <w:qFormat/>
    <w:rsid w:val="00CF13B8"/>
    <w:pPr>
      <w:autoSpaceDE/>
      <w:autoSpaceDN/>
      <w:adjustRightInd/>
      <w:ind w:left="720"/>
      <w:contextualSpacing/>
    </w:pPr>
    <w:rPr>
      <w:rFonts w:ascii="Courier" w:hAnsi="Courier"/>
      <w:snapToGrid w:val="0"/>
      <w:sz w:val="24"/>
    </w:rPr>
  </w:style>
  <w:style w:type="paragraph" w:styleId="Revision">
    <w:name w:val="Revision"/>
    <w:hidden/>
    <w:uiPriority w:val="99"/>
    <w:semiHidden/>
    <w:rsid w:val="007E138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agingAUC@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ms.gov/Medicare/Quality-Initiatives-Patient-Assessment-Instruments/Appropriate-Use-Criteria-Program/index.html"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D4ADC-FA71-4D35-B5C0-84FD982A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2986</Words>
  <Characters>17054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20001</CharactersWithSpaces>
  <SharedDoc>false</SharedDoc>
  <HLinks>
    <vt:vector size="18" baseType="variant">
      <vt:variant>
        <vt:i4>2687090</vt:i4>
      </vt:variant>
      <vt:variant>
        <vt:i4>6</vt:i4>
      </vt:variant>
      <vt:variant>
        <vt:i4>0</vt:i4>
      </vt:variant>
      <vt:variant>
        <vt:i4>5</vt:i4>
      </vt:variant>
      <vt:variant>
        <vt:lpwstr>https://www.cms.gov/Medicare/Quality-Initiatives-Patient-Assessment-Instruments/Appropriate-Use-Criteria-Program/index.html</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3866688</vt:i4>
      </vt:variant>
      <vt:variant>
        <vt:i4>0</vt:i4>
      </vt:variant>
      <vt:variant>
        <vt:i4>0</vt:i4>
      </vt:variant>
      <vt:variant>
        <vt:i4>5</vt:i4>
      </vt:variant>
      <vt:variant>
        <vt:lpwstr>mailto:ImagingAUC@cms.hhs.gov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Denise King</cp:lastModifiedBy>
  <cp:revision>3</cp:revision>
  <cp:lastPrinted>2020-02-25T19:48:00Z</cp:lastPrinted>
  <dcterms:created xsi:type="dcterms:W3CDTF">2020-10-29T13:41:00Z</dcterms:created>
  <dcterms:modified xsi:type="dcterms:W3CDTF">2020-10-29T13:45:00Z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