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6D08ECB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F5AB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356CF91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328C6">
        <w:rPr>
          <w:color w:val="000000"/>
        </w:rPr>
        <w:t>Pooja Gupta Curtin</w:t>
      </w:r>
      <w:r w:rsidR="00BC37D6">
        <w:rPr>
          <w:color w:val="000000"/>
        </w:rPr>
        <w:t xml:space="preserve"> and Katie Pahigiannis 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31C1C8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BF5ABC">
        <w:t>September 28</w:t>
      </w:r>
      <w:r w:rsidR="000328C6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B8752B5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F2435B" w:rsidR="000328C6">
        <w:t>Fathers and Continuous Learning in Child Welfare Project (FCL)</w:t>
      </w:r>
      <w:r w:rsidR="000328C6">
        <w:t xml:space="preserve"> </w:t>
      </w:r>
      <w:r>
        <w:t>(OMB #0970-0</w:t>
      </w:r>
      <w:r w:rsidR="000328C6">
        <w:t>531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04102D" w:rsidR="00E525D4" w:rsidP="0005680D" w:rsidRDefault="0005680D" w14:paraId="494EB7FC" w14:textId="1FCCF928">
      <w:r w:rsidRPr="0004102D">
        <w:t xml:space="preserve">This memo requests approval of </w:t>
      </w:r>
      <w:proofErr w:type="spellStart"/>
      <w:r w:rsidRPr="0004102D">
        <w:t>nonsubstantive</w:t>
      </w:r>
      <w:proofErr w:type="spellEnd"/>
      <w:r w:rsidRPr="0004102D">
        <w:t xml:space="preserve"> changes to the approved information collection, </w:t>
      </w:r>
      <w:r w:rsidRPr="0004102D" w:rsidR="000328C6">
        <w:t>Fathers and Continuous Learning in Child Welfare Project (FCL) (OMB #0970-0531</w:t>
      </w:r>
      <w:r w:rsidRPr="0004102D" w:rsidR="0004102D">
        <w:t xml:space="preserve">, </w:t>
      </w:r>
      <w:r w:rsidRPr="0004102D" w:rsidR="0004102D">
        <w:rPr>
          <w:rFonts w:eastAsiaTheme="minorHAnsi"/>
          <w:kern w:val="0"/>
        </w:rPr>
        <w:t>Formative Data Collections for ACF Program Support</w:t>
      </w:r>
      <w:r w:rsidRPr="0004102D">
        <w:t xml:space="preserve">). </w:t>
      </w:r>
    </w:p>
    <w:p w:rsidRPr="0004102D" w:rsidR="0005680D" w:rsidP="0005680D" w:rsidRDefault="0005680D" w14:paraId="6BF529D8" w14:textId="77777777"/>
    <w:p w:rsidRPr="0004102D" w:rsidR="0005680D" w:rsidP="0005680D" w:rsidRDefault="0005680D" w14:paraId="37532181" w14:textId="77777777">
      <w:pPr>
        <w:spacing w:after="120"/>
      </w:pPr>
      <w:r w:rsidRPr="0004102D">
        <w:rPr>
          <w:b/>
          <w:i/>
        </w:rPr>
        <w:t>Background</w:t>
      </w:r>
    </w:p>
    <w:p w:rsidRPr="0004102D" w:rsidR="0005680D" w:rsidP="0005680D" w:rsidRDefault="000328C6" w14:paraId="0B392A35" w14:textId="4AD444AE">
      <w:pPr>
        <w:rPr>
          <w:color w:val="000000"/>
        </w:rPr>
      </w:pPr>
      <w:r w:rsidRPr="0004102D">
        <w:t xml:space="preserve">The purpose of the FCL project is to identify high-priority father and paternal relative engagement strategies and then conduct </w:t>
      </w:r>
      <w:r w:rsidRPr="0004102D">
        <w:rPr>
          <w:color w:val="000000"/>
        </w:rPr>
        <w:t xml:space="preserve">a </w:t>
      </w:r>
      <w:r w:rsidRPr="0004102D">
        <w:t xml:space="preserve">one-year pilot study in six sites to test the use of a continuous quality improvement methodology called the Breakthrough Series Collaborative (BSC) to strengthen the engagement of fathers and paternal relatives with children involved in the child welfare system. </w:t>
      </w:r>
      <w:r w:rsidRPr="0004102D">
        <w:rPr>
          <w:color w:val="000000"/>
        </w:rPr>
        <w:t xml:space="preserve">The </w:t>
      </w:r>
      <w:r w:rsidR="00BF5ABC">
        <w:rPr>
          <w:color w:val="000000"/>
        </w:rPr>
        <w:t xml:space="preserve">previous </w:t>
      </w:r>
      <w:r w:rsidRPr="0004102D">
        <w:rPr>
          <w:color w:val="000000"/>
        </w:rPr>
        <w:t xml:space="preserve">information collections associated with the FCL project received OMB approval on November 5, 2019 under the overarching generic clearance, </w:t>
      </w:r>
      <w:r w:rsidRPr="0004102D">
        <w:rPr>
          <w:rFonts w:eastAsiaTheme="minorHAnsi"/>
          <w:kern w:val="0"/>
        </w:rPr>
        <w:t>Formative Data Collections for ACF Program Support</w:t>
      </w:r>
      <w:r w:rsidR="00BF5ABC">
        <w:rPr>
          <w:rFonts w:eastAsiaTheme="minorHAnsi"/>
          <w:kern w:val="0"/>
        </w:rPr>
        <w:t xml:space="preserve"> (OMB #0970-0531)</w:t>
      </w:r>
      <w:r w:rsidRPr="0004102D">
        <w:rPr>
          <w:color w:val="000000"/>
        </w:rPr>
        <w:t>.</w:t>
      </w:r>
    </w:p>
    <w:p w:rsidRPr="0004102D" w:rsidR="000328C6" w:rsidP="000328C6" w:rsidRDefault="000328C6" w14:paraId="390485AB" w14:textId="77777777">
      <w:pPr>
        <w:pStyle w:val="NormalSS"/>
        <w:ind w:firstLine="0"/>
        <w:jc w:val="left"/>
      </w:pPr>
    </w:p>
    <w:p w:rsidRPr="0004102D" w:rsidR="000328C6" w:rsidP="000328C6" w:rsidRDefault="003C66E1" w14:paraId="62FB4377" w14:textId="76F19CB3">
      <w:pPr>
        <w:pStyle w:val="NormalSS"/>
        <w:ind w:firstLine="0"/>
        <w:jc w:val="left"/>
      </w:pPr>
      <w:r>
        <w:t>In Ju</w:t>
      </w:r>
      <w:r w:rsidR="00A319E3">
        <w:t xml:space="preserve">ne </w:t>
      </w:r>
      <w:r>
        <w:t>2020,</w:t>
      </w:r>
      <w:r w:rsidR="00F11273">
        <w:t xml:space="preserve"> ACF </w:t>
      </w:r>
      <w:r w:rsidR="00A916AD">
        <w:t xml:space="preserve">received OMB approval for a </w:t>
      </w:r>
      <w:proofErr w:type="spellStart"/>
      <w:r w:rsidR="00A916AD">
        <w:t>nonsubstantive</w:t>
      </w:r>
      <w:proofErr w:type="spellEnd"/>
      <w:r w:rsidR="00A916AD">
        <w:t xml:space="preserve"> change to extend</w:t>
      </w:r>
      <w:r w:rsidR="00F11273">
        <w:t xml:space="preserve"> the BSC from 12 months to 18 months</w:t>
      </w:r>
      <w:r w:rsidR="00E32B9A">
        <w:t xml:space="preserve"> to give participating sites more time to test strategies and begin to sustain efforts while receiving support and guidance from the FCL team</w:t>
      </w:r>
      <w:r w:rsidRPr="0004102D" w:rsidR="00E32B9A">
        <w:rPr>
          <w:rStyle w:val="FootnoteReference"/>
        </w:rPr>
        <w:footnoteReference w:id="1"/>
      </w:r>
      <w:r w:rsidR="00A916AD">
        <w:t xml:space="preserve">. </w:t>
      </w:r>
      <w:r w:rsidR="00FD7E62">
        <w:t>In light of this extension, ACF is requesting approval</w:t>
      </w:r>
      <w:bookmarkStart w:name="_GoBack" w:id="0"/>
      <w:bookmarkEnd w:id="0"/>
      <w:r w:rsidR="00F11273">
        <w:t xml:space="preserve"> for a previously unplanned third learning session to occur</w:t>
      </w:r>
      <w:r w:rsidR="00E32B9A">
        <w:t>, albeit virtually given the current public health emergency</w:t>
      </w:r>
      <w:r w:rsidR="00F11273">
        <w:t xml:space="preserve">. </w:t>
      </w:r>
      <w:r w:rsidR="000F2E18">
        <w:t>Like</w:t>
      </w:r>
      <w:r w:rsidR="00F11273">
        <w:t xml:space="preserve"> prior learning sessions, </w:t>
      </w:r>
      <w:r w:rsidR="008717B5">
        <w:t>the FCL team</w:t>
      </w:r>
      <w:r w:rsidRPr="0004102D" w:rsidR="008717B5">
        <w:t xml:space="preserve"> </w:t>
      </w:r>
      <w:r w:rsidR="008717B5">
        <w:t>has</w:t>
      </w:r>
      <w:r w:rsidR="00F11273">
        <w:t xml:space="preserve"> </w:t>
      </w:r>
      <w:r w:rsidR="005542AA">
        <w:t xml:space="preserve">planned </w:t>
      </w:r>
      <w:r w:rsidR="00F11273">
        <w:t>data collection activities</w:t>
      </w:r>
      <w:r w:rsidR="000F2E18">
        <w:t xml:space="preserve"> to gather feedback on the learning session and to understand sites’ assessments of their progress.</w:t>
      </w:r>
      <w:r w:rsidR="00F11273">
        <w:t xml:space="preserve"> </w:t>
      </w:r>
    </w:p>
    <w:p w:rsidRPr="0004102D" w:rsidR="0005680D" w:rsidP="0005680D" w:rsidRDefault="0005680D" w14:paraId="2B14ECA7" w14:textId="44FC9ED4"/>
    <w:p w:rsidRPr="0004102D" w:rsidR="0005680D" w:rsidP="00124786" w:rsidRDefault="0005680D" w14:paraId="5CC77B63" w14:textId="77777777">
      <w:pPr>
        <w:spacing w:after="120"/>
        <w:rPr>
          <w:b/>
          <w:i/>
        </w:rPr>
      </w:pPr>
      <w:r w:rsidRPr="0004102D">
        <w:rPr>
          <w:b/>
          <w:i/>
        </w:rPr>
        <w:t>Overview of Requested Changes</w:t>
      </w:r>
    </w:p>
    <w:p w:rsidRPr="0004102D" w:rsidR="00124786" w:rsidP="00124786" w:rsidRDefault="00124786" w14:paraId="5B21B2C5" w14:textId="6C8F303A">
      <w:pPr>
        <w:pStyle w:val="Paragraph"/>
        <w:spacing w:after="12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 xml:space="preserve">For </w:t>
      </w:r>
      <w:r w:rsidR="00867737">
        <w:rPr>
          <w:rFonts w:ascii="Times New Roman" w:hAnsi="Times New Roman"/>
          <w:szCs w:val="24"/>
        </w:rPr>
        <w:t>Learning Session 3</w:t>
      </w:r>
      <w:r w:rsidRPr="0004102D">
        <w:rPr>
          <w:rFonts w:ascii="Times New Roman" w:hAnsi="Times New Roman"/>
          <w:szCs w:val="24"/>
        </w:rPr>
        <w:t xml:space="preserve">, the </w:t>
      </w:r>
      <w:r w:rsidR="00867737">
        <w:rPr>
          <w:rFonts w:ascii="Times New Roman" w:hAnsi="Times New Roman"/>
          <w:szCs w:val="24"/>
        </w:rPr>
        <w:t>FCL</w:t>
      </w:r>
      <w:r w:rsidRPr="0004102D">
        <w:rPr>
          <w:rFonts w:ascii="Times New Roman" w:hAnsi="Times New Roman"/>
          <w:szCs w:val="24"/>
        </w:rPr>
        <w:t xml:space="preserve"> team</w:t>
      </w:r>
      <w:r w:rsidR="00FF0977">
        <w:rPr>
          <w:rFonts w:ascii="Times New Roman" w:hAnsi="Times New Roman"/>
          <w:szCs w:val="24"/>
        </w:rPr>
        <w:t xml:space="preserve"> </w:t>
      </w:r>
      <w:r w:rsidRPr="0004102D" w:rsidR="00FF0977">
        <w:rPr>
          <w:rFonts w:ascii="Times New Roman" w:hAnsi="Times New Roman"/>
          <w:szCs w:val="24"/>
        </w:rPr>
        <w:t xml:space="preserve">proposes </w:t>
      </w:r>
      <w:r w:rsidR="00FF0977">
        <w:rPr>
          <w:rFonts w:ascii="Times New Roman" w:hAnsi="Times New Roman"/>
          <w:szCs w:val="24"/>
        </w:rPr>
        <w:t>administration of</w:t>
      </w:r>
      <w:r w:rsidRPr="0004102D" w:rsidR="00FF0977">
        <w:rPr>
          <w:rFonts w:ascii="Times New Roman" w:hAnsi="Times New Roman"/>
          <w:szCs w:val="24"/>
        </w:rPr>
        <w:t xml:space="preserve"> </w:t>
      </w:r>
      <w:r w:rsidR="00FF0977">
        <w:rPr>
          <w:rFonts w:ascii="Times New Roman" w:hAnsi="Times New Roman"/>
          <w:szCs w:val="24"/>
        </w:rPr>
        <w:t>the followi</w:t>
      </w:r>
      <w:r w:rsidR="00BF5ABC">
        <w:rPr>
          <w:rFonts w:ascii="Times New Roman" w:hAnsi="Times New Roman"/>
          <w:szCs w:val="24"/>
        </w:rPr>
        <w:t>ng instruments, as conducted during</w:t>
      </w:r>
      <w:r w:rsidR="00FF0977">
        <w:rPr>
          <w:rFonts w:ascii="Times New Roman" w:hAnsi="Times New Roman"/>
          <w:szCs w:val="24"/>
        </w:rPr>
        <w:t xml:space="preserve"> the first two learning sessions</w:t>
      </w:r>
      <w:r w:rsidRPr="0004102D">
        <w:rPr>
          <w:rFonts w:ascii="Times New Roman" w:hAnsi="Times New Roman"/>
          <w:szCs w:val="24"/>
        </w:rPr>
        <w:t xml:space="preserve">: </w:t>
      </w:r>
    </w:p>
    <w:p w:rsidR="00867737" w:rsidP="00867737" w:rsidRDefault="00867737" w14:paraId="73AEF414" w14:textId="67318F39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Learning Session Day 1 Evaluation</w:t>
      </w:r>
      <w:r w:rsidRPr="0004102D" w:rsidR="00124786">
        <w:rPr>
          <w:rFonts w:ascii="Times New Roman" w:hAnsi="Times New Roman"/>
          <w:szCs w:val="24"/>
        </w:rPr>
        <w:t xml:space="preserve"> (</w:t>
      </w:r>
      <w:r w:rsidRPr="0004102D" w:rsidR="006762D4">
        <w:rPr>
          <w:rFonts w:ascii="Times New Roman" w:hAnsi="Times New Roman"/>
          <w:szCs w:val="24"/>
        </w:rPr>
        <w:t xml:space="preserve">Instrument </w:t>
      </w:r>
      <w:r>
        <w:rPr>
          <w:rFonts w:ascii="Times New Roman" w:hAnsi="Times New Roman"/>
          <w:szCs w:val="24"/>
        </w:rPr>
        <w:t>8</w:t>
      </w:r>
      <w:r w:rsidRPr="0004102D" w:rsidR="006762D4">
        <w:rPr>
          <w:rFonts w:ascii="Times New Roman" w:hAnsi="Times New Roman"/>
          <w:szCs w:val="24"/>
        </w:rPr>
        <w:t>)</w:t>
      </w:r>
    </w:p>
    <w:p w:rsidRPr="00867737" w:rsidR="006762D4" w:rsidP="00867737" w:rsidRDefault="00867737" w14:paraId="5503FB1D" w14:textId="6F49445A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Learning Session Overall Evaluation</w:t>
      </w:r>
      <w:r w:rsidRPr="00867737" w:rsidR="006762D4">
        <w:rPr>
          <w:rFonts w:ascii="Times New Roman" w:hAnsi="Times New Roman"/>
          <w:szCs w:val="24"/>
        </w:rPr>
        <w:t xml:space="preserve"> (Instrument </w:t>
      </w:r>
      <w:r w:rsidRPr="00867737">
        <w:rPr>
          <w:rFonts w:ascii="Times New Roman" w:hAnsi="Times New Roman"/>
          <w:szCs w:val="24"/>
        </w:rPr>
        <w:t>10</w:t>
      </w:r>
      <w:r w:rsidRPr="00867737" w:rsidR="006762D4">
        <w:rPr>
          <w:rFonts w:ascii="Times New Roman" w:hAnsi="Times New Roman"/>
          <w:szCs w:val="24"/>
        </w:rPr>
        <w:t>)</w:t>
      </w:r>
    </w:p>
    <w:p w:rsidRPr="00867737" w:rsidR="006762D4" w:rsidP="00867737" w:rsidRDefault="00867737" w14:paraId="7202A2DF" w14:textId="70BC8167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Site Self-Assessment</w:t>
      </w:r>
      <w:r w:rsidRPr="0004102D" w:rsidR="006762D4">
        <w:rPr>
          <w:rFonts w:ascii="Times New Roman" w:hAnsi="Times New Roman"/>
          <w:szCs w:val="24"/>
        </w:rPr>
        <w:t xml:space="preserve"> (Instrument </w:t>
      </w:r>
      <w:r>
        <w:rPr>
          <w:rFonts w:ascii="Times New Roman" w:hAnsi="Times New Roman"/>
          <w:szCs w:val="24"/>
        </w:rPr>
        <w:t>11</w:t>
      </w:r>
      <w:r w:rsidRPr="0004102D" w:rsidR="006762D4">
        <w:rPr>
          <w:rFonts w:ascii="Times New Roman" w:hAnsi="Times New Roman"/>
          <w:szCs w:val="24"/>
        </w:rPr>
        <w:t>)</w:t>
      </w:r>
    </w:p>
    <w:p w:rsidR="00867737" w:rsidP="006762D4" w:rsidRDefault="00867737" w14:paraId="14A3484E" w14:textId="77777777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04102D" w:rsidR="006762D4" w:rsidP="006762D4" w:rsidRDefault="006762D4" w14:paraId="1000735A" w14:textId="47782F23">
      <w:pPr>
        <w:pStyle w:val="NormalSS"/>
        <w:tabs>
          <w:tab w:val="clear" w:pos="432"/>
          <w:tab w:val="left" w:pos="0"/>
        </w:tabs>
        <w:ind w:firstLine="0"/>
        <w:jc w:val="left"/>
      </w:pPr>
      <w:r w:rsidRPr="0004102D">
        <w:t xml:space="preserve">The described changes </w:t>
      </w:r>
      <w:r w:rsidR="003C66E1">
        <w:t>increase</w:t>
      </w:r>
      <w:r w:rsidRPr="0004102D">
        <w:t xml:space="preserve"> the estimated </w:t>
      </w:r>
      <w:r w:rsidR="003C66E1">
        <w:t>burden</w:t>
      </w:r>
      <w:r w:rsidRPr="0004102D">
        <w:t xml:space="preserve"> </w:t>
      </w:r>
      <w:r w:rsidR="003C66E1">
        <w:t>approved under this information collection by 123 hours, adding $2,92</w:t>
      </w:r>
      <w:r w:rsidR="00E32B9A">
        <w:t>0</w:t>
      </w:r>
      <w:r w:rsidR="003C66E1">
        <w:t xml:space="preserve"> to the total annual respondent cost (Table 1)</w:t>
      </w:r>
      <w:r w:rsidRPr="0004102D">
        <w:t xml:space="preserve">. </w:t>
      </w:r>
    </w:p>
    <w:p w:rsidR="006762D4" w:rsidP="006762D4" w:rsidRDefault="006762D4" w14:paraId="0C64DD37" w14:textId="2DED64C9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2B17D2" w:rsidR="00460DEA" w:rsidP="00460DEA" w:rsidRDefault="00460DEA" w14:paraId="48A087CB" w14:textId="07D07970">
      <w:pPr>
        <w:spacing w:before="240" w:after="60"/>
        <w:rPr>
          <w:rFonts w:cstheme="minorHAnsi"/>
          <w:b/>
        </w:rPr>
      </w:pPr>
      <w:r w:rsidRPr="002B17D2">
        <w:rPr>
          <w:rFonts w:cstheme="minorHAnsi"/>
          <w:b/>
          <w:bCs/>
        </w:rPr>
        <w:t xml:space="preserve">Table </w:t>
      </w:r>
      <w:r w:rsidR="00A46413">
        <w:rPr>
          <w:rFonts w:cstheme="minorHAnsi"/>
          <w:b/>
          <w:bCs/>
        </w:rPr>
        <w:t>1</w:t>
      </w:r>
      <w:r w:rsidRPr="002B17D2">
        <w:rPr>
          <w:rFonts w:cstheme="minorHAnsi"/>
          <w:b/>
          <w:bCs/>
        </w:rPr>
        <w:t xml:space="preserve">. </w:t>
      </w:r>
      <w:r w:rsidR="00867737">
        <w:rPr>
          <w:rFonts w:cstheme="minorHAnsi"/>
          <w:b/>
          <w:bCs/>
        </w:rPr>
        <w:t xml:space="preserve">Additional </w:t>
      </w:r>
      <w:r w:rsidR="00A46413">
        <w:rPr>
          <w:rFonts w:cstheme="minorHAnsi"/>
          <w:b/>
          <w:bCs/>
        </w:rPr>
        <w:t>b</w:t>
      </w:r>
      <w:r w:rsidRPr="002B17D2">
        <w:rPr>
          <w:rFonts w:cstheme="minorHAnsi"/>
          <w:b/>
          <w:bCs/>
        </w:rPr>
        <w:t>urden hours requested under this information collection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183"/>
        <w:gridCol w:w="1357"/>
        <w:gridCol w:w="1257"/>
        <w:gridCol w:w="1226"/>
        <w:gridCol w:w="1207"/>
        <w:gridCol w:w="1213"/>
        <w:gridCol w:w="1257"/>
      </w:tblGrid>
      <w:tr w:rsidRPr="004B0E7B" w:rsidR="00460DEA" w:rsidTr="00460DEA" w14:paraId="7301E82A" w14:textId="77777777">
        <w:trPr>
          <w:trHeight w:val="1830"/>
        </w:trPr>
        <w:tc>
          <w:tcPr>
            <w:tcW w:w="2183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51864977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>Instrument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27BD4874" w14:textId="749FE85E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 xml:space="preserve">No. of Respondents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23914509" w14:textId="35A266D2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 xml:space="preserve">No. of Responses per Respondent 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17123B4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>Avg. Burden per Response (in hours)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3178871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>Total Burden (in hours)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77E3E3C2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>Average Hourly Wage Rate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6C6F70"/>
            <w:vAlign w:val="center"/>
            <w:hideMark/>
          </w:tcPr>
          <w:p w:rsidRPr="004B0E7B" w:rsidR="00460DEA" w:rsidP="00B76C28" w:rsidRDefault="00460DEA" w14:paraId="7CA5783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  <w:t>Total Annual Respondent Cost</w:t>
            </w:r>
          </w:p>
        </w:tc>
      </w:tr>
      <w:tr w:rsidRPr="004B0E7B" w:rsidR="00460DEA" w:rsidTr="00460DEA" w14:paraId="12C8FD42" w14:textId="77777777">
        <w:trPr>
          <w:trHeight w:val="660"/>
        </w:trPr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0D223BF8" w14:textId="7777777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B0E7B">
              <w:rPr>
                <w:rFonts w:eastAsia="Times New Roman"/>
                <w:color w:val="000000"/>
                <w:sz w:val="18"/>
                <w:szCs w:val="18"/>
              </w:rPr>
              <w:t>Instrument 8: Learning Session Day 1 Evaluation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75634659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7C8EB971" w14:textId="2633D12F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0A6D20A9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178AA992" w14:textId="75CF185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3D980607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$23.79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0C2C1908" w14:textId="68B527E1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$</w:t>
            </w:r>
            <w:r w:rsidR="00A4641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  <w:r w:rsidR="005E249C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37</w:t>
            </w:r>
          </w:p>
        </w:tc>
      </w:tr>
      <w:tr w:rsidRPr="004B0E7B" w:rsidR="00460DEA" w:rsidTr="00460DEA" w14:paraId="46E73595" w14:textId="77777777">
        <w:trPr>
          <w:trHeight w:val="660"/>
        </w:trPr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58B03B69" w14:textId="7777777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B0E7B">
              <w:rPr>
                <w:rFonts w:eastAsia="Times New Roman"/>
                <w:color w:val="000000"/>
                <w:sz w:val="18"/>
                <w:szCs w:val="18"/>
              </w:rPr>
              <w:t>Instrument 10: Learning Session Overall Evaluation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7BE41D42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79435F50" w14:textId="13189CE0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28AC8776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7DD57608" w14:textId="42F93BAE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011E0BA5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$23.79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78B15A6E" w14:textId="23C550C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$</w:t>
            </w:r>
            <w:r w:rsidR="00A46413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357</w:t>
            </w: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4B0E7B" w:rsidR="00460DEA" w:rsidTr="00460DEA" w14:paraId="4A5720FB" w14:textId="77777777">
        <w:trPr>
          <w:trHeight w:val="660"/>
        </w:trPr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2EFF71AB" w14:textId="7777777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B0E7B">
              <w:rPr>
                <w:rFonts w:eastAsia="Times New Roman"/>
                <w:color w:val="000000"/>
                <w:sz w:val="18"/>
                <w:szCs w:val="18"/>
              </w:rPr>
              <w:t>Instrument 11: Site Self-Assessment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18B86D1D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763EA9A7" w14:textId="6642307C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5CFF6DBE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1D2946" w14:paraId="4E21F873" w14:textId="77B6B625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0845393C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$23.79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62B16406" w14:textId="34C245E9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$</w:t>
            </w:r>
            <w:r w:rsidR="001D2946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2,427</w:t>
            </w: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4B0E7B" w:rsidR="00460DEA" w:rsidTr="00B76C28" w14:paraId="0089894E" w14:textId="77777777">
        <w:trPr>
          <w:trHeight w:val="240"/>
        </w:trPr>
        <w:tc>
          <w:tcPr>
            <w:tcW w:w="970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D9D9D9"/>
            <w:vAlign w:val="center"/>
            <w:hideMark/>
          </w:tcPr>
          <w:p w:rsidRPr="004B0E7B" w:rsidR="00460DEA" w:rsidP="00B76C28" w:rsidRDefault="00460DEA" w14:paraId="58599A8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4B0E7B" w:rsidR="00A46413" w:rsidTr="00460DEA" w14:paraId="30FD16BD" w14:textId="77777777">
        <w:trPr>
          <w:trHeight w:val="660"/>
        </w:trPr>
        <w:tc>
          <w:tcPr>
            <w:tcW w:w="35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E7B" w:rsidR="00A46413" w:rsidP="00B76C28" w:rsidRDefault="00A46413" w14:paraId="31315F97" w14:textId="691CD7F3">
            <w:pP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Additional estimated burden</w:t>
            </w:r>
          </w:p>
        </w:tc>
        <w:tc>
          <w:tcPr>
            <w:tcW w:w="2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E7B" w:rsidR="00A46413" w:rsidP="00B76C28" w:rsidRDefault="00A46413" w14:paraId="4E2CF4B4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E7B" w:rsidR="00A46413" w:rsidP="00B76C28" w:rsidRDefault="001D2946" w14:paraId="2DB476DB" w14:textId="21B5D32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E7B" w:rsidR="00A46413" w:rsidP="00B76C28" w:rsidRDefault="00A46413" w14:paraId="7F4084C0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:rsidRPr="004B0E7B" w:rsidR="00A46413" w:rsidP="00B76C28" w:rsidRDefault="001D2946" w14:paraId="6931A7BE" w14:textId="08C7DE99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$2,92</w:t>
            </w:r>
            <w:r w:rsidR="005E249C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Pr="004B0E7B" w:rsidR="00460DEA" w:rsidTr="00460DEA" w14:paraId="37114078" w14:textId="77777777">
        <w:trPr>
          <w:trHeight w:val="660"/>
        </w:trPr>
        <w:tc>
          <w:tcPr>
            <w:tcW w:w="35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A46413" w14:paraId="37653686" w14:textId="092F3F66">
            <w:pP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Revised t</w:t>
            </w:r>
            <w:r w:rsidRPr="004B0E7B" w:rsidR="00460DEA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 xml:space="preserve">otal estimated annual burden </w:t>
            </w:r>
          </w:p>
        </w:tc>
        <w:tc>
          <w:tcPr>
            <w:tcW w:w="2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40E98D92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5AE8E5A4" w14:textId="4C9CCEF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1,</w:t>
            </w:r>
            <w:r w:rsidR="001D2946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33BEA8FC" w14:textId="77777777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4B0E7B" w:rsidR="00460DEA" w:rsidP="00B76C28" w:rsidRDefault="00460DEA" w14:paraId="34658E4F" w14:textId="582CAB70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4B0E7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$2</w:t>
            </w:r>
            <w:r w:rsidR="001D2946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8,99</w:t>
            </w:r>
            <w:r w:rsidR="005E249C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:rsidRPr="0004102D" w:rsidR="00460DEA" w:rsidP="006762D4" w:rsidRDefault="00460DEA" w14:paraId="07404B97" w14:textId="77777777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04102D" w:rsidR="0005680D" w:rsidP="0005680D" w:rsidRDefault="0005680D" w14:paraId="76859545" w14:textId="77777777"/>
    <w:p w:rsidR="0005680D" w:rsidP="0005680D" w:rsidRDefault="0005680D" w14:paraId="7DBC6097" w14:textId="4C3A161C">
      <w:pPr>
        <w:rPr>
          <w:b/>
          <w:i/>
        </w:rPr>
      </w:pPr>
      <w:r w:rsidRPr="0004102D">
        <w:rPr>
          <w:b/>
          <w:i/>
        </w:rPr>
        <w:t xml:space="preserve">Time Sensitivities </w:t>
      </w:r>
    </w:p>
    <w:p w:rsidRPr="0004102D" w:rsidR="00BF5ABC" w:rsidP="0005680D" w:rsidRDefault="00BF5ABC" w14:paraId="6B6EFF85" w14:textId="77777777">
      <w:pPr>
        <w:rPr>
          <w:b/>
          <w:i/>
        </w:rPr>
      </w:pPr>
    </w:p>
    <w:p w:rsidRPr="00F355AE" w:rsidR="006762D4" w:rsidP="0005680D" w:rsidRDefault="003C66E1" w14:paraId="1BC217ED" w14:textId="24A358B3">
      <w:pPr>
        <w:rPr>
          <w:bCs/>
        </w:rPr>
      </w:pPr>
      <w:r>
        <w:rPr>
          <w:bCs/>
        </w:rPr>
        <w:t>Th</w:t>
      </w:r>
      <w:r w:rsidR="00410ADC">
        <w:rPr>
          <w:bCs/>
        </w:rPr>
        <w:t xml:space="preserve">e BSC </w:t>
      </w:r>
      <w:r w:rsidR="00720486">
        <w:rPr>
          <w:bCs/>
        </w:rPr>
        <w:t>is a time-limited</w:t>
      </w:r>
      <w:r w:rsidR="00410ADC">
        <w:rPr>
          <w:bCs/>
        </w:rPr>
        <w:t xml:space="preserve"> methodology</w:t>
      </w:r>
      <w:r w:rsidR="00720486">
        <w:rPr>
          <w:bCs/>
        </w:rPr>
        <w:t xml:space="preserve"> </w:t>
      </w:r>
      <w:r w:rsidR="00410ADC">
        <w:rPr>
          <w:bCs/>
        </w:rPr>
        <w:t>typically used for a 12 to 24-month period</w:t>
      </w:r>
      <w:r w:rsidR="00720486">
        <w:rPr>
          <w:bCs/>
        </w:rPr>
        <w:t>. With the extension of the FCL BSC to 18-months, this will be the last opportunity to facilitate a learning session and gather these data.</w:t>
      </w:r>
    </w:p>
    <w:p w:rsidRPr="0004102D" w:rsidR="00460DEA" w:rsidP="00460DEA" w:rsidRDefault="00460DEA" w14:paraId="4777E6EC" w14:textId="6322B7AF">
      <w:pPr>
        <w:pStyle w:val="NormalSS"/>
        <w:spacing w:after="200"/>
        <w:ind w:firstLine="0"/>
        <w:contextualSpacing/>
        <w:jc w:val="left"/>
      </w:pPr>
    </w:p>
    <w:sectPr w:rsidRPr="0004102D" w:rsidR="0046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11EC41" w16cid:durableId="230B08E8"/>
  <w16cid:commentId w16cid:paraId="5411E39F" w16cid:durableId="230B1145"/>
  <w16cid:commentId w16cid:paraId="38882A7B" w16cid:durableId="230B1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5D4D2" w14:textId="77777777" w:rsidR="00124786" w:rsidRDefault="00124786" w:rsidP="00124786">
      <w:r>
        <w:separator/>
      </w:r>
    </w:p>
  </w:endnote>
  <w:endnote w:type="continuationSeparator" w:id="0">
    <w:p w14:paraId="79C45B5C" w14:textId="77777777" w:rsidR="00124786" w:rsidRDefault="00124786" w:rsidP="001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E7EF5" w14:textId="77777777" w:rsidR="00124786" w:rsidRDefault="00124786" w:rsidP="00124786">
      <w:r>
        <w:separator/>
      </w:r>
    </w:p>
  </w:footnote>
  <w:footnote w:type="continuationSeparator" w:id="0">
    <w:p w14:paraId="006ACA5B" w14:textId="77777777" w:rsidR="00124786" w:rsidRDefault="00124786" w:rsidP="00124786">
      <w:r>
        <w:continuationSeparator/>
      </w:r>
    </w:p>
  </w:footnote>
  <w:footnote w:id="1">
    <w:p w14:paraId="15854B21" w14:textId="77777777" w:rsidR="00E32B9A" w:rsidRDefault="00E32B9A" w:rsidP="00E32B9A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F2435B">
        <w:t>he Office of Planning, Research, and Evaluation (OPRE) contracted with Mathematica and the University of Denver</w:t>
      </w:r>
      <w:r>
        <w:t xml:space="preserve"> to complete this project.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58FB"/>
    <w:multiLevelType w:val="hybridMultilevel"/>
    <w:tmpl w:val="66DEBE32"/>
    <w:lvl w:ilvl="0" w:tplc="09C40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78C"/>
    <w:multiLevelType w:val="hybridMultilevel"/>
    <w:tmpl w:val="26862F5A"/>
    <w:lvl w:ilvl="0" w:tplc="B6882E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328C6"/>
    <w:rsid w:val="0004102D"/>
    <w:rsid w:val="0005680D"/>
    <w:rsid w:val="000F2E18"/>
    <w:rsid w:val="00124786"/>
    <w:rsid w:val="00166DC4"/>
    <w:rsid w:val="001D2946"/>
    <w:rsid w:val="00201D4A"/>
    <w:rsid w:val="003C66E1"/>
    <w:rsid w:val="003F3270"/>
    <w:rsid w:val="00410ADC"/>
    <w:rsid w:val="00416E1B"/>
    <w:rsid w:val="00460DEA"/>
    <w:rsid w:val="005542AA"/>
    <w:rsid w:val="0055450D"/>
    <w:rsid w:val="005E249C"/>
    <w:rsid w:val="006762D4"/>
    <w:rsid w:val="00720486"/>
    <w:rsid w:val="007E3E5B"/>
    <w:rsid w:val="00867737"/>
    <w:rsid w:val="008717B5"/>
    <w:rsid w:val="00995018"/>
    <w:rsid w:val="009A03DB"/>
    <w:rsid w:val="00A319E3"/>
    <w:rsid w:val="00A44387"/>
    <w:rsid w:val="00A46413"/>
    <w:rsid w:val="00A916AD"/>
    <w:rsid w:val="00B27888"/>
    <w:rsid w:val="00BC37D6"/>
    <w:rsid w:val="00BF5ABC"/>
    <w:rsid w:val="00CE37FA"/>
    <w:rsid w:val="00DC6B00"/>
    <w:rsid w:val="00DE6F84"/>
    <w:rsid w:val="00E32B9A"/>
    <w:rsid w:val="00E525D4"/>
    <w:rsid w:val="00F11273"/>
    <w:rsid w:val="00F355AE"/>
    <w:rsid w:val="00FD7E62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NormalSS">
    <w:name w:val="NormalSS"/>
    <w:basedOn w:val="Normal"/>
    <w:link w:val="NormalSSChar"/>
    <w:qFormat/>
    <w:rsid w:val="000328C6"/>
    <w:pPr>
      <w:widowControl/>
      <w:tabs>
        <w:tab w:val="left" w:pos="432"/>
      </w:tabs>
      <w:suppressAutoHyphens w:val="0"/>
      <w:ind w:firstLine="432"/>
      <w:jc w:val="both"/>
    </w:pPr>
    <w:rPr>
      <w:rFonts w:eastAsia="Times New Roman"/>
      <w:kern w:val="0"/>
    </w:rPr>
  </w:style>
  <w:style w:type="character" w:customStyle="1" w:styleId="NormalSSChar">
    <w:name w:val="NormalSS Char"/>
    <w:link w:val="NormalSS"/>
    <w:rsid w:val="000328C6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1"/>
    <w:qFormat/>
    <w:rsid w:val="00124786"/>
    <w:pPr>
      <w:widowControl/>
      <w:suppressAutoHyphens w:val="0"/>
      <w:spacing w:after="240" w:line="290" w:lineRule="exact"/>
    </w:pPr>
    <w:rPr>
      <w:rFonts w:asciiTheme="minorHAnsi" w:eastAsia="Times New Roman" w:hAnsiTheme="minorHAnsi"/>
      <w:kern w:val="0"/>
      <w:szCs w:val="20"/>
    </w:rPr>
  </w:style>
  <w:style w:type="paragraph" w:customStyle="1" w:styleId="TableHeaderCenter">
    <w:name w:val="Table Header Center"/>
    <w:basedOn w:val="TableHeaderLeft"/>
    <w:uiPriority w:val="1"/>
    <w:qFormat/>
    <w:rsid w:val="00124786"/>
    <w:pPr>
      <w:jc w:val="center"/>
      <w:textboxTightWrap w:val="allLines"/>
    </w:pPr>
  </w:style>
  <w:style w:type="paragraph" w:customStyle="1" w:styleId="TableHeaderLeft">
    <w:name w:val="Table Header Left"/>
    <w:basedOn w:val="TableTextLeft"/>
    <w:next w:val="TableTextLeft"/>
    <w:uiPriority w:val="1"/>
    <w:qFormat/>
    <w:rsid w:val="00124786"/>
    <w:pPr>
      <w:spacing w:before="120"/>
    </w:pPr>
    <w:rPr>
      <w:b/>
      <w:color w:val="FFFFFF" w:themeColor="background1"/>
    </w:rPr>
  </w:style>
  <w:style w:type="table" w:customStyle="1" w:styleId="MPRBaseTable">
    <w:name w:val="MPR Base Table"/>
    <w:basedOn w:val="TableNormal"/>
    <w:uiPriority w:val="99"/>
    <w:rsid w:val="00124786"/>
    <w:pPr>
      <w:spacing w:before="40" w:after="20" w:line="240" w:lineRule="auto"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  <w:tblHeader/>
      </w:trPr>
      <w:tcPr>
        <w:shd w:val="clear" w:color="auto" w:fill="44546A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44546A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7E6E6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7E6E6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44546A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paragraph" w:styleId="ListBullet">
    <w:name w:val="List Bullet"/>
    <w:basedOn w:val="Normal"/>
    <w:uiPriority w:val="1"/>
    <w:unhideWhenUsed/>
    <w:rsid w:val="00124786"/>
    <w:pPr>
      <w:widowControl/>
      <w:numPr>
        <w:numId w:val="2"/>
      </w:numPr>
      <w:suppressAutoHyphens w:val="0"/>
      <w:spacing w:before="120" w:after="120" w:line="290" w:lineRule="exact"/>
    </w:pPr>
    <w:rPr>
      <w:rFonts w:asciiTheme="minorHAnsi" w:eastAsia="Times New Roman" w:hAnsiTheme="minorHAnsi"/>
      <w:kern w:val="0"/>
      <w:szCs w:val="20"/>
    </w:rPr>
  </w:style>
  <w:style w:type="paragraph" w:customStyle="1" w:styleId="TableFootnote">
    <w:name w:val="Table Footnote"/>
    <w:uiPriority w:val="1"/>
    <w:qFormat/>
    <w:rsid w:val="00124786"/>
    <w:pPr>
      <w:tabs>
        <w:tab w:val="left" w:pos="1080"/>
      </w:tabs>
      <w:spacing w:before="60" w:after="60" w:line="240" w:lineRule="auto"/>
      <w:contextualSpacing/>
    </w:pPr>
    <w:rPr>
      <w:rFonts w:asciiTheme="majorHAnsi" w:eastAsia="Times New Roman" w:hAnsiTheme="majorHAnsi" w:cs="Times New Roman"/>
      <w:sz w:val="18"/>
      <w:szCs w:val="20"/>
    </w:rPr>
  </w:style>
  <w:style w:type="paragraph" w:customStyle="1" w:styleId="TableTextLeft">
    <w:name w:val="Table Text Left"/>
    <w:basedOn w:val="Normal"/>
    <w:uiPriority w:val="1"/>
    <w:qFormat/>
    <w:rsid w:val="00124786"/>
    <w:pPr>
      <w:widowControl/>
      <w:suppressAutoHyphens w:val="0"/>
    </w:pPr>
    <w:rPr>
      <w:rFonts w:asciiTheme="majorHAnsi" w:eastAsia="Times New Roman" w:hAnsiTheme="majorHAnsi"/>
      <w:kern w:val="0"/>
      <w:sz w:val="20"/>
      <w:szCs w:val="20"/>
    </w:rPr>
  </w:style>
  <w:style w:type="paragraph" w:customStyle="1" w:styleId="TableTextCentered">
    <w:name w:val="Table Text Centered"/>
    <w:basedOn w:val="TableTextLeft"/>
    <w:uiPriority w:val="1"/>
    <w:qFormat/>
    <w:rsid w:val="00124786"/>
    <w:pPr>
      <w:jc w:val="center"/>
    </w:pPr>
  </w:style>
  <w:style w:type="paragraph" w:customStyle="1" w:styleId="References">
    <w:name w:val="References"/>
    <w:basedOn w:val="Normal"/>
    <w:uiPriority w:val="1"/>
    <w:qFormat/>
    <w:rsid w:val="00124786"/>
    <w:pPr>
      <w:keepLines/>
      <w:widowControl/>
      <w:suppressAutoHyphens w:val="0"/>
      <w:spacing w:after="60" w:line="290" w:lineRule="exact"/>
      <w:ind w:left="432" w:hanging="432"/>
    </w:pPr>
    <w:rPr>
      <w:rFonts w:asciiTheme="minorHAnsi" w:eastAsia="Times New Roman" w:hAnsiTheme="minorHAnsi"/>
      <w:kern w:val="0"/>
      <w:szCs w:val="20"/>
    </w:rPr>
  </w:style>
  <w:style w:type="character" w:customStyle="1" w:styleId="TitleSubtitle">
    <w:name w:val="Title_Subtitle"/>
    <w:basedOn w:val="DefaultParagraphFont"/>
    <w:uiPriority w:val="1"/>
    <w:qFormat/>
    <w:rsid w:val="00124786"/>
    <w:rPr>
      <w:rFonts w:asciiTheme="majorHAnsi" w:hAnsiTheme="majorHAnsi"/>
      <w:b/>
      <w:color w:val="44546A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7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78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7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737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737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7A2763-BC92-4BC8-85F9-3421B333E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75D0A-A5EE-4733-B8FF-029B33C8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5</cp:revision>
  <dcterms:created xsi:type="dcterms:W3CDTF">2020-09-28T20:25:00Z</dcterms:created>
  <dcterms:modified xsi:type="dcterms:W3CDTF">2020-09-28T20:59:00Z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