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78F4" w:rsidR="00386054" w:rsidP="00B578F4" w:rsidRDefault="00386054" w14:paraId="3CD8070C" w14:textId="77777777">
      <w:pPr>
        <w:pStyle w:val="Title"/>
      </w:pPr>
      <w:r w:rsidRPr="00B578F4">
        <w:t>SUPPORTING STATEMENT</w:t>
      </w:r>
    </w:p>
    <w:p w:rsidRPr="00B578F4" w:rsidR="00BA13A2" w:rsidP="00B578F4" w:rsidRDefault="00386054" w14:paraId="46931A7F" w14:textId="77777777">
      <w:pPr>
        <w:pStyle w:val="Title"/>
      </w:pPr>
      <w:r w:rsidRPr="00B578F4">
        <w:t>FOR PAPERWORK REDUCTION ACT SUBMISSION</w:t>
      </w:r>
    </w:p>
    <w:p w:rsidRPr="00640F37" w:rsidR="00386054" w:rsidP="00C9556E" w:rsidRDefault="00016E14" w14:paraId="146C6164" w14:textId="77777777">
      <w:pPr>
        <w:pStyle w:val="Heading1"/>
        <w:rPr>
          <w:rFonts w:cs="Times New Roman"/>
          <w:szCs w:val="28"/>
        </w:rPr>
      </w:pPr>
      <w:r w:rsidRPr="00640F37">
        <w:rPr>
          <w:rFonts w:cs="Times New Roman"/>
          <w:szCs w:val="28"/>
        </w:rPr>
        <w:t xml:space="preserve">A. Justification </w:t>
      </w:r>
    </w:p>
    <w:p w:rsidR="00952085" w:rsidP="00E14E8C" w:rsidRDefault="00386054" w14:paraId="7DA41897" w14:textId="3E87B7DD">
      <w:pPr>
        <w:pStyle w:val="ListParagraph"/>
        <w:numPr>
          <w:ilvl w:val="0"/>
          <w:numId w:val="20"/>
        </w:numPr>
      </w:pPr>
      <w:r w:rsidRPr="001917AC">
        <w:rPr>
          <w:b/>
        </w:rPr>
        <w:t xml:space="preserve">Explain the circumstances that make the collection of information necessary.  Identify any legal or administrative requirements that necessitate the collection.  </w:t>
      </w:r>
      <w:r w:rsidRPr="001917AC" w:rsidR="00952085">
        <w:rPr>
          <w:bCs/>
        </w:rPr>
        <w:t xml:space="preserve">Congress requires this new data collection for program monitoring for the </w:t>
      </w:r>
      <w:r w:rsidRPr="001917AC" w:rsidR="00952085">
        <w:rPr>
          <w:rFonts w:eastAsiaTheme="minorHAnsi"/>
        </w:rPr>
        <w:t xml:space="preserve">State Health Insurance Assistance Program (SHIP) </w:t>
      </w:r>
      <w:r w:rsidRPr="001917AC" w:rsidR="00952085">
        <w:rPr>
          <w:bCs/>
        </w:rPr>
        <w:t>under</w:t>
      </w:r>
      <w:r w:rsidRPr="001917AC" w:rsidR="00952085">
        <w:rPr>
          <w:rFonts w:eastAsiaTheme="minorHAnsi"/>
        </w:rPr>
        <w:t xml:space="preserve"> the </w:t>
      </w:r>
      <w:r w:rsidRPr="001917AC" w:rsidR="00952085">
        <w:rPr>
          <w:bCs/>
        </w:rPr>
        <w:t>Bipartisan Budget Act of 2018, SEC. 50207 (b). (</w:t>
      </w:r>
      <w:hyperlink w:history="1" r:id="rId8">
        <w:r w:rsidR="00952085">
          <w:rPr>
            <w:rStyle w:val="Hyperlink"/>
          </w:rPr>
          <w:t>https://www.govinfo.gov/content/pkg/BILLS-115hr1892enr/html/BILLS-115hr1892enr.htm</w:t>
        </w:r>
      </w:hyperlink>
      <w:r w:rsidR="00952085">
        <w:t>)</w:t>
      </w:r>
    </w:p>
    <w:p w:rsidRPr="00952085" w:rsidR="00952085" w:rsidP="00952085" w:rsidRDefault="00952085" w14:paraId="1B5043C8" w14:textId="77777777">
      <w:pPr>
        <w:pStyle w:val="ListParagraph"/>
      </w:pPr>
    </w:p>
    <w:p w:rsidR="00B83FB3" w:rsidP="00B578F4" w:rsidRDefault="00386054" w14:paraId="71450AEC" w14:textId="77777777">
      <w:pPr>
        <w:pStyle w:val="ListParagraph"/>
        <w:numPr>
          <w:ilvl w:val="0"/>
          <w:numId w:val="20"/>
        </w:numPr>
        <w:rPr>
          <w:b/>
        </w:rPr>
      </w:pPr>
      <w:r w:rsidRPr="00952085">
        <w:rPr>
          <w:b/>
        </w:rPr>
        <w:t>Indicate how, by whom, and for what purpose the information is to be used.  Except for a new collection, indicate the actual use the agency has made of the information received from the current collection.</w:t>
      </w:r>
    </w:p>
    <w:p w:rsidR="00952085" w:rsidP="00952085" w:rsidRDefault="00952085" w14:paraId="00C0F394" w14:textId="1AB00EA8">
      <w:pPr>
        <w:pStyle w:val="ListParagraph"/>
        <w:rPr>
          <w:bCs/>
        </w:rPr>
      </w:pPr>
      <w:r w:rsidRPr="00481052">
        <w:rPr>
          <w:bCs/>
        </w:rPr>
        <w:t xml:space="preserve">The purpose of this data collection is to collect </w:t>
      </w:r>
      <w:r>
        <w:rPr>
          <w:bCs/>
        </w:rPr>
        <w:t>sub-award data from grantees, including agency name, address, and annual federal funds received</w:t>
      </w:r>
      <w:r w:rsidRPr="00481052">
        <w:rPr>
          <w:bCs/>
        </w:rPr>
        <w:t>.</w:t>
      </w:r>
      <w:r>
        <w:rPr>
          <w:bCs/>
        </w:rPr>
        <w:t xml:space="preserve"> </w:t>
      </w:r>
      <w:r w:rsidR="006A18DE">
        <w:rPr>
          <w:bCs/>
        </w:rPr>
        <w:t>C</w:t>
      </w:r>
      <w:r w:rsidRPr="00952085">
        <w:rPr>
          <w:bCs/>
        </w:rPr>
        <w:t>ollection allows the Administration for Community Living (ACL) and the Center for Innovation and Partnership (CIP) to communicate with Congress and the public on the SHIP network of agencies. This is a new data collection requiring State SHIP grantees to provide the amount of federal funds provided annually to each sub-contractor and sub-grantee that are delivering SHIP services. The data collected will be will be electronically posted on the ACL website to educate the network on who the SHIP state sub-recipients are and how much money they are receiving.</w:t>
      </w:r>
    </w:p>
    <w:p w:rsidRPr="00952085" w:rsidR="00952085" w:rsidP="00952085" w:rsidRDefault="00952085" w14:paraId="054D215A" w14:textId="77777777">
      <w:pPr>
        <w:pStyle w:val="ListParagraph"/>
      </w:pPr>
    </w:p>
    <w:p w:rsidR="00B83FB3" w:rsidP="00B578F4" w:rsidRDefault="00386054" w14:paraId="7B053017" w14:textId="77777777">
      <w:pPr>
        <w:pStyle w:val="ListParagraph"/>
        <w:numPr>
          <w:ilvl w:val="0"/>
          <w:numId w:val="20"/>
        </w:numPr>
        <w:rPr>
          <w:b/>
        </w:rPr>
      </w:pPr>
      <w:r w:rsidRPr="00952085">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52085" w:rsidP="00952085" w:rsidRDefault="00952085" w14:paraId="1112E91D" w14:textId="77777777">
      <w:pPr>
        <w:pStyle w:val="ListParagraph"/>
      </w:pPr>
      <w:r>
        <w:t xml:space="preserve">The data will be collected using a </w:t>
      </w:r>
      <w:r w:rsidR="00BD77ED">
        <w:t>spreadsheet, which is commonly available technology for the SHIP grantees.</w:t>
      </w:r>
    </w:p>
    <w:p w:rsidRPr="00952085" w:rsidR="00BD77ED" w:rsidP="00952085" w:rsidRDefault="00BD77ED" w14:paraId="1D85B06A" w14:textId="77777777">
      <w:pPr>
        <w:pStyle w:val="ListParagraph"/>
      </w:pPr>
    </w:p>
    <w:p w:rsidR="00B83FB3" w:rsidP="00B578F4" w:rsidRDefault="00386054" w14:paraId="2CCD92CC" w14:textId="77777777">
      <w:pPr>
        <w:pStyle w:val="ListParagraph"/>
        <w:numPr>
          <w:ilvl w:val="0"/>
          <w:numId w:val="20"/>
        </w:numPr>
        <w:rPr>
          <w:b/>
        </w:rPr>
      </w:pPr>
      <w:r w:rsidRPr="00BD77ED">
        <w:rPr>
          <w:b/>
        </w:rPr>
        <w:t>Describe ef</w:t>
      </w:r>
      <w:r w:rsidRPr="00BD77ED" w:rsidR="00B578F4">
        <w:rPr>
          <w:b/>
        </w:rPr>
        <w:t xml:space="preserve">forts to identify duplication. </w:t>
      </w:r>
      <w:r w:rsidRPr="00BD77ED">
        <w:rPr>
          <w:b/>
        </w:rPr>
        <w:t xml:space="preserve">Show specifically why any similar information already available cannot be used or modified for use for the purposes described in </w:t>
      </w:r>
      <w:r w:rsidRPr="00BD77ED" w:rsidR="00103C7E">
        <w:rPr>
          <w:b/>
        </w:rPr>
        <w:t>Question</w:t>
      </w:r>
      <w:r w:rsidRPr="00BD77ED">
        <w:rPr>
          <w:b/>
        </w:rPr>
        <w:t xml:space="preserve"> 2</w:t>
      </w:r>
      <w:r w:rsidRPr="00BD77ED" w:rsidR="000A2965">
        <w:rPr>
          <w:b/>
        </w:rPr>
        <w:t xml:space="preserve"> </w:t>
      </w:r>
      <w:r w:rsidRPr="00BD77ED">
        <w:rPr>
          <w:b/>
        </w:rPr>
        <w:t>above.</w:t>
      </w:r>
    </w:p>
    <w:p w:rsidR="00BD77ED" w:rsidP="00BD77ED" w:rsidRDefault="00BD77ED" w14:paraId="6585701A" w14:textId="77777777">
      <w:pPr>
        <w:pStyle w:val="ListParagraph"/>
      </w:pPr>
      <w:r>
        <w:t>All of the necessary data is not currently collected.</w:t>
      </w:r>
    </w:p>
    <w:p w:rsidRPr="00BD77ED" w:rsidR="00BD77ED" w:rsidP="00BD77ED" w:rsidRDefault="00BD77ED" w14:paraId="4B2A8709" w14:textId="77777777">
      <w:pPr>
        <w:pStyle w:val="ListParagraph"/>
      </w:pPr>
    </w:p>
    <w:p w:rsidRPr="006A18DE" w:rsidR="006A18DE" w:rsidP="007A60C9" w:rsidRDefault="00386054" w14:paraId="40D4F3D7" w14:textId="77777777">
      <w:pPr>
        <w:pStyle w:val="ListParagraph"/>
        <w:numPr>
          <w:ilvl w:val="0"/>
          <w:numId w:val="20"/>
        </w:numPr>
      </w:pPr>
      <w:r w:rsidRPr="006A18DE">
        <w:rPr>
          <w:b/>
        </w:rPr>
        <w:t xml:space="preserve">If the collection of information impacts small businesses or other small entities, describe any methods used to minimize burden. </w:t>
      </w:r>
    </w:p>
    <w:p w:rsidR="006A18DE" w:rsidP="006A18DE" w:rsidRDefault="006A18DE" w14:paraId="2C9889A0" w14:textId="77777777">
      <w:pPr>
        <w:pStyle w:val="ListParagraph"/>
        <w:rPr>
          <w:b/>
        </w:rPr>
      </w:pPr>
    </w:p>
    <w:p w:rsidR="00BD77ED" w:rsidP="006A18DE" w:rsidRDefault="00BD77ED" w14:paraId="2FF6F188" w14:textId="5BB4A5D9">
      <w:pPr>
        <w:pStyle w:val="ListParagraph"/>
      </w:pPr>
      <w:r>
        <w:t>Not a</w:t>
      </w:r>
      <w:r w:rsidR="006A18DE">
        <w:t xml:space="preserve">pplicable, this IC does not </w:t>
      </w:r>
      <w:r w:rsidR="00472B6C">
        <w:t>affect</w:t>
      </w:r>
      <w:r w:rsidR="006A18DE">
        <w:t xml:space="preserve"> small businesses or other small entities. </w:t>
      </w:r>
    </w:p>
    <w:p w:rsidRPr="00BD77ED" w:rsidR="00BD77ED" w:rsidP="00BD77ED" w:rsidRDefault="00BD77ED" w14:paraId="2F9CC04E" w14:textId="77777777">
      <w:pPr>
        <w:pStyle w:val="ListParagraph"/>
      </w:pPr>
    </w:p>
    <w:p w:rsidRPr="00BD77ED" w:rsidR="00BD77ED" w:rsidP="00790ECE" w:rsidRDefault="00386054" w14:paraId="2B8A3845" w14:textId="77777777">
      <w:pPr>
        <w:pStyle w:val="ListParagraph"/>
        <w:numPr>
          <w:ilvl w:val="0"/>
          <w:numId w:val="20"/>
        </w:numPr>
      </w:pPr>
      <w:r w:rsidRPr="00BD77ED">
        <w:rPr>
          <w:b/>
        </w:rPr>
        <w:t>Describe the consequences to Federal program or policy activities if the collection is not conducted or is conducted less frequently, as well as any technical or legal obstacles to reducing burden.</w:t>
      </w:r>
    </w:p>
    <w:p w:rsidR="00BD77ED" w:rsidP="00BD77ED" w:rsidRDefault="00BD77ED" w14:paraId="709D70ED" w14:textId="77777777">
      <w:pPr>
        <w:pStyle w:val="ListParagraph"/>
      </w:pPr>
      <w:r>
        <w:t>The collection of the data is required by statute. If the data was not collected then the agency would not be able to report to Congress and the public on the full network of SHIP agencies.</w:t>
      </w:r>
    </w:p>
    <w:p w:rsidRPr="00BD77ED" w:rsidR="00BD77ED" w:rsidP="00BD77ED" w:rsidRDefault="00BD77ED" w14:paraId="63022756" w14:textId="77777777">
      <w:pPr>
        <w:pStyle w:val="ListParagraph"/>
      </w:pPr>
    </w:p>
    <w:p w:rsidRPr="00BD77ED" w:rsidR="00386054" w:rsidP="00790ECE" w:rsidRDefault="00386054" w14:paraId="64ABF62A" w14:textId="77777777">
      <w:pPr>
        <w:pStyle w:val="ListParagraph"/>
        <w:numPr>
          <w:ilvl w:val="0"/>
          <w:numId w:val="20"/>
        </w:numPr>
        <w:rPr>
          <w:b/>
        </w:rPr>
      </w:pPr>
      <w:r w:rsidRPr="00BD77ED">
        <w:rPr>
          <w:b/>
        </w:rPr>
        <w:t>Explain any special circumstances that would cause an information collection to be conducted in a manner:</w:t>
      </w:r>
    </w:p>
    <w:p w:rsidRPr="00BD77ED" w:rsidR="00386054" w:rsidP="00B83FB3" w:rsidRDefault="00386054" w14:paraId="340FA6FD" w14:textId="77777777">
      <w:pPr>
        <w:pStyle w:val="ListParagraph"/>
        <w:numPr>
          <w:ilvl w:val="0"/>
          <w:numId w:val="21"/>
        </w:numPr>
        <w:rPr>
          <w:b/>
        </w:rPr>
      </w:pPr>
      <w:r w:rsidRPr="00BD77ED">
        <w:rPr>
          <w:b/>
        </w:rPr>
        <w:t>requiring respondents to report information to the agency more often than quarterly;</w:t>
      </w:r>
    </w:p>
    <w:p w:rsidRPr="00BD77ED" w:rsidR="00386054" w:rsidP="00B83FB3" w:rsidRDefault="00386054" w14:paraId="578609CE" w14:textId="77777777">
      <w:pPr>
        <w:pStyle w:val="ListParagraph"/>
        <w:numPr>
          <w:ilvl w:val="0"/>
          <w:numId w:val="21"/>
        </w:numPr>
        <w:rPr>
          <w:b/>
        </w:rPr>
      </w:pPr>
      <w:r w:rsidRPr="00BD77ED">
        <w:rPr>
          <w:b/>
        </w:rPr>
        <w:t>requiring respondents to prepare a written response to a collection of information in fewer than 30 days after receipt of it;</w:t>
      </w:r>
    </w:p>
    <w:p w:rsidRPr="00BD77ED" w:rsidR="00386054" w:rsidP="00B83FB3" w:rsidRDefault="00386054" w14:paraId="4C331221" w14:textId="77777777">
      <w:pPr>
        <w:pStyle w:val="ListParagraph"/>
        <w:numPr>
          <w:ilvl w:val="0"/>
          <w:numId w:val="21"/>
        </w:numPr>
        <w:rPr>
          <w:b/>
        </w:rPr>
      </w:pPr>
      <w:r w:rsidRPr="00BD77ED">
        <w:rPr>
          <w:b/>
        </w:rPr>
        <w:t>requiring respondents to submit more than an original and two copies of any document;</w:t>
      </w:r>
    </w:p>
    <w:p w:rsidRPr="00BD77ED" w:rsidR="00386054" w:rsidP="00B83FB3" w:rsidRDefault="00386054" w14:paraId="5E4B6436" w14:textId="77777777">
      <w:pPr>
        <w:pStyle w:val="ListParagraph"/>
        <w:numPr>
          <w:ilvl w:val="0"/>
          <w:numId w:val="21"/>
        </w:numPr>
        <w:rPr>
          <w:b/>
        </w:rPr>
      </w:pPr>
      <w:r w:rsidRPr="00BD77ED">
        <w:rPr>
          <w:b/>
        </w:rPr>
        <w:t>requiring respondents to retain records, other than health, medical, government contract, grant-in-aid, or tax records for more than three years;</w:t>
      </w:r>
    </w:p>
    <w:p w:rsidRPr="00BD77ED" w:rsidR="00386054" w:rsidP="00B83FB3" w:rsidRDefault="00386054" w14:paraId="0D505EDC" w14:textId="77777777">
      <w:pPr>
        <w:pStyle w:val="ListParagraph"/>
        <w:numPr>
          <w:ilvl w:val="0"/>
          <w:numId w:val="21"/>
        </w:numPr>
        <w:rPr>
          <w:b/>
        </w:rPr>
      </w:pPr>
      <w:r w:rsidRPr="00BD77ED">
        <w:rPr>
          <w:b/>
        </w:rPr>
        <w:t>in connection with a statistical survey, that is not designed to produce valid and reliable results than can be generalized to the universe of study;</w:t>
      </w:r>
    </w:p>
    <w:p w:rsidRPr="00BD77ED" w:rsidR="00386054" w:rsidP="00B83FB3" w:rsidRDefault="00386054" w14:paraId="5F53DF55" w14:textId="77777777">
      <w:pPr>
        <w:pStyle w:val="ListParagraph"/>
        <w:numPr>
          <w:ilvl w:val="0"/>
          <w:numId w:val="21"/>
        </w:numPr>
        <w:rPr>
          <w:b/>
        </w:rPr>
      </w:pPr>
      <w:r w:rsidRPr="00BD77ED">
        <w:rPr>
          <w:b/>
        </w:rPr>
        <w:t>requiring the use of a statistical data classification that has not been reviewed and approved by OMB;</w:t>
      </w:r>
    </w:p>
    <w:p w:rsidRPr="00BD77ED" w:rsidR="00386054" w:rsidP="00B83FB3" w:rsidRDefault="00386054" w14:paraId="2FABAFAC" w14:textId="77777777">
      <w:pPr>
        <w:pStyle w:val="ListParagraph"/>
        <w:numPr>
          <w:ilvl w:val="0"/>
          <w:numId w:val="21"/>
        </w:numPr>
        <w:rPr>
          <w:b/>
        </w:rPr>
      </w:pPr>
      <w:r w:rsidRPr="00BD77ED">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B83FB3" w:rsidRDefault="00386054" w14:paraId="687F339F" w14:textId="77777777">
      <w:pPr>
        <w:pStyle w:val="ListParagraph"/>
        <w:numPr>
          <w:ilvl w:val="0"/>
          <w:numId w:val="21"/>
        </w:numPr>
        <w:rPr>
          <w:b/>
        </w:rPr>
      </w:pPr>
      <w:r w:rsidRPr="00BD77ED">
        <w:rPr>
          <w:b/>
        </w:rPr>
        <w:t>requiring respondents to submit proprietary trade secrets, or other confidential information unless the agency can demonstrate that it has instituted procedures to protect the information’s confidentiality to the extent permitted by law.</w:t>
      </w:r>
    </w:p>
    <w:p w:rsidR="00BD77ED" w:rsidP="00BD77ED" w:rsidRDefault="00BD77ED" w14:paraId="72EC484E" w14:textId="77777777">
      <w:pPr>
        <w:ind w:left="720"/>
      </w:pPr>
      <w:r>
        <w:t>Not applicable.</w:t>
      </w:r>
    </w:p>
    <w:p w:rsidRPr="00BD77ED" w:rsidR="00BD77ED" w:rsidP="00BD77ED" w:rsidRDefault="00BD77ED" w14:paraId="6D9EC79A" w14:textId="77777777">
      <w:pPr>
        <w:ind w:left="720"/>
      </w:pPr>
    </w:p>
    <w:p w:rsidRPr="001917AC" w:rsidR="001917AC" w:rsidP="008B14D2" w:rsidRDefault="001743A5" w14:paraId="6CF2F1FF" w14:textId="77777777">
      <w:pPr>
        <w:pStyle w:val="ListParagraph"/>
        <w:numPr>
          <w:ilvl w:val="0"/>
          <w:numId w:val="20"/>
        </w:numPr>
        <w:rPr>
          <w:bCs/>
        </w:rPr>
      </w:pPr>
      <w:r w:rsidRPr="001917AC">
        <w:rPr>
          <w:b/>
        </w:rPr>
        <w:t xml:space="preserve">As </w:t>
      </w:r>
      <w:r w:rsidRPr="001917AC" w:rsidR="00386054">
        <w:rPr>
          <w:b/>
        </w:rPr>
        <w:t xml:space="preserve">applicable, </w:t>
      </w:r>
      <w:r w:rsidRPr="001917AC">
        <w:rPr>
          <w:b/>
        </w:rPr>
        <w:t xml:space="preserve">state that the Department has published the 60 and 30 Federal Register notices as </w:t>
      </w:r>
      <w:r w:rsidRPr="001917AC" w:rsidR="00386054">
        <w:rPr>
          <w:b/>
        </w:rPr>
        <w:t xml:space="preserve">required by 5 CFR 1320.8(d), soliciting comments on the information collection prior to submission to OMB.  </w:t>
      </w:r>
    </w:p>
    <w:p w:rsidRPr="001917AC" w:rsidR="00472B6C" w:rsidP="001917AC" w:rsidRDefault="00472B6C" w14:paraId="6AD4A91B" w14:textId="6D72ECCA">
      <w:pPr>
        <w:pStyle w:val="ListParagraph"/>
        <w:rPr>
          <w:bCs/>
        </w:rPr>
      </w:pPr>
      <w:r w:rsidRPr="00472B6C">
        <w:t xml:space="preserve">A notice published in the </w:t>
      </w:r>
      <w:r w:rsidRPr="001917AC">
        <w:rPr>
          <w:i/>
          <w:iCs/>
        </w:rPr>
        <w:t xml:space="preserve">Federal Register </w:t>
      </w:r>
      <w:r w:rsidRPr="00472B6C">
        <w:t xml:space="preserve">on July 19, 2020 in FR 85 No. 148 pages 46123-46124. There were no public comments received during the 60-day FRN comment period. </w:t>
      </w:r>
    </w:p>
    <w:p w:rsidR="0093375B" w:rsidP="00B578F4" w:rsidRDefault="00472B6C" w14:paraId="09828287" w14:textId="7DF6143A">
      <w:pPr>
        <w:pStyle w:val="ListParagraph"/>
      </w:pPr>
      <w:r>
        <w:t xml:space="preserve">A 30-day notice published in the </w:t>
      </w:r>
      <w:r w:rsidRPr="00205B08">
        <w:rPr>
          <w:i/>
        </w:rPr>
        <w:t>Federal Register</w:t>
      </w:r>
      <w:r w:rsidR="00A823E4">
        <w:t xml:space="preserve"> on October 23, 2020</w:t>
      </w:r>
      <w:r>
        <w:t xml:space="preserve"> in FR 85 No. </w:t>
      </w:r>
      <w:r w:rsidR="00A823E4">
        <w:t xml:space="preserve">206 </w:t>
      </w:r>
      <w:r>
        <w:t>pages</w:t>
      </w:r>
      <w:r w:rsidR="00A823E4">
        <w:t xml:space="preserve"> 67548-67549. </w:t>
      </w:r>
    </w:p>
    <w:p w:rsidRPr="0093375B" w:rsidR="00472B6C" w:rsidP="00B578F4" w:rsidRDefault="00472B6C" w14:paraId="5D4ABF59" w14:textId="77777777">
      <w:pPr>
        <w:pStyle w:val="ListParagraph"/>
      </w:pPr>
    </w:p>
    <w:p w:rsidR="00386054" w:rsidP="00B83FB3" w:rsidRDefault="00386054" w14:paraId="65FA15EE" w14:textId="77777777">
      <w:pPr>
        <w:pStyle w:val="ListParagraph"/>
        <w:numPr>
          <w:ilvl w:val="0"/>
          <w:numId w:val="20"/>
        </w:numPr>
        <w:rPr>
          <w:rStyle w:val="a"/>
          <w:b/>
        </w:rPr>
      </w:pPr>
      <w:r w:rsidRPr="00BD77ED">
        <w:rPr>
          <w:rStyle w:val="a"/>
          <w:b/>
        </w:rPr>
        <w:t>Explain any decision to provide any payment or gift to respondents, other than remuneration of contractors or grantees</w:t>
      </w:r>
      <w:r w:rsidRPr="00BD77ED" w:rsidR="003E285A">
        <w:rPr>
          <w:rStyle w:val="a"/>
          <w:b/>
        </w:rPr>
        <w:t xml:space="preserve"> with meaningful justification</w:t>
      </w:r>
      <w:r w:rsidRPr="00BD77ED">
        <w:rPr>
          <w:rStyle w:val="a"/>
          <w:b/>
        </w:rPr>
        <w:t>.</w:t>
      </w:r>
    </w:p>
    <w:p w:rsidR="00BD77ED" w:rsidP="00BD77ED" w:rsidRDefault="00BD77ED" w14:paraId="4628455F" w14:textId="77777777">
      <w:pPr>
        <w:pStyle w:val="ListParagraph"/>
        <w:rPr>
          <w:rStyle w:val="a"/>
        </w:rPr>
      </w:pPr>
      <w:r>
        <w:rPr>
          <w:rStyle w:val="a"/>
        </w:rPr>
        <w:t>Not applicable.</w:t>
      </w:r>
    </w:p>
    <w:p w:rsidRPr="00BD77ED" w:rsidR="00BD77ED" w:rsidP="00BD77ED" w:rsidRDefault="00BD77ED" w14:paraId="11FA154C" w14:textId="77777777">
      <w:pPr>
        <w:pStyle w:val="ListParagraph"/>
        <w:rPr>
          <w:b/>
        </w:rPr>
      </w:pPr>
    </w:p>
    <w:p w:rsidRPr="000E7F61" w:rsidR="000E7F61" w:rsidP="00FC6A81" w:rsidRDefault="00386054" w14:paraId="0B66D1AB" w14:textId="77777777">
      <w:pPr>
        <w:pStyle w:val="ListParagraph"/>
        <w:numPr>
          <w:ilvl w:val="0"/>
          <w:numId w:val="20"/>
        </w:numPr>
      </w:pPr>
      <w:r w:rsidRPr="000E7F61">
        <w:rPr>
          <w:b/>
        </w:rPr>
        <w:t xml:space="preserve">Describe any assurance of confidentiality provided to respondents and the basis for the assurance in statute, regulation, or agency policy. </w:t>
      </w:r>
    </w:p>
    <w:p w:rsidR="000E7F61" w:rsidP="000E7F61" w:rsidRDefault="000E7F61" w14:paraId="36224B4E" w14:textId="77777777">
      <w:pPr>
        <w:pStyle w:val="ListParagraph"/>
        <w:rPr>
          <w:b/>
        </w:rPr>
      </w:pPr>
    </w:p>
    <w:p w:rsidR="00BD77ED" w:rsidP="000E7F61" w:rsidRDefault="00BD77ED" w14:paraId="702734E3" w14:textId="4CB425FD">
      <w:pPr>
        <w:pStyle w:val="ListParagraph"/>
      </w:pPr>
      <w:r>
        <w:t xml:space="preserve">The Administration for Community Living makes no </w:t>
      </w:r>
      <w:r w:rsidR="00472B6C">
        <w:t>assurance of</w:t>
      </w:r>
      <w:r>
        <w:t xml:space="preserve"> confidentiality</w:t>
      </w:r>
      <w:r w:rsidR="00472B6C">
        <w:t xml:space="preserve">. </w:t>
      </w:r>
      <w:r>
        <w:t xml:space="preserve"> </w:t>
      </w:r>
    </w:p>
    <w:p w:rsidRPr="00BD77ED" w:rsidR="00BD77ED" w:rsidP="00BD77ED" w:rsidRDefault="00BD77ED" w14:paraId="2B24CF7E" w14:textId="77777777">
      <w:pPr>
        <w:pStyle w:val="ListParagraph"/>
      </w:pPr>
    </w:p>
    <w:p w:rsidR="00B83FB3" w:rsidP="00B578F4" w:rsidRDefault="00386054" w14:paraId="3E38E552" w14:textId="77777777">
      <w:pPr>
        <w:pStyle w:val="ListParagraph"/>
        <w:numPr>
          <w:ilvl w:val="0"/>
          <w:numId w:val="20"/>
        </w:numPr>
        <w:rPr>
          <w:b/>
        </w:rPr>
      </w:pPr>
      <w:r w:rsidRPr="00BD77ED">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77ED" w:rsidP="00BD77ED" w:rsidRDefault="00BD77ED" w14:paraId="27C25EBF" w14:textId="77777777">
      <w:pPr>
        <w:pStyle w:val="ListParagraph"/>
      </w:pPr>
      <w:r>
        <w:t>Not applicable.</w:t>
      </w:r>
    </w:p>
    <w:p w:rsidRPr="00BD77ED" w:rsidR="00BD77ED" w:rsidP="00BD77ED" w:rsidRDefault="00BD77ED" w14:paraId="66B984B3" w14:textId="77777777">
      <w:pPr>
        <w:pStyle w:val="ListParagraph"/>
      </w:pPr>
    </w:p>
    <w:p w:rsidR="001E7CD5" w:rsidP="00472B6C" w:rsidRDefault="00386054" w14:paraId="758569CF" w14:textId="3F91ECE7">
      <w:pPr>
        <w:pStyle w:val="ListParagraph"/>
        <w:numPr>
          <w:ilvl w:val="0"/>
          <w:numId w:val="20"/>
        </w:numPr>
      </w:pPr>
      <w:r w:rsidRPr="0048180D">
        <w:rPr>
          <w:rStyle w:val="a"/>
          <w:b/>
        </w:rPr>
        <w:t xml:space="preserve">Provide estimates of the hour burden of the collection of information.  </w:t>
      </w:r>
    </w:p>
    <w:p w:rsidR="00205B08" w:rsidP="001E7CD5" w:rsidRDefault="001E7CD5" w14:paraId="6FA74A45" w14:textId="77777777">
      <w:pPr>
        <w:pStyle w:val="Default"/>
        <w:ind w:left="720"/>
        <w:rPr>
          <w:rFonts w:ascii="Times New Roman" w:hAnsi="Times New Roman" w:cs="Times New Roman"/>
        </w:rPr>
      </w:pPr>
      <w:r w:rsidRPr="00472B6C">
        <w:rPr>
          <w:rFonts w:ascii="Times New Roman" w:hAnsi="Times New Roman" w:cs="Times New Roman"/>
        </w:rPr>
        <w:t xml:space="preserve">The information below shows the estimated annualized burden hours and costs for grantees to enter their data. There are 54 unique respondents. </w:t>
      </w:r>
    </w:p>
    <w:p w:rsidR="001917AC" w:rsidP="001E7CD5" w:rsidRDefault="001917AC" w14:paraId="61499ECD" w14:textId="77777777">
      <w:pPr>
        <w:pStyle w:val="Default"/>
        <w:ind w:left="720"/>
        <w:rPr>
          <w:rFonts w:ascii="Times New Roman" w:hAnsi="Times New Roman" w:cs="Times New Roman"/>
        </w:rPr>
      </w:pPr>
    </w:p>
    <w:p w:rsidR="0048180D" w:rsidP="001E7CD5" w:rsidRDefault="000E7F61" w14:paraId="665FC537" w14:textId="6A80910D">
      <w:pPr>
        <w:pStyle w:val="Default"/>
        <w:ind w:left="720"/>
        <w:rPr>
          <w:rFonts w:ascii="Times New Roman" w:hAnsi="Times New Roman" w:cs="Times New Roman"/>
        </w:rPr>
      </w:pPr>
      <w:r>
        <w:rPr>
          <w:rFonts w:ascii="Times New Roman" w:hAnsi="Times New Roman" w:cs="Times New Roman"/>
        </w:rPr>
        <w:t>B</w:t>
      </w:r>
      <w:r w:rsidRPr="00472B6C" w:rsidR="001E7CD5">
        <w:rPr>
          <w:rFonts w:ascii="Times New Roman" w:hAnsi="Times New Roman" w:cs="Times New Roman"/>
        </w:rPr>
        <w:t>urden hours based on the number of grantees (54 grantees for the current funding cycle) at an estimated average time of 1 hour per year submitted annually for a total of 54 hours.</w:t>
      </w:r>
    </w:p>
    <w:p w:rsidRPr="00472B6C" w:rsidR="000E7F61" w:rsidP="001E7CD5" w:rsidRDefault="000E7F61" w14:paraId="31C8D19A" w14:textId="77777777">
      <w:pPr>
        <w:pStyle w:val="Default"/>
        <w:ind w:left="720"/>
        <w:rPr>
          <w:rStyle w:val="a"/>
          <w:rFonts w:ascii="Times New Roman" w:hAnsi="Times New Roman"/>
          <w:b/>
        </w:rPr>
      </w:pPr>
    </w:p>
    <w:tbl>
      <w:tblPr>
        <w:tblW w:w="8658" w:type="dxa"/>
        <w:tblInd w:w="7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98"/>
        <w:gridCol w:w="1710"/>
        <w:gridCol w:w="1800"/>
        <w:gridCol w:w="1440"/>
        <w:gridCol w:w="1710"/>
      </w:tblGrid>
      <w:tr w:rsidRPr="00A06F55" w:rsidR="0048180D" w:rsidTr="00015D2E" w14:paraId="3A94CECE" w14:textId="77777777">
        <w:trPr>
          <w:cantSplit/>
          <w:tblHeader/>
        </w:trPr>
        <w:tc>
          <w:tcPr>
            <w:tcW w:w="1998" w:type="dxa"/>
            <w:vAlign w:val="center"/>
          </w:tcPr>
          <w:p w:rsidRPr="008921A9" w:rsidR="0048180D" w:rsidP="00F673B5" w:rsidRDefault="0048180D" w14:paraId="3CDB324A" w14:textId="77777777">
            <w:pPr>
              <w:pStyle w:val="SL-FlLftSgl"/>
              <w:keepNext/>
              <w:keepLines/>
              <w:spacing w:line="240" w:lineRule="auto"/>
              <w:jc w:val="center"/>
              <w:rPr>
                <w:b/>
                <w:color w:val="000000" w:themeColor="text1"/>
                <w:sz w:val="24"/>
                <w:szCs w:val="24"/>
              </w:rPr>
            </w:pPr>
            <w:r>
              <w:rPr>
                <w:b/>
                <w:color w:val="000000" w:themeColor="text1"/>
                <w:sz w:val="24"/>
                <w:szCs w:val="24"/>
              </w:rPr>
              <w:t>Respondent/Data C</w:t>
            </w:r>
            <w:r w:rsidRPr="008921A9">
              <w:rPr>
                <w:b/>
                <w:color w:val="000000" w:themeColor="text1"/>
                <w:sz w:val="24"/>
                <w:szCs w:val="24"/>
              </w:rPr>
              <w:t xml:space="preserve">ollection </w:t>
            </w:r>
            <w:r>
              <w:rPr>
                <w:b/>
                <w:color w:val="000000" w:themeColor="text1"/>
                <w:sz w:val="24"/>
                <w:szCs w:val="24"/>
              </w:rPr>
              <w:t>A</w:t>
            </w:r>
            <w:r w:rsidRPr="008921A9">
              <w:rPr>
                <w:b/>
                <w:color w:val="000000" w:themeColor="text1"/>
                <w:sz w:val="24"/>
                <w:szCs w:val="24"/>
              </w:rPr>
              <w:t>ctivity</w:t>
            </w:r>
          </w:p>
        </w:tc>
        <w:tc>
          <w:tcPr>
            <w:tcW w:w="1710" w:type="dxa"/>
            <w:vAlign w:val="center"/>
          </w:tcPr>
          <w:p w:rsidRPr="008921A9" w:rsidR="0048180D" w:rsidP="00F673B5" w:rsidRDefault="0048180D" w14:paraId="402508AA" w14:textId="77777777">
            <w:pPr>
              <w:pStyle w:val="SL-FlLftSgl"/>
              <w:keepNext/>
              <w:keepLines/>
              <w:spacing w:line="240" w:lineRule="auto"/>
              <w:jc w:val="center"/>
              <w:rPr>
                <w:b/>
                <w:color w:val="000000" w:themeColor="text1"/>
                <w:sz w:val="24"/>
                <w:szCs w:val="24"/>
              </w:rPr>
            </w:pPr>
            <w:r w:rsidRPr="008921A9">
              <w:rPr>
                <w:b/>
                <w:color w:val="000000" w:themeColor="text1"/>
                <w:sz w:val="24"/>
                <w:szCs w:val="24"/>
              </w:rPr>
              <w:t xml:space="preserve">Number of </w:t>
            </w:r>
            <w:r>
              <w:rPr>
                <w:b/>
                <w:color w:val="000000" w:themeColor="text1"/>
                <w:sz w:val="24"/>
                <w:szCs w:val="24"/>
              </w:rPr>
              <w:t>R</w:t>
            </w:r>
            <w:r w:rsidRPr="008921A9">
              <w:rPr>
                <w:b/>
                <w:color w:val="000000" w:themeColor="text1"/>
                <w:sz w:val="24"/>
                <w:szCs w:val="24"/>
              </w:rPr>
              <w:t>espondents</w:t>
            </w:r>
          </w:p>
        </w:tc>
        <w:tc>
          <w:tcPr>
            <w:tcW w:w="1800" w:type="dxa"/>
            <w:vAlign w:val="center"/>
          </w:tcPr>
          <w:p w:rsidRPr="008921A9" w:rsidR="0048180D" w:rsidP="00F673B5" w:rsidRDefault="0048180D" w14:paraId="67CA3C0B" w14:textId="77777777">
            <w:pPr>
              <w:pStyle w:val="SL-FlLftSgl"/>
              <w:keepNext/>
              <w:keepLines/>
              <w:spacing w:line="240" w:lineRule="auto"/>
              <w:jc w:val="center"/>
              <w:rPr>
                <w:b/>
                <w:color w:val="000000" w:themeColor="text1"/>
                <w:sz w:val="24"/>
                <w:szCs w:val="24"/>
              </w:rPr>
            </w:pPr>
            <w:r w:rsidRPr="008921A9">
              <w:rPr>
                <w:b/>
                <w:color w:val="000000" w:themeColor="text1"/>
                <w:sz w:val="24"/>
                <w:szCs w:val="24"/>
              </w:rPr>
              <w:t xml:space="preserve">Responses </w:t>
            </w:r>
            <w:r>
              <w:rPr>
                <w:b/>
                <w:color w:val="000000" w:themeColor="text1"/>
                <w:sz w:val="24"/>
                <w:szCs w:val="24"/>
              </w:rPr>
              <w:t>P</w:t>
            </w:r>
            <w:r w:rsidRPr="008921A9">
              <w:rPr>
                <w:b/>
                <w:color w:val="000000" w:themeColor="text1"/>
                <w:sz w:val="24"/>
                <w:szCs w:val="24"/>
              </w:rPr>
              <w:t xml:space="preserve">er </w:t>
            </w:r>
            <w:r>
              <w:rPr>
                <w:b/>
                <w:color w:val="000000" w:themeColor="text1"/>
                <w:sz w:val="24"/>
                <w:szCs w:val="24"/>
              </w:rPr>
              <w:t>R</w:t>
            </w:r>
            <w:r w:rsidRPr="008921A9">
              <w:rPr>
                <w:b/>
                <w:color w:val="000000" w:themeColor="text1"/>
                <w:sz w:val="24"/>
                <w:szCs w:val="24"/>
              </w:rPr>
              <w:t>espondent</w:t>
            </w:r>
          </w:p>
        </w:tc>
        <w:tc>
          <w:tcPr>
            <w:tcW w:w="1440" w:type="dxa"/>
            <w:vAlign w:val="center"/>
          </w:tcPr>
          <w:p w:rsidRPr="008921A9" w:rsidR="0048180D" w:rsidP="00F673B5" w:rsidRDefault="0048180D" w14:paraId="546E6D7A" w14:textId="77777777">
            <w:pPr>
              <w:pStyle w:val="SL-FlLftSgl"/>
              <w:keepNext/>
              <w:keepLines/>
              <w:spacing w:line="240" w:lineRule="auto"/>
              <w:jc w:val="center"/>
              <w:rPr>
                <w:b/>
                <w:color w:val="000000" w:themeColor="text1"/>
                <w:sz w:val="24"/>
                <w:szCs w:val="24"/>
              </w:rPr>
            </w:pPr>
            <w:r w:rsidRPr="008921A9">
              <w:rPr>
                <w:b/>
                <w:color w:val="000000" w:themeColor="text1"/>
                <w:sz w:val="24"/>
                <w:szCs w:val="24"/>
              </w:rPr>
              <w:t xml:space="preserve">Hours </w:t>
            </w:r>
            <w:r>
              <w:rPr>
                <w:b/>
                <w:color w:val="000000" w:themeColor="text1"/>
                <w:sz w:val="24"/>
                <w:szCs w:val="24"/>
              </w:rPr>
              <w:t>P</w:t>
            </w:r>
            <w:r w:rsidRPr="008921A9">
              <w:rPr>
                <w:b/>
                <w:color w:val="000000" w:themeColor="text1"/>
                <w:sz w:val="24"/>
                <w:szCs w:val="24"/>
              </w:rPr>
              <w:t xml:space="preserve">er </w:t>
            </w:r>
            <w:r>
              <w:rPr>
                <w:b/>
                <w:color w:val="000000" w:themeColor="text1"/>
                <w:sz w:val="24"/>
                <w:szCs w:val="24"/>
              </w:rPr>
              <w:t>R</w:t>
            </w:r>
            <w:r w:rsidRPr="008921A9">
              <w:rPr>
                <w:b/>
                <w:color w:val="000000" w:themeColor="text1"/>
                <w:sz w:val="24"/>
                <w:szCs w:val="24"/>
              </w:rPr>
              <w:t>esponse</w:t>
            </w:r>
          </w:p>
        </w:tc>
        <w:tc>
          <w:tcPr>
            <w:tcW w:w="1710" w:type="dxa"/>
            <w:vAlign w:val="center"/>
          </w:tcPr>
          <w:p w:rsidRPr="008921A9" w:rsidR="0048180D" w:rsidP="00F673B5" w:rsidRDefault="0048180D" w14:paraId="2B6AC859" w14:textId="77777777">
            <w:pPr>
              <w:pStyle w:val="SL-FlLftSgl"/>
              <w:keepNext/>
              <w:keepLines/>
              <w:spacing w:line="240" w:lineRule="auto"/>
              <w:jc w:val="center"/>
              <w:rPr>
                <w:b/>
                <w:color w:val="000000" w:themeColor="text1"/>
                <w:sz w:val="24"/>
                <w:szCs w:val="24"/>
              </w:rPr>
            </w:pPr>
            <w:r w:rsidRPr="008921A9">
              <w:rPr>
                <w:b/>
                <w:color w:val="000000" w:themeColor="text1"/>
                <w:sz w:val="24"/>
                <w:szCs w:val="24"/>
              </w:rPr>
              <w:t xml:space="preserve">Annual </w:t>
            </w:r>
            <w:r>
              <w:rPr>
                <w:b/>
                <w:color w:val="000000" w:themeColor="text1"/>
                <w:sz w:val="24"/>
                <w:szCs w:val="24"/>
              </w:rPr>
              <w:t>B</w:t>
            </w:r>
            <w:r w:rsidRPr="008921A9">
              <w:rPr>
                <w:b/>
                <w:color w:val="000000" w:themeColor="text1"/>
                <w:sz w:val="24"/>
                <w:szCs w:val="24"/>
              </w:rPr>
              <w:t xml:space="preserve">urden </w:t>
            </w:r>
            <w:r>
              <w:rPr>
                <w:b/>
                <w:color w:val="000000" w:themeColor="text1"/>
                <w:sz w:val="24"/>
                <w:szCs w:val="24"/>
              </w:rPr>
              <w:t>H</w:t>
            </w:r>
            <w:r w:rsidRPr="008921A9">
              <w:rPr>
                <w:b/>
                <w:color w:val="000000" w:themeColor="text1"/>
                <w:sz w:val="24"/>
                <w:szCs w:val="24"/>
              </w:rPr>
              <w:t>ours</w:t>
            </w:r>
          </w:p>
        </w:tc>
      </w:tr>
      <w:tr w:rsidRPr="00A06F55" w:rsidR="0048180D" w:rsidTr="00015D2E" w14:paraId="19BA113D" w14:textId="77777777">
        <w:trPr>
          <w:cantSplit/>
        </w:trPr>
        <w:tc>
          <w:tcPr>
            <w:tcW w:w="1998" w:type="dxa"/>
            <w:vAlign w:val="center"/>
          </w:tcPr>
          <w:p w:rsidRPr="008921A9" w:rsidR="0048180D" w:rsidP="00F673B5" w:rsidRDefault="0048180D" w14:paraId="79CE91D2" w14:textId="77777777">
            <w:pPr>
              <w:pStyle w:val="SL-FlLftSgl"/>
              <w:keepNext/>
              <w:keepLines/>
              <w:spacing w:line="240" w:lineRule="auto"/>
              <w:jc w:val="left"/>
              <w:rPr>
                <w:color w:val="000000" w:themeColor="text1"/>
                <w:sz w:val="24"/>
                <w:szCs w:val="24"/>
              </w:rPr>
            </w:pPr>
          </w:p>
        </w:tc>
        <w:tc>
          <w:tcPr>
            <w:tcW w:w="1710" w:type="dxa"/>
            <w:vAlign w:val="center"/>
          </w:tcPr>
          <w:p w:rsidRPr="008921A9" w:rsidR="0048180D" w:rsidP="00F673B5" w:rsidRDefault="0048180D" w14:paraId="04BD0F17" w14:textId="77777777">
            <w:pPr>
              <w:pStyle w:val="SL-FlLftSgl"/>
              <w:keepNext/>
              <w:keepLines/>
              <w:tabs>
                <w:tab w:val="decimal" w:pos="792"/>
              </w:tabs>
              <w:spacing w:line="240" w:lineRule="auto"/>
              <w:rPr>
                <w:color w:val="000000" w:themeColor="text1"/>
                <w:sz w:val="24"/>
                <w:szCs w:val="24"/>
              </w:rPr>
            </w:pPr>
            <w:r>
              <w:rPr>
                <w:color w:val="000000" w:themeColor="text1"/>
                <w:sz w:val="24"/>
                <w:szCs w:val="24"/>
              </w:rPr>
              <w:t>54</w:t>
            </w:r>
          </w:p>
        </w:tc>
        <w:tc>
          <w:tcPr>
            <w:tcW w:w="1800" w:type="dxa"/>
            <w:vAlign w:val="center"/>
          </w:tcPr>
          <w:p w:rsidRPr="008921A9" w:rsidR="0048180D" w:rsidP="00F673B5" w:rsidRDefault="0048180D" w14:paraId="63F8AB1D" w14:textId="77777777">
            <w:pPr>
              <w:pStyle w:val="SL-FlLftSgl"/>
              <w:keepNext/>
              <w:keepLines/>
              <w:tabs>
                <w:tab w:val="decimal" w:pos="576"/>
              </w:tabs>
              <w:spacing w:line="240" w:lineRule="auto"/>
              <w:rPr>
                <w:color w:val="000000" w:themeColor="text1"/>
                <w:sz w:val="24"/>
                <w:szCs w:val="24"/>
              </w:rPr>
            </w:pPr>
            <w:r>
              <w:rPr>
                <w:color w:val="000000" w:themeColor="text1"/>
                <w:sz w:val="24"/>
                <w:szCs w:val="24"/>
              </w:rPr>
              <w:t>1</w:t>
            </w:r>
          </w:p>
        </w:tc>
        <w:tc>
          <w:tcPr>
            <w:tcW w:w="1440" w:type="dxa"/>
            <w:vAlign w:val="center"/>
          </w:tcPr>
          <w:p w:rsidRPr="008921A9" w:rsidR="0048180D" w:rsidP="00F673B5" w:rsidRDefault="0048180D" w14:paraId="55C9557F" w14:textId="77777777">
            <w:pPr>
              <w:pStyle w:val="SL-FlLftSgl"/>
              <w:keepNext/>
              <w:keepLines/>
              <w:tabs>
                <w:tab w:val="decimal" w:pos="504"/>
              </w:tabs>
              <w:spacing w:line="240" w:lineRule="auto"/>
              <w:rPr>
                <w:color w:val="000000" w:themeColor="text1"/>
                <w:sz w:val="24"/>
                <w:szCs w:val="24"/>
              </w:rPr>
            </w:pPr>
            <w:r>
              <w:rPr>
                <w:color w:val="000000" w:themeColor="text1"/>
                <w:sz w:val="24"/>
                <w:szCs w:val="24"/>
              </w:rPr>
              <w:t>1</w:t>
            </w:r>
          </w:p>
        </w:tc>
        <w:tc>
          <w:tcPr>
            <w:tcW w:w="1710" w:type="dxa"/>
            <w:vAlign w:val="center"/>
          </w:tcPr>
          <w:p w:rsidRPr="008921A9" w:rsidR="0048180D" w:rsidP="00F673B5" w:rsidRDefault="0048180D" w14:paraId="27E1BA70" w14:textId="77777777">
            <w:pPr>
              <w:pStyle w:val="SL-FlLftSgl"/>
              <w:keepNext/>
              <w:keepLines/>
              <w:tabs>
                <w:tab w:val="decimal" w:pos="720"/>
              </w:tabs>
              <w:spacing w:line="240" w:lineRule="auto"/>
              <w:rPr>
                <w:color w:val="000000" w:themeColor="text1"/>
                <w:sz w:val="24"/>
                <w:szCs w:val="24"/>
              </w:rPr>
            </w:pPr>
            <w:r>
              <w:rPr>
                <w:color w:val="000000" w:themeColor="text1"/>
                <w:sz w:val="24"/>
                <w:szCs w:val="24"/>
              </w:rPr>
              <w:t>54</w:t>
            </w:r>
          </w:p>
        </w:tc>
      </w:tr>
      <w:tr w:rsidRPr="00A06F55" w:rsidR="0048180D" w:rsidTr="00015D2E" w14:paraId="38614EE7" w14:textId="77777777">
        <w:trPr>
          <w:cantSplit/>
          <w:trHeight w:val="282"/>
        </w:trPr>
        <w:tc>
          <w:tcPr>
            <w:tcW w:w="1998" w:type="dxa"/>
            <w:vAlign w:val="center"/>
          </w:tcPr>
          <w:p w:rsidR="0048180D" w:rsidP="00F673B5" w:rsidRDefault="0048180D" w14:paraId="12340DA1" w14:textId="77777777">
            <w:pPr>
              <w:pStyle w:val="SL-FlLftSgl"/>
              <w:keepNext/>
              <w:keepLines/>
              <w:spacing w:line="240" w:lineRule="auto"/>
              <w:rPr>
                <w:b/>
                <w:color w:val="000000" w:themeColor="text1"/>
                <w:sz w:val="24"/>
                <w:szCs w:val="24"/>
              </w:rPr>
            </w:pPr>
            <w:r>
              <w:rPr>
                <w:b/>
                <w:color w:val="000000" w:themeColor="text1"/>
                <w:sz w:val="24"/>
                <w:szCs w:val="24"/>
              </w:rPr>
              <w:t xml:space="preserve">          </w:t>
            </w:r>
            <w:r w:rsidRPr="00AD0411">
              <w:rPr>
                <w:b/>
                <w:color w:val="000000" w:themeColor="text1"/>
                <w:sz w:val="24"/>
                <w:szCs w:val="24"/>
              </w:rPr>
              <w:t>Total</w:t>
            </w:r>
            <w:r>
              <w:rPr>
                <w:b/>
                <w:color w:val="000000" w:themeColor="text1"/>
                <w:sz w:val="24"/>
                <w:szCs w:val="24"/>
              </w:rPr>
              <w:t>:</w:t>
            </w:r>
          </w:p>
          <w:p w:rsidRPr="00AD0411" w:rsidR="0048180D" w:rsidP="00F673B5" w:rsidRDefault="0048180D" w14:paraId="71FBA35D" w14:textId="77777777">
            <w:pPr>
              <w:pStyle w:val="SL-FlLftSgl"/>
              <w:keepNext/>
              <w:keepLines/>
              <w:spacing w:line="240" w:lineRule="auto"/>
              <w:rPr>
                <w:b/>
                <w:color w:val="000000" w:themeColor="text1"/>
                <w:sz w:val="24"/>
                <w:szCs w:val="24"/>
              </w:rPr>
            </w:pPr>
          </w:p>
        </w:tc>
        <w:tc>
          <w:tcPr>
            <w:tcW w:w="1710" w:type="dxa"/>
            <w:vAlign w:val="center"/>
          </w:tcPr>
          <w:p w:rsidRPr="008921A9" w:rsidR="0048180D" w:rsidP="00F673B5" w:rsidRDefault="0048180D" w14:paraId="5DB72ABB" w14:textId="77777777">
            <w:pPr>
              <w:pStyle w:val="SL-FlLftSgl"/>
              <w:keepNext/>
              <w:keepLines/>
              <w:tabs>
                <w:tab w:val="decimal" w:pos="792"/>
              </w:tabs>
              <w:spacing w:line="240" w:lineRule="auto"/>
              <w:rPr>
                <w:color w:val="000000" w:themeColor="text1"/>
                <w:sz w:val="24"/>
                <w:szCs w:val="24"/>
              </w:rPr>
            </w:pPr>
            <w:r>
              <w:rPr>
                <w:color w:val="000000" w:themeColor="text1"/>
                <w:sz w:val="24"/>
                <w:szCs w:val="24"/>
              </w:rPr>
              <w:t>54</w:t>
            </w:r>
          </w:p>
        </w:tc>
        <w:tc>
          <w:tcPr>
            <w:tcW w:w="1800" w:type="dxa"/>
            <w:vAlign w:val="center"/>
          </w:tcPr>
          <w:p w:rsidRPr="008921A9" w:rsidR="0048180D" w:rsidP="00F673B5" w:rsidRDefault="0048180D" w14:paraId="56EF4331" w14:textId="77777777">
            <w:pPr>
              <w:pStyle w:val="SL-FlLftSgl"/>
              <w:keepNext/>
              <w:keepLines/>
              <w:tabs>
                <w:tab w:val="decimal" w:pos="576"/>
              </w:tabs>
              <w:spacing w:line="240" w:lineRule="auto"/>
              <w:rPr>
                <w:color w:val="000000" w:themeColor="text1"/>
                <w:sz w:val="24"/>
                <w:szCs w:val="24"/>
              </w:rPr>
            </w:pPr>
            <w:r>
              <w:rPr>
                <w:color w:val="000000" w:themeColor="text1"/>
                <w:sz w:val="24"/>
                <w:szCs w:val="24"/>
              </w:rPr>
              <w:t>1</w:t>
            </w:r>
          </w:p>
        </w:tc>
        <w:tc>
          <w:tcPr>
            <w:tcW w:w="1440" w:type="dxa"/>
            <w:vAlign w:val="center"/>
          </w:tcPr>
          <w:p w:rsidRPr="008921A9" w:rsidR="0048180D" w:rsidP="00F673B5" w:rsidRDefault="0048180D" w14:paraId="33F180EC" w14:textId="77777777">
            <w:pPr>
              <w:pStyle w:val="SL-FlLftSgl"/>
              <w:keepNext/>
              <w:keepLines/>
              <w:tabs>
                <w:tab w:val="decimal" w:pos="504"/>
              </w:tabs>
              <w:spacing w:line="240" w:lineRule="auto"/>
              <w:rPr>
                <w:color w:val="000000" w:themeColor="text1"/>
                <w:sz w:val="24"/>
                <w:szCs w:val="24"/>
              </w:rPr>
            </w:pPr>
            <w:r>
              <w:rPr>
                <w:color w:val="000000" w:themeColor="text1"/>
                <w:sz w:val="24"/>
                <w:szCs w:val="24"/>
              </w:rPr>
              <w:t>1</w:t>
            </w:r>
          </w:p>
        </w:tc>
        <w:tc>
          <w:tcPr>
            <w:tcW w:w="1710" w:type="dxa"/>
            <w:vAlign w:val="center"/>
          </w:tcPr>
          <w:p w:rsidRPr="008921A9" w:rsidR="0048180D" w:rsidP="00F673B5" w:rsidRDefault="0048180D" w14:paraId="52EBBA92" w14:textId="77777777">
            <w:pPr>
              <w:pStyle w:val="SL-FlLftSgl"/>
              <w:keepNext/>
              <w:keepLines/>
              <w:tabs>
                <w:tab w:val="decimal" w:pos="720"/>
              </w:tabs>
              <w:spacing w:line="240" w:lineRule="auto"/>
              <w:rPr>
                <w:color w:val="000000" w:themeColor="text1"/>
                <w:sz w:val="24"/>
                <w:szCs w:val="24"/>
              </w:rPr>
            </w:pPr>
            <w:r>
              <w:rPr>
                <w:color w:val="000000" w:themeColor="text1"/>
                <w:sz w:val="24"/>
                <w:szCs w:val="24"/>
              </w:rPr>
              <w:t>54</w:t>
            </w:r>
          </w:p>
        </w:tc>
      </w:tr>
    </w:tbl>
    <w:p w:rsidR="0048180D" w:rsidP="00472B6C" w:rsidRDefault="0048180D" w14:paraId="015CABF7" w14:textId="1B59453C">
      <w:pPr>
        <w:ind w:firstLine="720"/>
        <w:rPr>
          <w:b/>
        </w:rPr>
      </w:pPr>
    </w:p>
    <w:p w:rsidRPr="00472B6C" w:rsidR="00472B6C" w:rsidP="00472B6C" w:rsidRDefault="00472B6C" w14:paraId="4AC1D501" w14:textId="4BC31CAF">
      <w:pPr>
        <w:ind w:left="720"/>
      </w:pPr>
      <w:r>
        <w:t xml:space="preserve">Estimated cost to respondent retrieved from the Bureau </w:t>
      </w:r>
      <w:r w:rsidR="000E7F61">
        <w:t>of</w:t>
      </w:r>
      <w:r>
        <w:t xml:space="preserve"> Labor Statistics, for a </w:t>
      </w:r>
      <w:r w:rsidRPr="004521B3" w:rsidR="000E7F61">
        <w:rPr>
          <w:color w:val="000000" w:themeColor="text1"/>
        </w:rPr>
        <w:t>Social and Community Service Managers</w:t>
      </w:r>
      <w:r w:rsidR="000E7F61">
        <w:t xml:space="preserve"> at an hourly rate of $35.05 adding overhead and benefits at $70.01 an hour. With 54 annual, burden hours for a total cost of $3785.40</w:t>
      </w:r>
    </w:p>
    <w:p w:rsidR="00472B6C" w:rsidP="00015D2E" w:rsidRDefault="00015D2E" w14:paraId="7306DF91" w14:textId="77777777">
      <w:pPr>
        <w:rPr>
          <w:b/>
        </w:rPr>
      </w:pPr>
      <w:r>
        <w:rPr>
          <w:b/>
        </w:rPr>
        <w:tab/>
      </w:r>
    </w:p>
    <w:p w:rsidRPr="00472B6C" w:rsidR="00015D2E" w:rsidP="00472B6C" w:rsidRDefault="00015D2E" w14:paraId="7CAC3936" w14:textId="4E2816FE">
      <w:pPr>
        <w:ind w:firstLine="720"/>
        <w:rPr>
          <w:b/>
        </w:rPr>
      </w:pPr>
      <w:r w:rsidRPr="00472B6C">
        <w:rPr>
          <w:b/>
        </w:rPr>
        <w:t>Estimated Cost to Respondents</w:t>
      </w:r>
    </w:p>
    <w:tbl>
      <w:tblPr>
        <w:tblW w:w="6948" w:type="dxa"/>
        <w:tblInd w:w="7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98"/>
        <w:gridCol w:w="1710"/>
        <w:gridCol w:w="1800"/>
        <w:gridCol w:w="1440"/>
      </w:tblGrid>
      <w:tr w:rsidRPr="00A06F55" w:rsidR="00015D2E" w:rsidTr="00015D2E" w14:paraId="5DC7F33C" w14:textId="77777777">
        <w:trPr>
          <w:cantSplit/>
          <w:tblHeader/>
        </w:trPr>
        <w:tc>
          <w:tcPr>
            <w:tcW w:w="1998" w:type="dxa"/>
            <w:vAlign w:val="center"/>
          </w:tcPr>
          <w:p w:rsidRPr="008921A9" w:rsidR="00015D2E" w:rsidP="005C3BD1" w:rsidRDefault="00015D2E" w14:paraId="102AF02D" w14:textId="233887E1">
            <w:pPr>
              <w:pStyle w:val="SL-FlLftSgl"/>
              <w:keepNext/>
              <w:keepLines/>
              <w:spacing w:line="240" w:lineRule="auto"/>
              <w:jc w:val="center"/>
              <w:rPr>
                <w:b/>
                <w:color w:val="000000" w:themeColor="text1"/>
                <w:sz w:val="24"/>
                <w:szCs w:val="24"/>
              </w:rPr>
            </w:pPr>
            <w:r>
              <w:rPr>
                <w:b/>
                <w:color w:val="000000" w:themeColor="text1"/>
                <w:sz w:val="24"/>
                <w:szCs w:val="24"/>
              </w:rPr>
              <w:t>Type of Respondent</w:t>
            </w:r>
          </w:p>
        </w:tc>
        <w:tc>
          <w:tcPr>
            <w:tcW w:w="1710" w:type="dxa"/>
            <w:vAlign w:val="center"/>
          </w:tcPr>
          <w:p w:rsidRPr="008921A9" w:rsidR="00015D2E" w:rsidP="005C3BD1" w:rsidRDefault="00015D2E" w14:paraId="5A4C9CCD" w14:textId="061B671E">
            <w:pPr>
              <w:pStyle w:val="SL-FlLftSgl"/>
              <w:keepNext/>
              <w:keepLines/>
              <w:spacing w:line="240" w:lineRule="auto"/>
              <w:jc w:val="center"/>
              <w:rPr>
                <w:b/>
                <w:color w:val="000000" w:themeColor="text1"/>
                <w:sz w:val="24"/>
                <w:szCs w:val="24"/>
              </w:rPr>
            </w:pPr>
            <w:r>
              <w:rPr>
                <w:b/>
                <w:color w:val="000000" w:themeColor="text1"/>
                <w:sz w:val="24"/>
                <w:szCs w:val="24"/>
              </w:rPr>
              <w:t>Total Burden Hours</w:t>
            </w:r>
          </w:p>
        </w:tc>
        <w:tc>
          <w:tcPr>
            <w:tcW w:w="1800" w:type="dxa"/>
            <w:vAlign w:val="center"/>
          </w:tcPr>
          <w:p w:rsidRPr="008921A9" w:rsidR="00015D2E" w:rsidP="005C3BD1" w:rsidRDefault="00015D2E" w14:paraId="482855FD" w14:textId="2F27844C">
            <w:pPr>
              <w:pStyle w:val="SL-FlLftSgl"/>
              <w:keepNext/>
              <w:keepLines/>
              <w:spacing w:line="240" w:lineRule="auto"/>
              <w:jc w:val="center"/>
              <w:rPr>
                <w:b/>
                <w:color w:val="000000" w:themeColor="text1"/>
                <w:sz w:val="24"/>
                <w:szCs w:val="24"/>
              </w:rPr>
            </w:pPr>
            <w:r>
              <w:rPr>
                <w:b/>
                <w:color w:val="000000" w:themeColor="text1"/>
                <w:sz w:val="24"/>
                <w:szCs w:val="24"/>
              </w:rPr>
              <w:t>Hourly Wage Rate</w:t>
            </w:r>
          </w:p>
        </w:tc>
        <w:tc>
          <w:tcPr>
            <w:tcW w:w="1440" w:type="dxa"/>
            <w:vAlign w:val="center"/>
          </w:tcPr>
          <w:p w:rsidRPr="008921A9" w:rsidR="00015D2E" w:rsidP="005C3BD1" w:rsidRDefault="00015D2E" w14:paraId="4E77ABDE" w14:textId="5FC8E69F">
            <w:pPr>
              <w:pStyle w:val="SL-FlLftSgl"/>
              <w:keepNext/>
              <w:keepLines/>
              <w:spacing w:line="240" w:lineRule="auto"/>
              <w:jc w:val="center"/>
              <w:rPr>
                <w:b/>
                <w:color w:val="000000" w:themeColor="text1"/>
                <w:sz w:val="24"/>
                <w:szCs w:val="24"/>
              </w:rPr>
            </w:pPr>
            <w:r>
              <w:rPr>
                <w:b/>
                <w:color w:val="000000" w:themeColor="text1"/>
                <w:sz w:val="24"/>
                <w:szCs w:val="24"/>
              </w:rPr>
              <w:t>Total Respondent Costs</w:t>
            </w:r>
          </w:p>
        </w:tc>
      </w:tr>
      <w:tr w:rsidRPr="00A06F55" w:rsidR="00015D2E" w:rsidTr="00015D2E" w14:paraId="4B84A7F8" w14:textId="77777777">
        <w:trPr>
          <w:cantSplit/>
        </w:trPr>
        <w:tc>
          <w:tcPr>
            <w:tcW w:w="1998" w:type="dxa"/>
            <w:vAlign w:val="center"/>
          </w:tcPr>
          <w:p w:rsidRPr="008921A9" w:rsidR="00015D2E" w:rsidP="00015D2E" w:rsidRDefault="004521B3" w14:paraId="5ACB369D" w14:textId="70D94667">
            <w:pPr>
              <w:pStyle w:val="SL-FlLftSgl"/>
              <w:keepNext/>
              <w:keepLines/>
              <w:spacing w:line="240" w:lineRule="auto"/>
              <w:jc w:val="left"/>
              <w:rPr>
                <w:color w:val="000000" w:themeColor="text1"/>
                <w:sz w:val="24"/>
                <w:szCs w:val="24"/>
              </w:rPr>
            </w:pPr>
            <w:r w:rsidRPr="004521B3">
              <w:rPr>
                <w:color w:val="000000" w:themeColor="text1"/>
                <w:sz w:val="24"/>
                <w:szCs w:val="24"/>
              </w:rPr>
              <w:t>Social and Community Service Managers</w:t>
            </w:r>
          </w:p>
        </w:tc>
        <w:tc>
          <w:tcPr>
            <w:tcW w:w="1710" w:type="dxa"/>
            <w:vAlign w:val="center"/>
          </w:tcPr>
          <w:p w:rsidRPr="008921A9" w:rsidR="00015D2E" w:rsidP="005C3BD1" w:rsidRDefault="00015D2E" w14:paraId="40FAFB81" w14:textId="77777777">
            <w:pPr>
              <w:pStyle w:val="SL-FlLftSgl"/>
              <w:keepNext/>
              <w:keepLines/>
              <w:tabs>
                <w:tab w:val="decimal" w:pos="792"/>
              </w:tabs>
              <w:spacing w:line="240" w:lineRule="auto"/>
              <w:rPr>
                <w:color w:val="000000" w:themeColor="text1"/>
                <w:sz w:val="24"/>
                <w:szCs w:val="24"/>
              </w:rPr>
            </w:pPr>
            <w:r>
              <w:rPr>
                <w:color w:val="000000" w:themeColor="text1"/>
                <w:sz w:val="24"/>
                <w:szCs w:val="24"/>
              </w:rPr>
              <w:t>54</w:t>
            </w:r>
          </w:p>
        </w:tc>
        <w:tc>
          <w:tcPr>
            <w:tcW w:w="1800" w:type="dxa"/>
            <w:vAlign w:val="center"/>
          </w:tcPr>
          <w:p w:rsidRPr="008921A9" w:rsidR="00015D2E" w:rsidP="000E7F61" w:rsidRDefault="00015D2E" w14:paraId="778F4EDD" w14:textId="2343CE67">
            <w:pPr>
              <w:pStyle w:val="SL-FlLftSgl"/>
              <w:keepNext/>
              <w:keepLines/>
              <w:tabs>
                <w:tab w:val="decimal" w:pos="576"/>
              </w:tabs>
              <w:spacing w:line="240" w:lineRule="auto"/>
              <w:rPr>
                <w:color w:val="000000" w:themeColor="text1"/>
                <w:sz w:val="24"/>
                <w:szCs w:val="24"/>
              </w:rPr>
            </w:pPr>
            <w:r>
              <w:rPr>
                <w:color w:val="000000" w:themeColor="text1"/>
                <w:sz w:val="24"/>
                <w:szCs w:val="24"/>
              </w:rPr>
              <w:t>$</w:t>
            </w:r>
            <w:r w:rsidR="000E7F61">
              <w:rPr>
                <w:color w:val="000000" w:themeColor="text1"/>
                <w:sz w:val="24"/>
                <w:szCs w:val="24"/>
              </w:rPr>
              <w:t>70.01</w:t>
            </w:r>
          </w:p>
        </w:tc>
        <w:tc>
          <w:tcPr>
            <w:tcW w:w="1440" w:type="dxa"/>
            <w:vAlign w:val="center"/>
          </w:tcPr>
          <w:p w:rsidRPr="008921A9" w:rsidR="00015D2E" w:rsidP="004521B3" w:rsidRDefault="000E7F61" w14:paraId="4FD16DAB" w14:textId="7D78D697">
            <w:pPr>
              <w:pStyle w:val="SL-FlLftSgl"/>
              <w:keepNext/>
              <w:keepLines/>
              <w:tabs>
                <w:tab w:val="decimal" w:pos="504"/>
              </w:tabs>
              <w:spacing w:line="240" w:lineRule="auto"/>
              <w:rPr>
                <w:color w:val="000000" w:themeColor="text1"/>
                <w:sz w:val="24"/>
                <w:szCs w:val="24"/>
              </w:rPr>
            </w:pPr>
            <w:r>
              <w:t>$3785.40</w:t>
            </w:r>
          </w:p>
        </w:tc>
      </w:tr>
    </w:tbl>
    <w:p w:rsidR="00015D2E" w:rsidP="00472B6C" w:rsidRDefault="00472B6C" w14:paraId="034FDC27" w14:textId="5CDAB308">
      <w:pPr>
        <w:tabs>
          <w:tab w:val="left" w:pos="1100"/>
        </w:tabs>
        <w:rPr>
          <w:b/>
        </w:rPr>
      </w:pPr>
      <w:r>
        <w:rPr>
          <w:b/>
        </w:rPr>
        <w:tab/>
      </w:r>
    </w:p>
    <w:p w:rsidRPr="00472B6C" w:rsidR="00472B6C" w:rsidP="00472B6C" w:rsidRDefault="0002741E" w14:paraId="4D13243B" w14:textId="25F9E3F6">
      <w:pPr>
        <w:tabs>
          <w:tab w:val="left" w:pos="1100"/>
        </w:tabs>
        <w:ind w:firstLine="720"/>
        <w:rPr>
          <w:b/>
          <w:sz w:val="20"/>
          <w:szCs w:val="20"/>
        </w:rPr>
      </w:pPr>
      <w:hyperlink w:history="1" w:anchor="13-0000" r:id="rId9">
        <w:r w:rsidRPr="00472B6C" w:rsidR="00472B6C">
          <w:rPr>
            <w:color w:val="0000FF"/>
            <w:sz w:val="20"/>
            <w:szCs w:val="20"/>
            <w:u w:val="single"/>
          </w:rPr>
          <w:t>https://www.bls.gov/oes/current/naics4_551100.htm#13-0000</w:t>
        </w:r>
      </w:hyperlink>
    </w:p>
    <w:p w:rsidRPr="00015D2E" w:rsidR="00472B6C" w:rsidP="00015D2E" w:rsidRDefault="00472B6C" w14:paraId="09A96166" w14:textId="77777777">
      <w:pPr>
        <w:rPr>
          <w:b/>
        </w:rPr>
      </w:pPr>
    </w:p>
    <w:p w:rsidRPr="00593CD5" w:rsidR="00386054" w:rsidP="00B578F4" w:rsidRDefault="00386054" w14:paraId="0C6FBA96" w14:textId="77777777">
      <w:pPr>
        <w:pStyle w:val="ListParagraph"/>
        <w:numPr>
          <w:ilvl w:val="0"/>
          <w:numId w:val="20"/>
        </w:numPr>
        <w:rPr>
          <w:b/>
        </w:rPr>
      </w:pPr>
      <w:r w:rsidRPr="00593CD5">
        <w:rPr>
          <w:rStyle w:val="a"/>
          <w:b/>
        </w:rPr>
        <w:t xml:space="preserve">Provide an estimate of the total annual cost burden to respondents or record keepers resulting from the collection of information.  (Do not include the cost of any hour burden shown in </w:t>
      </w:r>
      <w:r w:rsidRPr="00593CD5" w:rsidR="00103C7E">
        <w:rPr>
          <w:rStyle w:val="a"/>
          <w:b/>
        </w:rPr>
        <w:t>Question</w:t>
      </w:r>
      <w:r w:rsidRPr="00593CD5">
        <w:rPr>
          <w:rStyle w:val="a"/>
          <w:b/>
        </w:rPr>
        <w:t>s 12 and 14.)</w:t>
      </w:r>
    </w:p>
    <w:p w:rsidRPr="00593CD5" w:rsidR="00386054" w:rsidP="00B83FB3" w:rsidRDefault="00386054" w14:paraId="6E6C672A" w14:textId="1CE14E49">
      <w:pPr>
        <w:pStyle w:val="ListParagraph"/>
        <w:ind w:left="1080"/>
      </w:pPr>
      <w:r w:rsidRPr="00593CD5">
        <w:rPr>
          <w:b/>
        </w:rPr>
        <w:t>Total Annualized Capital/Startup Cost:</w:t>
      </w:r>
      <w:r w:rsidR="00593CD5">
        <w:t xml:space="preserve"> $0</w:t>
      </w:r>
    </w:p>
    <w:p w:rsidRPr="00593CD5" w:rsidR="00386054" w:rsidP="00B83FB3" w:rsidRDefault="00386054" w14:paraId="4FBEAF44" w14:textId="1CB05B10">
      <w:pPr>
        <w:tabs>
          <w:tab w:val="left" w:pos="-720"/>
        </w:tabs>
        <w:suppressAutoHyphens/>
        <w:ind w:left="1080"/>
      </w:pPr>
      <w:r w:rsidRPr="00593CD5">
        <w:rPr>
          <w:b/>
        </w:rPr>
        <w:t xml:space="preserve">Total Annual Costs (O&amp;M): </w:t>
      </w:r>
      <w:r w:rsidR="00593CD5">
        <w:t>$0</w:t>
      </w:r>
    </w:p>
    <w:p w:rsidR="00386054" w:rsidP="00B83FB3" w:rsidRDefault="00386054" w14:paraId="6156AB07" w14:textId="00CA63BD">
      <w:pPr>
        <w:tabs>
          <w:tab w:val="left" w:pos="-720"/>
        </w:tabs>
        <w:suppressAutoHyphens/>
        <w:ind w:left="1080"/>
      </w:pPr>
      <w:r w:rsidRPr="00593CD5">
        <w:rPr>
          <w:b/>
        </w:rPr>
        <w:t>Total Annualized Costs Requested:</w:t>
      </w:r>
      <w:r w:rsidR="00593CD5">
        <w:rPr>
          <w:b/>
        </w:rPr>
        <w:t xml:space="preserve"> </w:t>
      </w:r>
      <w:r w:rsidR="00593CD5">
        <w:t>$0</w:t>
      </w:r>
    </w:p>
    <w:p w:rsidR="00593CD5" w:rsidP="006A18DE" w:rsidRDefault="006A18DE" w14:paraId="6F6104B3" w14:textId="49F444D2">
      <w:pPr>
        <w:tabs>
          <w:tab w:val="left" w:pos="-720"/>
        </w:tabs>
        <w:suppressAutoHyphens/>
      </w:pPr>
      <w:r>
        <w:rPr>
          <w:b/>
        </w:rPr>
        <w:tab/>
      </w:r>
      <w:r>
        <w:t xml:space="preserve">There are no annualized capital or startup costs. </w:t>
      </w:r>
    </w:p>
    <w:p w:rsidRPr="006A18DE" w:rsidR="006A18DE" w:rsidP="006A18DE" w:rsidRDefault="006A18DE" w14:paraId="3B010E4C" w14:textId="77777777">
      <w:pPr>
        <w:tabs>
          <w:tab w:val="left" w:pos="-720"/>
        </w:tabs>
        <w:suppressAutoHyphens/>
      </w:pPr>
    </w:p>
    <w:p w:rsidR="00B83FB3" w:rsidP="00B578F4" w:rsidRDefault="00386054" w14:paraId="54EC17E3" w14:textId="48D3220B">
      <w:pPr>
        <w:pStyle w:val="ListParagraph"/>
        <w:numPr>
          <w:ilvl w:val="0"/>
          <w:numId w:val="20"/>
        </w:numPr>
        <w:rPr>
          <w:rStyle w:val="a"/>
          <w:b/>
        </w:rPr>
      </w:pPr>
      <w:r w:rsidRPr="00015D2E">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Pr="00015D2E" w:rsidR="00103C7E">
        <w:rPr>
          <w:rStyle w:val="a"/>
          <w:b/>
        </w:rPr>
        <w:t>Questions</w:t>
      </w:r>
      <w:r w:rsidRPr="00015D2E">
        <w:rPr>
          <w:rStyle w:val="a"/>
          <w:b/>
        </w:rPr>
        <w:t xml:space="preserve"> 12, 13, and 14 in a single table.</w:t>
      </w:r>
    </w:p>
    <w:p w:rsidR="00472B6C" w:rsidP="00015D2E" w:rsidRDefault="006A18DE" w14:paraId="08A57BDB" w14:textId="77777777">
      <w:pPr>
        <w:pStyle w:val="ListParagraph"/>
        <w:rPr>
          <w:rStyle w:val="a"/>
        </w:rPr>
      </w:pPr>
      <w:r>
        <w:rPr>
          <w:rStyle w:val="a"/>
        </w:rPr>
        <w:t xml:space="preserve">Calculations for the estimate of annualized cost to the </w:t>
      </w:r>
      <w:r w:rsidRPr="00015D2E" w:rsidR="00015D2E">
        <w:rPr>
          <w:rStyle w:val="a"/>
        </w:rPr>
        <w:t>Federal</w:t>
      </w:r>
      <w:r>
        <w:rPr>
          <w:rStyle w:val="a"/>
        </w:rPr>
        <w:t xml:space="preserve"> government retrieved from the 2020 OPM salary and wage table. </w:t>
      </w:r>
    </w:p>
    <w:p w:rsidR="00472B6C" w:rsidP="00015D2E" w:rsidRDefault="00472B6C" w14:paraId="1461F461" w14:textId="77777777">
      <w:pPr>
        <w:pStyle w:val="ListParagraph"/>
        <w:rPr>
          <w:rStyle w:val="a"/>
        </w:rPr>
      </w:pPr>
    </w:p>
    <w:p w:rsidR="00015D2E" w:rsidP="00015D2E" w:rsidRDefault="006A18DE" w14:paraId="1755C19F" w14:textId="45A98BB8">
      <w:pPr>
        <w:pStyle w:val="ListParagraph"/>
        <w:rPr>
          <w:rStyle w:val="a"/>
        </w:rPr>
      </w:pPr>
      <w:r>
        <w:rPr>
          <w:rStyle w:val="a"/>
        </w:rPr>
        <w:t>B</w:t>
      </w:r>
      <w:r w:rsidRPr="00015D2E" w:rsidR="00015D2E">
        <w:rPr>
          <w:rStyle w:val="a"/>
        </w:rPr>
        <w:t xml:space="preserve">urden hours for </w:t>
      </w:r>
      <w:r w:rsidR="00015D2E">
        <w:rPr>
          <w:rStyle w:val="a"/>
        </w:rPr>
        <w:t>one</w:t>
      </w:r>
      <w:r>
        <w:rPr>
          <w:rStyle w:val="a"/>
        </w:rPr>
        <w:t xml:space="preserve"> staff </w:t>
      </w:r>
      <w:r w:rsidRPr="00015D2E" w:rsidR="00015D2E">
        <w:rPr>
          <w:rStyle w:val="a"/>
        </w:rPr>
        <w:t>spent reviewing and analyzing the program data</w:t>
      </w:r>
      <w:r w:rsidR="00015D2E">
        <w:rPr>
          <w:rStyle w:val="a"/>
        </w:rPr>
        <w:t xml:space="preserve"> </w:t>
      </w:r>
      <w:r w:rsidRPr="00015D2E" w:rsidR="00015D2E">
        <w:rPr>
          <w:rStyle w:val="a"/>
        </w:rPr>
        <w:t xml:space="preserve">estimated to be </w:t>
      </w:r>
      <w:r w:rsidR="00015D2E">
        <w:rPr>
          <w:rStyle w:val="a"/>
        </w:rPr>
        <w:t>10</w:t>
      </w:r>
      <w:r w:rsidRPr="00015D2E" w:rsidR="00015D2E">
        <w:rPr>
          <w:rStyle w:val="a"/>
        </w:rPr>
        <w:t xml:space="preserve"> hours annually at an average salary rate of a GS-13 $</w:t>
      </w:r>
      <w:r>
        <w:rPr>
          <w:rStyle w:val="a"/>
        </w:rPr>
        <w:t>55.75</w:t>
      </w:r>
      <w:r w:rsidRPr="00015D2E" w:rsidR="00015D2E">
        <w:rPr>
          <w:rStyle w:val="a"/>
        </w:rPr>
        <w:t xml:space="preserve"> per hour for a</w:t>
      </w:r>
      <w:r w:rsidR="00015D2E">
        <w:rPr>
          <w:rStyle w:val="a"/>
        </w:rPr>
        <w:t xml:space="preserve"> </w:t>
      </w:r>
      <w:r w:rsidRPr="00015D2E" w:rsidR="00015D2E">
        <w:rPr>
          <w:rStyle w:val="a"/>
        </w:rPr>
        <w:t>total of $</w:t>
      </w:r>
      <w:r>
        <w:rPr>
          <w:rStyle w:val="a"/>
        </w:rPr>
        <w:t xml:space="preserve">557.50. Accounting for 100% benefits and overhead the annual cost to the Federal government totals $1,115. </w:t>
      </w:r>
    </w:p>
    <w:p w:rsidR="00015D2E" w:rsidP="00015D2E" w:rsidRDefault="0002741E" w14:paraId="7B6B71AF" w14:textId="68C80222">
      <w:pPr>
        <w:pStyle w:val="ListParagraph"/>
        <w:rPr>
          <w:sz w:val="18"/>
          <w:szCs w:val="18"/>
        </w:rPr>
      </w:pPr>
      <w:hyperlink w:history="1" r:id="rId10">
        <w:r w:rsidRPr="006A18DE" w:rsidR="006A18DE">
          <w:rPr>
            <w:color w:val="0000FF"/>
            <w:sz w:val="18"/>
            <w:szCs w:val="18"/>
            <w:u w:val="single"/>
          </w:rPr>
          <w:t>https://www.opm.gov/policy-data-oversight/pay-leave/salaries-wages/salary-tables/20Tables/html/DCB_h.aspx</w:t>
        </w:r>
      </w:hyperlink>
    </w:p>
    <w:p w:rsidR="006A18DE" w:rsidP="00015D2E" w:rsidRDefault="006A18DE" w14:paraId="5C06B960" w14:textId="0D3608A7">
      <w:pPr>
        <w:pStyle w:val="ListParagraph"/>
        <w:rPr>
          <w:rStyle w:val="a"/>
          <w:sz w:val="18"/>
          <w:szCs w:val="18"/>
        </w:rPr>
      </w:pPr>
    </w:p>
    <w:p w:rsidRPr="006A18DE" w:rsidR="006A18DE" w:rsidP="0006046F" w:rsidRDefault="00386054" w14:paraId="408160F5" w14:textId="77777777">
      <w:pPr>
        <w:pStyle w:val="ListParagraph"/>
        <w:numPr>
          <w:ilvl w:val="0"/>
          <w:numId w:val="20"/>
        </w:numPr>
      </w:pPr>
      <w:r w:rsidRPr="006A18DE">
        <w:rPr>
          <w:b/>
        </w:rPr>
        <w:t xml:space="preserve">Explain the reasons for any program changes or adjustments. </w:t>
      </w:r>
    </w:p>
    <w:p w:rsidR="00015D2E" w:rsidP="006A18DE" w:rsidRDefault="00410E9F" w14:paraId="1D5AF757" w14:textId="4D9DF9B5">
      <w:pPr>
        <w:pStyle w:val="ListParagraph"/>
      </w:pPr>
      <w:r>
        <w:t>This a new information collection, there is a program change increase of 54 annual burden hours</w:t>
      </w:r>
      <w:r w:rsidR="00015D2E">
        <w:t>.</w:t>
      </w:r>
    </w:p>
    <w:p w:rsidRPr="00015D2E" w:rsidR="00015D2E" w:rsidP="00015D2E" w:rsidRDefault="00015D2E" w14:paraId="0BDBD8F0" w14:textId="77777777">
      <w:pPr>
        <w:pStyle w:val="ListParagraph"/>
      </w:pPr>
    </w:p>
    <w:p w:rsidR="00103C7E" w:rsidP="00B578F4" w:rsidRDefault="00386054" w14:paraId="172C4BD1" w14:textId="70CB40DF">
      <w:pPr>
        <w:pStyle w:val="ListParagraph"/>
        <w:numPr>
          <w:ilvl w:val="0"/>
          <w:numId w:val="20"/>
        </w:numPr>
        <w:rPr>
          <w:rStyle w:val="a"/>
        </w:rPr>
      </w:pPr>
      <w:r w:rsidRPr="00015D2E">
        <w:rPr>
          <w:rStyle w:val="a"/>
          <w:b/>
        </w:rPr>
        <w:t>For collections of information whose results will be published, outline plans for tabulation and publication.  Address any complex analytical techniques that will be used</w:t>
      </w:r>
      <w:r w:rsidRPr="00CD4FE1">
        <w:rPr>
          <w:rStyle w:val="a"/>
        </w:rPr>
        <w:t xml:space="preserve">.  </w:t>
      </w:r>
    </w:p>
    <w:p w:rsidR="00015D2E" w:rsidP="00015D2E" w:rsidRDefault="00015D2E" w14:paraId="4084957C" w14:textId="344023DB">
      <w:pPr>
        <w:pStyle w:val="ListParagraph"/>
        <w:rPr>
          <w:rStyle w:val="a"/>
        </w:rPr>
      </w:pPr>
      <w:r>
        <w:rPr>
          <w:rStyle w:val="a"/>
        </w:rPr>
        <w:t>The spreadsheets will be aggregated and displayed on the ACL website as required by legislation.</w:t>
      </w:r>
    </w:p>
    <w:p w:rsidRPr="00015D2E" w:rsidR="00015D2E" w:rsidP="00015D2E" w:rsidRDefault="00015D2E" w14:paraId="1BAC52D1" w14:textId="77777777">
      <w:pPr>
        <w:rPr>
          <w:rStyle w:val="a"/>
        </w:rPr>
      </w:pPr>
    </w:p>
    <w:p w:rsidR="00B83FB3" w:rsidP="00B578F4" w:rsidRDefault="00386054" w14:paraId="1965489A" w14:textId="0FE20BCE">
      <w:pPr>
        <w:pStyle w:val="ListParagraph"/>
        <w:numPr>
          <w:ilvl w:val="0"/>
          <w:numId w:val="20"/>
        </w:numPr>
        <w:rPr>
          <w:rStyle w:val="a"/>
          <w:b/>
        </w:rPr>
      </w:pPr>
      <w:r w:rsidRPr="00015D2E">
        <w:rPr>
          <w:rStyle w:val="a"/>
          <w:b/>
        </w:rPr>
        <w:t>Provide the time schedule for the entire project, including beginning and ending dates of the collection of information, completion of report, publication dates, and other actions.</w:t>
      </w:r>
    </w:p>
    <w:p w:rsidR="00015D2E" w:rsidP="00015D2E" w:rsidRDefault="0093375B" w14:paraId="6DEB9B6D" w14:textId="3DB5D82C">
      <w:pPr>
        <w:pStyle w:val="ListParagraph"/>
        <w:rPr>
          <w:rStyle w:val="a"/>
        </w:rPr>
      </w:pPr>
      <w:r>
        <w:rPr>
          <w:rStyle w:val="a"/>
        </w:rPr>
        <w:t xml:space="preserve">The reports will be due May 31 annually starting in 2021. The data </w:t>
      </w:r>
      <w:r w:rsidR="006A18DE">
        <w:rPr>
          <w:rStyle w:val="a"/>
        </w:rPr>
        <w:t>is</w:t>
      </w:r>
      <w:r>
        <w:rPr>
          <w:rStyle w:val="a"/>
        </w:rPr>
        <w:t xml:space="preserve"> </w:t>
      </w:r>
      <w:r w:rsidR="006A18DE">
        <w:rPr>
          <w:rStyle w:val="a"/>
        </w:rPr>
        <w:t>available</w:t>
      </w:r>
      <w:r>
        <w:rPr>
          <w:rStyle w:val="a"/>
        </w:rPr>
        <w:t xml:space="preserve"> on the ACL website by end of the calendar year annually.</w:t>
      </w:r>
    </w:p>
    <w:p w:rsidRPr="00015D2E" w:rsidR="006A18DE" w:rsidP="00015D2E" w:rsidRDefault="006A18DE" w14:paraId="40BAA1DE" w14:textId="77777777">
      <w:pPr>
        <w:pStyle w:val="ListParagraph"/>
        <w:rPr>
          <w:rStyle w:val="a"/>
        </w:rPr>
      </w:pPr>
      <w:bookmarkStart w:name="_GoBack" w:id="0"/>
      <w:bookmarkEnd w:id="0"/>
    </w:p>
    <w:p w:rsidR="00386054" w:rsidP="003E01BA" w:rsidRDefault="00386054" w14:paraId="5D9EFC37" w14:textId="0D7A5637">
      <w:pPr>
        <w:pStyle w:val="ListParagraph"/>
        <w:numPr>
          <w:ilvl w:val="0"/>
          <w:numId w:val="20"/>
        </w:numPr>
        <w:rPr>
          <w:rStyle w:val="a"/>
          <w:b/>
        </w:rPr>
      </w:pPr>
      <w:r w:rsidRPr="0093375B">
        <w:rPr>
          <w:rStyle w:val="a"/>
          <w:b/>
        </w:rPr>
        <w:t xml:space="preserve">If seeking approval </w:t>
      </w:r>
      <w:r w:rsidR="006A18DE">
        <w:rPr>
          <w:rStyle w:val="a"/>
          <w:b/>
        </w:rPr>
        <w:t>n</w:t>
      </w:r>
      <w:r w:rsidRPr="0093375B">
        <w:rPr>
          <w:rStyle w:val="a"/>
          <w:b/>
        </w:rPr>
        <w:t xml:space="preserve">ot </w:t>
      </w:r>
      <w:r w:rsidR="006A18DE">
        <w:rPr>
          <w:rStyle w:val="a"/>
          <w:b/>
        </w:rPr>
        <w:t xml:space="preserve">to </w:t>
      </w:r>
      <w:r w:rsidRPr="0093375B">
        <w:rPr>
          <w:rStyle w:val="a"/>
          <w:b/>
        </w:rPr>
        <w:t>display the expiration date for OMB approval of the information collection, explain the reasons that display would be inappropriate.</w:t>
      </w:r>
    </w:p>
    <w:p w:rsidRPr="0093375B" w:rsidR="0093375B" w:rsidP="0093375B" w:rsidRDefault="0093375B" w14:paraId="1CC791EB" w14:textId="5EE87069">
      <w:pPr>
        <w:pStyle w:val="ListParagraph"/>
      </w:pPr>
      <w:r>
        <w:rPr>
          <w:rStyle w:val="a"/>
        </w:rPr>
        <w:t>Not applicable.</w:t>
      </w:r>
    </w:p>
    <w:sectPr w:rsidRPr="0093375B" w:rsidR="0093375B"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FE9CB" w14:textId="77777777" w:rsidR="0002741E" w:rsidRDefault="0002741E">
      <w:pPr>
        <w:spacing w:line="20" w:lineRule="exact"/>
      </w:pPr>
    </w:p>
  </w:endnote>
  <w:endnote w:type="continuationSeparator" w:id="0">
    <w:p w14:paraId="703ED2C3" w14:textId="77777777" w:rsidR="0002741E" w:rsidRDefault="0002741E">
      <w:r>
        <w:t xml:space="preserve"> </w:t>
      </w:r>
    </w:p>
  </w:endnote>
  <w:endnote w:type="continuationNotice" w:id="1">
    <w:p w14:paraId="6AB4574B" w14:textId="77777777" w:rsidR="0002741E" w:rsidRDefault="000274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B4004"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33FD7B2B" wp14:editId="1E6AF39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0EDE71" w14:textId="1E3924D9" w:rsidR="00103C7E" w:rsidRDefault="00103C7E" w:rsidP="00431228">
                          <w:pPr>
                            <w:tabs>
                              <w:tab w:val="center" w:pos="4650"/>
                            </w:tabs>
                            <w:suppressAutoHyphens/>
                            <w:jc w:val="center"/>
                          </w:pPr>
                          <w:r>
                            <w:fldChar w:fldCharType="begin"/>
                          </w:r>
                          <w:r>
                            <w:instrText>page \* arabic</w:instrText>
                          </w:r>
                          <w:r>
                            <w:fldChar w:fldCharType="separate"/>
                          </w:r>
                          <w:r w:rsidR="0002741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7B2B"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80EDE71" w14:textId="1E3924D9" w:rsidR="00103C7E" w:rsidRDefault="00103C7E" w:rsidP="00431228">
                    <w:pPr>
                      <w:tabs>
                        <w:tab w:val="center" w:pos="4650"/>
                      </w:tabs>
                      <w:suppressAutoHyphens/>
                      <w:jc w:val="center"/>
                    </w:pPr>
                    <w:r>
                      <w:fldChar w:fldCharType="begin"/>
                    </w:r>
                    <w:r>
                      <w:instrText>page \* arabic</w:instrText>
                    </w:r>
                    <w:r>
                      <w:fldChar w:fldCharType="separate"/>
                    </w:r>
                    <w:r w:rsidR="0002741E">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0937E" w14:textId="77777777" w:rsidR="0002741E" w:rsidRDefault="0002741E">
      <w:r>
        <w:separator/>
      </w:r>
    </w:p>
  </w:footnote>
  <w:footnote w:type="continuationSeparator" w:id="0">
    <w:p w14:paraId="28D09AB0" w14:textId="77777777" w:rsidR="0002741E" w:rsidRDefault="0002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223E" w14:textId="45B400B5" w:rsidR="00103C7E" w:rsidRDefault="00103C7E" w:rsidP="003E539A">
    <w:pPr>
      <w:spacing w:after="0"/>
    </w:pPr>
    <w:r w:rsidRPr="00640F37">
      <w:t xml:space="preserve">OMB Number: </w:t>
    </w:r>
    <w:r w:rsidR="006A18DE">
      <w:t xml:space="preserve">0985-New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15D2E"/>
    <w:rsid w:val="00016E14"/>
    <w:rsid w:val="0002741E"/>
    <w:rsid w:val="00050CBE"/>
    <w:rsid w:val="00056AFC"/>
    <w:rsid w:val="00064C3C"/>
    <w:rsid w:val="000909E0"/>
    <w:rsid w:val="00097D95"/>
    <w:rsid w:val="000A2965"/>
    <w:rsid w:val="000B14D8"/>
    <w:rsid w:val="000E592D"/>
    <w:rsid w:val="000E7F61"/>
    <w:rsid w:val="000F175B"/>
    <w:rsid w:val="00103C7E"/>
    <w:rsid w:val="00136616"/>
    <w:rsid w:val="0014500F"/>
    <w:rsid w:val="00153F20"/>
    <w:rsid w:val="001743A5"/>
    <w:rsid w:val="0018279C"/>
    <w:rsid w:val="001917AC"/>
    <w:rsid w:val="001E7CD5"/>
    <w:rsid w:val="00205B08"/>
    <w:rsid w:val="002473CE"/>
    <w:rsid w:val="00251381"/>
    <w:rsid w:val="002B0412"/>
    <w:rsid w:val="002B0A95"/>
    <w:rsid w:val="00322E02"/>
    <w:rsid w:val="00386054"/>
    <w:rsid w:val="003C16BF"/>
    <w:rsid w:val="003C29C2"/>
    <w:rsid w:val="003C7F70"/>
    <w:rsid w:val="003E285A"/>
    <w:rsid w:val="003E539A"/>
    <w:rsid w:val="003F6281"/>
    <w:rsid w:val="00410E9F"/>
    <w:rsid w:val="00431228"/>
    <w:rsid w:val="004521B3"/>
    <w:rsid w:val="00472B6C"/>
    <w:rsid w:val="0048180D"/>
    <w:rsid w:val="004A2DBB"/>
    <w:rsid w:val="004D6005"/>
    <w:rsid w:val="004E23D9"/>
    <w:rsid w:val="004F692A"/>
    <w:rsid w:val="00512598"/>
    <w:rsid w:val="0053551D"/>
    <w:rsid w:val="00563CCF"/>
    <w:rsid w:val="00593CD5"/>
    <w:rsid w:val="005A1566"/>
    <w:rsid w:val="005A1DFC"/>
    <w:rsid w:val="005A4185"/>
    <w:rsid w:val="005A4BC1"/>
    <w:rsid w:val="005D2E7B"/>
    <w:rsid w:val="00617A98"/>
    <w:rsid w:val="0063484C"/>
    <w:rsid w:val="00640F37"/>
    <w:rsid w:val="00654305"/>
    <w:rsid w:val="006737C0"/>
    <w:rsid w:val="00677BC2"/>
    <w:rsid w:val="00691085"/>
    <w:rsid w:val="006A18DE"/>
    <w:rsid w:val="006A3B5C"/>
    <w:rsid w:val="006C01D0"/>
    <w:rsid w:val="00750301"/>
    <w:rsid w:val="007661D9"/>
    <w:rsid w:val="00787B58"/>
    <w:rsid w:val="007A2F7F"/>
    <w:rsid w:val="007B14E8"/>
    <w:rsid w:val="007C12B5"/>
    <w:rsid w:val="007E77FA"/>
    <w:rsid w:val="008011B6"/>
    <w:rsid w:val="008F3062"/>
    <w:rsid w:val="00921CB1"/>
    <w:rsid w:val="0093375B"/>
    <w:rsid w:val="00952085"/>
    <w:rsid w:val="009544A3"/>
    <w:rsid w:val="009949A8"/>
    <w:rsid w:val="00A01331"/>
    <w:rsid w:val="00A0553F"/>
    <w:rsid w:val="00A41F2C"/>
    <w:rsid w:val="00A823E4"/>
    <w:rsid w:val="00A87940"/>
    <w:rsid w:val="00A94CCB"/>
    <w:rsid w:val="00A971A7"/>
    <w:rsid w:val="00AB0D7D"/>
    <w:rsid w:val="00B23EC0"/>
    <w:rsid w:val="00B415D5"/>
    <w:rsid w:val="00B578F4"/>
    <w:rsid w:val="00B83FB3"/>
    <w:rsid w:val="00BA13A2"/>
    <w:rsid w:val="00BC1229"/>
    <w:rsid w:val="00BC244F"/>
    <w:rsid w:val="00BD1325"/>
    <w:rsid w:val="00BD77ED"/>
    <w:rsid w:val="00BF2B99"/>
    <w:rsid w:val="00C641E9"/>
    <w:rsid w:val="00C66914"/>
    <w:rsid w:val="00C71525"/>
    <w:rsid w:val="00C723C2"/>
    <w:rsid w:val="00C90F5D"/>
    <w:rsid w:val="00C9556E"/>
    <w:rsid w:val="00CD4FE1"/>
    <w:rsid w:val="00CE72AF"/>
    <w:rsid w:val="00CF7053"/>
    <w:rsid w:val="00D004BE"/>
    <w:rsid w:val="00D115BF"/>
    <w:rsid w:val="00D269C3"/>
    <w:rsid w:val="00E023B7"/>
    <w:rsid w:val="00E07290"/>
    <w:rsid w:val="00E52F91"/>
    <w:rsid w:val="00EA3C1F"/>
    <w:rsid w:val="00EC2CC4"/>
    <w:rsid w:val="00EE260C"/>
    <w:rsid w:val="00EF7FF5"/>
    <w:rsid w:val="00F313DF"/>
    <w:rsid w:val="00F651D1"/>
    <w:rsid w:val="00F72D4F"/>
    <w:rsid w:val="00F75FA1"/>
    <w:rsid w:val="00F8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870DB"/>
  <w15:docId w15:val="{49EBEDBB-07FC-4E5C-BAEA-95086B22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semiHidden/>
    <w:unhideWhenUsed/>
    <w:rsid w:val="00952085"/>
    <w:rPr>
      <w:color w:val="0000FF"/>
      <w:u w:val="single"/>
    </w:rPr>
  </w:style>
  <w:style w:type="paragraph" w:customStyle="1" w:styleId="SL-FlLftSgl">
    <w:name w:val="SL-Fl Lft Sgl"/>
    <w:rsid w:val="0048180D"/>
    <w:pPr>
      <w:spacing w:line="240" w:lineRule="atLeast"/>
      <w:jc w:val="both"/>
    </w:pPr>
    <w:rPr>
      <w:sz w:val="22"/>
    </w:rPr>
  </w:style>
  <w:style w:type="paragraph" w:customStyle="1" w:styleId="Default">
    <w:name w:val="Default"/>
    <w:rsid w:val="001E7CD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0895">
      <w:bodyDiv w:val="1"/>
      <w:marLeft w:val="0"/>
      <w:marRight w:val="0"/>
      <w:marTop w:val="0"/>
      <w:marBottom w:val="0"/>
      <w:divBdr>
        <w:top w:val="none" w:sz="0" w:space="0" w:color="auto"/>
        <w:left w:val="none" w:sz="0" w:space="0" w:color="auto"/>
        <w:bottom w:val="none" w:sz="0" w:space="0" w:color="auto"/>
        <w:right w:val="none" w:sz="0" w:space="0" w:color="auto"/>
      </w:divBdr>
    </w:div>
    <w:div w:id="16217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BILLS-115hr1892enr/html/BILLS-115hr1892enr.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20Tables/html/DCB_h.aspx" TargetMode="External"/><Relationship Id="rId4" Type="http://schemas.openxmlformats.org/officeDocument/2006/relationships/settings" Target="settings.xml"/><Relationship Id="rId9" Type="http://schemas.openxmlformats.org/officeDocument/2006/relationships/hyperlink" Target="https://www.bls.gov/oes/current/naics4_5511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A75C3-A6D6-4F14-9FA3-57B1CBC2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1362</Words>
  <Characters>7764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SUPPORTING STATEMENT</vt:lpstr>
      <vt:lpstr>SUPPORTING STATEMENT</vt:lpstr>
      <vt:lpstr>FOR PAPERWORK REDUCTION ACT SUBMISSION</vt:lpstr>
      <vt:lpstr>A. Justification </vt:lpstr>
    </vt:vector>
  </TitlesOfParts>
  <Company>CSC-SSD</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Washington, Tomakie (ACL)</cp:lastModifiedBy>
  <cp:revision>5</cp:revision>
  <cp:lastPrinted>2014-09-11T17:04:00Z</cp:lastPrinted>
  <dcterms:created xsi:type="dcterms:W3CDTF">2020-10-09T17:38:00Z</dcterms:created>
  <dcterms:modified xsi:type="dcterms:W3CDTF">2020-10-27T15:06:00Z</dcterms:modified>
</cp:coreProperties>
</file>