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w:t>
      </w:r>
      <w:r w:rsidRPr="00B909D9" w:rsidR="00B909D9">
        <w:rPr>
          <w:sz w:val="28"/>
        </w:rPr>
        <w:t>Generic Clearance for Cognitive, Pilot, and Field Studies for Office of Juvenile Justice and Delinquency Prevention Data Collection Activities</w:t>
      </w:r>
      <w:r w:rsidRPr="00F06866">
        <w:rPr>
          <w:sz w:val="28"/>
        </w:rPr>
        <w:t>”</w:t>
      </w:r>
      <w:r>
        <w:rPr>
          <w:sz w:val="28"/>
        </w:rPr>
        <w:t xml:space="preserve"> (OMB Control Number: </w:t>
      </w:r>
      <w:r w:rsidRPr="00B909D9" w:rsidR="00B909D9">
        <w:rPr>
          <w:sz w:val="28"/>
        </w:rPr>
        <w:t>1121-0360</w:t>
      </w:r>
      <w:r>
        <w:rPr>
          <w:sz w:val="28"/>
        </w:rPr>
        <w:t>)</w:t>
      </w:r>
    </w:p>
    <w:p w:rsidR="008151E7" w:rsidP="00434E33" w:rsidRDefault="007F7080">
      <w:pPr>
        <w:rPr>
          <w:b/>
        </w:rPr>
      </w:pPr>
      <w:r>
        <w:rPr>
          <w:b/>
          <w:noProof/>
        </w:rPr>
        <w:pict>
          <v:line id="_x0000_s1027" style="position:absolute;z-index:1" o:allowincell="f" strokeweight="1.5pt" from="0,0" to="468pt,0"/>
        </w:pict>
      </w:r>
      <w:r w:rsidR="008151E7">
        <w:rPr>
          <w:b/>
        </w:rPr>
        <w:t>SUBCOMPONENT:</w:t>
      </w:r>
      <w:r w:rsidR="00B909D9">
        <w:rPr>
          <w:b/>
        </w:rPr>
        <w:t xml:space="preserve"> Office of Justice Programs</w:t>
      </w:r>
    </w:p>
    <w:p w:rsidR="008151E7" w:rsidP="00434E33" w:rsidRDefault="008151E7">
      <w:pPr>
        <w:rPr>
          <w:b/>
        </w:rPr>
      </w:pPr>
    </w:p>
    <w:p w:rsidRPr="009239AA" w:rsidR="00E50293" w:rsidP="00434E33" w:rsidRDefault="005E714A">
      <w:pPr>
        <w:rPr>
          <w:b/>
        </w:rPr>
      </w:pPr>
      <w:r w:rsidRPr="00434E33">
        <w:rPr>
          <w:b/>
        </w:rPr>
        <w:t>TITLE OF INFORMATION COLLECTION:</w:t>
      </w:r>
      <w:r>
        <w:t xml:space="preserve">  </w:t>
      </w:r>
      <w:r w:rsidR="00B909D9">
        <w:t>CJRP and JRFC Redesign Pilot Test</w:t>
      </w:r>
    </w:p>
    <w:p w:rsidR="005E714A" w:rsidRDefault="005E714A"/>
    <w:p w:rsidR="001B0AAA" w:rsidP="00D16398" w:rsidRDefault="00F15956">
      <w:pPr>
        <w:rPr>
          <w:b/>
        </w:rPr>
      </w:pPr>
      <w:r>
        <w:rPr>
          <w:b/>
        </w:rPr>
        <w:t>PURPOSE</w:t>
      </w:r>
      <w:r w:rsidRPr="009239AA">
        <w:rPr>
          <w:b/>
        </w:rPr>
        <w:t>:</w:t>
      </w:r>
      <w:r w:rsidRPr="009239AA" w:rsidR="00C14CC4">
        <w:rPr>
          <w:b/>
        </w:rPr>
        <w:t xml:space="preserve">  </w:t>
      </w:r>
      <w:r w:rsidRPr="00D16398" w:rsidR="00D16398">
        <w:t>The National Institute of Justice (NIJ), in coordination with the Office of Juvenile Justice and Delinquency Prevention (OJJDP) seeks generic clearance approval to pilot test the redesigned survey instrumentation and data collection protocols for future studies of the Juvenile Residential Facility Census (JRFC) and Census of Juveniles in Residential Placement (CJRP).</w:t>
      </w:r>
      <w:r w:rsidR="00B138D8">
        <w:t xml:space="preserve"> The results </w:t>
      </w:r>
      <w:r w:rsidR="00C369C9">
        <w:t>will be used to improve the quality, reliability, and timeliness of data, as well as the efficiency of data collection methods in future collection cycles.</w:t>
      </w:r>
    </w:p>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00B138D8" w:rsidP="00AB219D" w:rsidRDefault="00434E33">
      <w:pPr>
        <w:pStyle w:val="Header"/>
        <w:tabs>
          <w:tab w:val="clear" w:pos="4320"/>
          <w:tab w:val="clear" w:pos="8640"/>
        </w:tabs>
      </w:pPr>
      <w:r w:rsidRPr="00434E33">
        <w:rPr>
          <w:b/>
        </w:rPr>
        <w:t>DESCRIPTION OF RESPONDENTS</w:t>
      </w:r>
      <w:r>
        <w:t xml:space="preserve">: </w:t>
      </w:r>
    </w:p>
    <w:p w:rsidR="00434E33" w:rsidP="00AB219D" w:rsidRDefault="00B138D8">
      <w:pPr>
        <w:pStyle w:val="Header"/>
        <w:tabs>
          <w:tab w:val="clear" w:pos="4320"/>
          <w:tab w:val="clear" w:pos="8640"/>
        </w:tabs>
      </w:pPr>
      <w:r>
        <w:t>State, local, or tribal governments.</w:t>
      </w:r>
      <w:r w:rsidR="00BF2D2B">
        <w:t xml:space="preserve"> Specifically, p</w:t>
      </w:r>
      <w:r w:rsidR="00AB219D">
        <w:t>ublic (state and local) and private juvenile residential placement facilities</w:t>
      </w:r>
      <w:r>
        <w:t>.</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AB219D">
        <w:rPr>
          <w:bCs/>
          <w:sz w:val="24"/>
        </w:rPr>
        <w:t>X</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AB219D">
        <w:rPr>
          <w:bCs/>
          <w:sz w:val="24"/>
          <w:u w:val="single"/>
        </w:rPr>
        <w:t>Pilot Test</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003977A7">
        <w:t>:</w:t>
      </w:r>
      <w:r w:rsidR="003977A7">
        <w:tab/>
      </w:r>
      <w:r w:rsidR="00AB219D">
        <w:t>Benjamin Adams, Social Science Analyst, National Institute of Justice</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w:t>
      </w:r>
      <w:r w:rsidR="00AB219D">
        <w:t>X</w:t>
      </w:r>
      <w:r w:rsidR="009239AA">
        <w:t xml:space="preserve">] Yes  [ ]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75BD4">
        <w:t>X</w:t>
      </w:r>
      <w:r w:rsidR="009239AA">
        <w:t>]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lastRenderedPageBreak/>
        <w:t>Gifts or Payments</w:t>
      </w:r>
      <w:r w:rsidR="00C86E91">
        <w:rPr>
          <w:b/>
        </w:rPr>
        <w:t>:</w:t>
      </w:r>
    </w:p>
    <w:p w:rsidR="00C86E91" w:rsidP="00C86E91" w:rsidRDefault="00C86E91">
      <w:r>
        <w:t>Is an incentive (e.g., money or reimbursement of expenses, token of appreciation) provided to participants?  [  ] Yes [</w:t>
      </w:r>
      <w:r w:rsidR="00C75BD4">
        <w:t>X</w:t>
      </w:r>
      <w:r>
        <w:t xml:space="preserve">] No  </w:t>
      </w:r>
    </w:p>
    <w:p w:rsidR="004D6E14" w:rsidRDefault="004D6E14">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C75BD4">
            <w:r>
              <w:t>CJRP Pilot Test</w:t>
            </w:r>
          </w:p>
        </w:tc>
        <w:tc>
          <w:tcPr>
            <w:tcW w:w="1530" w:type="dxa"/>
          </w:tcPr>
          <w:p w:rsidR="006832D9" w:rsidP="00843796" w:rsidRDefault="00C75BD4">
            <w:r>
              <w:t>180</w:t>
            </w:r>
          </w:p>
        </w:tc>
        <w:tc>
          <w:tcPr>
            <w:tcW w:w="1710" w:type="dxa"/>
          </w:tcPr>
          <w:p w:rsidR="006832D9" w:rsidP="00843796" w:rsidRDefault="00C75BD4">
            <w:r>
              <w:t>3.67 hrs</w:t>
            </w:r>
          </w:p>
        </w:tc>
        <w:tc>
          <w:tcPr>
            <w:tcW w:w="1003" w:type="dxa"/>
          </w:tcPr>
          <w:p w:rsidR="006832D9" w:rsidP="00843796" w:rsidRDefault="00C75BD4">
            <w:r>
              <w:t>661 hrs</w:t>
            </w:r>
          </w:p>
        </w:tc>
      </w:tr>
      <w:tr w:rsidR="00EF2095" w:rsidTr="0001027E">
        <w:trPr>
          <w:trHeight w:val="274"/>
        </w:trPr>
        <w:tc>
          <w:tcPr>
            <w:tcW w:w="5418" w:type="dxa"/>
          </w:tcPr>
          <w:p w:rsidR="006832D9" w:rsidP="00843796" w:rsidRDefault="00C75BD4">
            <w:r>
              <w:t>JRFC Pilot Test</w:t>
            </w:r>
          </w:p>
        </w:tc>
        <w:tc>
          <w:tcPr>
            <w:tcW w:w="1530" w:type="dxa"/>
          </w:tcPr>
          <w:p w:rsidR="006832D9" w:rsidP="00843796" w:rsidRDefault="00C75BD4">
            <w:r>
              <w:t>180</w:t>
            </w:r>
          </w:p>
        </w:tc>
        <w:tc>
          <w:tcPr>
            <w:tcW w:w="1710" w:type="dxa"/>
          </w:tcPr>
          <w:p w:rsidR="006832D9" w:rsidP="00843796" w:rsidRDefault="00C75BD4">
            <w:r>
              <w:t>2.03 hrs</w:t>
            </w:r>
          </w:p>
        </w:tc>
        <w:tc>
          <w:tcPr>
            <w:tcW w:w="1003" w:type="dxa"/>
          </w:tcPr>
          <w:p w:rsidR="006832D9" w:rsidP="00843796" w:rsidRDefault="00C75BD4">
            <w:r>
              <w:t>365 hrs</w:t>
            </w:r>
          </w:p>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C75BD4">
            <w:pPr>
              <w:rPr>
                <w:b/>
              </w:rPr>
            </w:pPr>
            <w:r>
              <w:rPr>
                <w:b/>
              </w:rPr>
              <w:t>360</w:t>
            </w:r>
          </w:p>
        </w:tc>
        <w:tc>
          <w:tcPr>
            <w:tcW w:w="1710" w:type="dxa"/>
          </w:tcPr>
          <w:p w:rsidR="006832D9" w:rsidP="00843796" w:rsidRDefault="00C75BD4">
            <w:r>
              <w:t>2.85 hrs</w:t>
            </w:r>
          </w:p>
        </w:tc>
        <w:tc>
          <w:tcPr>
            <w:tcW w:w="1003" w:type="dxa"/>
          </w:tcPr>
          <w:p w:rsidRPr="0001027E" w:rsidR="006832D9" w:rsidP="00843796" w:rsidRDefault="00C75BD4">
            <w:pPr>
              <w:rPr>
                <w:b/>
              </w:rPr>
            </w:pPr>
            <w:r>
              <w:rPr>
                <w:b/>
              </w:rPr>
              <w:t>1,026 hrs</w:t>
            </w:r>
          </w:p>
        </w:tc>
      </w:tr>
    </w:tbl>
    <w:p w:rsidR="00F3170F" w:rsidP="00F3170F" w:rsidRDefault="00F3170F"/>
    <w:p w:rsidR="00495F4A" w:rsidP="00F3170F" w:rsidRDefault="00495F4A"/>
    <w:p w:rsidRPr="00495F4A" w:rsidR="00495F4A" w:rsidP="00495F4A" w:rsidRDefault="00495F4A">
      <w:pPr>
        <w:rPr>
          <w:rFonts w:ascii="Calibri" w:hAnsi="Calibri" w:eastAsia="Calibri"/>
          <w:sz w:val="22"/>
          <w:szCs w:val="22"/>
        </w:rPr>
      </w:pPr>
    </w:p>
    <w:tbl>
      <w:tblPr>
        <w:tblW w:w="0" w:type="auto"/>
        <w:tblLayout w:type="fixed"/>
        <w:tblCellMar>
          <w:left w:w="102" w:type="dxa"/>
          <w:right w:w="102" w:type="dxa"/>
        </w:tblCellMar>
        <w:tblLook w:val="04A0" w:firstRow="1" w:lastRow="0" w:firstColumn="1" w:lastColumn="0" w:noHBand="0" w:noVBand="1"/>
      </w:tblPr>
      <w:tblGrid>
        <w:gridCol w:w="2880"/>
        <w:gridCol w:w="1710"/>
        <w:gridCol w:w="1710"/>
        <w:gridCol w:w="1800"/>
        <w:gridCol w:w="1260"/>
      </w:tblGrid>
      <w:tr w:rsidRPr="00495F4A" w:rsidR="00495F4A" w:rsidTr="00495F4A">
        <w:trPr>
          <w:tblHeader/>
        </w:trPr>
        <w:tc>
          <w:tcPr>
            <w:tcW w:w="9360" w:type="dxa"/>
            <w:gridSpan w:val="5"/>
            <w:tcBorders>
              <w:top w:val="single" w:color="000000" w:sz="8" w:space="0"/>
              <w:left w:val="single" w:color="000000" w:sz="8" w:space="0"/>
              <w:bottom w:val="single" w:color="FFFFFF" w:sz="6" w:space="0"/>
              <w:right w:val="single" w:color="000000" w:sz="8" w:space="0"/>
            </w:tcBorders>
          </w:tcPr>
          <w:p w:rsidRPr="00495F4A" w:rsidR="00495F4A" w:rsidP="00495F4A" w:rsidRDefault="00495F4A">
            <w:pPr>
              <w:rPr>
                <w:rFonts w:ascii="Calibri" w:hAnsi="Calibri" w:eastAsia="Calibri"/>
                <w:sz w:val="22"/>
                <w:szCs w:val="22"/>
              </w:rPr>
            </w:pPr>
          </w:p>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 xml:space="preserve">           Estimated Annual Reporting Burden</w:t>
            </w:r>
          </w:p>
        </w:tc>
      </w:tr>
      <w:tr w:rsidRPr="00495F4A" w:rsidR="00495F4A" w:rsidTr="00495F4A">
        <w:tc>
          <w:tcPr>
            <w:tcW w:w="2880" w:type="dxa"/>
            <w:tcBorders>
              <w:top w:val="single" w:color="000000" w:sz="8" w:space="0"/>
              <w:left w:val="single" w:color="000000" w:sz="8" w:space="0"/>
              <w:bottom w:val="single" w:color="FFFFFF" w:sz="6"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Type of Collection</w:t>
            </w:r>
          </w:p>
        </w:tc>
        <w:tc>
          <w:tcPr>
            <w:tcW w:w="1710" w:type="dxa"/>
            <w:tcBorders>
              <w:top w:val="single" w:color="000000" w:sz="8" w:space="0"/>
              <w:left w:val="single" w:color="000000" w:sz="8" w:space="0"/>
              <w:bottom w:val="single" w:color="FFFFFF" w:sz="6"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No. of Respondents</w:t>
            </w:r>
          </w:p>
        </w:tc>
        <w:tc>
          <w:tcPr>
            <w:tcW w:w="1710" w:type="dxa"/>
            <w:tcBorders>
              <w:top w:val="single" w:color="000000" w:sz="8" w:space="0"/>
              <w:left w:val="single" w:color="000000" w:sz="8" w:space="0"/>
              <w:bottom w:val="single" w:color="FFFFFF" w:sz="6"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Annual Frequency per Response</w:t>
            </w:r>
          </w:p>
        </w:tc>
        <w:tc>
          <w:tcPr>
            <w:tcW w:w="1800" w:type="dxa"/>
            <w:tcBorders>
              <w:top w:val="single" w:color="000000" w:sz="8" w:space="0"/>
              <w:left w:val="single" w:color="000000" w:sz="8" w:space="0"/>
              <w:bottom w:val="single" w:color="FFFFFF" w:sz="6"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Hours per Response</w:t>
            </w:r>
          </w:p>
        </w:tc>
        <w:tc>
          <w:tcPr>
            <w:tcW w:w="1260" w:type="dxa"/>
            <w:tcBorders>
              <w:top w:val="single" w:color="000000" w:sz="8" w:space="0"/>
              <w:left w:val="single" w:color="000000" w:sz="8" w:space="0"/>
              <w:bottom w:val="single" w:color="FFFFFF" w:sz="6" w:space="0"/>
              <w:right w:val="single" w:color="000000" w:sz="8"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Total Hours</w:t>
            </w:r>
          </w:p>
        </w:tc>
      </w:tr>
      <w:tr w:rsidRPr="00495F4A" w:rsidR="00495F4A" w:rsidTr="00495F4A">
        <w:tc>
          <w:tcPr>
            <w:tcW w:w="288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rPr>
                <w:rFonts w:ascii="Calibri" w:hAnsi="Calibri" w:eastAsia="Calibri"/>
                <w:sz w:val="20"/>
                <w:szCs w:val="22"/>
              </w:rPr>
            </w:pPr>
            <w:r w:rsidRPr="00495F4A">
              <w:rPr>
                <w:rFonts w:ascii="Calibri" w:hAnsi="Calibri" w:eastAsia="Calibri"/>
                <w:sz w:val="20"/>
                <w:szCs w:val="22"/>
              </w:rPr>
              <w:t>[Insert Type]</w:t>
            </w:r>
          </w:p>
        </w:tc>
        <w:tc>
          <w:tcPr>
            <w:tcW w:w="171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rPr>
                <w:rFonts w:ascii="Calibri" w:hAnsi="Calibri" w:eastAsia="Calibri"/>
                <w:sz w:val="20"/>
                <w:szCs w:val="22"/>
              </w:rPr>
            </w:pPr>
            <w:r w:rsidRPr="00495F4A">
              <w:rPr>
                <w:rFonts w:ascii="Calibri" w:hAnsi="Calibri" w:eastAsia="Calibri"/>
                <w:sz w:val="20"/>
                <w:szCs w:val="22"/>
              </w:rPr>
              <w:t>[Insert #]</w:t>
            </w:r>
          </w:p>
        </w:tc>
        <w:tc>
          <w:tcPr>
            <w:tcW w:w="171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rPr>
                <w:rFonts w:ascii="Calibri" w:hAnsi="Calibri" w:eastAsia="Calibri"/>
                <w:sz w:val="20"/>
                <w:szCs w:val="22"/>
              </w:rPr>
            </w:pPr>
            <w:r w:rsidRPr="00495F4A">
              <w:rPr>
                <w:rFonts w:ascii="Calibri" w:hAnsi="Calibri" w:eastAsia="Calibri"/>
                <w:sz w:val="20"/>
                <w:szCs w:val="22"/>
              </w:rPr>
              <w:t>[Insert #]</w:t>
            </w:r>
          </w:p>
        </w:tc>
        <w:tc>
          <w:tcPr>
            <w:tcW w:w="180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tabs>
                <w:tab w:val="left" w:pos="-1080"/>
                <w:tab w:val="left" w:pos="-720"/>
                <w:tab w:val="left" w:pos="0"/>
                <w:tab w:val="left" w:pos="450"/>
                <w:tab w:val="left" w:pos="720"/>
                <w:tab w:val="left" w:pos="2160"/>
              </w:tabs>
              <w:rPr>
                <w:rFonts w:ascii="Calibri" w:hAnsi="Calibri" w:eastAsia="Calibri"/>
                <w:sz w:val="20"/>
                <w:szCs w:val="22"/>
              </w:rPr>
            </w:pPr>
            <w:r w:rsidRPr="00495F4A">
              <w:rPr>
                <w:rFonts w:ascii="Calibri" w:hAnsi="Calibri" w:eastAsia="Calibri"/>
                <w:sz w:val="20"/>
                <w:szCs w:val="22"/>
              </w:rPr>
              <w:t>[Insert #]</w:t>
            </w:r>
          </w:p>
        </w:tc>
        <w:tc>
          <w:tcPr>
            <w:tcW w:w="1260" w:type="dxa"/>
            <w:tcBorders>
              <w:top w:val="single" w:color="000000" w:sz="8" w:space="0"/>
              <w:left w:val="single" w:color="000000" w:sz="8" w:space="0"/>
              <w:bottom w:val="single" w:color="000000" w:sz="8" w:space="0"/>
              <w:right w:val="single" w:color="000000" w:sz="8" w:space="0"/>
            </w:tcBorders>
            <w:vAlign w:val="bottom"/>
            <w:hideMark/>
          </w:tcPr>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[Insert #]</w:t>
            </w:r>
          </w:p>
        </w:tc>
      </w:tr>
      <w:tr w:rsidRPr="00495F4A" w:rsidR="00495F4A" w:rsidTr="00495F4A">
        <w:tc>
          <w:tcPr>
            <w:tcW w:w="288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rPr>
                <w:rFonts w:ascii="Calibri" w:hAnsi="Calibri" w:eastAsia="Calibri"/>
                <w:sz w:val="20"/>
                <w:szCs w:val="22"/>
              </w:rPr>
            </w:pPr>
            <w:r w:rsidRPr="00495F4A">
              <w:rPr>
                <w:rFonts w:ascii="Calibri" w:hAnsi="Calibri" w:eastAsia="Calibri"/>
                <w:sz w:val="20"/>
                <w:szCs w:val="22"/>
              </w:rPr>
              <w:t>[Insert Type]</w:t>
            </w:r>
          </w:p>
        </w:tc>
        <w:tc>
          <w:tcPr>
            <w:tcW w:w="171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rPr>
                <w:rFonts w:ascii="Calibri" w:hAnsi="Calibri" w:eastAsia="Calibri"/>
                <w:sz w:val="20"/>
                <w:szCs w:val="22"/>
              </w:rPr>
            </w:pPr>
            <w:r w:rsidRPr="00495F4A">
              <w:rPr>
                <w:rFonts w:ascii="Calibri" w:hAnsi="Calibri" w:eastAsia="Calibri"/>
                <w:sz w:val="20"/>
                <w:szCs w:val="22"/>
              </w:rPr>
              <w:t>[Insert #]</w:t>
            </w:r>
          </w:p>
        </w:tc>
        <w:tc>
          <w:tcPr>
            <w:tcW w:w="171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rPr>
                <w:rFonts w:ascii="Calibri" w:hAnsi="Calibri" w:eastAsia="Calibri"/>
                <w:sz w:val="20"/>
                <w:szCs w:val="22"/>
              </w:rPr>
            </w:pPr>
            <w:r w:rsidRPr="00495F4A">
              <w:rPr>
                <w:rFonts w:ascii="Calibri" w:hAnsi="Calibri" w:eastAsia="Calibri"/>
                <w:sz w:val="20"/>
                <w:szCs w:val="22"/>
              </w:rPr>
              <w:t>[Insert #]</w:t>
            </w:r>
          </w:p>
        </w:tc>
        <w:tc>
          <w:tcPr>
            <w:tcW w:w="180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rPr>
                <w:rFonts w:ascii="Calibri" w:hAnsi="Calibri" w:eastAsia="Calibri"/>
                <w:sz w:val="20"/>
                <w:szCs w:val="22"/>
              </w:rPr>
            </w:pPr>
            <w:r w:rsidRPr="00495F4A">
              <w:rPr>
                <w:rFonts w:ascii="Calibri" w:hAnsi="Calibri" w:eastAsia="Calibri"/>
                <w:sz w:val="20"/>
                <w:szCs w:val="22"/>
              </w:rPr>
              <w:t>[Insert #]</w:t>
            </w:r>
          </w:p>
        </w:tc>
        <w:tc>
          <w:tcPr>
            <w:tcW w:w="1260" w:type="dxa"/>
            <w:tcBorders>
              <w:top w:val="single" w:color="000000" w:sz="8" w:space="0"/>
              <w:left w:val="single" w:color="000000" w:sz="8" w:space="0"/>
              <w:bottom w:val="single" w:color="000000" w:sz="8" w:space="0"/>
              <w:right w:val="single" w:color="000000" w:sz="8" w:space="0"/>
            </w:tcBorders>
            <w:vAlign w:val="bottom"/>
            <w:hideMark/>
          </w:tcPr>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[Insert #]</w:t>
            </w:r>
          </w:p>
        </w:tc>
      </w:tr>
      <w:tr w:rsidRPr="00495F4A" w:rsidR="00495F4A" w:rsidTr="00495F4A">
        <w:tc>
          <w:tcPr>
            <w:tcW w:w="288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rPr>
                <w:rFonts w:ascii="Calibri" w:hAnsi="Calibri" w:eastAsia="Calibri"/>
                <w:sz w:val="20"/>
                <w:szCs w:val="22"/>
              </w:rPr>
            </w:pPr>
            <w:r w:rsidRPr="00495F4A">
              <w:rPr>
                <w:rFonts w:ascii="Calibri" w:hAnsi="Calibri" w:eastAsia="Calibri"/>
                <w:sz w:val="20"/>
                <w:szCs w:val="22"/>
              </w:rPr>
              <w:t>[Insert Type]</w:t>
            </w:r>
          </w:p>
        </w:tc>
        <w:tc>
          <w:tcPr>
            <w:tcW w:w="171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rPr>
                <w:rFonts w:ascii="Calibri" w:hAnsi="Calibri" w:eastAsia="Calibri"/>
                <w:sz w:val="20"/>
                <w:szCs w:val="22"/>
              </w:rPr>
            </w:pPr>
            <w:r w:rsidRPr="00495F4A">
              <w:rPr>
                <w:rFonts w:ascii="Calibri" w:hAnsi="Calibri" w:eastAsia="Calibri"/>
                <w:sz w:val="20"/>
                <w:szCs w:val="22"/>
              </w:rPr>
              <w:t>[Insert #]</w:t>
            </w:r>
          </w:p>
        </w:tc>
        <w:tc>
          <w:tcPr>
            <w:tcW w:w="171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rPr>
                <w:rFonts w:ascii="Calibri" w:hAnsi="Calibri" w:eastAsia="Calibri"/>
                <w:sz w:val="20"/>
                <w:szCs w:val="22"/>
              </w:rPr>
            </w:pPr>
            <w:r w:rsidRPr="00495F4A">
              <w:rPr>
                <w:rFonts w:ascii="Calibri" w:hAnsi="Calibri" w:eastAsia="Calibri"/>
                <w:sz w:val="20"/>
                <w:szCs w:val="22"/>
              </w:rPr>
              <w:t>[Insert #]</w:t>
            </w:r>
          </w:p>
        </w:tc>
        <w:tc>
          <w:tcPr>
            <w:tcW w:w="1800" w:type="dxa"/>
            <w:tcBorders>
              <w:top w:val="single" w:color="000000" w:sz="8" w:space="0"/>
              <w:left w:val="single" w:color="000000" w:sz="8" w:space="0"/>
              <w:bottom w:val="single" w:color="000000" w:sz="8" w:space="0"/>
              <w:right w:val="single" w:color="FFFFFF" w:sz="6" w:space="0"/>
            </w:tcBorders>
          </w:tcPr>
          <w:p w:rsidRPr="00495F4A" w:rsidR="00495F4A" w:rsidP="00495F4A" w:rsidRDefault="00495F4A">
            <w:pPr>
              <w:rPr>
                <w:rFonts w:ascii="Calibri" w:hAnsi="Calibri" w:eastAsia="Calibri"/>
                <w:sz w:val="20"/>
                <w:szCs w:val="22"/>
              </w:rPr>
            </w:pPr>
          </w:p>
          <w:p w:rsidRPr="00495F4A" w:rsidR="00495F4A" w:rsidP="00495F4A" w:rsidRDefault="00495F4A">
            <w:pPr>
              <w:rPr>
                <w:rFonts w:ascii="Calibri" w:hAnsi="Calibri" w:eastAsia="Calibri"/>
                <w:sz w:val="20"/>
                <w:szCs w:val="22"/>
              </w:rPr>
            </w:pPr>
            <w:r w:rsidRPr="00495F4A">
              <w:rPr>
                <w:rFonts w:ascii="Calibri" w:hAnsi="Calibri" w:eastAsia="Calibri"/>
                <w:sz w:val="20"/>
                <w:szCs w:val="22"/>
              </w:rPr>
              <w:t>[Insert #]</w:t>
            </w:r>
          </w:p>
        </w:tc>
        <w:tc>
          <w:tcPr>
            <w:tcW w:w="1260" w:type="dxa"/>
            <w:tcBorders>
              <w:top w:val="single" w:color="000000" w:sz="8" w:space="0"/>
              <w:left w:val="single" w:color="000000" w:sz="8" w:space="0"/>
              <w:bottom w:val="single" w:color="000000" w:sz="8" w:space="0"/>
              <w:right w:val="single" w:color="000000" w:sz="8" w:space="0"/>
            </w:tcBorders>
            <w:vAlign w:val="bottom"/>
            <w:hideMark/>
          </w:tcPr>
          <w:p w:rsidRPr="00495F4A" w:rsidR="00495F4A" w:rsidP="00495F4A" w:rsidRDefault="00495F4A">
            <w:pPr>
              <w:tabs>
                <w:tab w:val="left" w:pos="-1080"/>
                <w:tab w:val="left" w:pos="-720"/>
                <w:tab w:val="left" w:pos="0"/>
                <w:tab w:val="left" w:pos="450"/>
                <w:tab w:val="left" w:pos="720"/>
                <w:tab w:val="left" w:pos="2160"/>
              </w:tabs>
              <w:jc w:val="center"/>
              <w:rPr>
                <w:rFonts w:ascii="Calibri" w:hAnsi="Calibri" w:eastAsia="Calibri"/>
                <w:sz w:val="20"/>
                <w:szCs w:val="22"/>
              </w:rPr>
            </w:pPr>
            <w:r w:rsidRPr="00495F4A">
              <w:rPr>
                <w:rFonts w:ascii="Calibri" w:hAnsi="Calibri" w:eastAsia="Calibri"/>
                <w:sz w:val="20"/>
                <w:szCs w:val="22"/>
              </w:rPr>
              <w:t>[Insert #]</w:t>
            </w:r>
          </w:p>
        </w:tc>
      </w:tr>
    </w:tbl>
    <w:p w:rsidRPr="00495F4A" w:rsidR="00495F4A" w:rsidP="00495F4A" w:rsidRDefault="00495F4A">
      <w:pPr>
        <w:tabs>
          <w:tab w:val="left" w:pos="-1080"/>
          <w:tab w:val="left" w:pos="-720"/>
          <w:tab w:val="left" w:pos="0"/>
          <w:tab w:val="left" w:pos="450"/>
          <w:tab w:val="left" w:pos="720"/>
          <w:tab w:val="left" w:pos="2160"/>
        </w:tabs>
        <w:rPr>
          <w:rFonts w:ascii="Calibri" w:hAnsi="Calibri" w:eastAsia="Calibri"/>
          <w:sz w:val="22"/>
          <w:szCs w:val="22"/>
        </w:rPr>
      </w:pPr>
    </w:p>
    <w:p w:rsidRPr="00495F4A" w:rsidR="00495F4A" w:rsidP="00495F4A" w:rsidRDefault="00495F4A">
      <w:pPr>
        <w:contextualSpacing/>
        <w:rPr>
          <w:rFonts w:ascii="Calibri" w:hAnsi="Calibri"/>
          <w:sz w:val="22"/>
          <w:szCs w:val="22"/>
        </w:rPr>
      </w:pPr>
    </w:p>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138D8">
        <w:t xml:space="preserve">The Office of Juvenile Justice and Delinquency Prevention has funded a cooperative agreement for the redesign of the instruments and data collection methods of the CJRP and JRFC totaling </w:t>
      </w:r>
      <w:r w:rsidRPr="00B05947" w:rsidR="00B05947">
        <w:t>$499,108</w:t>
      </w:r>
      <w:r w:rsidR="00B138D8">
        <w:t>.</w:t>
      </w:r>
    </w:p>
    <w:p w:rsidR="00495F4A" w:rsidRDefault="00495F4A"/>
    <w:p w:rsidR="00495F4A" w:rsidP="00495F4A" w:rsidRDefault="00495F4A">
      <w:pPr>
        <w:contextualSpacing/>
        <w:rPr>
          <w:rFonts w:ascii="Calibri" w:hAnsi="Calibri"/>
          <w:sz w:val="22"/>
          <w:szCs w:val="22"/>
        </w:rPr>
      </w:pPr>
      <w:r w:rsidRPr="00495F4A">
        <w:rPr>
          <w:rFonts w:ascii="Calibri" w:hAnsi="Calibri"/>
          <w:sz w:val="22"/>
          <w:szCs w:val="22"/>
        </w:rPr>
        <w:t xml:space="preserve">These costs are comprised of: [Provide an estimate of applicable costs, such as operational expenses </w:t>
      </w:r>
    </w:p>
    <w:p w:rsidR="00495F4A" w:rsidP="00495F4A" w:rsidRDefault="00495F4A">
      <w:pPr>
        <w:contextualSpacing/>
        <w:rPr>
          <w:rFonts w:ascii="Calibri" w:hAnsi="Calibri"/>
          <w:sz w:val="22"/>
          <w:szCs w:val="22"/>
        </w:rPr>
      </w:pPr>
    </w:p>
    <w:p w:rsidR="00495F4A" w:rsidP="00495F4A" w:rsidRDefault="00495F4A">
      <w:pPr>
        <w:contextualSpacing/>
        <w:rPr>
          <w:rFonts w:ascii="Calibri" w:hAnsi="Calibri"/>
          <w:sz w:val="22"/>
          <w:szCs w:val="22"/>
        </w:rPr>
      </w:pPr>
      <w:r w:rsidRPr="00495F4A">
        <w:rPr>
          <w:rFonts w:ascii="Calibri" w:hAnsi="Calibri"/>
          <w:sz w:val="22"/>
          <w:szCs w:val="22"/>
        </w:rPr>
        <w:t xml:space="preserve">(e.g., equipment, overhead, printing, postage and support staff), contractor payments and any other </w:t>
      </w:r>
    </w:p>
    <w:p w:rsidR="00495F4A" w:rsidP="00495F4A" w:rsidRDefault="00495F4A">
      <w:pPr>
        <w:contextualSpacing/>
        <w:rPr>
          <w:rFonts w:ascii="Calibri" w:hAnsi="Calibri"/>
          <w:sz w:val="22"/>
          <w:szCs w:val="22"/>
        </w:rPr>
      </w:pPr>
    </w:p>
    <w:p w:rsidRPr="00495F4A" w:rsidR="00495F4A" w:rsidP="00495F4A" w:rsidRDefault="00495F4A">
      <w:pPr>
        <w:contextualSpacing/>
        <w:rPr>
          <w:rFonts w:ascii="Calibri" w:hAnsi="Calibri"/>
          <w:sz w:val="22"/>
          <w:szCs w:val="22"/>
        </w:rPr>
      </w:pPr>
      <w:r w:rsidRPr="00495F4A">
        <w:rPr>
          <w:rFonts w:ascii="Calibri" w:hAnsi="Calibri"/>
          <w:sz w:val="22"/>
          <w:szCs w:val="22"/>
        </w:rPr>
        <w:t>expense that is necessary to collect the information approved under this generic clearance.]</w:t>
      </w:r>
    </w:p>
    <w:p w:rsidR="00495F4A" w:rsidRDefault="00495F4A">
      <w:pPr>
        <w:rPr>
          <w:b/>
        </w:rPr>
      </w:pP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138D8">
        <w:t>X</w:t>
      </w:r>
      <w: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977A7" w:rsidP="001B0AAA" w:rsidRDefault="003977A7"/>
    <w:p w:rsidR="00B138D8" w:rsidP="001B0AAA" w:rsidRDefault="003977A7">
      <w:r>
        <w:t xml:space="preserve">Facilities will be sampled from a universe list maintained by the U.S. Census Bureau for the CJRP and JRFC. </w:t>
      </w:r>
      <w:r w:rsidRPr="003977A7">
        <w:t>The universe will be stratified by size of facility (small, medium, large) and region (U.S. Census regions: Northeast, South, Midwest, West).</w:t>
      </w:r>
      <w:r>
        <w:t xml:space="preserve"> </w:t>
      </w:r>
      <w:r w:rsidR="00B138D8">
        <w:t>See attached memo (OMB Memo – CJRP-JRFC Pilot Test).</w:t>
      </w:r>
    </w:p>
    <w:p w:rsidR="00A403BB" w:rsidP="00A403BB" w:rsidRDefault="00A403BB">
      <w:pPr>
        <w:pStyle w:val="ListParagraph"/>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w:t>
      </w:r>
      <w:r w:rsidR="00B138D8">
        <w:t>X</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w:t>
      </w:r>
      <w:r w:rsidR="00B138D8">
        <w:t>X</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facilitators be used?  [  ] Yes [</w:t>
      </w:r>
      <w:r w:rsidR="00B138D8">
        <w:t>X</w:t>
      </w:r>
      <w: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495F4A" w:rsidP="00F24CFC" w:rsidRDefault="00495F4A">
      <w:pPr>
        <w:pStyle w:val="Heading2"/>
        <w:tabs>
          <w:tab w:val="left" w:pos="900"/>
        </w:tabs>
        <w:ind w:right="-180"/>
        <w:rPr>
          <w:sz w:val="28"/>
        </w:rPr>
      </w:pPr>
    </w:p>
    <w:p w:rsidR="00F24CFC" w:rsidP="00F24CFC" w:rsidRDefault="00495F4A">
      <w:pPr>
        <w:pStyle w:val="Heading2"/>
        <w:tabs>
          <w:tab w:val="left" w:pos="900"/>
        </w:tabs>
        <w:ind w:right="-180"/>
      </w:pPr>
      <w:r>
        <w:rPr>
          <w:sz w:val="28"/>
        </w:rPr>
        <w:br w:type="page"/>
      </w:r>
      <w:bookmarkStart w:name="_GoBack" w:id="0"/>
      <w:bookmarkEnd w:id="0"/>
      <w:r w:rsidR="00F24CFC">
        <w:rPr>
          <w:sz w:val="28"/>
        </w:rPr>
        <w:t xml:space="preserve">Instructions for completing Request for Approval under the </w:t>
      </w:r>
      <w:r w:rsidRPr="00F06866" w:rsidR="00F24CFC">
        <w:rPr>
          <w:sz w:val="28"/>
        </w:rPr>
        <w:t>“Generic Clearance for the Collection of Routine Customer Feedback”</w:t>
      </w:r>
      <w:r w:rsidR="00F24CFC">
        <w:rPr>
          <w:sz w:val="28"/>
        </w:rPr>
        <w:t xml:space="preserve"> </w:t>
      </w:r>
    </w:p>
    <w:p w:rsidR="00F24CFC" w:rsidP="00F24CFC" w:rsidRDefault="007F7080">
      <w:pPr>
        <w:rPr>
          <w:b/>
        </w:rPr>
      </w:pPr>
      <w:r>
        <w:rPr>
          <w:b/>
          <w:noProof/>
        </w:rPr>
        <w:pict>
          <v:line id="_x0000_s1028" style="position:absolute;z-index:2" o:allowincell="f" strokeweight="1.5pt" from="0,0" to="468pt,0"/>
        </w:pic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0F5" w:rsidRDefault="003610F5">
      <w:r>
        <w:separator/>
      </w:r>
    </w:p>
  </w:endnote>
  <w:endnote w:type="continuationSeparator" w:id="0">
    <w:p w:rsidR="003610F5" w:rsidRDefault="0036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610F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0F5" w:rsidRDefault="003610F5">
      <w:r>
        <w:separator/>
      </w:r>
    </w:p>
  </w:footnote>
  <w:footnote w:type="continuationSeparator" w:id="0">
    <w:p w:rsidR="003610F5" w:rsidRDefault="00361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610F5"/>
    <w:rsid w:val="003977A7"/>
    <w:rsid w:val="003D5BBE"/>
    <w:rsid w:val="003E3C61"/>
    <w:rsid w:val="003F1C5B"/>
    <w:rsid w:val="00434E33"/>
    <w:rsid w:val="00441434"/>
    <w:rsid w:val="0045264C"/>
    <w:rsid w:val="004876EC"/>
    <w:rsid w:val="00495F4A"/>
    <w:rsid w:val="004D6E14"/>
    <w:rsid w:val="005009B0"/>
    <w:rsid w:val="005A1006"/>
    <w:rsid w:val="005B1393"/>
    <w:rsid w:val="005E714A"/>
    <w:rsid w:val="005F693D"/>
    <w:rsid w:val="006140A0"/>
    <w:rsid w:val="00636621"/>
    <w:rsid w:val="00642B49"/>
    <w:rsid w:val="006832D9"/>
    <w:rsid w:val="0069403B"/>
    <w:rsid w:val="006F3DDE"/>
    <w:rsid w:val="00704678"/>
    <w:rsid w:val="007425E7"/>
    <w:rsid w:val="007F7080"/>
    <w:rsid w:val="00802607"/>
    <w:rsid w:val="008101A5"/>
    <w:rsid w:val="008151E7"/>
    <w:rsid w:val="00822664"/>
    <w:rsid w:val="00843796"/>
    <w:rsid w:val="00895229"/>
    <w:rsid w:val="008B2EB3"/>
    <w:rsid w:val="008E50AA"/>
    <w:rsid w:val="008F0203"/>
    <w:rsid w:val="008F110B"/>
    <w:rsid w:val="008F50D4"/>
    <w:rsid w:val="009239AA"/>
    <w:rsid w:val="00935ADA"/>
    <w:rsid w:val="00946B6C"/>
    <w:rsid w:val="00955A71"/>
    <w:rsid w:val="0096108F"/>
    <w:rsid w:val="009C13B9"/>
    <w:rsid w:val="009D01A2"/>
    <w:rsid w:val="009F5923"/>
    <w:rsid w:val="00A403BB"/>
    <w:rsid w:val="00A674DF"/>
    <w:rsid w:val="00A83AA6"/>
    <w:rsid w:val="00A91912"/>
    <w:rsid w:val="00A934D6"/>
    <w:rsid w:val="00AB219D"/>
    <w:rsid w:val="00AE1809"/>
    <w:rsid w:val="00B05947"/>
    <w:rsid w:val="00B138D8"/>
    <w:rsid w:val="00B21491"/>
    <w:rsid w:val="00B80D76"/>
    <w:rsid w:val="00B909D9"/>
    <w:rsid w:val="00BA2105"/>
    <w:rsid w:val="00BA7E06"/>
    <w:rsid w:val="00BB43B5"/>
    <w:rsid w:val="00BB6219"/>
    <w:rsid w:val="00BD290F"/>
    <w:rsid w:val="00BF2D2B"/>
    <w:rsid w:val="00C14CC4"/>
    <w:rsid w:val="00C33C52"/>
    <w:rsid w:val="00C369C9"/>
    <w:rsid w:val="00C40D8B"/>
    <w:rsid w:val="00C71881"/>
    <w:rsid w:val="00C75BD4"/>
    <w:rsid w:val="00C8407A"/>
    <w:rsid w:val="00C8488C"/>
    <w:rsid w:val="00C86E91"/>
    <w:rsid w:val="00CA2650"/>
    <w:rsid w:val="00CB1078"/>
    <w:rsid w:val="00CC6FAF"/>
    <w:rsid w:val="00CF6542"/>
    <w:rsid w:val="00D16398"/>
    <w:rsid w:val="00D24698"/>
    <w:rsid w:val="00D24766"/>
    <w:rsid w:val="00D6383F"/>
    <w:rsid w:val="00DB59D0"/>
    <w:rsid w:val="00DC33D3"/>
    <w:rsid w:val="00E10657"/>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FFB259-C201-4659-8FFC-879C32AF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71073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Braswell, Melody (JMD)</cp:lastModifiedBy>
  <cp:revision>2</cp:revision>
  <cp:lastPrinted>2017-11-29T14:13:00Z</cp:lastPrinted>
  <dcterms:created xsi:type="dcterms:W3CDTF">2021-01-25T20:21:00Z</dcterms:created>
  <dcterms:modified xsi:type="dcterms:W3CDTF">2021-01-25T20:21:00Z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