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3B1" w:rsidP="00A9067F" w:rsidRDefault="00DD43B1">
      <w:pPr>
        <w:outlineLvl w:val="0"/>
        <w:rPr>
          <w:rFonts w:ascii="Times New Roman" w:hAnsi="Times New Roman"/>
          <w:b/>
          <w:bCs/>
        </w:rPr>
      </w:pPr>
    </w:p>
    <w:p w:rsidRPr="009F6978" w:rsidR="001635BD" w:rsidP="00A9067F" w:rsidRDefault="001635BD">
      <w:pPr>
        <w:jc w:val="center"/>
        <w:outlineLvl w:val="0"/>
        <w:rPr>
          <w:rFonts w:ascii="Times New Roman" w:hAnsi="Times New Roman"/>
          <w:b/>
          <w:bCs/>
        </w:rPr>
      </w:pPr>
      <w:r w:rsidRPr="009F6978">
        <w:rPr>
          <w:rFonts w:ascii="Times New Roman" w:hAnsi="Times New Roman"/>
          <w:b/>
          <w:bCs/>
        </w:rPr>
        <w:t>SUPPORTING STATEMENT FOR THE</w:t>
      </w:r>
    </w:p>
    <w:p w:rsidRPr="009F6978" w:rsidR="001635BD" w:rsidRDefault="00297CE5">
      <w:pPr>
        <w:jc w:val="center"/>
        <w:rPr>
          <w:rFonts w:ascii="Times New Roman" w:hAnsi="Times New Roman"/>
          <w:b/>
          <w:bCs/>
        </w:rPr>
      </w:pPr>
      <w:r>
        <w:rPr>
          <w:rFonts w:ascii="Times New Roman" w:hAnsi="Times New Roman"/>
          <w:b/>
          <w:bCs/>
        </w:rPr>
        <w:t>INFORMATION COLLECTION REQUIREMENTS CONTAINED IN THE</w:t>
      </w:r>
    </w:p>
    <w:p w:rsidRPr="009F6978" w:rsidR="001635BD" w:rsidP="006B71E7" w:rsidRDefault="008C605E">
      <w:pPr>
        <w:jc w:val="center"/>
        <w:outlineLvl w:val="0"/>
        <w:rPr>
          <w:rFonts w:ascii="Times New Roman" w:hAnsi="Times New Roman"/>
        </w:rPr>
      </w:pPr>
      <w:bookmarkStart w:name="OLE_LINK1" w:id="0"/>
      <w:bookmarkStart w:name="OLE_LINK2" w:id="1"/>
      <w:r>
        <w:rPr>
          <w:rFonts w:ascii="Times New Roman" w:hAnsi="Times New Roman"/>
          <w:b/>
          <w:bCs/>
        </w:rPr>
        <w:t xml:space="preserve">STEEL ERECTION </w:t>
      </w:r>
      <w:r w:rsidR="00871A04">
        <w:rPr>
          <w:rFonts w:ascii="Times New Roman" w:hAnsi="Times New Roman"/>
          <w:b/>
          <w:bCs/>
        </w:rPr>
        <w:t xml:space="preserve">STANDARD </w:t>
      </w:r>
      <w:r>
        <w:rPr>
          <w:rFonts w:ascii="Times New Roman" w:hAnsi="Times New Roman"/>
          <w:b/>
          <w:bCs/>
        </w:rPr>
        <w:t>(</w:t>
      </w:r>
      <w:r w:rsidRPr="009F6978" w:rsidR="001635BD">
        <w:rPr>
          <w:rFonts w:ascii="Times New Roman" w:hAnsi="Times New Roman"/>
          <w:b/>
          <w:bCs/>
        </w:rPr>
        <w:t xml:space="preserve">29 CFR </w:t>
      </w:r>
      <w:r w:rsidR="007D4E2A">
        <w:rPr>
          <w:rFonts w:ascii="Times New Roman" w:hAnsi="Times New Roman"/>
          <w:b/>
          <w:bCs/>
        </w:rPr>
        <w:t>PART</w:t>
      </w:r>
      <w:r w:rsidR="007B12F3">
        <w:rPr>
          <w:rFonts w:ascii="Times New Roman" w:hAnsi="Times New Roman"/>
          <w:b/>
          <w:bCs/>
        </w:rPr>
        <w:t xml:space="preserve"> </w:t>
      </w:r>
      <w:r w:rsidRPr="009F6978" w:rsidR="001635BD">
        <w:rPr>
          <w:rFonts w:ascii="Times New Roman" w:hAnsi="Times New Roman"/>
          <w:b/>
          <w:bCs/>
        </w:rPr>
        <w:t>1926, SUBPART R</w:t>
      </w:r>
      <w:r>
        <w:rPr>
          <w:rFonts w:ascii="Times New Roman" w:hAnsi="Times New Roman"/>
          <w:b/>
          <w:bCs/>
        </w:rPr>
        <w:t>)</w:t>
      </w:r>
      <w:bookmarkEnd w:id="0"/>
      <w:bookmarkEnd w:id="1"/>
      <w:r w:rsidRPr="009F6978" w:rsidR="001635BD">
        <w:rPr>
          <w:rStyle w:val="FootnoteReference"/>
          <w:rFonts w:ascii="Times New Roman" w:hAnsi="Times New Roman"/>
          <w:vertAlign w:val="superscript"/>
        </w:rPr>
        <w:footnoteReference w:id="1"/>
      </w:r>
    </w:p>
    <w:p w:rsidRPr="009F6978" w:rsidR="001635BD" w:rsidP="006B71E7" w:rsidRDefault="00530A9F">
      <w:pPr>
        <w:jc w:val="center"/>
        <w:outlineLvl w:val="0"/>
        <w:rPr>
          <w:rFonts w:ascii="Times New Roman" w:hAnsi="Times New Roman"/>
          <w:b/>
        </w:rPr>
      </w:pPr>
      <w:r w:rsidRPr="009F6978" w:rsidDel="00530A9F">
        <w:rPr>
          <w:rFonts w:ascii="Times New Roman" w:hAnsi="Times New Roman"/>
          <w:b/>
        </w:rPr>
        <w:t xml:space="preserve"> </w:t>
      </w:r>
      <w:r w:rsidR="00504E42">
        <w:rPr>
          <w:rFonts w:ascii="Times New Roman" w:hAnsi="Times New Roman"/>
          <w:b/>
        </w:rPr>
        <w:t>O</w:t>
      </w:r>
      <w:r w:rsidRPr="009F6978" w:rsidR="009F6978">
        <w:rPr>
          <w:rFonts w:ascii="Times New Roman" w:hAnsi="Times New Roman"/>
          <w:b/>
        </w:rPr>
        <w:t>MB</w:t>
      </w:r>
      <w:r w:rsidR="0081587A">
        <w:rPr>
          <w:rFonts w:ascii="Times New Roman" w:hAnsi="Times New Roman"/>
          <w:b/>
        </w:rPr>
        <w:t xml:space="preserve"> </w:t>
      </w:r>
      <w:r w:rsidRPr="009F6978" w:rsidR="009F6978">
        <w:rPr>
          <w:rFonts w:ascii="Times New Roman" w:hAnsi="Times New Roman"/>
          <w:b/>
        </w:rPr>
        <w:t>CONTROL NO. 1218-0241</w:t>
      </w:r>
      <w:r w:rsidR="00864791">
        <w:rPr>
          <w:rFonts w:ascii="Times New Roman" w:hAnsi="Times New Roman"/>
          <w:b/>
        </w:rPr>
        <w:t xml:space="preserve"> </w:t>
      </w:r>
      <w:r w:rsidRPr="009F6978" w:rsidR="009F6978">
        <w:rPr>
          <w:rFonts w:ascii="Times New Roman" w:hAnsi="Times New Roman"/>
          <w:b/>
        </w:rPr>
        <w:t>(</w:t>
      </w:r>
      <w:r w:rsidR="00F53288">
        <w:rPr>
          <w:rFonts w:ascii="Times New Roman" w:hAnsi="Times New Roman"/>
          <w:b/>
        </w:rPr>
        <w:t xml:space="preserve">January </w:t>
      </w:r>
      <w:r w:rsidR="0031503E">
        <w:rPr>
          <w:rFonts w:ascii="Times New Roman" w:hAnsi="Times New Roman"/>
          <w:b/>
        </w:rPr>
        <w:t>202</w:t>
      </w:r>
      <w:r w:rsidR="00F53288">
        <w:rPr>
          <w:rFonts w:ascii="Times New Roman" w:hAnsi="Times New Roman"/>
          <w:b/>
        </w:rPr>
        <w:t>1</w:t>
      </w:r>
      <w:bookmarkStart w:name="_GoBack" w:id="2"/>
      <w:bookmarkEnd w:id="2"/>
      <w:r w:rsidRPr="009F6978" w:rsidR="009F6978">
        <w:rPr>
          <w:rFonts w:ascii="Times New Roman" w:hAnsi="Times New Roman"/>
          <w:b/>
        </w:rPr>
        <w:t xml:space="preserve">) </w:t>
      </w:r>
    </w:p>
    <w:p w:rsidR="003B3A32" w:rsidP="006B71E7" w:rsidRDefault="003B3A32">
      <w:pPr>
        <w:outlineLvl w:val="0"/>
        <w:rPr>
          <w:rFonts w:ascii="Times New Roman" w:hAnsi="Times New Roman"/>
          <w:b/>
          <w:bCs/>
        </w:rPr>
      </w:pPr>
    </w:p>
    <w:p w:rsidRPr="00F53288" w:rsidR="0031503E" w:rsidP="006B71E7" w:rsidRDefault="0031503E">
      <w:pPr>
        <w:outlineLvl w:val="0"/>
        <w:rPr>
          <w:rFonts w:ascii="Times New Roman" w:hAnsi="Times New Roman"/>
          <w:b/>
          <w:bCs/>
          <w:u w:val="single"/>
        </w:rPr>
      </w:pPr>
      <w:r w:rsidRPr="00F53288">
        <w:rPr>
          <w:rFonts w:ascii="Times New Roman" w:hAnsi="Times New Roman"/>
          <w:b/>
          <w:bCs/>
          <w:u w:val="single"/>
        </w:rPr>
        <w:t>This ICR is requesting the extension of a currently approved data collection.</w:t>
      </w:r>
    </w:p>
    <w:p w:rsidR="0031503E" w:rsidP="006B71E7" w:rsidRDefault="0031503E">
      <w:pPr>
        <w:outlineLvl w:val="0"/>
        <w:rPr>
          <w:rFonts w:ascii="Times New Roman" w:hAnsi="Times New Roman"/>
          <w:b/>
          <w:bCs/>
        </w:rPr>
      </w:pPr>
    </w:p>
    <w:p w:rsidR="001635BD" w:rsidP="006B71E7" w:rsidRDefault="0032156F">
      <w:pPr>
        <w:outlineLvl w:val="0"/>
        <w:rPr>
          <w:rFonts w:ascii="Times New Roman" w:hAnsi="Times New Roman"/>
          <w:b/>
          <w:bCs/>
        </w:rPr>
      </w:pPr>
      <w:r>
        <w:rPr>
          <w:rFonts w:ascii="Times New Roman" w:hAnsi="Times New Roman"/>
          <w:b/>
          <w:bCs/>
        </w:rPr>
        <w:t xml:space="preserve">A. </w:t>
      </w:r>
      <w:r w:rsidR="00B42042">
        <w:rPr>
          <w:rFonts w:ascii="Times New Roman" w:hAnsi="Times New Roman"/>
          <w:b/>
          <w:bCs/>
        </w:rPr>
        <w:t xml:space="preserve"> </w:t>
      </w:r>
      <w:r w:rsidR="004945BE">
        <w:rPr>
          <w:rFonts w:ascii="Times New Roman" w:hAnsi="Times New Roman"/>
          <w:b/>
          <w:bCs/>
        </w:rPr>
        <w:t>J</w:t>
      </w:r>
      <w:r w:rsidRPr="009F6978" w:rsidR="001635BD">
        <w:rPr>
          <w:rFonts w:ascii="Times New Roman" w:hAnsi="Times New Roman"/>
          <w:b/>
          <w:bCs/>
        </w:rPr>
        <w:t>USTIFICATION</w:t>
      </w:r>
    </w:p>
    <w:p w:rsidRPr="009F6978" w:rsidR="00F123A8" w:rsidP="006B71E7" w:rsidRDefault="00F123A8">
      <w:pPr>
        <w:outlineLvl w:val="0"/>
        <w:rPr>
          <w:rFonts w:ascii="Times New Roman" w:hAnsi="Times New Roman"/>
        </w:rPr>
      </w:pPr>
    </w:p>
    <w:p w:rsidRPr="00530A9F" w:rsidR="00530A9F" w:rsidP="00530A9F" w:rsidRDefault="00530A9F">
      <w:pPr>
        <w:widowControl/>
        <w:rPr>
          <w:rFonts w:ascii="Times New Roman" w:hAnsi="Times New Roman"/>
        </w:rPr>
      </w:pPr>
      <w:r w:rsidRPr="00530A9F">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F6978" w:rsidR="001635BD" w:rsidRDefault="001635BD">
      <w:pPr>
        <w:rPr>
          <w:rFonts w:ascii="Times New Roman" w:hAnsi="Times New Roman"/>
        </w:rPr>
      </w:pPr>
    </w:p>
    <w:p w:rsidRPr="009F6978" w:rsidR="001635BD" w:rsidRDefault="001635BD">
      <w:pPr>
        <w:rPr>
          <w:rFonts w:ascii="Times New Roman" w:hAnsi="Times New Roman"/>
        </w:rPr>
      </w:pPr>
      <w:r w:rsidRPr="009F6978">
        <w:rPr>
          <w:rFonts w:ascii="Times New Roman" w:hAnsi="Times New Roman"/>
        </w:rPr>
        <w:t>The main purpose of the Occupational Safety and Health Act (“OSH Act” or “Act”) is to “assure so far as possible every working man and woman in the Nation safe and healthful working conditions and to preserve our human resources” (29 U.S.C. 651)</w:t>
      </w:r>
      <w:r w:rsidR="00504E42">
        <w:rPr>
          <w:rFonts w:ascii="Times New Roman" w:hAnsi="Times New Roman"/>
        </w:rPr>
        <w:t>.</w:t>
      </w:r>
      <w:r w:rsidRPr="009F6978">
        <w:rPr>
          <w:rFonts w:ascii="Times New Roman" w:hAnsi="Times New Roman"/>
        </w:rPr>
        <w:t xml:space="preserve">  To achieve this objective, the OSH Act specifically authorizes "the development and promulgation of occupational safety and health standards" (29 U.S.C. 651)</w:t>
      </w:r>
      <w:r w:rsidR="00504E42">
        <w:rPr>
          <w:rFonts w:ascii="Times New Roman" w:hAnsi="Times New Roman"/>
        </w:rPr>
        <w:t>.</w:t>
      </w:r>
      <w:r w:rsidRPr="009F6978">
        <w:rPr>
          <w:rFonts w:ascii="Times New Roman" w:hAnsi="Times New Roman"/>
        </w:rPr>
        <w:t xml:space="preserve">  The Act states further that “[t]he Secretary . . . shall prescribe such rules and regulations as [he/she] may deem necessary to carry out [his/her] responsibilities under this Act, including rules and regulations dealing with the inspection of an employer’s establishment” (29 U.S.C. 651)</w:t>
      </w:r>
      <w:r w:rsidR="00504E42">
        <w:rPr>
          <w:rFonts w:ascii="Times New Roman" w:hAnsi="Times New Roman"/>
        </w:rPr>
        <w:t>.</w:t>
      </w:r>
    </w:p>
    <w:p w:rsidRPr="009F6978" w:rsidR="001635BD" w:rsidRDefault="001635BD">
      <w:pPr>
        <w:rPr>
          <w:rFonts w:ascii="Times New Roman" w:hAnsi="Times New Roman"/>
        </w:rPr>
      </w:pPr>
    </w:p>
    <w:p w:rsidRPr="009F6978" w:rsidR="001635BD" w:rsidRDefault="001635BD">
      <w:pPr>
        <w:rPr>
          <w:rFonts w:ascii="Times New Roman" w:hAnsi="Times New Roman"/>
        </w:rPr>
      </w:pPr>
      <w:r w:rsidRPr="009F6978">
        <w:rPr>
          <w:rFonts w:ascii="Times New Roman" w:hAnsi="Times New Roman"/>
        </w:rPr>
        <w:t xml:space="preserve">The Act specifically authorizes the Occupational Safety and Health Administration (“OSHA” or “Agency”) to issue standards that “prescribe the use of labels or other appropriate forms of warning as are necessary to insure that </w:t>
      </w:r>
      <w:r w:rsidR="00FB6619">
        <w:rPr>
          <w:rFonts w:ascii="Times New Roman" w:hAnsi="Times New Roman"/>
        </w:rPr>
        <w:t>worker</w:t>
      </w:r>
      <w:r w:rsidRPr="009F6978">
        <w:rPr>
          <w:rFonts w:ascii="Times New Roman" w:hAnsi="Times New Roman"/>
        </w:rPr>
        <w:t xml:space="preserve">s are </w:t>
      </w:r>
      <w:r w:rsidRPr="009F6978" w:rsidR="0061204D">
        <w:rPr>
          <w:rFonts w:ascii="Times New Roman" w:hAnsi="Times New Roman"/>
        </w:rPr>
        <w:t>apprised</w:t>
      </w:r>
      <w:r w:rsidRPr="009F6978">
        <w:rPr>
          <w:rFonts w:ascii="Times New Roman" w:hAnsi="Times New Roman"/>
        </w:rPr>
        <w:t xml:space="preserve"> of all hazards to which they are exposed, relevant symptoms and appropriate emergency treatment, and proper conditions and precautions of safe use or exposure” (29 U.S.C. 655)</w:t>
      </w:r>
      <w:r w:rsidR="00504E42">
        <w:rPr>
          <w:rFonts w:ascii="Times New Roman" w:hAnsi="Times New Roman"/>
        </w:rPr>
        <w:t>.</w:t>
      </w:r>
      <w:r w:rsidRPr="009F6978">
        <w:rPr>
          <w:rFonts w:ascii="Times New Roman" w:hAnsi="Times New Roman"/>
        </w:rPr>
        <w:t xml:space="preserve">  In addition, the OSH Act mandates that “[e]ach employer shall make, keep and preserve, and make available to the Secretary . . . such records . . . as the Secretary . . . may prescribe by regulation as necessary or appropriate for the enforcement of </w:t>
      </w:r>
      <w:r w:rsidR="002867BE">
        <w:rPr>
          <w:rFonts w:ascii="Times New Roman" w:hAnsi="Times New Roman"/>
        </w:rPr>
        <w:t>the</w:t>
      </w:r>
      <w:r w:rsidRPr="009F6978">
        <w:rPr>
          <w:rFonts w:ascii="Times New Roman" w:hAnsi="Times New Roman"/>
        </w:rPr>
        <w:t xml:space="preserve"> Act . . .” (29 U.S.C. 657)</w:t>
      </w:r>
      <w:r w:rsidR="00504E42">
        <w:rPr>
          <w:rFonts w:ascii="Times New Roman" w:hAnsi="Times New Roman"/>
        </w:rPr>
        <w:t>.</w:t>
      </w:r>
    </w:p>
    <w:p w:rsidRPr="009F6978" w:rsidR="001635BD" w:rsidRDefault="001635BD">
      <w:pPr>
        <w:rPr>
          <w:rFonts w:ascii="Times New Roman" w:hAnsi="Times New Roman"/>
        </w:rPr>
      </w:pPr>
    </w:p>
    <w:p w:rsidR="00AF03BC" w:rsidRDefault="001635BD">
      <w:pPr>
        <w:rPr>
          <w:rFonts w:ascii="Times New Roman" w:hAnsi="Times New Roman"/>
        </w:rPr>
      </w:pPr>
      <w:r w:rsidRPr="009F6978">
        <w:rPr>
          <w:rFonts w:ascii="Times New Roman" w:hAnsi="Times New Roman"/>
        </w:rPr>
        <w:t xml:space="preserve">Under the authority granted by the OSH Act, the Agency published 29 CFR </w:t>
      </w:r>
      <w:r w:rsidR="007D4E2A">
        <w:rPr>
          <w:rFonts w:ascii="Times New Roman" w:hAnsi="Times New Roman"/>
        </w:rPr>
        <w:t xml:space="preserve">part </w:t>
      </w:r>
      <w:r w:rsidRPr="009F6978">
        <w:rPr>
          <w:rFonts w:ascii="Times New Roman" w:hAnsi="Times New Roman"/>
        </w:rPr>
        <w:t xml:space="preserve">1926, </w:t>
      </w:r>
      <w:r w:rsidR="00B42042">
        <w:rPr>
          <w:rFonts w:ascii="Times New Roman" w:hAnsi="Times New Roman"/>
        </w:rPr>
        <w:t>su</w:t>
      </w:r>
      <w:r w:rsidRPr="009F6978">
        <w:rPr>
          <w:rFonts w:ascii="Times New Roman" w:hAnsi="Times New Roman"/>
        </w:rPr>
        <w:t>bpart R</w:t>
      </w:r>
      <w:r w:rsidR="002867BE">
        <w:rPr>
          <w:rFonts w:ascii="Times New Roman" w:hAnsi="Times New Roman"/>
        </w:rPr>
        <w:t>.</w:t>
      </w:r>
      <w:r w:rsidRPr="009F6978">
        <w:rPr>
          <w:rFonts w:ascii="Times New Roman" w:hAnsi="Times New Roman"/>
        </w:rPr>
        <w:t xml:space="preserve"> The </w:t>
      </w:r>
      <w:r w:rsidR="002867BE">
        <w:rPr>
          <w:rFonts w:ascii="Times New Roman" w:hAnsi="Times New Roman"/>
        </w:rPr>
        <w:t>s</w:t>
      </w:r>
      <w:r w:rsidRPr="009F6978">
        <w:rPr>
          <w:rFonts w:ascii="Times New Roman" w:hAnsi="Times New Roman"/>
        </w:rPr>
        <w:t xml:space="preserve">ubpart contains </w:t>
      </w:r>
      <w:r w:rsidR="00F66B98">
        <w:rPr>
          <w:rFonts w:ascii="Times New Roman" w:hAnsi="Times New Roman"/>
        </w:rPr>
        <w:t xml:space="preserve"> information collection requirements </w:t>
      </w:r>
      <w:r w:rsidRPr="009F6978">
        <w:rPr>
          <w:rFonts w:ascii="Times New Roman" w:hAnsi="Times New Roman"/>
        </w:rPr>
        <w:t xml:space="preserve">that:  Notify designated parties, especially steel erectors, that building materials, components, steel structures, and fall-protection equipment </w:t>
      </w:r>
      <w:r w:rsidR="00BD0F06">
        <w:rPr>
          <w:rFonts w:ascii="Times New Roman" w:hAnsi="Times New Roman"/>
        </w:rPr>
        <w:t xml:space="preserve">meet </w:t>
      </w:r>
      <w:r w:rsidR="002867BE">
        <w:rPr>
          <w:rFonts w:ascii="Times New Roman" w:hAnsi="Times New Roman"/>
        </w:rPr>
        <w:t>required criteria</w:t>
      </w:r>
      <w:r w:rsidRPr="009F6978">
        <w:rPr>
          <w:rFonts w:ascii="Times New Roman" w:hAnsi="Times New Roman"/>
        </w:rPr>
        <w:t xml:space="preserve">; and ensure that </w:t>
      </w:r>
      <w:r w:rsidR="00FB6619">
        <w:rPr>
          <w:rFonts w:ascii="Times New Roman" w:hAnsi="Times New Roman"/>
        </w:rPr>
        <w:t>worker</w:t>
      </w:r>
      <w:r w:rsidRPr="009F6978">
        <w:rPr>
          <w:rFonts w:ascii="Times New Roman" w:hAnsi="Times New Roman"/>
        </w:rPr>
        <w:t xml:space="preserve">s exposed to fall hazards receive </w:t>
      </w:r>
      <w:r w:rsidR="0085794F">
        <w:rPr>
          <w:rFonts w:ascii="Times New Roman" w:hAnsi="Times New Roman"/>
        </w:rPr>
        <w:lastRenderedPageBreak/>
        <w:t>sp</w:t>
      </w:r>
      <w:r w:rsidRPr="009F6978">
        <w:rPr>
          <w:rFonts w:ascii="Times New Roman" w:hAnsi="Times New Roman"/>
        </w:rPr>
        <w:t xml:space="preserve">ecified training in the recognition and control of </w:t>
      </w:r>
      <w:r w:rsidR="00BD0F06">
        <w:rPr>
          <w:rFonts w:ascii="Times New Roman" w:hAnsi="Times New Roman"/>
        </w:rPr>
        <w:t>the</w:t>
      </w:r>
      <w:r w:rsidRPr="009F6978">
        <w:rPr>
          <w:rFonts w:ascii="Times New Roman" w:hAnsi="Times New Roman"/>
        </w:rPr>
        <w:t xml:space="preserve"> hazards</w:t>
      </w:r>
      <w:r w:rsidR="00F66B98">
        <w:rPr>
          <w:rFonts w:ascii="Times New Roman" w:hAnsi="Times New Roman"/>
        </w:rPr>
        <w:t>.</w:t>
      </w:r>
    </w:p>
    <w:p w:rsidR="00F123A8" w:rsidRDefault="00F123A8">
      <w:pPr>
        <w:rPr>
          <w:rFonts w:ascii="Times New Roman" w:hAnsi="Times New Roman"/>
        </w:rPr>
      </w:pPr>
    </w:p>
    <w:p w:rsidRPr="00530A9F" w:rsidR="00530A9F" w:rsidP="00530A9F" w:rsidRDefault="00530A9F">
      <w:pPr>
        <w:widowControl/>
        <w:rPr>
          <w:rFonts w:ascii="Times New Roman" w:hAnsi="Times New Roman"/>
        </w:rPr>
      </w:pPr>
      <w:r w:rsidRPr="00530A9F">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9F6978" w:rsidR="00A9067F" w:rsidRDefault="00A9067F">
      <w:pPr>
        <w:rPr>
          <w:rFonts w:ascii="Times New Roman" w:hAnsi="Times New Roman"/>
        </w:rPr>
      </w:pPr>
    </w:p>
    <w:p w:rsidRPr="009F6978" w:rsidR="001635BD" w:rsidRDefault="001635BD">
      <w:pPr>
        <w:rPr>
          <w:rFonts w:ascii="Times New Roman" w:hAnsi="Times New Roman"/>
        </w:rPr>
      </w:pPr>
      <w:r w:rsidRPr="009F6978">
        <w:rPr>
          <w:rFonts w:ascii="Times New Roman" w:hAnsi="Times New Roman"/>
        </w:rPr>
        <w:t xml:space="preserve">The Subpart contains a number of </w:t>
      </w:r>
      <w:r w:rsidR="00F66B98">
        <w:rPr>
          <w:rFonts w:ascii="Times New Roman" w:hAnsi="Times New Roman"/>
        </w:rPr>
        <w:t>information collection</w:t>
      </w:r>
      <w:r w:rsidRPr="009F6978">
        <w:rPr>
          <w:rFonts w:ascii="Times New Roman" w:hAnsi="Times New Roman"/>
        </w:rPr>
        <w:t xml:space="preserve"> requirements.  Each of the following paragraphs describes a requirement, specifies who uses it, and what purpose it serves.</w:t>
      </w:r>
    </w:p>
    <w:p w:rsidRPr="009F6978" w:rsidR="001635BD" w:rsidRDefault="001635BD">
      <w:pPr>
        <w:rPr>
          <w:rFonts w:ascii="Times New Roman" w:hAnsi="Times New Roman"/>
        </w:rPr>
        <w:sectPr w:rsidRPr="009F6978" w:rsidR="001635BD" w:rsidSect="003F16CF">
          <w:headerReference w:type="default" r:id="rId8"/>
          <w:footerReference w:type="even" r:id="rId9"/>
          <w:footerReference w:type="default" r:id="rId10"/>
          <w:headerReference w:type="first" r:id="rId11"/>
          <w:pgSz w:w="12240" w:h="15840"/>
          <w:pgMar w:top="1296" w:right="1440" w:bottom="1440" w:left="1440" w:header="1440" w:footer="1440" w:gutter="0"/>
          <w:cols w:space="720"/>
          <w:noEndnote/>
          <w:docGrid w:linePitch="326"/>
        </w:sectPr>
      </w:pPr>
    </w:p>
    <w:p w:rsidRPr="009F6978" w:rsidR="001635BD" w:rsidRDefault="001635BD">
      <w:pPr>
        <w:rPr>
          <w:rFonts w:ascii="Times New Roman" w:hAnsi="Times New Roman"/>
        </w:rPr>
      </w:pPr>
    </w:p>
    <w:p w:rsidRPr="005C1FE0" w:rsidR="001635BD" w:rsidRDefault="00787CA5">
      <w:pPr>
        <w:rPr>
          <w:rFonts w:ascii="Times New Roman" w:hAnsi="Times New Roman"/>
          <w:color w:val="000000"/>
          <w:u w:val="single"/>
        </w:rPr>
      </w:pPr>
      <w:r>
        <w:rPr>
          <w:rFonts w:ascii="Times New Roman" w:hAnsi="Times New Roman"/>
          <w:b/>
          <w:bCs/>
        </w:rPr>
        <w:t>Sections</w:t>
      </w:r>
      <w:r w:rsidRPr="00E94612">
        <w:rPr>
          <w:rFonts w:ascii="Times New Roman" w:hAnsi="Times New Roman"/>
          <w:b/>
          <w:bCs/>
        </w:rPr>
        <w:t xml:space="preserve"> </w:t>
      </w:r>
      <w:r w:rsidRPr="00E94612" w:rsidR="001635BD">
        <w:rPr>
          <w:rFonts w:ascii="Times New Roman" w:hAnsi="Times New Roman"/>
          <w:b/>
          <w:bCs/>
        </w:rPr>
        <w:t>1926.752(a)(1)</w:t>
      </w:r>
      <w:r w:rsidR="005C1FE0">
        <w:rPr>
          <w:rFonts w:ascii="Times New Roman" w:hAnsi="Times New Roman"/>
          <w:b/>
          <w:bCs/>
        </w:rPr>
        <w:t xml:space="preserve"> and (a)(2)</w:t>
      </w:r>
      <w:r w:rsidRPr="00E94612" w:rsidR="001635BD">
        <w:rPr>
          <w:rFonts w:ascii="Times New Roman" w:hAnsi="Times New Roman"/>
        </w:rPr>
        <w:t xml:space="preserve">.  </w:t>
      </w:r>
      <w:r w:rsidRPr="00E94612" w:rsidR="001635BD">
        <w:rPr>
          <w:rFonts w:ascii="Times New Roman" w:hAnsi="Times New Roman"/>
          <w:u w:val="single"/>
        </w:rPr>
        <w:t xml:space="preserve">Description of </w:t>
      </w:r>
      <w:r w:rsidRPr="00E94612" w:rsidR="009F6978">
        <w:rPr>
          <w:rFonts w:ascii="Times New Roman" w:hAnsi="Times New Roman"/>
          <w:u w:val="single"/>
        </w:rPr>
        <w:t xml:space="preserve">the </w:t>
      </w:r>
      <w:r w:rsidRPr="00E94612" w:rsidR="001635BD">
        <w:rPr>
          <w:rFonts w:ascii="Times New Roman" w:hAnsi="Times New Roman"/>
          <w:u w:val="single"/>
        </w:rPr>
        <w:t>requirement</w:t>
      </w:r>
      <w:r w:rsidR="0089281D">
        <w:rPr>
          <w:rFonts w:ascii="Times New Roman" w:hAnsi="Times New Roman"/>
          <w:u w:val="single"/>
        </w:rPr>
        <w:t>s:</w:t>
      </w:r>
      <w:r w:rsidRPr="00E94612" w:rsidR="001635BD">
        <w:rPr>
          <w:rFonts w:ascii="Times New Roman" w:hAnsi="Times New Roman"/>
        </w:rPr>
        <w:t xml:space="preserve">  </w:t>
      </w:r>
      <w:r w:rsidR="00564F1C">
        <w:rPr>
          <w:rFonts w:ascii="Times New Roman" w:hAnsi="Times New Roman"/>
        </w:rPr>
        <w:t>“</w:t>
      </w:r>
      <w:r w:rsidRPr="00007C02" w:rsidR="00564F1C">
        <w:rPr>
          <w:rFonts w:ascii="Times New Roman" w:hAnsi="Times New Roman"/>
          <w:b/>
        </w:rPr>
        <w:t>Before authorizing the commencement of steel erection,</w:t>
      </w:r>
      <w:r w:rsidR="00564F1C">
        <w:rPr>
          <w:rFonts w:ascii="Times New Roman" w:hAnsi="Times New Roman"/>
        </w:rPr>
        <w:t xml:space="preserve"> the controlling contractor shall ensure that the steel erector is provided with the following written notifications</w:t>
      </w:r>
      <w:r w:rsidR="004D632C">
        <w:rPr>
          <w:rFonts w:ascii="Times New Roman" w:hAnsi="Times New Roman"/>
        </w:rPr>
        <w:t xml:space="preserve"> (emphasis added):</w:t>
      </w:r>
      <w:r w:rsidR="00564F1C">
        <w:rPr>
          <w:rFonts w:ascii="Times New Roman" w:hAnsi="Times New Roman"/>
        </w:rPr>
        <w:t>”</w:t>
      </w:r>
      <w:r w:rsidR="00E9655D">
        <w:rPr>
          <w:rFonts w:ascii="Times New Roman" w:hAnsi="Times New Roman"/>
        </w:rPr>
        <w:t xml:space="preserve"> Section </w:t>
      </w:r>
      <w:r w:rsidR="0089281D">
        <w:rPr>
          <w:rFonts w:ascii="Times New Roman" w:hAnsi="Times New Roman"/>
        </w:rPr>
        <w:t xml:space="preserve">(a)(1) </w:t>
      </w:r>
      <w:r w:rsidR="002866F2">
        <w:rPr>
          <w:rFonts w:ascii="Times New Roman" w:hAnsi="Times New Roman"/>
        </w:rPr>
        <w:t>“</w:t>
      </w:r>
      <w:r w:rsidR="00E0664E">
        <w:rPr>
          <w:rFonts w:ascii="Times New Roman" w:hAnsi="Times New Roman"/>
        </w:rPr>
        <w:t>[that the]</w:t>
      </w:r>
      <w:r w:rsidRPr="005C1FE0" w:rsidR="001635BD">
        <w:rPr>
          <w:rFonts w:ascii="Times New Roman" w:hAnsi="Times New Roman"/>
        </w:rPr>
        <w:t xml:space="preserve"> concrete in the footings, piers and walls, </w:t>
      </w:r>
      <w:r w:rsidR="00675B68">
        <w:rPr>
          <w:rFonts w:ascii="Times New Roman" w:hAnsi="Times New Roman"/>
        </w:rPr>
        <w:t xml:space="preserve">and </w:t>
      </w:r>
      <w:r w:rsidRPr="005C1FE0" w:rsidR="001635BD">
        <w:rPr>
          <w:rFonts w:ascii="Times New Roman" w:hAnsi="Times New Roman"/>
        </w:rPr>
        <w:t>the mortar in the masonry piers and walls</w:t>
      </w:r>
      <w:r w:rsidR="00675B68">
        <w:rPr>
          <w:rFonts w:ascii="Times New Roman" w:hAnsi="Times New Roman"/>
        </w:rPr>
        <w:t xml:space="preserve"> has attained, on the basis of an appropriate ASTM standard test method of field-cured sample</w:t>
      </w:r>
      <w:r w:rsidR="00396DF5">
        <w:rPr>
          <w:rFonts w:ascii="Times New Roman" w:hAnsi="Times New Roman"/>
        </w:rPr>
        <w:t>s</w:t>
      </w:r>
      <w:r w:rsidR="00675B68">
        <w:rPr>
          <w:rFonts w:ascii="Times New Roman" w:hAnsi="Times New Roman"/>
        </w:rPr>
        <w:t>, either</w:t>
      </w:r>
      <w:r w:rsidRPr="005C1FE0" w:rsidR="001635BD">
        <w:rPr>
          <w:rFonts w:ascii="Times New Roman" w:hAnsi="Times New Roman"/>
        </w:rPr>
        <w:t xml:space="preserve"> 75</w:t>
      </w:r>
      <w:r w:rsidR="00CA0095">
        <w:rPr>
          <w:rFonts w:ascii="Times New Roman" w:hAnsi="Times New Roman"/>
        </w:rPr>
        <w:t xml:space="preserve"> percent</w:t>
      </w:r>
      <w:r w:rsidRPr="005C1FE0" w:rsidR="001635BD">
        <w:rPr>
          <w:rFonts w:ascii="Times New Roman" w:hAnsi="Times New Roman"/>
        </w:rPr>
        <w:t xml:space="preserve"> of </w:t>
      </w:r>
      <w:r w:rsidR="00CA0095">
        <w:rPr>
          <w:rFonts w:ascii="Times New Roman" w:hAnsi="Times New Roman"/>
        </w:rPr>
        <w:t xml:space="preserve"> the</w:t>
      </w:r>
      <w:r w:rsidRPr="005C1FE0" w:rsidR="00D80195">
        <w:rPr>
          <w:rFonts w:ascii="Times New Roman" w:hAnsi="Times New Roman"/>
        </w:rPr>
        <w:t xml:space="preserve"> intended</w:t>
      </w:r>
      <w:r w:rsidRPr="005C1FE0" w:rsidR="001635BD">
        <w:rPr>
          <w:rFonts w:ascii="Times New Roman" w:hAnsi="Times New Roman"/>
        </w:rPr>
        <w:t xml:space="preserve"> minimum compressive</w:t>
      </w:r>
      <w:r w:rsidR="00CA0095">
        <w:rPr>
          <w:rFonts w:ascii="Times New Roman" w:hAnsi="Times New Roman"/>
        </w:rPr>
        <w:t xml:space="preserve"> </w:t>
      </w:r>
      <w:r w:rsidRPr="005C1FE0" w:rsidR="001635BD">
        <w:rPr>
          <w:rFonts w:ascii="Times New Roman" w:hAnsi="Times New Roman"/>
        </w:rPr>
        <w:t>design strength or sufficient strength to support loads imposed during steel erection.</w:t>
      </w:r>
      <w:r w:rsidR="00CA0095">
        <w:rPr>
          <w:rFonts w:ascii="Times New Roman" w:hAnsi="Times New Roman"/>
        </w:rPr>
        <w:t>” Section</w:t>
      </w:r>
      <w:r w:rsidR="005C1FE0">
        <w:rPr>
          <w:rFonts w:ascii="Times New Roman" w:hAnsi="Times New Roman"/>
        </w:rPr>
        <w:t xml:space="preserve"> (a)(2)</w:t>
      </w:r>
      <w:r w:rsidRPr="005C1FE0" w:rsidR="001635BD">
        <w:rPr>
          <w:rFonts w:ascii="Times New Roman" w:hAnsi="Times New Roman"/>
        </w:rPr>
        <w:t xml:space="preserve"> </w:t>
      </w:r>
      <w:r w:rsidR="0089281D">
        <w:rPr>
          <w:rFonts w:ascii="Times New Roman" w:hAnsi="Times New Roman"/>
        </w:rPr>
        <w:t>“</w:t>
      </w:r>
      <w:r w:rsidR="00E0664E">
        <w:rPr>
          <w:rFonts w:ascii="Times New Roman" w:hAnsi="Times New Roman"/>
        </w:rPr>
        <w:t>[that any]</w:t>
      </w:r>
      <w:r w:rsidR="0089281D">
        <w:rPr>
          <w:rFonts w:ascii="Times New Roman" w:hAnsi="Times New Roman"/>
        </w:rPr>
        <w:t xml:space="preserve"> repairs, replacements and modifications to the anchor bolts were conducted in accordance with §</w:t>
      </w:r>
      <w:r w:rsidR="00016B14">
        <w:rPr>
          <w:rFonts w:ascii="Times New Roman" w:hAnsi="Times New Roman"/>
        </w:rPr>
        <w:t xml:space="preserve"> 1926.755(b)</w:t>
      </w:r>
      <w:r w:rsidR="003B3EF7">
        <w:rPr>
          <w:rFonts w:ascii="Times New Roman" w:hAnsi="Times New Roman"/>
        </w:rPr>
        <w:t>.”</w:t>
      </w:r>
      <w:r w:rsidR="00016B14">
        <w:rPr>
          <w:rFonts w:ascii="Times New Roman" w:hAnsi="Times New Roman"/>
        </w:rPr>
        <w:t xml:space="preserve"> </w:t>
      </w:r>
      <w:r w:rsidR="003B3EF7">
        <w:rPr>
          <w:rFonts w:ascii="Times New Roman" w:hAnsi="Times New Roman"/>
        </w:rPr>
        <w:t>The Agency</w:t>
      </w:r>
      <w:r w:rsidR="008128E9">
        <w:rPr>
          <w:rFonts w:ascii="Times New Roman" w:hAnsi="Times New Roman"/>
        </w:rPr>
        <w:t xml:space="preserve"> discusses</w:t>
      </w:r>
      <w:r w:rsidR="003B3EF7">
        <w:rPr>
          <w:rFonts w:ascii="Times New Roman" w:hAnsi="Times New Roman"/>
        </w:rPr>
        <w:t xml:space="preserve"> the burden</w:t>
      </w:r>
      <w:r w:rsidR="00EB7F2A">
        <w:rPr>
          <w:rFonts w:ascii="Times New Roman" w:hAnsi="Times New Roman"/>
        </w:rPr>
        <w:t xml:space="preserve"> here for </w:t>
      </w:r>
      <w:r w:rsidR="007508A7">
        <w:rPr>
          <w:rFonts w:ascii="Times New Roman" w:hAnsi="Times New Roman"/>
        </w:rPr>
        <w:t xml:space="preserve">the </w:t>
      </w:r>
      <w:r w:rsidR="00CF4057">
        <w:rPr>
          <w:rFonts w:ascii="Times New Roman" w:hAnsi="Times New Roman"/>
        </w:rPr>
        <w:t xml:space="preserve">§ </w:t>
      </w:r>
      <w:r w:rsidR="003B3EF7">
        <w:rPr>
          <w:rFonts w:ascii="Times New Roman" w:hAnsi="Times New Roman"/>
        </w:rPr>
        <w:t>1926</w:t>
      </w:r>
      <w:r w:rsidR="00CF4057">
        <w:rPr>
          <w:rFonts w:ascii="Times New Roman" w:hAnsi="Times New Roman"/>
        </w:rPr>
        <w:t>.755(b)</w:t>
      </w:r>
      <w:r w:rsidR="001E5F27">
        <w:rPr>
          <w:rFonts w:ascii="Times New Roman" w:hAnsi="Times New Roman"/>
        </w:rPr>
        <w:t xml:space="preserve">(1) and </w:t>
      </w:r>
      <w:r w:rsidR="00CE69F1">
        <w:rPr>
          <w:rFonts w:ascii="Times New Roman" w:hAnsi="Times New Roman"/>
        </w:rPr>
        <w:t>(b)</w:t>
      </w:r>
      <w:r w:rsidR="00FA76E8">
        <w:rPr>
          <w:rFonts w:ascii="Times New Roman" w:hAnsi="Times New Roman"/>
        </w:rPr>
        <w:t>(2)</w:t>
      </w:r>
      <w:r w:rsidR="00CF4057">
        <w:rPr>
          <w:rFonts w:ascii="Times New Roman" w:hAnsi="Times New Roman"/>
        </w:rPr>
        <w:t xml:space="preserve"> </w:t>
      </w:r>
      <w:r w:rsidR="00EB7F2A">
        <w:rPr>
          <w:rFonts w:ascii="Times New Roman" w:hAnsi="Times New Roman"/>
        </w:rPr>
        <w:t>requirement</w:t>
      </w:r>
      <w:r w:rsidR="001E5F27">
        <w:rPr>
          <w:rFonts w:ascii="Times New Roman" w:hAnsi="Times New Roman"/>
        </w:rPr>
        <w:t>s</w:t>
      </w:r>
      <w:r w:rsidR="00CE69F1">
        <w:rPr>
          <w:rFonts w:ascii="Times New Roman" w:hAnsi="Times New Roman"/>
        </w:rPr>
        <w:t>:</w:t>
      </w:r>
      <w:r w:rsidR="00EB7F2A">
        <w:rPr>
          <w:rFonts w:ascii="Times New Roman" w:hAnsi="Times New Roman"/>
        </w:rPr>
        <w:t xml:space="preserve"> </w:t>
      </w:r>
      <w:r w:rsidR="00CE69F1">
        <w:rPr>
          <w:rFonts w:ascii="Times New Roman" w:hAnsi="Times New Roman"/>
        </w:rPr>
        <w:t xml:space="preserve">(b)(1) </w:t>
      </w:r>
      <w:r w:rsidR="007508A7">
        <w:rPr>
          <w:rFonts w:ascii="Times New Roman" w:hAnsi="Times New Roman"/>
        </w:rPr>
        <w:t xml:space="preserve">that </w:t>
      </w:r>
      <w:r w:rsidR="00E0664E">
        <w:rPr>
          <w:rFonts w:ascii="Times New Roman" w:hAnsi="Times New Roman"/>
        </w:rPr>
        <w:t xml:space="preserve">anchor bolt </w:t>
      </w:r>
      <w:r w:rsidR="00EB7F2A">
        <w:rPr>
          <w:rFonts w:ascii="Times New Roman" w:hAnsi="Times New Roman"/>
        </w:rPr>
        <w:t xml:space="preserve">changes must </w:t>
      </w:r>
      <w:r w:rsidR="007508A7">
        <w:rPr>
          <w:rFonts w:ascii="Times New Roman" w:hAnsi="Times New Roman"/>
        </w:rPr>
        <w:t>have</w:t>
      </w:r>
      <w:r w:rsidR="00016B14">
        <w:rPr>
          <w:rFonts w:ascii="Times New Roman" w:hAnsi="Times New Roman"/>
        </w:rPr>
        <w:t xml:space="preserve"> </w:t>
      </w:r>
      <w:r w:rsidR="00EE58CE">
        <w:rPr>
          <w:rFonts w:ascii="Times New Roman" w:hAnsi="Times New Roman"/>
        </w:rPr>
        <w:t xml:space="preserve">had the </w:t>
      </w:r>
      <w:r w:rsidR="00016B14">
        <w:rPr>
          <w:rFonts w:ascii="Times New Roman" w:hAnsi="Times New Roman"/>
        </w:rPr>
        <w:t>approval of project structural engineer of record</w:t>
      </w:r>
      <w:r w:rsidR="00EE58CE">
        <w:rPr>
          <w:rFonts w:ascii="Times New Roman" w:hAnsi="Times New Roman"/>
        </w:rPr>
        <w:t xml:space="preserve"> </w:t>
      </w:r>
      <w:r w:rsidR="00E0664E">
        <w:rPr>
          <w:rFonts w:ascii="Times New Roman" w:hAnsi="Times New Roman"/>
        </w:rPr>
        <w:t>and</w:t>
      </w:r>
      <w:r w:rsidR="00CE69F1">
        <w:rPr>
          <w:rFonts w:ascii="Times New Roman" w:hAnsi="Times New Roman"/>
        </w:rPr>
        <w:t xml:space="preserve"> (b)(2)</w:t>
      </w:r>
      <w:r w:rsidR="00EE58CE">
        <w:rPr>
          <w:rFonts w:ascii="Times New Roman" w:hAnsi="Times New Roman"/>
        </w:rPr>
        <w:t xml:space="preserve"> that</w:t>
      </w:r>
      <w:r w:rsidR="00DF544B">
        <w:rPr>
          <w:rFonts w:ascii="Times New Roman" w:hAnsi="Times New Roman"/>
        </w:rPr>
        <w:t>,</w:t>
      </w:r>
      <w:r w:rsidR="00EE58CE">
        <w:rPr>
          <w:rFonts w:ascii="Times New Roman" w:hAnsi="Times New Roman"/>
        </w:rPr>
        <w:t xml:space="preserve"> </w:t>
      </w:r>
      <w:r w:rsidR="00DF544B">
        <w:rPr>
          <w:rFonts w:ascii="Times New Roman" w:hAnsi="Times New Roman"/>
        </w:rPr>
        <w:t xml:space="preserve">if there were any such changes, the </w:t>
      </w:r>
      <w:r w:rsidR="00E0664E">
        <w:rPr>
          <w:rFonts w:ascii="Times New Roman" w:hAnsi="Times New Roman"/>
        </w:rPr>
        <w:t xml:space="preserve">steel erector </w:t>
      </w:r>
      <w:r w:rsidR="00DF544B">
        <w:rPr>
          <w:rFonts w:ascii="Times New Roman" w:hAnsi="Times New Roman"/>
        </w:rPr>
        <w:t>be provided written notification of the repair, replacement or modification of the anchor rods (anchor bolts)</w:t>
      </w:r>
      <w:r w:rsidR="00CE69F1">
        <w:rPr>
          <w:rFonts w:ascii="Times New Roman" w:hAnsi="Times New Roman"/>
        </w:rPr>
        <w:t xml:space="preserve"> prior to erection of the column</w:t>
      </w:r>
      <w:r w:rsidR="00CF4057">
        <w:rPr>
          <w:rFonts w:ascii="Times New Roman" w:hAnsi="Times New Roman"/>
        </w:rPr>
        <w:t>.</w:t>
      </w:r>
      <w:r w:rsidRPr="005C1FE0" w:rsidR="00B42042">
        <w:rPr>
          <w:rFonts w:ascii="Times New Roman" w:hAnsi="Times New Roman"/>
        </w:rPr>
        <w:t xml:space="preserve"> </w:t>
      </w:r>
      <w:r w:rsidR="008128E9">
        <w:rPr>
          <w:rFonts w:ascii="Times New Roman" w:hAnsi="Times New Roman"/>
        </w:rPr>
        <w:t>Further OSHA calculates two burdens for § 1926.</w:t>
      </w:r>
      <w:r w:rsidR="00D91315">
        <w:rPr>
          <w:rFonts w:ascii="Times New Roman" w:hAnsi="Times New Roman"/>
        </w:rPr>
        <w:t>7</w:t>
      </w:r>
      <w:r w:rsidR="008128E9">
        <w:rPr>
          <w:rFonts w:ascii="Times New Roman" w:hAnsi="Times New Roman"/>
        </w:rPr>
        <w:t>5</w:t>
      </w:r>
      <w:r w:rsidR="00002302">
        <w:rPr>
          <w:rFonts w:ascii="Times New Roman" w:hAnsi="Times New Roman"/>
        </w:rPr>
        <w:t xml:space="preserve">5(b)(1) and (b)(2) in the table with footnoted explanations. </w:t>
      </w:r>
      <w:r w:rsidRPr="005C1FE0" w:rsidR="006A0DCD">
        <w:rPr>
          <w:rFonts w:ascii="Times New Roman" w:hAnsi="Times New Roman"/>
          <w:b/>
        </w:rPr>
        <w:t>Note</w:t>
      </w:r>
      <w:r w:rsidRPr="005C1FE0" w:rsidR="006A0DCD">
        <w:rPr>
          <w:rFonts w:ascii="Times New Roman" w:hAnsi="Times New Roman"/>
        </w:rPr>
        <w:t xml:space="preserve">: </w:t>
      </w:r>
      <w:r w:rsidR="00016B14">
        <w:rPr>
          <w:rFonts w:ascii="Times New Roman" w:hAnsi="Times New Roman"/>
        </w:rPr>
        <w:t>OSHA</w:t>
      </w:r>
      <w:r w:rsidRPr="005C1FE0" w:rsidR="006A0DCD">
        <w:rPr>
          <w:rFonts w:ascii="Times New Roman" w:hAnsi="Times New Roman"/>
        </w:rPr>
        <w:t xml:space="preserve"> will not </w:t>
      </w:r>
      <w:r w:rsidR="00016B14">
        <w:rPr>
          <w:rFonts w:ascii="Times New Roman" w:hAnsi="Times New Roman"/>
        </w:rPr>
        <w:t>enforce the requirements pertaining to</w:t>
      </w:r>
      <w:r w:rsidRPr="005C1FE0" w:rsidR="00874CC9">
        <w:rPr>
          <w:rFonts w:ascii="Times New Roman" w:hAnsi="Times New Roman"/>
        </w:rPr>
        <w:t xml:space="preserve"> </w:t>
      </w:r>
      <w:r w:rsidR="00CE69F1">
        <w:rPr>
          <w:rFonts w:ascii="Times New Roman" w:hAnsi="Times New Roman"/>
        </w:rPr>
        <w:t xml:space="preserve">adequate </w:t>
      </w:r>
      <w:r w:rsidRPr="005C1FE0" w:rsidR="006A0DCD">
        <w:rPr>
          <w:rFonts w:ascii="Times New Roman" w:hAnsi="Times New Roman"/>
        </w:rPr>
        <w:t>mortar</w:t>
      </w:r>
      <w:r w:rsidR="00CE69F1">
        <w:rPr>
          <w:rFonts w:ascii="Times New Roman" w:hAnsi="Times New Roman"/>
        </w:rPr>
        <w:t xml:space="preserve"> strength</w:t>
      </w:r>
      <w:r w:rsidRPr="005C1FE0" w:rsidR="006A0DCD">
        <w:rPr>
          <w:rFonts w:ascii="Times New Roman" w:hAnsi="Times New Roman"/>
        </w:rPr>
        <w:t xml:space="preserve"> in </w:t>
      </w:r>
      <w:r w:rsidR="007508A7">
        <w:rPr>
          <w:rFonts w:ascii="Times New Roman" w:hAnsi="Times New Roman"/>
        </w:rPr>
        <w:t xml:space="preserve">masonry </w:t>
      </w:r>
      <w:r w:rsidRPr="005C1FE0" w:rsidR="006A0DCD">
        <w:rPr>
          <w:rFonts w:ascii="Times New Roman" w:hAnsi="Times New Roman"/>
        </w:rPr>
        <w:t xml:space="preserve">piers and walls until such time as </w:t>
      </w:r>
      <w:r w:rsidR="00016B14">
        <w:rPr>
          <w:rFonts w:ascii="Times New Roman" w:hAnsi="Times New Roman"/>
        </w:rPr>
        <w:t>the Agency</w:t>
      </w:r>
      <w:r w:rsidRPr="005C1FE0" w:rsidR="00016B14">
        <w:rPr>
          <w:rFonts w:ascii="Times New Roman" w:hAnsi="Times New Roman"/>
        </w:rPr>
        <w:t xml:space="preserve"> </w:t>
      </w:r>
      <w:r w:rsidRPr="005C1FE0" w:rsidR="006A0DCD">
        <w:rPr>
          <w:rStyle w:val="blueten1"/>
          <w:rFonts w:ascii="Times New Roman" w:hAnsi="Times New Roman"/>
          <w:color w:val="000000"/>
          <w:sz w:val="24"/>
          <w:szCs w:val="24"/>
        </w:rPr>
        <w:t>define</w:t>
      </w:r>
      <w:r w:rsidR="007508A7">
        <w:rPr>
          <w:rStyle w:val="blueten1"/>
          <w:rFonts w:ascii="Times New Roman" w:hAnsi="Times New Roman"/>
          <w:color w:val="000000"/>
          <w:sz w:val="24"/>
          <w:szCs w:val="24"/>
        </w:rPr>
        <w:t>s</w:t>
      </w:r>
      <w:r w:rsidRPr="005C1FE0" w:rsidR="006A0DCD">
        <w:rPr>
          <w:rStyle w:val="blueten1"/>
          <w:rFonts w:ascii="Times New Roman" w:hAnsi="Times New Roman"/>
          <w:color w:val="000000"/>
          <w:sz w:val="24"/>
          <w:szCs w:val="24"/>
        </w:rPr>
        <w:t xml:space="preserve"> an appropriate substitute </w:t>
      </w:r>
      <w:r w:rsidR="009C3C81">
        <w:rPr>
          <w:rStyle w:val="blueten1"/>
          <w:rFonts w:ascii="Times New Roman" w:hAnsi="Times New Roman"/>
          <w:color w:val="000000"/>
          <w:sz w:val="24"/>
          <w:szCs w:val="24"/>
        </w:rPr>
        <w:t xml:space="preserve">method </w:t>
      </w:r>
      <w:r w:rsidRPr="005C1FE0" w:rsidR="006A0DCD">
        <w:rPr>
          <w:rStyle w:val="blueten1"/>
          <w:rFonts w:ascii="Times New Roman" w:hAnsi="Times New Roman"/>
          <w:color w:val="000000"/>
          <w:sz w:val="24"/>
          <w:szCs w:val="24"/>
        </w:rPr>
        <w:t xml:space="preserve">or until an appropriate ASTM test method is </w:t>
      </w:r>
      <w:r w:rsidR="007508A7">
        <w:rPr>
          <w:rStyle w:val="blueten1"/>
          <w:rFonts w:ascii="Times New Roman" w:hAnsi="Times New Roman"/>
          <w:color w:val="000000"/>
          <w:sz w:val="24"/>
          <w:szCs w:val="24"/>
        </w:rPr>
        <w:t>published</w:t>
      </w:r>
      <w:r w:rsidRPr="005C1FE0" w:rsidR="006A0DCD">
        <w:rPr>
          <w:rStyle w:val="blueten1"/>
          <w:rFonts w:ascii="Times New Roman" w:hAnsi="Times New Roman"/>
          <w:color w:val="000000"/>
          <w:sz w:val="24"/>
          <w:szCs w:val="24"/>
        </w:rPr>
        <w:t>.</w:t>
      </w:r>
    </w:p>
    <w:p w:rsidRPr="00007C02" w:rsidR="009F6978" w:rsidRDefault="009F6978">
      <w:pPr>
        <w:rPr>
          <w:rFonts w:ascii="Times New Roman" w:hAnsi="Times New Roman"/>
          <w:highlight w:val="yellow"/>
          <w:u w:val="single"/>
        </w:rPr>
      </w:pPr>
    </w:p>
    <w:p w:rsidRPr="009F6978" w:rsidR="001635BD" w:rsidRDefault="001635BD">
      <w:pPr>
        <w:rPr>
          <w:rFonts w:ascii="Times New Roman" w:hAnsi="Times New Roman"/>
        </w:rPr>
      </w:pPr>
      <w:r w:rsidRPr="008128E9">
        <w:rPr>
          <w:rFonts w:ascii="Times New Roman" w:hAnsi="Times New Roman"/>
          <w:u w:val="single"/>
        </w:rPr>
        <w:t>Use and purpose</w:t>
      </w:r>
      <w:r w:rsidR="00042651">
        <w:rPr>
          <w:rFonts w:ascii="Times New Roman" w:hAnsi="Times New Roman"/>
        </w:rPr>
        <w:t>:</w:t>
      </w:r>
      <w:r w:rsidRPr="008128E9">
        <w:rPr>
          <w:rFonts w:ascii="Times New Roman" w:hAnsi="Times New Roman"/>
        </w:rPr>
        <w:t xml:space="preserve">  </w:t>
      </w:r>
      <w:r w:rsidRPr="008128E9" w:rsidR="00815043">
        <w:rPr>
          <w:rFonts w:ascii="Times New Roman" w:hAnsi="Times New Roman"/>
        </w:rPr>
        <w:t>Th</w:t>
      </w:r>
      <w:r w:rsidRPr="008128E9" w:rsidR="009C3C81">
        <w:rPr>
          <w:rFonts w:ascii="Times New Roman" w:hAnsi="Times New Roman"/>
        </w:rPr>
        <w:t>e</w:t>
      </w:r>
      <w:r w:rsidRPr="008128E9" w:rsidR="00815043">
        <w:rPr>
          <w:rFonts w:ascii="Times New Roman" w:hAnsi="Times New Roman"/>
        </w:rPr>
        <w:t xml:space="preserve"> requirement</w:t>
      </w:r>
      <w:r w:rsidRPr="008128E9" w:rsidR="009C3C81">
        <w:rPr>
          <w:rFonts w:ascii="Times New Roman" w:hAnsi="Times New Roman"/>
        </w:rPr>
        <w:t>s</w:t>
      </w:r>
      <w:r w:rsidRPr="008128E9" w:rsidR="00815043">
        <w:rPr>
          <w:rFonts w:ascii="Times New Roman" w:hAnsi="Times New Roman"/>
        </w:rPr>
        <w:t xml:space="preserve"> </w:t>
      </w:r>
      <w:r w:rsidRPr="008128E9" w:rsidR="00E94612">
        <w:rPr>
          <w:rFonts w:ascii="Times New Roman" w:hAnsi="Times New Roman"/>
        </w:rPr>
        <w:t>e</w:t>
      </w:r>
      <w:r w:rsidRPr="008128E9">
        <w:rPr>
          <w:rFonts w:ascii="Times New Roman" w:hAnsi="Times New Roman"/>
        </w:rPr>
        <w:t>nsure that the steel erector receives valid notification</w:t>
      </w:r>
      <w:r w:rsidRPr="008128E9" w:rsidR="00264A24">
        <w:rPr>
          <w:rFonts w:ascii="Times New Roman" w:hAnsi="Times New Roman"/>
        </w:rPr>
        <w:t>,</w:t>
      </w:r>
      <w:r w:rsidRPr="008128E9">
        <w:rPr>
          <w:rFonts w:ascii="Times New Roman" w:hAnsi="Times New Roman"/>
        </w:rPr>
        <w:t xml:space="preserve"> </w:t>
      </w:r>
      <w:r w:rsidRPr="008128E9" w:rsidR="00874CC9">
        <w:rPr>
          <w:rFonts w:ascii="Times New Roman" w:hAnsi="Times New Roman"/>
        </w:rPr>
        <w:t xml:space="preserve">before it </w:t>
      </w:r>
      <w:r w:rsidRPr="008128E9" w:rsidR="00E36853">
        <w:rPr>
          <w:rFonts w:ascii="Times New Roman" w:hAnsi="Times New Roman"/>
        </w:rPr>
        <w:t xml:space="preserve">is </w:t>
      </w:r>
      <w:r w:rsidRPr="008128E9" w:rsidR="00874CC9">
        <w:rPr>
          <w:rFonts w:ascii="Times New Roman" w:hAnsi="Times New Roman"/>
        </w:rPr>
        <w:t>authorize</w:t>
      </w:r>
      <w:r w:rsidRPr="008128E9" w:rsidR="00E36853">
        <w:rPr>
          <w:rFonts w:ascii="Times New Roman" w:hAnsi="Times New Roman"/>
        </w:rPr>
        <w:t xml:space="preserve">d </w:t>
      </w:r>
      <w:r w:rsidRPr="008128E9" w:rsidR="006775F1">
        <w:rPr>
          <w:rFonts w:ascii="Times New Roman" w:hAnsi="Times New Roman"/>
        </w:rPr>
        <w:t xml:space="preserve">by the controlling contractor </w:t>
      </w:r>
      <w:r w:rsidRPr="008128E9" w:rsidR="00E36853">
        <w:rPr>
          <w:rFonts w:ascii="Times New Roman" w:hAnsi="Times New Roman"/>
        </w:rPr>
        <w:t>to</w:t>
      </w:r>
      <w:r w:rsidRPr="008128E9" w:rsidR="00874CC9">
        <w:rPr>
          <w:rFonts w:ascii="Times New Roman" w:hAnsi="Times New Roman"/>
        </w:rPr>
        <w:t xml:space="preserve"> commence</w:t>
      </w:r>
      <w:r w:rsidR="00042651">
        <w:rPr>
          <w:rFonts w:ascii="Times New Roman" w:hAnsi="Times New Roman"/>
        </w:rPr>
        <w:t xml:space="preserve"> </w:t>
      </w:r>
      <w:r w:rsidRPr="008128E9" w:rsidR="00874CC9">
        <w:rPr>
          <w:rFonts w:ascii="Times New Roman" w:hAnsi="Times New Roman"/>
        </w:rPr>
        <w:t>steel erection</w:t>
      </w:r>
      <w:r w:rsidRPr="008128E9" w:rsidR="00264A24">
        <w:rPr>
          <w:rFonts w:ascii="Times New Roman" w:hAnsi="Times New Roman"/>
        </w:rPr>
        <w:t>,</w:t>
      </w:r>
      <w:r w:rsidRPr="008128E9" w:rsidR="00874CC9">
        <w:rPr>
          <w:rFonts w:ascii="Times New Roman" w:hAnsi="Times New Roman"/>
        </w:rPr>
        <w:t xml:space="preserve"> </w:t>
      </w:r>
      <w:r w:rsidRPr="008128E9">
        <w:rPr>
          <w:rFonts w:ascii="Times New Roman" w:hAnsi="Times New Roman"/>
        </w:rPr>
        <w:t xml:space="preserve">that </w:t>
      </w:r>
      <w:r w:rsidRPr="008128E9" w:rsidR="009C3C81">
        <w:rPr>
          <w:rFonts w:ascii="Times New Roman" w:hAnsi="Times New Roman"/>
        </w:rPr>
        <w:t xml:space="preserve">footing or pier </w:t>
      </w:r>
      <w:r w:rsidRPr="008128E9">
        <w:rPr>
          <w:rFonts w:ascii="Times New Roman" w:hAnsi="Times New Roman"/>
        </w:rPr>
        <w:t xml:space="preserve">concrete will provide </w:t>
      </w:r>
      <w:r w:rsidRPr="008128E9" w:rsidR="00E36853">
        <w:rPr>
          <w:rFonts w:ascii="Times New Roman" w:hAnsi="Times New Roman"/>
        </w:rPr>
        <w:t xml:space="preserve">the required </w:t>
      </w:r>
      <w:r w:rsidRPr="008128E9">
        <w:rPr>
          <w:rFonts w:ascii="Times New Roman" w:hAnsi="Times New Roman"/>
        </w:rPr>
        <w:t>support for</w:t>
      </w:r>
      <w:r w:rsidRPr="008128E9" w:rsidR="00815043">
        <w:rPr>
          <w:rFonts w:ascii="Times New Roman" w:hAnsi="Times New Roman"/>
        </w:rPr>
        <w:t xml:space="preserve"> </w:t>
      </w:r>
      <w:r w:rsidRPr="008128E9" w:rsidR="00CD66F7">
        <w:rPr>
          <w:rFonts w:ascii="Times New Roman" w:hAnsi="Times New Roman"/>
        </w:rPr>
        <w:t xml:space="preserve">safe </w:t>
      </w:r>
      <w:r w:rsidRPr="008128E9">
        <w:rPr>
          <w:rFonts w:ascii="Times New Roman" w:hAnsi="Times New Roman"/>
        </w:rPr>
        <w:t>structural steel</w:t>
      </w:r>
      <w:r w:rsidRPr="008128E9" w:rsidR="00815043">
        <w:rPr>
          <w:rFonts w:ascii="Times New Roman" w:hAnsi="Times New Roman"/>
        </w:rPr>
        <w:t xml:space="preserve"> assembly activities</w:t>
      </w:r>
      <w:r w:rsidRPr="008128E9" w:rsidR="00E94612">
        <w:rPr>
          <w:rFonts w:ascii="Times New Roman" w:hAnsi="Times New Roman"/>
        </w:rPr>
        <w:t>.</w:t>
      </w:r>
      <w:r w:rsidRPr="008128E9" w:rsidR="009C3C81">
        <w:rPr>
          <w:rFonts w:ascii="Times New Roman" w:hAnsi="Times New Roman"/>
        </w:rPr>
        <w:t xml:space="preserve"> The requirements also ensure that the anchor bolts, which attach steel </w:t>
      </w:r>
      <w:r w:rsidRPr="008128E9" w:rsidR="00744F89">
        <w:rPr>
          <w:rFonts w:ascii="Times New Roman" w:hAnsi="Times New Roman"/>
        </w:rPr>
        <w:t xml:space="preserve">members to the </w:t>
      </w:r>
      <w:r w:rsidRPr="008128E9" w:rsidR="00CD66F7">
        <w:rPr>
          <w:rFonts w:ascii="Times New Roman" w:hAnsi="Times New Roman"/>
        </w:rPr>
        <w:t xml:space="preserve">concrete </w:t>
      </w:r>
      <w:r w:rsidRPr="008128E9" w:rsidR="00744F89">
        <w:rPr>
          <w:rFonts w:ascii="Times New Roman" w:hAnsi="Times New Roman"/>
        </w:rPr>
        <w:t xml:space="preserve">foundation </w:t>
      </w:r>
      <w:r w:rsidRPr="008128E9" w:rsidR="00CF4057">
        <w:rPr>
          <w:rFonts w:ascii="Times New Roman" w:hAnsi="Times New Roman"/>
        </w:rPr>
        <w:t>elements,</w:t>
      </w:r>
      <w:r w:rsidRPr="008128E9" w:rsidR="00744F89">
        <w:rPr>
          <w:rFonts w:ascii="Times New Roman" w:hAnsi="Times New Roman"/>
        </w:rPr>
        <w:t xml:space="preserve"> </w:t>
      </w:r>
      <w:r w:rsidRPr="008128E9" w:rsidR="00CD66F7">
        <w:rPr>
          <w:rFonts w:ascii="Times New Roman" w:hAnsi="Times New Roman"/>
        </w:rPr>
        <w:t>meet appropriate</w:t>
      </w:r>
      <w:r w:rsidRPr="008128E9" w:rsidR="00744F89">
        <w:rPr>
          <w:rFonts w:ascii="Times New Roman" w:hAnsi="Times New Roman"/>
        </w:rPr>
        <w:t xml:space="preserve"> design criteria. </w:t>
      </w:r>
      <w:r w:rsidRPr="008128E9">
        <w:rPr>
          <w:rFonts w:ascii="Times New Roman" w:hAnsi="Times New Roman"/>
        </w:rPr>
        <w:t xml:space="preserve"> </w:t>
      </w:r>
      <w:r w:rsidRPr="008128E9" w:rsidR="00E94612">
        <w:rPr>
          <w:rFonts w:ascii="Times New Roman" w:hAnsi="Times New Roman"/>
        </w:rPr>
        <w:t>Th</w:t>
      </w:r>
      <w:r w:rsidRPr="008128E9" w:rsidR="00744F89">
        <w:rPr>
          <w:rFonts w:ascii="Times New Roman" w:hAnsi="Times New Roman"/>
        </w:rPr>
        <w:t>e two</w:t>
      </w:r>
      <w:r w:rsidRPr="008128E9" w:rsidR="00E94612">
        <w:rPr>
          <w:rFonts w:ascii="Times New Roman" w:hAnsi="Times New Roman"/>
        </w:rPr>
        <w:t xml:space="preserve"> requirement</w:t>
      </w:r>
      <w:r w:rsidRPr="008128E9" w:rsidR="00744F89">
        <w:rPr>
          <w:rFonts w:ascii="Times New Roman" w:hAnsi="Times New Roman"/>
        </w:rPr>
        <w:t xml:space="preserve">s </w:t>
      </w:r>
      <w:r w:rsidRPr="008128E9" w:rsidR="00815043">
        <w:rPr>
          <w:rFonts w:ascii="Times New Roman" w:hAnsi="Times New Roman"/>
        </w:rPr>
        <w:t xml:space="preserve">in </w:t>
      </w:r>
      <w:r w:rsidRPr="008128E9" w:rsidR="00CD66F7">
        <w:rPr>
          <w:rFonts w:ascii="Times New Roman" w:hAnsi="Times New Roman"/>
        </w:rPr>
        <w:t>concert</w:t>
      </w:r>
      <w:r w:rsidRPr="008128E9" w:rsidR="00815043">
        <w:rPr>
          <w:rFonts w:ascii="Times New Roman" w:hAnsi="Times New Roman"/>
        </w:rPr>
        <w:t xml:space="preserve"> prevent</w:t>
      </w:r>
      <w:r w:rsidRPr="008128E9">
        <w:rPr>
          <w:rFonts w:ascii="Times New Roman" w:hAnsi="Times New Roman"/>
        </w:rPr>
        <w:t xml:space="preserve"> collapse</w:t>
      </w:r>
      <w:r w:rsidRPr="008128E9" w:rsidR="00815043">
        <w:rPr>
          <w:rFonts w:ascii="Times New Roman" w:hAnsi="Times New Roman"/>
        </w:rPr>
        <w:t>s due to inadequate foundation</w:t>
      </w:r>
      <w:r w:rsidRPr="008128E9" w:rsidR="004F2F9D">
        <w:rPr>
          <w:rFonts w:ascii="Times New Roman" w:hAnsi="Times New Roman"/>
        </w:rPr>
        <w:t xml:space="preserve"> </w:t>
      </w:r>
      <w:r w:rsidRPr="008128E9" w:rsidR="00E94612">
        <w:rPr>
          <w:rFonts w:ascii="Times New Roman" w:hAnsi="Times New Roman"/>
        </w:rPr>
        <w:t>preparation</w:t>
      </w:r>
      <w:r w:rsidRPr="008128E9" w:rsidR="00744F89">
        <w:rPr>
          <w:rFonts w:ascii="Times New Roman" w:hAnsi="Times New Roman"/>
        </w:rPr>
        <w:t xml:space="preserve"> and ineffective steel to foundation anchoring. Collapses of structural steel endanger </w:t>
      </w:r>
      <w:r w:rsidRPr="008128E9" w:rsidR="006775F1">
        <w:rPr>
          <w:rFonts w:ascii="Times New Roman" w:hAnsi="Times New Roman"/>
        </w:rPr>
        <w:t xml:space="preserve">the lives of </w:t>
      </w:r>
      <w:r w:rsidRPr="008128E9" w:rsidR="00744F89">
        <w:rPr>
          <w:rFonts w:ascii="Times New Roman" w:hAnsi="Times New Roman"/>
        </w:rPr>
        <w:t xml:space="preserve">iron workers erecting the structure as well as </w:t>
      </w:r>
      <w:r w:rsidRPr="008128E9" w:rsidR="006775F1">
        <w:rPr>
          <w:rFonts w:ascii="Times New Roman" w:hAnsi="Times New Roman"/>
        </w:rPr>
        <w:t>pose life</w:t>
      </w:r>
      <w:r w:rsidRPr="008128E9" w:rsidR="00FF4D9C">
        <w:rPr>
          <w:rFonts w:ascii="Times New Roman" w:hAnsi="Times New Roman"/>
        </w:rPr>
        <w:t>-</w:t>
      </w:r>
      <w:r w:rsidRPr="008128E9" w:rsidR="006775F1">
        <w:rPr>
          <w:rFonts w:ascii="Times New Roman" w:hAnsi="Times New Roman"/>
        </w:rPr>
        <w:t xml:space="preserve">threatening hazards to </w:t>
      </w:r>
      <w:r w:rsidRPr="008128E9" w:rsidR="00744F89">
        <w:rPr>
          <w:rFonts w:ascii="Times New Roman" w:hAnsi="Times New Roman"/>
        </w:rPr>
        <w:t>anyone</w:t>
      </w:r>
      <w:r w:rsidRPr="008128E9" w:rsidR="00EB7F2A">
        <w:rPr>
          <w:rFonts w:ascii="Times New Roman" w:hAnsi="Times New Roman"/>
        </w:rPr>
        <w:t xml:space="preserve"> within </w:t>
      </w:r>
      <w:r w:rsidRPr="008128E9" w:rsidR="00CD66F7">
        <w:rPr>
          <w:rFonts w:ascii="Times New Roman" w:hAnsi="Times New Roman"/>
        </w:rPr>
        <w:t xml:space="preserve">the </w:t>
      </w:r>
      <w:r w:rsidRPr="008128E9" w:rsidR="006867D2">
        <w:rPr>
          <w:rFonts w:ascii="Times New Roman" w:hAnsi="Times New Roman"/>
        </w:rPr>
        <w:t xml:space="preserve">steel’s </w:t>
      </w:r>
      <w:r w:rsidRPr="008128E9" w:rsidR="00CD66F7">
        <w:rPr>
          <w:rFonts w:ascii="Times New Roman" w:hAnsi="Times New Roman"/>
        </w:rPr>
        <w:t>impact zone</w:t>
      </w:r>
      <w:r w:rsidRPr="008128E9" w:rsidR="00EB7F2A">
        <w:rPr>
          <w:rFonts w:ascii="Times New Roman" w:hAnsi="Times New Roman"/>
        </w:rPr>
        <w:t>.</w:t>
      </w:r>
      <w:r w:rsidR="00874CC9">
        <w:rPr>
          <w:rFonts w:ascii="Times New Roman" w:hAnsi="Times New Roman"/>
        </w:rPr>
        <w:t xml:space="preserve"> </w:t>
      </w:r>
    </w:p>
    <w:p w:rsidR="001635BD" w:rsidRDefault="001635BD">
      <w:pPr>
        <w:rPr>
          <w:rFonts w:ascii="Times New Roman" w:hAnsi="Times New Roman"/>
        </w:rPr>
      </w:pPr>
    </w:p>
    <w:p w:rsidRPr="005E5E4D" w:rsidR="001635BD" w:rsidRDefault="001635BD">
      <w:pPr>
        <w:rPr>
          <w:rFonts w:ascii="Times New Roman" w:hAnsi="Times New Roman"/>
        </w:rPr>
      </w:pPr>
      <w:r w:rsidRPr="005E5E4D">
        <w:rPr>
          <w:rFonts w:ascii="Times New Roman" w:hAnsi="Times New Roman"/>
          <w:b/>
          <w:bCs/>
        </w:rPr>
        <w:t>§ 1926.753(c)(5)</w:t>
      </w:r>
      <w:r w:rsidRPr="005E5E4D" w:rsidR="008C4E20">
        <w:rPr>
          <w:rFonts w:ascii="Times New Roman" w:hAnsi="Times New Roman"/>
          <w:b/>
          <w:bCs/>
        </w:rPr>
        <w:t>(ii)</w:t>
      </w:r>
      <w:r w:rsidRPr="005E5E4D">
        <w:rPr>
          <w:rFonts w:ascii="Times New Roman" w:hAnsi="Times New Roman"/>
        </w:rPr>
        <w:t xml:space="preserve">.  </w:t>
      </w:r>
      <w:r w:rsidRPr="005E5E4D">
        <w:rPr>
          <w:rFonts w:ascii="Times New Roman" w:hAnsi="Times New Roman"/>
          <w:u w:val="single"/>
        </w:rPr>
        <w:t>Description of the requirement</w:t>
      </w:r>
      <w:r w:rsidRPr="005E5E4D">
        <w:rPr>
          <w:rFonts w:ascii="Times New Roman" w:hAnsi="Times New Roman"/>
        </w:rPr>
        <w:t xml:space="preserve">.  Employers </w:t>
      </w:r>
      <w:r w:rsidRPr="005E5E4D" w:rsidR="002F0A7F">
        <w:rPr>
          <w:rFonts w:ascii="Times New Roman" w:hAnsi="Times New Roman"/>
        </w:rPr>
        <w:t xml:space="preserve">must not </w:t>
      </w:r>
      <w:r w:rsidRPr="005E5E4D">
        <w:rPr>
          <w:rFonts w:ascii="Times New Roman" w:hAnsi="Times New Roman"/>
        </w:rPr>
        <w:t xml:space="preserve">deactivate safety latches on hooks or make </w:t>
      </w:r>
      <w:r w:rsidRPr="005E5E4D" w:rsidR="00187C7D">
        <w:rPr>
          <w:rFonts w:ascii="Times New Roman" w:hAnsi="Times New Roman"/>
        </w:rPr>
        <w:t xml:space="preserve">the latches </w:t>
      </w:r>
      <w:r w:rsidRPr="005E5E4D">
        <w:rPr>
          <w:rFonts w:ascii="Times New Roman" w:hAnsi="Times New Roman"/>
        </w:rPr>
        <w:t xml:space="preserve">inoperable </w:t>
      </w:r>
      <w:r w:rsidRPr="005E5E4D" w:rsidR="002F0A7F">
        <w:rPr>
          <w:rFonts w:ascii="Times New Roman" w:hAnsi="Times New Roman"/>
        </w:rPr>
        <w:t>except when</w:t>
      </w:r>
      <w:r w:rsidRPr="005E5E4D">
        <w:rPr>
          <w:rFonts w:ascii="Times New Roman" w:hAnsi="Times New Roman"/>
        </w:rPr>
        <w:t xml:space="preserve">:  </w:t>
      </w:r>
      <w:r w:rsidRPr="005E5E4D" w:rsidR="008C4E20">
        <w:rPr>
          <w:rFonts w:ascii="Times New Roman" w:hAnsi="Times New Roman"/>
        </w:rPr>
        <w:t>“</w:t>
      </w:r>
      <w:r w:rsidRPr="005E5E4D" w:rsidR="005E5E4D">
        <w:rPr>
          <w:rFonts w:ascii="Times New Roman" w:hAnsi="Times New Roman"/>
        </w:rPr>
        <w:t>[…]</w:t>
      </w:r>
      <w:r w:rsidRPr="005E5E4D">
        <w:rPr>
          <w:rFonts w:ascii="Times New Roman" w:hAnsi="Times New Roman"/>
        </w:rPr>
        <w:t xml:space="preserve">equivalent protection </w:t>
      </w:r>
      <w:r w:rsidRPr="005E5E4D" w:rsidR="002F0A7F">
        <w:rPr>
          <w:rFonts w:ascii="Times New Roman" w:hAnsi="Times New Roman"/>
        </w:rPr>
        <w:t xml:space="preserve">is provided </w:t>
      </w:r>
      <w:r w:rsidRPr="005E5E4D">
        <w:rPr>
          <w:rFonts w:ascii="Times New Roman" w:hAnsi="Times New Roman"/>
        </w:rPr>
        <w:t>in the site-specific erection plan.</w:t>
      </w:r>
      <w:r w:rsidR="0061204D">
        <w:rPr>
          <w:rFonts w:ascii="Times New Roman" w:hAnsi="Times New Roman"/>
        </w:rPr>
        <w:t>”</w:t>
      </w:r>
    </w:p>
    <w:p w:rsidRPr="00B02BD2" w:rsidR="009F6978" w:rsidRDefault="009F6978">
      <w:pPr>
        <w:rPr>
          <w:rFonts w:ascii="Times New Roman" w:hAnsi="Times New Roman"/>
          <w:highlight w:val="yellow"/>
          <w:u w:val="single"/>
        </w:rPr>
      </w:pPr>
    </w:p>
    <w:p w:rsidRPr="009F6978" w:rsidR="001635BD" w:rsidRDefault="001635BD">
      <w:pPr>
        <w:rPr>
          <w:rFonts w:ascii="Times New Roman" w:hAnsi="Times New Roman"/>
        </w:rPr>
      </w:pPr>
      <w:r w:rsidRPr="00BE43E0">
        <w:rPr>
          <w:rFonts w:ascii="Times New Roman" w:hAnsi="Times New Roman"/>
          <w:u w:val="single"/>
        </w:rPr>
        <w:t>Use and purpose</w:t>
      </w:r>
      <w:r w:rsidRPr="00BE43E0">
        <w:rPr>
          <w:rFonts w:ascii="Times New Roman" w:hAnsi="Times New Roman"/>
        </w:rPr>
        <w:t xml:space="preserve">.  Describing equivalent protection in the site-specific erection plan is an efficient means for employers to communicate to </w:t>
      </w:r>
      <w:r w:rsidRPr="00BE43E0" w:rsidR="00FB6619">
        <w:rPr>
          <w:rFonts w:ascii="Times New Roman" w:hAnsi="Times New Roman"/>
        </w:rPr>
        <w:t>worker</w:t>
      </w:r>
      <w:r w:rsidRPr="00BE43E0">
        <w:rPr>
          <w:rFonts w:ascii="Times New Roman" w:hAnsi="Times New Roman"/>
        </w:rPr>
        <w:t>s and others that the</w:t>
      </w:r>
      <w:r w:rsidRPr="00BE43E0" w:rsidR="004A5AD4">
        <w:rPr>
          <w:rFonts w:ascii="Times New Roman" w:hAnsi="Times New Roman"/>
        </w:rPr>
        <w:t xml:space="preserve"> employers</w:t>
      </w:r>
      <w:r w:rsidRPr="00BE43E0">
        <w:rPr>
          <w:rFonts w:ascii="Times New Roman" w:hAnsi="Times New Roman"/>
        </w:rPr>
        <w:t xml:space="preserve"> are </w:t>
      </w:r>
      <w:r w:rsidRPr="00BE43E0">
        <w:rPr>
          <w:rFonts w:ascii="Times New Roman" w:hAnsi="Times New Roman"/>
        </w:rPr>
        <w:lastRenderedPageBreak/>
        <w:t>deactivating safety latch</w:t>
      </w:r>
      <w:r w:rsidRPr="00BE43E0" w:rsidR="004A5AD4">
        <w:rPr>
          <w:rFonts w:ascii="Times New Roman" w:hAnsi="Times New Roman"/>
        </w:rPr>
        <w:t>es</w:t>
      </w:r>
      <w:r w:rsidRPr="00BE43E0" w:rsidR="00F02EA2">
        <w:rPr>
          <w:rFonts w:ascii="Times New Roman" w:hAnsi="Times New Roman"/>
        </w:rPr>
        <w:t xml:space="preserve"> for hoisting purlins and </w:t>
      </w:r>
      <w:r w:rsidRPr="00BE43E0" w:rsidR="00BE43E0">
        <w:rPr>
          <w:rFonts w:ascii="Times New Roman" w:hAnsi="Times New Roman"/>
        </w:rPr>
        <w:t xml:space="preserve">certain </w:t>
      </w:r>
      <w:r w:rsidRPr="00BE43E0" w:rsidR="00F02EA2">
        <w:rPr>
          <w:rFonts w:ascii="Times New Roman" w:hAnsi="Times New Roman"/>
        </w:rPr>
        <w:t>joists</w:t>
      </w:r>
      <w:r w:rsidRPr="00BE43E0">
        <w:rPr>
          <w:rFonts w:ascii="Times New Roman" w:hAnsi="Times New Roman"/>
        </w:rPr>
        <w:t xml:space="preserve">, and to specify the alternate </w:t>
      </w:r>
      <w:r w:rsidRPr="00BE43E0" w:rsidR="00187C7D">
        <w:rPr>
          <w:rFonts w:ascii="Times New Roman" w:hAnsi="Times New Roman"/>
        </w:rPr>
        <w:t>protecti</w:t>
      </w:r>
      <w:r w:rsidRPr="00BE43E0" w:rsidR="00166293">
        <w:rPr>
          <w:rFonts w:ascii="Times New Roman" w:hAnsi="Times New Roman"/>
        </w:rPr>
        <w:t>on</w:t>
      </w:r>
      <w:r w:rsidRPr="00BE43E0" w:rsidR="00F8231B">
        <w:rPr>
          <w:rFonts w:ascii="Times New Roman" w:hAnsi="Times New Roman"/>
        </w:rPr>
        <w:t xml:space="preserve"> for these lifting operations. </w:t>
      </w:r>
      <w:r w:rsidRPr="00BE43E0" w:rsidR="00166293">
        <w:rPr>
          <w:rFonts w:ascii="Times New Roman" w:hAnsi="Times New Roman"/>
        </w:rPr>
        <w:t>Alternate protection,</w:t>
      </w:r>
      <w:r w:rsidRPr="00BE43E0" w:rsidR="00F8231B">
        <w:rPr>
          <w:rFonts w:ascii="Times New Roman" w:hAnsi="Times New Roman"/>
        </w:rPr>
        <w:t xml:space="preserve"> like </w:t>
      </w:r>
      <w:r w:rsidRPr="00BE43E0" w:rsidR="00166293">
        <w:rPr>
          <w:rFonts w:ascii="Times New Roman" w:hAnsi="Times New Roman"/>
        </w:rPr>
        <w:t xml:space="preserve">lift paths designed to eliminate </w:t>
      </w:r>
      <w:r w:rsidRPr="00BE43E0" w:rsidR="004045A3">
        <w:rPr>
          <w:rFonts w:ascii="Times New Roman" w:hAnsi="Times New Roman"/>
        </w:rPr>
        <w:t>possible human impact</w:t>
      </w:r>
      <w:r w:rsidRPr="00BE43E0" w:rsidR="00F8231B">
        <w:rPr>
          <w:rFonts w:ascii="Times New Roman" w:hAnsi="Times New Roman"/>
        </w:rPr>
        <w:t>, requiring slow hoisting speeds</w:t>
      </w:r>
      <w:r w:rsidRPr="00BE43E0" w:rsidR="006A6EEA">
        <w:rPr>
          <w:rFonts w:ascii="Times New Roman" w:hAnsi="Times New Roman"/>
        </w:rPr>
        <w:t>,</w:t>
      </w:r>
      <w:r w:rsidRPr="00BE43E0" w:rsidR="00F8231B">
        <w:rPr>
          <w:rFonts w:ascii="Times New Roman" w:hAnsi="Times New Roman"/>
        </w:rPr>
        <w:t xml:space="preserve"> </w:t>
      </w:r>
      <w:r w:rsidRPr="00BE43E0" w:rsidR="004045A3">
        <w:rPr>
          <w:rFonts w:ascii="Times New Roman" w:hAnsi="Times New Roman"/>
        </w:rPr>
        <w:t xml:space="preserve">prohibiting lifts in windy conditions </w:t>
      </w:r>
      <w:r w:rsidRPr="00BE43E0" w:rsidR="006A6EEA">
        <w:rPr>
          <w:rFonts w:ascii="Times New Roman" w:hAnsi="Times New Roman"/>
        </w:rPr>
        <w:t xml:space="preserve">and mandating tagline use, </w:t>
      </w:r>
      <w:r w:rsidRPr="00BE43E0" w:rsidR="004045A3">
        <w:rPr>
          <w:rFonts w:ascii="Times New Roman" w:hAnsi="Times New Roman"/>
        </w:rPr>
        <w:t>could provide alternate and equivalent protection</w:t>
      </w:r>
      <w:r w:rsidRPr="00BE43E0" w:rsidR="006A6EEA">
        <w:rPr>
          <w:rFonts w:ascii="Times New Roman" w:hAnsi="Times New Roman"/>
        </w:rPr>
        <w:t>. The alternates would protect</w:t>
      </w:r>
      <w:r w:rsidRPr="00BE43E0" w:rsidR="004045A3">
        <w:rPr>
          <w:rFonts w:ascii="Times New Roman" w:hAnsi="Times New Roman"/>
        </w:rPr>
        <w:t xml:space="preserve"> iron worker</w:t>
      </w:r>
      <w:r w:rsidRPr="00BE43E0" w:rsidR="006A6EEA">
        <w:rPr>
          <w:rFonts w:ascii="Times New Roman" w:hAnsi="Times New Roman"/>
        </w:rPr>
        <w:t>s</w:t>
      </w:r>
      <w:r w:rsidRPr="00BE43E0" w:rsidR="004045A3">
        <w:rPr>
          <w:rFonts w:ascii="Times New Roman" w:hAnsi="Times New Roman"/>
        </w:rPr>
        <w:t xml:space="preserve"> </w:t>
      </w:r>
      <w:r w:rsidRPr="00BE43E0" w:rsidR="006A6EEA">
        <w:rPr>
          <w:rFonts w:ascii="Times New Roman" w:hAnsi="Times New Roman"/>
        </w:rPr>
        <w:t xml:space="preserve">on </w:t>
      </w:r>
      <w:r w:rsidRPr="00BE43E0" w:rsidR="004045A3">
        <w:rPr>
          <w:rFonts w:ascii="Times New Roman" w:hAnsi="Times New Roman"/>
        </w:rPr>
        <w:t xml:space="preserve">the </w:t>
      </w:r>
      <w:r w:rsidRPr="00BE43E0" w:rsidR="006A6EEA">
        <w:rPr>
          <w:rFonts w:ascii="Times New Roman" w:hAnsi="Times New Roman"/>
        </w:rPr>
        <w:t>structure as well as</w:t>
      </w:r>
      <w:r w:rsidRPr="00BE43E0" w:rsidR="004045A3">
        <w:rPr>
          <w:rFonts w:ascii="Times New Roman" w:hAnsi="Times New Roman"/>
        </w:rPr>
        <w:t xml:space="preserve"> other people po</w:t>
      </w:r>
      <w:r w:rsidRPr="00BE43E0" w:rsidR="006A6EEA">
        <w:rPr>
          <w:rFonts w:ascii="Times New Roman" w:hAnsi="Times New Roman"/>
        </w:rPr>
        <w:t>tentially</w:t>
      </w:r>
      <w:r w:rsidRPr="00BE43E0" w:rsidR="004045A3">
        <w:rPr>
          <w:rFonts w:ascii="Times New Roman" w:hAnsi="Times New Roman"/>
        </w:rPr>
        <w:t xml:space="preserve"> </w:t>
      </w:r>
      <w:r w:rsidRPr="00BE43E0" w:rsidR="006A6EEA">
        <w:rPr>
          <w:rFonts w:ascii="Times New Roman" w:hAnsi="Times New Roman"/>
        </w:rPr>
        <w:t>exposed to</w:t>
      </w:r>
      <w:r w:rsidRPr="00BE43E0" w:rsidR="004045A3">
        <w:rPr>
          <w:rFonts w:ascii="Times New Roman" w:hAnsi="Times New Roman"/>
        </w:rPr>
        <w:t xml:space="preserve"> the hazards of falling structural members.</w:t>
      </w:r>
    </w:p>
    <w:p w:rsidR="00DB6778" w:rsidRDefault="00DB6778">
      <w:pPr>
        <w:rPr>
          <w:rFonts w:ascii="Times New Roman" w:hAnsi="Times New Roman"/>
          <w:b/>
          <w:bCs/>
        </w:rPr>
      </w:pPr>
    </w:p>
    <w:p w:rsidRPr="009F6978" w:rsidR="001635BD" w:rsidRDefault="001635BD">
      <w:pPr>
        <w:rPr>
          <w:rFonts w:ascii="Times New Roman" w:hAnsi="Times New Roman"/>
        </w:rPr>
      </w:pPr>
      <w:r w:rsidRPr="009F6978">
        <w:rPr>
          <w:rFonts w:ascii="Times New Roman" w:hAnsi="Times New Roman"/>
          <w:b/>
          <w:bCs/>
        </w:rPr>
        <w:t>§ 1926.753(e)(2)</w:t>
      </w:r>
      <w:r w:rsidRPr="009F6978">
        <w:rPr>
          <w:rFonts w:ascii="Times New Roman" w:hAnsi="Times New Roman"/>
        </w:rPr>
        <w:t xml:space="preserve">.  </w:t>
      </w:r>
      <w:r w:rsidRPr="009F6978">
        <w:rPr>
          <w:rFonts w:ascii="Times New Roman" w:hAnsi="Times New Roman"/>
          <w:u w:val="single"/>
        </w:rPr>
        <w:t>Description of the requirement</w:t>
      </w:r>
      <w:r w:rsidRPr="009F6978">
        <w:rPr>
          <w:rFonts w:ascii="Times New Roman" w:hAnsi="Times New Roman"/>
        </w:rPr>
        <w:t xml:space="preserve">.  </w:t>
      </w:r>
      <w:r w:rsidR="000613E4">
        <w:rPr>
          <w:rFonts w:ascii="Times New Roman" w:hAnsi="Times New Roman"/>
        </w:rPr>
        <w:t xml:space="preserve">Employers may use multiple-lift rigging assemblies to hoist </w:t>
      </w:r>
      <w:r w:rsidR="00132E18">
        <w:rPr>
          <w:rFonts w:ascii="Times New Roman" w:hAnsi="Times New Roman"/>
        </w:rPr>
        <w:t xml:space="preserve">up to five </w:t>
      </w:r>
      <w:r w:rsidR="000613E4">
        <w:rPr>
          <w:rFonts w:ascii="Times New Roman" w:hAnsi="Times New Roman"/>
        </w:rPr>
        <w:t xml:space="preserve">beams and </w:t>
      </w:r>
      <w:r w:rsidR="00132E18">
        <w:rPr>
          <w:rFonts w:ascii="Times New Roman" w:hAnsi="Times New Roman"/>
        </w:rPr>
        <w:t>similar structur</w:t>
      </w:r>
      <w:r w:rsidR="001351FF">
        <w:rPr>
          <w:rFonts w:ascii="Times New Roman" w:hAnsi="Times New Roman"/>
        </w:rPr>
        <w:t>al members</w:t>
      </w:r>
      <w:r w:rsidR="00132E18">
        <w:rPr>
          <w:rFonts w:ascii="Times New Roman" w:hAnsi="Times New Roman"/>
        </w:rPr>
        <w:t xml:space="preserve"> simultaneously. The</w:t>
      </w:r>
      <w:r w:rsidRPr="009F6978">
        <w:rPr>
          <w:rFonts w:ascii="Times New Roman" w:hAnsi="Times New Roman"/>
        </w:rPr>
        <w:t xml:space="preserve"> maximum capacity of the </w:t>
      </w:r>
      <w:r w:rsidR="00132E18">
        <w:rPr>
          <w:rFonts w:ascii="Times New Roman" w:hAnsi="Times New Roman"/>
        </w:rPr>
        <w:t>whole assembly</w:t>
      </w:r>
      <w:r w:rsidRPr="009F6978">
        <w:rPr>
          <w:rFonts w:ascii="Times New Roman" w:hAnsi="Times New Roman"/>
        </w:rPr>
        <w:t xml:space="preserve">, as well as </w:t>
      </w:r>
      <w:r w:rsidR="00CC2259">
        <w:rPr>
          <w:rFonts w:ascii="Times New Roman" w:hAnsi="Times New Roman"/>
        </w:rPr>
        <w:t xml:space="preserve">of </w:t>
      </w:r>
      <w:r w:rsidRPr="009F6978">
        <w:rPr>
          <w:rFonts w:ascii="Times New Roman" w:hAnsi="Times New Roman"/>
        </w:rPr>
        <w:t xml:space="preserve">each of its individual attachment points, </w:t>
      </w:r>
      <w:r w:rsidR="00CC2259">
        <w:rPr>
          <w:rFonts w:ascii="Times New Roman" w:hAnsi="Times New Roman"/>
        </w:rPr>
        <w:t xml:space="preserve">must be </w:t>
      </w:r>
      <w:r w:rsidRPr="009F6978">
        <w:rPr>
          <w:rFonts w:ascii="Times New Roman" w:hAnsi="Times New Roman"/>
        </w:rPr>
        <w:t>certified by the manufacturer or a qualified rigger</w:t>
      </w:r>
      <w:r w:rsidR="00CC2259">
        <w:rPr>
          <w:rFonts w:ascii="Times New Roman" w:hAnsi="Times New Roman"/>
        </w:rPr>
        <w:t xml:space="preserve"> based on the manufacturer’s specifications with a 5 to 1 safety factor for all components</w:t>
      </w:r>
      <w:r w:rsidRPr="009F6978">
        <w:rPr>
          <w:rFonts w:ascii="Times New Roman" w:hAnsi="Times New Roman"/>
        </w:rPr>
        <w:t>.</w:t>
      </w:r>
      <w:r w:rsidR="00B907C8">
        <w:rPr>
          <w:rFonts w:ascii="Times New Roman" w:hAnsi="Times New Roman"/>
        </w:rPr>
        <w:t xml:space="preserve"> Manufacturer specification sheets are delivered for each piece of the system at the time of sale. In addition each piece of the system has a marking </w:t>
      </w:r>
      <w:r w:rsidR="0006730A">
        <w:rPr>
          <w:rFonts w:ascii="Times New Roman" w:hAnsi="Times New Roman"/>
        </w:rPr>
        <w:t xml:space="preserve">on it </w:t>
      </w:r>
      <w:r w:rsidR="00B907C8">
        <w:rPr>
          <w:rFonts w:ascii="Times New Roman" w:hAnsi="Times New Roman"/>
        </w:rPr>
        <w:t>identifying its safe working load</w:t>
      </w:r>
      <w:r w:rsidR="0006730A">
        <w:rPr>
          <w:rFonts w:ascii="Times New Roman" w:hAnsi="Times New Roman"/>
        </w:rPr>
        <w:t>.</w:t>
      </w:r>
    </w:p>
    <w:p w:rsidR="009F6978" w:rsidRDefault="009F6978">
      <w:pPr>
        <w:rPr>
          <w:rFonts w:ascii="Times New Roman" w:hAnsi="Times New Roman"/>
          <w:u w:val="single"/>
        </w:rPr>
      </w:pPr>
    </w:p>
    <w:p w:rsidR="0006730A" w:rsidP="00EC5F9C" w:rsidRDefault="001635BD">
      <w:pPr>
        <w:rPr>
          <w:rFonts w:ascii="Times New Roman" w:hAnsi="Times New Roman"/>
        </w:rPr>
      </w:pPr>
      <w:r w:rsidRPr="009F6978">
        <w:rPr>
          <w:rFonts w:ascii="Times New Roman" w:hAnsi="Times New Roman"/>
          <w:u w:val="single"/>
        </w:rPr>
        <w:t>Use and purpose</w:t>
      </w:r>
      <w:r w:rsidR="00042651">
        <w:rPr>
          <w:rFonts w:ascii="Times New Roman" w:hAnsi="Times New Roman"/>
          <w:u w:val="single"/>
        </w:rPr>
        <w:t>:</w:t>
      </w:r>
      <w:r w:rsidRPr="009F6978">
        <w:rPr>
          <w:rFonts w:ascii="Times New Roman" w:hAnsi="Times New Roman"/>
        </w:rPr>
        <w:t xml:space="preserve">  </w:t>
      </w:r>
      <w:r w:rsidR="0006730A">
        <w:rPr>
          <w:rFonts w:ascii="Times New Roman" w:hAnsi="Times New Roman"/>
        </w:rPr>
        <w:t>This requirement e</w:t>
      </w:r>
      <w:r w:rsidRPr="009F6978">
        <w:rPr>
          <w:rFonts w:ascii="Times New Roman" w:hAnsi="Times New Roman"/>
        </w:rPr>
        <w:t>ffectively</w:t>
      </w:r>
      <w:r w:rsidR="008C50AE">
        <w:rPr>
          <w:rFonts w:ascii="Times New Roman" w:hAnsi="Times New Roman"/>
        </w:rPr>
        <w:t xml:space="preserve"> prevents multiple-lift rigging assembly failures due to overloading and saves those around or </w:t>
      </w:r>
      <w:r w:rsidR="0095551E">
        <w:rPr>
          <w:rFonts w:ascii="Times New Roman" w:hAnsi="Times New Roman"/>
        </w:rPr>
        <w:t>near</w:t>
      </w:r>
      <w:r w:rsidR="008C50AE">
        <w:rPr>
          <w:rFonts w:ascii="Times New Roman" w:hAnsi="Times New Roman"/>
        </w:rPr>
        <w:t xml:space="preserve"> the lift</w:t>
      </w:r>
      <w:r w:rsidR="0095551E">
        <w:rPr>
          <w:rFonts w:ascii="Times New Roman" w:hAnsi="Times New Roman"/>
        </w:rPr>
        <w:t>s</w:t>
      </w:r>
      <w:r w:rsidR="008C50AE">
        <w:rPr>
          <w:rFonts w:ascii="Times New Roman" w:hAnsi="Times New Roman"/>
        </w:rPr>
        <w:t xml:space="preserve"> from catastrophic harm.</w:t>
      </w:r>
    </w:p>
    <w:p w:rsidR="0006730A" w:rsidP="00EC5F9C" w:rsidRDefault="0006730A">
      <w:pPr>
        <w:rPr>
          <w:rFonts w:ascii="Times New Roman" w:hAnsi="Times New Roman"/>
        </w:rPr>
      </w:pPr>
    </w:p>
    <w:p w:rsidRPr="00F219C9" w:rsidR="001635BD" w:rsidP="00D63E97" w:rsidRDefault="001635BD">
      <w:pPr>
        <w:rPr>
          <w:rFonts w:ascii="Times New Roman" w:hAnsi="Times New Roman"/>
        </w:rPr>
      </w:pPr>
      <w:r w:rsidRPr="00F219C9">
        <w:rPr>
          <w:rFonts w:ascii="Times New Roman" w:hAnsi="Times New Roman"/>
          <w:b/>
          <w:bCs/>
        </w:rPr>
        <w:t>§ 1926.757(a)(4)</w:t>
      </w:r>
      <w:r w:rsidRPr="00F219C9">
        <w:rPr>
          <w:rFonts w:ascii="Times New Roman" w:hAnsi="Times New Roman"/>
        </w:rPr>
        <w:t xml:space="preserve">.  </w:t>
      </w:r>
      <w:r w:rsidRPr="00F219C9">
        <w:rPr>
          <w:rFonts w:ascii="Times New Roman" w:hAnsi="Times New Roman"/>
          <w:u w:val="single"/>
        </w:rPr>
        <w:t>Description of the requirement</w:t>
      </w:r>
      <w:r w:rsidRPr="00F219C9">
        <w:rPr>
          <w:rFonts w:ascii="Times New Roman" w:hAnsi="Times New Roman"/>
        </w:rPr>
        <w:t xml:space="preserve">.  If </w:t>
      </w:r>
      <w:r w:rsidR="00F26246">
        <w:rPr>
          <w:rFonts w:ascii="Times New Roman" w:hAnsi="Times New Roman"/>
        </w:rPr>
        <w:t xml:space="preserve">“[…] </w:t>
      </w:r>
      <w:r w:rsidRPr="00F219C9">
        <w:rPr>
          <w:rFonts w:ascii="Times New Roman" w:hAnsi="Times New Roman"/>
        </w:rPr>
        <w:t>steel joists at or near columns span more than 60 feet</w:t>
      </w:r>
      <w:r w:rsidR="00F26246">
        <w:rPr>
          <w:rFonts w:ascii="Times New Roman" w:hAnsi="Times New Roman"/>
        </w:rPr>
        <w:t xml:space="preserve"> (18.3 m)</w:t>
      </w:r>
      <w:r w:rsidRPr="00F219C9">
        <w:rPr>
          <w:rFonts w:ascii="Times New Roman" w:hAnsi="Times New Roman"/>
        </w:rPr>
        <w:t xml:space="preserve">, </w:t>
      </w:r>
      <w:r w:rsidR="00F219C9">
        <w:rPr>
          <w:rFonts w:ascii="Times New Roman" w:hAnsi="Times New Roman"/>
        </w:rPr>
        <w:t>[</w:t>
      </w:r>
      <w:r w:rsidRPr="00F219C9">
        <w:rPr>
          <w:rFonts w:ascii="Times New Roman" w:hAnsi="Times New Roman"/>
        </w:rPr>
        <w:t>employers must</w:t>
      </w:r>
      <w:r w:rsidR="00F219C9">
        <w:rPr>
          <w:rFonts w:ascii="Times New Roman" w:hAnsi="Times New Roman"/>
        </w:rPr>
        <w:t>]</w:t>
      </w:r>
      <w:r w:rsidRPr="00F219C9">
        <w:rPr>
          <w:rFonts w:ascii="Times New Roman" w:hAnsi="Times New Roman"/>
        </w:rPr>
        <w:t xml:space="preserve"> set the joists in tandem with all bridging installed.</w:t>
      </w:r>
      <w:r w:rsidR="00F219C9">
        <w:rPr>
          <w:rFonts w:ascii="Times New Roman" w:hAnsi="Times New Roman"/>
        </w:rPr>
        <w:t>”</w:t>
      </w:r>
      <w:r w:rsidRPr="00F219C9">
        <w:rPr>
          <w:rFonts w:ascii="Times New Roman" w:hAnsi="Times New Roman"/>
        </w:rPr>
        <w:t xml:space="preserve"> However, the employer may use an alternative method </w:t>
      </w:r>
      <w:r w:rsidR="00F219C9">
        <w:rPr>
          <w:rFonts w:ascii="Times New Roman" w:hAnsi="Times New Roman"/>
        </w:rPr>
        <w:t>for erecting these joist</w:t>
      </w:r>
      <w:r w:rsidR="00DD5E5B">
        <w:rPr>
          <w:rFonts w:ascii="Times New Roman" w:hAnsi="Times New Roman"/>
        </w:rPr>
        <w:t>s</w:t>
      </w:r>
      <w:r w:rsidRPr="00F219C9" w:rsidR="00F219C9">
        <w:rPr>
          <w:rFonts w:ascii="Times New Roman" w:hAnsi="Times New Roman"/>
        </w:rPr>
        <w:t xml:space="preserve"> </w:t>
      </w:r>
      <w:r w:rsidRPr="00F219C9">
        <w:rPr>
          <w:rFonts w:ascii="Times New Roman" w:hAnsi="Times New Roman"/>
        </w:rPr>
        <w:t>if a qualified person develops the alternative method</w:t>
      </w:r>
      <w:r w:rsidR="00DD5E5B">
        <w:rPr>
          <w:rFonts w:ascii="Times New Roman" w:hAnsi="Times New Roman"/>
        </w:rPr>
        <w:t>, which</w:t>
      </w:r>
      <w:r w:rsidRPr="00F219C9">
        <w:rPr>
          <w:rFonts w:ascii="Times New Roman" w:hAnsi="Times New Roman"/>
        </w:rPr>
        <w:t xml:space="preserve"> provides equivalent stability</w:t>
      </w:r>
      <w:r w:rsidR="00F16520">
        <w:rPr>
          <w:rFonts w:ascii="Times New Roman" w:hAnsi="Times New Roman"/>
        </w:rPr>
        <w:t xml:space="preserve"> and </w:t>
      </w:r>
      <w:r w:rsidR="00DD5E5B">
        <w:rPr>
          <w:rFonts w:ascii="Times New Roman" w:hAnsi="Times New Roman"/>
        </w:rPr>
        <w:t>is included</w:t>
      </w:r>
      <w:r w:rsidRPr="00F219C9">
        <w:rPr>
          <w:rFonts w:ascii="Times New Roman" w:hAnsi="Times New Roman"/>
        </w:rPr>
        <w:t xml:space="preserve"> in the site-specific erection plan.</w:t>
      </w:r>
    </w:p>
    <w:p w:rsidRPr="00F26246" w:rsidR="001635BD" w:rsidP="00532BF2" w:rsidRDefault="001635BD">
      <w:pPr>
        <w:rPr>
          <w:rFonts w:ascii="Times New Roman" w:hAnsi="Times New Roman"/>
          <w:highlight w:val="yellow"/>
        </w:rPr>
        <w:sectPr w:rsidRPr="00F26246" w:rsidR="001635BD" w:rsidSect="00823492">
          <w:footerReference w:type="default" r:id="rId12"/>
          <w:type w:val="continuous"/>
          <w:pgSz w:w="12240" w:h="15840"/>
          <w:pgMar w:top="1440" w:right="1440" w:bottom="1440" w:left="1440" w:header="1440" w:footer="1440" w:gutter="0"/>
          <w:cols w:space="720"/>
          <w:noEndnote/>
          <w:titlePg/>
        </w:sectPr>
      </w:pPr>
    </w:p>
    <w:p w:rsidRPr="00F26246" w:rsidR="009F6978" w:rsidP="00532BF2" w:rsidRDefault="009F6978">
      <w:pPr>
        <w:rPr>
          <w:rFonts w:ascii="Times New Roman" w:hAnsi="Times New Roman"/>
          <w:highlight w:val="yellow"/>
          <w:u w:val="single"/>
        </w:rPr>
      </w:pPr>
    </w:p>
    <w:p w:rsidRPr="00185EA6" w:rsidR="001635BD" w:rsidP="00D63E97" w:rsidRDefault="001635BD">
      <w:pPr>
        <w:rPr>
          <w:rFonts w:ascii="Times New Roman" w:hAnsi="Times New Roman"/>
        </w:rPr>
      </w:pPr>
      <w:r w:rsidRPr="00185EA6">
        <w:rPr>
          <w:rFonts w:ascii="Times New Roman" w:hAnsi="Times New Roman"/>
          <w:u w:val="single"/>
        </w:rPr>
        <w:t>Use and purpose</w:t>
      </w:r>
      <w:r w:rsidRPr="00185EA6">
        <w:rPr>
          <w:rFonts w:ascii="Times New Roman" w:hAnsi="Times New Roman"/>
        </w:rPr>
        <w:t xml:space="preserve">.  Including the alternative method in the site-specific </w:t>
      </w:r>
      <w:r w:rsidRPr="00185EA6" w:rsidR="00F16520">
        <w:rPr>
          <w:rFonts w:ascii="Times New Roman" w:hAnsi="Times New Roman"/>
        </w:rPr>
        <w:t xml:space="preserve">erection </w:t>
      </w:r>
      <w:r w:rsidRPr="00185EA6">
        <w:rPr>
          <w:rFonts w:ascii="Times New Roman" w:hAnsi="Times New Roman"/>
        </w:rPr>
        <w:t xml:space="preserve">plan provides an efficient means of informing steel erectors and </w:t>
      </w:r>
      <w:r w:rsidRPr="00185EA6" w:rsidR="00FB6619">
        <w:rPr>
          <w:rFonts w:ascii="Times New Roman" w:hAnsi="Times New Roman"/>
        </w:rPr>
        <w:t>worker</w:t>
      </w:r>
      <w:r w:rsidRPr="00185EA6">
        <w:rPr>
          <w:rFonts w:ascii="Times New Roman" w:hAnsi="Times New Roman"/>
        </w:rPr>
        <w:t xml:space="preserve">s </w:t>
      </w:r>
      <w:r w:rsidRPr="00185EA6" w:rsidR="00F16520">
        <w:rPr>
          <w:rFonts w:ascii="Times New Roman" w:hAnsi="Times New Roman"/>
        </w:rPr>
        <w:t>on site about</w:t>
      </w:r>
      <w:r w:rsidRPr="00185EA6">
        <w:rPr>
          <w:rFonts w:ascii="Times New Roman" w:hAnsi="Times New Roman"/>
        </w:rPr>
        <w:t xml:space="preserve"> </w:t>
      </w:r>
      <w:r w:rsidRPr="00185EA6" w:rsidR="00320DA5">
        <w:rPr>
          <w:rFonts w:ascii="Times New Roman" w:hAnsi="Times New Roman"/>
        </w:rPr>
        <w:t xml:space="preserve">the alternative erection </w:t>
      </w:r>
      <w:r w:rsidRPr="00185EA6">
        <w:rPr>
          <w:rFonts w:ascii="Times New Roman" w:hAnsi="Times New Roman"/>
        </w:rPr>
        <w:t>method</w:t>
      </w:r>
      <w:r w:rsidRPr="00185EA6" w:rsidR="00185EA6">
        <w:rPr>
          <w:rFonts w:ascii="Times New Roman" w:hAnsi="Times New Roman"/>
        </w:rPr>
        <w:t>.</w:t>
      </w:r>
      <w:r w:rsidRPr="00185EA6" w:rsidR="00F16520">
        <w:rPr>
          <w:rFonts w:ascii="Times New Roman" w:hAnsi="Times New Roman"/>
        </w:rPr>
        <w:t xml:space="preserve"> Doing so </w:t>
      </w:r>
      <w:r w:rsidRPr="00185EA6" w:rsidR="00185EA6">
        <w:rPr>
          <w:rFonts w:ascii="Times New Roman" w:hAnsi="Times New Roman"/>
        </w:rPr>
        <w:t>ensures that</w:t>
      </w:r>
      <w:r w:rsidRPr="00185EA6">
        <w:rPr>
          <w:rFonts w:ascii="Times New Roman" w:hAnsi="Times New Roman"/>
        </w:rPr>
        <w:t xml:space="preserve"> </w:t>
      </w:r>
      <w:r w:rsidRPr="00185EA6" w:rsidR="00185EA6">
        <w:rPr>
          <w:rFonts w:ascii="Times New Roman" w:hAnsi="Times New Roman"/>
        </w:rPr>
        <w:t xml:space="preserve">erector personnel </w:t>
      </w:r>
      <w:r w:rsidRPr="00185EA6">
        <w:rPr>
          <w:rFonts w:ascii="Times New Roman" w:hAnsi="Times New Roman"/>
        </w:rPr>
        <w:t xml:space="preserve">install the joists safely </w:t>
      </w:r>
      <w:r w:rsidRPr="00185EA6" w:rsidR="00185EA6">
        <w:rPr>
          <w:rFonts w:ascii="Times New Roman" w:hAnsi="Times New Roman"/>
        </w:rPr>
        <w:t>and avoid hazardous collapses.</w:t>
      </w:r>
    </w:p>
    <w:p w:rsidRPr="00F16520" w:rsidR="001635BD" w:rsidRDefault="001635BD">
      <w:pPr>
        <w:rPr>
          <w:rFonts w:ascii="Times New Roman" w:hAnsi="Times New Roman"/>
          <w:highlight w:val="yellow"/>
        </w:rPr>
      </w:pPr>
    </w:p>
    <w:p w:rsidRPr="005C424C" w:rsidR="001635BD" w:rsidRDefault="001635BD">
      <w:pPr>
        <w:rPr>
          <w:rFonts w:ascii="Times New Roman" w:hAnsi="Times New Roman"/>
        </w:rPr>
      </w:pPr>
      <w:r w:rsidRPr="005C424C">
        <w:rPr>
          <w:rFonts w:ascii="Times New Roman" w:hAnsi="Times New Roman"/>
          <w:b/>
          <w:bCs/>
        </w:rPr>
        <w:t>§ 1926.757(a)(7)</w:t>
      </w:r>
      <w:r w:rsidRPr="005C424C">
        <w:rPr>
          <w:rFonts w:ascii="Times New Roman" w:hAnsi="Times New Roman"/>
        </w:rPr>
        <w:t xml:space="preserve">.  </w:t>
      </w:r>
      <w:r w:rsidRPr="005C424C">
        <w:rPr>
          <w:rFonts w:ascii="Times New Roman" w:hAnsi="Times New Roman"/>
          <w:u w:val="single"/>
        </w:rPr>
        <w:t>Description of the requirement</w:t>
      </w:r>
      <w:r w:rsidRPr="005C424C">
        <w:rPr>
          <w:rFonts w:ascii="Times New Roman" w:hAnsi="Times New Roman"/>
        </w:rPr>
        <w:t xml:space="preserve">.  Employers </w:t>
      </w:r>
      <w:r w:rsidRPr="005C424C" w:rsidR="00320DA5">
        <w:rPr>
          <w:rFonts w:ascii="Times New Roman" w:hAnsi="Times New Roman"/>
        </w:rPr>
        <w:t>must not modify steel joists or steel joist girders in a way that affects</w:t>
      </w:r>
      <w:r w:rsidRPr="005C424C">
        <w:rPr>
          <w:rFonts w:ascii="Times New Roman" w:hAnsi="Times New Roman"/>
        </w:rPr>
        <w:t xml:space="preserve"> the</w:t>
      </w:r>
      <w:r w:rsidRPr="005C424C" w:rsidR="00D5695B">
        <w:rPr>
          <w:rFonts w:ascii="Times New Roman" w:hAnsi="Times New Roman"/>
        </w:rPr>
        <w:t>ir</w:t>
      </w:r>
      <w:r w:rsidRPr="005C424C">
        <w:rPr>
          <w:rFonts w:ascii="Times New Roman" w:hAnsi="Times New Roman"/>
        </w:rPr>
        <w:t xml:space="preserve"> strength with</w:t>
      </w:r>
      <w:r w:rsidRPr="005C424C" w:rsidR="00D5695B">
        <w:rPr>
          <w:rFonts w:ascii="Times New Roman" w:hAnsi="Times New Roman"/>
        </w:rPr>
        <w:t>out</w:t>
      </w:r>
      <w:r w:rsidRPr="005C424C">
        <w:rPr>
          <w:rFonts w:ascii="Times New Roman" w:hAnsi="Times New Roman"/>
        </w:rPr>
        <w:t xml:space="preserve"> the approval of the project structural engineer of record.</w:t>
      </w:r>
    </w:p>
    <w:p w:rsidRPr="005C424C" w:rsidR="009F6978" w:rsidRDefault="009F6978">
      <w:pPr>
        <w:rPr>
          <w:rFonts w:ascii="Times New Roman" w:hAnsi="Times New Roman"/>
          <w:highlight w:val="yellow"/>
          <w:u w:val="single"/>
        </w:rPr>
      </w:pPr>
    </w:p>
    <w:p w:rsidR="001635BD" w:rsidRDefault="001635BD">
      <w:pPr>
        <w:rPr>
          <w:rFonts w:ascii="Times New Roman" w:hAnsi="Times New Roman"/>
        </w:rPr>
      </w:pPr>
      <w:r w:rsidRPr="00306728">
        <w:rPr>
          <w:rFonts w:ascii="Times New Roman" w:hAnsi="Times New Roman"/>
          <w:u w:val="single"/>
        </w:rPr>
        <w:t>Use and purpose</w:t>
      </w:r>
      <w:r w:rsidRPr="00306728">
        <w:rPr>
          <w:rFonts w:ascii="Times New Roman" w:hAnsi="Times New Roman"/>
        </w:rPr>
        <w:t xml:space="preserve">.  Obtaining the engineer’s approval to </w:t>
      </w:r>
      <w:r w:rsidRPr="00306728" w:rsidR="00D5695B">
        <w:rPr>
          <w:rFonts w:ascii="Times New Roman" w:hAnsi="Times New Roman"/>
        </w:rPr>
        <w:t xml:space="preserve">modify </w:t>
      </w:r>
      <w:r w:rsidRPr="00306728">
        <w:rPr>
          <w:rFonts w:ascii="Times New Roman" w:hAnsi="Times New Roman"/>
        </w:rPr>
        <w:t xml:space="preserve">the strength of a steel joist or steel joist girder provides effective notification to steel erectors and their </w:t>
      </w:r>
      <w:r w:rsidRPr="00306728" w:rsidR="00FB6619">
        <w:rPr>
          <w:rFonts w:ascii="Times New Roman" w:hAnsi="Times New Roman"/>
        </w:rPr>
        <w:t>worker</w:t>
      </w:r>
      <w:r w:rsidRPr="00306728">
        <w:rPr>
          <w:rFonts w:ascii="Times New Roman" w:hAnsi="Times New Roman"/>
        </w:rPr>
        <w:t xml:space="preserve">s that these structural components </w:t>
      </w:r>
      <w:r w:rsidRPr="00306728" w:rsidR="00D5695B">
        <w:rPr>
          <w:rFonts w:ascii="Times New Roman" w:hAnsi="Times New Roman"/>
        </w:rPr>
        <w:t>have been altered and their strengths changed; misunderstood joist and joist girder strengths could lead to overloading and cause structural collapse.</w:t>
      </w:r>
    </w:p>
    <w:p w:rsidRPr="009F6978" w:rsidR="00D5695B" w:rsidRDefault="00D5695B">
      <w:pPr>
        <w:rPr>
          <w:rFonts w:ascii="Times New Roman" w:hAnsi="Times New Roman"/>
        </w:rPr>
      </w:pPr>
    </w:p>
    <w:p w:rsidRPr="009F6978" w:rsidR="001635BD" w:rsidRDefault="001635BD">
      <w:pPr>
        <w:rPr>
          <w:rFonts w:ascii="Times New Roman" w:hAnsi="Times New Roman"/>
        </w:rPr>
      </w:pPr>
      <w:r w:rsidRPr="009F6978">
        <w:rPr>
          <w:rFonts w:ascii="Times New Roman" w:hAnsi="Times New Roman"/>
          <w:b/>
          <w:bCs/>
        </w:rPr>
        <w:t>§§ 1926.757(a)(9) and 1926.758(g)</w:t>
      </w:r>
      <w:r w:rsidRPr="009F6978">
        <w:rPr>
          <w:rFonts w:ascii="Times New Roman" w:hAnsi="Times New Roman"/>
        </w:rPr>
        <w:t xml:space="preserve">.  </w:t>
      </w:r>
      <w:r w:rsidRPr="009F6978">
        <w:rPr>
          <w:rFonts w:ascii="Times New Roman" w:hAnsi="Times New Roman"/>
          <w:u w:val="single"/>
        </w:rPr>
        <w:t>Description of the requirements</w:t>
      </w:r>
      <w:r w:rsidRPr="009F6978">
        <w:rPr>
          <w:rFonts w:ascii="Times New Roman" w:hAnsi="Times New Roman"/>
        </w:rPr>
        <w:t xml:space="preserve">.  An employer </w:t>
      </w:r>
      <w:r w:rsidR="008F007E">
        <w:rPr>
          <w:rFonts w:ascii="Times New Roman" w:hAnsi="Times New Roman"/>
        </w:rPr>
        <w:t xml:space="preserve">must not </w:t>
      </w:r>
      <w:r w:rsidRPr="009F6978">
        <w:rPr>
          <w:rFonts w:ascii="Times New Roman" w:hAnsi="Times New Roman"/>
        </w:rPr>
        <w:t>use steel joist</w:t>
      </w:r>
      <w:r w:rsidR="008F007E">
        <w:rPr>
          <w:rFonts w:ascii="Times New Roman" w:hAnsi="Times New Roman"/>
        </w:rPr>
        <w:t>s</w:t>
      </w:r>
      <w:r w:rsidR="00701268">
        <w:rPr>
          <w:rFonts w:ascii="Times New Roman" w:hAnsi="Times New Roman"/>
        </w:rPr>
        <w:t xml:space="preserve"> or</w:t>
      </w:r>
      <w:r w:rsidRPr="009F6978">
        <w:rPr>
          <w:rFonts w:ascii="Times New Roman" w:hAnsi="Times New Roman"/>
        </w:rPr>
        <w:t xml:space="preserve"> steel </w:t>
      </w:r>
      <w:r w:rsidR="00805805">
        <w:rPr>
          <w:rFonts w:ascii="Times New Roman" w:hAnsi="Times New Roman"/>
        </w:rPr>
        <w:t xml:space="preserve">joist </w:t>
      </w:r>
      <w:r w:rsidRPr="009F6978">
        <w:rPr>
          <w:rFonts w:ascii="Times New Roman" w:hAnsi="Times New Roman"/>
        </w:rPr>
        <w:t>girder</w:t>
      </w:r>
      <w:r w:rsidR="008F007E">
        <w:rPr>
          <w:rFonts w:ascii="Times New Roman" w:hAnsi="Times New Roman"/>
        </w:rPr>
        <w:t>s</w:t>
      </w:r>
      <w:r w:rsidRPr="009F6978">
        <w:rPr>
          <w:rFonts w:ascii="Times New Roman" w:hAnsi="Times New Roman"/>
        </w:rPr>
        <w:t>,</w:t>
      </w:r>
      <w:r w:rsidR="008F007E">
        <w:rPr>
          <w:rFonts w:ascii="Times New Roman" w:hAnsi="Times New Roman"/>
        </w:rPr>
        <w:t xml:space="preserve"> or</w:t>
      </w:r>
      <w:r w:rsidRPr="009F6978">
        <w:rPr>
          <w:rFonts w:ascii="Times New Roman" w:hAnsi="Times New Roman"/>
        </w:rPr>
        <w:t xml:space="preserve"> purlin</w:t>
      </w:r>
      <w:r w:rsidR="008F007E">
        <w:rPr>
          <w:rFonts w:ascii="Times New Roman" w:hAnsi="Times New Roman"/>
        </w:rPr>
        <w:t>s</w:t>
      </w:r>
      <w:r w:rsidRPr="009F6978">
        <w:rPr>
          <w:rFonts w:ascii="Times New Roman" w:hAnsi="Times New Roman"/>
        </w:rPr>
        <w:t xml:space="preserve"> or girt</w:t>
      </w:r>
      <w:r w:rsidR="00BB3884">
        <w:rPr>
          <w:rFonts w:ascii="Times New Roman" w:hAnsi="Times New Roman"/>
        </w:rPr>
        <w:t>s</w:t>
      </w:r>
      <w:r w:rsidRPr="009F6978">
        <w:rPr>
          <w:rFonts w:ascii="Times New Roman" w:hAnsi="Times New Roman"/>
        </w:rPr>
        <w:t xml:space="preserve"> as anchorage point</w:t>
      </w:r>
      <w:r w:rsidR="00F1422E">
        <w:rPr>
          <w:rFonts w:ascii="Times New Roman" w:hAnsi="Times New Roman"/>
        </w:rPr>
        <w:t>s</w:t>
      </w:r>
      <w:r w:rsidRPr="009F6978">
        <w:rPr>
          <w:rFonts w:ascii="Times New Roman" w:hAnsi="Times New Roman"/>
        </w:rPr>
        <w:t xml:space="preserve"> for a fall-arrest </w:t>
      </w:r>
      <w:r w:rsidRPr="009F6978">
        <w:rPr>
          <w:rFonts w:ascii="Times New Roman" w:hAnsi="Times New Roman"/>
        </w:rPr>
        <w:lastRenderedPageBreak/>
        <w:t>system</w:t>
      </w:r>
      <w:r w:rsidR="00F1422E">
        <w:rPr>
          <w:rFonts w:ascii="Times New Roman" w:hAnsi="Times New Roman"/>
        </w:rPr>
        <w:t>s</w:t>
      </w:r>
      <w:r w:rsidRPr="009F6978">
        <w:rPr>
          <w:rFonts w:ascii="Times New Roman" w:hAnsi="Times New Roman"/>
        </w:rPr>
        <w:t xml:space="preserve"> </w:t>
      </w:r>
      <w:r w:rsidR="00F1422E">
        <w:rPr>
          <w:rFonts w:ascii="Times New Roman" w:hAnsi="Times New Roman"/>
        </w:rPr>
        <w:t>without</w:t>
      </w:r>
      <w:r w:rsidRPr="009F6978">
        <w:rPr>
          <w:rFonts w:ascii="Times New Roman" w:hAnsi="Times New Roman"/>
        </w:rPr>
        <w:t xml:space="preserve"> the written approval of a qualified person.</w:t>
      </w:r>
    </w:p>
    <w:p w:rsidR="009F6978" w:rsidRDefault="009F6978">
      <w:pPr>
        <w:rPr>
          <w:rFonts w:ascii="Times New Roman" w:hAnsi="Times New Roman"/>
          <w:u w:val="single"/>
        </w:rPr>
      </w:pPr>
    </w:p>
    <w:p w:rsidR="00AA6F8A" w:rsidRDefault="001635BD">
      <w:pPr>
        <w:rPr>
          <w:rFonts w:ascii="Times New Roman" w:hAnsi="Times New Roman"/>
        </w:rPr>
      </w:pPr>
      <w:r w:rsidRPr="009F6978">
        <w:rPr>
          <w:rFonts w:ascii="Times New Roman" w:hAnsi="Times New Roman"/>
          <w:u w:val="single"/>
        </w:rPr>
        <w:t>Use and purpose</w:t>
      </w:r>
      <w:r w:rsidRPr="009F6978">
        <w:rPr>
          <w:rFonts w:ascii="Times New Roman" w:hAnsi="Times New Roman"/>
        </w:rPr>
        <w:t xml:space="preserve">.  Having a qualified person provide </w:t>
      </w:r>
      <w:r w:rsidR="00F1422E">
        <w:rPr>
          <w:rFonts w:ascii="Times New Roman" w:hAnsi="Times New Roman"/>
        </w:rPr>
        <w:t>written approval</w:t>
      </w:r>
      <w:r w:rsidRPr="009F6978">
        <w:rPr>
          <w:rFonts w:ascii="Times New Roman" w:hAnsi="Times New Roman"/>
        </w:rPr>
        <w:t xml:space="preserve"> </w:t>
      </w:r>
      <w:r w:rsidR="00F1422E">
        <w:rPr>
          <w:rFonts w:ascii="Times New Roman" w:hAnsi="Times New Roman"/>
        </w:rPr>
        <w:t>effectively</w:t>
      </w:r>
      <w:r w:rsidRPr="009F6978">
        <w:rPr>
          <w:rFonts w:ascii="Times New Roman" w:hAnsi="Times New Roman"/>
        </w:rPr>
        <w:t xml:space="preserve"> </w:t>
      </w:r>
      <w:r w:rsidRPr="009F6978" w:rsidR="00F1422E">
        <w:rPr>
          <w:rFonts w:ascii="Times New Roman" w:hAnsi="Times New Roman"/>
        </w:rPr>
        <w:t>notifie</w:t>
      </w:r>
      <w:r w:rsidR="00F1422E">
        <w:rPr>
          <w:rFonts w:ascii="Times New Roman" w:hAnsi="Times New Roman"/>
        </w:rPr>
        <w:t>s</w:t>
      </w:r>
      <w:r w:rsidRPr="009F6978">
        <w:rPr>
          <w:rFonts w:ascii="Times New Roman" w:hAnsi="Times New Roman"/>
        </w:rPr>
        <w:t xml:space="preserve"> steel erectors and their </w:t>
      </w:r>
      <w:r w:rsidR="00FB6619">
        <w:rPr>
          <w:rFonts w:ascii="Times New Roman" w:hAnsi="Times New Roman"/>
        </w:rPr>
        <w:t>worker</w:t>
      </w:r>
      <w:r w:rsidRPr="009F6978">
        <w:rPr>
          <w:rFonts w:ascii="Times New Roman" w:hAnsi="Times New Roman"/>
        </w:rPr>
        <w:t xml:space="preserve">s </w:t>
      </w:r>
      <w:r w:rsidRPr="009F6978" w:rsidR="005A1CE2">
        <w:rPr>
          <w:rFonts w:ascii="Times New Roman" w:hAnsi="Times New Roman"/>
        </w:rPr>
        <w:t xml:space="preserve">that </w:t>
      </w:r>
      <w:r w:rsidR="005A1CE2">
        <w:rPr>
          <w:rFonts w:ascii="Times New Roman" w:hAnsi="Times New Roman"/>
        </w:rPr>
        <w:t>certain</w:t>
      </w:r>
      <w:r w:rsidRPr="009F6978" w:rsidR="005A1CE2">
        <w:rPr>
          <w:rFonts w:ascii="Times New Roman" w:hAnsi="Times New Roman"/>
        </w:rPr>
        <w:t xml:space="preserve"> structural component</w:t>
      </w:r>
      <w:r w:rsidR="005A1CE2">
        <w:rPr>
          <w:rFonts w:ascii="Times New Roman" w:hAnsi="Times New Roman"/>
        </w:rPr>
        <w:t>s</w:t>
      </w:r>
      <w:r w:rsidRPr="009F6978">
        <w:rPr>
          <w:rFonts w:ascii="Times New Roman" w:hAnsi="Times New Roman"/>
        </w:rPr>
        <w:t xml:space="preserve"> can</w:t>
      </w:r>
      <w:r w:rsidR="005A1CE2">
        <w:rPr>
          <w:rFonts w:ascii="Times New Roman" w:hAnsi="Times New Roman"/>
        </w:rPr>
        <w:t xml:space="preserve">not </w:t>
      </w:r>
      <w:r w:rsidRPr="009F6978">
        <w:rPr>
          <w:rFonts w:ascii="Times New Roman" w:hAnsi="Times New Roman"/>
        </w:rPr>
        <w:t>sustain stress</w:t>
      </w:r>
      <w:r w:rsidR="00805805">
        <w:rPr>
          <w:rFonts w:ascii="Times New Roman" w:hAnsi="Times New Roman"/>
        </w:rPr>
        <w:t>es</w:t>
      </w:r>
      <w:r w:rsidRPr="009F6978">
        <w:rPr>
          <w:rFonts w:ascii="Times New Roman" w:hAnsi="Times New Roman"/>
        </w:rPr>
        <w:t xml:space="preserve"> imposed by fall-arrest</w:t>
      </w:r>
      <w:r w:rsidR="00AA6F8A">
        <w:rPr>
          <w:rFonts w:ascii="Times New Roman" w:hAnsi="Times New Roman"/>
        </w:rPr>
        <w:t>s.</w:t>
      </w:r>
      <w:r w:rsidR="0083201C">
        <w:rPr>
          <w:rFonts w:ascii="Times New Roman" w:hAnsi="Times New Roman"/>
        </w:rPr>
        <w:t xml:space="preserve"> </w:t>
      </w:r>
      <w:r w:rsidR="00AA6F8A">
        <w:rPr>
          <w:rFonts w:ascii="Times New Roman" w:hAnsi="Times New Roman"/>
        </w:rPr>
        <w:t>Further the approval ensures proper bracing for components that can withstand fall arrest forces. Both</w:t>
      </w:r>
      <w:r w:rsidR="0083201C">
        <w:rPr>
          <w:rFonts w:ascii="Times New Roman" w:hAnsi="Times New Roman"/>
        </w:rPr>
        <w:t xml:space="preserve"> protect workers from catastrophic collapses.</w:t>
      </w:r>
    </w:p>
    <w:p w:rsidR="007C195D" w:rsidRDefault="007C195D">
      <w:pPr>
        <w:rPr>
          <w:rFonts w:ascii="Times New Roman" w:hAnsi="Times New Roman"/>
        </w:rPr>
      </w:pPr>
    </w:p>
    <w:p w:rsidRPr="00DF7E81" w:rsidR="001635BD" w:rsidRDefault="001635BD">
      <w:pPr>
        <w:rPr>
          <w:rFonts w:ascii="Times New Roman" w:hAnsi="Times New Roman"/>
        </w:rPr>
      </w:pPr>
      <w:r w:rsidRPr="00DF7E81">
        <w:rPr>
          <w:rFonts w:ascii="Times New Roman" w:hAnsi="Times New Roman"/>
          <w:b/>
          <w:bCs/>
        </w:rPr>
        <w:t>§ 1926.757(e)(4)(i)</w:t>
      </w:r>
      <w:r w:rsidRPr="00DF7E81">
        <w:rPr>
          <w:rFonts w:ascii="Times New Roman" w:hAnsi="Times New Roman"/>
        </w:rPr>
        <w:t xml:space="preserve">.  </w:t>
      </w:r>
      <w:r w:rsidRPr="00DF7E81">
        <w:rPr>
          <w:rFonts w:ascii="Times New Roman" w:hAnsi="Times New Roman"/>
          <w:u w:val="single"/>
        </w:rPr>
        <w:t>Description of the requirement</w:t>
      </w:r>
      <w:r w:rsidRPr="00DF7E81">
        <w:rPr>
          <w:rFonts w:ascii="Times New Roman" w:hAnsi="Times New Roman"/>
        </w:rPr>
        <w:t xml:space="preserve">.  An employer must install </w:t>
      </w:r>
      <w:r w:rsidRPr="00DF7E81" w:rsidR="00805805">
        <w:rPr>
          <w:rFonts w:ascii="Times New Roman" w:hAnsi="Times New Roman"/>
        </w:rPr>
        <w:t xml:space="preserve">and anchor </w:t>
      </w:r>
      <w:r w:rsidRPr="00DF7E81">
        <w:rPr>
          <w:rFonts w:ascii="Times New Roman" w:hAnsi="Times New Roman"/>
        </w:rPr>
        <w:t>all bridging on</w:t>
      </w:r>
      <w:r w:rsidRPr="00DF7E81" w:rsidR="00805805">
        <w:rPr>
          <w:rFonts w:ascii="Times New Roman" w:hAnsi="Times New Roman"/>
        </w:rPr>
        <w:t xml:space="preserve"> joists and </w:t>
      </w:r>
      <w:r w:rsidRPr="00DF7E81">
        <w:rPr>
          <w:rFonts w:ascii="Times New Roman" w:hAnsi="Times New Roman"/>
        </w:rPr>
        <w:t xml:space="preserve">attach all joist bearing ends before placing a bundle of decking on the joists, unless:  A qualified person determines that the structure or portion of the structure is capable of supporting the </w:t>
      </w:r>
      <w:r w:rsidRPr="00DF7E81" w:rsidR="000168B6">
        <w:rPr>
          <w:rFonts w:ascii="Times New Roman" w:hAnsi="Times New Roman"/>
        </w:rPr>
        <w:t>load</w:t>
      </w:r>
      <w:r w:rsidRPr="00DF7E81" w:rsidR="00DF7E81">
        <w:rPr>
          <w:rFonts w:ascii="Times New Roman" w:hAnsi="Times New Roman"/>
        </w:rPr>
        <w:t xml:space="preserve"> and</w:t>
      </w:r>
      <w:r w:rsidRPr="00DF7E81">
        <w:rPr>
          <w:rFonts w:ascii="Times New Roman" w:hAnsi="Times New Roman"/>
        </w:rPr>
        <w:t xml:space="preserve"> the employer documents this determination in the site-specific erection plan</w:t>
      </w:r>
      <w:r w:rsidRPr="00DF7E81" w:rsidR="00DF7E81">
        <w:rPr>
          <w:rFonts w:ascii="Times New Roman" w:hAnsi="Times New Roman"/>
        </w:rPr>
        <w:t>.</w:t>
      </w:r>
    </w:p>
    <w:p w:rsidRPr="00DF7E81" w:rsidR="009F6978" w:rsidRDefault="009F6978">
      <w:pPr>
        <w:rPr>
          <w:rFonts w:ascii="Times New Roman" w:hAnsi="Times New Roman"/>
          <w:u w:val="single"/>
        </w:rPr>
      </w:pPr>
    </w:p>
    <w:p w:rsidRPr="009F6978" w:rsidR="001635BD" w:rsidRDefault="001635BD">
      <w:pPr>
        <w:rPr>
          <w:rFonts w:ascii="Times New Roman" w:hAnsi="Times New Roman"/>
        </w:rPr>
      </w:pPr>
      <w:r w:rsidRPr="00DF7E81">
        <w:rPr>
          <w:rFonts w:ascii="Times New Roman" w:hAnsi="Times New Roman"/>
          <w:u w:val="single"/>
        </w:rPr>
        <w:t>Use and purpose</w:t>
      </w:r>
      <w:r w:rsidRPr="00DF7E81">
        <w:rPr>
          <w:rFonts w:ascii="Times New Roman" w:hAnsi="Times New Roman"/>
        </w:rPr>
        <w:t xml:space="preserve">.  </w:t>
      </w:r>
      <w:r w:rsidR="00C12C85">
        <w:rPr>
          <w:rFonts w:ascii="Times New Roman" w:hAnsi="Times New Roman"/>
        </w:rPr>
        <w:t xml:space="preserve">Documenting alternative material storage procedures in </w:t>
      </w:r>
      <w:r w:rsidRPr="00DF7E81">
        <w:rPr>
          <w:rFonts w:ascii="Times New Roman" w:hAnsi="Times New Roman"/>
        </w:rPr>
        <w:t xml:space="preserve">the site-specific erection plan is the most direct and effective means </w:t>
      </w:r>
      <w:r w:rsidRPr="00DF7E81" w:rsidR="00CD13F6">
        <w:rPr>
          <w:rFonts w:ascii="Times New Roman" w:hAnsi="Times New Roman"/>
        </w:rPr>
        <w:t xml:space="preserve">for </w:t>
      </w:r>
      <w:r w:rsidR="00C12C85">
        <w:rPr>
          <w:rFonts w:ascii="Times New Roman" w:hAnsi="Times New Roman"/>
        </w:rPr>
        <w:t>communicating the</w:t>
      </w:r>
      <w:r w:rsidRPr="00DF7E81" w:rsidR="00CD13F6">
        <w:rPr>
          <w:rFonts w:ascii="Times New Roman" w:hAnsi="Times New Roman"/>
        </w:rPr>
        <w:t xml:space="preserve"> alternative </w:t>
      </w:r>
      <w:r w:rsidR="00C12C85">
        <w:rPr>
          <w:rFonts w:ascii="Times New Roman" w:hAnsi="Times New Roman"/>
        </w:rPr>
        <w:t xml:space="preserve">storage </w:t>
      </w:r>
      <w:r w:rsidRPr="00DF7E81" w:rsidR="00CD13F6">
        <w:rPr>
          <w:rFonts w:ascii="Times New Roman" w:hAnsi="Times New Roman"/>
        </w:rPr>
        <w:t xml:space="preserve">method </w:t>
      </w:r>
      <w:r w:rsidR="00C12C85">
        <w:rPr>
          <w:rFonts w:ascii="Times New Roman" w:hAnsi="Times New Roman"/>
        </w:rPr>
        <w:t>using</w:t>
      </w:r>
      <w:r w:rsidRPr="00DF7E81" w:rsidR="00CD13F6">
        <w:rPr>
          <w:rFonts w:ascii="Times New Roman" w:hAnsi="Times New Roman"/>
        </w:rPr>
        <w:t xml:space="preserve"> joists</w:t>
      </w:r>
      <w:r w:rsidR="00C12C85">
        <w:rPr>
          <w:rFonts w:ascii="Times New Roman" w:hAnsi="Times New Roman"/>
        </w:rPr>
        <w:t xml:space="preserve"> to employer personnel</w:t>
      </w:r>
      <w:r w:rsidRPr="00DF7E81" w:rsidR="00514EE6">
        <w:rPr>
          <w:rFonts w:ascii="Times New Roman" w:hAnsi="Times New Roman"/>
        </w:rPr>
        <w:t>.</w:t>
      </w:r>
      <w:r w:rsidR="00C12C85">
        <w:rPr>
          <w:rFonts w:ascii="Times New Roman" w:hAnsi="Times New Roman"/>
        </w:rPr>
        <w:t xml:space="preserve"> It ensures understanding of and compliance with the alternat</w:t>
      </w:r>
      <w:r w:rsidR="00EF10D2">
        <w:rPr>
          <w:rFonts w:ascii="Times New Roman" w:hAnsi="Times New Roman"/>
        </w:rPr>
        <w:t>ive safe loading procedures and prevents catastrophic collapse.</w:t>
      </w:r>
    </w:p>
    <w:p w:rsidRPr="009F6978" w:rsidR="001635BD" w:rsidRDefault="001635BD">
      <w:pPr>
        <w:rPr>
          <w:rFonts w:ascii="Times New Roman" w:hAnsi="Times New Roman"/>
        </w:rPr>
      </w:pPr>
    </w:p>
    <w:p w:rsidRPr="009F6978" w:rsidR="001635BD" w:rsidRDefault="001635BD">
      <w:pPr>
        <w:rPr>
          <w:rFonts w:ascii="Times New Roman" w:hAnsi="Times New Roman"/>
        </w:rPr>
      </w:pPr>
      <w:r w:rsidRPr="009F6978">
        <w:rPr>
          <w:rFonts w:ascii="Times New Roman" w:hAnsi="Times New Roman"/>
          <w:b/>
          <w:bCs/>
        </w:rPr>
        <w:t>§ 1926.760(e) and (e)(1)</w:t>
      </w:r>
      <w:r w:rsidRPr="009F6978">
        <w:rPr>
          <w:rFonts w:ascii="Times New Roman" w:hAnsi="Times New Roman"/>
        </w:rPr>
        <w:t xml:space="preserve">.  </w:t>
      </w:r>
      <w:r w:rsidRPr="009F6978">
        <w:rPr>
          <w:rFonts w:ascii="Times New Roman" w:hAnsi="Times New Roman"/>
          <w:u w:val="single"/>
        </w:rPr>
        <w:t>Description of the requirement</w:t>
      </w:r>
      <w:r w:rsidRPr="009F6978">
        <w:rPr>
          <w:rFonts w:ascii="Times New Roman" w:hAnsi="Times New Roman"/>
        </w:rPr>
        <w:t xml:space="preserve">.  The steel erector can leave </w:t>
      </w:r>
      <w:r w:rsidR="00514EE6">
        <w:rPr>
          <w:rFonts w:ascii="Times New Roman" w:hAnsi="Times New Roman"/>
        </w:rPr>
        <w:t xml:space="preserve">its </w:t>
      </w:r>
      <w:r w:rsidRPr="009F6978">
        <w:rPr>
          <w:rFonts w:ascii="Times New Roman" w:hAnsi="Times New Roman"/>
        </w:rPr>
        <w:t xml:space="preserve">fall protection at the jobsite after completion of the erection activity only if the controlling contractor or </w:t>
      </w:r>
      <w:r w:rsidR="00514EE6">
        <w:rPr>
          <w:rFonts w:ascii="Times New Roman" w:hAnsi="Times New Roman"/>
        </w:rPr>
        <w:t xml:space="preserve">its </w:t>
      </w:r>
      <w:r w:rsidRPr="009F6978">
        <w:rPr>
          <w:rFonts w:ascii="Times New Roman" w:hAnsi="Times New Roman"/>
        </w:rPr>
        <w:t>authorized representative directs the steel erector to do so</w:t>
      </w:r>
      <w:r w:rsidR="00514EE6">
        <w:rPr>
          <w:rFonts w:ascii="Times New Roman" w:hAnsi="Times New Roman"/>
        </w:rPr>
        <w:t xml:space="preserve"> and inspects and accepts responsibility for the fall protection</w:t>
      </w:r>
      <w:r w:rsidRPr="009F6978">
        <w:rPr>
          <w:rFonts w:ascii="Times New Roman" w:hAnsi="Times New Roman"/>
        </w:rPr>
        <w:t>.</w:t>
      </w:r>
    </w:p>
    <w:p w:rsidR="00BF5D8D" w:rsidRDefault="00BF5D8D">
      <w:pPr>
        <w:rPr>
          <w:rFonts w:ascii="Times New Roman" w:hAnsi="Times New Roman"/>
          <w:u w:val="single"/>
        </w:rPr>
      </w:pPr>
    </w:p>
    <w:p w:rsidR="001635BD" w:rsidRDefault="001635BD">
      <w:pPr>
        <w:rPr>
          <w:rFonts w:ascii="Times New Roman" w:hAnsi="Times New Roman"/>
        </w:rPr>
      </w:pPr>
      <w:r w:rsidRPr="009F6978">
        <w:rPr>
          <w:rFonts w:ascii="Times New Roman" w:hAnsi="Times New Roman"/>
          <w:u w:val="single"/>
        </w:rPr>
        <w:t>Use and purpose</w:t>
      </w:r>
      <w:r w:rsidRPr="009F6978">
        <w:rPr>
          <w:rFonts w:ascii="Times New Roman" w:hAnsi="Times New Roman"/>
        </w:rPr>
        <w:t xml:space="preserve">.  </w:t>
      </w:r>
      <w:r w:rsidR="00A4219E">
        <w:rPr>
          <w:rFonts w:ascii="Times New Roman" w:hAnsi="Times New Roman"/>
        </w:rPr>
        <w:t>This requirement ensures</w:t>
      </w:r>
      <w:r w:rsidR="002D6CF5">
        <w:rPr>
          <w:rFonts w:ascii="Times New Roman" w:hAnsi="Times New Roman"/>
        </w:rPr>
        <w:t xml:space="preserve"> continuity of fall protection on steel erection jobs</w:t>
      </w:r>
      <w:r w:rsidR="00A4219E">
        <w:rPr>
          <w:rFonts w:ascii="Times New Roman" w:hAnsi="Times New Roman"/>
        </w:rPr>
        <w:t xml:space="preserve"> for trades that follow</w:t>
      </w:r>
      <w:r w:rsidR="002D6CF5">
        <w:rPr>
          <w:rFonts w:ascii="Times New Roman" w:hAnsi="Times New Roman"/>
        </w:rPr>
        <w:t xml:space="preserve"> after the </w:t>
      </w:r>
      <w:r w:rsidRPr="009F6978">
        <w:rPr>
          <w:rFonts w:ascii="Times New Roman" w:hAnsi="Times New Roman"/>
        </w:rPr>
        <w:t xml:space="preserve">steel erector </w:t>
      </w:r>
      <w:r w:rsidR="002D6CF5">
        <w:rPr>
          <w:rFonts w:ascii="Times New Roman" w:hAnsi="Times New Roman"/>
        </w:rPr>
        <w:t>leaves the project</w:t>
      </w:r>
      <w:r w:rsidR="00A4219E">
        <w:rPr>
          <w:rFonts w:ascii="Times New Roman" w:hAnsi="Times New Roman"/>
        </w:rPr>
        <w:t>. It also relieves the steel erection contractor of responsibility for controlling the fall protection equipment.</w:t>
      </w:r>
      <w:r w:rsidR="002D6CF5">
        <w:rPr>
          <w:rFonts w:ascii="Times New Roman" w:hAnsi="Times New Roman"/>
        </w:rPr>
        <w:t xml:space="preserve"> </w:t>
      </w:r>
      <w:r w:rsidR="00A4219E">
        <w:rPr>
          <w:rFonts w:ascii="Times New Roman" w:hAnsi="Times New Roman"/>
        </w:rPr>
        <w:t>By having the controlling contractor assume control the standard protects workers on the jobsite from fall protection systems that are not properly maintained</w:t>
      </w:r>
      <w:r w:rsidR="00971F31">
        <w:rPr>
          <w:rFonts w:ascii="Times New Roman" w:hAnsi="Times New Roman"/>
        </w:rPr>
        <w:t xml:space="preserve"> and from hazardous fall exposures.</w:t>
      </w:r>
    </w:p>
    <w:p w:rsidR="00051536" w:rsidRDefault="00051536">
      <w:pPr>
        <w:rPr>
          <w:rFonts w:ascii="Times New Roman" w:hAnsi="Times New Roman"/>
          <w:sz w:val="18"/>
          <w:szCs w:val="18"/>
          <w:vertAlign w:val="superscript"/>
        </w:rPr>
      </w:pPr>
    </w:p>
    <w:p w:rsidRPr="009F6978" w:rsidR="00971F31" w:rsidRDefault="00051536">
      <w:pPr>
        <w:rPr>
          <w:rFonts w:ascii="Times New Roman" w:hAnsi="Times New Roman"/>
        </w:rPr>
      </w:pPr>
      <w:r>
        <w:rPr>
          <w:rFonts w:ascii="Times New Roman" w:hAnsi="Times New Roman"/>
          <w:b/>
          <w:bCs/>
        </w:rPr>
        <w:t>§ 1926.761</w:t>
      </w:r>
      <w:r w:rsidRPr="00051536">
        <w:rPr>
          <w:rFonts w:ascii="Times New Roman" w:hAnsi="Times New Roman"/>
        </w:rPr>
        <w:t xml:space="preserve"> </w:t>
      </w:r>
      <w:r w:rsidR="00FE7C7D">
        <w:rPr>
          <w:rFonts w:ascii="Times New Roman" w:hAnsi="Times New Roman"/>
        </w:rPr>
        <w:t xml:space="preserve"> </w:t>
      </w:r>
      <w:r w:rsidRPr="00051536">
        <w:rPr>
          <w:rFonts w:ascii="Times New Roman" w:hAnsi="Times New Roman"/>
        </w:rPr>
        <w:t>The training requirements in § 1926.</w:t>
      </w:r>
      <w:r>
        <w:rPr>
          <w:rFonts w:ascii="Times New Roman" w:hAnsi="Times New Roman"/>
        </w:rPr>
        <w:t>76</w:t>
      </w:r>
      <w:r w:rsidRPr="00051536">
        <w:rPr>
          <w:rFonts w:ascii="Times New Roman" w:hAnsi="Times New Roman"/>
        </w:rPr>
        <w:t>1 are not considered collection</w:t>
      </w:r>
      <w:r w:rsidR="00DB6778">
        <w:rPr>
          <w:rFonts w:ascii="Times New Roman" w:hAnsi="Times New Roman"/>
        </w:rPr>
        <w:t>s of information</w:t>
      </w:r>
      <w:r w:rsidR="00447FD1">
        <w:rPr>
          <w:rFonts w:ascii="Times New Roman" w:hAnsi="Times New Roman"/>
        </w:rPr>
        <w:t xml:space="preserve"> (However, the training certification component of a site-specific erection plan provided </w:t>
      </w:r>
      <w:r w:rsidR="00B94C47">
        <w:rPr>
          <w:rFonts w:ascii="Times New Roman" w:hAnsi="Times New Roman"/>
        </w:rPr>
        <w:t xml:space="preserve">by Appendix A, paragraph </w:t>
      </w:r>
      <w:r w:rsidR="00447FD1">
        <w:rPr>
          <w:rFonts w:ascii="Times New Roman" w:hAnsi="Times New Roman"/>
        </w:rPr>
        <w:t>(c)(7)</w:t>
      </w:r>
      <w:r w:rsidR="00B94C47">
        <w:rPr>
          <w:rFonts w:ascii="Times New Roman" w:hAnsi="Times New Roman"/>
        </w:rPr>
        <w:t>,</w:t>
      </w:r>
      <w:r w:rsidR="00447FD1">
        <w:rPr>
          <w:rFonts w:ascii="Times New Roman" w:hAnsi="Times New Roman"/>
        </w:rPr>
        <w:t xml:space="preserve"> is a collection of information, as described </w:t>
      </w:r>
      <w:r w:rsidR="00103730">
        <w:rPr>
          <w:rFonts w:ascii="Times New Roman" w:hAnsi="Times New Roman"/>
        </w:rPr>
        <w:t xml:space="preserve">below in Item 2 (see: </w:t>
      </w:r>
      <w:r w:rsidR="00447FD1">
        <w:rPr>
          <w:rFonts w:ascii="Times New Roman" w:hAnsi="Times New Roman"/>
        </w:rPr>
        <w:t>1926.752(e)</w:t>
      </w:r>
      <w:r w:rsidR="00103730">
        <w:rPr>
          <w:rFonts w:ascii="Times New Roman" w:hAnsi="Times New Roman"/>
        </w:rPr>
        <w:t xml:space="preserve"> and Appendix A to Subpart R</w:t>
      </w:r>
      <w:r w:rsidR="00447FD1">
        <w:rPr>
          <w:rFonts w:ascii="Times New Roman" w:hAnsi="Times New Roman"/>
        </w:rPr>
        <w:t>.)</w:t>
      </w:r>
    </w:p>
    <w:p w:rsidRPr="00051536" w:rsidR="00051536" w:rsidRDefault="00051536">
      <w:pPr>
        <w:rPr>
          <w:rFonts w:ascii="Times New Roman" w:hAnsi="Times New Roman"/>
        </w:rPr>
      </w:pPr>
    </w:p>
    <w:p w:rsidRPr="00735248" w:rsidR="001635BD" w:rsidRDefault="001635BD">
      <w:pPr>
        <w:rPr>
          <w:rFonts w:ascii="Times New Roman" w:hAnsi="Times New Roman"/>
        </w:rPr>
      </w:pPr>
      <w:r w:rsidRPr="00735248">
        <w:rPr>
          <w:rFonts w:ascii="Times New Roman" w:hAnsi="Times New Roman"/>
          <w:b/>
          <w:bCs/>
        </w:rPr>
        <w:t>Paragraph (c)(4)(ii) of Appendix G to Subpart R</w:t>
      </w:r>
      <w:r w:rsidRPr="00735248">
        <w:rPr>
          <w:rFonts w:ascii="Times New Roman" w:hAnsi="Times New Roman"/>
        </w:rPr>
        <w:t xml:space="preserve">.  </w:t>
      </w:r>
      <w:r w:rsidRPr="00735248">
        <w:rPr>
          <w:rFonts w:ascii="Times New Roman" w:hAnsi="Times New Roman"/>
          <w:u w:val="single"/>
        </w:rPr>
        <w:t>Description of the requirement</w:t>
      </w:r>
      <w:r w:rsidRPr="00735248">
        <w:rPr>
          <w:rFonts w:ascii="Times New Roman" w:hAnsi="Times New Roman"/>
        </w:rPr>
        <w:t xml:space="preserve">.  This mandatory appendix duplicates the regulatory requirements of § 1926.502 (“Fall protection systems criteria and practices”), notably the requirements specified in paragraph (c)(4)(ii).  This paragraph addresses the certification of safety nets as an option available to employers who can demonstrate that performing a drop test on safety nets is unreasonable.  This provision allows such employers to certify that their safety nets, including the installation of the nets, protect </w:t>
      </w:r>
      <w:r w:rsidRPr="00735248" w:rsidR="00FB6619">
        <w:rPr>
          <w:rFonts w:ascii="Times New Roman" w:hAnsi="Times New Roman"/>
        </w:rPr>
        <w:lastRenderedPageBreak/>
        <w:t>worker</w:t>
      </w:r>
      <w:r w:rsidRPr="00735248">
        <w:rPr>
          <w:rFonts w:ascii="Times New Roman" w:hAnsi="Times New Roman"/>
        </w:rPr>
        <w:t>s at least as well as safety nets that meet the drop-test criteria.  The employer must complete the certification process prior to using the net for fall protection, and the certificate must include the following information:  Identification of the net and the type of installation used for the net; the date the certifying party determined that the net and its installation would meet the drop-test criteria; and the signature of the party making this determination.  The most recent certificate must be available at the jobsite for inspection.</w:t>
      </w:r>
    </w:p>
    <w:p w:rsidRPr="00735248" w:rsidR="00F94BB1" w:rsidRDefault="00F94BB1">
      <w:pPr>
        <w:rPr>
          <w:rFonts w:ascii="Times New Roman" w:hAnsi="Times New Roman"/>
          <w:u w:val="single"/>
        </w:rPr>
      </w:pPr>
    </w:p>
    <w:p w:rsidR="00051536" w:rsidP="00051536" w:rsidRDefault="0005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FE7C7D">
        <w:rPr>
          <w:rFonts w:ascii="Times New Roman" w:hAnsi="Times New Roman"/>
        </w:rPr>
        <w:t>The Agency accounts for the burden hours and cost resulting from this provision under its ICR entitled “Construction Standards on Fall Protection Systems Criteria and Practice (§ 1926.502) and Training Requirements (§ 1926.503),” Office of Management and Budget Control Number 1218-0197</w:t>
      </w:r>
      <w:r>
        <w:rPr>
          <w:rFonts w:ascii="Times New Roman" w:hAnsi="Times New Roman"/>
          <w:sz w:val="20"/>
          <w:szCs w:val="20"/>
        </w:rPr>
        <w:t>.</w:t>
      </w:r>
    </w:p>
    <w:p w:rsidR="00975341" w:rsidP="00051536" w:rsidRDefault="00975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Pr="00C707C6" w:rsidR="00975341" w:rsidP="00051536" w:rsidRDefault="00975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07C6">
        <w:rPr>
          <w:rFonts w:ascii="Times New Roman" w:hAnsi="Times New Roman"/>
        </w:rPr>
        <w:t xml:space="preserve">After a careful review of the Standard, the Agency </w:t>
      </w:r>
      <w:r w:rsidRPr="00C707C6" w:rsidR="00CD742A">
        <w:rPr>
          <w:rFonts w:ascii="Times New Roman" w:hAnsi="Times New Roman"/>
        </w:rPr>
        <w:t xml:space="preserve">has identified </w:t>
      </w:r>
      <w:r w:rsidR="00F66B98">
        <w:rPr>
          <w:rFonts w:ascii="Times New Roman" w:hAnsi="Times New Roman"/>
        </w:rPr>
        <w:t>information collection requirements</w:t>
      </w:r>
      <w:r w:rsidRPr="00C707C6">
        <w:rPr>
          <w:rFonts w:ascii="Times New Roman" w:hAnsi="Times New Roman"/>
        </w:rPr>
        <w:t xml:space="preserve"> contained in Subpart R</w:t>
      </w:r>
      <w:r w:rsidRPr="00C707C6" w:rsidR="0064632E">
        <w:rPr>
          <w:rFonts w:ascii="Times New Roman" w:hAnsi="Times New Roman"/>
        </w:rPr>
        <w:t xml:space="preserve"> as follows</w:t>
      </w:r>
      <w:r w:rsidRPr="00C707C6">
        <w:rPr>
          <w:rFonts w:ascii="Times New Roman" w:hAnsi="Times New Roman"/>
        </w:rPr>
        <w:t>:</w:t>
      </w:r>
    </w:p>
    <w:p w:rsidRPr="00C707C6" w:rsidR="00975341" w:rsidP="00051536" w:rsidRDefault="00975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707C6" w:rsidR="00975341" w:rsidP="00975341" w:rsidRDefault="00F66B98">
      <w:pPr>
        <w:rPr>
          <w:rFonts w:ascii="Times New Roman" w:hAnsi="Times New Roman"/>
        </w:rPr>
      </w:pPr>
      <w:r>
        <w:rPr>
          <w:rFonts w:ascii="Times New Roman" w:hAnsi="Times New Roman"/>
        </w:rPr>
        <w:t xml:space="preserve"> </w:t>
      </w:r>
      <w:r w:rsidRPr="00C707C6">
        <w:rPr>
          <w:rFonts w:ascii="Times New Roman" w:hAnsi="Times New Roman"/>
          <w:b/>
        </w:rPr>
        <w:t xml:space="preserve">§ </w:t>
      </w:r>
      <w:r w:rsidRPr="00C707C6" w:rsidR="00975341">
        <w:rPr>
          <w:rFonts w:ascii="Times New Roman" w:hAnsi="Times New Roman"/>
          <w:b/>
        </w:rPr>
        <w:t>1926.752(e) and Appendix A to Subpart R, “Guidelines for Establishing the Components of a Site-specific Erection Plan</w:t>
      </w:r>
      <w:r w:rsidRPr="00C707C6" w:rsidR="00975341">
        <w:rPr>
          <w:rFonts w:ascii="Times New Roman" w:hAnsi="Times New Roman"/>
        </w:rPr>
        <w:t xml:space="preserve">:  </w:t>
      </w:r>
      <w:r w:rsidRPr="00C707C6" w:rsidR="00975341">
        <w:rPr>
          <w:rFonts w:ascii="Times New Roman" w:hAnsi="Times New Roman"/>
          <w:b/>
        </w:rPr>
        <w:t xml:space="preserve">Non-mandatory Guidelines for Complying with 1926.752(e),” </w:t>
      </w:r>
      <w:r w:rsidRPr="00C707C6" w:rsidR="00951C65">
        <w:rPr>
          <w:rFonts w:ascii="Times New Roman" w:hAnsi="Times New Roman"/>
          <w:b/>
        </w:rPr>
        <w:t>paragraph (a)</w:t>
      </w:r>
      <w:r w:rsidRPr="00C707C6" w:rsidR="00951C65">
        <w:rPr>
          <w:rFonts w:ascii="Times New Roman" w:hAnsi="Times New Roman"/>
        </w:rPr>
        <w:t xml:space="preserve">. </w:t>
      </w:r>
      <w:r w:rsidRPr="00042CB0" w:rsidR="00975341">
        <w:rPr>
          <w:rFonts w:ascii="Times New Roman" w:hAnsi="Times New Roman"/>
          <w:u w:val="single"/>
        </w:rPr>
        <w:t>Description of the requirement</w:t>
      </w:r>
      <w:r w:rsidRPr="00C707C6" w:rsidR="00975341">
        <w:rPr>
          <w:rFonts w:ascii="Times New Roman" w:hAnsi="Times New Roman"/>
        </w:rPr>
        <w:t>. Site-specific erection plan. Where employers elect, due to conditions specific to the site, to develop alternate means and methods that provide employee protection in accordance with § 1926.753(c)(5), § 1926.757(a)(4) or § 1926.757(e)(4), a site-specific erection plan shall be developed by a qualified person and be available at the work site. Guidelines for establishing a site-specific erection plan are contained in Appendix A to this subpart.</w:t>
      </w:r>
    </w:p>
    <w:p w:rsidRPr="00975341" w:rsidR="00975341" w:rsidP="00975341" w:rsidRDefault="00975341">
      <w:pPr>
        <w:rPr>
          <w:rFonts w:ascii="Times New Roman" w:hAnsi="Times New Roman"/>
          <w:u w:val="single"/>
        </w:rPr>
      </w:pPr>
    </w:p>
    <w:p w:rsidRPr="00C707C6" w:rsidR="009217A9" w:rsidP="00975341" w:rsidRDefault="00975341">
      <w:pPr>
        <w:rPr>
          <w:rFonts w:ascii="Times New Roman" w:hAnsi="Times New Roman"/>
        </w:rPr>
      </w:pPr>
      <w:r w:rsidRPr="00975341">
        <w:rPr>
          <w:rFonts w:ascii="Times New Roman" w:hAnsi="Times New Roman"/>
          <w:u w:val="single"/>
        </w:rPr>
        <w:t>Use and purpose</w:t>
      </w:r>
      <w:r w:rsidRPr="00C707C6">
        <w:rPr>
          <w:rFonts w:ascii="Times New Roman" w:hAnsi="Times New Roman"/>
        </w:rPr>
        <w:t xml:space="preserve">. </w:t>
      </w:r>
      <w:r w:rsidRPr="00C707C6" w:rsidR="009217A9">
        <w:rPr>
          <w:rFonts w:ascii="Times New Roman" w:hAnsi="Times New Roman"/>
        </w:rPr>
        <w:t>This requirement provides employer protection by ensuring that proper planning takes place in</w:t>
      </w:r>
      <w:r w:rsidRPr="009217A9" w:rsidR="009217A9">
        <w:rPr>
          <w:rFonts w:ascii="Times New Roman" w:hAnsi="Times New Roman"/>
          <w:u w:val="single"/>
        </w:rPr>
        <w:t xml:space="preserve"> </w:t>
      </w:r>
      <w:r w:rsidRPr="00C707C6" w:rsidR="009217A9">
        <w:rPr>
          <w:rFonts w:ascii="Times New Roman" w:hAnsi="Times New Roman"/>
        </w:rPr>
        <w:t>situations where employers elect, based on site specific conditions, not to comply with § 1926.753(c)(5), § 1926.757(a)(4) or § 1926.757(e)(4). The site specific plan required in 1926.752(e) allows for alternate methods but requires that an equivalent level of protection be provided. Further, the provision requires that the site specific plan be developed by a qualified person and is available at the worksite.</w:t>
      </w:r>
    </w:p>
    <w:p w:rsidR="009217A9" w:rsidP="00975341" w:rsidRDefault="009217A9">
      <w:pPr>
        <w:rPr>
          <w:rFonts w:ascii="Times New Roman" w:hAnsi="Times New Roman"/>
          <w:u w:val="single"/>
        </w:rPr>
      </w:pPr>
    </w:p>
    <w:p w:rsidRPr="00C707C6" w:rsidR="00975341" w:rsidP="00975341" w:rsidRDefault="00975341">
      <w:pPr>
        <w:rPr>
          <w:rFonts w:ascii="Times New Roman" w:hAnsi="Times New Roman"/>
        </w:rPr>
      </w:pPr>
      <w:r w:rsidRPr="00C707C6">
        <w:rPr>
          <w:rFonts w:ascii="Times New Roman" w:hAnsi="Times New Roman"/>
          <w:b/>
        </w:rPr>
        <w:t>Appendix A to Subpart R, paragraph (b).</w:t>
      </w:r>
      <w:r w:rsidRPr="00C707C6">
        <w:rPr>
          <w:rFonts w:ascii="Times New Roman" w:hAnsi="Times New Roman"/>
        </w:rPr>
        <w:t xml:space="preserve"> </w:t>
      </w:r>
      <w:r w:rsidRPr="00042CB0">
        <w:rPr>
          <w:rFonts w:ascii="Times New Roman" w:hAnsi="Times New Roman"/>
          <w:u w:val="single"/>
        </w:rPr>
        <w:t>Description of the requirem</w:t>
      </w:r>
      <w:r w:rsidRPr="00C707C6">
        <w:rPr>
          <w:rFonts w:ascii="Times New Roman" w:hAnsi="Times New Roman"/>
        </w:rPr>
        <w:t>ent.  Paragraph (b) of the Appendix provides for the development of a site-specific erection plan. Preconstruction conference(s) and site inspection(s) are held between the erector and the controlling contractor, and others such as the project engineer and fabricator before the start of steel erection. The purpose of such conference(s) is to develop and review the site-specific erection plan that will meet the requirements of this section.</w:t>
      </w:r>
    </w:p>
    <w:p w:rsidR="009217A9" w:rsidP="00975341" w:rsidRDefault="009217A9">
      <w:pPr>
        <w:rPr>
          <w:rFonts w:ascii="Times New Roman" w:hAnsi="Times New Roman"/>
          <w:u w:val="single"/>
        </w:rPr>
      </w:pPr>
    </w:p>
    <w:p w:rsidRPr="00C707C6" w:rsidR="009217A9" w:rsidP="00975341" w:rsidRDefault="00975341">
      <w:pPr>
        <w:rPr>
          <w:rFonts w:ascii="Times New Roman" w:hAnsi="Times New Roman"/>
        </w:rPr>
      </w:pPr>
      <w:r w:rsidRPr="00975341">
        <w:rPr>
          <w:rFonts w:ascii="Times New Roman" w:hAnsi="Times New Roman"/>
          <w:u w:val="single"/>
        </w:rPr>
        <w:t>Use and purpose</w:t>
      </w:r>
      <w:r w:rsidRPr="00C707C6">
        <w:rPr>
          <w:rFonts w:ascii="Times New Roman" w:hAnsi="Times New Roman"/>
        </w:rPr>
        <w:t xml:space="preserve">. </w:t>
      </w:r>
      <w:r w:rsidRPr="00C707C6" w:rsidR="009217A9">
        <w:rPr>
          <w:rFonts w:ascii="Times New Roman" w:hAnsi="Times New Roman"/>
        </w:rPr>
        <w:t xml:space="preserve">Paragraph (b) of Appendix A provides for communication and coordination between the controlling contractor and other parties to ensure all affected parties understand their </w:t>
      </w:r>
      <w:r w:rsidRPr="00C707C6" w:rsidR="009217A9">
        <w:rPr>
          <w:rFonts w:ascii="Times New Roman" w:hAnsi="Times New Roman"/>
        </w:rPr>
        <w:lastRenderedPageBreak/>
        <w:t>responsibilities under the site specific plan and actions they are require to take to implement it.</w:t>
      </w:r>
    </w:p>
    <w:p w:rsidRPr="00C707C6" w:rsidR="009217A9" w:rsidP="00975341" w:rsidRDefault="009217A9">
      <w:pPr>
        <w:rPr>
          <w:rFonts w:ascii="Times New Roman" w:hAnsi="Times New Roman"/>
        </w:rPr>
      </w:pPr>
    </w:p>
    <w:p w:rsidRPr="00975341" w:rsidR="00975341" w:rsidP="00975341" w:rsidRDefault="00975341">
      <w:pPr>
        <w:rPr>
          <w:rFonts w:ascii="Times New Roman" w:hAnsi="Times New Roman"/>
          <w:u w:val="single"/>
        </w:rPr>
      </w:pPr>
    </w:p>
    <w:p w:rsidRPr="00C707C6" w:rsidR="00975341" w:rsidP="00975341" w:rsidRDefault="00975341">
      <w:pPr>
        <w:rPr>
          <w:rFonts w:ascii="Times New Roman" w:hAnsi="Times New Roman"/>
        </w:rPr>
      </w:pPr>
      <w:r w:rsidRPr="00C707C6">
        <w:rPr>
          <w:rFonts w:ascii="Times New Roman" w:hAnsi="Times New Roman"/>
          <w:b/>
        </w:rPr>
        <w:t>Appendix A to Subpart R, paragraphs (c), (c)(1)-(c)(9), (d), (d)(1) and (d)</w:t>
      </w:r>
      <w:r w:rsidRPr="00C707C6">
        <w:rPr>
          <w:rFonts w:ascii="Times New Roman" w:hAnsi="Times New Roman"/>
        </w:rPr>
        <w:t xml:space="preserve">(2). </w:t>
      </w:r>
      <w:r w:rsidRPr="00042CB0">
        <w:rPr>
          <w:rFonts w:ascii="Times New Roman" w:hAnsi="Times New Roman"/>
          <w:u w:val="single"/>
        </w:rPr>
        <w:t>Description of the requirement</w:t>
      </w:r>
      <w:r w:rsidRPr="00C707C6">
        <w:rPr>
          <w:rFonts w:ascii="Times New Roman" w:hAnsi="Times New Roman"/>
        </w:rPr>
        <w:t>.  These paragraphs of Appendix A describe the components of a site-specific erection plan, including: the sequence of erection activity developed in coordination with the controlling contractor, a description of the crane and derrick selection and placement procedures, a description of the fall protection procedures that will be used to comply with § 1926.760, a description of the procedures that will be used to comply with § 1926.759, a description of the special procedures required for hazardous non-routine tasks, a certification for each employee who has received training for performing steel erection operations as required by § 1926.761, a list of the qualified and competent persons, a description of the procedures that will be utilized in the event of rescue or emergency response,  the identification of the site and project, and signed and dated by the qualified person(s) responsible for its preparation and modification</w:t>
      </w:r>
    </w:p>
    <w:p w:rsidRPr="00975341" w:rsidR="00975341" w:rsidP="00975341" w:rsidRDefault="00975341">
      <w:pPr>
        <w:rPr>
          <w:rFonts w:ascii="Times New Roman" w:hAnsi="Times New Roman"/>
          <w:u w:val="single"/>
        </w:rPr>
      </w:pPr>
    </w:p>
    <w:p w:rsidR="001635BD" w:rsidP="00975341" w:rsidRDefault="00975341">
      <w:pPr>
        <w:rPr>
          <w:rFonts w:ascii="Times New Roman" w:hAnsi="Times New Roman"/>
        </w:rPr>
      </w:pPr>
      <w:r w:rsidRPr="00975341">
        <w:rPr>
          <w:rFonts w:ascii="Times New Roman" w:hAnsi="Times New Roman"/>
          <w:u w:val="single"/>
        </w:rPr>
        <w:t>Use and purpose</w:t>
      </w:r>
      <w:r w:rsidRPr="00C707C6">
        <w:rPr>
          <w:rFonts w:ascii="Times New Roman" w:hAnsi="Times New Roman"/>
        </w:rPr>
        <w:t xml:space="preserve">. </w:t>
      </w:r>
      <w:r w:rsidRPr="00C707C6" w:rsidR="009217A9">
        <w:rPr>
          <w:rFonts w:ascii="Times New Roman" w:hAnsi="Times New Roman"/>
        </w:rPr>
        <w:t>The purpose of paragraphs (c) through (d)(2) of appendix A is to provide safety for the wide ranging activities associated with steel erection process based on a confident site specific hazard assessment. It provides an extensive procedural oriented list of preventative measures and best practices associated with a site specific erection plan eliminating potential hazardous conditions</w:t>
      </w:r>
      <w:r w:rsidRPr="00C707C6" w:rsidR="00297CE5">
        <w:rPr>
          <w:rFonts w:ascii="Times New Roman" w:hAnsi="Times New Roman"/>
        </w:rPr>
        <w:t>.</w:t>
      </w:r>
    </w:p>
    <w:p w:rsidRPr="00C707C6" w:rsidR="00530A9F" w:rsidP="00975341" w:rsidRDefault="00530A9F">
      <w:pPr>
        <w:rPr>
          <w:rFonts w:ascii="Times New Roman" w:hAnsi="Times New Roman"/>
        </w:rPr>
      </w:pPr>
    </w:p>
    <w:p w:rsidRPr="00530A9F" w:rsidR="00530A9F" w:rsidP="00530A9F" w:rsidRDefault="00530A9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F6978" w:rsidR="001635BD" w:rsidRDefault="001635BD">
      <w:pPr>
        <w:rPr>
          <w:rFonts w:ascii="Times New Roman" w:hAnsi="Times New Roman"/>
        </w:rPr>
      </w:pPr>
    </w:p>
    <w:p w:rsidR="006718F9" w:rsidRDefault="001635BD">
      <w:pPr>
        <w:rPr>
          <w:rFonts w:ascii="Times New Roman" w:hAnsi="Times New Roman"/>
        </w:rPr>
      </w:pPr>
      <w:r w:rsidRPr="009F6978">
        <w:rPr>
          <w:rFonts w:ascii="Times New Roman" w:hAnsi="Times New Roman"/>
        </w:rPr>
        <w:t xml:space="preserve">Employers may use any available technology to meet the paperwork requirements specified by the Subpart.  The Agency wrote these provisions in performance-oriented language, i.e., in terms of </w:t>
      </w:r>
      <w:r w:rsidRPr="009F6978">
        <w:rPr>
          <w:rFonts w:ascii="Times New Roman" w:hAnsi="Times New Roman"/>
          <w:u w:val="single"/>
        </w:rPr>
        <w:t>what</w:t>
      </w:r>
      <w:r w:rsidRPr="009F6978">
        <w:rPr>
          <w:rFonts w:ascii="Times New Roman" w:hAnsi="Times New Roman"/>
        </w:rPr>
        <w:t xml:space="preserve"> information to provide, not </w:t>
      </w:r>
      <w:r w:rsidRPr="009F6978">
        <w:rPr>
          <w:rFonts w:ascii="Times New Roman" w:hAnsi="Times New Roman"/>
          <w:u w:val="single"/>
        </w:rPr>
        <w:t>how</w:t>
      </w:r>
      <w:r w:rsidRPr="009F6978">
        <w:rPr>
          <w:rFonts w:ascii="Times New Roman" w:hAnsi="Times New Roman"/>
        </w:rPr>
        <w:t xml:space="preserve"> to provide it.</w:t>
      </w:r>
    </w:p>
    <w:p w:rsidR="00530A9F" w:rsidP="00530A9F" w:rsidRDefault="00530A9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30A9F" w:rsidR="00530A9F" w:rsidP="00530A9F" w:rsidRDefault="00530A9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0A9F">
        <w:rPr>
          <w:rFonts w:ascii="Times New Roman" w:hAnsi="Times New Roman"/>
          <w:b/>
          <w:bCs/>
        </w:rPr>
        <w:t>4.  Describe efforts to identify duplication.  Show specifically why any similar information already available cannot be used or modified for use for the purposes described in Item A.2 above.</w:t>
      </w:r>
    </w:p>
    <w:p w:rsidRPr="009F6978" w:rsidR="001635BD" w:rsidRDefault="001635BD">
      <w:pPr>
        <w:rPr>
          <w:rFonts w:ascii="Times New Roman" w:hAnsi="Times New Roman"/>
        </w:rPr>
      </w:pPr>
    </w:p>
    <w:p w:rsidRPr="009F6978" w:rsidR="001635BD" w:rsidRDefault="0071680C">
      <w:pPr>
        <w:rPr>
          <w:rFonts w:ascii="Times New Roman" w:hAnsi="Times New Roman"/>
        </w:rPr>
      </w:pPr>
      <w:r>
        <w:rPr>
          <w:rFonts w:ascii="Times New Roman" w:hAnsi="Times New Roman"/>
        </w:rPr>
        <w:t xml:space="preserve">The </w:t>
      </w:r>
      <w:r w:rsidR="00E70A8B">
        <w:rPr>
          <w:rFonts w:ascii="Times New Roman" w:hAnsi="Times New Roman"/>
        </w:rPr>
        <w:t xml:space="preserve">collections of information </w:t>
      </w:r>
      <w:r w:rsidRPr="009F6978" w:rsidR="001635BD">
        <w:rPr>
          <w:rFonts w:ascii="Times New Roman" w:hAnsi="Times New Roman"/>
        </w:rPr>
        <w:t>in the Subpart are specific to each employer involved, and no other sources or agencies duplicate these requirements or can make the required information available to OSHA, i.e., the required information is available only from the parties designated in the Subpart.</w:t>
      </w:r>
    </w:p>
    <w:p w:rsidRPr="009F6978" w:rsidR="001635BD" w:rsidRDefault="001635BD">
      <w:pPr>
        <w:rPr>
          <w:rFonts w:ascii="Times New Roman" w:hAnsi="Times New Roman"/>
        </w:rPr>
      </w:pPr>
    </w:p>
    <w:p w:rsidRPr="009F6978" w:rsidR="001635BD" w:rsidRDefault="001635BD">
      <w:pPr>
        <w:rPr>
          <w:rFonts w:ascii="Times New Roman" w:hAnsi="Times New Roman"/>
        </w:rPr>
        <w:sectPr w:rsidRPr="009F6978" w:rsidR="001635BD" w:rsidSect="00823492">
          <w:type w:val="continuous"/>
          <w:pgSz w:w="12240" w:h="15840"/>
          <w:pgMar w:top="1296" w:right="1440" w:bottom="1440" w:left="1440" w:header="1440" w:footer="1440" w:gutter="0"/>
          <w:cols w:space="720"/>
          <w:noEndnote/>
        </w:sectPr>
      </w:pPr>
    </w:p>
    <w:p w:rsidRPr="00530A9F" w:rsidR="00530A9F" w:rsidP="00530A9F" w:rsidRDefault="00530A9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lastRenderedPageBreak/>
        <w:t>5.</w:t>
      </w:r>
      <w:r w:rsidRPr="00530A9F">
        <w:rPr>
          <w:rFonts w:ascii="Times New Roman" w:hAnsi="Times New Roman"/>
        </w:rPr>
        <w:t xml:space="preserve">  </w:t>
      </w:r>
      <w:r w:rsidRPr="00530A9F">
        <w:rPr>
          <w:rFonts w:ascii="Times New Roman" w:hAnsi="Times New Roman"/>
          <w:b/>
          <w:bCs/>
        </w:rPr>
        <w:t>If the collection of information impacts small businesses or other small entities, describe any methods used to minimize burden.</w:t>
      </w:r>
    </w:p>
    <w:p w:rsidRPr="009F6978" w:rsidR="001635BD" w:rsidRDefault="001635BD">
      <w:pPr>
        <w:rPr>
          <w:rFonts w:ascii="Times New Roman" w:hAnsi="Times New Roman"/>
        </w:rPr>
      </w:pPr>
    </w:p>
    <w:p w:rsidR="001635BD" w:rsidRDefault="0071680C">
      <w:pPr>
        <w:rPr>
          <w:rFonts w:ascii="Times New Roman" w:hAnsi="Times New Roman"/>
        </w:rPr>
      </w:pPr>
      <w:r>
        <w:rPr>
          <w:rFonts w:ascii="Times New Roman" w:hAnsi="Times New Roman"/>
        </w:rPr>
        <w:t xml:space="preserve">The </w:t>
      </w:r>
      <w:r w:rsidR="00E70A8B">
        <w:rPr>
          <w:rFonts w:ascii="Times New Roman" w:hAnsi="Times New Roman"/>
        </w:rPr>
        <w:t xml:space="preserve">collections of information </w:t>
      </w:r>
      <w:r w:rsidRPr="009F6978" w:rsidR="001635BD">
        <w:rPr>
          <w:rFonts w:ascii="Times New Roman" w:hAnsi="Times New Roman"/>
        </w:rPr>
        <w:t>specified by the Subpart do not have a significant impact on a substantial number of small entities.</w:t>
      </w:r>
    </w:p>
    <w:p w:rsidRPr="009F6978" w:rsidR="00F123A8" w:rsidRDefault="00F123A8">
      <w:pPr>
        <w:rPr>
          <w:rFonts w:ascii="Times New Roman" w:hAnsi="Times New Roman"/>
        </w:rPr>
      </w:pPr>
    </w:p>
    <w:p w:rsidRPr="009F6978" w:rsidR="001635BD" w:rsidRDefault="00530A9F">
      <w:pPr>
        <w:rPr>
          <w:rFonts w:ascii="Times New Roman" w:hAnsi="Times New Roman"/>
        </w:rPr>
      </w:pPr>
      <w:r w:rsidRPr="00D53DEB">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Pr="009F6978" w:rsidR="001635BD" w:rsidRDefault="001635BD">
      <w:pPr>
        <w:rPr>
          <w:rFonts w:ascii="Times New Roman" w:hAnsi="Times New Roman"/>
        </w:rPr>
      </w:pPr>
    </w:p>
    <w:p w:rsidR="00AD6391" w:rsidRDefault="001635BD">
      <w:pPr>
        <w:rPr>
          <w:rFonts w:ascii="Times New Roman" w:hAnsi="Times New Roman"/>
        </w:rPr>
      </w:pPr>
      <w:r w:rsidRPr="009F6978">
        <w:rPr>
          <w:rFonts w:ascii="Times New Roman" w:hAnsi="Times New Roman"/>
        </w:rPr>
        <w:t>The Agenc</w:t>
      </w:r>
      <w:r w:rsidR="0071680C">
        <w:rPr>
          <w:rFonts w:ascii="Times New Roman" w:hAnsi="Times New Roman"/>
        </w:rPr>
        <w:t xml:space="preserve">y believes that the information </w:t>
      </w:r>
      <w:r w:rsidRPr="009F6978">
        <w:rPr>
          <w:rFonts w:ascii="Times New Roman" w:hAnsi="Times New Roman"/>
        </w:rPr>
        <w:t xml:space="preserve">collection frequencies required by the Subpart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w:t>
      </w:r>
    </w:p>
    <w:p w:rsidR="001635BD" w:rsidRDefault="001635BD">
      <w:pPr>
        <w:rPr>
          <w:rFonts w:ascii="Times New Roman" w:hAnsi="Times New Roman"/>
        </w:rPr>
      </w:pPr>
      <w:r w:rsidRPr="009F6978">
        <w:rPr>
          <w:rFonts w:ascii="Times New Roman" w:hAnsi="Times New Roman"/>
        </w:rPr>
        <w:t>perform the required information</w:t>
      </w:r>
      <w:r w:rsidR="00F0244B">
        <w:rPr>
          <w:rFonts w:ascii="Times New Roman" w:hAnsi="Times New Roman"/>
        </w:rPr>
        <w:t xml:space="preserve"> </w:t>
      </w:r>
      <w:r w:rsidRPr="009F6978">
        <w:rPr>
          <w:rFonts w:ascii="Times New Roman" w:hAnsi="Times New Roman"/>
        </w:rPr>
        <w:t xml:space="preserve">collections required, or delay in providing this information, </w:t>
      </w:r>
      <w:r w:rsidR="00FB6619">
        <w:rPr>
          <w:rFonts w:ascii="Times New Roman" w:hAnsi="Times New Roman"/>
        </w:rPr>
        <w:t>worker</w:t>
      </w:r>
      <w:r w:rsidRPr="009F6978">
        <w:rPr>
          <w:rFonts w:ascii="Times New Roman" w:hAnsi="Times New Roman"/>
        </w:rPr>
        <w:t>s are at risk of serious injuries or death while working on steel</w:t>
      </w:r>
      <w:r w:rsidR="00B42042">
        <w:rPr>
          <w:rFonts w:ascii="Times New Roman" w:hAnsi="Times New Roman"/>
        </w:rPr>
        <w:t xml:space="preserve"> </w:t>
      </w:r>
      <w:r w:rsidRPr="009F6978">
        <w:rPr>
          <w:rFonts w:ascii="Times New Roman" w:hAnsi="Times New Roman"/>
        </w:rPr>
        <w:t>erection projects.</w:t>
      </w:r>
    </w:p>
    <w:p w:rsidRPr="009F6978" w:rsidR="00F123A8" w:rsidRDefault="00F123A8">
      <w:pPr>
        <w:rPr>
          <w:rFonts w:ascii="Times New Roman" w:hAnsi="Times New Roman"/>
        </w:rPr>
      </w:pPr>
    </w:p>
    <w:p w:rsidRPr="00530A9F" w:rsidR="00530A9F" w:rsidP="00530A9F" w:rsidRDefault="00530A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30A9F">
        <w:rPr>
          <w:rFonts w:ascii="Times New Roman" w:hAnsi="Times New Roman"/>
          <w:b/>
          <w:bCs/>
        </w:rPr>
        <w:t>7.  Explain any special circumstances that would cause an information collection to be conducted in a manner:</w:t>
      </w:r>
    </w:p>
    <w:p w:rsidRPr="00530A9F" w:rsidR="00530A9F" w:rsidP="00530A9F" w:rsidRDefault="00530A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requiring respondents to report information to the agency more often than quarterly;</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requiring respondents to prepare a written response to a collection of information in fewer than 30 days after receipt of it;</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requiring respondents to submit more than an original and two copies of any document;</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requiring respondents to retain records, other than health, medical, government contract, grant-in-aid, or tax records for more than three years;</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in connection with a statistical survey, that is not designed to produce valid and reliable results that can be generalized to the universe of study;</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requiring the use of statistical data classification that has not been reviewed and approved by OMB;</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bCs/>
        </w:rPr>
        <w:t xml:space="preserve">that includes a pledge of confidentially that is not supported by authority established in statute or regulation, that is not supported by disclosure and data </w:t>
      </w:r>
      <w:r w:rsidRPr="00530A9F">
        <w:rPr>
          <w:rFonts w:ascii="Times New Roman" w:hAnsi="Times New Roman"/>
          <w:b/>
          <w:bCs/>
        </w:rPr>
        <w:lastRenderedPageBreak/>
        <w:t>security policies that are consistent with the pledge, or which unnecessarily impedes sharing of data with other agencies for compatible confidential use; or</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30A9F" w:rsidR="00530A9F" w:rsidP="00530A9F" w:rsidRDefault="00530A9F">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30A9F">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Pr="00530A9F" w:rsidR="00530A9F" w:rsidP="00530A9F" w:rsidRDefault="00530A9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F6978" w:rsidR="001635BD" w:rsidRDefault="001635BD">
      <w:pPr>
        <w:rPr>
          <w:rFonts w:ascii="Times New Roman" w:hAnsi="Times New Roman"/>
        </w:rPr>
      </w:pPr>
      <w:r w:rsidRPr="009F6978">
        <w:rPr>
          <w:rFonts w:ascii="Times New Roman" w:hAnsi="Times New Roman"/>
        </w:rPr>
        <w:t>No special circumstances exist that require employers to collect information in the manner or using the procedures specified by this item; the paperwork requirements in the Subpart conform to the guidelines set forth in 5 CFR 1320.5.</w:t>
      </w:r>
    </w:p>
    <w:p w:rsidRPr="009F6978" w:rsidR="001635BD" w:rsidRDefault="001635BD">
      <w:pPr>
        <w:rPr>
          <w:rFonts w:ascii="Times New Roman" w:hAnsi="Times New Roman"/>
        </w:rPr>
      </w:pPr>
    </w:p>
    <w:p w:rsidRPr="00530A9F" w:rsidR="00530A9F" w:rsidP="00530A9F" w:rsidRDefault="00530A9F">
      <w:pPr>
        <w:widowControl/>
        <w:tabs>
          <w:tab w:val="left" w:pos="-1080"/>
          <w:tab w:val="left" w:pos="-720"/>
          <w:tab w:val="left" w:pos="0"/>
          <w:tab w:val="left" w:pos="720"/>
          <w:tab w:val="left" w:pos="990"/>
          <w:tab w:val="left" w:pos="2160"/>
        </w:tabs>
        <w:rPr>
          <w:rFonts w:ascii="Times New Roman" w:hAnsi="Times New Roman"/>
          <w:b/>
          <w:bCs/>
        </w:rPr>
      </w:pPr>
      <w:r w:rsidRPr="00530A9F">
        <w:rPr>
          <w:rFonts w:ascii="Times New Roman" w:hAnsi="Times New Roman"/>
          <w:b/>
          <w:bCs/>
        </w:rPr>
        <w:t xml:space="preserve">8.  If applicable, provide a copy and identify the date and page number of publication in the </w:t>
      </w:r>
      <w:r w:rsidRPr="00530A9F">
        <w:rPr>
          <w:rFonts w:ascii="Times New Roman" w:hAnsi="Times New Roman"/>
          <w:b/>
          <w:i/>
          <w:iCs/>
        </w:rPr>
        <w:t>Federal Register</w:t>
      </w:r>
      <w:r w:rsidRPr="00530A9F">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0A9F" w:rsidR="00530A9F" w:rsidP="00530A9F" w:rsidRDefault="00530A9F">
      <w:pPr>
        <w:widowControl/>
        <w:tabs>
          <w:tab w:val="left" w:pos="-1080"/>
          <w:tab w:val="left" w:pos="-720"/>
          <w:tab w:val="left" w:pos="0"/>
          <w:tab w:val="left" w:pos="720"/>
          <w:tab w:val="left" w:pos="990"/>
          <w:tab w:val="left" w:pos="2160"/>
        </w:tabs>
        <w:rPr>
          <w:rFonts w:ascii="Times New Roman" w:hAnsi="Times New Roman"/>
          <w:b/>
          <w:bCs/>
        </w:rPr>
      </w:pPr>
      <w:r w:rsidRPr="00530A9F">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9F6978" w:rsidR="001635BD" w:rsidRDefault="001635BD">
      <w:pPr>
        <w:rPr>
          <w:rFonts w:ascii="Times New Roman" w:hAnsi="Times New Roman"/>
        </w:rPr>
      </w:pPr>
    </w:p>
    <w:p w:rsidRPr="00E17384" w:rsidR="00B62D05" w:rsidP="00B62D05" w:rsidRDefault="00B62D0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17384">
        <w:rPr>
          <w:rFonts w:ascii="Times New Roman" w:hAnsi="Times New Roman"/>
        </w:rPr>
        <w:t xml:space="preserve">As required by the Paperwork Reduction Act of 1995 (44 U.S.C. 3506(c)(2)(A)), OSHA published a notice </w:t>
      </w:r>
      <w:r w:rsidR="0053023C">
        <w:rPr>
          <w:rFonts w:ascii="Times New Roman" w:hAnsi="Times New Roman"/>
        </w:rPr>
        <w:t xml:space="preserve">on </w:t>
      </w:r>
      <w:r w:rsidR="00E34E81">
        <w:rPr>
          <w:rFonts w:ascii="Times New Roman" w:hAnsi="Times New Roman"/>
        </w:rPr>
        <w:t>October 19, 2020</w:t>
      </w:r>
      <w:r w:rsidR="00A567B3">
        <w:rPr>
          <w:rFonts w:ascii="Times New Roman" w:hAnsi="Times New Roman"/>
        </w:rPr>
        <w:t xml:space="preserve"> </w:t>
      </w:r>
      <w:r w:rsidRPr="00E17384">
        <w:rPr>
          <w:rFonts w:ascii="Times New Roman" w:hAnsi="Times New Roman"/>
        </w:rPr>
        <w:t xml:space="preserve">in the </w:t>
      </w:r>
      <w:r w:rsidRPr="000A58FF">
        <w:rPr>
          <w:rFonts w:ascii="Times New Roman" w:hAnsi="Times New Roman"/>
          <w:bCs/>
          <w:i/>
        </w:rPr>
        <w:t>Federal Register</w:t>
      </w:r>
      <w:r w:rsidRPr="00E17384">
        <w:rPr>
          <w:rFonts w:ascii="Times New Roman" w:hAnsi="Times New Roman"/>
          <w:bCs/>
        </w:rPr>
        <w:t xml:space="preserve"> </w:t>
      </w:r>
      <w:r w:rsidR="00432B66">
        <w:rPr>
          <w:rFonts w:ascii="Times New Roman" w:hAnsi="Times New Roman"/>
          <w:bCs/>
        </w:rPr>
        <w:t>(</w:t>
      </w:r>
      <w:r w:rsidR="0053023C">
        <w:rPr>
          <w:rFonts w:ascii="Times New Roman" w:hAnsi="Times New Roman"/>
          <w:bCs/>
        </w:rPr>
        <w:t>8</w:t>
      </w:r>
      <w:r w:rsidR="00A567B3">
        <w:rPr>
          <w:rFonts w:ascii="Times New Roman" w:hAnsi="Times New Roman"/>
          <w:bCs/>
        </w:rPr>
        <w:t>5</w:t>
      </w:r>
      <w:r w:rsidR="00432B66">
        <w:rPr>
          <w:rFonts w:ascii="Times New Roman" w:hAnsi="Times New Roman"/>
          <w:bCs/>
        </w:rPr>
        <w:t xml:space="preserve"> FR</w:t>
      </w:r>
      <w:r w:rsidR="0053023C">
        <w:rPr>
          <w:rFonts w:ascii="Times New Roman" w:hAnsi="Times New Roman"/>
          <w:bCs/>
        </w:rPr>
        <w:t xml:space="preserve"> </w:t>
      </w:r>
      <w:r w:rsidR="00E34E81">
        <w:rPr>
          <w:rFonts w:ascii="Times New Roman" w:hAnsi="Times New Roman"/>
          <w:bCs/>
        </w:rPr>
        <w:t>66360</w:t>
      </w:r>
      <w:r w:rsidR="00432B66">
        <w:rPr>
          <w:rFonts w:ascii="Times New Roman" w:hAnsi="Times New Roman"/>
          <w:bCs/>
        </w:rPr>
        <w:t xml:space="preserve">) </w:t>
      </w:r>
      <w:r w:rsidRPr="00E17384">
        <w:rPr>
          <w:rFonts w:ascii="Times New Roman" w:hAnsi="Times New Roman"/>
        </w:rPr>
        <w:t xml:space="preserve">soliciting comments on its proposal to extend the Office of Management Budget’s (OMB) approval of the </w:t>
      </w:r>
      <w:r w:rsidR="00E70A8B">
        <w:rPr>
          <w:rFonts w:ascii="Times New Roman" w:hAnsi="Times New Roman"/>
        </w:rPr>
        <w:t xml:space="preserve">collections of information </w:t>
      </w:r>
      <w:r w:rsidRPr="00E17384">
        <w:rPr>
          <w:rFonts w:ascii="Times New Roman" w:hAnsi="Times New Roman"/>
        </w:rPr>
        <w:t xml:space="preserve">specified in the standard on </w:t>
      </w:r>
      <w:r w:rsidRPr="00E17384" w:rsidR="004E345D">
        <w:rPr>
          <w:rFonts w:ascii="Times New Roman" w:hAnsi="Times New Roman"/>
          <w:bCs/>
        </w:rPr>
        <w:t>Steel Erection (29 CFR</w:t>
      </w:r>
      <w:r w:rsidRPr="00E17384">
        <w:rPr>
          <w:rFonts w:ascii="Times New Roman" w:hAnsi="Times New Roman"/>
          <w:bCs/>
        </w:rPr>
        <w:t xml:space="preserve"> Part 1926, Subpart R)</w:t>
      </w:r>
      <w:r w:rsidR="0053023C">
        <w:rPr>
          <w:rFonts w:ascii="Times New Roman" w:hAnsi="Times New Roman"/>
          <w:bCs/>
        </w:rPr>
        <w:t xml:space="preserve"> (Docket No. OSHA-2011-0055)</w:t>
      </w:r>
      <w:r w:rsidRPr="00E17384">
        <w:rPr>
          <w:rFonts w:ascii="Times New Roman" w:hAnsi="Times New Roman"/>
          <w:bCs/>
        </w:rPr>
        <w:t>.</w:t>
      </w:r>
      <w:r w:rsidRPr="00E17384">
        <w:rPr>
          <w:rFonts w:ascii="Times New Roman" w:hAnsi="Times New Roman"/>
        </w:rPr>
        <w:t xml:space="preserve"> This notice </w:t>
      </w:r>
      <w:r w:rsidR="00A567B3">
        <w:rPr>
          <w:rFonts w:ascii="Times New Roman" w:hAnsi="Times New Roman"/>
        </w:rPr>
        <w:t xml:space="preserve">is </w:t>
      </w:r>
      <w:r w:rsidRPr="00E17384">
        <w:rPr>
          <w:rFonts w:ascii="Times New Roman" w:hAnsi="Times New Roman"/>
        </w:rPr>
        <w:t xml:space="preserve">part of a preclearance consultation program that provided the general public and government agencies with an opportunity to comment.  </w:t>
      </w:r>
      <w:r w:rsidR="00432B66">
        <w:rPr>
          <w:rFonts w:ascii="Times New Roman" w:hAnsi="Times New Roman"/>
        </w:rPr>
        <w:t xml:space="preserve">The Agency </w:t>
      </w:r>
      <w:r w:rsidR="00D0089B">
        <w:rPr>
          <w:rFonts w:ascii="Times New Roman" w:hAnsi="Times New Roman"/>
        </w:rPr>
        <w:t xml:space="preserve">received no </w:t>
      </w:r>
      <w:r w:rsidR="00A567B3">
        <w:rPr>
          <w:rFonts w:ascii="Times New Roman" w:hAnsi="Times New Roman"/>
        </w:rPr>
        <w:t>c</w:t>
      </w:r>
      <w:r w:rsidR="00432B66">
        <w:rPr>
          <w:rFonts w:ascii="Times New Roman" w:hAnsi="Times New Roman"/>
        </w:rPr>
        <w:t>omment</w:t>
      </w:r>
      <w:r w:rsidR="00BD2706">
        <w:rPr>
          <w:rFonts w:ascii="Times New Roman" w:hAnsi="Times New Roman"/>
        </w:rPr>
        <w:t xml:space="preserve">s </w:t>
      </w:r>
      <w:r w:rsidR="00432B66">
        <w:rPr>
          <w:rFonts w:ascii="Times New Roman" w:hAnsi="Times New Roman"/>
        </w:rPr>
        <w:t>in response to th</w:t>
      </w:r>
      <w:r w:rsidR="00BD2706">
        <w:rPr>
          <w:rFonts w:ascii="Times New Roman" w:hAnsi="Times New Roman"/>
        </w:rPr>
        <w:t>e</w:t>
      </w:r>
      <w:r w:rsidR="00432B66">
        <w:rPr>
          <w:rFonts w:ascii="Times New Roman" w:hAnsi="Times New Roman"/>
        </w:rPr>
        <w:t xml:space="preserve"> notice.</w:t>
      </w:r>
    </w:p>
    <w:p w:rsidR="00E70A8B" w:rsidP="0026645D" w:rsidRDefault="00E70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9.  Explain any decision to provide any payments or gifts to respondents, other than remuneration of contractors or grantees.</w:t>
      </w: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F6978" w:rsidR="001635BD" w:rsidP="006B71E7"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9F6978">
        <w:rPr>
          <w:rFonts w:ascii="Times New Roman" w:hAnsi="Times New Roman"/>
        </w:rPr>
        <w:lastRenderedPageBreak/>
        <w:t xml:space="preserve">The Agency will </w:t>
      </w:r>
      <w:r w:rsidRPr="009F6978">
        <w:rPr>
          <w:rFonts w:ascii="Times New Roman" w:hAnsi="Times New Roman"/>
          <w:u w:val="single"/>
        </w:rPr>
        <w:t>not</w:t>
      </w:r>
      <w:r w:rsidRPr="009F6978">
        <w:rPr>
          <w:rFonts w:ascii="Times New Roman" w:hAnsi="Times New Roman"/>
        </w:rPr>
        <w:t xml:space="preserve"> provide payments or gifts to the respondents.</w:t>
      </w:r>
    </w:p>
    <w:p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1680C" w:rsidP="00F123A8"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r w:rsidRPr="00530A9F">
        <w:rPr>
          <w:rFonts w:ascii="Times New Roman" w:hAnsi="Times New Roman"/>
          <w:b/>
          <w:bCs/>
        </w:rPr>
        <w:t>10.  Describe any assurance of confidentiality provided to respondents and the basis for the assurance in statute, regulation, or agency policy.</w:t>
      </w: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635BD" w:rsidP="006B71E7"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9F6978">
        <w:rPr>
          <w:rFonts w:ascii="Times New Roman" w:hAnsi="Times New Roman"/>
        </w:rPr>
        <w:t>The paperwork requirements specified by the Subpart do not involve confidential information.</w:t>
      </w:r>
    </w:p>
    <w:p w:rsidRPr="009F6978" w:rsidR="00F123A8" w:rsidP="006B71E7" w:rsidRDefault="00F12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1635BD" w:rsidP="00F123A8"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0A9F">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F6978" w:rsidR="001635BD" w:rsidP="006B71E7"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9F6978">
        <w:rPr>
          <w:rFonts w:ascii="Times New Roman" w:hAnsi="Times New Roman"/>
        </w:rPr>
        <w:t>The paperwork requirements specified by the Subpart do not involve sensitive information.</w:t>
      </w:r>
    </w:p>
    <w:p w:rsidR="007F1FF8" w:rsidRDefault="007F1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12.  Provide estimates of the hour burden of the collection of information.  The statement should:</w:t>
      </w: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30A9F" w:rsidR="00530A9F" w:rsidP="00530A9F" w:rsidRDefault="00530A9F">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530A9F" w:rsidR="00530A9F" w:rsidP="00530A9F" w:rsidRDefault="00530A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30A9F" w:rsidR="00530A9F" w:rsidP="00530A9F" w:rsidRDefault="00530A9F">
      <w:pPr>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30A9F">
        <w:rPr>
          <w:rFonts w:ascii="Times New Roman" w:hAnsi="Times New Roman"/>
          <w:b/>
        </w:rPr>
        <w:t xml:space="preserve">If this </w:t>
      </w:r>
      <w:r w:rsidRPr="00530A9F">
        <w:rPr>
          <w:rFonts w:ascii="Times New Roman" w:hAnsi="Times New Roman"/>
          <w:b/>
          <w:bCs/>
        </w:rPr>
        <w:t>request for approval covers more than one form, provide separate hour burden estimates for each form.</w:t>
      </w:r>
    </w:p>
    <w:p w:rsidRPr="00530A9F" w:rsidR="00530A9F" w:rsidP="00530A9F" w:rsidRDefault="00530A9F">
      <w:pPr>
        <w:ind w:left="720"/>
        <w:rPr>
          <w:rFonts w:ascii="Courier 12cpi" w:hAnsi="Courier 12cpi"/>
        </w:rPr>
      </w:pPr>
    </w:p>
    <w:p w:rsidRPr="00530A9F" w:rsidR="00530A9F" w:rsidP="00530A9F" w:rsidRDefault="00530A9F">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0A9F">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530A9F">
        <w:rPr>
          <w:rFonts w:ascii="Times New Roman" w:hAnsi="Times New Roman"/>
          <w:b/>
          <w:bCs/>
          <w:color w:val="000000"/>
        </w:rPr>
        <w:t xml:space="preserve"> </w:t>
      </w: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7AEF"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F6978">
        <w:rPr>
          <w:rFonts w:ascii="Times New Roman" w:hAnsi="Times New Roman"/>
        </w:rPr>
        <w:t xml:space="preserve">Table </w:t>
      </w:r>
      <w:r w:rsidR="00886F9D">
        <w:rPr>
          <w:rFonts w:ascii="Times New Roman" w:hAnsi="Times New Roman"/>
        </w:rPr>
        <w:t>A12</w:t>
      </w:r>
      <w:r w:rsidR="009B13DA">
        <w:rPr>
          <w:rFonts w:ascii="Times New Roman" w:hAnsi="Times New Roman"/>
        </w:rPr>
        <w:t xml:space="preserve"> </w:t>
      </w:r>
      <w:r w:rsidRPr="009F6978">
        <w:rPr>
          <w:rFonts w:ascii="Times New Roman" w:hAnsi="Times New Roman"/>
        </w:rPr>
        <w:t>below provides a summary of the annual burden</w:t>
      </w:r>
      <w:r w:rsidR="00060B67">
        <w:rPr>
          <w:rFonts w:ascii="Times New Roman" w:hAnsi="Times New Roman"/>
        </w:rPr>
        <w:t xml:space="preserve"> </w:t>
      </w:r>
      <w:r w:rsidRPr="009F6978">
        <w:rPr>
          <w:rFonts w:ascii="Times New Roman" w:hAnsi="Times New Roman"/>
        </w:rPr>
        <w:t>hour and cost estimates for each paragraph of the Subpart that contains a</w:t>
      </w:r>
      <w:r w:rsidR="00042CB0">
        <w:rPr>
          <w:rFonts w:ascii="Times New Roman" w:hAnsi="Times New Roman"/>
        </w:rPr>
        <w:t>n</w:t>
      </w:r>
      <w:r w:rsidR="000450E0">
        <w:rPr>
          <w:rFonts w:ascii="Times New Roman" w:hAnsi="Times New Roman"/>
        </w:rPr>
        <w:t xml:space="preserve"> information collection requirement </w:t>
      </w:r>
      <w:r w:rsidRPr="009F6978">
        <w:rPr>
          <w:rFonts w:ascii="Times New Roman" w:hAnsi="Times New Roman"/>
        </w:rPr>
        <w:t xml:space="preserve">(and described </w:t>
      </w:r>
      <w:r w:rsidRPr="009F6978">
        <w:rPr>
          <w:rFonts w:ascii="Times New Roman" w:hAnsi="Times New Roman"/>
        </w:rPr>
        <w:lastRenderedPageBreak/>
        <w:t xml:space="preserve">under Item 2 above).  </w:t>
      </w:r>
      <w:r w:rsidR="009B13DA">
        <w:rPr>
          <w:rFonts w:ascii="Times New Roman" w:hAnsi="Times New Roman"/>
        </w:rPr>
        <w:t>The t</w:t>
      </w:r>
      <w:r w:rsidRPr="009F6978">
        <w:rPr>
          <w:rFonts w:ascii="Times New Roman" w:hAnsi="Times New Roman"/>
        </w:rPr>
        <w:t xml:space="preserve">able </w:t>
      </w:r>
      <w:r w:rsidR="009B13DA">
        <w:rPr>
          <w:rFonts w:ascii="Times New Roman" w:hAnsi="Times New Roman"/>
        </w:rPr>
        <w:t>also</w:t>
      </w:r>
      <w:r w:rsidRPr="009F6978">
        <w:rPr>
          <w:rFonts w:ascii="Times New Roman" w:hAnsi="Times New Roman"/>
        </w:rPr>
        <w:t xml:space="preserve"> provides the values used by the Agency to calculate estimates, including the number of projects covered by the</w:t>
      </w:r>
      <w:r w:rsidR="00886F9D">
        <w:rPr>
          <w:rFonts w:ascii="Times New Roman" w:hAnsi="Times New Roman"/>
        </w:rPr>
        <w:t xml:space="preserve"> collections of information</w:t>
      </w:r>
      <w:r w:rsidRPr="009F6978">
        <w:rPr>
          <w:rFonts w:ascii="Times New Roman" w:hAnsi="Times New Roman"/>
        </w:rPr>
        <w:t>, the frequency with which the requirement occurs per project, the time required to perform each occurrence, the labor category involved in performing the requirement, and the hourly wage rate for the labor category.</w:t>
      </w:r>
    </w:p>
    <w:p w:rsidR="00FE7C7D" w:rsidP="00FE7C7D" w:rsidRDefault="00FE7C7D">
      <w:pPr>
        <w:tabs>
          <w:tab w:val="left" w:pos="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0"/>
          <w:vertAlign w:val="superscript"/>
        </w:rPr>
      </w:pPr>
    </w:p>
    <w:p w:rsidRPr="000A04FC" w:rsidR="00886F9D" w:rsidRDefault="0088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0A04FC">
        <w:rPr>
          <w:rFonts w:ascii="Times New Roman" w:hAnsi="Times New Roman"/>
          <w:b/>
        </w:rPr>
        <w:t>Establishment and Employment ICR Estimates</w:t>
      </w:r>
    </w:p>
    <w:p w:rsidR="00886F9D" w:rsidRDefault="0088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635BD" w:rsidRDefault="00AE0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Pr>
          <w:rFonts w:ascii="Times New Roman" w:hAnsi="Times New Roman"/>
        </w:rPr>
        <w:t>OSHA estimate</w:t>
      </w:r>
      <w:r w:rsidR="00C206BF">
        <w:rPr>
          <w:rFonts w:ascii="Times New Roman" w:hAnsi="Times New Roman"/>
        </w:rPr>
        <w:t xml:space="preserve">d </w:t>
      </w:r>
      <w:r w:rsidR="00E61F87">
        <w:rPr>
          <w:rFonts w:ascii="Times New Roman" w:hAnsi="Times New Roman"/>
        </w:rPr>
        <w:t xml:space="preserve">Table </w:t>
      </w:r>
      <w:r w:rsidR="00886F9D">
        <w:rPr>
          <w:rFonts w:ascii="Times New Roman" w:hAnsi="Times New Roman"/>
        </w:rPr>
        <w:t xml:space="preserve">A12 </w:t>
      </w:r>
      <w:r w:rsidR="004D7000">
        <w:rPr>
          <w:rFonts w:ascii="Times New Roman" w:hAnsi="Times New Roman"/>
        </w:rPr>
        <w:t>numbers using</w:t>
      </w:r>
      <w:r w:rsidR="00C206BF">
        <w:rPr>
          <w:rFonts w:ascii="Times New Roman" w:hAnsi="Times New Roman"/>
        </w:rPr>
        <w:t xml:space="preserve"> </w:t>
      </w:r>
      <w:r w:rsidR="00344C3C">
        <w:rPr>
          <w:rFonts w:ascii="Times New Roman" w:hAnsi="Times New Roman"/>
        </w:rPr>
        <w:t>n</w:t>
      </w:r>
      <w:r w:rsidR="00C206BF">
        <w:rPr>
          <w:rFonts w:ascii="Times New Roman" w:hAnsi="Times New Roman"/>
        </w:rPr>
        <w:t xml:space="preserve">ational </w:t>
      </w:r>
      <w:r w:rsidR="00344C3C">
        <w:rPr>
          <w:rFonts w:ascii="Times New Roman" w:hAnsi="Times New Roman"/>
        </w:rPr>
        <w:t>i</w:t>
      </w:r>
      <w:r w:rsidR="00C206BF">
        <w:rPr>
          <w:rFonts w:ascii="Times New Roman" w:hAnsi="Times New Roman"/>
        </w:rPr>
        <w:t>ndustry-</w:t>
      </w:r>
      <w:r w:rsidR="00344C3C">
        <w:rPr>
          <w:rFonts w:ascii="Times New Roman" w:hAnsi="Times New Roman"/>
        </w:rPr>
        <w:t>s</w:t>
      </w:r>
      <w:r w:rsidR="00C206BF">
        <w:rPr>
          <w:rFonts w:ascii="Times New Roman" w:hAnsi="Times New Roman"/>
        </w:rPr>
        <w:t>pecific</w:t>
      </w:r>
      <w:r w:rsidR="00735297">
        <w:rPr>
          <w:rFonts w:ascii="Times New Roman" w:hAnsi="Times New Roman"/>
          <w:szCs w:val="20"/>
        </w:rPr>
        <w:t xml:space="preserve"> </w:t>
      </w:r>
      <w:r w:rsidR="00E61F87">
        <w:rPr>
          <w:rFonts w:ascii="Times New Roman" w:hAnsi="Times New Roman"/>
          <w:szCs w:val="20"/>
        </w:rPr>
        <w:t>data</w:t>
      </w:r>
      <w:r w:rsidR="00C206BF">
        <w:rPr>
          <w:rFonts w:ascii="Times New Roman" w:hAnsi="Times New Roman"/>
          <w:szCs w:val="20"/>
        </w:rPr>
        <w:t xml:space="preserve"> from </w:t>
      </w:r>
      <w:r w:rsidR="00344C3C">
        <w:rPr>
          <w:rFonts w:ascii="Times New Roman" w:hAnsi="Times New Roman"/>
          <w:szCs w:val="20"/>
        </w:rPr>
        <w:t xml:space="preserve">the </w:t>
      </w:r>
      <w:r w:rsidR="00C206BF">
        <w:rPr>
          <w:rFonts w:ascii="Times New Roman" w:hAnsi="Times New Roman"/>
          <w:szCs w:val="20"/>
        </w:rPr>
        <w:t xml:space="preserve">Bureau of Labor Statistic’s </w:t>
      </w:r>
      <w:r w:rsidRPr="003A68DA" w:rsidR="00A97C87">
        <w:rPr>
          <w:rFonts w:ascii="Times New Roman" w:hAnsi="Times New Roman"/>
          <w:i/>
          <w:szCs w:val="20"/>
        </w:rPr>
        <w:t>Occu</w:t>
      </w:r>
      <w:r w:rsidRPr="003A68DA" w:rsidR="00506F21">
        <w:rPr>
          <w:rFonts w:ascii="Times New Roman" w:hAnsi="Times New Roman"/>
          <w:i/>
          <w:szCs w:val="20"/>
        </w:rPr>
        <w:t xml:space="preserve">pational Employment </w:t>
      </w:r>
      <w:r w:rsidRPr="003A68DA" w:rsidR="009E483D">
        <w:rPr>
          <w:rFonts w:ascii="Times New Roman" w:hAnsi="Times New Roman"/>
          <w:i/>
          <w:szCs w:val="20"/>
        </w:rPr>
        <w:t>Statistics</w:t>
      </w:r>
      <w:r w:rsidR="00C206BF">
        <w:rPr>
          <w:rFonts w:ascii="Times New Roman" w:hAnsi="Times New Roman"/>
          <w:i/>
          <w:szCs w:val="20"/>
        </w:rPr>
        <w:t>.</w:t>
      </w:r>
      <w:r w:rsidRPr="003A68DA" w:rsidR="00C206BF">
        <w:rPr>
          <w:rFonts w:ascii="Times New Roman" w:hAnsi="Times New Roman"/>
          <w:i/>
          <w:szCs w:val="20"/>
        </w:rPr>
        <w:t xml:space="preserve"> </w:t>
      </w:r>
      <w:r w:rsidRPr="00FE04B4" w:rsidR="00885769">
        <w:rPr>
          <w:rFonts w:ascii="Times New Roman" w:hAnsi="Times New Roman"/>
          <w:szCs w:val="20"/>
        </w:rPr>
        <w:t>Since the construction industry has gone through several years of change</w:t>
      </w:r>
      <w:r w:rsidRPr="00FE04B4" w:rsidR="00E61F87">
        <w:rPr>
          <w:rFonts w:ascii="Times New Roman" w:hAnsi="Times New Roman"/>
          <w:szCs w:val="20"/>
        </w:rPr>
        <w:t>s</w:t>
      </w:r>
      <w:r w:rsidRPr="00FE04B4" w:rsidR="00885769">
        <w:rPr>
          <w:rFonts w:ascii="Times New Roman" w:hAnsi="Times New Roman"/>
          <w:szCs w:val="20"/>
        </w:rPr>
        <w:t xml:space="preserve">, which </w:t>
      </w:r>
      <w:r w:rsidRPr="00FE04B4" w:rsidR="00E61F87">
        <w:rPr>
          <w:rFonts w:ascii="Times New Roman" w:hAnsi="Times New Roman"/>
          <w:szCs w:val="20"/>
        </w:rPr>
        <w:t>have increased and decreased</w:t>
      </w:r>
      <w:r w:rsidRPr="00FE04B4" w:rsidR="00885769">
        <w:rPr>
          <w:rFonts w:ascii="Times New Roman" w:hAnsi="Times New Roman"/>
          <w:szCs w:val="20"/>
        </w:rPr>
        <w:t xml:space="preserve"> different segments of the industry differently, OSHA </w:t>
      </w:r>
      <w:r w:rsidR="00526DE0">
        <w:rPr>
          <w:rFonts w:ascii="Times New Roman" w:hAnsi="Times New Roman"/>
          <w:szCs w:val="20"/>
        </w:rPr>
        <w:t xml:space="preserve">uses </w:t>
      </w:r>
      <w:r w:rsidRPr="00FE04B4" w:rsidR="00885769">
        <w:rPr>
          <w:rFonts w:ascii="Times New Roman" w:hAnsi="Times New Roman"/>
          <w:szCs w:val="20"/>
        </w:rPr>
        <w:t xml:space="preserve">the percent change in </w:t>
      </w:r>
      <w:r w:rsidR="002B0227">
        <w:rPr>
          <w:rFonts w:ascii="Times New Roman" w:hAnsi="Times New Roman"/>
          <w:szCs w:val="20"/>
        </w:rPr>
        <w:t>s</w:t>
      </w:r>
      <w:r w:rsidRPr="00FE04B4" w:rsidR="00885769">
        <w:rPr>
          <w:rFonts w:ascii="Times New Roman" w:hAnsi="Times New Roman"/>
          <w:szCs w:val="20"/>
        </w:rPr>
        <w:t>tructural iron and steel worker employment</w:t>
      </w:r>
      <w:r w:rsidRPr="00FE04B4" w:rsidR="00E85BF9">
        <w:rPr>
          <w:rFonts w:ascii="Times New Roman" w:hAnsi="Times New Roman"/>
          <w:szCs w:val="20"/>
        </w:rPr>
        <w:t xml:space="preserve"> from May of </w:t>
      </w:r>
      <w:r w:rsidR="00344C3C">
        <w:rPr>
          <w:rFonts w:ascii="Times New Roman" w:hAnsi="Times New Roman"/>
          <w:szCs w:val="20"/>
        </w:rPr>
        <w:t>201</w:t>
      </w:r>
      <w:r w:rsidR="00A567B3">
        <w:rPr>
          <w:rFonts w:ascii="Times New Roman" w:hAnsi="Times New Roman"/>
          <w:szCs w:val="20"/>
        </w:rPr>
        <w:t>6</w:t>
      </w:r>
      <w:r w:rsidR="00344C3C">
        <w:rPr>
          <w:rFonts w:ascii="Times New Roman" w:hAnsi="Times New Roman"/>
          <w:szCs w:val="20"/>
        </w:rPr>
        <w:t xml:space="preserve"> </w:t>
      </w:r>
      <w:r w:rsidRPr="00FE04B4" w:rsidR="00E85BF9">
        <w:rPr>
          <w:rFonts w:ascii="Times New Roman" w:hAnsi="Times New Roman"/>
          <w:szCs w:val="20"/>
        </w:rPr>
        <w:t>through May of 20</w:t>
      </w:r>
      <w:r w:rsidR="00344C3C">
        <w:rPr>
          <w:rFonts w:ascii="Times New Roman" w:hAnsi="Times New Roman"/>
          <w:szCs w:val="20"/>
        </w:rPr>
        <w:t>1</w:t>
      </w:r>
      <w:r w:rsidR="00A567B3">
        <w:rPr>
          <w:rFonts w:ascii="Times New Roman" w:hAnsi="Times New Roman"/>
          <w:szCs w:val="20"/>
        </w:rPr>
        <w:t>9</w:t>
      </w:r>
      <w:r w:rsidRPr="00FE04B4" w:rsidR="00E85BF9">
        <w:rPr>
          <w:rFonts w:ascii="Times New Roman" w:hAnsi="Times New Roman"/>
          <w:szCs w:val="20"/>
        </w:rPr>
        <w:t xml:space="preserve"> to recalculate the </w:t>
      </w:r>
      <w:r w:rsidRPr="00FE04B4" w:rsidR="00027262">
        <w:rPr>
          <w:rFonts w:ascii="Times New Roman" w:hAnsi="Times New Roman"/>
          <w:szCs w:val="20"/>
        </w:rPr>
        <w:t xml:space="preserve">total number of projects and </w:t>
      </w:r>
      <w:r w:rsidRPr="00FE04B4" w:rsidR="006A02A1">
        <w:rPr>
          <w:rFonts w:ascii="Times New Roman" w:hAnsi="Times New Roman"/>
          <w:szCs w:val="20"/>
        </w:rPr>
        <w:t>number</w:t>
      </w:r>
      <w:r w:rsidR="0078210A">
        <w:rPr>
          <w:rFonts w:ascii="Times New Roman" w:hAnsi="Times New Roman"/>
          <w:szCs w:val="20"/>
        </w:rPr>
        <w:t>s</w:t>
      </w:r>
      <w:r w:rsidRPr="00FE04B4" w:rsidR="006A02A1">
        <w:rPr>
          <w:rFonts w:ascii="Times New Roman" w:hAnsi="Times New Roman"/>
          <w:szCs w:val="20"/>
        </w:rPr>
        <w:t xml:space="preserve"> </w:t>
      </w:r>
      <w:r w:rsidR="0078210A">
        <w:rPr>
          <w:rFonts w:ascii="Times New Roman" w:hAnsi="Times New Roman"/>
          <w:szCs w:val="20"/>
        </w:rPr>
        <w:t>of each</w:t>
      </w:r>
      <w:r w:rsidRPr="00FE04B4" w:rsidR="006A02A1">
        <w:rPr>
          <w:rFonts w:ascii="Times New Roman" w:hAnsi="Times New Roman"/>
          <w:szCs w:val="20"/>
        </w:rPr>
        <w:t xml:space="preserve"> </w:t>
      </w:r>
      <w:r w:rsidRPr="00FE04B4" w:rsidR="00027262">
        <w:rPr>
          <w:rFonts w:ascii="Times New Roman" w:hAnsi="Times New Roman"/>
          <w:szCs w:val="20"/>
        </w:rPr>
        <w:t>affected project</w:t>
      </w:r>
      <w:r w:rsidR="0078210A">
        <w:rPr>
          <w:rFonts w:ascii="Times New Roman" w:hAnsi="Times New Roman"/>
          <w:szCs w:val="20"/>
        </w:rPr>
        <w:t xml:space="preserve"> type for the table below</w:t>
      </w:r>
      <w:r w:rsidRPr="00FE04B4" w:rsidR="00027262">
        <w:rPr>
          <w:rFonts w:ascii="Times New Roman" w:hAnsi="Times New Roman"/>
          <w:szCs w:val="20"/>
        </w:rPr>
        <w:t>.</w:t>
      </w:r>
      <w:r w:rsidRPr="00FE04B4" w:rsidR="006A02A1">
        <w:rPr>
          <w:rFonts w:ascii="Times New Roman" w:hAnsi="Times New Roman"/>
          <w:szCs w:val="20"/>
        </w:rPr>
        <w:t xml:space="preserve"> In May </w:t>
      </w:r>
      <w:r w:rsidR="00344C3C">
        <w:rPr>
          <w:rFonts w:ascii="Times New Roman" w:hAnsi="Times New Roman"/>
          <w:szCs w:val="20"/>
        </w:rPr>
        <w:t>201</w:t>
      </w:r>
      <w:r w:rsidR="00A567B3">
        <w:rPr>
          <w:rFonts w:ascii="Times New Roman" w:hAnsi="Times New Roman"/>
          <w:szCs w:val="20"/>
        </w:rPr>
        <w:t>6</w:t>
      </w:r>
      <w:r w:rsidR="00344C3C">
        <w:rPr>
          <w:rFonts w:ascii="Times New Roman" w:hAnsi="Times New Roman"/>
          <w:szCs w:val="20"/>
        </w:rPr>
        <w:t xml:space="preserve">, </w:t>
      </w:r>
      <w:r w:rsidRPr="00FE04B4" w:rsidR="006A02A1">
        <w:rPr>
          <w:rFonts w:ascii="Times New Roman" w:hAnsi="Times New Roman"/>
          <w:szCs w:val="20"/>
        </w:rPr>
        <w:t xml:space="preserve">BLS data indicated </w:t>
      </w:r>
      <w:r w:rsidR="00A567B3">
        <w:rPr>
          <w:rFonts w:ascii="Times New Roman" w:hAnsi="Times New Roman"/>
          <w:szCs w:val="20"/>
        </w:rPr>
        <w:t>69,440</w:t>
      </w:r>
      <w:r w:rsidR="00344C3C">
        <w:rPr>
          <w:rFonts w:ascii="Times New Roman" w:hAnsi="Times New Roman"/>
          <w:szCs w:val="20"/>
        </w:rPr>
        <w:t xml:space="preserve"> </w:t>
      </w:r>
      <w:r w:rsidR="00396DF5">
        <w:rPr>
          <w:rFonts w:ascii="Times New Roman" w:hAnsi="Times New Roman"/>
          <w:szCs w:val="20"/>
        </w:rPr>
        <w:t>were</w:t>
      </w:r>
      <w:r w:rsidRPr="00FE04B4" w:rsidR="006A02A1">
        <w:rPr>
          <w:rFonts w:ascii="Times New Roman" w:hAnsi="Times New Roman"/>
          <w:szCs w:val="20"/>
        </w:rPr>
        <w:t xml:space="preserve"> employed </w:t>
      </w:r>
      <w:r w:rsidR="00396DF5">
        <w:rPr>
          <w:rFonts w:ascii="Times New Roman" w:hAnsi="Times New Roman"/>
          <w:szCs w:val="20"/>
        </w:rPr>
        <w:t xml:space="preserve">as </w:t>
      </w:r>
      <w:r w:rsidR="00344C3C">
        <w:rPr>
          <w:rFonts w:ascii="Times New Roman" w:hAnsi="Times New Roman"/>
          <w:szCs w:val="20"/>
        </w:rPr>
        <w:t>s</w:t>
      </w:r>
      <w:r w:rsidRPr="00FE04B4" w:rsidR="006A02A1">
        <w:rPr>
          <w:rFonts w:ascii="Times New Roman" w:hAnsi="Times New Roman"/>
          <w:szCs w:val="20"/>
        </w:rPr>
        <w:t xml:space="preserve">tructural iron and steel workers. </w:t>
      </w:r>
      <w:r w:rsidR="00344C3C">
        <w:rPr>
          <w:rFonts w:ascii="Times New Roman" w:hAnsi="Times New Roman"/>
          <w:szCs w:val="20"/>
        </w:rPr>
        <w:t>In May 201</w:t>
      </w:r>
      <w:r w:rsidR="00A567B3">
        <w:rPr>
          <w:rFonts w:ascii="Times New Roman" w:hAnsi="Times New Roman"/>
          <w:szCs w:val="20"/>
        </w:rPr>
        <w:t>9</w:t>
      </w:r>
      <w:r w:rsidR="00344C3C">
        <w:rPr>
          <w:rFonts w:ascii="Times New Roman" w:hAnsi="Times New Roman"/>
          <w:szCs w:val="20"/>
        </w:rPr>
        <w:t xml:space="preserve">, </w:t>
      </w:r>
      <w:r w:rsidR="006A02A1">
        <w:rPr>
          <w:rFonts w:ascii="Times New Roman" w:hAnsi="Times New Roman"/>
          <w:szCs w:val="20"/>
        </w:rPr>
        <w:t>BLS data indicate</w:t>
      </w:r>
      <w:r w:rsidR="00344C3C">
        <w:rPr>
          <w:rFonts w:ascii="Times New Roman" w:hAnsi="Times New Roman"/>
          <w:szCs w:val="20"/>
        </w:rPr>
        <w:t xml:space="preserve">s there are </w:t>
      </w:r>
      <w:r w:rsidR="00526DE0">
        <w:rPr>
          <w:rFonts w:ascii="Times New Roman" w:hAnsi="Times New Roman"/>
          <w:szCs w:val="20"/>
        </w:rPr>
        <w:t>76,570</w:t>
      </w:r>
      <w:r w:rsidR="006A02A1">
        <w:rPr>
          <w:rFonts w:ascii="Times New Roman" w:hAnsi="Times New Roman"/>
          <w:szCs w:val="20"/>
        </w:rPr>
        <w:t xml:space="preserve"> </w:t>
      </w:r>
      <w:r w:rsidR="00447392">
        <w:rPr>
          <w:rFonts w:ascii="Times New Roman" w:hAnsi="Times New Roman"/>
          <w:szCs w:val="20"/>
        </w:rPr>
        <w:t xml:space="preserve">employed as </w:t>
      </w:r>
      <w:r w:rsidR="00344C3C">
        <w:rPr>
          <w:rFonts w:ascii="Times New Roman" w:hAnsi="Times New Roman"/>
          <w:szCs w:val="20"/>
        </w:rPr>
        <w:t>s</w:t>
      </w:r>
      <w:r w:rsidR="00447392">
        <w:rPr>
          <w:rFonts w:ascii="Times New Roman" w:hAnsi="Times New Roman"/>
          <w:szCs w:val="20"/>
        </w:rPr>
        <w:t>tructural iron and steel workers</w:t>
      </w:r>
      <w:r w:rsidR="00344C3C">
        <w:rPr>
          <w:rFonts w:ascii="Times New Roman" w:hAnsi="Times New Roman"/>
          <w:szCs w:val="20"/>
        </w:rPr>
        <w:t xml:space="preserve">, which is a </w:t>
      </w:r>
      <w:r w:rsidR="00526DE0">
        <w:rPr>
          <w:rFonts w:ascii="Times New Roman" w:hAnsi="Times New Roman"/>
          <w:szCs w:val="20"/>
        </w:rPr>
        <w:t>10.27</w:t>
      </w:r>
      <w:r w:rsidR="00344C3C">
        <w:rPr>
          <w:rFonts w:ascii="Times New Roman" w:hAnsi="Times New Roman"/>
          <w:szCs w:val="20"/>
        </w:rPr>
        <w:t>% increase from the previous ICR</w:t>
      </w:r>
      <w:r w:rsidR="00447392">
        <w:rPr>
          <w:rFonts w:ascii="Times New Roman" w:hAnsi="Times New Roman"/>
          <w:szCs w:val="20"/>
        </w:rPr>
        <w:t>.</w:t>
      </w:r>
      <w:r w:rsidR="00837544">
        <w:rPr>
          <w:rFonts w:ascii="Times New Roman" w:hAnsi="Times New Roman"/>
          <w:szCs w:val="20"/>
        </w:rPr>
        <w:t xml:space="preserve"> </w:t>
      </w:r>
      <w:r w:rsidRPr="00675B07" w:rsidR="00675B07">
        <w:rPr>
          <w:rFonts w:ascii="Times New Roman" w:hAnsi="Times New Roman"/>
          <w:szCs w:val="20"/>
        </w:rPr>
        <w:t xml:space="preserve">Assuming the average number of workers per project has remained constant since the previous ICR, </w:t>
      </w:r>
      <w:r w:rsidR="00675B07">
        <w:rPr>
          <w:rFonts w:ascii="Times New Roman" w:hAnsi="Times New Roman"/>
          <w:szCs w:val="20"/>
        </w:rPr>
        <w:t>c</w:t>
      </w:r>
      <w:r w:rsidR="00837544">
        <w:rPr>
          <w:rFonts w:ascii="Times New Roman" w:hAnsi="Times New Roman"/>
          <w:szCs w:val="20"/>
        </w:rPr>
        <w:t>onservatively</w:t>
      </w:r>
      <w:r w:rsidR="00250A74">
        <w:rPr>
          <w:rFonts w:ascii="Times New Roman" w:hAnsi="Times New Roman"/>
          <w:szCs w:val="20"/>
        </w:rPr>
        <w:t>,</w:t>
      </w:r>
      <w:r w:rsidR="00837544">
        <w:rPr>
          <w:rFonts w:ascii="Times New Roman" w:hAnsi="Times New Roman"/>
          <w:szCs w:val="20"/>
        </w:rPr>
        <w:t xml:space="preserve"> OSHA </w:t>
      </w:r>
      <w:r w:rsidR="00340D5D">
        <w:rPr>
          <w:rFonts w:ascii="Times New Roman" w:hAnsi="Times New Roman"/>
          <w:szCs w:val="20"/>
        </w:rPr>
        <w:t xml:space="preserve">applies the </w:t>
      </w:r>
      <w:r w:rsidR="00526DE0">
        <w:rPr>
          <w:rFonts w:ascii="Times New Roman" w:hAnsi="Times New Roman"/>
          <w:szCs w:val="20"/>
        </w:rPr>
        <w:t>10.27</w:t>
      </w:r>
      <w:r w:rsidR="00344C3C">
        <w:rPr>
          <w:rFonts w:ascii="Times New Roman" w:hAnsi="Times New Roman"/>
          <w:szCs w:val="20"/>
        </w:rPr>
        <w:t xml:space="preserve">% increase </w:t>
      </w:r>
      <w:r w:rsidR="00613389">
        <w:rPr>
          <w:rFonts w:ascii="Times New Roman" w:hAnsi="Times New Roman"/>
          <w:szCs w:val="20"/>
        </w:rPr>
        <w:t xml:space="preserve">to the </w:t>
      </w:r>
      <w:r w:rsidR="00344C3C">
        <w:rPr>
          <w:rFonts w:ascii="Times New Roman" w:hAnsi="Times New Roman"/>
          <w:szCs w:val="20"/>
        </w:rPr>
        <w:t xml:space="preserve">estimated </w:t>
      </w:r>
      <w:r w:rsidR="00A567B3">
        <w:rPr>
          <w:rFonts w:ascii="Times New Roman" w:hAnsi="Times New Roman"/>
          <w:szCs w:val="20"/>
        </w:rPr>
        <w:t xml:space="preserve">16,748 </w:t>
      </w:r>
      <w:r w:rsidR="00344C3C">
        <w:rPr>
          <w:rFonts w:ascii="Times New Roman" w:hAnsi="Times New Roman"/>
          <w:szCs w:val="20"/>
        </w:rPr>
        <w:t xml:space="preserve">affected </w:t>
      </w:r>
      <w:r w:rsidR="00837544">
        <w:rPr>
          <w:rFonts w:ascii="Times New Roman" w:hAnsi="Times New Roman"/>
          <w:szCs w:val="20"/>
        </w:rPr>
        <w:t xml:space="preserve">projects </w:t>
      </w:r>
      <w:r w:rsidR="00344C3C">
        <w:rPr>
          <w:rFonts w:ascii="Times New Roman" w:hAnsi="Times New Roman"/>
          <w:szCs w:val="20"/>
        </w:rPr>
        <w:t xml:space="preserve">reported </w:t>
      </w:r>
      <w:r w:rsidR="00837544">
        <w:rPr>
          <w:rFonts w:ascii="Times New Roman" w:hAnsi="Times New Roman"/>
          <w:szCs w:val="20"/>
        </w:rPr>
        <w:t xml:space="preserve">in </w:t>
      </w:r>
      <w:r w:rsidR="00344C3C">
        <w:rPr>
          <w:rFonts w:ascii="Times New Roman" w:hAnsi="Times New Roman"/>
          <w:szCs w:val="20"/>
        </w:rPr>
        <w:t>the 201</w:t>
      </w:r>
      <w:r w:rsidR="00A567B3">
        <w:rPr>
          <w:rFonts w:ascii="Times New Roman" w:hAnsi="Times New Roman"/>
          <w:szCs w:val="20"/>
        </w:rPr>
        <w:t>6</w:t>
      </w:r>
      <w:r w:rsidR="00344C3C">
        <w:rPr>
          <w:rFonts w:ascii="Times New Roman" w:hAnsi="Times New Roman"/>
          <w:szCs w:val="20"/>
        </w:rPr>
        <w:t xml:space="preserve"> ICR </w:t>
      </w:r>
      <w:r w:rsidR="00837544">
        <w:rPr>
          <w:rFonts w:ascii="Times New Roman" w:hAnsi="Times New Roman"/>
          <w:szCs w:val="20"/>
        </w:rPr>
        <w:t xml:space="preserve">to </w:t>
      </w:r>
      <w:r w:rsidR="00613389">
        <w:rPr>
          <w:rFonts w:ascii="Times New Roman" w:hAnsi="Times New Roman"/>
          <w:szCs w:val="20"/>
        </w:rPr>
        <w:t xml:space="preserve">estimate </w:t>
      </w:r>
      <w:r w:rsidR="00344C3C">
        <w:rPr>
          <w:rFonts w:ascii="Times New Roman" w:hAnsi="Times New Roman"/>
          <w:szCs w:val="20"/>
        </w:rPr>
        <w:t xml:space="preserve">affected </w:t>
      </w:r>
      <w:r w:rsidR="00613389">
        <w:rPr>
          <w:rFonts w:ascii="Times New Roman" w:hAnsi="Times New Roman"/>
          <w:szCs w:val="20"/>
        </w:rPr>
        <w:t xml:space="preserve">projects </w:t>
      </w:r>
      <w:r w:rsidR="00164A41">
        <w:rPr>
          <w:rFonts w:ascii="Times New Roman" w:hAnsi="Times New Roman"/>
          <w:szCs w:val="20"/>
        </w:rPr>
        <w:t xml:space="preserve">in </w:t>
      </w:r>
      <w:r w:rsidR="00837544">
        <w:rPr>
          <w:rFonts w:ascii="Times New Roman" w:hAnsi="Times New Roman"/>
          <w:szCs w:val="20"/>
        </w:rPr>
        <w:t>201</w:t>
      </w:r>
      <w:r w:rsidR="00A567B3">
        <w:rPr>
          <w:rFonts w:ascii="Times New Roman" w:hAnsi="Times New Roman"/>
          <w:szCs w:val="20"/>
        </w:rPr>
        <w:t>9</w:t>
      </w:r>
      <w:r w:rsidR="00344C3C">
        <w:rPr>
          <w:rFonts w:ascii="Times New Roman" w:hAnsi="Times New Roman"/>
          <w:szCs w:val="20"/>
        </w:rPr>
        <w:t>,</w:t>
      </w:r>
      <w:r w:rsidR="00396DF5">
        <w:rPr>
          <w:rFonts w:ascii="Times New Roman" w:hAnsi="Times New Roman"/>
          <w:szCs w:val="20"/>
        </w:rPr>
        <w:t xml:space="preserve"> or </w:t>
      </w:r>
      <w:r w:rsidR="00526DE0">
        <w:rPr>
          <w:rFonts w:ascii="Times New Roman" w:hAnsi="Times New Roman"/>
          <w:szCs w:val="20"/>
        </w:rPr>
        <w:t>18,468</w:t>
      </w:r>
      <w:r w:rsidR="004D7000">
        <w:rPr>
          <w:rFonts w:ascii="Times New Roman" w:hAnsi="Times New Roman"/>
          <w:szCs w:val="20"/>
        </w:rPr>
        <w:t xml:space="preserve"> projects annually</w:t>
      </w:r>
      <w:r w:rsidR="00613389">
        <w:rPr>
          <w:rFonts w:ascii="Times New Roman" w:hAnsi="Times New Roman"/>
          <w:szCs w:val="20"/>
        </w:rPr>
        <w:t xml:space="preserve">. </w:t>
      </w:r>
      <w:r w:rsidR="00164A41">
        <w:rPr>
          <w:rFonts w:ascii="Times New Roman" w:hAnsi="Times New Roman"/>
          <w:szCs w:val="20"/>
        </w:rPr>
        <w:t>((</w:t>
      </w:r>
      <w:r w:rsidR="00526DE0">
        <w:rPr>
          <w:rFonts w:ascii="Times New Roman" w:hAnsi="Times New Roman"/>
          <w:szCs w:val="20"/>
        </w:rPr>
        <w:t xml:space="preserve">76,570 </w:t>
      </w:r>
      <w:r w:rsidR="00A567B3">
        <w:rPr>
          <w:rFonts w:ascii="Times New Roman" w:hAnsi="Times New Roman"/>
          <w:szCs w:val="20"/>
        </w:rPr>
        <w:t>-</w:t>
      </w:r>
      <w:r w:rsidR="00526DE0">
        <w:rPr>
          <w:rFonts w:ascii="Times New Roman" w:hAnsi="Times New Roman"/>
          <w:szCs w:val="20"/>
        </w:rPr>
        <w:t xml:space="preserve"> </w:t>
      </w:r>
      <w:r w:rsidR="00C861F7">
        <w:rPr>
          <w:rFonts w:ascii="Times New Roman" w:hAnsi="Times New Roman"/>
          <w:szCs w:val="20"/>
        </w:rPr>
        <w:t>69</w:t>
      </w:r>
      <w:r w:rsidR="00C339A3">
        <w:rPr>
          <w:rFonts w:ascii="Times New Roman" w:hAnsi="Times New Roman"/>
          <w:szCs w:val="20"/>
        </w:rPr>
        <w:t>,</w:t>
      </w:r>
      <w:r w:rsidR="00344C3C">
        <w:rPr>
          <w:rFonts w:ascii="Times New Roman" w:hAnsi="Times New Roman"/>
          <w:szCs w:val="20"/>
        </w:rPr>
        <w:t>440</w:t>
      </w:r>
      <w:r w:rsidR="000647AA">
        <w:rPr>
          <w:rFonts w:ascii="Times New Roman" w:hAnsi="Times New Roman"/>
          <w:szCs w:val="20"/>
        </w:rPr>
        <w:t>)</w:t>
      </w:r>
      <w:r w:rsidR="00164A41">
        <w:rPr>
          <w:rFonts w:ascii="Times New Roman" w:hAnsi="Times New Roman"/>
          <w:szCs w:val="20"/>
        </w:rPr>
        <w:t xml:space="preserve"> </w:t>
      </w:r>
      <w:r w:rsidR="000647AA">
        <w:rPr>
          <w:rFonts w:ascii="Times New Roman" w:hAnsi="Times New Roman"/>
          <w:szCs w:val="20"/>
        </w:rPr>
        <w:t>÷</w:t>
      </w:r>
      <w:r w:rsidR="00164A41">
        <w:rPr>
          <w:rFonts w:ascii="Times New Roman" w:hAnsi="Times New Roman"/>
          <w:szCs w:val="20"/>
        </w:rPr>
        <w:t xml:space="preserve"> </w:t>
      </w:r>
      <w:r w:rsidR="00A567B3">
        <w:rPr>
          <w:rFonts w:ascii="Times New Roman" w:hAnsi="Times New Roman"/>
          <w:szCs w:val="20"/>
        </w:rPr>
        <w:t>69,440</w:t>
      </w:r>
      <w:r w:rsidR="00526DE0">
        <w:rPr>
          <w:rFonts w:ascii="Times New Roman" w:hAnsi="Times New Roman"/>
          <w:szCs w:val="20"/>
        </w:rPr>
        <w:t xml:space="preserve"> </w:t>
      </w:r>
      <w:r w:rsidR="000647AA">
        <w:rPr>
          <w:rFonts w:ascii="Times New Roman" w:hAnsi="Times New Roman"/>
          <w:szCs w:val="20"/>
        </w:rPr>
        <w:t xml:space="preserve">= </w:t>
      </w:r>
      <w:r w:rsidR="00526DE0">
        <w:rPr>
          <w:rFonts w:ascii="Times New Roman" w:hAnsi="Times New Roman"/>
          <w:szCs w:val="20"/>
        </w:rPr>
        <w:t>10.27</w:t>
      </w:r>
      <w:r w:rsidR="000647AA">
        <w:rPr>
          <w:rFonts w:ascii="Times New Roman" w:hAnsi="Times New Roman"/>
          <w:szCs w:val="20"/>
        </w:rPr>
        <w:t xml:space="preserve">%) </w:t>
      </w:r>
      <w:r w:rsidR="00322EFB">
        <w:rPr>
          <w:rFonts w:ascii="Times New Roman" w:hAnsi="Times New Roman"/>
          <w:szCs w:val="20"/>
        </w:rPr>
        <w:t xml:space="preserve">and </w:t>
      </w:r>
      <w:r w:rsidR="00344C3C">
        <w:rPr>
          <w:rFonts w:ascii="Times New Roman" w:hAnsi="Times New Roman"/>
          <w:szCs w:val="20"/>
        </w:rPr>
        <w:t>(</w:t>
      </w:r>
      <w:r w:rsidR="00A567B3">
        <w:rPr>
          <w:rFonts w:ascii="Times New Roman" w:hAnsi="Times New Roman"/>
          <w:szCs w:val="20"/>
        </w:rPr>
        <w:t xml:space="preserve">16,748 </w:t>
      </w:r>
      <w:r w:rsidR="00344C3C">
        <w:rPr>
          <w:rFonts w:ascii="Times New Roman" w:hAnsi="Times New Roman"/>
          <w:szCs w:val="20"/>
        </w:rPr>
        <w:t>x (1+.</w:t>
      </w:r>
      <w:r w:rsidR="00526DE0">
        <w:rPr>
          <w:rFonts w:ascii="Times New Roman" w:hAnsi="Times New Roman"/>
          <w:szCs w:val="20"/>
        </w:rPr>
        <w:t>1027</w:t>
      </w:r>
      <w:r w:rsidR="00344C3C">
        <w:rPr>
          <w:rFonts w:ascii="Times New Roman" w:hAnsi="Times New Roman"/>
          <w:szCs w:val="20"/>
        </w:rPr>
        <w:t xml:space="preserve">) = </w:t>
      </w:r>
      <w:r w:rsidR="00526DE0">
        <w:rPr>
          <w:rFonts w:ascii="Times New Roman" w:hAnsi="Times New Roman"/>
          <w:szCs w:val="20"/>
        </w:rPr>
        <w:t>18,468</w:t>
      </w:r>
      <w:r w:rsidR="00344C3C">
        <w:rPr>
          <w:rFonts w:ascii="Times New Roman" w:hAnsi="Times New Roman"/>
          <w:szCs w:val="20"/>
        </w:rPr>
        <w:t xml:space="preserve"> </w:t>
      </w:r>
      <w:r w:rsidR="004D7000">
        <w:rPr>
          <w:rFonts w:ascii="Times New Roman" w:hAnsi="Times New Roman"/>
          <w:szCs w:val="20"/>
        </w:rPr>
        <w:t>projects</w:t>
      </w:r>
      <w:r w:rsidR="00322EFB">
        <w:rPr>
          <w:rFonts w:ascii="Times New Roman" w:hAnsi="Times New Roman"/>
          <w:szCs w:val="20"/>
        </w:rPr>
        <w:t>)</w:t>
      </w:r>
      <w:r w:rsidR="00C861F7">
        <w:rPr>
          <w:rFonts w:ascii="Times New Roman" w:hAnsi="Times New Roman"/>
          <w:szCs w:val="20"/>
        </w:rPr>
        <w:t>)</w:t>
      </w:r>
      <w:r w:rsidR="00467F22">
        <w:rPr>
          <w:rFonts w:ascii="Times New Roman" w:hAnsi="Times New Roman"/>
          <w:szCs w:val="20"/>
        </w:rPr>
        <w:t>.</w:t>
      </w:r>
      <w:r w:rsidR="004311E4">
        <w:rPr>
          <w:rFonts w:ascii="Times New Roman" w:hAnsi="Times New Roman"/>
          <w:szCs w:val="20"/>
        </w:rPr>
        <w:t xml:space="preserve"> </w:t>
      </w:r>
      <w:r w:rsidR="00747530">
        <w:rPr>
          <w:rFonts w:ascii="Times New Roman" w:hAnsi="Times New Roman"/>
          <w:szCs w:val="20"/>
        </w:rPr>
        <w:t xml:space="preserve"> This estimates a 1,720 project increase from the previous ICR (18,468 - 16,748).</w:t>
      </w:r>
    </w:p>
    <w:p w:rsidR="00497E2D" w:rsidP="00497E2D" w:rsidRDefault="00497E2D">
      <w:pPr>
        <w:widowControl/>
        <w:rPr>
          <w:rFonts w:ascii="Times New Roman" w:hAnsi="Times New Roman"/>
          <w:b/>
        </w:rPr>
      </w:pPr>
    </w:p>
    <w:p w:rsidRPr="00497E2D" w:rsidR="00497E2D" w:rsidP="00497E2D" w:rsidRDefault="00497E2D">
      <w:pPr>
        <w:widowControl/>
        <w:rPr>
          <w:rFonts w:ascii="Times New Roman" w:hAnsi="Times New Roman"/>
          <w:b/>
        </w:rPr>
      </w:pPr>
      <w:r w:rsidRPr="00497E2D">
        <w:rPr>
          <w:rFonts w:ascii="Times New Roman" w:hAnsi="Times New Roman"/>
          <w:b/>
        </w:rPr>
        <w:t>Wage Rate Determinations</w:t>
      </w:r>
    </w:p>
    <w:p w:rsidRPr="00497E2D" w:rsidR="00497E2D" w:rsidP="00497E2D" w:rsidRDefault="00497E2D">
      <w:pPr>
        <w:rPr>
          <w:rFonts w:ascii="Times New Roman" w:hAnsi="Times New Roman"/>
        </w:rPr>
      </w:pPr>
    </w:p>
    <w:p w:rsidRPr="00837049" w:rsidR="00497E2D" w:rsidP="00497E2D" w:rsidRDefault="00497E2D">
      <w:pPr>
        <w:widowControl/>
        <w:autoSpaceDE/>
        <w:autoSpaceDN/>
        <w:adjustRightInd/>
        <w:rPr>
          <w:rFonts w:ascii="Times New Roman" w:hAnsi="Times New Roman" w:eastAsia="Calibri"/>
        </w:rPr>
      </w:pPr>
      <w:r w:rsidRPr="00497E2D">
        <w:rPr>
          <w:rFonts w:ascii="Times New Roman" w:hAnsi="Times New Roman"/>
        </w:rPr>
        <w:t xml:space="preserve">The Agency determined the wage rate from mean hourly wage earnings to represent the cost of employee time.  For the relevant standard occupational classification category, OSHA </w:t>
      </w:r>
      <w:r w:rsidRPr="00497E2D">
        <w:rPr>
          <w:rFonts w:ascii="Times New Roman" w:hAnsi="Times New Roman" w:eastAsia="Calibri"/>
        </w:rPr>
        <w:t xml:space="preserve">used the wage rates reported in the Bureau of Labor Statistics, U.S. Department of Labor, </w:t>
      </w:r>
      <w:r w:rsidRPr="00497E2D">
        <w:rPr>
          <w:rFonts w:ascii="Times New Roman" w:hAnsi="Times New Roman" w:eastAsia="Calibri"/>
          <w:i/>
        </w:rPr>
        <w:t>Occupational Employment Statistics</w:t>
      </w:r>
      <w:r w:rsidRPr="00497E2D">
        <w:rPr>
          <w:rFonts w:ascii="Times New Roman" w:hAnsi="Times New Roman" w:eastAsia="Calibri"/>
        </w:rPr>
        <w:t xml:space="preserve"> (OES), May 2019 [date accessed: April 30,</w:t>
      </w:r>
      <w:r w:rsidR="00442CC5">
        <w:rPr>
          <w:rFonts w:ascii="Times New Roman" w:hAnsi="Times New Roman" w:eastAsia="Calibri"/>
        </w:rPr>
        <w:t xml:space="preserve"> </w:t>
      </w:r>
      <w:r w:rsidRPr="00497E2D">
        <w:rPr>
          <w:rFonts w:ascii="Times New Roman" w:hAnsi="Times New Roman" w:eastAsia="Calibri"/>
        </w:rPr>
        <w:t>2020</w:t>
      </w:r>
      <w:r>
        <w:rPr>
          <w:rFonts w:ascii="Times New Roman" w:hAnsi="Times New Roman" w:eastAsia="Calibri"/>
        </w:rPr>
        <w:t>)] for NAICS 238100,  “</w:t>
      </w:r>
      <w:r w:rsidRPr="007B7504">
        <w:rPr>
          <w:rFonts w:ascii="Times New Roman" w:hAnsi="Times New Roman" w:eastAsia="Calibri"/>
        </w:rPr>
        <w:t>Foundation, Structure, and Building Exterior Contractors</w:t>
      </w:r>
      <w:r w:rsidRPr="00886F9D">
        <w:rPr>
          <w:rFonts w:ascii="Times New Roman" w:hAnsi="Times New Roman" w:eastAsia="Calibri"/>
        </w:rPr>
        <w:t>.</w:t>
      </w:r>
      <w:r>
        <w:rPr>
          <w:rFonts w:ascii="Times New Roman" w:hAnsi="Times New Roman" w:eastAsia="Calibri"/>
        </w:rPr>
        <w:t>”</w:t>
      </w:r>
      <w:r w:rsidRPr="00886F9D">
        <w:rPr>
          <w:rFonts w:ascii="Times New Roman" w:hAnsi="Times New Roman" w:eastAsia="Calibri"/>
          <w:color w:val="1F497D"/>
        </w:rPr>
        <w:t xml:space="preserve"> </w:t>
      </w:r>
      <w:r w:rsidRPr="00497E2D">
        <w:rPr>
          <w:rFonts w:ascii="Times New Roman" w:hAnsi="Times New Roman" w:eastAsia="Calibri"/>
        </w:rPr>
        <w:t xml:space="preserve"> </w:t>
      </w:r>
      <w:r w:rsidRPr="00497E2D">
        <w:rPr>
          <w:rFonts w:ascii="Times New Roman" w:hAnsi="Times New Roman"/>
        </w:rPr>
        <w:t xml:space="preserve">(OES data is available at: </w:t>
      </w:r>
      <w:hyperlink w:history="1" r:id="rId13">
        <w:r w:rsidRPr="00497E2D">
          <w:rPr>
            <w:rFonts w:ascii="Times New Roman" w:hAnsi="Times New Roman"/>
            <w:color w:val="0000FF"/>
            <w:u w:val="single"/>
          </w:rPr>
          <w:t>https://www.bls.gov/oes/tables.htm</w:t>
        </w:r>
      </w:hyperlink>
      <w:r>
        <w:rPr>
          <w:rFonts w:ascii="Times New Roman" w:hAnsi="Times New Roman" w:eastAsia="Calibri"/>
          <w:color w:val="1F497D"/>
        </w:rPr>
        <w:t xml:space="preserve">). </w:t>
      </w:r>
      <w:r>
        <w:rPr>
          <w:rFonts w:ascii="Times New Roman" w:hAnsi="Times New Roman" w:eastAsia="Calibri"/>
        </w:rPr>
        <w:t>To access these</w:t>
      </w:r>
      <w:r w:rsidRPr="00837049">
        <w:rPr>
          <w:rFonts w:ascii="Times New Roman" w:hAnsi="Times New Roman" w:eastAsia="Calibri"/>
        </w:rPr>
        <w:t xml:space="preserve"> wage rate</w:t>
      </w:r>
      <w:r>
        <w:rPr>
          <w:rFonts w:ascii="Times New Roman" w:hAnsi="Times New Roman" w:eastAsia="Calibri"/>
        </w:rPr>
        <w:t>s</w:t>
      </w:r>
      <w:r w:rsidRPr="00837049">
        <w:rPr>
          <w:rFonts w:ascii="Times New Roman" w:hAnsi="Times New Roman" w:eastAsia="Calibri"/>
        </w:rPr>
        <w:t>, select the year, “</w:t>
      </w:r>
      <w:r>
        <w:rPr>
          <w:rFonts w:ascii="Times New Roman" w:hAnsi="Times New Roman" w:eastAsia="Calibri"/>
        </w:rPr>
        <w:t>National Industry-Specific and by Ownership</w:t>
      </w:r>
      <w:r w:rsidRPr="00837049">
        <w:rPr>
          <w:rFonts w:ascii="Times New Roman" w:hAnsi="Times New Roman" w:eastAsia="Calibri"/>
        </w:rPr>
        <w:t>,” and the Standard Occupational Classification (SOC) code.)</w:t>
      </w:r>
    </w:p>
    <w:p w:rsidRPr="00497E2D" w:rsidR="00497E2D" w:rsidP="00497E2D" w:rsidRDefault="00497E2D">
      <w:pPr>
        <w:rPr>
          <w:rFonts w:ascii="Times New Roman" w:hAnsi="Times New Roman"/>
          <w:color w:val="1F497D"/>
        </w:rPr>
      </w:pPr>
    </w:p>
    <w:p w:rsidRPr="00497E2D" w:rsidR="00497E2D" w:rsidP="00497E2D" w:rsidRDefault="00497E2D">
      <w:pPr>
        <w:widowControl/>
        <w:rPr>
          <w:rFonts w:ascii="Times New Roman" w:hAnsi="Times New Roman"/>
          <w:color w:val="000000"/>
        </w:rPr>
      </w:pPr>
      <w:r w:rsidRPr="00497E2D">
        <w:rPr>
          <w:rFonts w:ascii="Times New Roman" w:hAnsi="Times New Roman"/>
          <w:color w:val="000000"/>
        </w:rPr>
        <w:t xml:space="preserve">To derive the loaded hourly wage rate presented in the table below, the agency used data from the Bureau of Labor Statistics’ (BLS) </w:t>
      </w:r>
      <w:r w:rsidRPr="00497E2D">
        <w:rPr>
          <w:rFonts w:ascii="Times New Roman" w:hAnsi="Times New Roman"/>
          <w:i/>
          <w:iCs/>
          <w:color w:val="000000"/>
        </w:rPr>
        <w:t>Occupational Employment Statistics (OES</w:t>
      </w:r>
      <w:r w:rsidRPr="00497E2D">
        <w:rPr>
          <w:rFonts w:ascii="Times New Roman" w:hAnsi="Times New Roman"/>
          <w:iCs/>
          <w:color w:val="000000"/>
        </w:rPr>
        <w:t xml:space="preserve">), as described in the paragraph above.  Then, the agency applied to the wage rates a </w:t>
      </w:r>
      <w:r w:rsidRPr="00497E2D">
        <w:rPr>
          <w:rFonts w:ascii="Times New Roman" w:hAnsi="Times New Roman"/>
          <w:color w:val="000000"/>
        </w:rPr>
        <w:t xml:space="preserve">fringe benefit markup based on data found in Table 2 of the following BLS release: </w:t>
      </w:r>
      <w:r w:rsidRPr="00497E2D">
        <w:rPr>
          <w:rFonts w:ascii="Times New Roman" w:hAnsi="Times New Roman"/>
          <w:i/>
          <w:iCs/>
          <w:color w:val="000000"/>
        </w:rPr>
        <w:t xml:space="preserve">Employer Costs for Employee Compensation </w:t>
      </w:r>
      <w:r w:rsidRPr="00497E2D">
        <w:rPr>
          <w:rFonts w:ascii="Times New Roman" w:hAnsi="Times New Roman"/>
          <w:color w:val="000000"/>
        </w:rPr>
        <w:t xml:space="preserve">news release text, released 10:00 AM (EDT), </w:t>
      </w:r>
      <w:r>
        <w:rPr>
          <w:rFonts w:ascii="Times New Roman" w:hAnsi="Times New Roman"/>
          <w:color w:val="000000"/>
        </w:rPr>
        <w:t xml:space="preserve">June </w:t>
      </w:r>
      <w:r w:rsidRPr="00497E2D">
        <w:rPr>
          <w:rFonts w:ascii="Times New Roman" w:hAnsi="Times New Roman"/>
          <w:color w:val="000000"/>
        </w:rPr>
        <w:t>2020 (</w:t>
      </w:r>
      <w:r w:rsidRPr="00497E2D">
        <w:rPr>
          <w:rFonts w:ascii="Times New Roman" w:hAnsi="Times New Roman"/>
          <w:color w:val="0000FF"/>
          <w:u w:val="single"/>
        </w:rPr>
        <w:t>https://www.bls.gov/news.release/archives/ecec_03192020.htm</w:t>
      </w:r>
      <w:r w:rsidRPr="00497E2D">
        <w:rPr>
          <w:rFonts w:ascii="Times New Roman" w:hAnsi="Times New Roman"/>
          <w:color w:val="000000"/>
        </w:rPr>
        <w:t>).</w:t>
      </w:r>
      <w:r w:rsidRPr="00497E2D">
        <w:rPr>
          <w:rFonts w:ascii="Times New Roman" w:hAnsi="Times New Roman"/>
          <w:i/>
          <w:iCs/>
          <w:color w:val="000000"/>
        </w:rPr>
        <w:t xml:space="preserve"> </w:t>
      </w:r>
      <w:r w:rsidRPr="00497E2D">
        <w:rPr>
          <w:rFonts w:ascii="Times New Roman" w:hAnsi="Times New Roman"/>
          <w:color w:val="000000"/>
        </w:rPr>
        <w:t>BLS reported that for civilian workers, fr</w:t>
      </w:r>
      <w:r>
        <w:rPr>
          <w:rFonts w:ascii="Times New Roman" w:hAnsi="Times New Roman"/>
          <w:color w:val="000000"/>
        </w:rPr>
        <w:t>inge benefits accounted for 31.3</w:t>
      </w:r>
      <w:r w:rsidRPr="00497E2D">
        <w:rPr>
          <w:rFonts w:ascii="Times New Roman" w:hAnsi="Times New Roman"/>
          <w:color w:val="000000"/>
        </w:rPr>
        <w:t xml:space="preserve"> percent of total compensation and wages accounted </w:t>
      </w:r>
      <w:r w:rsidRPr="00497E2D">
        <w:rPr>
          <w:rFonts w:ascii="Times New Roman" w:hAnsi="Times New Roman"/>
          <w:color w:val="000000"/>
        </w:rPr>
        <w:lastRenderedPageBreak/>
        <w:t>for the remaining 68</w:t>
      </w:r>
      <w:r>
        <w:rPr>
          <w:rFonts w:ascii="Times New Roman" w:hAnsi="Times New Roman"/>
          <w:color w:val="000000"/>
        </w:rPr>
        <w:t>.7</w:t>
      </w:r>
      <w:r w:rsidRPr="00497E2D">
        <w:rPr>
          <w:rFonts w:ascii="Times New Roman" w:hAnsi="Times New Roman"/>
          <w:color w:val="000000"/>
        </w:rPr>
        <w:t xml:space="preserve"> percent.  To calculate the loaded hourly wage for each occupation, the agency divided the mean hourly wage rate by 1 minus the fringe benefits. </w:t>
      </w:r>
    </w:p>
    <w:p w:rsidRPr="00497E2D" w:rsidR="00497E2D" w:rsidP="00497E2D" w:rsidRDefault="00497E2D">
      <w:pPr>
        <w:rPr>
          <w:rFonts w:ascii="Times New Roman" w:hAnsi="Times New Roman"/>
        </w:rPr>
      </w:pPr>
    </w:p>
    <w:tbl>
      <w:tblPr>
        <w:tblW w:w="9630" w:type="dxa"/>
        <w:tblInd w:w="-10" w:type="dxa"/>
        <w:tblLook w:val="04A0" w:firstRow="1" w:lastRow="0" w:firstColumn="1" w:lastColumn="0" w:noHBand="0" w:noVBand="1"/>
      </w:tblPr>
      <w:tblGrid>
        <w:gridCol w:w="3150"/>
        <w:gridCol w:w="1530"/>
        <w:gridCol w:w="1558"/>
        <w:gridCol w:w="1412"/>
        <w:gridCol w:w="1980"/>
      </w:tblGrid>
      <w:tr w:rsidRPr="00497E2D" w:rsidR="00497E2D" w:rsidTr="00F53288">
        <w:trPr>
          <w:trHeight w:val="300"/>
        </w:trPr>
        <w:tc>
          <w:tcPr>
            <w:tcW w:w="9630" w:type="dxa"/>
            <w:gridSpan w:val="5"/>
            <w:tcBorders>
              <w:top w:val="single" w:color="auto" w:sz="8" w:space="0"/>
              <w:left w:val="single" w:color="auto" w:sz="8" w:space="0"/>
              <w:bottom w:val="single" w:color="auto" w:sz="8" w:space="0"/>
              <w:right w:val="single" w:color="000000" w:sz="8" w:space="0"/>
            </w:tcBorders>
            <w:vAlign w:val="center"/>
            <w:hideMark/>
          </w:tcPr>
          <w:p w:rsidRPr="00497E2D" w:rsidR="00497E2D" w:rsidP="004863D2" w:rsidRDefault="00497E2D">
            <w:pPr>
              <w:jc w:val="center"/>
              <w:rPr>
                <w:rFonts w:ascii="Times New Roman" w:hAnsi="Times New Roman"/>
                <w:b/>
                <w:bCs/>
                <w:color w:val="000000"/>
                <w:sz w:val="20"/>
                <w:szCs w:val="20"/>
              </w:rPr>
            </w:pPr>
            <w:r w:rsidRPr="00497E2D">
              <w:rPr>
                <w:rFonts w:ascii="Times New Roman" w:hAnsi="Times New Roman"/>
                <w:b/>
                <w:bCs/>
                <w:color w:val="000000"/>
                <w:szCs w:val="20"/>
              </w:rPr>
              <w:t>Table 1 - WAGE HOUR ESTIMATES (</w:t>
            </w:r>
            <w:r w:rsidR="004863D2">
              <w:rPr>
                <w:rFonts w:ascii="Times New Roman" w:hAnsi="Times New Roman"/>
                <w:b/>
                <w:bCs/>
                <w:color w:val="000000"/>
                <w:szCs w:val="20"/>
              </w:rPr>
              <w:t>2019 Dollars</w:t>
            </w:r>
            <w:r w:rsidRPr="00497E2D">
              <w:rPr>
                <w:rFonts w:ascii="Times New Roman" w:hAnsi="Times New Roman"/>
                <w:b/>
                <w:bCs/>
                <w:color w:val="000000"/>
                <w:szCs w:val="20"/>
              </w:rPr>
              <w:t>)</w:t>
            </w:r>
          </w:p>
        </w:tc>
      </w:tr>
      <w:tr w:rsidRPr="00497E2D" w:rsidR="00497E2D" w:rsidTr="00F53288">
        <w:trPr>
          <w:trHeight w:val="300"/>
        </w:trPr>
        <w:tc>
          <w:tcPr>
            <w:tcW w:w="3150" w:type="dxa"/>
            <w:tcBorders>
              <w:top w:val="nil"/>
              <w:left w:val="single" w:color="auto" w:sz="8" w:space="0"/>
              <w:bottom w:val="nil"/>
              <w:right w:val="nil"/>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 </w:t>
            </w:r>
          </w:p>
        </w:tc>
        <w:tc>
          <w:tcPr>
            <w:tcW w:w="1530" w:type="dxa"/>
            <w:tcBorders>
              <w:top w:val="single" w:color="auto" w:sz="8" w:space="0"/>
              <w:left w:val="nil"/>
              <w:bottom w:val="nil"/>
              <w:right w:val="nil"/>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 </w:t>
            </w:r>
          </w:p>
        </w:tc>
        <w:tc>
          <w:tcPr>
            <w:tcW w:w="1558" w:type="dxa"/>
            <w:vAlign w:val="center"/>
            <w:hideMark/>
          </w:tcPr>
          <w:p w:rsidRPr="00497E2D" w:rsidR="00497E2D" w:rsidP="00497E2D" w:rsidRDefault="00497E2D">
            <w:pPr>
              <w:rPr>
                <w:rFonts w:ascii="Times New Roman" w:hAnsi="Times New Roman"/>
                <w:b/>
                <w:bCs/>
                <w:color w:val="000000"/>
                <w:szCs w:val="20"/>
              </w:rPr>
            </w:pPr>
          </w:p>
        </w:tc>
        <w:tc>
          <w:tcPr>
            <w:tcW w:w="1412" w:type="dxa"/>
            <w:tcBorders>
              <w:top w:val="single" w:color="auto" w:sz="8" w:space="0"/>
              <w:left w:val="nil"/>
              <w:bottom w:val="nil"/>
              <w:right w:val="nil"/>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 </w:t>
            </w:r>
          </w:p>
        </w:tc>
        <w:tc>
          <w:tcPr>
            <w:tcW w:w="1980" w:type="dxa"/>
            <w:tcBorders>
              <w:top w:val="nil"/>
              <w:left w:val="nil"/>
              <w:bottom w:val="nil"/>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 </w:t>
            </w:r>
          </w:p>
        </w:tc>
      </w:tr>
      <w:tr w:rsidRPr="00497E2D" w:rsidR="00497E2D" w:rsidTr="00F53288">
        <w:trPr>
          <w:trHeight w:val="1320"/>
        </w:trPr>
        <w:tc>
          <w:tcPr>
            <w:tcW w:w="3150" w:type="dxa"/>
            <w:tcBorders>
              <w:top w:val="single" w:color="auto" w:sz="8" w:space="0"/>
              <w:left w:val="single" w:color="auto" w:sz="8" w:space="0"/>
              <w:bottom w:val="single" w:color="auto" w:sz="8" w:space="0"/>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Occupational Title</w:t>
            </w:r>
          </w:p>
        </w:tc>
        <w:tc>
          <w:tcPr>
            <w:tcW w:w="1530" w:type="dxa"/>
            <w:tcBorders>
              <w:top w:val="single" w:color="auto" w:sz="8" w:space="0"/>
              <w:left w:val="nil"/>
              <w:bottom w:val="single" w:color="auto" w:sz="8" w:space="0"/>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Standard Occupation Code</w:t>
            </w:r>
          </w:p>
        </w:tc>
        <w:tc>
          <w:tcPr>
            <w:tcW w:w="1558" w:type="dxa"/>
            <w:tcBorders>
              <w:top w:val="single" w:color="auto" w:sz="8" w:space="0"/>
              <w:left w:val="nil"/>
              <w:bottom w:val="single" w:color="auto" w:sz="8" w:space="0"/>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Mean Hour Wage Rate (A)</w:t>
            </w:r>
          </w:p>
        </w:tc>
        <w:tc>
          <w:tcPr>
            <w:tcW w:w="1412" w:type="dxa"/>
            <w:tcBorders>
              <w:top w:val="single" w:color="auto" w:sz="8" w:space="0"/>
              <w:left w:val="nil"/>
              <w:bottom w:val="single" w:color="auto" w:sz="8" w:space="0"/>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Fringe Benefits (B)</w:t>
            </w:r>
          </w:p>
        </w:tc>
        <w:tc>
          <w:tcPr>
            <w:tcW w:w="1980" w:type="dxa"/>
            <w:tcBorders>
              <w:top w:val="single" w:color="auto" w:sz="8" w:space="0"/>
              <w:left w:val="nil"/>
              <w:bottom w:val="single" w:color="auto" w:sz="8" w:space="0"/>
              <w:right w:val="single" w:color="auto" w:sz="8" w:space="0"/>
            </w:tcBorders>
            <w:vAlign w:val="center"/>
            <w:hideMark/>
          </w:tcPr>
          <w:p w:rsidRPr="00497E2D" w:rsidR="00497E2D" w:rsidP="00497E2D" w:rsidRDefault="00497E2D">
            <w:pPr>
              <w:jc w:val="center"/>
              <w:rPr>
                <w:rFonts w:ascii="Times New Roman" w:hAnsi="Times New Roman"/>
                <w:b/>
                <w:bCs/>
                <w:color w:val="000000"/>
                <w:szCs w:val="20"/>
              </w:rPr>
            </w:pPr>
            <w:r w:rsidRPr="00497E2D">
              <w:rPr>
                <w:rFonts w:ascii="Times New Roman" w:hAnsi="Times New Roman"/>
                <w:b/>
                <w:bCs/>
                <w:color w:val="000000"/>
                <w:szCs w:val="20"/>
              </w:rPr>
              <w:t>Loaded Hourly Wage Rate         (C) = (A)/((1-(B))</w:t>
            </w:r>
          </w:p>
        </w:tc>
      </w:tr>
      <w:tr w:rsidRPr="00497E2D" w:rsidR="00497E2D" w:rsidTr="00F53288">
        <w:trPr>
          <w:trHeight w:val="40"/>
        </w:trPr>
        <w:tc>
          <w:tcPr>
            <w:tcW w:w="3150" w:type="dxa"/>
            <w:tcBorders>
              <w:top w:val="nil"/>
              <w:left w:val="single" w:color="auto" w:sz="8" w:space="0"/>
              <w:bottom w:val="single" w:color="auto" w:sz="8" w:space="0"/>
              <w:right w:val="single" w:color="auto" w:sz="8" w:space="0"/>
            </w:tcBorders>
          </w:tcPr>
          <w:p w:rsidRPr="00497E2D" w:rsidR="00497E2D" w:rsidP="00497E2D" w:rsidRDefault="00497E2D">
            <w:pPr>
              <w:rPr>
                <w:rFonts w:ascii="Times New Roman" w:hAnsi="Times New Roman"/>
              </w:rPr>
            </w:pPr>
            <w:r>
              <w:rPr>
                <w:rFonts w:ascii="Times New Roman" w:hAnsi="Times New Roman"/>
              </w:rPr>
              <w:t>Civil Engineers (Field and Structural Engineer)</w:t>
            </w:r>
          </w:p>
        </w:tc>
        <w:tc>
          <w:tcPr>
            <w:tcW w:w="1530" w:type="dxa"/>
            <w:tcBorders>
              <w:top w:val="nil"/>
              <w:left w:val="nil"/>
              <w:bottom w:val="single" w:color="auto" w:sz="8" w:space="0"/>
              <w:right w:val="single" w:color="auto" w:sz="8" w:space="0"/>
            </w:tcBorders>
            <w:vAlign w:val="center"/>
          </w:tcPr>
          <w:p w:rsidRPr="00497E2D" w:rsidR="00497E2D" w:rsidP="00497E2D" w:rsidRDefault="00497E2D">
            <w:pPr>
              <w:jc w:val="center"/>
              <w:rPr>
                <w:rFonts w:ascii="Times New Roman" w:hAnsi="Times New Roman"/>
              </w:rPr>
            </w:pPr>
            <w:r>
              <w:rPr>
                <w:rFonts w:ascii="Times New Roman" w:hAnsi="Times New Roman"/>
              </w:rPr>
              <w:t>17-2051</w:t>
            </w:r>
          </w:p>
        </w:tc>
        <w:tc>
          <w:tcPr>
            <w:tcW w:w="1558" w:type="dxa"/>
            <w:tcBorders>
              <w:top w:val="nil"/>
              <w:left w:val="nil"/>
              <w:bottom w:val="single" w:color="auto" w:sz="8" w:space="0"/>
              <w:right w:val="single" w:color="auto" w:sz="8" w:space="0"/>
            </w:tcBorders>
            <w:vAlign w:val="center"/>
          </w:tcPr>
          <w:p w:rsidRPr="00497E2D" w:rsidR="00497E2D" w:rsidP="00497E2D" w:rsidRDefault="00EB5E8E">
            <w:pPr>
              <w:jc w:val="center"/>
              <w:rPr>
                <w:rFonts w:ascii="Times New Roman" w:hAnsi="Times New Roman"/>
              </w:rPr>
            </w:pPr>
            <w:r>
              <w:rPr>
                <w:rFonts w:ascii="Times New Roman" w:hAnsi="Times New Roman"/>
              </w:rPr>
              <w:t>$38.32</w:t>
            </w:r>
          </w:p>
        </w:tc>
        <w:tc>
          <w:tcPr>
            <w:tcW w:w="1412" w:type="dxa"/>
            <w:tcBorders>
              <w:top w:val="nil"/>
              <w:left w:val="nil"/>
              <w:bottom w:val="single" w:color="auto" w:sz="8" w:space="0"/>
              <w:right w:val="single" w:color="auto" w:sz="8" w:space="0"/>
            </w:tcBorders>
            <w:vAlign w:val="center"/>
          </w:tcPr>
          <w:p w:rsidRPr="00497E2D" w:rsidR="00497E2D" w:rsidP="00497E2D" w:rsidRDefault="00497E2D">
            <w:pPr>
              <w:jc w:val="center"/>
              <w:rPr>
                <w:rFonts w:ascii="Times New Roman" w:hAnsi="Times New Roman"/>
                <w:color w:val="000000"/>
                <w:szCs w:val="20"/>
              </w:rPr>
            </w:pPr>
            <w:r w:rsidRPr="00497E2D">
              <w:rPr>
                <w:rFonts w:ascii="Times New Roman" w:hAnsi="Times New Roman"/>
                <w:color w:val="000000"/>
                <w:szCs w:val="20"/>
              </w:rPr>
              <w:t>.31</w:t>
            </w:r>
            <w:r>
              <w:rPr>
                <w:rFonts w:ascii="Times New Roman" w:hAnsi="Times New Roman"/>
                <w:color w:val="000000"/>
                <w:szCs w:val="20"/>
              </w:rPr>
              <w:t>3</w:t>
            </w:r>
          </w:p>
        </w:tc>
        <w:tc>
          <w:tcPr>
            <w:tcW w:w="1980" w:type="dxa"/>
            <w:tcBorders>
              <w:top w:val="single" w:color="auto" w:sz="8" w:space="0"/>
              <w:left w:val="single" w:color="auto" w:sz="8" w:space="0"/>
              <w:bottom w:val="single" w:color="auto" w:sz="8" w:space="0"/>
              <w:right w:val="single" w:color="auto" w:sz="8" w:space="0"/>
            </w:tcBorders>
            <w:vAlign w:val="center"/>
          </w:tcPr>
          <w:p w:rsidRPr="00497E2D" w:rsidR="00497E2D" w:rsidP="00497E2D" w:rsidRDefault="00EB5E8E">
            <w:pPr>
              <w:jc w:val="center"/>
              <w:rPr>
                <w:rFonts w:ascii="Times New Roman" w:hAnsi="Times New Roman"/>
                <w:color w:val="000000"/>
                <w:szCs w:val="20"/>
              </w:rPr>
            </w:pPr>
            <w:r>
              <w:rPr>
                <w:rFonts w:ascii="Times New Roman" w:hAnsi="Times New Roman"/>
                <w:color w:val="000000"/>
                <w:szCs w:val="20"/>
              </w:rPr>
              <w:t>$55.78</w:t>
            </w:r>
          </w:p>
        </w:tc>
      </w:tr>
      <w:tr w:rsidRPr="00497E2D" w:rsidR="00497E2D" w:rsidTr="00F53288">
        <w:trPr>
          <w:trHeight w:val="40"/>
        </w:trPr>
        <w:tc>
          <w:tcPr>
            <w:tcW w:w="3150" w:type="dxa"/>
            <w:tcBorders>
              <w:top w:val="nil"/>
              <w:left w:val="single" w:color="auto" w:sz="8" w:space="0"/>
              <w:bottom w:val="single" w:color="auto" w:sz="4" w:space="0"/>
              <w:right w:val="single" w:color="auto" w:sz="8" w:space="0"/>
            </w:tcBorders>
          </w:tcPr>
          <w:p w:rsidRPr="00497E2D" w:rsidR="00497E2D" w:rsidP="00EB5E8E" w:rsidRDefault="00EB5E8E">
            <w:pPr>
              <w:rPr>
                <w:rFonts w:ascii="Times New Roman" w:hAnsi="Times New Roman"/>
              </w:rPr>
            </w:pPr>
            <w:r>
              <w:rPr>
                <w:rFonts w:ascii="Times New Roman" w:hAnsi="Times New Roman"/>
              </w:rPr>
              <w:t>Construction Managers (</w:t>
            </w:r>
            <w:r w:rsidR="00497E2D">
              <w:rPr>
                <w:rFonts w:ascii="Times New Roman" w:hAnsi="Times New Roman"/>
              </w:rPr>
              <w:t>Project Manager</w:t>
            </w:r>
            <w:r>
              <w:rPr>
                <w:rFonts w:ascii="Times New Roman" w:hAnsi="Times New Roman"/>
              </w:rPr>
              <w:t>)</w:t>
            </w:r>
            <w:r w:rsidR="00497E2D">
              <w:rPr>
                <w:rFonts w:ascii="Times New Roman" w:hAnsi="Times New Roman"/>
              </w:rPr>
              <w:t xml:space="preserve"> </w:t>
            </w:r>
          </w:p>
        </w:tc>
        <w:tc>
          <w:tcPr>
            <w:tcW w:w="1530" w:type="dxa"/>
            <w:tcBorders>
              <w:top w:val="nil"/>
              <w:left w:val="nil"/>
              <w:bottom w:val="single" w:color="auto" w:sz="4" w:space="0"/>
              <w:right w:val="single" w:color="auto" w:sz="8" w:space="0"/>
            </w:tcBorders>
            <w:vAlign w:val="center"/>
          </w:tcPr>
          <w:p w:rsidRPr="00497E2D" w:rsidR="00497E2D" w:rsidP="00497E2D" w:rsidRDefault="00EB5E8E">
            <w:pPr>
              <w:jc w:val="center"/>
              <w:rPr>
                <w:rFonts w:ascii="Times New Roman" w:hAnsi="Times New Roman"/>
              </w:rPr>
            </w:pPr>
            <w:r>
              <w:rPr>
                <w:rFonts w:ascii="Times New Roman" w:hAnsi="Times New Roman"/>
              </w:rPr>
              <w:t>11-9021</w:t>
            </w:r>
          </w:p>
        </w:tc>
        <w:tc>
          <w:tcPr>
            <w:tcW w:w="1558" w:type="dxa"/>
            <w:tcBorders>
              <w:top w:val="nil"/>
              <w:left w:val="nil"/>
              <w:bottom w:val="single" w:color="auto" w:sz="4" w:space="0"/>
              <w:right w:val="single" w:color="auto" w:sz="8" w:space="0"/>
            </w:tcBorders>
            <w:vAlign w:val="center"/>
          </w:tcPr>
          <w:p w:rsidRPr="00497E2D" w:rsidR="00497E2D" w:rsidP="00497E2D" w:rsidRDefault="00EB5E8E">
            <w:pPr>
              <w:jc w:val="center"/>
              <w:rPr>
                <w:rFonts w:ascii="Times New Roman" w:hAnsi="Times New Roman"/>
              </w:rPr>
            </w:pPr>
            <w:r>
              <w:rPr>
                <w:rFonts w:ascii="Times New Roman" w:hAnsi="Times New Roman"/>
              </w:rPr>
              <w:t>$47.37</w:t>
            </w:r>
          </w:p>
        </w:tc>
        <w:tc>
          <w:tcPr>
            <w:tcW w:w="1412" w:type="dxa"/>
            <w:tcBorders>
              <w:top w:val="nil"/>
              <w:left w:val="nil"/>
              <w:bottom w:val="single" w:color="auto" w:sz="4" w:space="0"/>
              <w:right w:val="single" w:color="auto" w:sz="8" w:space="0"/>
            </w:tcBorders>
            <w:vAlign w:val="center"/>
          </w:tcPr>
          <w:p w:rsidRPr="00497E2D" w:rsidR="00497E2D" w:rsidP="00497E2D" w:rsidRDefault="00497E2D">
            <w:pPr>
              <w:jc w:val="center"/>
              <w:rPr>
                <w:rFonts w:ascii="Times New Roman" w:hAnsi="Times New Roman"/>
                <w:color w:val="000000"/>
                <w:szCs w:val="20"/>
              </w:rPr>
            </w:pPr>
            <w:r w:rsidRPr="00497E2D">
              <w:rPr>
                <w:rFonts w:ascii="Times New Roman" w:hAnsi="Times New Roman"/>
                <w:color w:val="000000"/>
                <w:szCs w:val="20"/>
              </w:rPr>
              <w:t>.31</w:t>
            </w:r>
            <w:r>
              <w:rPr>
                <w:rFonts w:ascii="Times New Roman" w:hAnsi="Times New Roman"/>
                <w:color w:val="000000"/>
                <w:szCs w:val="20"/>
              </w:rPr>
              <w:t>3</w:t>
            </w:r>
          </w:p>
        </w:tc>
        <w:tc>
          <w:tcPr>
            <w:tcW w:w="1980" w:type="dxa"/>
            <w:tcBorders>
              <w:top w:val="single" w:color="auto" w:sz="8" w:space="0"/>
              <w:left w:val="single" w:color="auto" w:sz="8" w:space="0"/>
              <w:bottom w:val="single" w:color="auto" w:sz="8" w:space="0"/>
              <w:right w:val="single" w:color="auto" w:sz="8" w:space="0"/>
            </w:tcBorders>
            <w:vAlign w:val="center"/>
          </w:tcPr>
          <w:p w:rsidRPr="00497E2D" w:rsidR="00497E2D" w:rsidP="00497E2D" w:rsidRDefault="00EB5E8E">
            <w:pPr>
              <w:jc w:val="center"/>
              <w:rPr>
                <w:rFonts w:ascii="Times New Roman" w:hAnsi="Times New Roman"/>
                <w:color w:val="000000"/>
                <w:szCs w:val="20"/>
              </w:rPr>
            </w:pPr>
            <w:r>
              <w:rPr>
                <w:rFonts w:ascii="Times New Roman" w:hAnsi="Times New Roman"/>
                <w:color w:val="000000"/>
                <w:szCs w:val="20"/>
              </w:rPr>
              <w:t>$68.95</w:t>
            </w:r>
          </w:p>
        </w:tc>
      </w:tr>
      <w:tr w:rsidRPr="00497E2D" w:rsidR="00497E2D" w:rsidTr="00F53288">
        <w:trPr>
          <w:trHeight w:val="40"/>
        </w:trPr>
        <w:tc>
          <w:tcPr>
            <w:tcW w:w="3150" w:type="dxa"/>
            <w:tcBorders>
              <w:top w:val="single" w:color="auto" w:sz="4" w:space="0"/>
              <w:left w:val="single" w:color="auto" w:sz="8" w:space="0"/>
              <w:bottom w:val="single" w:color="auto" w:sz="8" w:space="0"/>
              <w:right w:val="single" w:color="auto" w:sz="8" w:space="0"/>
            </w:tcBorders>
          </w:tcPr>
          <w:p w:rsidR="00497E2D" w:rsidP="00EB5E8E" w:rsidRDefault="00EB5E8E">
            <w:pPr>
              <w:rPr>
                <w:rFonts w:ascii="Times New Roman" w:hAnsi="Times New Roman"/>
              </w:rPr>
            </w:pPr>
            <w:r>
              <w:rPr>
                <w:rFonts w:ascii="Times New Roman" w:hAnsi="Times New Roman"/>
              </w:rPr>
              <w:t xml:space="preserve">Structural Iron and Steel Workers (Qualified Rigger) </w:t>
            </w:r>
          </w:p>
        </w:tc>
        <w:tc>
          <w:tcPr>
            <w:tcW w:w="1530" w:type="dxa"/>
            <w:tcBorders>
              <w:top w:val="single" w:color="auto" w:sz="4" w:space="0"/>
              <w:left w:val="nil"/>
              <w:bottom w:val="single" w:color="auto" w:sz="8" w:space="0"/>
              <w:right w:val="single" w:color="auto" w:sz="8" w:space="0"/>
            </w:tcBorders>
            <w:vAlign w:val="center"/>
          </w:tcPr>
          <w:p w:rsidRPr="00497E2D" w:rsidR="00497E2D" w:rsidP="00497E2D" w:rsidRDefault="00EB5E8E">
            <w:pPr>
              <w:jc w:val="center"/>
              <w:rPr>
                <w:rFonts w:ascii="Times New Roman" w:hAnsi="Times New Roman"/>
              </w:rPr>
            </w:pPr>
            <w:r>
              <w:rPr>
                <w:rFonts w:ascii="Times New Roman" w:hAnsi="Times New Roman"/>
              </w:rPr>
              <w:t>47-2221</w:t>
            </w:r>
          </w:p>
        </w:tc>
        <w:tc>
          <w:tcPr>
            <w:tcW w:w="1558" w:type="dxa"/>
            <w:tcBorders>
              <w:top w:val="single" w:color="auto" w:sz="4" w:space="0"/>
              <w:left w:val="nil"/>
              <w:bottom w:val="single" w:color="auto" w:sz="8" w:space="0"/>
              <w:right w:val="single" w:color="auto" w:sz="8" w:space="0"/>
            </w:tcBorders>
            <w:vAlign w:val="center"/>
          </w:tcPr>
          <w:p w:rsidRPr="00497E2D" w:rsidR="00497E2D" w:rsidP="00497E2D" w:rsidRDefault="00EB5E8E">
            <w:pPr>
              <w:jc w:val="center"/>
              <w:rPr>
                <w:rFonts w:ascii="Times New Roman" w:hAnsi="Times New Roman"/>
              </w:rPr>
            </w:pPr>
            <w:r>
              <w:rPr>
                <w:rFonts w:ascii="Times New Roman" w:hAnsi="Times New Roman"/>
              </w:rPr>
              <w:t>$29.42</w:t>
            </w:r>
          </w:p>
        </w:tc>
        <w:tc>
          <w:tcPr>
            <w:tcW w:w="1412" w:type="dxa"/>
            <w:tcBorders>
              <w:top w:val="single" w:color="auto" w:sz="4" w:space="0"/>
              <w:left w:val="nil"/>
              <w:bottom w:val="single" w:color="auto" w:sz="8" w:space="0"/>
              <w:right w:val="single" w:color="auto" w:sz="8" w:space="0"/>
            </w:tcBorders>
            <w:vAlign w:val="center"/>
          </w:tcPr>
          <w:p w:rsidRPr="00497E2D" w:rsidR="00497E2D" w:rsidP="00497E2D" w:rsidRDefault="00497E2D">
            <w:pPr>
              <w:jc w:val="center"/>
              <w:rPr>
                <w:rFonts w:ascii="Times New Roman" w:hAnsi="Times New Roman"/>
                <w:color w:val="000000"/>
                <w:szCs w:val="20"/>
              </w:rPr>
            </w:pPr>
            <w:r>
              <w:rPr>
                <w:rFonts w:ascii="Times New Roman" w:hAnsi="Times New Roman"/>
                <w:color w:val="000000"/>
                <w:szCs w:val="20"/>
              </w:rPr>
              <w:t>.313</w:t>
            </w:r>
          </w:p>
        </w:tc>
        <w:tc>
          <w:tcPr>
            <w:tcW w:w="1980" w:type="dxa"/>
            <w:tcBorders>
              <w:top w:val="single" w:color="auto" w:sz="8" w:space="0"/>
              <w:left w:val="single" w:color="auto" w:sz="8" w:space="0"/>
              <w:bottom w:val="single" w:color="auto" w:sz="8" w:space="0"/>
              <w:right w:val="single" w:color="auto" w:sz="8" w:space="0"/>
            </w:tcBorders>
            <w:vAlign w:val="center"/>
          </w:tcPr>
          <w:p w:rsidRPr="00497E2D" w:rsidR="00497E2D" w:rsidP="00497E2D" w:rsidRDefault="00EB5E8E">
            <w:pPr>
              <w:jc w:val="center"/>
              <w:rPr>
                <w:rFonts w:ascii="Times New Roman" w:hAnsi="Times New Roman"/>
                <w:color w:val="000000"/>
                <w:szCs w:val="20"/>
              </w:rPr>
            </w:pPr>
            <w:r>
              <w:rPr>
                <w:rFonts w:ascii="Times New Roman" w:hAnsi="Times New Roman"/>
                <w:color w:val="000000"/>
                <w:szCs w:val="20"/>
              </w:rPr>
              <w:t>$42.82</w:t>
            </w:r>
          </w:p>
        </w:tc>
      </w:tr>
    </w:tbl>
    <w:p w:rsidRPr="00497E2D" w:rsidR="00497E2D" w:rsidP="00497E2D" w:rsidRDefault="009F4063">
      <w:pPr>
        <w:widowControl/>
        <w:autoSpaceDE/>
        <w:autoSpaceDN/>
        <w:adjustRightInd/>
        <w:rPr>
          <w:rFonts w:ascii="Times New Roman" w:hAnsi="Times New Roman"/>
        </w:rPr>
      </w:pPr>
      <w:hyperlink w:history="1" w:anchor="00-0000" r:id="rId14"/>
    </w:p>
    <w:p w:rsidRPr="00886F9D" w:rsidR="00FE7C7D" w:rsidP="00FE7C7D" w:rsidRDefault="00FE7C7D">
      <w:pPr>
        <w:widowControl/>
        <w:autoSpaceDE/>
        <w:autoSpaceDN/>
        <w:adjustRightInd/>
        <w:rPr>
          <w:rFonts w:ascii="Times New Roman" w:hAnsi="Times New Roman" w:eastAsia="Calibri"/>
          <w:color w:val="1F497D"/>
        </w:rPr>
      </w:pPr>
    </w:p>
    <w:p w:rsidR="00297CE5" w:rsidP="00C339A3" w:rsidRDefault="00297CE5">
      <w:pPr>
        <w:widowControl/>
        <w:tabs>
          <w:tab w:val="center" w:pos="4680"/>
          <w:tab w:val="right" w:pos="9360"/>
        </w:tabs>
        <w:autoSpaceDE/>
        <w:autoSpaceDN/>
        <w:adjustRightInd/>
        <w:jc w:val="center"/>
        <w:rPr>
          <w:rFonts w:ascii="Times New Roman" w:hAnsi="Times New Roman" w:eastAsia="Calibri"/>
        </w:rPr>
        <w:sectPr w:rsidR="00297CE5" w:rsidSect="00823492">
          <w:type w:val="continuous"/>
          <w:pgSz w:w="12240" w:h="15840"/>
          <w:pgMar w:top="1008" w:right="1440" w:bottom="1440" w:left="1440" w:header="1440" w:footer="1440" w:gutter="0"/>
          <w:cols w:space="720"/>
          <w:noEndnote/>
          <w:docGrid w:linePitch="326"/>
        </w:sectPr>
      </w:pPr>
    </w:p>
    <w:p w:rsidR="000A04FC" w:rsidP="00C339A3" w:rsidRDefault="000A04FC">
      <w:pPr>
        <w:widowControl/>
        <w:tabs>
          <w:tab w:val="center" w:pos="4680"/>
          <w:tab w:val="right" w:pos="9360"/>
        </w:tabs>
        <w:autoSpaceDE/>
        <w:autoSpaceDN/>
        <w:adjustRightInd/>
        <w:jc w:val="center"/>
        <w:rPr>
          <w:rFonts w:ascii="Times New Roman" w:hAnsi="Times New Roman" w:eastAsia="Calibri"/>
        </w:rPr>
      </w:pPr>
    </w:p>
    <w:p w:rsidRPr="004311E4" w:rsidR="00C339A3" w:rsidP="00C339A3" w:rsidRDefault="00C339A3">
      <w:pPr>
        <w:widowControl/>
        <w:tabs>
          <w:tab w:val="center" w:pos="4680"/>
          <w:tab w:val="right" w:pos="9360"/>
        </w:tabs>
        <w:autoSpaceDE/>
        <w:autoSpaceDN/>
        <w:adjustRightInd/>
        <w:jc w:val="center"/>
        <w:rPr>
          <w:rFonts w:ascii="Times New Roman" w:hAnsi="Times New Roman" w:eastAsia="Calibri"/>
        </w:rPr>
      </w:pPr>
      <w:r w:rsidRPr="004311E4">
        <w:rPr>
          <w:rFonts w:ascii="Times New Roman" w:hAnsi="Times New Roman" w:eastAsia="Calibri"/>
        </w:rPr>
        <w:t>Table A12- Estimated Annualized Respondent Burden Hours and Costs</w:t>
      </w:r>
    </w:p>
    <w:p w:rsidR="00C339A3" w:rsidP="00C339A3" w:rsidRDefault="00C33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p w:rsidR="003C5B53" w:rsidP="00C339A3" w:rsidRDefault="003C5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sectPr w:rsidR="003C5B53" w:rsidSect="00C707C6">
          <w:type w:val="continuous"/>
          <w:pgSz w:w="15840" w:h="12240" w:orient="landscape"/>
          <w:pgMar w:top="1440" w:right="1008" w:bottom="1440" w:left="1440" w:header="1440" w:footer="1440" w:gutter="0"/>
          <w:cols w:space="720"/>
          <w:noEndnote/>
          <w:docGrid w:linePitch="326"/>
        </w:sectPr>
      </w:pPr>
    </w:p>
    <w:p w:rsidR="003C5B53" w:rsidP="00C339A3" w:rsidRDefault="003C5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bl>
      <w:tblPr>
        <w:tblW w:w="0" w:type="auto"/>
        <w:tblInd w:w="-7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val="04A0" w:firstRow="1" w:lastRow="0" w:firstColumn="1" w:lastColumn="0" w:noHBand="0" w:noVBand="1"/>
      </w:tblPr>
      <w:tblGrid>
        <w:gridCol w:w="4950"/>
        <w:gridCol w:w="1350"/>
        <w:gridCol w:w="1440"/>
        <w:gridCol w:w="1170"/>
        <w:gridCol w:w="1080"/>
        <w:gridCol w:w="1170"/>
        <w:gridCol w:w="900"/>
        <w:gridCol w:w="1620"/>
      </w:tblGrid>
      <w:tr w:rsidRPr="00823492" w:rsidR="00DC3DE5" w:rsidTr="00F123A8">
        <w:trPr>
          <w:cantSplit/>
          <w:tblHeader/>
        </w:trPr>
        <w:tc>
          <w:tcPr>
            <w:tcW w:w="4950" w:type="dxa"/>
            <w:shd w:val="clear" w:color="auto" w:fill="auto"/>
            <w:hideMark/>
          </w:tcPr>
          <w:p w:rsidRPr="000E57D3" w:rsidR="00DC3DE5" w:rsidP="00F123A8" w:rsidRDefault="00DC3DE5">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Information Collection Requirements</w:t>
            </w:r>
          </w:p>
        </w:tc>
        <w:tc>
          <w:tcPr>
            <w:tcW w:w="1350" w:type="dxa"/>
            <w:shd w:val="clear" w:color="auto" w:fill="auto"/>
            <w:hideMark/>
          </w:tcPr>
          <w:p w:rsidRPr="000E57D3" w:rsidR="00DC3DE5" w:rsidP="00F123A8" w:rsidRDefault="00DC3DE5">
            <w:pPr>
              <w:widowControl/>
              <w:autoSpaceDE/>
              <w:autoSpaceDN/>
              <w:adjustRightInd/>
              <w:jc w:val="center"/>
              <w:rPr>
                <w:rFonts w:ascii="Times New Roman" w:hAnsi="Times New Roman"/>
                <w:b/>
                <w:bCs/>
                <w:color w:val="000000"/>
                <w:sz w:val="20"/>
                <w:szCs w:val="20"/>
              </w:rPr>
            </w:pPr>
            <w:r w:rsidRPr="000E57D3">
              <w:rPr>
                <w:rFonts w:ascii="Times New Roman" w:hAnsi="Times New Roman"/>
                <w:b/>
                <w:bCs/>
                <w:color w:val="000000"/>
                <w:sz w:val="20"/>
                <w:szCs w:val="20"/>
              </w:rPr>
              <w:t>No. of Respondents (</w:t>
            </w:r>
            <w:r w:rsidRPr="00823492">
              <w:rPr>
                <w:rFonts w:ascii="Times New Roman" w:hAnsi="Times New Roman"/>
                <w:bCs/>
                <w:color w:val="000000"/>
                <w:sz w:val="20"/>
                <w:szCs w:val="20"/>
              </w:rPr>
              <w:t>Projects Covered</w:t>
            </w:r>
            <w:r>
              <w:rPr>
                <w:rFonts w:ascii="Times New Roman" w:hAnsi="Times New Roman"/>
                <w:bCs/>
                <w:color w:val="000000"/>
                <w:sz w:val="20"/>
                <w:szCs w:val="20"/>
              </w:rPr>
              <w:t xml:space="preserve"> </w:t>
            </w:r>
            <w:r w:rsidRPr="00823492">
              <w:rPr>
                <w:rStyle w:val="FootnoteReference"/>
                <w:rFonts w:ascii="Times New Roman" w:hAnsi="Times New Roman"/>
                <w:bCs/>
                <w:color w:val="000000"/>
                <w:sz w:val="20"/>
                <w:szCs w:val="20"/>
                <w:vertAlign w:val="superscript"/>
              </w:rPr>
              <w:footnoteReference w:id="2"/>
            </w:r>
            <w:r w:rsidRPr="00823492">
              <w:rPr>
                <w:rFonts w:ascii="Times New Roman" w:hAnsi="Times New Roman"/>
                <w:bCs/>
                <w:color w:val="000000"/>
                <w:sz w:val="20"/>
                <w:szCs w:val="20"/>
              </w:rPr>
              <w:t>)</w:t>
            </w:r>
          </w:p>
        </w:tc>
        <w:tc>
          <w:tcPr>
            <w:tcW w:w="1440" w:type="dxa"/>
            <w:shd w:val="clear" w:color="auto" w:fill="auto"/>
            <w:hideMark/>
          </w:tcPr>
          <w:p w:rsidRPr="000E57D3" w:rsidR="00DC3DE5" w:rsidP="00F123A8" w:rsidRDefault="00DC3DE5">
            <w:pPr>
              <w:widowControl/>
              <w:autoSpaceDE/>
              <w:autoSpaceDN/>
              <w:adjustRightInd/>
              <w:jc w:val="center"/>
              <w:rPr>
                <w:rFonts w:ascii="Times New Roman" w:hAnsi="Times New Roman"/>
                <w:b/>
                <w:bCs/>
                <w:color w:val="000000"/>
                <w:sz w:val="20"/>
                <w:szCs w:val="20"/>
              </w:rPr>
            </w:pPr>
            <w:r w:rsidRPr="000E57D3">
              <w:rPr>
                <w:rFonts w:ascii="Times New Roman" w:hAnsi="Times New Roman"/>
                <w:b/>
                <w:bCs/>
                <w:color w:val="000000"/>
                <w:sz w:val="20"/>
                <w:szCs w:val="20"/>
              </w:rPr>
              <w:t>No</w:t>
            </w:r>
            <w:r w:rsidR="00A20FE8">
              <w:rPr>
                <w:rFonts w:ascii="Times New Roman" w:hAnsi="Times New Roman"/>
                <w:b/>
                <w:bCs/>
                <w:color w:val="000000"/>
                <w:sz w:val="20"/>
                <w:szCs w:val="20"/>
              </w:rPr>
              <w:t>.</w:t>
            </w:r>
            <w:r w:rsidRPr="000E57D3">
              <w:rPr>
                <w:rFonts w:ascii="Times New Roman" w:hAnsi="Times New Roman"/>
                <w:b/>
                <w:bCs/>
                <w:color w:val="000000"/>
                <w:sz w:val="20"/>
                <w:szCs w:val="20"/>
              </w:rPr>
              <w:t xml:space="preserve"> of Responses per Respondent</w:t>
            </w:r>
          </w:p>
        </w:tc>
        <w:tc>
          <w:tcPr>
            <w:tcW w:w="1170" w:type="dxa"/>
            <w:shd w:val="clear" w:color="auto" w:fill="auto"/>
            <w:hideMark/>
          </w:tcPr>
          <w:p w:rsidRPr="000E57D3" w:rsidR="00DC3DE5" w:rsidP="00F123A8" w:rsidRDefault="00DC3DE5">
            <w:pPr>
              <w:widowControl/>
              <w:autoSpaceDE/>
              <w:autoSpaceDN/>
              <w:adjustRightInd/>
              <w:jc w:val="center"/>
              <w:rPr>
                <w:rFonts w:ascii="Times New Roman" w:hAnsi="Times New Roman"/>
                <w:bCs/>
                <w:color w:val="000000"/>
                <w:sz w:val="20"/>
                <w:szCs w:val="20"/>
              </w:rPr>
            </w:pPr>
            <w:r w:rsidRPr="000E57D3">
              <w:rPr>
                <w:rFonts w:ascii="Times New Roman" w:hAnsi="Times New Roman"/>
                <w:b/>
                <w:bCs/>
                <w:color w:val="000000"/>
                <w:sz w:val="20"/>
                <w:szCs w:val="20"/>
              </w:rPr>
              <w:t>Total Responses</w:t>
            </w:r>
          </w:p>
          <w:p w:rsidRPr="000E57D3" w:rsidR="00DC3DE5" w:rsidP="00F123A8" w:rsidRDefault="00DC3DE5">
            <w:pPr>
              <w:widowControl/>
              <w:autoSpaceDE/>
              <w:autoSpaceDN/>
              <w:adjustRightInd/>
              <w:jc w:val="center"/>
              <w:rPr>
                <w:rFonts w:ascii="Times New Roman" w:hAnsi="Times New Roman"/>
                <w:b/>
                <w:bCs/>
                <w:color w:val="000000"/>
                <w:sz w:val="20"/>
                <w:szCs w:val="20"/>
              </w:rPr>
            </w:pPr>
          </w:p>
        </w:tc>
        <w:tc>
          <w:tcPr>
            <w:tcW w:w="1080" w:type="dxa"/>
            <w:shd w:val="clear" w:color="auto" w:fill="auto"/>
            <w:hideMark/>
          </w:tcPr>
          <w:p w:rsidRPr="000E57D3" w:rsidR="00DC3DE5" w:rsidP="00F123A8" w:rsidRDefault="00DC3DE5">
            <w:pPr>
              <w:widowControl/>
              <w:autoSpaceDE/>
              <w:autoSpaceDN/>
              <w:adjustRightInd/>
              <w:jc w:val="center"/>
              <w:rPr>
                <w:rFonts w:ascii="Times New Roman" w:hAnsi="Times New Roman"/>
                <w:b/>
                <w:bCs/>
                <w:color w:val="000000"/>
                <w:sz w:val="20"/>
                <w:szCs w:val="20"/>
              </w:rPr>
            </w:pPr>
            <w:r w:rsidRPr="000E57D3">
              <w:rPr>
                <w:rFonts w:ascii="Times New Roman" w:hAnsi="Times New Roman"/>
                <w:b/>
                <w:bCs/>
                <w:color w:val="000000"/>
                <w:sz w:val="20"/>
                <w:szCs w:val="20"/>
              </w:rPr>
              <w:t>Avg. Burden (</w:t>
            </w:r>
            <w:r w:rsidR="00A20FE8">
              <w:rPr>
                <w:rFonts w:ascii="Times New Roman" w:hAnsi="Times New Roman"/>
                <w:b/>
                <w:bCs/>
                <w:color w:val="000000"/>
                <w:sz w:val="20"/>
                <w:szCs w:val="20"/>
              </w:rPr>
              <w:t>I</w:t>
            </w:r>
            <w:r w:rsidRPr="000E57D3">
              <w:rPr>
                <w:rFonts w:ascii="Times New Roman" w:hAnsi="Times New Roman"/>
                <w:b/>
                <w:bCs/>
                <w:color w:val="000000"/>
                <w:sz w:val="20"/>
                <w:szCs w:val="20"/>
              </w:rPr>
              <w:t>n H</w:t>
            </w:r>
            <w:r w:rsidR="00A20FE8">
              <w:rPr>
                <w:rFonts w:ascii="Times New Roman" w:hAnsi="Times New Roman"/>
                <w:b/>
                <w:bCs/>
                <w:color w:val="000000"/>
                <w:sz w:val="20"/>
                <w:szCs w:val="20"/>
              </w:rPr>
              <w:t>ours)</w:t>
            </w:r>
          </w:p>
        </w:tc>
        <w:tc>
          <w:tcPr>
            <w:tcW w:w="1170" w:type="dxa"/>
            <w:shd w:val="clear" w:color="auto" w:fill="auto"/>
            <w:hideMark/>
          </w:tcPr>
          <w:p w:rsidRPr="000E57D3" w:rsidR="00DC3DE5" w:rsidP="00F123A8" w:rsidRDefault="00DC3DE5">
            <w:pPr>
              <w:widowControl/>
              <w:autoSpaceDE/>
              <w:autoSpaceDN/>
              <w:adjustRightInd/>
              <w:jc w:val="center"/>
              <w:rPr>
                <w:rFonts w:ascii="Times New Roman" w:hAnsi="Times New Roman"/>
                <w:b/>
                <w:bCs/>
                <w:color w:val="000000"/>
                <w:sz w:val="20"/>
                <w:szCs w:val="20"/>
              </w:rPr>
            </w:pPr>
            <w:r w:rsidRPr="000E57D3">
              <w:rPr>
                <w:rFonts w:ascii="Times New Roman" w:hAnsi="Times New Roman"/>
                <w:b/>
                <w:bCs/>
                <w:color w:val="000000"/>
                <w:sz w:val="20"/>
                <w:szCs w:val="20"/>
              </w:rPr>
              <w:t>Total Burden Hours</w:t>
            </w:r>
          </w:p>
          <w:p w:rsidRPr="000E57D3" w:rsidR="00DC3DE5" w:rsidP="00F123A8" w:rsidRDefault="00DC3DE5">
            <w:pPr>
              <w:widowControl/>
              <w:autoSpaceDE/>
              <w:autoSpaceDN/>
              <w:adjustRightInd/>
              <w:jc w:val="center"/>
              <w:rPr>
                <w:rFonts w:ascii="Times New Roman" w:hAnsi="Times New Roman"/>
                <w:b/>
                <w:bCs/>
                <w:color w:val="000000"/>
                <w:sz w:val="20"/>
                <w:szCs w:val="20"/>
              </w:rPr>
            </w:pPr>
          </w:p>
          <w:p w:rsidRPr="000E57D3" w:rsidR="00DC3DE5" w:rsidP="00F123A8" w:rsidRDefault="00DC3DE5">
            <w:pPr>
              <w:widowControl/>
              <w:autoSpaceDE/>
              <w:autoSpaceDN/>
              <w:adjustRightInd/>
              <w:jc w:val="center"/>
              <w:rPr>
                <w:rFonts w:ascii="Times New Roman" w:hAnsi="Times New Roman"/>
                <w:b/>
                <w:bCs/>
                <w:color w:val="000000"/>
                <w:sz w:val="20"/>
                <w:szCs w:val="20"/>
              </w:rPr>
            </w:pPr>
          </w:p>
        </w:tc>
        <w:tc>
          <w:tcPr>
            <w:tcW w:w="900" w:type="dxa"/>
            <w:shd w:val="clear" w:color="auto" w:fill="auto"/>
            <w:hideMark/>
          </w:tcPr>
          <w:p w:rsidRPr="000E57D3" w:rsidR="00DC3DE5" w:rsidP="00F123A8" w:rsidRDefault="00530A9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Hourly </w:t>
            </w:r>
            <w:r w:rsidRPr="000E57D3" w:rsidR="00DC3DE5">
              <w:rPr>
                <w:rFonts w:ascii="Times New Roman" w:hAnsi="Times New Roman"/>
                <w:b/>
                <w:bCs/>
                <w:color w:val="000000"/>
                <w:sz w:val="20"/>
                <w:szCs w:val="20"/>
              </w:rPr>
              <w:t>Wage Rate</w:t>
            </w:r>
          </w:p>
        </w:tc>
        <w:tc>
          <w:tcPr>
            <w:tcW w:w="1620" w:type="dxa"/>
            <w:shd w:val="clear" w:color="auto" w:fill="auto"/>
            <w:hideMark/>
          </w:tcPr>
          <w:p w:rsidRPr="000E57D3" w:rsidR="00DC3DE5" w:rsidP="00F123A8" w:rsidRDefault="00DC3DE5">
            <w:pPr>
              <w:widowControl/>
              <w:autoSpaceDE/>
              <w:autoSpaceDN/>
              <w:adjustRightInd/>
              <w:jc w:val="center"/>
              <w:rPr>
                <w:rFonts w:ascii="Times New Roman" w:hAnsi="Times New Roman"/>
                <w:bCs/>
                <w:color w:val="000000"/>
                <w:sz w:val="20"/>
                <w:szCs w:val="20"/>
              </w:rPr>
            </w:pPr>
            <w:r w:rsidRPr="000E57D3">
              <w:rPr>
                <w:rFonts w:ascii="Times New Roman" w:hAnsi="Times New Roman"/>
                <w:b/>
                <w:bCs/>
                <w:color w:val="000000"/>
                <w:sz w:val="20"/>
                <w:szCs w:val="20"/>
              </w:rPr>
              <w:t>Total Burden Cost</w:t>
            </w:r>
          </w:p>
        </w:tc>
      </w:tr>
      <w:tr w:rsidRPr="00823492" w:rsidR="00F602FC" w:rsidTr="00F123A8">
        <w:trPr>
          <w:cantSplit/>
          <w:trHeight w:val="525"/>
        </w:trPr>
        <w:tc>
          <w:tcPr>
            <w:tcW w:w="4950" w:type="dxa"/>
            <w:shd w:val="clear" w:color="auto" w:fill="auto"/>
            <w:vAlign w:val="bottom"/>
            <w:hideMark/>
          </w:tcPr>
          <w:p w:rsidRPr="000E57D3" w:rsidR="00F602FC" w:rsidP="00F602FC" w:rsidRDefault="00F602FC">
            <w:pPr>
              <w:spacing w:line="72" w:lineRule="exact"/>
              <w:rPr>
                <w:rFonts w:ascii="Times New Roman" w:hAnsi="Times New Roman"/>
                <w:color w:val="000000"/>
                <w:sz w:val="20"/>
                <w:szCs w:val="20"/>
              </w:rPr>
            </w:pPr>
          </w:p>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A. </w:t>
            </w:r>
            <w:r w:rsidRPr="009217A9">
              <w:rPr>
                <w:rFonts w:ascii="Times New Roman" w:hAnsi="Times New Roman"/>
                <w:color w:val="000000"/>
                <w:sz w:val="20"/>
                <w:szCs w:val="20"/>
              </w:rPr>
              <w:t>Notification of Concrete and Mortar Str</w:t>
            </w:r>
            <w:r>
              <w:rPr>
                <w:rFonts w:ascii="Times New Roman" w:hAnsi="Times New Roman"/>
                <w:color w:val="000000"/>
                <w:sz w:val="20"/>
                <w:szCs w:val="20"/>
              </w:rPr>
              <w:t xml:space="preserve">ength </w:t>
            </w:r>
            <w:r w:rsidRPr="000E57D3">
              <w:rPr>
                <w:rFonts w:ascii="Times New Roman" w:hAnsi="Times New Roman"/>
                <w:color w:val="000000"/>
                <w:sz w:val="20"/>
                <w:szCs w:val="20"/>
              </w:rPr>
              <w:t xml:space="preserve">1926.752(a)(1) </w:t>
            </w:r>
            <w:r w:rsidRPr="000E57D3">
              <w:rPr>
                <w:rStyle w:val="FootnoteReference"/>
                <w:rFonts w:ascii="Times New Roman" w:hAnsi="Times New Roman"/>
                <w:color w:val="000000"/>
                <w:sz w:val="20"/>
                <w:szCs w:val="20"/>
                <w:vertAlign w:val="superscript"/>
              </w:rPr>
              <w:footnoteReference w:id="3"/>
            </w:r>
            <w:r w:rsidRPr="000E57D3">
              <w:rPr>
                <w:rFonts w:ascii="Times New Roman" w:hAnsi="Times New Roman"/>
                <w:color w:val="000000"/>
                <w:sz w:val="20"/>
                <w:szCs w:val="20"/>
              </w:rPr>
              <w:t xml:space="preserve"> -- </w:t>
            </w:r>
            <w:r>
              <w:rPr>
                <w:rFonts w:ascii="Times New Roman" w:hAnsi="Times New Roman"/>
                <w:color w:val="000000"/>
                <w:sz w:val="20"/>
                <w:szCs w:val="20"/>
              </w:rPr>
              <w:t>Controlling contractor provides written n</w:t>
            </w:r>
            <w:r w:rsidRPr="000E57D3">
              <w:rPr>
                <w:rFonts w:ascii="Times New Roman" w:hAnsi="Times New Roman"/>
                <w:color w:val="000000"/>
                <w:sz w:val="20"/>
                <w:szCs w:val="20"/>
              </w:rPr>
              <w:t>otification</w:t>
            </w:r>
            <w:r>
              <w:rPr>
                <w:rFonts w:ascii="Times New Roman" w:hAnsi="Times New Roman"/>
                <w:color w:val="000000"/>
                <w:sz w:val="20"/>
                <w:szCs w:val="20"/>
              </w:rPr>
              <w:t xml:space="preserve"> to steel erector of c</w:t>
            </w:r>
            <w:r w:rsidRPr="000E57D3">
              <w:rPr>
                <w:rFonts w:ascii="Times New Roman" w:hAnsi="Times New Roman"/>
                <w:color w:val="000000"/>
                <w:sz w:val="20"/>
                <w:szCs w:val="20"/>
              </w:rPr>
              <w:t xml:space="preserve">oncrete </w:t>
            </w:r>
            <w:r>
              <w:rPr>
                <w:rFonts w:ascii="Times New Roman" w:hAnsi="Times New Roman"/>
                <w:color w:val="000000"/>
                <w:sz w:val="20"/>
                <w:szCs w:val="20"/>
              </w:rPr>
              <w:t>and mortar s</w:t>
            </w:r>
            <w:r w:rsidRPr="000E57D3">
              <w:rPr>
                <w:rFonts w:ascii="Times New Roman" w:hAnsi="Times New Roman"/>
                <w:color w:val="000000"/>
                <w:sz w:val="20"/>
                <w:szCs w:val="20"/>
              </w:rPr>
              <w:t>trength</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18,468</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2</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36,936</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0E57D3" w:rsidR="00F602FC" w:rsidP="00643F96"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3,07</w:t>
            </w:r>
            <w:r w:rsidR="00643F96">
              <w:rPr>
                <w:rFonts w:ascii="Times New Roman" w:hAnsi="Times New Roman"/>
                <w:color w:val="000000"/>
                <w:sz w:val="20"/>
                <w:szCs w:val="20"/>
              </w:rPr>
              <w:t>8.00</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55.78</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$171,69</w:t>
            </w:r>
            <w:r w:rsidR="00871A04">
              <w:rPr>
                <w:rFonts w:ascii="Times New Roman" w:hAnsi="Times New Roman"/>
                <w:color w:val="000000"/>
                <w:sz w:val="20"/>
                <w:szCs w:val="20"/>
              </w:rPr>
              <w:t>0.</w:t>
            </w:r>
            <w:r w:rsidR="00643F96">
              <w:rPr>
                <w:rFonts w:ascii="Times New Roman" w:hAnsi="Times New Roman"/>
                <w:color w:val="000000"/>
                <w:sz w:val="20"/>
                <w:szCs w:val="20"/>
              </w:rPr>
              <w:t>84</w:t>
            </w:r>
          </w:p>
        </w:tc>
      </w:tr>
      <w:tr w:rsidRPr="00823492" w:rsidR="00F602FC" w:rsidTr="00F123A8">
        <w:trPr>
          <w:cantSplit/>
        </w:trPr>
        <w:tc>
          <w:tcPr>
            <w:tcW w:w="4950" w:type="dxa"/>
            <w:shd w:val="clear" w:color="auto" w:fill="auto"/>
            <w:vAlign w:val="bottom"/>
            <w:hideMark/>
          </w:tcPr>
          <w:p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B. </w:t>
            </w:r>
            <w:r w:rsidRPr="009217A9">
              <w:rPr>
                <w:rFonts w:ascii="Times New Roman" w:hAnsi="Times New Roman"/>
                <w:color w:val="000000"/>
                <w:sz w:val="20"/>
                <w:szCs w:val="20"/>
              </w:rPr>
              <w:t>Engineer Approval of Anchor Bolt Repair</w:t>
            </w:r>
          </w:p>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w:t>
            </w:r>
            <w:r w:rsidRPr="000E57D3">
              <w:rPr>
                <w:rFonts w:ascii="Times New Roman" w:hAnsi="Times New Roman"/>
                <w:color w:val="000000"/>
                <w:sz w:val="20"/>
                <w:szCs w:val="20"/>
              </w:rPr>
              <w:t xml:space="preserve">926.752(a)(2) – </w:t>
            </w:r>
            <w:r>
              <w:rPr>
                <w:rFonts w:ascii="Times New Roman" w:hAnsi="Times New Roman"/>
                <w:color w:val="000000"/>
                <w:sz w:val="20"/>
                <w:szCs w:val="20"/>
              </w:rPr>
              <w:t>Before commencement of steel erection - Repairs to anchor bolts in accordance with 1926.755(b)</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6,095</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6,095</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50</w:t>
            </w:r>
            <w:r w:rsidR="00871A04">
              <w:rPr>
                <w:rFonts w:ascii="Times New Roman" w:hAnsi="Times New Roman"/>
                <w:color w:val="000000"/>
                <w:sz w:val="20"/>
                <w:szCs w:val="20"/>
              </w:rPr>
              <w:t>7.92</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$35,02</w:t>
            </w:r>
            <w:r w:rsidR="00871A04">
              <w:rPr>
                <w:rFonts w:ascii="Times New Roman" w:hAnsi="Times New Roman"/>
                <w:color w:val="000000"/>
                <w:sz w:val="20"/>
                <w:szCs w:val="20"/>
              </w:rPr>
              <w:t>0.85</w:t>
            </w:r>
          </w:p>
        </w:tc>
      </w:tr>
      <w:tr w:rsidRPr="00823492" w:rsidR="00F602FC" w:rsidTr="00F123A8">
        <w:trPr>
          <w:cantSplit/>
          <w:trHeight w:val="525"/>
        </w:trPr>
        <w:tc>
          <w:tcPr>
            <w:tcW w:w="4950" w:type="dxa"/>
            <w:shd w:val="clear" w:color="auto" w:fill="auto"/>
            <w:hideMark/>
          </w:tcPr>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C. </w:t>
            </w:r>
            <w:r w:rsidRPr="00823492">
              <w:rPr>
                <w:rFonts w:ascii="Times New Roman" w:hAnsi="Times New Roman"/>
                <w:color w:val="000000"/>
                <w:sz w:val="20"/>
                <w:szCs w:val="20"/>
              </w:rPr>
              <w:t>1926.755(b)(1)</w:t>
            </w:r>
            <w:r w:rsidRPr="000E57D3">
              <w:rPr>
                <w:rStyle w:val="FootnoteReference"/>
                <w:rFonts w:ascii="Times New Roman" w:hAnsi="Times New Roman"/>
                <w:color w:val="000000"/>
                <w:sz w:val="20"/>
                <w:szCs w:val="20"/>
                <w:vertAlign w:val="superscript"/>
              </w:rPr>
              <w:footnoteReference w:id="4"/>
            </w:r>
            <w:r w:rsidRPr="000E57D3">
              <w:rPr>
                <w:rFonts w:ascii="Times New Roman" w:hAnsi="Times New Roman"/>
                <w:color w:val="000000"/>
                <w:sz w:val="20"/>
                <w:szCs w:val="20"/>
              </w:rPr>
              <w:t xml:space="preserve"> –</w:t>
            </w:r>
            <w:r>
              <w:rPr>
                <w:rFonts w:ascii="Times New Roman" w:hAnsi="Times New Roman"/>
                <w:color w:val="000000"/>
                <w:sz w:val="20"/>
                <w:szCs w:val="20"/>
              </w:rPr>
              <w:t xml:space="preserve"> Before commencement of steel erection - Anchor bolt changes must have structural engineer approval</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3,139</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3,139</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3</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9,417</w:t>
            </w:r>
            <w:r w:rsidR="00871A04">
              <w:rPr>
                <w:rFonts w:ascii="Times New Roman" w:hAnsi="Times New Roman"/>
                <w:color w:val="000000"/>
                <w:sz w:val="20"/>
                <w:szCs w:val="20"/>
              </w:rPr>
              <w:t>.00</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55.78</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$525,280</w:t>
            </w:r>
            <w:r w:rsidR="00871A04">
              <w:rPr>
                <w:rFonts w:ascii="Times New Roman" w:hAnsi="Times New Roman"/>
                <w:color w:val="000000"/>
                <w:sz w:val="20"/>
                <w:szCs w:val="20"/>
              </w:rPr>
              <w:t>.26</w:t>
            </w:r>
          </w:p>
        </w:tc>
      </w:tr>
      <w:tr w:rsidRPr="00823492" w:rsidR="00F602FC" w:rsidTr="00F123A8">
        <w:trPr>
          <w:cantSplit/>
          <w:trHeight w:val="525"/>
        </w:trPr>
        <w:tc>
          <w:tcPr>
            <w:tcW w:w="4950" w:type="dxa"/>
            <w:shd w:val="clear" w:color="auto" w:fill="auto"/>
            <w:vAlign w:val="bottom"/>
          </w:tcPr>
          <w:p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lastRenderedPageBreak/>
              <w:t xml:space="preserve">D. </w:t>
            </w:r>
            <w:r w:rsidRPr="009217A9">
              <w:rPr>
                <w:rFonts w:ascii="Times New Roman" w:hAnsi="Times New Roman"/>
                <w:color w:val="000000"/>
                <w:sz w:val="20"/>
                <w:szCs w:val="20"/>
              </w:rPr>
              <w:t>Site-specific Erection Plan</w:t>
            </w:r>
            <w:r>
              <w:rPr>
                <w:rFonts w:ascii="Times New Roman" w:hAnsi="Times New Roman"/>
                <w:color w:val="000000"/>
                <w:sz w:val="20"/>
                <w:szCs w:val="20"/>
              </w:rPr>
              <w:t>,</w:t>
            </w:r>
            <w:r w:rsidRPr="009217A9">
              <w:rPr>
                <w:rFonts w:ascii="Times New Roman" w:hAnsi="Times New Roman"/>
                <w:color w:val="000000"/>
                <w:sz w:val="20"/>
                <w:szCs w:val="20"/>
              </w:rPr>
              <w:t xml:space="preserve"> Developmen</w:t>
            </w:r>
            <w:r>
              <w:rPr>
                <w:rFonts w:ascii="Times New Roman" w:hAnsi="Times New Roman"/>
                <w:color w:val="000000"/>
                <w:sz w:val="20"/>
                <w:szCs w:val="20"/>
              </w:rPr>
              <w:t>t and certification of training</w:t>
            </w:r>
          </w:p>
          <w:p w:rsidRPr="00B30EF0" w:rsidR="00F602FC" w:rsidP="00F602FC" w:rsidRDefault="00F602FC">
            <w:pPr>
              <w:widowControl/>
              <w:autoSpaceDE/>
              <w:autoSpaceDN/>
              <w:adjustRightInd/>
              <w:rPr>
                <w:rFonts w:ascii="Times New Roman" w:hAnsi="Times New Roman"/>
                <w:color w:val="000000"/>
                <w:sz w:val="20"/>
                <w:szCs w:val="20"/>
              </w:rPr>
            </w:pPr>
            <w:r w:rsidRPr="006568F0">
              <w:rPr>
                <w:rFonts w:ascii="Times New Roman" w:hAnsi="Times New Roman"/>
                <w:color w:val="000000"/>
                <w:sz w:val="20"/>
                <w:szCs w:val="20"/>
              </w:rPr>
              <w:t>1926.752(e)/App. A, paragraph (b) –</w:t>
            </w:r>
            <w:r>
              <w:rPr>
                <w:rFonts w:ascii="Times New Roman" w:hAnsi="Times New Roman"/>
                <w:color w:val="000000"/>
                <w:sz w:val="20"/>
                <w:szCs w:val="20"/>
              </w:rPr>
              <w:t>Site-s</w:t>
            </w:r>
            <w:r w:rsidRPr="006568F0">
              <w:rPr>
                <w:rFonts w:ascii="Times New Roman" w:hAnsi="Times New Roman"/>
                <w:color w:val="000000"/>
                <w:sz w:val="20"/>
                <w:szCs w:val="20"/>
              </w:rPr>
              <w:t xml:space="preserve">pecific </w:t>
            </w:r>
            <w:r>
              <w:rPr>
                <w:rFonts w:ascii="Times New Roman" w:hAnsi="Times New Roman"/>
                <w:color w:val="000000"/>
                <w:sz w:val="20"/>
                <w:szCs w:val="20"/>
              </w:rPr>
              <w:t>p</w:t>
            </w:r>
            <w:r w:rsidRPr="006568F0">
              <w:rPr>
                <w:rFonts w:ascii="Times New Roman" w:hAnsi="Times New Roman"/>
                <w:color w:val="000000"/>
                <w:sz w:val="20"/>
                <w:szCs w:val="20"/>
              </w:rPr>
              <w:t>lan</w:t>
            </w:r>
            <w:r>
              <w:rPr>
                <w:rFonts w:ascii="Times New Roman" w:hAnsi="Times New Roman"/>
                <w:color w:val="000000"/>
                <w:sz w:val="20"/>
                <w:szCs w:val="20"/>
              </w:rPr>
              <w:t xml:space="preserve">, </w:t>
            </w:r>
            <w:r w:rsidRPr="00B47B95">
              <w:rPr>
                <w:rFonts w:ascii="Times New Roman" w:hAnsi="Times New Roman"/>
                <w:color w:val="000000"/>
                <w:sz w:val="20"/>
                <w:szCs w:val="20"/>
              </w:rPr>
              <w:t>paragraphs (c) and (d) – Certification of training</w:t>
            </w:r>
            <w:r w:rsidRPr="00B47B95">
              <w:rPr>
                <w:rStyle w:val="FootnoteReference"/>
                <w:rFonts w:ascii="Times New Roman" w:hAnsi="Times New Roman"/>
                <w:color w:val="000000"/>
                <w:sz w:val="20"/>
                <w:szCs w:val="20"/>
              </w:rPr>
              <w:t xml:space="preserve"> </w:t>
            </w:r>
            <w:r w:rsidRPr="006568F0">
              <w:rPr>
                <w:rStyle w:val="FootnoteReference"/>
                <w:rFonts w:ascii="Times New Roman" w:hAnsi="Times New Roman"/>
                <w:color w:val="000000"/>
                <w:sz w:val="20"/>
                <w:szCs w:val="20"/>
                <w:vertAlign w:val="superscript"/>
              </w:rPr>
              <w:footnoteReference w:id="5"/>
            </w:r>
          </w:p>
        </w:tc>
        <w:tc>
          <w:tcPr>
            <w:tcW w:w="135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5,605</w:t>
            </w:r>
          </w:p>
        </w:tc>
        <w:tc>
          <w:tcPr>
            <w:tcW w:w="144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5,605</w:t>
            </w:r>
          </w:p>
        </w:tc>
        <w:tc>
          <w:tcPr>
            <w:tcW w:w="108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5,605</w:t>
            </w:r>
            <w:r w:rsidR="00871A04">
              <w:rPr>
                <w:rFonts w:ascii="Times New Roman" w:hAnsi="Times New Roman"/>
                <w:color w:val="000000"/>
                <w:sz w:val="20"/>
                <w:szCs w:val="20"/>
              </w:rPr>
              <w:t>.00</w:t>
            </w:r>
          </w:p>
        </w:tc>
        <w:tc>
          <w:tcPr>
            <w:tcW w:w="90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tcPr>
          <w:p w:rsidRPr="00B30EF0"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$386,46</w:t>
            </w:r>
            <w:r w:rsidR="00871A04">
              <w:rPr>
                <w:rFonts w:ascii="Times New Roman" w:hAnsi="Times New Roman"/>
                <w:color w:val="000000"/>
                <w:sz w:val="20"/>
                <w:szCs w:val="20"/>
              </w:rPr>
              <w:t>4.75</w:t>
            </w:r>
          </w:p>
        </w:tc>
      </w:tr>
      <w:tr w:rsidRPr="00823492" w:rsidR="00F602FC" w:rsidTr="00F123A8">
        <w:trPr>
          <w:cantSplit/>
          <w:trHeight w:val="525"/>
        </w:trPr>
        <w:tc>
          <w:tcPr>
            <w:tcW w:w="4950" w:type="dxa"/>
            <w:shd w:val="clear" w:color="auto" w:fill="auto"/>
            <w:hideMark/>
          </w:tcPr>
          <w:p w:rsidRPr="00823492"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E. </w:t>
            </w:r>
            <w:r w:rsidRPr="004D10CD">
              <w:rPr>
                <w:rFonts w:ascii="Times New Roman" w:hAnsi="Times New Roman"/>
                <w:color w:val="000000"/>
                <w:sz w:val="20"/>
                <w:szCs w:val="20"/>
              </w:rPr>
              <w:t xml:space="preserve">Site Specific Erection Plan Provision-Equivalent Protection for Safety Latch Deactiviation </w:t>
            </w:r>
            <w:r>
              <w:rPr>
                <w:rFonts w:ascii="Times New Roman" w:hAnsi="Times New Roman"/>
                <w:color w:val="000000"/>
                <w:sz w:val="20"/>
                <w:szCs w:val="20"/>
              </w:rPr>
              <w:t>1</w:t>
            </w:r>
            <w:r w:rsidRPr="00823492">
              <w:rPr>
                <w:rFonts w:ascii="Times New Roman" w:hAnsi="Times New Roman"/>
                <w:color w:val="000000"/>
                <w:sz w:val="20"/>
                <w:szCs w:val="20"/>
              </w:rPr>
              <w:t>926.753(c)(5) – Describing equivalent protection for deactivating safety latches or hooks or make the latches inoperable in the site-specific erection plan</w:t>
            </w:r>
          </w:p>
        </w:tc>
        <w:tc>
          <w:tcPr>
            <w:tcW w:w="135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5,</w:t>
            </w:r>
            <w:r>
              <w:rPr>
                <w:rFonts w:ascii="Times New Roman" w:hAnsi="Times New Roman"/>
                <w:color w:val="000000"/>
                <w:sz w:val="20"/>
                <w:szCs w:val="20"/>
              </w:rPr>
              <w:t>605</w:t>
            </w:r>
          </w:p>
        </w:tc>
        <w:tc>
          <w:tcPr>
            <w:tcW w:w="144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2</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11,210</w:t>
            </w:r>
          </w:p>
        </w:tc>
        <w:tc>
          <w:tcPr>
            <w:tcW w:w="108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934</w:t>
            </w:r>
            <w:r w:rsidR="00871A04">
              <w:rPr>
                <w:rFonts w:ascii="Times New Roman" w:hAnsi="Times New Roman"/>
                <w:color w:val="000000"/>
                <w:sz w:val="20"/>
                <w:szCs w:val="20"/>
              </w:rPr>
              <w:t>.17</w:t>
            </w:r>
          </w:p>
        </w:tc>
        <w:tc>
          <w:tcPr>
            <w:tcW w:w="90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$64,</w:t>
            </w:r>
            <w:r w:rsidR="00871A04">
              <w:rPr>
                <w:rFonts w:ascii="Times New Roman" w:hAnsi="Times New Roman"/>
                <w:color w:val="000000"/>
                <w:sz w:val="20"/>
                <w:szCs w:val="20"/>
              </w:rPr>
              <w:t>410.79</w:t>
            </w:r>
          </w:p>
        </w:tc>
      </w:tr>
      <w:tr w:rsidRPr="00823492" w:rsidR="00F602FC" w:rsidTr="00F123A8">
        <w:trPr>
          <w:cantSplit/>
          <w:trHeight w:val="525"/>
        </w:trPr>
        <w:tc>
          <w:tcPr>
            <w:tcW w:w="4950" w:type="dxa"/>
            <w:shd w:val="clear" w:color="auto" w:fill="auto"/>
            <w:hideMark/>
          </w:tcPr>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F. </w:t>
            </w:r>
            <w:r w:rsidRPr="004D10CD">
              <w:rPr>
                <w:rFonts w:ascii="Times New Roman" w:hAnsi="Times New Roman"/>
                <w:color w:val="000000"/>
                <w:sz w:val="20"/>
                <w:szCs w:val="20"/>
              </w:rPr>
              <w:t xml:space="preserve">Maximum Capacity Certification-Multiple Lift Rigging Assembly </w:t>
            </w:r>
            <w:r>
              <w:rPr>
                <w:rFonts w:ascii="Times New Roman" w:hAnsi="Times New Roman"/>
                <w:color w:val="000000"/>
                <w:sz w:val="20"/>
                <w:szCs w:val="20"/>
              </w:rPr>
              <w:t>19</w:t>
            </w:r>
            <w:r w:rsidRPr="00823492">
              <w:rPr>
                <w:rFonts w:ascii="Times New Roman" w:hAnsi="Times New Roman"/>
                <w:color w:val="000000"/>
                <w:sz w:val="20"/>
                <w:szCs w:val="20"/>
              </w:rPr>
              <w:t>26.753(e)(2)</w:t>
            </w:r>
            <w:r w:rsidRPr="000E57D3">
              <w:rPr>
                <w:rStyle w:val="FootnoteReference"/>
                <w:rFonts w:ascii="Times New Roman" w:hAnsi="Times New Roman"/>
                <w:color w:val="000000"/>
                <w:sz w:val="20"/>
                <w:szCs w:val="20"/>
                <w:vertAlign w:val="superscript"/>
              </w:rPr>
              <w:footnoteReference w:id="6"/>
            </w:r>
            <w:r w:rsidRPr="000E57D3">
              <w:rPr>
                <w:rFonts w:ascii="Times New Roman" w:hAnsi="Times New Roman"/>
                <w:color w:val="000000"/>
                <w:sz w:val="20"/>
                <w:szCs w:val="20"/>
              </w:rPr>
              <w:t xml:space="preserve"> –</w:t>
            </w:r>
            <w:r>
              <w:rPr>
                <w:rFonts w:ascii="Times New Roman" w:hAnsi="Times New Roman"/>
                <w:color w:val="000000"/>
                <w:sz w:val="20"/>
                <w:szCs w:val="20"/>
              </w:rPr>
              <w:t xml:space="preserve"> Certified maximum capacity by a qualified rigger for multiple-lift rigging</w:t>
            </w:r>
            <w:r w:rsidR="0061204D">
              <w:rPr>
                <w:rFonts w:ascii="Times New Roman" w:hAnsi="Times New Roman"/>
                <w:color w:val="000000"/>
                <w:sz w:val="20"/>
                <w:szCs w:val="20"/>
              </w:rPr>
              <w:t xml:space="preserve"> </w:t>
            </w:r>
            <w:r>
              <w:rPr>
                <w:rFonts w:ascii="Times New Roman" w:hAnsi="Times New Roman"/>
                <w:color w:val="000000"/>
                <w:sz w:val="20"/>
                <w:szCs w:val="20"/>
              </w:rPr>
              <w:t>assemblies</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5,</w:t>
            </w:r>
            <w:r>
              <w:rPr>
                <w:rFonts w:ascii="Times New Roman" w:hAnsi="Times New Roman"/>
                <w:color w:val="000000"/>
                <w:sz w:val="20"/>
                <w:szCs w:val="20"/>
              </w:rPr>
              <w:t>605</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2</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11,210</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934</w:t>
            </w:r>
            <w:r w:rsidR="00871A04">
              <w:rPr>
                <w:rFonts w:ascii="Times New Roman" w:hAnsi="Times New Roman"/>
                <w:color w:val="000000"/>
                <w:sz w:val="20"/>
                <w:szCs w:val="20"/>
              </w:rPr>
              <w:t>.17</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42.82</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w:t>
            </w:r>
            <w:r w:rsidR="00871A04">
              <w:rPr>
                <w:rFonts w:ascii="Times New Roman" w:hAnsi="Times New Roman"/>
                <w:color w:val="000000"/>
                <w:sz w:val="20"/>
                <w:szCs w:val="20"/>
              </w:rPr>
              <w:t>40,001.02</w:t>
            </w:r>
          </w:p>
        </w:tc>
      </w:tr>
      <w:tr w:rsidRPr="00823492" w:rsidR="00F602FC" w:rsidTr="00F123A8">
        <w:trPr>
          <w:cantSplit/>
          <w:trHeight w:val="525"/>
        </w:trPr>
        <w:tc>
          <w:tcPr>
            <w:tcW w:w="4950" w:type="dxa"/>
            <w:shd w:val="clear" w:color="auto" w:fill="auto"/>
            <w:hideMark/>
          </w:tcPr>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G. </w:t>
            </w:r>
            <w:r w:rsidRPr="004D10CD">
              <w:rPr>
                <w:rFonts w:ascii="Times New Roman" w:hAnsi="Times New Roman"/>
                <w:color w:val="000000"/>
                <w:sz w:val="20"/>
                <w:szCs w:val="20"/>
              </w:rPr>
              <w:t xml:space="preserve">Anchor Bolt Change Notification </w:t>
            </w:r>
            <w:r w:rsidRPr="00823492">
              <w:rPr>
                <w:rFonts w:ascii="Times New Roman" w:hAnsi="Times New Roman"/>
                <w:color w:val="000000"/>
                <w:sz w:val="20"/>
                <w:szCs w:val="20"/>
              </w:rPr>
              <w:t>1926.755(b)(</w:t>
            </w:r>
            <w:r w:rsidRPr="00B30EF0">
              <w:rPr>
                <w:rFonts w:ascii="Times New Roman" w:hAnsi="Times New Roman"/>
                <w:color w:val="000000"/>
                <w:sz w:val="20"/>
                <w:szCs w:val="20"/>
              </w:rPr>
              <w:t>1)</w:t>
            </w:r>
            <w:r w:rsidRPr="00823492">
              <w:rPr>
                <w:sz w:val="20"/>
                <w:szCs w:val="20"/>
              </w:rPr>
              <w:t xml:space="preserve"> </w:t>
            </w:r>
            <w:r w:rsidRPr="000E57D3">
              <w:rPr>
                <w:rFonts w:ascii="Times New Roman" w:hAnsi="Times New Roman"/>
                <w:color w:val="000000"/>
                <w:sz w:val="20"/>
                <w:szCs w:val="20"/>
              </w:rPr>
              <w:t>–</w:t>
            </w:r>
            <w:r>
              <w:rPr>
                <w:rFonts w:ascii="Times New Roman" w:hAnsi="Times New Roman"/>
                <w:color w:val="000000"/>
                <w:sz w:val="20"/>
                <w:szCs w:val="20"/>
              </w:rPr>
              <w:t xml:space="preserve">Throughout steel erection, controlling contractor must notify the steel erector in writing of anchor bolt changes </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3,</w:t>
            </w:r>
            <w:r>
              <w:rPr>
                <w:rFonts w:ascii="Times New Roman" w:hAnsi="Times New Roman"/>
                <w:color w:val="000000"/>
                <w:sz w:val="20"/>
                <w:szCs w:val="20"/>
              </w:rPr>
              <w:t>697</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3,</w:t>
            </w:r>
            <w:r>
              <w:rPr>
                <w:rFonts w:ascii="Times New Roman" w:hAnsi="Times New Roman"/>
                <w:color w:val="000000"/>
                <w:sz w:val="20"/>
                <w:szCs w:val="20"/>
              </w:rPr>
              <w:t>697</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308</w:t>
            </w:r>
            <w:r w:rsidR="00871A04">
              <w:rPr>
                <w:rFonts w:ascii="Times New Roman" w:hAnsi="Times New Roman"/>
                <w:color w:val="000000"/>
                <w:sz w:val="20"/>
                <w:szCs w:val="20"/>
              </w:rPr>
              <w:t>.08</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$21,2</w:t>
            </w:r>
            <w:r w:rsidR="00871A04">
              <w:rPr>
                <w:rFonts w:ascii="Times New Roman" w:hAnsi="Times New Roman"/>
                <w:color w:val="000000"/>
                <w:sz w:val="20"/>
                <w:szCs w:val="20"/>
              </w:rPr>
              <w:t>42.35</w:t>
            </w:r>
          </w:p>
        </w:tc>
      </w:tr>
      <w:tr w:rsidRPr="00823492" w:rsidR="00F602FC" w:rsidTr="00F123A8">
        <w:trPr>
          <w:cantSplit/>
          <w:trHeight w:val="525"/>
        </w:trPr>
        <w:tc>
          <w:tcPr>
            <w:tcW w:w="4950" w:type="dxa"/>
            <w:shd w:val="clear" w:color="auto" w:fill="auto"/>
            <w:hideMark/>
          </w:tcPr>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lastRenderedPageBreak/>
              <w:t xml:space="preserve">H. </w:t>
            </w:r>
            <w:r w:rsidRPr="004D10CD">
              <w:rPr>
                <w:rFonts w:ascii="Times New Roman" w:hAnsi="Times New Roman"/>
                <w:color w:val="000000"/>
                <w:sz w:val="20"/>
                <w:szCs w:val="20"/>
              </w:rPr>
              <w:t xml:space="preserve">Anchor Bolt Repair Approval </w:t>
            </w:r>
            <w:r w:rsidRPr="00823492">
              <w:rPr>
                <w:rFonts w:ascii="Times New Roman" w:hAnsi="Times New Roman"/>
                <w:color w:val="000000"/>
                <w:sz w:val="20"/>
                <w:szCs w:val="20"/>
              </w:rPr>
              <w:t>1926.755(b)(2)</w:t>
            </w:r>
            <w:r w:rsidRPr="00080FE6">
              <w:rPr>
                <w:rStyle w:val="FootnoteReference"/>
                <w:rFonts w:ascii="Times New Roman" w:hAnsi="Times New Roman"/>
                <w:color w:val="000000"/>
                <w:sz w:val="20"/>
                <w:szCs w:val="20"/>
                <w:vertAlign w:val="superscript"/>
              </w:rPr>
              <w:footnoteReference w:id="7"/>
            </w:r>
            <w:r>
              <w:rPr>
                <w:rFonts w:ascii="Times New Roman" w:hAnsi="Times New Roman"/>
                <w:color w:val="000000"/>
                <w:sz w:val="20"/>
                <w:szCs w:val="20"/>
              </w:rPr>
              <w:t xml:space="preserve"> – Throughout steel erection, structural engineer must approve  repair of anchor rods (anchor bolts)</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2,</w:t>
            </w:r>
            <w:r>
              <w:rPr>
                <w:rFonts w:ascii="Times New Roman" w:hAnsi="Times New Roman"/>
                <w:color w:val="000000"/>
                <w:sz w:val="20"/>
                <w:szCs w:val="20"/>
              </w:rPr>
              <w:t>803</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2,</w:t>
            </w:r>
            <w:r>
              <w:rPr>
                <w:rFonts w:ascii="Times New Roman" w:hAnsi="Times New Roman"/>
                <w:color w:val="000000"/>
                <w:sz w:val="20"/>
                <w:szCs w:val="20"/>
              </w:rPr>
              <w:t>803</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3</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8,409</w:t>
            </w:r>
            <w:r w:rsidR="00871A04">
              <w:rPr>
                <w:rFonts w:ascii="Times New Roman" w:hAnsi="Times New Roman"/>
                <w:color w:val="000000"/>
                <w:sz w:val="20"/>
                <w:szCs w:val="20"/>
              </w:rPr>
              <w:t>.00</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55.78</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$469,054</w:t>
            </w:r>
            <w:r w:rsidR="00871A04">
              <w:rPr>
                <w:rFonts w:ascii="Times New Roman" w:hAnsi="Times New Roman"/>
                <w:color w:val="000000"/>
                <w:sz w:val="20"/>
                <w:szCs w:val="20"/>
              </w:rPr>
              <w:t>.02</w:t>
            </w:r>
          </w:p>
        </w:tc>
      </w:tr>
      <w:tr w:rsidRPr="00823492" w:rsidR="00F602FC" w:rsidTr="00F123A8">
        <w:trPr>
          <w:cantSplit/>
          <w:trHeight w:val="525"/>
        </w:trPr>
        <w:tc>
          <w:tcPr>
            <w:tcW w:w="4950" w:type="dxa"/>
            <w:shd w:val="clear" w:color="auto" w:fill="auto"/>
            <w:hideMark/>
          </w:tcPr>
          <w:p w:rsidRPr="00823492"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I. </w:t>
            </w:r>
            <w:r w:rsidRPr="004D10CD">
              <w:rPr>
                <w:rFonts w:ascii="Times New Roman" w:hAnsi="Times New Roman"/>
                <w:color w:val="000000"/>
                <w:sz w:val="20"/>
                <w:szCs w:val="20"/>
              </w:rPr>
              <w:t xml:space="preserve">Site Specific Erection Plan Provision – Alternative Joist Erection  Method </w:t>
            </w:r>
            <w:r w:rsidRPr="00823492">
              <w:rPr>
                <w:rFonts w:ascii="Times New Roman" w:hAnsi="Times New Roman"/>
                <w:color w:val="000000"/>
                <w:sz w:val="20"/>
                <w:szCs w:val="20"/>
              </w:rPr>
              <w:t>1926.757(a)(4) – Including alternative method for erecting joists in the site-specific plan</w:t>
            </w:r>
          </w:p>
        </w:tc>
        <w:tc>
          <w:tcPr>
            <w:tcW w:w="135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748</w:t>
            </w:r>
          </w:p>
        </w:tc>
        <w:tc>
          <w:tcPr>
            <w:tcW w:w="144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1</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748</w:t>
            </w:r>
          </w:p>
        </w:tc>
        <w:tc>
          <w:tcPr>
            <w:tcW w:w="108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62</w:t>
            </w:r>
            <w:r w:rsidR="00871A04">
              <w:rPr>
                <w:rFonts w:ascii="Times New Roman" w:hAnsi="Times New Roman"/>
                <w:color w:val="000000"/>
                <w:sz w:val="20"/>
                <w:szCs w:val="20"/>
              </w:rPr>
              <w:t>.33</w:t>
            </w:r>
          </w:p>
        </w:tc>
        <w:tc>
          <w:tcPr>
            <w:tcW w:w="90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$4,2</w:t>
            </w:r>
            <w:r w:rsidR="00871A04">
              <w:rPr>
                <w:rFonts w:ascii="Times New Roman" w:hAnsi="Times New Roman"/>
                <w:color w:val="000000"/>
                <w:sz w:val="20"/>
                <w:szCs w:val="20"/>
              </w:rPr>
              <w:t>97.88</w:t>
            </w:r>
          </w:p>
        </w:tc>
      </w:tr>
      <w:tr w:rsidRPr="00823492" w:rsidR="00F602FC" w:rsidTr="00F123A8">
        <w:trPr>
          <w:cantSplit/>
          <w:trHeight w:val="525"/>
        </w:trPr>
        <w:tc>
          <w:tcPr>
            <w:tcW w:w="4950" w:type="dxa"/>
            <w:shd w:val="clear" w:color="auto" w:fill="auto"/>
            <w:hideMark/>
          </w:tcPr>
          <w:p w:rsidRPr="004D10CD"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J. </w:t>
            </w:r>
            <w:r w:rsidRPr="004D10CD">
              <w:rPr>
                <w:rFonts w:ascii="Times New Roman" w:hAnsi="Times New Roman"/>
                <w:color w:val="000000"/>
                <w:sz w:val="20"/>
                <w:szCs w:val="20"/>
              </w:rPr>
              <w:t>Engineering Approval-</w:t>
            </w:r>
          </w:p>
          <w:p w:rsidR="00F602FC" w:rsidP="00F602FC" w:rsidRDefault="00F602FC">
            <w:pPr>
              <w:widowControl/>
              <w:autoSpaceDE/>
              <w:autoSpaceDN/>
              <w:adjustRightInd/>
              <w:rPr>
                <w:rFonts w:ascii="Times New Roman" w:hAnsi="Times New Roman"/>
                <w:color w:val="000000"/>
                <w:sz w:val="20"/>
                <w:szCs w:val="20"/>
              </w:rPr>
            </w:pPr>
            <w:r w:rsidRPr="004D10CD">
              <w:rPr>
                <w:rFonts w:ascii="Times New Roman" w:hAnsi="Times New Roman"/>
                <w:color w:val="000000"/>
                <w:sz w:val="20"/>
                <w:szCs w:val="20"/>
              </w:rPr>
              <w:t>Steel Joist  or Girder Modification</w:t>
            </w:r>
          </w:p>
          <w:p w:rsidRPr="000E57D3" w:rsidR="00F602FC" w:rsidP="00F602FC" w:rsidRDefault="00F602FC">
            <w:pPr>
              <w:widowControl/>
              <w:autoSpaceDE/>
              <w:autoSpaceDN/>
              <w:adjustRightInd/>
              <w:rPr>
                <w:rFonts w:ascii="Times New Roman" w:hAnsi="Times New Roman"/>
                <w:color w:val="000000"/>
                <w:sz w:val="20"/>
                <w:szCs w:val="20"/>
              </w:rPr>
            </w:pPr>
            <w:r w:rsidRPr="00823492">
              <w:rPr>
                <w:rFonts w:ascii="Times New Roman" w:hAnsi="Times New Roman"/>
                <w:color w:val="000000"/>
                <w:sz w:val="20"/>
                <w:szCs w:val="20"/>
              </w:rPr>
              <w:t>1926.757(a)(7)</w:t>
            </w:r>
            <w:r w:rsidRPr="000E57D3">
              <w:rPr>
                <w:rStyle w:val="FootnoteReference"/>
                <w:rFonts w:ascii="Times New Roman" w:hAnsi="Times New Roman"/>
                <w:color w:val="000000"/>
                <w:sz w:val="20"/>
                <w:szCs w:val="20"/>
                <w:vertAlign w:val="superscript"/>
              </w:rPr>
              <w:footnoteReference w:id="8"/>
            </w:r>
            <w:r w:rsidRPr="000E57D3">
              <w:rPr>
                <w:rFonts w:ascii="Times New Roman" w:hAnsi="Times New Roman"/>
                <w:color w:val="000000"/>
                <w:sz w:val="20"/>
                <w:szCs w:val="20"/>
              </w:rPr>
              <w:t xml:space="preserve"> – Engineer must approve modifications of steel joists or steel joist girders in a way that affects their strength</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766</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766</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5</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3,830</w:t>
            </w:r>
            <w:r w:rsidR="00871A04">
              <w:rPr>
                <w:rFonts w:ascii="Times New Roman" w:hAnsi="Times New Roman"/>
                <w:color w:val="000000"/>
                <w:sz w:val="20"/>
                <w:szCs w:val="20"/>
              </w:rPr>
              <w:t>.00</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55.78</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$213,637</w:t>
            </w:r>
            <w:r w:rsidR="00871A04">
              <w:rPr>
                <w:rFonts w:ascii="Times New Roman" w:hAnsi="Times New Roman"/>
                <w:color w:val="000000"/>
                <w:sz w:val="20"/>
                <w:szCs w:val="20"/>
              </w:rPr>
              <w:t>.40</w:t>
            </w:r>
          </w:p>
        </w:tc>
      </w:tr>
      <w:tr w:rsidRPr="00823492" w:rsidR="00F602FC" w:rsidTr="00F123A8">
        <w:trPr>
          <w:cantSplit/>
          <w:trHeight w:val="780"/>
        </w:trPr>
        <w:tc>
          <w:tcPr>
            <w:tcW w:w="4950" w:type="dxa"/>
            <w:shd w:val="clear" w:color="auto" w:fill="auto"/>
            <w:hideMark/>
          </w:tcPr>
          <w:p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K. </w:t>
            </w:r>
            <w:r w:rsidRPr="004D10CD">
              <w:rPr>
                <w:rFonts w:ascii="Times New Roman" w:hAnsi="Times New Roman"/>
                <w:color w:val="000000"/>
                <w:sz w:val="20"/>
                <w:szCs w:val="20"/>
              </w:rPr>
              <w:t>Fall Protection-Anchor Point Approval</w:t>
            </w:r>
          </w:p>
          <w:p w:rsidRPr="00823492" w:rsidR="00F602FC" w:rsidP="0061204D" w:rsidRDefault="00F602FC">
            <w:pPr>
              <w:widowControl/>
              <w:autoSpaceDE/>
              <w:autoSpaceDN/>
              <w:adjustRightInd/>
              <w:rPr>
                <w:rFonts w:ascii="Times New Roman" w:hAnsi="Times New Roman"/>
                <w:color w:val="000000"/>
                <w:sz w:val="20"/>
                <w:szCs w:val="20"/>
              </w:rPr>
            </w:pPr>
            <w:r w:rsidRPr="00823492">
              <w:rPr>
                <w:rFonts w:ascii="Times New Roman" w:hAnsi="Times New Roman"/>
                <w:color w:val="000000"/>
                <w:sz w:val="20"/>
                <w:szCs w:val="20"/>
              </w:rPr>
              <w:t xml:space="preserve">1926.757(a)(9) and § 1926.758(g) – Written approval of a qualified person for use of steel joists  or </w:t>
            </w:r>
            <w:r w:rsidR="0061204D">
              <w:rPr>
                <w:rFonts w:ascii="Times New Roman" w:hAnsi="Times New Roman"/>
                <w:color w:val="000000"/>
                <w:sz w:val="20"/>
                <w:szCs w:val="20"/>
              </w:rPr>
              <w:t>steel</w:t>
            </w:r>
            <w:r w:rsidRPr="00823492">
              <w:rPr>
                <w:rFonts w:ascii="Times New Roman" w:hAnsi="Times New Roman"/>
                <w:color w:val="000000"/>
                <w:sz w:val="20"/>
                <w:szCs w:val="20"/>
              </w:rPr>
              <w:t xml:space="preserve"> joist girders, or purlins or girts as anchorage points for a fall-arrest system</w:t>
            </w:r>
          </w:p>
        </w:tc>
        <w:tc>
          <w:tcPr>
            <w:tcW w:w="135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1,</w:t>
            </w:r>
            <w:r>
              <w:rPr>
                <w:rFonts w:ascii="Times New Roman" w:hAnsi="Times New Roman"/>
                <w:color w:val="000000"/>
                <w:sz w:val="20"/>
                <w:szCs w:val="20"/>
              </w:rPr>
              <w:t>496</w:t>
            </w:r>
          </w:p>
        </w:tc>
        <w:tc>
          <w:tcPr>
            <w:tcW w:w="144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1</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1,</w:t>
            </w:r>
            <w:r>
              <w:rPr>
                <w:rFonts w:ascii="Times New Roman" w:hAnsi="Times New Roman"/>
                <w:color w:val="000000"/>
                <w:sz w:val="20"/>
                <w:szCs w:val="20"/>
              </w:rPr>
              <w:t>496</w:t>
            </w:r>
          </w:p>
        </w:tc>
        <w:tc>
          <w:tcPr>
            <w:tcW w:w="108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30/60</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748</w:t>
            </w:r>
            <w:r w:rsidR="00871A04">
              <w:rPr>
                <w:rFonts w:ascii="Times New Roman" w:hAnsi="Times New Roman"/>
                <w:color w:val="000000"/>
                <w:sz w:val="20"/>
                <w:szCs w:val="20"/>
              </w:rPr>
              <w:t>.00</w:t>
            </w:r>
          </w:p>
        </w:tc>
        <w:tc>
          <w:tcPr>
            <w:tcW w:w="90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w:t>
            </w:r>
            <w:r>
              <w:rPr>
                <w:rFonts w:ascii="Times New Roman" w:hAnsi="Times New Roman"/>
                <w:color w:val="000000"/>
                <w:sz w:val="20"/>
                <w:szCs w:val="20"/>
              </w:rPr>
              <w:t>55.78</w:t>
            </w:r>
          </w:p>
        </w:tc>
        <w:tc>
          <w:tcPr>
            <w:tcW w:w="162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$41,723</w:t>
            </w:r>
            <w:r w:rsidR="00871A04">
              <w:rPr>
                <w:rFonts w:ascii="Times New Roman" w:hAnsi="Times New Roman"/>
                <w:color w:val="000000"/>
                <w:sz w:val="20"/>
                <w:szCs w:val="20"/>
              </w:rPr>
              <w:t>.44</w:t>
            </w:r>
          </w:p>
        </w:tc>
      </w:tr>
      <w:tr w:rsidRPr="00823492" w:rsidR="00F602FC" w:rsidTr="00F123A8">
        <w:trPr>
          <w:cantSplit/>
          <w:trHeight w:val="525"/>
        </w:trPr>
        <w:tc>
          <w:tcPr>
            <w:tcW w:w="4950" w:type="dxa"/>
            <w:shd w:val="clear" w:color="auto" w:fill="auto"/>
            <w:hideMark/>
          </w:tcPr>
          <w:p w:rsidRPr="00823492"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lastRenderedPageBreak/>
              <w:t xml:space="preserve">L. </w:t>
            </w:r>
            <w:r w:rsidRPr="004D10CD">
              <w:rPr>
                <w:rFonts w:ascii="Times New Roman" w:hAnsi="Times New Roman"/>
                <w:color w:val="000000"/>
                <w:sz w:val="20"/>
                <w:szCs w:val="20"/>
              </w:rPr>
              <w:t xml:space="preserve">Site Specific Erection Plan Provision- Load Determination of Decking </w:t>
            </w:r>
            <w:r w:rsidRPr="00823492">
              <w:rPr>
                <w:rFonts w:ascii="Times New Roman" w:hAnsi="Times New Roman"/>
                <w:color w:val="000000"/>
                <w:sz w:val="20"/>
                <w:szCs w:val="20"/>
              </w:rPr>
              <w:t xml:space="preserve">1926.757(e)(4)(i) </w:t>
            </w:r>
            <w:r>
              <w:rPr>
                <w:rFonts w:ascii="Times New Roman" w:hAnsi="Times New Roman"/>
                <w:color w:val="000000"/>
                <w:sz w:val="20"/>
                <w:szCs w:val="20"/>
              </w:rPr>
              <w:t>--</w:t>
            </w:r>
            <w:r w:rsidRPr="00823492">
              <w:rPr>
                <w:rFonts w:ascii="Times New Roman" w:hAnsi="Times New Roman"/>
                <w:color w:val="000000"/>
                <w:sz w:val="20"/>
                <w:szCs w:val="20"/>
              </w:rPr>
              <w:t>Before placing a bundle of decking on the joist, include a determination in the site-specific plan that the structure is capable of supporting the load</w:t>
            </w:r>
          </w:p>
        </w:tc>
        <w:tc>
          <w:tcPr>
            <w:tcW w:w="135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374</w:t>
            </w:r>
          </w:p>
        </w:tc>
        <w:tc>
          <w:tcPr>
            <w:tcW w:w="144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1</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3</w:t>
            </w:r>
            <w:r>
              <w:rPr>
                <w:rFonts w:ascii="Times New Roman" w:hAnsi="Times New Roman"/>
                <w:color w:val="000000"/>
                <w:sz w:val="20"/>
                <w:szCs w:val="20"/>
              </w:rPr>
              <w:t>74</w:t>
            </w:r>
          </w:p>
        </w:tc>
        <w:tc>
          <w:tcPr>
            <w:tcW w:w="108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5/60</w:t>
            </w:r>
          </w:p>
        </w:tc>
        <w:tc>
          <w:tcPr>
            <w:tcW w:w="117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31</w:t>
            </w:r>
            <w:r w:rsidR="00871A04">
              <w:rPr>
                <w:rFonts w:ascii="Times New Roman" w:hAnsi="Times New Roman"/>
                <w:color w:val="000000"/>
                <w:sz w:val="20"/>
                <w:szCs w:val="20"/>
              </w:rPr>
              <w:t>.17</w:t>
            </w:r>
          </w:p>
        </w:tc>
        <w:tc>
          <w:tcPr>
            <w:tcW w:w="90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823492">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823492" w:rsidR="00F602FC" w:rsidP="00F602FC" w:rsidRDefault="00F602FC">
            <w:pPr>
              <w:widowControl/>
              <w:autoSpaceDE/>
              <w:autoSpaceDN/>
              <w:adjustRightInd/>
              <w:jc w:val="right"/>
              <w:rPr>
                <w:rFonts w:ascii="Times New Roman" w:hAnsi="Times New Roman"/>
                <w:color w:val="000000"/>
                <w:sz w:val="20"/>
                <w:szCs w:val="20"/>
              </w:rPr>
            </w:pPr>
            <w:r w:rsidRPr="00F602FC">
              <w:rPr>
                <w:rFonts w:ascii="Times New Roman" w:hAnsi="Times New Roman"/>
                <w:color w:val="000000"/>
                <w:sz w:val="20"/>
                <w:szCs w:val="20"/>
              </w:rPr>
              <w:t>$2,1</w:t>
            </w:r>
            <w:r w:rsidR="00871A04">
              <w:rPr>
                <w:rFonts w:ascii="Times New Roman" w:hAnsi="Times New Roman"/>
                <w:color w:val="000000"/>
                <w:sz w:val="20"/>
                <w:szCs w:val="20"/>
              </w:rPr>
              <w:t>48.94</w:t>
            </w:r>
          </w:p>
        </w:tc>
      </w:tr>
      <w:tr w:rsidRPr="00823492" w:rsidR="00F602FC" w:rsidTr="00F123A8">
        <w:trPr>
          <w:cantSplit/>
          <w:trHeight w:val="780"/>
        </w:trPr>
        <w:tc>
          <w:tcPr>
            <w:tcW w:w="4950" w:type="dxa"/>
            <w:shd w:val="clear" w:color="auto" w:fill="auto"/>
            <w:hideMark/>
          </w:tcPr>
          <w:p w:rsidRPr="000E57D3" w:rsidR="00F602FC" w:rsidP="00F602FC" w:rsidRDefault="00F602F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M. </w:t>
            </w:r>
            <w:r w:rsidRPr="004D10CD">
              <w:rPr>
                <w:rFonts w:ascii="Times New Roman" w:hAnsi="Times New Roman"/>
                <w:color w:val="000000"/>
                <w:sz w:val="20"/>
                <w:szCs w:val="20"/>
              </w:rPr>
              <w:t xml:space="preserve">Fall Protection Procedure Coordination </w:t>
            </w:r>
            <w:r w:rsidRPr="00823492">
              <w:rPr>
                <w:rFonts w:ascii="Times New Roman" w:hAnsi="Times New Roman"/>
                <w:color w:val="000000"/>
                <w:sz w:val="20"/>
                <w:szCs w:val="20"/>
              </w:rPr>
              <w:t>1926.760(e) and 1926.760 (e)(1)</w:t>
            </w:r>
            <w:r w:rsidRPr="00823492">
              <w:rPr>
                <w:rStyle w:val="FootnoteReference"/>
                <w:rFonts w:ascii="Times New Roman" w:hAnsi="Times New Roman"/>
                <w:sz w:val="20"/>
                <w:szCs w:val="20"/>
                <w:vertAlign w:val="superscript"/>
              </w:rPr>
              <w:footnoteReference w:id="9"/>
            </w:r>
            <w:r>
              <w:rPr>
                <w:rFonts w:ascii="Times New Roman" w:hAnsi="Times New Roman"/>
                <w:color w:val="000000"/>
                <w:sz w:val="20"/>
                <w:szCs w:val="20"/>
              </w:rPr>
              <w:t xml:space="preserve"> </w:t>
            </w:r>
            <w:r w:rsidRPr="000E57D3">
              <w:rPr>
                <w:rFonts w:ascii="Times New Roman" w:hAnsi="Times New Roman"/>
                <w:color w:val="000000"/>
                <w:sz w:val="20"/>
                <w:szCs w:val="20"/>
              </w:rPr>
              <w:t>– Controlling contractor directs steel erector to leave its fall protection at the jobsite</w:t>
            </w:r>
          </w:p>
        </w:tc>
        <w:tc>
          <w:tcPr>
            <w:tcW w:w="135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17,545</w:t>
            </w:r>
          </w:p>
        </w:tc>
        <w:tc>
          <w:tcPr>
            <w:tcW w:w="144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1</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17,545</w:t>
            </w:r>
          </w:p>
        </w:tc>
        <w:tc>
          <w:tcPr>
            <w:tcW w:w="108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1/60</w:t>
            </w:r>
          </w:p>
        </w:tc>
        <w:tc>
          <w:tcPr>
            <w:tcW w:w="117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292</w:t>
            </w:r>
            <w:r w:rsidR="00871A04">
              <w:rPr>
                <w:rFonts w:ascii="Times New Roman" w:hAnsi="Times New Roman"/>
                <w:color w:val="000000"/>
                <w:sz w:val="20"/>
                <w:szCs w:val="20"/>
              </w:rPr>
              <w:t>.42</w:t>
            </w:r>
          </w:p>
        </w:tc>
        <w:tc>
          <w:tcPr>
            <w:tcW w:w="90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0E57D3">
              <w:rPr>
                <w:rFonts w:ascii="Times New Roman" w:hAnsi="Times New Roman"/>
                <w:color w:val="000000"/>
                <w:sz w:val="20"/>
                <w:szCs w:val="20"/>
              </w:rPr>
              <w:t>$</w:t>
            </w:r>
            <w:r>
              <w:rPr>
                <w:rFonts w:ascii="Times New Roman" w:hAnsi="Times New Roman"/>
                <w:color w:val="000000"/>
                <w:sz w:val="20"/>
                <w:szCs w:val="20"/>
              </w:rPr>
              <w:t>68.95</w:t>
            </w:r>
          </w:p>
        </w:tc>
        <w:tc>
          <w:tcPr>
            <w:tcW w:w="1620" w:type="dxa"/>
            <w:shd w:val="clear" w:color="auto" w:fill="auto"/>
            <w:vAlign w:val="bottom"/>
            <w:hideMark/>
          </w:tcPr>
          <w:p w:rsidRPr="000E57D3" w:rsidR="00F602FC" w:rsidP="00F602FC" w:rsidRDefault="00F602FC">
            <w:pPr>
              <w:widowControl/>
              <w:autoSpaceDE/>
              <w:autoSpaceDN/>
              <w:adjustRightInd/>
              <w:jc w:val="right"/>
              <w:rPr>
                <w:rFonts w:ascii="Times New Roman" w:hAnsi="Times New Roman"/>
                <w:color w:val="000000"/>
                <w:sz w:val="20"/>
                <w:szCs w:val="20"/>
              </w:rPr>
            </w:pPr>
            <w:r w:rsidRPr="002E7CDD">
              <w:rPr>
                <w:rFonts w:ascii="Times New Roman" w:hAnsi="Times New Roman"/>
                <w:color w:val="000000"/>
                <w:sz w:val="20"/>
                <w:szCs w:val="20"/>
              </w:rPr>
              <w:t>$20,1</w:t>
            </w:r>
            <w:r w:rsidR="00871A04">
              <w:rPr>
                <w:rFonts w:ascii="Times New Roman" w:hAnsi="Times New Roman"/>
                <w:color w:val="000000"/>
                <w:sz w:val="20"/>
                <w:szCs w:val="20"/>
              </w:rPr>
              <w:t>62.13</w:t>
            </w:r>
          </w:p>
        </w:tc>
      </w:tr>
      <w:tr w:rsidRPr="00823492" w:rsidR="00F602FC" w:rsidTr="00F123A8">
        <w:trPr>
          <w:cantSplit/>
          <w:trHeight w:val="300"/>
        </w:trPr>
        <w:tc>
          <w:tcPr>
            <w:tcW w:w="4950" w:type="dxa"/>
            <w:shd w:val="clear" w:color="auto" w:fill="auto"/>
            <w:vAlign w:val="bottom"/>
            <w:hideMark/>
          </w:tcPr>
          <w:p w:rsidRPr="00823492" w:rsidR="00F602FC" w:rsidP="00F602FC" w:rsidRDefault="00F602FC">
            <w:pPr>
              <w:widowControl/>
              <w:autoSpaceDE/>
              <w:autoSpaceDN/>
              <w:adjustRightInd/>
              <w:rPr>
                <w:rFonts w:ascii="Times New Roman" w:hAnsi="Times New Roman"/>
                <w:b/>
                <w:bCs/>
                <w:color w:val="000000"/>
                <w:sz w:val="20"/>
                <w:szCs w:val="20"/>
              </w:rPr>
            </w:pPr>
            <w:r w:rsidRPr="00823492">
              <w:rPr>
                <w:rFonts w:ascii="Times New Roman" w:hAnsi="Times New Roman"/>
                <w:b/>
                <w:bCs/>
                <w:color w:val="000000"/>
                <w:sz w:val="20"/>
                <w:szCs w:val="20"/>
              </w:rPr>
              <w:t>Total</w:t>
            </w:r>
          </w:p>
        </w:tc>
        <w:tc>
          <w:tcPr>
            <w:tcW w:w="1350" w:type="dxa"/>
            <w:shd w:val="clear" w:color="auto" w:fill="auto"/>
            <w:vAlign w:val="bottom"/>
          </w:tcPr>
          <w:p w:rsidRPr="000E57D3" w:rsidR="00F602FC" w:rsidP="002C187F" w:rsidRDefault="002C187F">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18,</w:t>
            </w:r>
            <w:r w:rsidRPr="002C187F">
              <w:rPr>
                <w:rFonts w:ascii="Times New Roman" w:hAnsi="Times New Roman"/>
                <w:b/>
                <w:bCs/>
                <w:color w:val="000000"/>
                <w:sz w:val="20"/>
                <w:szCs w:val="20"/>
              </w:rPr>
              <w:t>468</w:t>
            </w:r>
            <w:r>
              <w:rPr>
                <w:rFonts w:ascii="Times New Roman" w:hAnsi="Times New Roman"/>
                <w:b/>
                <w:bCs/>
                <w:color w:val="000000"/>
                <w:sz w:val="20"/>
                <w:szCs w:val="20"/>
              </w:rPr>
              <w:t xml:space="preserve"> </w:t>
            </w:r>
            <w:r w:rsidRPr="002E7CDD">
              <w:rPr>
                <w:rFonts w:ascii="Times New Roman" w:hAnsi="Times New Roman"/>
                <w:b/>
                <w:bCs/>
                <w:color w:val="000000"/>
                <w:sz w:val="18"/>
                <w:szCs w:val="18"/>
              </w:rPr>
              <w:t>(unduplicated)</w:t>
            </w:r>
            <w:r>
              <w:rPr>
                <w:rFonts w:ascii="Times New Roman" w:hAnsi="Times New Roman"/>
                <w:b/>
                <w:bCs/>
                <w:color w:val="000000"/>
                <w:sz w:val="20"/>
                <w:szCs w:val="20"/>
              </w:rPr>
              <w:t xml:space="preserve"> </w:t>
            </w:r>
          </w:p>
        </w:tc>
        <w:tc>
          <w:tcPr>
            <w:tcW w:w="1440" w:type="dxa"/>
            <w:shd w:val="clear" w:color="auto" w:fill="auto"/>
            <w:vAlign w:val="bottom"/>
          </w:tcPr>
          <w:p w:rsidRPr="000E57D3" w:rsidR="00F602FC" w:rsidP="00F602FC" w:rsidRDefault="00F602FC">
            <w:pPr>
              <w:widowControl/>
              <w:autoSpaceDE/>
              <w:autoSpaceDN/>
              <w:adjustRightInd/>
              <w:rPr>
                <w:rFonts w:ascii="Times New Roman" w:hAnsi="Times New Roman"/>
                <w:b/>
                <w:bCs/>
                <w:color w:val="000000"/>
                <w:sz w:val="20"/>
                <w:szCs w:val="20"/>
              </w:rPr>
            </w:pPr>
          </w:p>
        </w:tc>
        <w:tc>
          <w:tcPr>
            <w:tcW w:w="1170" w:type="dxa"/>
            <w:shd w:val="clear" w:color="auto" w:fill="auto"/>
            <w:vAlign w:val="bottom"/>
          </w:tcPr>
          <w:p w:rsidRPr="000E57D3" w:rsidR="00F602FC" w:rsidP="00F602FC" w:rsidRDefault="00F602FC">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101,624</w:t>
            </w:r>
          </w:p>
        </w:tc>
        <w:tc>
          <w:tcPr>
            <w:tcW w:w="1080" w:type="dxa"/>
            <w:shd w:val="clear" w:color="auto" w:fill="auto"/>
            <w:vAlign w:val="bottom"/>
          </w:tcPr>
          <w:p w:rsidRPr="000E57D3" w:rsidR="00F602FC" w:rsidP="00F602FC" w:rsidRDefault="00F602FC">
            <w:pPr>
              <w:widowControl/>
              <w:autoSpaceDE/>
              <w:autoSpaceDN/>
              <w:adjustRightInd/>
              <w:rPr>
                <w:rFonts w:ascii="Times New Roman" w:hAnsi="Times New Roman"/>
                <w:b/>
                <w:bCs/>
                <w:color w:val="000000"/>
                <w:sz w:val="20"/>
                <w:szCs w:val="20"/>
              </w:rPr>
            </w:pPr>
          </w:p>
        </w:tc>
        <w:tc>
          <w:tcPr>
            <w:tcW w:w="1170" w:type="dxa"/>
            <w:shd w:val="clear" w:color="auto" w:fill="auto"/>
            <w:vAlign w:val="bottom"/>
          </w:tcPr>
          <w:p w:rsidRPr="00F602FC" w:rsidR="00F602FC" w:rsidP="00F53288" w:rsidRDefault="00F602FC">
            <w:pPr>
              <w:widowControl/>
              <w:autoSpaceDE/>
              <w:autoSpaceDN/>
              <w:adjustRightInd/>
              <w:jc w:val="right"/>
              <w:rPr>
                <w:rFonts w:ascii="Times New Roman" w:hAnsi="Times New Roman"/>
                <w:b/>
                <w:color w:val="000000"/>
                <w:sz w:val="20"/>
                <w:szCs w:val="20"/>
              </w:rPr>
            </w:pPr>
            <w:r w:rsidRPr="00F602FC">
              <w:rPr>
                <w:rFonts w:ascii="Times New Roman" w:hAnsi="Times New Roman"/>
                <w:b/>
                <w:color w:val="000000"/>
                <w:sz w:val="20"/>
                <w:szCs w:val="20"/>
              </w:rPr>
              <w:t>34,15</w:t>
            </w:r>
            <w:r w:rsidR="00871A04">
              <w:rPr>
                <w:rFonts w:ascii="Times New Roman" w:hAnsi="Times New Roman"/>
                <w:b/>
                <w:color w:val="000000"/>
                <w:sz w:val="20"/>
                <w:szCs w:val="20"/>
              </w:rPr>
              <w:t>7</w:t>
            </w:r>
          </w:p>
        </w:tc>
        <w:tc>
          <w:tcPr>
            <w:tcW w:w="900" w:type="dxa"/>
            <w:shd w:val="clear" w:color="auto" w:fill="auto"/>
            <w:vAlign w:val="bottom"/>
          </w:tcPr>
          <w:p w:rsidRPr="00F602FC" w:rsidR="00F602FC" w:rsidP="002E7CDD" w:rsidRDefault="00F602FC">
            <w:pPr>
              <w:widowControl/>
              <w:autoSpaceDE/>
              <w:autoSpaceDN/>
              <w:adjustRightInd/>
              <w:jc w:val="right"/>
              <w:rPr>
                <w:rFonts w:ascii="Times New Roman" w:hAnsi="Times New Roman"/>
                <w:b/>
                <w:bCs/>
                <w:color w:val="000000"/>
                <w:sz w:val="20"/>
                <w:szCs w:val="20"/>
              </w:rPr>
            </w:pPr>
          </w:p>
        </w:tc>
        <w:tc>
          <w:tcPr>
            <w:tcW w:w="1620" w:type="dxa"/>
            <w:shd w:val="clear" w:color="auto" w:fill="auto"/>
            <w:vAlign w:val="bottom"/>
          </w:tcPr>
          <w:p w:rsidRPr="00F602FC" w:rsidR="00F602FC" w:rsidP="00F602FC" w:rsidRDefault="00F602FC">
            <w:pPr>
              <w:widowControl/>
              <w:autoSpaceDE/>
              <w:autoSpaceDN/>
              <w:adjustRightInd/>
              <w:jc w:val="right"/>
              <w:rPr>
                <w:rFonts w:ascii="Times New Roman" w:hAnsi="Times New Roman"/>
                <w:b/>
                <w:bCs/>
                <w:color w:val="000000"/>
                <w:sz w:val="20"/>
                <w:szCs w:val="20"/>
              </w:rPr>
            </w:pPr>
            <w:r w:rsidRPr="00F602FC">
              <w:rPr>
                <w:rFonts w:ascii="Times New Roman" w:hAnsi="Times New Roman"/>
                <w:b/>
                <w:bCs/>
                <w:color w:val="000000"/>
                <w:sz w:val="20"/>
                <w:szCs w:val="20"/>
              </w:rPr>
              <w:t>$1,995,</w:t>
            </w:r>
            <w:r w:rsidR="00871A04">
              <w:rPr>
                <w:rFonts w:ascii="Times New Roman" w:hAnsi="Times New Roman"/>
                <w:b/>
                <w:bCs/>
                <w:color w:val="000000"/>
                <w:sz w:val="20"/>
                <w:szCs w:val="20"/>
              </w:rPr>
              <w:t>13</w:t>
            </w:r>
            <w:r w:rsidR="00643F96">
              <w:rPr>
                <w:rFonts w:ascii="Times New Roman" w:hAnsi="Times New Roman"/>
                <w:b/>
                <w:bCs/>
                <w:color w:val="000000"/>
                <w:sz w:val="20"/>
                <w:szCs w:val="20"/>
              </w:rPr>
              <w:t>4</w:t>
            </w:r>
            <w:r w:rsidR="00871A04">
              <w:rPr>
                <w:rFonts w:ascii="Times New Roman" w:hAnsi="Times New Roman"/>
                <w:b/>
                <w:bCs/>
                <w:color w:val="000000"/>
                <w:sz w:val="20"/>
                <w:szCs w:val="20"/>
              </w:rPr>
              <w:t>.</w:t>
            </w:r>
            <w:r w:rsidR="00643F96">
              <w:rPr>
                <w:rFonts w:ascii="Times New Roman" w:hAnsi="Times New Roman"/>
                <w:b/>
                <w:bCs/>
                <w:color w:val="000000"/>
                <w:sz w:val="20"/>
                <w:szCs w:val="20"/>
              </w:rPr>
              <w:t>67</w:t>
            </w:r>
          </w:p>
        </w:tc>
      </w:tr>
    </w:tbl>
    <w:p w:rsidR="00001C1F" w:rsidRDefault="00001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sectPr w:rsidR="00001C1F" w:rsidSect="00297CE5">
          <w:type w:val="continuous"/>
          <w:pgSz w:w="15840" w:h="12240" w:orient="landscape"/>
          <w:pgMar w:top="1440" w:right="1008" w:bottom="1440" w:left="1440" w:header="1440" w:footer="1440" w:gutter="0"/>
          <w:cols w:space="720"/>
          <w:noEndnote/>
          <w:docGrid w:linePitch="326"/>
        </w:sectPr>
      </w:pP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010B1F" w:rsidR="00010B1F" w:rsidP="00010B1F" w:rsidRDefault="00010B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10B1F">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Pr="00010B1F" w:rsidR="00010B1F" w:rsidP="00010B1F" w:rsidRDefault="00010B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010B1F" w:rsidR="00010B1F" w:rsidP="00010B1F" w:rsidRDefault="00010B1F">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10B1F">
        <w:rPr>
          <w:rFonts w:ascii="Times New Roman" w:hAnsi="Times New Roman"/>
          <w:b/>
        </w:rPr>
        <w:t>The cost estimate should be split into two components:  (a) a total capital</w:t>
      </w:r>
    </w:p>
    <w:p w:rsidRPr="00010B1F" w:rsidR="00010B1F" w:rsidP="00010B1F" w:rsidRDefault="00010B1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10B1F">
        <w:rPr>
          <w:rFonts w:ascii="Times New Roman" w:hAnsi="Times New Roman"/>
          <w:b/>
        </w:rPr>
        <w:t>and start up cost component (annualized over its expected useful life); and (b) a</w:t>
      </w:r>
    </w:p>
    <w:p w:rsidRPr="00010B1F" w:rsidR="00010B1F" w:rsidP="00010B1F" w:rsidRDefault="00010B1F">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10B1F">
        <w:rPr>
          <w:rFonts w:ascii="Times New Roman" w:hAnsi="Times New Roman"/>
          <w:b/>
        </w:rPr>
        <w:t xml:space="preserve">total operation and maintenance and purchase of service component.  </w:t>
      </w:r>
    </w:p>
    <w:p w:rsidRPr="00010B1F" w:rsidR="00010B1F" w:rsidP="00010B1F" w:rsidRDefault="00010B1F">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10B1F">
        <w:rPr>
          <w:rFonts w:ascii="Times New Roman" w:hAnsi="Times New Roman"/>
          <w:b/>
        </w:rPr>
        <w:tab/>
      </w:r>
      <w:r w:rsidRPr="00010B1F">
        <w:rPr>
          <w:rFonts w:ascii="Times New Roman" w:hAnsi="Times New Roman"/>
          <w:b/>
        </w:rPr>
        <w:tab/>
        <w:t xml:space="preserve">The estimates should take into account costs associated with generating, </w:t>
      </w:r>
    </w:p>
    <w:p w:rsidRPr="00010B1F" w:rsidR="00010B1F" w:rsidP="00010B1F" w:rsidRDefault="00010B1F">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10B1F">
        <w:rPr>
          <w:rFonts w:ascii="Times New Roman" w:hAnsi="Times New Roman"/>
          <w:b/>
        </w:rPr>
        <w:tab/>
      </w:r>
      <w:r w:rsidRPr="00010B1F">
        <w:rPr>
          <w:rFonts w:ascii="Times New Roman" w:hAnsi="Times New Roman"/>
          <w:b/>
        </w:rPr>
        <w:tab/>
        <w:t xml:space="preserve">maintaining, and disclosing or providing the information.  Include descriptions of </w:t>
      </w:r>
    </w:p>
    <w:p w:rsidRPr="00010B1F" w:rsidR="00010B1F" w:rsidP="00010B1F" w:rsidRDefault="00010B1F">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10B1F">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10B1F" w:rsidR="00010B1F" w:rsidP="00010B1F" w:rsidRDefault="00010B1F">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010B1F" w:rsidR="00010B1F" w:rsidP="00010B1F" w:rsidRDefault="00010B1F">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10B1F">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10B1F" w:rsidR="00010B1F" w:rsidP="00010B1F" w:rsidRDefault="00010B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10B1F" w:rsidR="00010B1F" w:rsidP="00010B1F" w:rsidRDefault="00010B1F">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10B1F">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0B1F" w:rsidRDefault="00010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80B" w:rsidRDefault="00CD2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CD280B">
        <w:rPr>
          <w:rFonts w:ascii="Times New Roman" w:hAnsi="Times New Roman"/>
        </w:rPr>
        <w:t>here are no additional costs to the respondents other than their time.</w:t>
      </w:r>
    </w:p>
    <w:p w:rsidRPr="009F6978" w:rsidR="001635BD" w:rsidRDefault="0016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57C75" w:rsidR="00957C75" w:rsidP="00957C75" w:rsidRDefault="00957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7C7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57C75">
        <w:rPr>
          <w:rFonts w:ascii="Times New Roman" w:hAnsi="Times New Roman"/>
        </w:rPr>
        <w:t xml:space="preserve"> </w:t>
      </w:r>
      <w:r w:rsidRPr="00957C75">
        <w:rPr>
          <w:rFonts w:ascii="Times New Roman" w:hAnsi="Times New Roman"/>
          <w:b/>
          <w:bCs/>
        </w:rPr>
        <w:t>without this collection of information.  Agencies also may aggregate cost estimates from Items 12, 13, and 14 into a single table.</w:t>
      </w:r>
    </w:p>
    <w:p w:rsidR="00957C75" w:rsidP="00CD280B" w:rsidRDefault="00957C75">
      <w:pPr>
        <w:rPr>
          <w:rFonts w:ascii="Times New Roman" w:hAnsi="Times New Roman"/>
        </w:rPr>
      </w:pPr>
    </w:p>
    <w:p w:rsidR="00CD280B" w:rsidP="00CD280B" w:rsidRDefault="00CD280B">
      <w:pPr>
        <w:rPr>
          <w:rFonts w:ascii="Times New Roman" w:hAnsi="Times New Roman"/>
        </w:rPr>
      </w:pPr>
      <w:r>
        <w:rPr>
          <w:rFonts w:ascii="Times New Roman" w:hAnsi="Times New Roman"/>
        </w:rPr>
        <w:lastRenderedPageBreak/>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p>
    <w:p w:rsidRPr="00957C75" w:rsidR="00957C75" w:rsidP="00957C75" w:rsidRDefault="00957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957C75">
        <w:rPr>
          <w:rFonts w:ascii="Times New Roman" w:hAnsi="Times New Roman"/>
          <w:b/>
          <w:bCs/>
        </w:rPr>
        <w:t>15.</w:t>
      </w:r>
      <w:r w:rsidRPr="00957C75">
        <w:rPr>
          <w:rFonts w:ascii="Times New Roman" w:hAnsi="Times New Roman"/>
          <w:b/>
          <w:bCs/>
        </w:rPr>
        <w:tab/>
        <w:t>Explain the reasons for any program changes or adjustments.</w:t>
      </w:r>
    </w:p>
    <w:p w:rsidRPr="009F697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bookmarkStart w:name="OLE_LINK3" w:id="3"/>
      <w:bookmarkStart w:name="OLE_LINK4" w:id="4"/>
      <w:r>
        <w:rPr>
          <w:rFonts w:ascii="Times New Roman" w:hAnsi="Times New Roman"/>
        </w:rPr>
        <w:t xml:space="preserve">The Agency is requesting an adjustment </w:t>
      </w:r>
      <w:r w:rsidR="00D110CE">
        <w:rPr>
          <w:rFonts w:ascii="Times New Roman" w:hAnsi="Times New Roman"/>
        </w:rPr>
        <w:t>increase</w:t>
      </w:r>
      <w:r>
        <w:rPr>
          <w:rFonts w:ascii="Times New Roman" w:hAnsi="Times New Roman"/>
        </w:rPr>
        <w:t xml:space="preserve"> of </w:t>
      </w:r>
      <w:r w:rsidR="002432E4">
        <w:rPr>
          <w:rFonts w:ascii="Times New Roman" w:hAnsi="Times New Roman"/>
        </w:rPr>
        <w:t>3,33</w:t>
      </w:r>
      <w:r w:rsidR="007E03F9">
        <w:rPr>
          <w:rFonts w:ascii="Times New Roman" w:hAnsi="Times New Roman"/>
        </w:rPr>
        <w:t>8.24</w:t>
      </w:r>
      <w:r w:rsidR="00F602FC">
        <w:rPr>
          <w:rFonts w:ascii="Times New Roman" w:hAnsi="Times New Roman"/>
        </w:rPr>
        <w:t xml:space="preserve"> </w:t>
      </w:r>
      <w:r>
        <w:rPr>
          <w:rFonts w:ascii="Times New Roman" w:hAnsi="Times New Roman"/>
        </w:rPr>
        <w:t xml:space="preserve">burden hours (from </w:t>
      </w:r>
      <w:r w:rsidR="002432E4">
        <w:rPr>
          <w:rFonts w:ascii="Times New Roman" w:hAnsi="Times New Roman"/>
        </w:rPr>
        <w:t xml:space="preserve">30,819 </w:t>
      </w:r>
      <w:r>
        <w:rPr>
          <w:rFonts w:ascii="Times New Roman" w:hAnsi="Times New Roman"/>
        </w:rPr>
        <w:t>hours</w:t>
      </w:r>
      <w:r w:rsidR="00D110CE">
        <w:rPr>
          <w:rFonts w:ascii="Times New Roman" w:hAnsi="Times New Roman"/>
        </w:rPr>
        <w:t xml:space="preserve"> to</w:t>
      </w:r>
      <w:r w:rsidR="00E61849">
        <w:rPr>
          <w:rFonts w:ascii="Times New Roman" w:hAnsi="Times New Roman"/>
        </w:rPr>
        <w:t xml:space="preserve"> </w:t>
      </w:r>
      <w:r w:rsidR="002432E4">
        <w:rPr>
          <w:rFonts w:ascii="Times New Roman" w:hAnsi="Times New Roman"/>
        </w:rPr>
        <w:t>34,15</w:t>
      </w:r>
      <w:r w:rsidR="007E03F9">
        <w:rPr>
          <w:rFonts w:ascii="Times New Roman" w:hAnsi="Times New Roman"/>
        </w:rPr>
        <w:t>7.24</w:t>
      </w:r>
      <w:r>
        <w:rPr>
          <w:rFonts w:ascii="Times New Roman" w:hAnsi="Times New Roman"/>
        </w:rPr>
        <w:t xml:space="preserve">).  This </w:t>
      </w:r>
      <w:r w:rsidR="00D110CE">
        <w:rPr>
          <w:rFonts w:ascii="Times New Roman" w:hAnsi="Times New Roman"/>
        </w:rPr>
        <w:t>increase</w:t>
      </w:r>
      <w:r>
        <w:rPr>
          <w:rFonts w:ascii="Times New Roman" w:hAnsi="Times New Roman"/>
        </w:rPr>
        <w:t xml:space="preserve"> is due</w:t>
      </w:r>
      <w:r w:rsidR="00103730">
        <w:rPr>
          <w:rFonts w:ascii="Times New Roman" w:hAnsi="Times New Roman"/>
        </w:rPr>
        <w:t xml:space="preserve"> </w:t>
      </w:r>
      <w:r>
        <w:rPr>
          <w:rFonts w:ascii="Times New Roman" w:hAnsi="Times New Roman"/>
        </w:rPr>
        <w:t xml:space="preserve">to </w:t>
      </w:r>
      <w:r w:rsidR="00D110CE">
        <w:rPr>
          <w:rFonts w:ascii="Times New Roman" w:hAnsi="Times New Roman"/>
        </w:rPr>
        <w:t xml:space="preserve">an increase </w:t>
      </w:r>
      <w:r>
        <w:rPr>
          <w:rFonts w:ascii="Times New Roman" w:hAnsi="Times New Roman"/>
        </w:rPr>
        <w:t xml:space="preserve">in </w:t>
      </w:r>
      <w:r w:rsidR="00D110CE">
        <w:rPr>
          <w:rFonts w:ascii="Times New Roman" w:hAnsi="Times New Roman"/>
        </w:rPr>
        <w:t xml:space="preserve">estimated </w:t>
      </w:r>
      <w:r>
        <w:rPr>
          <w:rFonts w:ascii="Times New Roman" w:hAnsi="Times New Roman"/>
        </w:rPr>
        <w:t>worksites associated with th</w:t>
      </w:r>
      <w:r w:rsidR="00ED29F7">
        <w:rPr>
          <w:rFonts w:ascii="Times New Roman" w:hAnsi="Times New Roman"/>
        </w:rPr>
        <w:t>is Subpart from</w:t>
      </w:r>
      <w:r w:rsidR="00592CB8">
        <w:rPr>
          <w:rFonts w:ascii="Times New Roman" w:hAnsi="Times New Roman"/>
        </w:rPr>
        <w:t xml:space="preserve"> </w:t>
      </w:r>
      <w:r w:rsidR="00D110CE">
        <w:rPr>
          <w:rFonts w:ascii="Times New Roman" w:hAnsi="Times New Roman"/>
          <w:szCs w:val="20"/>
        </w:rPr>
        <w:t>16,748</w:t>
      </w:r>
      <w:r w:rsidR="00592CB8">
        <w:rPr>
          <w:rFonts w:ascii="Times New Roman" w:hAnsi="Times New Roman"/>
          <w:szCs w:val="20"/>
        </w:rPr>
        <w:t xml:space="preserve"> to 18,468</w:t>
      </w:r>
      <w:r w:rsidR="00564DF1">
        <w:rPr>
          <w:rFonts w:ascii="Times New Roman" w:hAnsi="Times New Roman"/>
          <w:szCs w:val="20"/>
        </w:rPr>
        <w:t>, a total adjustment of 1,7</w:t>
      </w:r>
      <w:r w:rsidR="00747530">
        <w:rPr>
          <w:rFonts w:ascii="Times New Roman" w:hAnsi="Times New Roman"/>
          <w:szCs w:val="20"/>
        </w:rPr>
        <w:t>20</w:t>
      </w:r>
      <w:r w:rsidR="00564DF1">
        <w:rPr>
          <w:rFonts w:ascii="Times New Roman" w:hAnsi="Times New Roman"/>
          <w:szCs w:val="20"/>
        </w:rPr>
        <w:t xml:space="preserve"> more establishments,</w:t>
      </w:r>
      <w:r w:rsidR="002432E4">
        <w:rPr>
          <w:rFonts w:ascii="Times New Roman" w:hAnsi="Times New Roman"/>
          <w:szCs w:val="20"/>
        </w:rPr>
        <w:t xml:space="preserve"> based on updated data</w:t>
      </w:r>
      <w:r>
        <w:rPr>
          <w:rFonts w:ascii="Times New Roman" w:hAnsi="Times New Roman"/>
        </w:rPr>
        <w:t>.</w:t>
      </w:r>
      <w:bookmarkEnd w:id="3"/>
      <w:bookmarkEnd w:id="4"/>
      <w:r>
        <w:rPr>
          <w:rFonts w:ascii="Times New Roman" w:hAnsi="Times New Roman"/>
        </w:rPr>
        <w:t xml:space="preserve">  </w:t>
      </w:r>
    </w:p>
    <w:p w:rsidR="00592CB8" w:rsidP="009B13DA" w:rsidRDefault="00592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957C75" w:rsidR="00957C75" w:rsidP="00957C75" w:rsidRDefault="00957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7C75">
        <w:rPr>
          <w:rFonts w:ascii="Times New Roman" w:hAnsi="Times New Roman"/>
          <w:b/>
          <w:bCs/>
        </w:rPr>
        <w:t>16. For collections of information whose results will be published, outline plans for tabulations, and publication.  Address any complex analytical</w:t>
      </w:r>
      <w:r>
        <w:rPr>
          <w:rFonts w:ascii="Times New Roman" w:hAnsi="Times New Roman"/>
          <w:b/>
          <w:bCs/>
        </w:rPr>
        <w:t xml:space="preserve"> techniques that will be used. </w:t>
      </w:r>
      <w:r w:rsidRPr="00957C75">
        <w:rPr>
          <w:rFonts w:ascii="Times New Roman" w:hAnsi="Times New Roman"/>
          <w:b/>
          <w:bCs/>
        </w:rPr>
        <w:t>Provide the time schedule for the entire project, including beginning and ending dates of the collection of information, completion of report, publication dates, and other actions</w:t>
      </w:r>
      <w:r w:rsidRPr="00957C75">
        <w:rPr>
          <w:rFonts w:ascii="Times New Roman" w:hAnsi="Times New Roman"/>
        </w:rPr>
        <w:t>.</w:t>
      </w:r>
    </w:p>
    <w:p w:rsidRPr="009F697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F697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9F6978">
        <w:rPr>
          <w:rFonts w:ascii="Times New Roman" w:hAnsi="Times New Roman"/>
        </w:rPr>
        <w:t>OSHA will not publish the information collected under the Subpart.</w:t>
      </w:r>
    </w:p>
    <w:p w:rsidRPr="009F697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57C75" w:rsidR="00957C75" w:rsidP="00957C75" w:rsidRDefault="00957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57C75">
        <w:rPr>
          <w:rFonts w:ascii="Times New Roman" w:hAnsi="Times New Roman"/>
          <w:b/>
          <w:bCs/>
        </w:rPr>
        <w:t>17.  If seeking approval to not display the expiration date for OMB approval of the information collection, explain the reasons that display would be inappropriate.</w:t>
      </w:r>
    </w:p>
    <w:p w:rsidR="00F610C4" w:rsidP="00F610C4" w:rsidRDefault="00F61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E2793" w:rsidR="00F610C4" w:rsidP="00F610C4" w:rsidRDefault="00F61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2793">
        <w:rPr>
          <w:rFonts w:ascii="Times New Roman" w:hAnsi="Times New Roman"/>
        </w:rPr>
        <w:t xml:space="preserve">OSHA lists current valid control numbers in §§1910.8, 1915.8, 1917.4, 1918.4, and 1926.5 and publishes the expiration date in the Federal register notice announcing OMB approval of the </w:t>
      </w:r>
      <w:r w:rsidR="00D110CE">
        <w:rPr>
          <w:rFonts w:ascii="Times New Roman" w:hAnsi="Times New Roman"/>
        </w:rPr>
        <w:t>c</w:t>
      </w:r>
      <w:r w:rsidR="00E70A8B">
        <w:rPr>
          <w:rFonts w:ascii="Times New Roman" w:hAnsi="Times New Roman"/>
        </w:rPr>
        <w:t>ollection</w:t>
      </w:r>
      <w:r w:rsidR="00D110CE">
        <w:rPr>
          <w:rFonts w:ascii="Times New Roman" w:hAnsi="Times New Roman"/>
        </w:rPr>
        <w:t>s</w:t>
      </w:r>
      <w:r w:rsidR="00E70A8B">
        <w:rPr>
          <w:rFonts w:ascii="Times New Roman" w:hAnsi="Times New Roman"/>
        </w:rPr>
        <w:t xml:space="preserve"> of information</w:t>
      </w:r>
      <w:r w:rsidRPr="000E2793">
        <w:rPr>
          <w:rFonts w:ascii="Times New Roman" w:hAnsi="Times New Roman"/>
        </w:rPr>
        <w:t>, (see 5 CFR 1320.3(f)(3)</w:t>
      </w:r>
      <w:r w:rsidR="00297CE5">
        <w:rPr>
          <w:rFonts w:ascii="Times New Roman" w:hAnsi="Times New Roman"/>
        </w:rPr>
        <w:t>)</w:t>
      </w:r>
      <w:r w:rsidRPr="000E2793">
        <w:rPr>
          <w:rFonts w:ascii="Times New Roman" w:hAnsi="Times New Roman"/>
        </w:rPr>
        <w:t>.  OSHA believes that this is the most appropriate and accurate mechanism to inform interested parties of these expiration dates.</w:t>
      </w:r>
    </w:p>
    <w:p w:rsidR="00F07C79" w:rsidP="009B13DA" w:rsidRDefault="00F07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F123A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F123A8">
        <w:rPr>
          <w:rFonts w:ascii="Times New Roman" w:hAnsi="Times New Roman"/>
          <w:b/>
        </w:rPr>
        <w:t>18.  Explain each exception to the certification statement.</w:t>
      </w:r>
    </w:p>
    <w:p w:rsidRPr="009F697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9F6978">
        <w:rPr>
          <w:rFonts w:ascii="Times New Roman" w:hAnsi="Times New Roman"/>
        </w:rPr>
        <w:t>OSHA is not requesting an exception to the certification statement</w:t>
      </w:r>
      <w:r>
        <w:rPr>
          <w:rFonts w:ascii="Times New Roman" w:hAnsi="Times New Roman"/>
        </w:rPr>
        <w:t>.</w:t>
      </w: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E79B8"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1E79B8">
        <w:rPr>
          <w:rFonts w:ascii="Times New Roman" w:hAnsi="Times New Roman"/>
          <w:b/>
        </w:rPr>
        <w:t>B. COLLECTIONS OF INFORMATION EMPLOYING STATISTICAL METHODS</w:t>
      </w:r>
      <w:r w:rsidR="00957C75">
        <w:rPr>
          <w:rFonts w:ascii="Times New Roman" w:hAnsi="Times New Roman"/>
          <w:b/>
        </w:rPr>
        <w:t>.</w:t>
      </w: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2156F"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Supporting Statement does not contain any collection</w:t>
      </w:r>
      <w:r w:rsidR="00DB6778">
        <w:rPr>
          <w:rFonts w:ascii="Times New Roman" w:hAnsi="Times New Roman"/>
        </w:rPr>
        <w:t>s</w:t>
      </w:r>
      <w:r>
        <w:rPr>
          <w:rFonts w:ascii="Times New Roman" w:hAnsi="Times New Roman"/>
        </w:rPr>
        <w:t xml:space="preserve"> of information that employ statistical methods.</w:t>
      </w:r>
    </w:p>
    <w:p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2156F" w:rsidR="009B13DA" w:rsidP="009B13DA" w:rsidRDefault="009B1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Pr="0032156F" w:rsidR="009B13DA" w:rsidSect="00C707C6">
      <w:type w:val="continuous"/>
      <w:pgSz w:w="12240" w:h="15840"/>
      <w:pgMar w:top="1008"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63" w:rsidRDefault="009F4063">
      <w:r>
        <w:separator/>
      </w:r>
    </w:p>
  </w:endnote>
  <w:endnote w:type="continuationSeparator" w:id="0">
    <w:p w:rsidR="009F4063" w:rsidRDefault="009F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21053AFF" w:usb1="0000008D" w:usb2="00000000" w:usb3="00000000" w:csb0="006609FF" w:csb1="00BD5CC0"/>
  </w:font>
  <w:font w:name="Courier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BF8" w:rsidRDefault="003E3BF8" w:rsidP="007D4E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BF8" w:rsidRDefault="003E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BF8" w:rsidRDefault="003E3BF8" w:rsidP="007F1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288">
      <w:rPr>
        <w:rStyle w:val="PageNumber"/>
        <w:noProof/>
      </w:rPr>
      <w:t>2</w:t>
    </w:r>
    <w:r>
      <w:rPr>
        <w:rStyle w:val="PageNumber"/>
      </w:rPr>
      <w:fldChar w:fldCharType="end"/>
    </w:r>
  </w:p>
  <w:p w:rsidR="003E3BF8" w:rsidRDefault="003E3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BF8" w:rsidRDefault="003E3BF8">
    <w:pPr>
      <w:spacing w:line="240" w:lineRule="exact"/>
    </w:pPr>
  </w:p>
  <w:p w:rsidR="003E3BF8" w:rsidRDefault="003E3BF8" w:rsidP="007D4E2A">
    <w:pPr>
      <w:framePr w:wrap="around" w:vAnchor="text" w:hAnchor="margin" w:xAlign="center" w:y="1"/>
      <w:jc w:val="center"/>
      <w:rPr>
        <w:rFonts w:ascii="Times New Roman" w:hAnsi="Times New Roman"/>
      </w:rPr>
    </w:pPr>
    <w:r>
      <w:rPr>
        <w:rFonts w:ascii="Times New Roman" w:hAnsi="Times New Roman"/>
      </w:rPr>
      <w:sym w:font="Symbol" w:char="F02D"/>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53288">
      <w:rPr>
        <w:rFonts w:ascii="Times New Roman" w:hAnsi="Times New Roman"/>
        <w:noProof/>
      </w:rPr>
      <w:t>3</w:t>
    </w:r>
    <w:r>
      <w:rPr>
        <w:rFonts w:ascii="Times New Roman" w:hAnsi="Times New Roman"/>
      </w:rPr>
      <w:fldChar w:fldCharType="end"/>
    </w:r>
    <w:r>
      <w:rPr>
        <w:rFonts w:ascii="Times New Roman" w:hAnsi="Times New Roman"/>
      </w:rPr>
      <w:sym w:font="Symbol" w:char="F02D"/>
    </w:r>
  </w:p>
  <w:p w:rsidR="003E3BF8" w:rsidRDefault="003E3B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63" w:rsidRDefault="009F4063">
      <w:r>
        <w:separator/>
      </w:r>
    </w:p>
  </w:footnote>
  <w:footnote w:type="continuationSeparator" w:id="0">
    <w:p w:rsidR="009F4063" w:rsidRDefault="009F4063">
      <w:r>
        <w:continuationSeparator/>
      </w:r>
    </w:p>
  </w:footnote>
  <w:footnote w:id="1">
    <w:p w:rsidR="003E3BF8" w:rsidRDefault="003E3BF8">
      <w:pPr>
        <w:spacing w:after="240"/>
        <w:rPr>
          <w:rFonts w:cs="Courier"/>
        </w:rPr>
      </w:pPr>
      <w:r>
        <w:rPr>
          <w:rFonts w:cs="Courier"/>
          <w:sz w:val="20"/>
          <w:szCs w:val="20"/>
        </w:rPr>
        <w:t xml:space="preserve">     </w:t>
      </w:r>
      <w:r>
        <w:rPr>
          <w:rFonts w:ascii="Times New Roman" w:hAnsi="Times New Roman"/>
          <w:sz w:val="20"/>
          <w:szCs w:val="20"/>
        </w:rPr>
        <w:t xml:space="preserve">  </w:t>
      </w:r>
      <w:r>
        <w:rPr>
          <w:rFonts w:ascii="Times New Roman" w:hAnsi="Times New Roman"/>
          <w:sz w:val="20"/>
          <w:szCs w:val="20"/>
          <w:vertAlign w:val="superscript"/>
        </w:rPr>
        <w:t>1</w:t>
      </w:r>
      <w:r>
        <w:rPr>
          <w:rFonts w:ascii="Times New Roman" w:hAnsi="Times New Roman"/>
          <w:sz w:val="20"/>
          <w:szCs w:val="20"/>
        </w:rPr>
        <w:t>The purpose of this Supporting Statement is to analyze and describe the burden hours and costs associated with the provisions of this subpart that contain paperwork requirements; this Supporting Statement does not provide information or guidance on how to comply with, or how to enforce, these provisions.</w:t>
      </w:r>
    </w:p>
  </w:footnote>
  <w:footnote w:id="2">
    <w:p w:rsidR="00DC3DE5" w:rsidRDefault="00DC3DE5" w:rsidP="00AF03BC">
      <w:pPr>
        <w:pStyle w:val="FootnoteText"/>
        <w:ind w:firstLine="720"/>
      </w:pPr>
      <w:r w:rsidRPr="00E61849">
        <w:rPr>
          <w:rStyle w:val="FootnoteReference"/>
          <w:rFonts w:ascii="Times New Roman" w:hAnsi="Times New Roman"/>
          <w:sz w:val="22"/>
          <w:szCs w:val="22"/>
          <w:vertAlign w:val="superscript"/>
        </w:rPr>
        <w:footnoteRef/>
      </w:r>
      <w:r w:rsidRPr="00E61849">
        <w:rPr>
          <w:rStyle w:val="FootnoteReference"/>
          <w:rFonts w:ascii="Times New Roman" w:hAnsi="Times New Roman"/>
          <w:sz w:val="22"/>
          <w:szCs w:val="22"/>
          <w:vertAlign w:val="superscript"/>
        </w:rPr>
        <w:t xml:space="preserve"> </w:t>
      </w:r>
      <w:r>
        <w:rPr>
          <w:rFonts w:ascii="Times New Roman" w:hAnsi="Times New Roman"/>
          <w:sz w:val="22"/>
          <w:szCs w:val="22"/>
          <w:vertAlign w:val="superscript"/>
        </w:rPr>
        <w:t xml:space="preserve"> </w:t>
      </w:r>
      <w:r w:rsidRPr="00E61849">
        <w:rPr>
          <w:rFonts w:ascii="Times New Roman" w:hAnsi="Times New Roman"/>
        </w:rPr>
        <w:t>This Table assumes that each employer has one project.</w:t>
      </w:r>
      <w:r>
        <w:rPr>
          <w:rFonts w:ascii="Times New Roman" w:hAnsi="Times New Roman"/>
        </w:rPr>
        <w:t xml:space="preserve">  Unless indicated otherwise in the footnotes below, the respondent numbers were estimated by multiplying the existing estimates from the previous ICR by 1.1027.  (See “</w:t>
      </w:r>
      <w:r w:rsidRPr="007427F2">
        <w:rPr>
          <w:rFonts w:ascii="Times New Roman" w:hAnsi="Times New Roman"/>
          <w:u w:val="single"/>
        </w:rPr>
        <w:t>Establishment and Employment ICR Estimates</w:t>
      </w:r>
      <w:r>
        <w:rPr>
          <w:rFonts w:ascii="Times New Roman" w:hAnsi="Times New Roman"/>
          <w:u w:val="single"/>
        </w:rPr>
        <w:t>” in Item 12, above.)</w:t>
      </w:r>
    </w:p>
    <w:p w:rsidR="00DC3DE5" w:rsidRDefault="00DC3DE5" w:rsidP="00C60B5C">
      <w:pPr>
        <w:pStyle w:val="FootnoteText"/>
      </w:pPr>
    </w:p>
  </w:footnote>
  <w:footnote w:id="3">
    <w:p w:rsidR="00F602FC" w:rsidRDefault="00F602FC" w:rsidP="00AF03BC">
      <w:pPr>
        <w:pStyle w:val="FootnoteText"/>
        <w:ind w:firstLine="720"/>
        <w:rPr>
          <w:rFonts w:ascii="Times New Roman" w:hAnsi="Times New Roman"/>
        </w:rPr>
      </w:pPr>
      <w:r w:rsidRPr="00D110CE">
        <w:rPr>
          <w:rStyle w:val="FootnoteReference"/>
          <w:rFonts w:ascii="Times New Roman" w:hAnsi="Times New Roman"/>
          <w:sz w:val="22"/>
          <w:szCs w:val="22"/>
          <w:vertAlign w:val="superscript"/>
        </w:rPr>
        <w:footnoteRef/>
      </w:r>
      <w:r w:rsidR="00AF03BC">
        <w:rPr>
          <w:rFonts w:ascii="Times New Roman" w:hAnsi="Times New Roman"/>
        </w:rPr>
        <w:t xml:space="preserve"> T</w:t>
      </w:r>
      <w:r w:rsidRPr="00060B67">
        <w:rPr>
          <w:rFonts w:ascii="Times New Roman" w:hAnsi="Times New Roman"/>
        </w:rPr>
        <w:t>he requirement in this section generates a notification to the steel erector before the controlling contractor authorizes commencement of steel erection.  The requirement in § 1926.752(b) assures that the steel erector receives the notification before it starts steel erection.</w:t>
      </w:r>
    </w:p>
    <w:p w:rsidR="00F602FC" w:rsidRDefault="00F602FC" w:rsidP="00F602FC">
      <w:pPr>
        <w:pStyle w:val="FootnoteText"/>
      </w:pPr>
    </w:p>
  </w:footnote>
  <w:footnote w:id="4">
    <w:p w:rsidR="00F602FC" w:rsidRDefault="00F602FC" w:rsidP="00AF03BC">
      <w:pPr>
        <w:ind w:firstLine="720"/>
        <w:rPr>
          <w:rFonts w:ascii="Times New Roman" w:hAnsi="Times New Roman"/>
          <w:sz w:val="20"/>
          <w:szCs w:val="20"/>
        </w:rPr>
      </w:pPr>
      <w:r w:rsidRPr="00D110CE">
        <w:rPr>
          <w:rStyle w:val="FootnoteReference"/>
          <w:rFonts w:ascii="Times New Roman" w:hAnsi="Times New Roman"/>
          <w:sz w:val="22"/>
          <w:szCs w:val="22"/>
          <w:vertAlign w:val="superscript"/>
        </w:rPr>
        <w:footnoteRef/>
      </w:r>
      <w:r w:rsidR="00AF03BC">
        <w:rPr>
          <w:rFonts w:ascii="Times New Roman" w:hAnsi="Times New Roman"/>
          <w:sz w:val="20"/>
          <w:szCs w:val="20"/>
        </w:rPr>
        <w:t xml:space="preserve"> </w:t>
      </w:r>
      <w:r>
        <w:rPr>
          <w:rFonts w:ascii="Times New Roman" w:hAnsi="Times New Roman"/>
          <w:sz w:val="20"/>
          <w:szCs w:val="20"/>
        </w:rPr>
        <w:t xml:space="preserve">As in previous ICRs, OSHA continues to estimate that controlling contractors repaired, replaced, or modified anchor bolts in about 33% of all projects, an assumption consistent with previous ICRs.  </w:t>
      </w:r>
      <w:r w:rsidRPr="00060B67">
        <w:rPr>
          <w:rFonts w:ascii="Times New Roman" w:hAnsi="Times New Roman"/>
          <w:sz w:val="20"/>
          <w:szCs w:val="20"/>
        </w:rPr>
        <w:t>The time required for controlling contractors to notify erectors in writing o</w:t>
      </w:r>
      <w:r>
        <w:rPr>
          <w:rFonts w:ascii="Times New Roman" w:hAnsi="Times New Roman"/>
          <w:sz w:val="20"/>
          <w:szCs w:val="20"/>
        </w:rPr>
        <w:t>f the engineer’s approval  is</w:t>
      </w:r>
      <w:r w:rsidRPr="00060B67">
        <w:rPr>
          <w:rFonts w:ascii="Times New Roman" w:hAnsi="Times New Roman"/>
          <w:sz w:val="20"/>
          <w:szCs w:val="20"/>
        </w:rPr>
        <w:t xml:space="preserve"> five minutes (.08</w:t>
      </w:r>
      <w:r>
        <w:rPr>
          <w:rFonts w:ascii="Times New Roman" w:hAnsi="Times New Roman"/>
          <w:sz w:val="20"/>
          <w:szCs w:val="20"/>
        </w:rPr>
        <w:t xml:space="preserve"> </w:t>
      </w:r>
      <w:r w:rsidRPr="00060B67">
        <w:rPr>
          <w:rFonts w:ascii="Times New Roman" w:hAnsi="Times New Roman"/>
          <w:sz w:val="20"/>
          <w:szCs w:val="20"/>
        </w:rPr>
        <w:t xml:space="preserve">hour), with the engineer’s time being negligible for about half of these projects (which, in large part, involved replacing or repairing existing bolts).  </w:t>
      </w:r>
      <w:r>
        <w:rPr>
          <w:rFonts w:ascii="Times New Roman" w:hAnsi="Times New Roman"/>
          <w:sz w:val="20"/>
          <w:szCs w:val="20"/>
        </w:rPr>
        <w:t>The Agency also estimates that 17% of all projects involve</w:t>
      </w:r>
      <w:r w:rsidRPr="00060B67">
        <w:rPr>
          <w:rFonts w:ascii="Times New Roman" w:hAnsi="Times New Roman"/>
          <w:sz w:val="20"/>
          <w:szCs w:val="20"/>
        </w:rPr>
        <w:t xml:space="preserve"> extensive engineering review and examination of modified bolts, taking up to three hours to complete</w:t>
      </w:r>
      <w:r>
        <w:rPr>
          <w:rFonts w:ascii="Times New Roman" w:hAnsi="Times New Roman"/>
          <w:sz w:val="20"/>
          <w:szCs w:val="20"/>
        </w:rPr>
        <w:t xml:space="preserve">, also an assumption consistent with previous ICRs. </w:t>
      </w:r>
      <w:r w:rsidRPr="00060B67">
        <w:rPr>
          <w:rFonts w:ascii="Times New Roman" w:hAnsi="Times New Roman"/>
          <w:sz w:val="20"/>
          <w:szCs w:val="20"/>
        </w:rPr>
        <w:t xml:space="preserve"> </w:t>
      </w:r>
    </w:p>
    <w:p w:rsidR="00F602FC" w:rsidRDefault="00F602FC" w:rsidP="00F602FC">
      <w:pPr>
        <w:pStyle w:val="FootnoteText"/>
      </w:pPr>
    </w:p>
  </w:footnote>
  <w:footnote w:id="5">
    <w:p w:rsidR="00F602FC" w:rsidRDefault="00F602FC" w:rsidP="00AF03BC">
      <w:pPr>
        <w:pStyle w:val="FootnoteText"/>
        <w:ind w:firstLine="720"/>
        <w:rPr>
          <w:rFonts w:ascii="Times New Roman" w:hAnsi="Times New Roman"/>
        </w:rPr>
      </w:pPr>
      <w:r w:rsidRPr="0064632E">
        <w:rPr>
          <w:rStyle w:val="FootnoteReference"/>
          <w:rFonts w:ascii="Times New Roman" w:hAnsi="Times New Roman"/>
          <w:sz w:val="22"/>
          <w:vertAlign w:val="superscript"/>
        </w:rPr>
        <w:footnoteRef/>
      </w:r>
      <w:r w:rsidR="00AF03BC">
        <w:rPr>
          <w:rFonts w:ascii="Times New Roman" w:hAnsi="Times New Roman"/>
        </w:rPr>
        <w:t xml:space="preserve"> F</w:t>
      </w:r>
      <w:r w:rsidRPr="0064632E">
        <w:rPr>
          <w:rFonts w:ascii="Times New Roman" w:hAnsi="Times New Roman"/>
        </w:rPr>
        <w:t xml:space="preserve">or those employers who opt to use a </w:t>
      </w:r>
      <w:r>
        <w:rPr>
          <w:rFonts w:ascii="Times New Roman" w:hAnsi="Times New Roman"/>
        </w:rPr>
        <w:t xml:space="preserve">site-specific steel erection </w:t>
      </w:r>
      <w:r w:rsidRPr="0064632E">
        <w:rPr>
          <w:rFonts w:ascii="Times New Roman" w:hAnsi="Times New Roman"/>
        </w:rPr>
        <w:t xml:space="preserve">plan, the sample </w:t>
      </w:r>
      <w:r>
        <w:rPr>
          <w:rFonts w:ascii="Times New Roman" w:hAnsi="Times New Roman"/>
        </w:rPr>
        <w:t>plan found in subpart R, Appendix A,</w:t>
      </w:r>
      <w:r w:rsidRPr="0064632E">
        <w:rPr>
          <w:rFonts w:ascii="Times New Roman" w:hAnsi="Times New Roman"/>
        </w:rPr>
        <w:t xml:space="preserve"> provides them an expedient means for creating a plan electronically or even with “paper and pencil.”  OSHA estimates that establishments who have workers engaged in </w:t>
      </w:r>
      <w:r>
        <w:rPr>
          <w:rFonts w:ascii="Times New Roman" w:hAnsi="Times New Roman"/>
        </w:rPr>
        <w:t xml:space="preserve">steel erection </w:t>
      </w:r>
      <w:r w:rsidRPr="0064632E">
        <w:rPr>
          <w:rFonts w:ascii="Times New Roman" w:hAnsi="Times New Roman"/>
        </w:rPr>
        <w:t xml:space="preserve">will use the </w:t>
      </w:r>
      <w:r>
        <w:rPr>
          <w:rFonts w:ascii="Times New Roman" w:hAnsi="Times New Roman"/>
        </w:rPr>
        <w:t>site-specific plan option (See Appendix A</w:t>
      </w:r>
      <w:r w:rsidRPr="0064632E">
        <w:rPr>
          <w:rFonts w:ascii="Times New Roman" w:hAnsi="Times New Roman"/>
        </w:rPr>
        <w:t xml:space="preserve">).  </w:t>
      </w:r>
      <w:r>
        <w:rPr>
          <w:rFonts w:ascii="Times New Roman" w:hAnsi="Times New Roman"/>
        </w:rPr>
        <w:t>The Agency assumed that the number of establishments affected by 1926.753(c)(5) is the total number of establishments developing site-specific plans.  Also,</w:t>
      </w:r>
      <w:r w:rsidRPr="00B47B95">
        <w:rPr>
          <w:rFonts w:ascii="Times New Roman" w:hAnsi="Times New Roman"/>
        </w:rPr>
        <w:t xml:space="preserve"> OSHA estimates that all affected construction establishments will require training and retraining each year for their workers.  The Agency recognizes that training is not individualized but presented to groups of workers a</w:t>
      </w:r>
      <w:r>
        <w:rPr>
          <w:rFonts w:ascii="Times New Roman" w:hAnsi="Times New Roman"/>
        </w:rPr>
        <w:t xml:space="preserve">t cyclic or regular intervals.  As a </w:t>
      </w:r>
      <w:r w:rsidR="0061204D">
        <w:rPr>
          <w:rFonts w:ascii="Times New Roman" w:hAnsi="Times New Roman"/>
        </w:rPr>
        <w:t>usual</w:t>
      </w:r>
      <w:r>
        <w:rPr>
          <w:rFonts w:ascii="Times New Roman" w:hAnsi="Times New Roman"/>
        </w:rPr>
        <w:t xml:space="preserve"> form of certification, employers  use a sign-in roster to certify that </w:t>
      </w:r>
      <w:r w:rsidRPr="009D08EB">
        <w:rPr>
          <w:rFonts w:ascii="Times New Roman" w:hAnsi="Times New Roman"/>
        </w:rPr>
        <w:t xml:space="preserve">each employee </w:t>
      </w:r>
      <w:r>
        <w:rPr>
          <w:rFonts w:ascii="Times New Roman" w:hAnsi="Times New Roman"/>
        </w:rPr>
        <w:t>h</w:t>
      </w:r>
      <w:r w:rsidRPr="009D08EB">
        <w:rPr>
          <w:rFonts w:ascii="Times New Roman" w:hAnsi="Times New Roman"/>
        </w:rPr>
        <w:t>as received training for performing steel erection operations as required by §1926.761</w:t>
      </w:r>
      <w:r>
        <w:rPr>
          <w:rFonts w:ascii="Times New Roman" w:hAnsi="Times New Roman"/>
        </w:rPr>
        <w:t xml:space="preserve">. </w:t>
      </w:r>
      <w:r w:rsidRPr="0064632E">
        <w:rPr>
          <w:rFonts w:ascii="Times New Roman" w:hAnsi="Times New Roman"/>
        </w:rPr>
        <w:t xml:space="preserve">OSHA assumes that a competent person requires </w:t>
      </w:r>
      <w:r>
        <w:rPr>
          <w:rFonts w:ascii="Times New Roman" w:hAnsi="Times New Roman"/>
        </w:rPr>
        <w:t xml:space="preserve">a total of </w:t>
      </w:r>
      <w:r w:rsidRPr="0064632E">
        <w:rPr>
          <w:rFonts w:ascii="Times New Roman" w:hAnsi="Times New Roman"/>
        </w:rPr>
        <w:t>one hour</w:t>
      </w:r>
      <w:r>
        <w:rPr>
          <w:rFonts w:ascii="Times New Roman" w:hAnsi="Times New Roman"/>
        </w:rPr>
        <w:t xml:space="preserve"> to </w:t>
      </w:r>
      <w:r w:rsidRPr="0064632E">
        <w:rPr>
          <w:rFonts w:ascii="Times New Roman" w:hAnsi="Times New Roman"/>
        </w:rPr>
        <w:t>develop a plan for a specific work site</w:t>
      </w:r>
      <w:r>
        <w:rPr>
          <w:rFonts w:ascii="Times New Roman" w:hAnsi="Times New Roman"/>
        </w:rPr>
        <w:t xml:space="preserve"> and to certify workers receiving periodic training.</w:t>
      </w:r>
    </w:p>
    <w:p w:rsidR="00F602FC" w:rsidRDefault="00F602FC" w:rsidP="00F602FC">
      <w:pPr>
        <w:pStyle w:val="FootnoteText"/>
      </w:pPr>
    </w:p>
  </w:footnote>
  <w:footnote w:id="6">
    <w:p w:rsidR="00F602FC" w:rsidRDefault="00F602FC" w:rsidP="00AF03BC">
      <w:pPr>
        <w:pStyle w:val="FootnoteText"/>
        <w:ind w:firstLine="720"/>
        <w:rPr>
          <w:rFonts w:ascii="Times New Roman" w:hAnsi="Times New Roman"/>
        </w:rPr>
      </w:pPr>
      <w:r w:rsidRPr="00D110CE">
        <w:rPr>
          <w:rStyle w:val="FootnoteReference"/>
          <w:rFonts w:ascii="Times New Roman" w:hAnsi="Times New Roman"/>
          <w:sz w:val="22"/>
          <w:szCs w:val="22"/>
          <w:vertAlign w:val="superscript"/>
        </w:rPr>
        <w:footnoteRef/>
      </w:r>
      <w:r w:rsidR="00AF03BC">
        <w:rPr>
          <w:rFonts w:ascii="Times New Roman" w:hAnsi="Times New Roman"/>
        </w:rPr>
        <w:t xml:space="preserve"> T</w:t>
      </w:r>
      <w:r>
        <w:rPr>
          <w:rFonts w:ascii="Times New Roman" w:hAnsi="Times New Roman"/>
        </w:rPr>
        <w:t>o calculate frequency, OSHA estimates that each project uses two multiple lift rigging assemblies.</w:t>
      </w:r>
    </w:p>
    <w:p w:rsidR="00F602FC" w:rsidRDefault="00F602FC" w:rsidP="00F602FC">
      <w:pPr>
        <w:pStyle w:val="FootnoteText"/>
      </w:pPr>
    </w:p>
  </w:footnote>
  <w:footnote w:id="7">
    <w:p w:rsidR="00F602FC" w:rsidRPr="00080FE6" w:rsidRDefault="00442CC5" w:rsidP="00F60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tab/>
      </w:r>
      <w:r w:rsidR="00F602FC" w:rsidRPr="00080FE6">
        <w:rPr>
          <w:rStyle w:val="FootnoteReference"/>
          <w:rFonts w:ascii="Times New Roman" w:hAnsi="Times New Roman"/>
          <w:sz w:val="22"/>
          <w:szCs w:val="22"/>
          <w:vertAlign w:val="superscript"/>
        </w:rPr>
        <w:footnoteRef/>
      </w:r>
      <w:r w:rsidR="00F602FC">
        <w:t xml:space="preserve"> </w:t>
      </w:r>
      <w:r w:rsidR="00F602FC" w:rsidRPr="00080FE6">
        <w:rPr>
          <w:rFonts w:ascii="Times New Roman" w:hAnsi="Times New Roman"/>
          <w:sz w:val="20"/>
          <w:szCs w:val="20"/>
        </w:rPr>
        <w:t>Under</w:t>
      </w:r>
      <w:r w:rsidR="00F602FC">
        <w:rPr>
          <w:rFonts w:ascii="Times New Roman" w:hAnsi="Times New Roman"/>
          <w:sz w:val="20"/>
          <w:szCs w:val="20"/>
        </w:rPr>
        <w:t xml:space="preserve"> </w:t>
      </w:r>
      <w:r w:rsidR="00F602FC" w:rsidRPr="00080FE6">
        <w:rPr>
          <w:rFonts w:ascii="Times New Roman" w:hAnsi="Times New Roman"/>
          <w:sz w:val="20"/>
          <w:szCs w:val="20"/>
        </w:rPr>
        <w:t>§ 1926.755(b)(2), throughout steel erection the controlling contractor must notify the steel erector in writing of additional repairs, replacements, and modifications of anchor bolts (rods);  § 1926.755(b)(1) requires that these repairs, replacements and modifications not be made without approval from the project structural engineer of record.</w:t>
      </w:r>
    </w:p>
    <w:p w:rsidR="00F602FC" w:rsidRDefault="00F602FC" w:rsidP="00F602FC">
      <w:pPr>
        <w:pStyle w:val="FootnoteText"/>
      </w:pPr>
    </w:p>
  </w:footnote>
  <w:footnote w:id="8">
    <w:p w:rsidR="00F602FC" w:rsidRDefault="00442CC5" w:rsidP="00F60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ab/>
      </w:r>
      <w:r w:rsidR="00F602FC" w:rsidRPr="00D110CE">
        <w:rPr>
          <w:rStyle w:val="FootnoteReference"/>
          <w:rFonts w:ascii="Times New Roman" w:hAnsi="Times New Roman"/>
          <w:sz w:val="22"/>
          <w:szCs w:val="22"/>
          <w:vertAlign w:val="superscript"/>
        </w:rPr>
        <w:footnoteRef/>
      </w:r>
      <w:r w:rsidR="00F602FC">
        <w:rPr>
          <w:rFonts w:ascii="Times New Roman" w:hAnsi="Times New Roman"/>
          <w:sz w:val="20"/>
          <w:szCs w:val="20"/>
        </w:rPr>
        <w:t xml:space="preserve">  </w:t>
      </w:r>
      <w:r w:rsidR="00F602FC" w:rsidRPr="007B65E7">
        <w:rPr>
          <w:rFonts w:ascii="Times New Roman" w:hAnsi="Times New Roman"/>
          <w:sz w:val="20"/>
          <w:szCs w:val="20"/>
        </w:rPr>
        <w:t>Agency staff estimate that on average it takes a project engineer of record five hours for research and analysis to provide approval for modifications to steel joist or joist girders. These structural steel components are easily damaged and weakened if mishandled or modified because of their open web construction. They rely on sophisticated bracing designs to keep them properly oriented to take the loads they are designed to support. The engineer’s approval is based on an understanding of the components ability to maintain design performance once modified.</w:t>
      </w:r>
    </w:p>
    <w:p w:rsidR="00F602FC" w:rsidRDefault="00F602FC" w:rsidP="00F602FC">
      <w:pPr>
        <w:pStyle w:val="FootnoteText"/>
      </w:pPr>
    </w:p>
  </w:footnote>
  <w:footnote w:id="9">
    <w:p w:rsidR="00F602FC" w:rsidRDefault="00200D29" w:rsidP="00F60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2"/>
          <w:szCs w:val="22"/>
          <w:vertAlign w:val="superscript"/>
        </w:rPr>
        <w:tab/>
      </w:r>
      <w:r w:rsidR="00F602FC" w:rsidRPr="00C339A3">
        <w:rPr>
          <w:rStyle w:val="FootnoteReference"/>
          <w:rFonts w:ascii="Times New Roman" w:hAnsi="Times New Roman"/>
          <w:sz w:val="22"/>
          <w:szCs w:val="22"/>
          <w:vertAlign w:val="superscript"/>
        </w:rPr>
        <w:footnoteRef/>
      </w:r>
      <w:r w:rsidR="00F602FC" w:rsidRPr="00C339A3">
        <w:rPr>
          <w:rStyle w:val="FootnoteReference"/>
          <w:rFonts w:ascii="Times New Roman" w:hAnsi="Times New Roman"/>
          <w:sz w:val="22"/>
          <w:szCs w:val="22"/>
          <w:vertAlign w:val="superscript"/>
        </w:rPr>
        <w:t xml:space="preserve"> </w:t>
      </w:r>
      <w:r w:rsidR="00F602FC" w:rsidRPr="009F6978">
        <w:rPr>
          <w:rFonts w:ascii="Times New Roman" w:hAnsi="Times New Roman"/>
          <w:sz w:val="20"/>
          <w:szCs w:val="20"/>
        </w:rPr>
        <w:t xml:space="preserve">In </w:t>
      </w:r>
      <w:r w:rsidR="00F602FC">
        <w:rPr>
          <w:rFonts w:ascii="Times New Roman" w:hAnsi="Times New Roman"/>
          <w:sz w:val="20"/>
          <w:szCs w:val="20"/>
        </w:rPr>
        <w:t>past</w:t>
      </w:r>
      <w:r w:rsidR="00F602FC" w:rsidRPr="009F6978">
        <w:rPr>
          <w:rFonts w:ascii="Times New Roman" w:hAnsi="Times New Roman"/>
          <w:sz w:val="20"/>
          <w:szCs w:val="20"/>
        </w:rPr>
        <w:t xml:space="preserve"> telephone interviews Agency staff</w:t>
      </w:r>
      <w:r w:rsidR="00F602FC">
        <w:rPr>
          <w:rFonts w:ascii="Times New Roman" w:hAnsi="Times New Roman"/>
          <w:sz w:val="20"/>
          <w:szCs w:val="20"/>
        </w:rPr>
        <w:t xml:space="preserve"> learned from</w:t>
      </w:r>
      <w:r w:rsidR="00F602FC" w:rsidRPr="009F6978">
        <w:rPr>
          <w:rFonts w:ascii="Times New Roman" w:hAnsi="Times New Roman"/>
          <w:sz w:val="20"/>
          <w:szCs w:val="20"/>
        </w:rPr>
        <w:t xml:space="preserve"> three steel erectors, independently, that 95%, 100%, and 90-95% of controlling contractors direct steel erectors to leave fall protection </w:t>
      </w:r>
      <w:r w:rsidR="00F602FC">
        <w:rPr>
          <w:rFonts w:ascii="Times New Roman" w:hAnsi="Times New Roman"/>
          <w:sz w:val="20"/>
          <w:szCs w:val="20"/>
        </w:rPr>
        <w:t>in place</w:t>
      </w:r>
      <w:r w:rsidR="00F602FC" w:rsidRPr="009F6978">
        <w:rPr>
          <w:rFonts w:ascii="Times New Roman" w:hAnsi="Times New Roman"/>
          <w:sz w:val="20"/>
          <w:szCs w:val="20"/>
        </w:rPr>
        <w:t xml:space="preserve"> after completion of the erection activity; therefore, the Agency used</w:t>
      </w:r>
      <w:r w:rsidR="00F602FC">
        <w:rPr>
          <w:rFonts w:ascii="Times New Roman" w:hAnsi="Times New Roman"/>
          <w:sz w:val="20"/>
          <w:szCs w:val="20"/>
        </w:rPr>
        <w:t xml:space="preserve"> an estimate of and has discerned no evidence to change its estimate </w:t>
      </w:r>
      <w:r w:rsidR="00F602FC" w:rsidRPr="009F6978">
        <w:rPr>
          <w:rFonts w:ascii="Times New Roman" w:hAnsi="Times New Roman"/>
          <w:sz w:val="20"/>
          <w:szCs w:val="20"/>
        </w:rPr>
        <w:t>of</w:t>
      </w:r>
      <w:r w:rsidR="00F602FC">
        <w:rPr>
          <w:rFonts w:ascii="Times New Roman" w:hAnsi="Times New Roman"/>
          <w:sz w:val="20"/>
          <w:szCs w:val="20"/>
        </w:rPr>
        <w:t xml:space="preserve"> </w:t>
      </w:r>
      <w:r w:rsidR="00F602FC" w:rsidRPr="009F6978">
        <w:rPr>
          <w:rFonts w:ascii="Times New Roman" w:hAnsi="Times New Roman"/>
          <w:sz w:val="20"/>
          <w:szCs w:val="20"/>
        </w:rPr>
        <w:t xml:space="preserve">95% to determine “No. of Projects Covered.”  OSHA assigned a value of </w:t>
      </w:r>
      <w:r w:rsidR="00F602FC">
        <w:rPr>
          <w:rFonts w:ascii="Times New Roman" w:hAnsi="Times New Roman"/>
          <w:sz w:val="20"/>
          <w:szCs w:val="20"/>
        </w:rPr>
        <w:t xml:space="preserve">0.02 hours, </w:t>
      </w:r>
      <w:r>
        <w:rPr>
          <w:rFonts w:ascii="Times New Roman" w:hAnsi="Times New Roman"/>
          <w:sz w:val="20"/>
          <w:szCs w:val="20"/>
        </w:rPr>
        <w:t xml:space="preserve">or </w:t>
      </w:r>
      <w:r w:rsidR="00F602FC">
        <w:rPr>
          <w:rFonts w:ascii="Times New Roman" w:hAnsi="Times New Roman"/>
          <w:sz w:val="20"/>
          <w:szCs w:val="20"/>
        </w:rPr>
        <w:t xml:space="preserve">approximately </w:t>
      </w:r>
      <w:r w:rsidR="00F602FC" w:rsidRPr="009F6978">
        <w:rPr>
          <w:rFonts w:ascii="Times New Roman" w:hAnsi="Times New Roman"/>
          <w:sz w:val="20"/>
          <w:szCs w:val="20"/>
        </w:rPr>
        <w:t>one minute</w:t>
      </w:r>
      <w:r>
        <w:rPr>
          <w:rFonts w:ascii="Times New Roman" w:hAnsi="Times New Roman"/>
          <w:sz w:val="20"/>
          <w:szCs w:val="20"/>
        </w:rPr>
        <w:t>,</w:t>
      </w:r>
      <w:r w:rsidR="00F602FC" w:rsidRPr="009F6978">
        <w:rPr>
          <w:rFonts w:ascii="Times New Roman" w:hAnsi="Times New Roman"/>
          <w:sz w:val="20"/>
          <w:szCs w:val="20"/>
        </w:rPr>
        <w:t xml:space="preserve"> to “Time to Perform (Hours)” because project managers (i.e., the controlling contractor’s authorized representative) can state this simple direction to steel erectors orally; for “Frequency per Project,” the Agency used a value of one because project managers must provide the information only when steel erectors finish t</w:t>
      </w:r>
      <w:r w:rsidR="00F602FC">
        <w:rPr>
          <w:rFonts w:ascii="Times New Roman" w:hAnsi="Times New Roman"/>
          <w:sz w:val="20"/>
          <w:szCs w:val="20"/>
        </w:rPr>
        <w:t>heir steel-erection activities. Additionally it is a usual and customary practice that the direction be in writing, but the standard does not require it to be.</w:t>
      </w:r>
    </w:p>
    <w:p w:rsidR="00F602FC" w:rsidRDefault="00F602FC" w:rsidP="00F602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A04" w:rsidRPr="00871A04" w:rsidRDefault="00871A04" w:rsidP="00871A04">
    <w:pPr>
      <w:tabs>
        <w:tab w:val="center" w:pos="4680"/>
        <w:tab w:val="right" w:pos="9360"/>
      </w:tabs>
      <w:rPr>
        <w:rFonts w:ascii="Times New Roman" w:hAnsi="Times New Roman"/>
        <w:bCs/>
        <w:sz w:val="20"/>
        <w:szCs w:val="20"/>
      </w:rPr>
    </w:pPr>
    <w:r>
      <w:rPr>
        <w:rFonts w:ascii="Times New Roman" w:hAnsi="Times New Roman"/>
        <w:bCs/>
        <w:sz w:val="20"/>
        <w:szCs w:val="20"/>
      </w:rPr>
      <w:t>Steel Erection Standard (29 CFR 1926, Subpart R)</w:t>
    </w:r>
  </w:p>
  <w:p w:rsidR="00871A04" w:rsidRPr="00871A04" w:rsidRDefault="00871A04" w:rsidP="00871A04">
    <w:pPr>
      <w:tabs>
        <w:tab w:val="center" w:pos="4680"/>
        <w:tab w:val="right" w:pos="9360"/>
      </w:tabs>
      <w:rPr>
        <w:rFonts w:ascii="Times New Roman" w:hAnsi="Times New Roman"/>
        <w:sz w:val="20"/>
        <w:szCs w:val="20"/>
      </w:rPr>
    </w:pPr>
    <w:r w:rsidRPr="00871A04">
      <w:rPr>
        <w:rFonts w:ascii="Times New Roman" w:hAnsi="Times New Roman"/>
        <w:sz w:val="20"/>
        <w:szCs w:val="20"/>
      </w:rPr>
      <w:t>OMB Control Number</w:t>
    </w:r>
    <w:r>
      <w:rPr>
        <w:rFonts w:ascii="Times New Roman" w:hAnsi="Times New Roman"/>
        <w:sz w:val="20"/>
        <w:szCs w:val="20"/>
      </w:rPr>
      <w:t xml:space="preserve"> 1218-0241</w:t>
    </w:r>
  </w:p>
  <w:p w:rsidR="00871A04" w:rsidRPr="00871A04" w:rsidRDefault="00871A04" w:rsidP="00871A04">
    <w:pPr>
      <w:tabs>
        <w:tab w:val="center" w:pos="4680"/>
        <w:tab w:val="right" w:pos="9360"/>
      </w:tabs>
      <w:rPr>
        <w:rFonts w:ascii="Times New Roman" w:hAnsi="Times New Roman"/>
        <w:sz w:val="20"/>
        <w:szCs w:val="20"/>
      </w:rPr>
    </w:pPr>
    <w:r w:rsidRPr="00871A04">
      <w:rPr>
        <w:rFonts w:ascii="Times New Roman" w:hAnsi="Times New Roman"/>
        <w:sz w:val="20"/>
        <w:szCs w:val="20"/>
      </w:rPr>
      <w:t xml:space="preserve">OMB Expiration Date: </w:t>
    </w:r>
    <w:r>
      <w:rPr>
        <w:rFonts w:ascii="Times New Roman" w:hAnsi="Times New Roman"/>
        <w:sz w:val="20"/>
        <w:szCs w:val="20"/>
      </w:rPr>
      <w:t>February 2021</w:t>
    </w:r>
  </w:p>
  <w:p w:rsidR="00DB6778" w:rsidRDefault="000A04FC" w:rsidP="00D0089B">
    <w:pPr>
      <w:pStyle w:val="Header"/>
      <w:rPr>
        <w:rFonts w:ascii="Times New Roman" w:hAnsi="Times New Roman"/>
      </w:rPr>
    </w:pPr>
    <w:r>
      <w:rPr>
        <w:rFonts w:ascii="Times New Roman" w:hAnsi="Times New Roman"/>
      </w:rPr>
      <w:tab/>
    </w:r>
  </w:p>
  <w:p w:rsidR="000A04FC" w:rsidRDefault="000A04FC" w:rsidP="00DC3DE5">
    <w:pPr>
      <w:pStyle w:val="Header"/>
      <w:tabs>
        <w:tab w:val="clear" w:pos="9360"/>
        <w:tab w:val="left" w:pos="57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66" w:rsidRDefault="00432B66" w:rsidP="00432B66">
    <w:pPr>
      <w:widowControl/>
      <w:tabs>
        <w:tab w:val="center" w:pos="4680"/>
      </w:tabs>
      <w:rPr>
        <w:rFonts w:ascii="Times New Roman" w:hAnsi="Times New Roman"/>
      </w:rPr>
    </w:pPr>
  </w:p>
  <w:p w:rsidR="00432B66" w:rsidRPr="00432B66" w:rsidRDefault="00432B66" w:rsidP="00432B66">
    <w:pPr>
      <w:widowControl/>
      <w:tabs>
        <w:tab w:val="center" w:pos="4680"/>
      </w:tabs>
      <w:rPr>
        <w:rFonts w:ascii="Times New Roman" w:hAnsi="Times New Roman"/>
        <w:b/>
        <w:bCs/>
      </w:rPr>
    </w:pPr>
    <w:r>
      <w:rPr>
        <w:rFonts w:ascii="Times New Roman" w:hAnsi="Times New Roman"/>
        <w:b/>
        <w:bCs/>
      </w:rPr>
      <w:t xml:space="preserve">STEEL ERECTION </w:t>
    </w:r>
    <w:r w:rsidRPr="00432B66">
      <w:rPr>
        <w:rFonts w:ascii="Times New Roman" w:hAnsi="Times New Roman"/>
        <w:b/>
        <w:bCs/>
      </w:rPr>
      <w:t xml:space="preserve">STANDARD </w:t>
    </w:r>
  </w:p>
  <w:p w:rsidR="00432B66" w:rsidRPr="00432B66" w:rsidRDefault="00432B66" w:rsidP="00432B66">
    <w:pPr>
      <w:widowControl/>
      <w:tabs>
        <w:tab w:val="center" w:pos="4680"/>
      </w:tabs>
      <w:rPr>
        <w:rFonts w:ascii="Times New Roman" w:hAnsi="Times New Roman"/>
        <w:b/>
        <w:bCs/>
      </w:rPr>
    </w:pPr>
    <w:r>
      <w:rPr>
        <w:rFonts w:ascii="Times New Roman" w:hAnsi="Times New Roman"/>
        <w:b/>
        <w:bCs/>
      </w:rPr>
      <w:t>1218-0241</w:t>
    </w:r>
  </w:p>
  <w:p w:rsidR="00432B66" w:rsidRPr="00432B66" w:rsidRDefault="00432B66" w:rsidP="00432B66">
    <w:pPr>
      <w:widowControl/>
      <w:tabs>
        <w:tab w:val="left" w:pos="630"/>
      </w:tabs>
      <w:jc w:val="both"/>
      <w:rPr>
        <w:rFonts w:ascii="Times New Roman Bold" w:hAnsi="Times New Roman Bold"/>
        <w:b/>
        <w:bCs/>
      </w:rPr>
    </w:pPr>
    <w:r>
      <w:rPr>
        <w:rFonts w:ascii="Times New Roman Bold" w:hAnsi="Times New Roman Bold"/>
        <w:b/>
        <w:bCs/>
      </w:rPr>
      <w:t xml:space="preserve">October </w:t>
    </w:r>
    <w:r w:rsidRPr="00432B66">
      <w:rPr>
        <w:rFonts w:ascii="Times New Roman Bold" w:hAnsi="Times New Roman Bold"/>
        <w:b/>
        <w:bCs/>
      </w:rPr>
      <w:t>2017</w:t>
    </w:r>
  </w:p>
  <w:p w:rsidR="00AF3284" w:rsidRPr="00AF3284" w:rsidRDefault="00AF3284" w:rsidP="00AF3284">
    <w:pPr>
      <w:pStyle w:val="Header"/>
      <w:jc w:val="both"/>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 o:bullet="t">
        <v:imagedata r:id="rId1" o:title=""/>
      </v:shape>
    </w:pict>
  </w:numPicBullet>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4ED387B"/>
    <w:multiLevelType w:val="hybridMultilevel"/>
    <w:tmpl w:val="1DC4576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15:restartNumberingAfterBreak="0">
    <w:nsid w:val="099B20ED"/>
    <w:multiLevelType w:val="hybridMultilevel"/>
    <w:tmpl w:val="C2FE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7721C"/>
    <w:multiLevelType w:val="hybridMultilevel"/>
    <w:tmpl w:val="ECFA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19E6AB7"/>
    <w:multiLevelType w:val="hybridMultilevel"/>
    <w:tmpl w:val="7F4E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F5B08"/>
    <w:multiLevelType w:val="hybridMultilevel"/>
    <w:tmpl w:val="169A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05CA6"/>
    <w:multiLevelType w:val="hybridMultilevel"/>
    <w:tmpl w:val="CDCA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D0136"/>
    <w:multiLevelType w:val="hybridMultilevel"/>
    <w:tmpl w:val="3D36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797A"/>
    <w:multiLevelType w:val="hybridMultilevel"/>
    <w:tmpl w:val="9678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B7E2F"/>
    <w:multiLevelType w:val="hybridMultilevel"/>
    <w:tmpl w:val="255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F073B"/>
    <w:multiLevelType w:val="hybridMultilevel"/>
    <w:tmpl w:val="616C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D1A8B"/>
    <w:multiLevelType w:val="hybridMultilevel"/>
    <w:tmpl w:val="74A8DA9E"/>
    <w:lvl w:ilvl="0" w:tplc="5CBC1366">
      <w:start w:val="1"/>
      <w:numFmt w:val="bullet"/>
      <w:lvlText w:val=""/>
      <w:lvlPicBulletId w:val="0"/>
      <w:lvlJc w:val="left"/>
      <w:pPr>
        <w:tabs>
          <w:tab w:val="num" w:pos="720"/>
        </w:tabs>
        <w:ind w:left="720" w:hanging="360"/>
      </w:pPr>
      <w:rPr>
        <w:rFonts w:ascii="Symbol" w:hAnsi="Symbol" w:hint="default"/>
      </w:rPr>
    </w:lvl>
    <w:lvl w:ilvl="1" w:tplc="ED4056AA" w:tentative="1">
      <w:start w:val="1"/>
      <w:numFmt w:val="bullet"/>
      <w:lvlText w:val=""/>
      <w:lvlJc w:val="left"/>
      <w:pPr>
        <w:tabs>
          <w:tab w:val="num" w:pos="1440"/>
        </w:tabs>
        <w:ind w:left="1440" w:hanging="360"/>
      </w:pPr>
      <w:rPr>
        <w:rFonts w:ascii="Symbol" w:hAnsi="Symbol" w:hint="default"/>
      </w:rPr>
    </w:lvl>
    <w:lvl w:ilvl="2" w:tplc="4D809196" w:tentative="1">
      <w:start w:val="1"/>
      <w:numFmt w:val="bullet"/>
      <w:lvlText w:val=""/>
      <w:lvlJc w:val="left"/>
      <w:pPr>
        <w:tabs>
          <w:tab w:val="num" w:pos="2160"/>
        </w:tabs>
        <w:ind w:left="2160" w:hanging="360"/>
      </w:pPr>
      <w:rPr>
        <w:rFonts w:ascii="Symbol" w:hAnsi="Symbol" w:hint="default"/>
      </w:rPr>
    </w:lvl>
    <w:lvl w:ilvl="3" w:tplc="AED0DBC6" w:tentative="1">
      <w:start w:val="1"/>
      <w:numFmt w:val="bullet"/>
      <w:lvlText w:val=""/>
      <w:lvlJc w:val="left"/>
      <w:pPr>
        <w:tabs>
          <w:tab w:val="num" w:pos="2880"/>
        </w:tabs>
        <w:ind w:left="2880" w:hanging="360"/>
      </w:pPr>
      <w:rPr>
        <w:rFonts w:ascii="Symbol" w:hAnsi="Symbol" w:hint="default"/>
      </w:rPr>
    </w:lvl>
    <w:lvl w:ilvl="4" w:tplc="EE549E10" w:tentative="1">
      <w:start w:val="1"/>
      <w:numFmt w:val="bullet"/>
      <w:lvlText w:val=""/>
      <w:lvlJc w:val="left"/>
      <w:pPr>
        <w:tabs>
          <w:tab w:val="num" w:pos="3600"/>
        </w:tabs>
        <w:ind w:left="3600" w:hanging="360"/>
      </w:pPr>
      <w:rPr>
        <w:rFonts w:ascii="Symbol" w:hAnsi="Symbol" w:hint="default"/>
      </w:rPr>
    </w:lvl>
    <w:lvl w:ilvl="5" w:tplc="3EC205C2" w:tentative="1">
      <w:start w:val="1"/>
      <w:numFmt w:val="bullet"/>
      <w:lvlText w:val=""/>
      <w:lvlJc w:val="left"/>
      <w:pPr>
        <w:tabs>
          <w:tab w:val="num" w:pos="4320"/>
        </w:tabs>
        <w:ind w:left="4320" w:hanging="360"/>
      </w:pPr>
      <w:rPr>
        <w:rFonts w:ascii="Symbol" w:hAnsi="Symbol" w:hint="default"/>
      </w:rPr>
    </w:lvl>
    <w:lvl w:ilvl="6" w:tplc="1EF4B92A" w:tentative="1">
      <w:start w:val="1"/>
      <w:numFmt w:val="bullet"/>
      <w:lvlText w:val=""/>
      <w:lvlJc w:val="left"/>
      <w:pPr>
        <w:tabs>
          <w:tab w:val="num" w:pos="5040"/>
        </w:tabs>
        <w:ind w:left="5040" w:hanging="360"/>
      </w:pPr>
      <w:rPr>
        <w:rFonts w:ascii="Symbol" w:hAnsi="Symbol" w:hint="default"/>
      </w:rPr>
    </w:lvl>
    <w:lvl w:ilvl="7" w:tplc="1DD24442" w:tentative="1">
      <w:start w:val="1"/>
      <w:numFmt w:val="bullet"/>
      <w:lvlText w:val=""/>
      <w:lvlJc w:val="left"/>
      <w:pPr>
        <w:tabs>
          <w:tab w:val="num" w:pos="5760"/>
        </w:tabs>
        <w:ind w:left="5760" w:hanging="360"/>
      </w:pPr>
      <w:rPr>
        <w:rFonts w:ascii="Symbol" w:hAnsi="Symbol" w:hint="default"/>
      </w:rPr>
    </w:lvl>
    <w:lvl w:ilvl="8" w:tplc="0EB4679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2226277"/>
    <w:multiLevelType w:val="hybridMultilevel"/>
    <w:tmpl w:val="885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62257"/>
    <w:multiLevelType w:val="hybridMultilevel"/>
    <w:tmpl w:val="DAA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73D0"/>
    <w:multiLevelType w:val="hybridMultilevel"/>
    <w:tmpl w:val="9E16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
  </w:num>
  <w:num w:numId="4">
    <w:abstractNumId w:val="10"/>
  </w:num>
  <w:num w:numId="5">
    <w:abstractNumId w:val="8"/>
  </w:num>
  <w:num w:numId="6">
    <w:abstractNumId w:val="5"/>
  </w:num>
  <w:num w:numId="7">
    <w:abstractNumId w:val="17"/>
  </w:num>
  <w:num w:numId="8">
    <w:abstractNumId w:val="2"/>
  </w:num>
  <w:num w:numId="9">
    <w:abstractNumId w:val="11"/>
  </w:num>
  <w:num w:numId="10">
    <w:abstractNumId w:val="15"/>
  </w:num>
  <w:num w:numId="11">
    <w:abstractNumId w:val="6"/>
  </w:num>
  <w:num w:numId="12">
    <w:abstractNumId w:val="1"/>
  </w:num>
  <w:num w:numId="13">
    <w:abstractNumId w:val="9"/>
  </w:num>
  <w:num w:numId="14">
    <w:abstractNumId w:val="13"/>
  </w:num>
  <w:num w:numId="1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6">
    <w:abstractNumId w:val="14"/>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BD"/>
    <w:rsid w:val="000011DD"/>
    <w:rsid w:val="00001C1F"/>
    <w:rsid w:val="00002302"/>
    <w:rsid w:val="000073E5"/>
    <w:rsid w:val="0000743A"/>
    <w:rsid w:val="00007C02"/>
    <w:rsid w:val="00010B1F"/>
    <w:rsid w:val="00015F1A"/>
    <w:rsid w:val="000168B6"/>
    <w:rsid w:val="00016B14"/>
    <w:rsid w:val="00021BFB"/>
    <w:rsid w:val="00021D0A"/>
    <w:rsid w:val="000231BA"/>
    <w:rsid w:val="000256E8"/>
    <w:rsid w:val="00027262"/>
    <w:rsid w:val="000338F5"/>
    <w:rsid w:val="00033BA1"/>
    <w:rsid w:val="00035CD8"/>
    <w:rsid w:val="00036C99"/>
    <w:rsid w:val="0004124A"/>
    <w:rsid w:val="00042651"/>
    <w:rsid w:val="00042CB0"/>
    <w:rsid w:val="0004385E"/>
    <w:rsid w:val="000450E0"/>
    <w:rsid w:val="00045851"/>
    <w:rsid w:val="00051536"/>
    <w:rsid w:val="00052F95"/>
    <w:rsid w:val="00053578"/>
    <w:rsid w:val="00055C95"/>
    <w:rsid w:val="00060B67"/>
    <w:rsid w:val="000613E4"/>
    <w:rsid w:val="000647AA"/>
    <w:rsid w:val="00065D79"/>
    <w:rsid w:val="0006615F"/>
    <w:rsid w:val="0006730A"/>
    <w:rsid w:val="0007104B"/>
    <w:rsid w:val="00073B48"/>
    <w:rsid w:val="00074398"/>
    <w:rsid w:val="00077E20"/>
    <w:rsid w:val="00080FE6"/>
    <w:rsid w:val="00087BCC"/>
    <w:rsid w:val="000943C4"/>
    <w:rsid w:val="00095DA8"/>
    <w:rsid w:val="000964A9"/>
    <w:rsid w:val="000A04FC"/>
    <w:rsid w:val="000A4FDF"/>
    <w:rsid w:val="000A58FF"/>
    <w:rsid w:val="000A7D42"/>
    <w:rsid w:val="000B6FE4"/>
    <w:rsid w:val="000C2A5A"/>
    <w:rsid w:val="000C678A"/>
    <w:rsid w:val="000C7F68"/>
    <w:rsid w:val="000D49AB"/>
    <w:rsid w:val="000D4BB4"/>
    <w:rsid w:val="000D5FF6"/>
    <w:rsid w:val="000D7A8F"/>
    <w:rsid w:val="000D7AEF"/>
    <w:rsid w:val="000E1202"/>
    <w:rsid w:val="000E57D3"/>
    <w:rsid w:val="000F2B84"/>
    <w:rsid w:val="000F5131"/>
    <w:rsid w:val="00101A13"/>
    <w:rsid w:val="00101A2F"/>
    <w:rsid w:val="00103303"/>
    <w:rsid w:val="00103730"/>
    <w:rsid w:val="00112CD1"/>
    <w:rsid w:val="0011655E"/>
    <w:rsid w:val="001243CD"/>
    <w:rsid w:val="001309E1"/>
    <w:rsid w:val="00131CBE"/>
    <w:rsid w:val="00132E18"/>
    <w:rsid w:val="001351FF"/>
    <w:rsid w:val="00135682"/>
    <w:rsid w:val="00137508"/>
    <w:rsid w:val="001411F8"/>
    <w:rsid w:val="001461FF"/>
    <w:rsid w:val="0014755B"/>
    <w:rsid w:val="00147C80"/>
    <w:rsid w:val="00155E91"/>
    <w:rsid w:val="00156EBA"/>
    <w:rsid w:val="00163207"/>
    <w:rsid w:val="001635BD"/>
    <w:rsid w:val="00164A41"/>
    <w:rsid w:val="001657B0"/>
    <w:rsid w:val="00165FA1"/>
    <w:rsid w:val="00166293"/>
    <w:rsid w:val="00167F85"/>
    <w:rsid w:val="00170391"/>
    <w:rsid w:val="0017067A"/>
    <w:rsid w:val="00170B32"/>
    <w:rsid w:val="00170E4C"/>
    <w:rsid w:val="00171DD0"/>
    <w:rsid w:val="00173925"/>
    <w:rsid w:val="00174299"/>
    <w:rsid w:val="00177408"/>
    <w:rsid w:val="001830B4"/>
    <w:rsid w:val="00183FB1"/>
    <w:rsid w:val="00185EA6"/>
    <w:rsid w:val="00186EAE"/>
    <w:rsid w:val="00187BDC"/>
    <w:rsid w:val="00187C7D"/>
    <w:rsid w:val="0019759C"/>
    <w:rsid w:val="001A141B"/>
    <w:rsid w:val="001A1816"/>
    <w:rsid w:val="001A4D05"/>
    <w:rsid w:val="001A5B66"/>
    <w:rsid w:val="001A67E5"/>
    <w:rsid w:val="001A6929"/>
    <w:rsid w:val="001B57D1"/>
    <w:rsid w:val="001B5938"/>
    <w:rsid w:val="001B65EA"/>
    <w:rsid w:val="001C1F73"/>
    <w:rsid w:val="001C6862"/>
    <w:rsid w:val="001C7C3B"/>
    <w:rsid w:val="001D0986"/>
    <w:rsid w:val="001D450D"/>
    <w:rsid w:val="001E5F27"/>
    <w:rsid w:val="001E79B8"/>
    <w:rsid w:val="001F1F5C"/>
    <w:rsid w:val="001F2BB4"/>
    <w:rsid w:val="001F40A2"/>
    <w:rsid w:val="00200D29"/>
    <w:rsid w:val="00201030"/>
    <w:rsid w:val="002040F5"/>
    <w:rsid w:val="00204D00"/>
    <w:rsid w:val="00207D67"/>
    <w:rsid w:val="002117E8"/>
    <w:rsid w:val="0021249D"/>
    <w:rsid w:val="002203D3"/>
    <w:rsid w:val="002204B9"/>
    <w:rsid w:val="00231A5A"/>
    <w:rsid w:val="0023281D"/>
    <w:rsid w:val="0023528A"/>
    <w:rsid w:val="00235BE5"/>
    <w:rsid w:val="00242D03"/>
    <w:rsid w:val="002432E4"/>
    <w:rsid w:val="0024434A"/>
    <w:rsid w:val="002448E6"/>
    <w:rsid w:val="002459ED"/>
    <w:rsid w:val="00246C9B"/>
    <w:rsid w:val="002502CE"/>
    <w:rsid w:val="00250A74"/>
    <w:rsid w:val="00256980"/>
    <w:rsid w:val="00257E74"/>
    <w:rsid w:val="00257E93"/>
    <w:rsid w:val="00257EAC"/>
    <w:rsid w:val="00264A24"/>
    <w:rsid w:val="0026531D"/>
    <w:rsid w:val="0026645D"/>
    <w:rsid w:val="00267182"/>
    <w:rsid w:val="00270601"/>
    <w:rsid w:val="00276493"/>
    <w:rsid w:val="002866F2"/>
    <w:rsid w:val="002867BE"/>
    <w:rsid w:val="00286BD1"/>
    <w:rsid w:val="00297CE5"/>
    <w:rsid w:val="002A46AC"/>
    <w:rsid w:val="002B0227"/>
    <w:rsid w:val="002B0613"/>
    <w:rsid w:val="002C0F99"/>
    <w:rsid w:val="002C1362"/>
    <w:rsid w:val="002C187F"/>
    <w:rsid w:val="002C6152"/>
    <w:rsid w:val="002C7654"/>
    <w:rsid w:val="002D1CF0"/>
    <w:rsid w:val="002D2679"/>
    <w:rsid w:val="002D35D8"/>
    <w:rsid w:val="002D371B"/>
    <w:rsid w:val="002D6CF5"/>
    <w:rsid w:val="002E2E13"/>
    <w:rsid w:val="002E7CDD"/>
    <w:rsid w:val="002F0A7F"/>
    <w:rsid w:val="00302DFD"/>
    <w:rsid w:val="003030E5"/>
    <w:rsid w:val="0030492E"/>
    <w:rsid w:val="00305486"/>
    <w:rsid w:val="00306728"/>
    <w:rsid w:val="00314868"/>
    <w:rsid w:val="0031503E"/>
    <w:rsid w:val="00316157"/>
    <w:rsid w:val="00320DA5"/>
    <w:rsid w:val="0032156F"/>
    <w:rsid w:val="00321893"/>
    <w:rsid w:val="00322EFB"/>
    <w:rsid w:val="003258D7"/>
    <w:rsid w:val="00327FB1"/>
    <w:rsid w:val="0033323E"/>
    <w:rsid w:val="003359D2"/>
    <w:rsid w:val="00340D5D"/>
    <w:rsid w:val="00341A04"/>
    <w:rsid w:val="00344C3C"/>
    <w:rsid w:val="00350396"/>
    <w:rsid w:val="00357268"/>
    <w:rsid w:val="0036086A"/>
    <w:rsid w:val="00361115"/>
    <w:rsid w:val="003614AE"/>
    <w:rsid w:val="003620B5"/>
    <w:rsid w:val="0036249A"/>
    <w:rsid w:val="003672A0"/>
    <w:rsid w:val="00370BE3"/>
    <w:rsid w:val="00371B68"/>
    <w:rsid w:val="00373CE2"/>
    <w:rsid w:val="003752A9"/>
    <w:rsid w:val="00376855"/>
    <w:rsid w:val="00376B75"/>
    <w:rsid w:val="0038687A"/>
    <w:rsid w:val="0038690F"/>
    <w:rsid w:val="00390C7E"/>
    <w:rsid w:val="00391653"/>
    <w:rsid w:val="003952CD"/>
    <w:rsid w:val="00396DF5"/>
    <w:rsid w:val="003A31F3"/>
    <w:rsid w:val="003A68DA"/>
    <w:rsid w:val="003B3A32"/>
    <w:rsid w:val="003B3EF7"/>
    <w:rsid w:val="003B5151"/>
    <w:rsid w:val="003B6A25"/>
    <w:rsid w:val="003C1AAF"/>
    <w:rsid w:val="003C5B53"/>
    <w:rsid w:val="003D0F85"/>
    <w:rsid w:val="003E0FD3"/>
    <w:rsid w:val="003E132F"/>
    <w:rsid w:val="003E3BF8"/>
    <w:rsid w:val="003E6303"/>
    <w:rsid w:val="003F1155"/>
    <w:rsid w:val="003F16CF"/>
    <w:rsid w:val="003F6C03"/>
    <w:rsid w:val="004045A3"/>
    <w:rsid w:val="00417CCD"/>
    <w:rsid w:val="004224D3"/>
    <w:rsid w:val="00427C2C"/>
    <w:rsid w:val="004311E4"/>
    <w:rsid w:val="00432B66"/>
    <w:rsid w:val="00442195"/>
    <w:rsid w:val="00442CC5"/>
    <w:rsid w:val="0044378C"/>
    <w:rsid w:val="0044631F"/>
    <w:rsid w:val="004463C8"/>
    <w:rsid w:val="00446FA8"/>
    <w:rsid w:val="00447392"/>
    <w:rsid w:val="00447FD1"/>
    <w:rsid w:val="00450A8B"/>
    <w:rsid w:val="00452829"/>
    <w:rsid w:val="00455161"/>
    <w:rsid w:val="00457879"/>
    <w:rsid w:val="00466C89"/>
    <w:rsid w:val="00467F22"/>
    <w:rsid w:val="004736C5"/>
    <w:rsid w:val="004863D2"/>
    <w:rsid w:val="00490962"/>
    <w:rsid w:val="00492B41"/>
    <w:rsid w:val="00493BD3"/>
    <w:rsid w:val="00493D49"/>
    <w:rsid w:val="004945BE"/>
    <w:rsid w:val="00497E2D"/>
    <w:rsid w:val="004A5AD4"/>
    <w:rsid w:val="004C08E6"/>
    <w:rsid w:val="004C65F9"/>
    <w:rsid w:val="004C6E7F"/>
    <w:rsid w:val="004C6F02"/>
    <w:rsid w:val="004D0B2F"/>
    <w:rsid w:val="004D0FA2"/>
    <w:rsid w:val="004D10CD"/>
    <w:rsid w:val="004D38AF"/>
    <w:rsid w:val="004D4A85"/>
    <w:rsid w:val="004D632C"/>
    <w:rsid w:val="004D67D0"/>
    <w:rsid w:val="004D7000"/>
    <w:rsid w:val="004E1DA8"/>
    <w:rsid w:val="004E33F6"/>
    <w:rsid w:val="004E345D"/>
    <w:rsid w:val="004E4593"/>
    <w:rsid w:val="004E48AA"/>
    <w:rsid w:val="004F2F9D"/>
    <w:rsid w:val="00501C39"/>
    <w:rsid w:val="00502739"/>
    <w:rsid w:val="00504E42"/>
    <w:rsid w:val="00505D64"/>
    <w:rsid w:val="00506740"/>
    <w:rsid w:val="00506F21"/>
    <w:rsid w:val="00510E46"/>
    <w:rsid w:val="005144A3"/>
    <w:rsid w:val="00514EE6"/>
    <w:rsid w:val="00514F72"/>
    <w:rsid w:val="00516945"/>
    <w:rsid w:val="005173C4"/>
    <w:rsid w:val="00522789"/>
    <w:rsid w:val="00523AC0"/>
    <w:rsid w:val="00525F51"/>
    <w:rsid w:val="00526DE0"/>
    <w:rsid w:val="0053023C"/>
    <w:rsid w:val="00530A9F"/>
    <w:rsid w:val="0053127D"/>
    <w:rsid w:val="00532BF2"/>
    <w:rsid w:val="005347EE"/>
    <w:rsid w:val="0053566E"/>
    <w:rsid w:val="00535F02"/>
    <w:rsid w:val="00536F89"/>
    <w:rsid w:val="00541F34"/>
    <w:rsid w:val="005471C7"/>
    <w:rsid w:val="00550F8C"/>
    <w:rsid w:val="00556892"/>
    <w:rsid w:val="00557A09"/>
    <w:rsid w:val="00561D86"/>
    <w:rsid w:val="00564DF1"/>
    <w:rsid w:val="00564F1C"/>
    <w:rsid w:val="00564FC4"/>
    <w:rsid w:val="00571011"/>
    <w:rsid w:val="00571907"/>
    <w:rsid w:val="00576142"/>
    <w:rsid w:val="0057679C"/>
    <w:rsid w:val="005828D3"/>
    <w:rsid w:val="00592CB8"/>
    <w:rsid w:val="005A0E25"/>
    <w:rsid w:val="005A1CE2"/>
    <w:rsid w:val="005B14E4"/>
    <w:rsid w:val="005B6C28"/>
    <w:rsid w:val="005C1FE0"/>
    <w:rsid w:val="005C424C"/>
    <w:rsid w:val="005D3399"/>
    <w:rsid w:val="005D7F60"/>
    <w:rsid w:val="005E5E4D"/>
    <w:rsid w:val="005F7A43"/>
    <w:rsid w:val="006005DD"/>
    <w:rsid w:val="00603721"/>
    <w:rsid w:val="0061204D"/>
    <w:rsid w:val="00613389"/>
    <w:rsid w:val="00617982"/>
    <w:rsid w:val="00622B10"/>
    <w:rsid w:val="0062757A"/>
    <w:rsid w:val="00631367"/>
    <w:rsid w:val="00632100"/>
    <w:rsid w:val="00635647"/>
    <w:rsid w:val="006373F7"/>
    <w:rsid w:val="00642E92"/>
    <w:rsid w:val="00643EAB"/>
    <w:rsid w:val="00643F96"/>
    <w:rsid w:val="0064632E"/>
    <w:rsid w:val="006545F3"/>
    <w:rsid w:val="00664B58"/>
    <w:rsid w:val="006718F9"/>
    <w:rsid w:val="006757B1"/>
    <w:rsid w:val="00675B07"/>
    <w:rsid w:val="00675B68"/>
    <w:rsid w:val="006775F1"/>
    <w:rsid w:val="0068033B"/>
    <w:rsid w:val="006867D2"/>
    <w:rsid w:val="00696788"/>
    <w:rsid w:val="006972AD"/>
    <w:rsid w:val="00697386"/>
    <w:rsid w:val="006A02A1"/>
    <w:rsid w:val="006A0659"/>
    <w:rsid w:val="006A0DCD"/>
    <w:rsid w:val="006A47D9"/>
    <w:rsid w:val="006A505C"/>
    <w:rsid w:val="006A6EEA"/>
    <w:rsid w:val="006B1C97"/>
    <w:rsid w:val="006B71E7"/>
    <w:rsid w:val="006C51FF"/>
    <w:rsid w:val="006C5A0E"/>
    <w:rsid w:val="006C69DC"/>
    <w:rsid w:val="006C6FC6"/>
    <w:rsid w:val="006C71A6"/>
    <w:rsid w:val="006C7C68"/>
    <w:rsid w:val="006D30B9"/>
    <w:rsid w:val="006D7A83"/>
    <w:rsid w:val="006D7CD0"/>
    <w:rsid w:val="006E0904"/>
    <w:rsid w:val="006E2688"/>
    <w:rsid w:val="006F046B"/>
    <w:rsid w:val="006F40F2"/>
    <w:rsid w:val="006F4989"/>
    <w:rsid w:val="006F4ACA"/>
    <w:rsid w:val="006F6C19"/>
    <w:rsid w:val="006F7697"/>
    <w:rsid w:val="006F7BB1"/>
    <w:rsid w:val="00701268"/>
    <w:rsid w:val="00703E1B"/>
    <w:rsid w:val="00705950"/>
    <w:rsid w:val="00705B3C"/>
    <w:rsid w:val="00705D4A"/>
    <w:rsid w:val="00706936"/>
    <w:rsid w:val="007108E3"/>
    <w:rsid w:val="00712332"/>
    <w:rsid w:val="0071680C"/>
    <w:rsid w:val="00722955"/>
    <w:rsid w:val="0072343B"/>
    <w:rsid w:val="00725685"/>
    <w:rsid w:val="00731C00"/>
    <w:rsid w:val="00735248"/>
    <w:rsid w:val="00735297"/>
    <w:rsid w:val="00741AA8"/>
    <w:rsid w:val="00741F02"/>
    <w:rsid w:val="007427F2"/>
    <w:rsid w:val="00744F89"/>
    <w:rsid w:val="0074590A"/>
    <w:rsid w:val="00747530"/>
    <w:rsid w:val="007479ED"/>
    <w:rsid w:val="007508A7"/>
    <w:rsid w:val="007516D0"/>
    <w:rsid w:val="00753953"/>
    <w:rsid w:val="00754916"/>
    <w:rsid w:val="00756602"/>
    <w:rsid w:val="00756FA8"/>
    <w:rsid w:val="007609A1"/>
    <w:rsid w:val="00763139"/>
    <w:rsid w:val="00765381"/>
    <w:rsid w:val="0076693C"/>
    <w:rsid w:val="007767B3"/>
    <w:rsid w:val="0078210A"/>
    <w:rsid w:val="0078227A"/>
    <w:rsid w:val="00785DC7"/>
    <w:rsid w:val="00786DEA"/>
    <w:rsid w:val="00787CA5"/>
    <w:rsid w:val="00790727"/>
    <w:rsid w:val="00790EB0"/>
    <w:rsid w:val="00792C6C"/>
    <w:rsid w:val="0079461B"/>
    <w:rsid w:val="0079586C"/>
    <w:rsid w:val="007A5332"/>
    <w:rsid w:val="007A6CCF"/>
    <w:rsid w:val="007A73DD"/>
    <w:rsid w:val="007B0609"/>
    <w:rsid w:val="007B0D0B"/>
    <w:rsid w:val="007B12F3"/>
    <w:rsid w:val="007B2E2D"/>
    <w:rsid w:val="007B3602"/>
    <w:rsid w:val="007B65E7"/>
    <w:rsid w:val="007B68B5"/>
    <w:rsid w:val="007B7504"/>
    <w:rsid w:val="007C195D"/>
    <w:rsid w:val="007C3425"/>
    <w:rsid w:val="007C419B"/>
    <w:rsid w:val="007D420B"/>
    <w:rsid w:val="007D4630"/>
    <w:rsid w:val="007D4E2A"/>
    <w:rsid w:val="007D579A"/>
    <w:rsid w:val="007E03BF"/>
    <w:rsid w:val="007E03F9"/>
    <w:rsid w:val="007E7E1B"/>
    <w:rsid w:val="007F1046"/>
    <w:rsid w:val="007F1FF8"/>
    <w:rsid w:val="00801BD0"/>
    <w:rsid w:val="0080316D"/>
    <w:rsid w:val="00803E08"/>
    <w:rsid w:val="00805805"/>
    <w:rsid w:val="00805CBB"/>
    <w:rsid w:val="008128E9"/>
    <w:rsid w:val="00815043"/>
    <w:rsid w:val="0081587A"/>
    <w:rsid w:val="00816929"/>
    <w:rsid w:val="00822DD4"/>
    <w:rsid w:val="00823492"/>
    <w:rsid w:val="00825CE9"/>
    <w:rsid w:val="008318EC"/>
    <w:rsid w:val="00831984"/>
    <w:rsid w:val="0083201C"/>
    <w:rsid w:val="00834DE6"/>
    <w:rsid w:val="00837148"/>
    <w:rsid w:val="00837544"/>
    <w:rsid w:val="008435B8"/>
    <w:rsid w:val="0084513E"/>
    <w:rsid w:val="0085794F"/>
    <w:rsid w:val="00863029"/>
    <w:rsid w:val="00864791"/>
    <w:rsid w:val="008710E3"/>
    <w:rsid w:val="00871A04"/>
    <w:rsid w:val="00872E40"/>
    <w:rsid w:val="00874522"/>
    <w:rsid w:val="00874CC9"/>
    <w:rsid w:val="00885769"/>
    <w:rsid w:val="00886F9D"/>
    <w:rsid w:val="008905F4"/>
    <w:rsid w:val="0089281D"/>
    <w:rsid w:val="008A573E"/>
    <w:rsid w:val="008A5BA1"/>
    <w:rsid w:val="008B1EBE"/>
    <w:rsid w:val="008B4455"/>
    <w:rsid w:val="008C4E20"/>
    <w:rsid w:val="008C50AE"/>
    <w:rsid w:val="008C605E"/>
    <w:rsid w:val="008D0908"/>
    <w:rsid w:val="008E1356"/>
    <w:rsid w:val="008E47F8"/>
    <w:rsid w:val="008E6A42"/>
    <w:rsid w:val="008F007E"/>
    <w:rsid w:val="008F1ABF"/>
    <w:rsid w:val="008F30D5"/>
    <w:rsid w:val="008F419B"/>
    <w:rsid w:val="008F56EA"/>
    <w:rsid w:val="008F6A43"/>
    <w:rsid w:val="008F6E91"/>
    <w:rsid w:val="00907583"/>
    <w:rsid w:val="009217A9"/>
    <w:rsid w:val="00924DE5"/>
    <w:rsid w:val="00936BFE"/>
    <w:rsid w:val="0094239D"/>
    <w:rsid w:val="00951C65"/>
    <w:rsid w:val="00953EA3"/>
    <w:rsid w:val="0095551E"/>
    <w:rsid w:val="00957C75"/>
    <w:rsid w:val="00962651"/>
    <w:rsid w:val="00971324"/>
    <w:rsid w:val="00971F31"/>
    <w:rsid w:val="00973F3C"/>
    <w:rsid w:val="00975341"/>
    <w:rsid w:val="00977476"/>
    <w:rsid w:val="00983E96"/>
    <w:rsid w:val="009870AC"/>
    <w:rsid w:val="00992499"/>
    <w:rsid w:val="00992A58"/>
    <w:rsid w:val="009A1DC2"/>
    <w:rsid w:val="009A3CD3"/>
    <w:rsid w:val="009A6CCA"/>
    <w:rsid w:val="009A7368"/>
    <w:rsid w:val="009B13DA"/>
    <w:rsid w:val="009B4366"/>
    <w:rsid w:val="009B480E"/>
    <w:rsid w:val="009C1B76"/>
    <w:rsid w:val="009C3C81"/>
    <w:rsid w:val="009D08EB"/>
    <w:rsid w:val="009D4FB0"/>
    <w:rsid w:val="009D523F"/>
    <w:rsid w:val="009D57A5"/>
    <w:rsid w:val="009D603A"/>
    <w:rsid w:val="009E1C72"/>
    <w:rsid w:val="009E20DB"/>
    <w:rsid w:val="009E483D"/>
    <w:rsid w:val="009E5869"/>
    <w:rsid w:val="009E591E"/>
    <w:rsid w:val="009F4063"/>
    <w:rsid w:val="009F6978"/>
    <w:rsid w:val="009F69CD"/>
    <w:rsid w:val="00A04458"/>
    <w:rsid w:val="00A058CC"/>
    <w:rsid w:val="00A05D7A"/>
    <w:rsid w:val="00A06C16"/>
    <w:rsid w:val="00A07C3E"/>
    <w:rsid w:val="00A14336"/>
    <w:rsid w:val="00A163F5"/>
    <w:rsid w:val="00A16A28"/>
    <w:rsid w:val="00A16C5C"/>
    <w:rsid w:val="00A20FE8"/>
    <w:rsid w:val="00A22510"/>
    <w:rsid w:val="00A2543C"/>
    <w:rsid w:val="00A30CAC"/>
    <w:rsid w:val="00A338E9"/>
    <w:rsid w:val="00A35558"/>
    <w:rsid w:val="00A36014"/>
    <w:rsid w:val="00A365FC"/>
    <w:rsid w:val="00A4219E"/>
    <w:rsid w:val="00A4258C"/>
    <w:rsid w:val="00A47B57"/>
    <w:rsid w:val="00A51727"/>
    <w:rsid w:val="00A54411"/>
    <w:rsid w:val="00A567B3"/>
    <w:rsid w:val="00A577D0"/>
    <w:rsid w:val="00A6248B"/>
    <w:rsid w:val="00A659B4"/>
    <w:rsid w:val="00A65F90"/>
    <w:rsid w:val="00A71978"/>
    <w:rsid w:val="00A75543"/>
    <w:rsid w:val="00A77170"/>
    <w:rsid w:val="00A86CD1"/>
    <w:rsid w:val="00A9067F"/>
    <w:rsid w:val="00A920E0"/>
    <w:rsid w:val="00A9462A"/>
    <w:rsid w:val="00A965EB"/>
    <w:rsid w:val="00A97C87"/>
    <w:rsid w:val="00AA0FB8"/>
    <w:rsid w:val="00AA27B5"/>
    <w:rsid w:val="00AA6F8A"/>
    <w:rsid w:val="00AB44EB"/>
    <w:rsid w:val="00AB5C53"/>
    <w:rsid w:val="00AB6099"/>
    <w:rsid w:val="00AC092E"/>
    <w:rsid w:val="00AC4ADC"/>
    <w:rsid w:val="00AD2FF7"/>
    <w:rsid w:val="00AD6391"/>
    <w:rsid w:val="00AD7418"/>
    <w:rsid w:val="00AD7E0D"/>
    <w:rsid w:val="00AE00E1"/>
    <w:rsid w:val="00AE0CAA"/>
    <w:rsid w:val="00AE1F7A"/>
    <w:rsid w:val="00AF03BC"/>
    <w:rsid w:val="00AF0A9D"/>
    <w:rsid w:val="00AF3284"/>
    <w:rsid w:val="00AF5233"/>
    <w:rsid w:val="00AF78C4"/>
    <w:rsid w:val="00B01188"/>
    <w:rsid w:val="00B02BD2"/>
    <w:rsid w:val="00B040E2"/>
    <w:rsid w:val="00B06478"/>
    <w:rsid w:val="00B064A3"/>
    <w:rsid w:val="00B10EF6"/>
    <w:rsid w:val="00B14284"/>
    <w:rsid w:val="00B20B5E"/>
    <w:rsid w:val="00B30DDC"/>
    <w:rsid w:val="00B30EF0"/>
    <w:rsid w:val="00B40BC9"/>
    <w:rsid w:val="00B41B42"/>
    <w:rsid w:val="00B42042"/>
    <w:rsid w:val="00B4293C"/>
    <w:rsid w:val="00B435BF"/>
    <w:rsid w:val="00B43627"/>
    <w:rsid w:val="00B44B97"/>
    <w:rsid w:val="00B45902"/>
    <w:rsid w:val="00B46CC1"/>
    <w:rsid w:val="00B47B95"/>
    <w:rsid w:val="00B52ABF"/>
    <w:rsid w:val="00B53951"/>
    <w:rsid w:val="00B55C44"/>
    <w:rsid w:val="00B57E8A"/>
    <w:rsid w:val="00B62271"/>
    <w:rsid w:val="00B62920"/>
    <w:rsid w:val="00B62D05"/>
    <w:rsid w:val="00B7393C"/>
    <w:rsid w:val="00B73AD6"/>
    <w:rsid w:val="00B74E62"/>
    <w:rsid w:val="00B77460"/>
    <w:rsid w:val="00B8047F"/>
    <w:rsid w:val="00B907C8"/>
    <w:rsid w:val="00B94211"/>
    <w:rsid w:val="00B948A2"/>
    <w:rsid w:val="00B94C47"/>
    <w:rsid w:val="00B94F6C"/>
    <w:rsid w:val="00BA4578"/>
    <w:rsid w:val="00BB0E5C"/>
    <w:rsid w:val="00BB3884"/>
    <w:rsid w:val="00BB4405"/>
    <w:rsid w:val="00BB73AB"/>
    <w:rsid w:val="00BC0559"/>
    <w:rsid w:val="00BC371E"/>
    <w:rsid w:val="00BC5AFF"/>
    <w:rsid w:val="00BD0F06"/>
    <w:rsid w:val="00BD23CC"/>
    <w:rsid w:val="00BD24A7"/>
    <w:rsid w:val="00BD2706"/>
    <w:rsid w:val="00BD622D"/>
    <w:rsid w:val="00BE43E0"/>
    <w:rsid w:val="00BE7D88"/>
    <w:rsid w:val="00BF0F21"/>
    <w:rsid w:val="00BF4C70"/>
    <w:rsid w:val="00BF5D8D"/>
    <w:rsid w:val="00BF7654"/>
    <w:rsid w:val="00C027D1"/>
    <w:rsid w:val="00C05359"/>
    <w:rsid w:val="00C078C6"/>
    <w:rsid w:val="00C1163F"/>
    <w:rsid w:val="00C12C85"/>
    <w:rsid w:val="00C13A29"/>
    <w:rsid w:val="00C16927"/>
    <w:rsid w:val="00C16C38"/>
    <w:rsid w:val="00C206BF"/>
    <w:rsid w:val="00C2479F"/>
    <w:rsid w:val="00C3008E"/>
    <w:rsid w:val="00C3270B"/>
    <w:rsid w:val="00C339A3"/>
    <w:rsid w:val="00C345E1"/>
    <w:rsid w:val="00C372E2"/>
    <w:rsid w:val="00C40D33"/>
    <w:rsid w:val="00C42547"/>
    <w:rsid w:val="00C60B5C"/>
    <w:rsid w:val="00C65E4B"/>
    <w:rsid w:val="00C670C1"/>
    <w:rsid w:val="00C707C6"/>
    <w:rsid w:val="00C71546"/>
    <w:rsid w:val="00C7192F"/>
    <w:rsid w:val="00C71D93"/>
    <w:rsid w:val="00C75391"/>
    <w:rsid w:val="00C753FE"/>
    <w:rsid w:val="00C82CD6"/>
    <w:rsid w:val="00C861F7"/>
    <w:rsid w:val="00C87986"/>
    <w:rsid w:val="00C92041"/>
    <w:rsid w:val="00C92EED"/>
    <w:rsid w:val="00CA0095"/>
    <w:rsid w:val="00CA75E5"/>
    <w:rsid w:val="00CB6F8A"/>
    <w:rsid w:val="00CC157B"/>
    <w:rsid w:val="00CC2259"/>
    <w:rsid w:val="00CC7A81"/>
    <w:rsid w:val="00CD13F6"/>
    <w:rsid w:val="00CD280B"/>
    <w:rsid w:val="00CD5AAD"/>
    <w:rsid w:val="00CD66F7"/>
    <w:rsid w:val="00CD742A"/>
    <w:rsid w:val="00CE2A72"/>
    <w:rsid w:val="00CE537E"/>
    <w:rsid w:val="00CE69F1"/>
    <w:rsid w:val="00CE75D2"/>
    <w:rsid w:val="00CE7762"/>
    <w:rsid w:val="00CE7BC8"/>
    <w:rsid w:val="00CE7C15"/>
    <w:rsid w:val="00CF4057"/>
    <w:rsid w:val="00CF48F7"/>
    <w:rsid w:val="00D0089B"/>
    <w:rsid w:val="00D00B88"/>
    <w:rsid w:val="00D0487B"/>
    <w:rsid w:val="00D110CE"/>
    <w:rsid w:val="00D1226A"/>
    <w:rsid w:val="00D13129"/>
    <w:rsid w:val="00D13EEF"/>
    <w:rsid w:val="00D248EE"/>
    <w:rsid w:val="00D27A9A"/>
    <w:rsid w:val="00D32092"/>
    <w:rsid w:val="00D340CB"/>
    <w:rsid w:val="00D376C1"/>
    <w:rsid w:val="00D37D28"/>
    <w:rsid w:val="00D40F31"/>
    <w:rsid w:val="00D5695B"/>
    <w:rsid w:val="00D57EBE"/>
    <w:rsid w:val="00D63839"/>
    <w:rsid w:val="00D63E97"/>
    <w:rsid w:val="00D80195"/>
    <w:rsid w:val="00D80A0B"/>
    <w:rsid w:val="00D825FC"/>
    <w:rsid w:val="00D84C3F"/>
    <w:rsid w:val="00D86625"/>
    <w:rsid w:val="00D903B3"/>
    <w:rsid w:val="00D91315"/>
    <w:rsid w:val="00D944F2"/>
    <w:rsid w:val="00D950C6"/>
    <w:rsid w:val="00DA106B"/>
    <w:rsid w:val="00DA25EF"/>
    <w:rsid w:val="00DA42A9"/>
    <w:rsid w:val="00DB0341"/>
    <w:rsid w:val="00DB24F1"/>
    <w:rsid w:val="00DB4220"/>
    <w:rsid w:val="00DB507C"/>
    <w:rsid w:val="00DB6778"/>
    <w:rsid w:val="00DB736E"/>
    <w:rsid w:val="00DB7E77"/>
    <w:rsid w:val="00DC0224"/>
    <w:rsid w:val="00DC3DE5"/>
    <w:rsid w:val="00DD0ED2"/>
    <w:rsid w:val="00DD2493"/>
    <w:rsid w:val="00DD3F00"/>
    <w:rsid w:val="00DD43B1"/>
    <w:rsid w:val="00DD4C87"/>
    <w:rsid w:val="00DD5DF5"/>
    <w:rsid w:val="00DD5E5B"/>
    <w:rsid w:val="00DE2E5C"/>
    <w:rsid w:val="00DE6EE3"/>
    <w:rsid w:val="00DF384F"/>
    <w:rsid w:val="00DF544B"/>
    <w:rsid w:val="00DF6A85"/>
    <w:rsid w:val="00DF7DE0"/>
    <w:rsid w:val="00DF7E81"/>
    <w:rsid w:val="00E006AD"/>
    <w:rsid w:val="00E00BD3"/>
    <w:rsid w:val="00E0664E"/>
    <w:rsid w:val="00E12303"/>
    <w:rsid w:val="00E17384"/>
    <w:rsid w:val="00E21DE2"/>
    <w:rsid w:val="00E309E5"/>
    <w:rsid w:val="00E34E81"/>
    <w:rsid w:val="00E35252"/>
    <w:rsid w:val="00E356DE"/>
    <w:rsid w:val="00E36207"/>
    <w:rsid w:val="00E36853"/>
    <w:rsid w:val="00E40655"/>
    <w:rsid w:val="00E41F00"/>
    <w:rsid w:val="00E4338C"/>
    <w:rsid w:val="00E44807"/>
    <w:rsid w:val="00E52778"/>
    <w:rsid w:val="00E55C76"/>
    <w:rsid w:val="00E574C8"/>
    <w:rsid w:val="00E61849"/>
    <w:rsid w:val="00E61F87"/>
    <w:rsid w:val="00E62041"/>
    <w:rsid w:val="00E6375C"/>
    <w:rsid w:val="00E70A8B"/>
    <w:rsid w:val="00E70AEC"/>
    <w:rsid w:val="00E729B9"/>
    <w:rsid w:val="00E75B8A"/>
    <w:rsid w:val="00E83C28"/>
    <w:rsid w:val="00E85BF9"/>
    <w:rsid w:val="00E93C46"/>
    <w:rsid w:val="00E94612"/>
    <w:rsid w:val="00E950C8"/>
    <w:rsid w:val="00E95362"/>
    <w:rsid w:val="00E9655D"/>
    <w:rsid w:val="00E97027"/>
    <w:rsid w:val="00E9722E"/>
    <w:rsid w:val="00E97F70"/>
    <w:rsid w:val="00EA2355"/>
    <w:rsid w:val="00EA7358"/>
    <w:rsid w:val="00EB17EE"/>
    <w:rsid w:val="00EB185F"/>
    <w:rsid w:val="00EB4846"/>
    <w:rsid w:val="00EB5E8E"/>
    <w:rsid w:val="00EB6C60"/>
    <w:rsid w:val="00EB7930"/>
    <w:rsid w:val="00EB7F2A"/>
    <w:rsid w:val="00EC1B28"/>
    <w:rsid w:val="00EC2BC7"/>
    <w:rsid w:val="00EC4C98"/>
    <w:rsid w:val="00EC5F9C"/>
    <w:rsid w:val="00ED29F7"/>
    <w:rsid w:val="00EE17AF"/>
    <w:rsid w:val="00EE3E2F"/>
    <w:rsid w:val="00EE58CE"/>
    <w:rsid w:val="00EF07BE"/>
    <w:rsid w:val="00EF10D2"/>
    <w:rsid w:val="00EF2EFE"/>
    <w:rsid w:val="00EF37F1"/>
    <w:rsid w:val="00EF4BF8"/>
    <w:rsid w:val="00EF7FF9"/>
    <w:rsid w:val="00F0244B"/>
    <w:rsid w:val="00F02EA2"/>
    <w:rsid w:val="00F04AA8"/>
    <w:rsid w:val="00F04D52"/>
    <w:rsid w:val="00F05CA5"/>
    <w:rsid w:val="00F07C79"/>
    <w:rsid w:val="00F123A8"/>
    <w:rsid w:val="00F1422E"/>
    <w:rsid w:val="00F16520"/>
    <w:rsid w:val="00F219C9"/>
    <w:rsid w:val="00F24D77"/>
    <w:rsid w:val="00F26246"/>
    <w:rsid w:val="00F27A00"/>
    <w:rsid w:val="00F334A8"/>
    <w:rsid w:val="00F34762"/>
    <w:rsid w:val="00F41277"/>
    <w:rsid w:val="00F41F60"/>
    <w:rsid w:val="00F42740"/>
    <w:rsid w:val="00F45B93"/>
    <w:rsid w:val="00F47262"/>
    <w:rsid w:val="00F53288"/>
    <w:rsid w:val="00F57F2F"/>
    <w:rsid w:val="00F602FC"/>
    <w:rsid w:val="00F60F49"/>
    <w:rsid w:val="00F610C4"/>
    <w:rsid w:val="00F61174"/>
    <w:rsid w:val="00F6142F"/>
    <w:rsid w:val="00F623A4"/>
    <w:rsid w:val="00F64D7F"/>
    <w:rsid w:val="00F66B98"/>
    <w:rsid w:val="00F72BD2"/>
    <w:rsid w:val="00F72FF7"/>
    <w:rsid w:val="00F74A08"/>
    <w:rsid w:val="00F80286"/>
    <w:rsid w:val="00F8231B"/>
    <w:rsid w:val="00F837B4"/>
    <w:rsid w:val="00F83E3B"/>
    <w:rsid w:val="00F84FB2"/>
    <w:rsid w:val="00F94BB1"/>
    <w:rsid w:val="00F960DF"/>
    <w:rsid w:val="00F97E20"/>
    <w:rsid w:val="00FA1A27"/>
    <w:rsid w:val="00FA262D"/>
    <w:rsid w:val="00FA5C49"/>
    <w:rsid w:val="00FA73B5"/>
    <w:rsid w:val="00FA76E8"/>
    <w:rsid w:val="00FA7B85"/>
    <w:rsid w:val="00FB58EA"/>
    <w:rsid w:val="00FB6619"/>
    <w:rsid w:val="00FC0450"/>
    <w:rsid w:val="00FC1884"/>
    <w:rsid w:val="00FD7204"/>
    <w:rsid w:val="00FE04B4"/>
    <w:rsid w:val="00FE7C7D"/>
    <w:rsid w:val="00FF1C63"/>
    <w:rsid w:val="00FF35CD"/>
    <w:rsid w:val="00FF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6A7385"/>
  <w15:chartTrackingRefBased/>
  <w15:docId w15:val="{295CA198-176F-420E-BC3A-AB57108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7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7982"/>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blueten1">
    <w:name w:val="blueten1"/>
    <w:rsid w:val="006A0DCD"/>
    <w:rPr>
      <w:rFonts w:ascii="Verdana" w:hAnsi="Verdana" w:hint="default"/>
      <w:color w:val="003399"/>
      <w:sz w:val="19"/>
      <w:szCs w:val="19"/>
    </w:rPr>
  </w:style>
  <w:style w:type="paragraph" w:styleId="Footer">
    <w:name w:val="footer"/>
    <w:basedOn w:val="Normal"/>
    <w:link w:val="FooterChar"/>
    <w:uiPriority w:val="99"/>
    <w:rsid w:val="00504E42"/>
    <w:pPr>
      <w:tabs>
        <w:tab w:val="center" w:pos="4320"/>
        <w:tab w:val="right" w:pos="8640"/>
      </w:tabs>
    </w:pPr>
  </w:style>
  <w:style w:type="character" w:styleId="PageNumber">
    <w:name w:val="page number"/>
    <w:basedOn w:val="DefaultParagraphFont"/>
    <w:rsid w:val="00504E42"/>
  </w:style>
  <w:style w:type="paragraph" w:styleId="FootnoteText">
    <w:name w:val="footnote text"/>
    <w:basedOn w:val="Normal"/>
    <w:semiHidden/>
    <w:rsid w:val="00631367"/>
    <w:rPr>
      <w:sz w:val="20"/>
      <w:szCs w:val="20"/>
    </w:rPr>
  </w:style>
  <w:style w:type="paragraph" w:styleId="DocumentMap">
    <w:name w:val="Document Map"/>
    <w:basedOn w:val="Normal"/>
    <w:semiHidden/>
    <w:rsid w:val="006B71E7"/>
    <w:pPr>
      <w:shd w:val="clear" w:color="auto" w:fill="000080"/>
    </w:pPr>
    <w:rPr>
      <w:rFonts w:ascii="Tahoma" w:hAnsi="Tahoma" w:cs="Tahoma"/>
      <w:sz w:val="20"/>
      <w:szCs w:val="20"/>
    </w:rPr>
  </w:style>
  <w:style w:type="character" w:styleId="Hyperlink">
    <w:name w:val="Hyperlink"/>
    <w:rsid w:val="002040F5"/>
    <w:rPr>
      <w:color w:val="0000FF"/>
      <w:u w:val="single"/>
    </w:rPr>
  </w:style>
  <w:style w:type="paragraph" w:styleId="EndnoteText">
    <w:name w:val="endnote text"/>
    <w:basedOn w:val="Normal"/>
    <w:semiHidden/>
    <w:rsid w:val="003A68DA"/>
    <w:rPr>
      <w:sz w:val="20"/>
      <w:szCs w:val="20"/>
    </w:rPr>
  </w:style>
  <w:style w:type="character" w:styleId="EndnoteReference">
    <w:name w:val="endnote reference"/>
    <w:semiHidden/>
    <w:rsid w:val="003A68DA"/>
    <w:rPr>
      <w:vertAlign w:val="superscript"/>
    </w:rPr>
  </w:style>
  <w:style w:type="paragraph" w:styleId="Header">
    <w:name w:val="header"/>
    <w:basedOn w:val="Normal"/>
    <w:link w:val="HeaderChar"/>
    <w:uiPriority w:val="99"/>
    <w:rsid w:val="00AF3284"/>
    <w:pPr>
      <w:tabs>
        <w:tab w:val="center" w:pos="4680"/>
        <w:tab w:val="right" w:pos="9360"/>
      </w:tabs>
    </w:pPr>
  </w:style>
  <w:style w:type="character" w:customStyle="1" w:styleId="HeaderChar">
    <w:name w:val="Header Char"/>
    <w:link w:val="Header"/>
    <w:uiPriority w:val="99"/>
    <w:rsid w:val="00AF3284"/>
    <w:rPr>
      <w:rFonts w:ascii="Courier" w:hAnsi="Courier"/>
      <w:sz w:val="24"/>
      <w:szCs w:val="24"/>
    </w:rPr>
  </w:style>
  <w:style w:type="character" w:styleId="CommentReference">
    <w:name w:val="annotation reference"/>
    <w:uiPriority w:val="99"/>
    <w:rsid w:val="00D63E97"/>
    <w:rPr>
      <w:sz w:val="16"/>
      <w:szCs w:val="16"/>
    </w:rPr>
  </w:style>
  <w:style w:type="paragraph" w:styleId="CommentText">
    <w:name w:val="annotation text"/>
    <w:basedOn w:val="Normal"/>
    <w:link w:val="CommentTextChar"/>
    <w:rsid w:val="00D63E97"/>
    <w:rPr>
      <w:sz w:val="20"/>
      <w:szCs w:val="20"/>
    </w:rPr>
  </w:style>
  <w:style w:type="character" w:customStyle="1" w:styleId="CommentTextChar">
    <w:name w:val="Comment Text Char"/>
    <w:link w:val="CommentText"/>
    <w:rsid w:val="00D63E97"/>
    <w:rPr>
      <w:rFonts w:ascii="Courier" w:hAnsi="Courier"/>
    </w:rPr>
  </w:style>
  <w:style w:type="paragraph" w:styleId="CommentSubject">
    <w:name w:val="annotation subject"/>
    <w:basedOn w:val="CommentText"/>
    <w:next w:val="CommentText"/>
    <w:link w:val="CommentSubjectChar"/>
    <w:rsid w:val="00D63E97"/>
    <w:rPr>
      <w:b/>
      <w:bCs/>
    </w:rPr>
  </w:style>
  <w:style w:type="character" w:customStyle="1" w:styleId="CommentSubjectChar">
    <w:name w:val="Comment Subject Char"/>
    <w:link w:val="CommentSubject"/>
    <w:rsid w:val="00D63E97"/>
    <w:rPr>
      <w:rFonts w:ascii="Courier" w:hAnsi="Courier"/>
      <w:b/>
      <w:bCs/>
    </w:rPr>
  </w:style>
  <w:style w:type="paragraph" w:styleId="Revision">
    <w:name w:val="Revision"/>
    <w:hidden/>
    <w:uiPriority w:val="99"/>
    <w:semiHidden/>
    <w:rsid w:val="00532BF2"/>
    <w:rPr>
      <w:rFonts w:ascii="Courier" w:hAnsi="Courier"/>
      <w:sz w:val="24"/>
      <w:szCs w:val="24"/>
    </w:rPr>
  </w:style>
  <w:style w:type="character" w:styleId="FollowedHyperlink">
    <w:name w:val="FollowedHyperlink"/>
    <w:rsid w:val="00A14336"/>
    <w:rPr>
      <w:color w:val="800080"/>
      <w:u w:val="single"/>
    </w:rPr>
  </w:style>
  <w:style w:type="paragraph" w:customStyle="1" w:styleId="Default">
    <w:name w:val="Default"/>
    <w:rsid w:val="00CD280B"/>
    <w:pPr>
      <w:autoSpaceDE w:val="0"/>
      <w:autoSpaceDN w:val="0"/>
      <w:adjustRightInd w:val="0"/>
    </w:pPr>
    <w:rPr>
      <w:color w:val="000000"/>
      <w:sz w:val="24"/>
      <w:szCs w:val="24"/>
    </w:rPr>
  </w:style>
  <w:style w:type="character" w:customStyle="1" w:styleId="FooterChar">
    <w:name w:val="Footer Char"/>
    <w:link w:val="Footer"/>
    <w:uiPriority w:val="99"/>
    <w:rsid w:val="00A965E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548">
      <w:bodyDiv w:val="1"/>
      <w:marLeft w:val="0"/>
      <w:marRight w:val="0"/>
      <w:marTop w:val="0"/>
      <w:marBottom w:val="0"/>
      <w:divBdr>
        <w:top w:val="none" w:sz="0" w:space="0" w:color="auto"/>
        <w:left w:val="none" w:sz="0" w:space="0" w:color="auto"/>
        <w:bottom w:val="none" w:sz="0" w:space="0" w:color="auto"/>
        <w:right w:val="none" w:sz="0" w:space="0" w:color="auto"/>
      </w:divBdr>
    </w:div>
    <w:div w:id="126972311">
      <w:bodyDiv w:val="1"/>
      <w:marLeft w:val="0"/>
      <w:marRight w:val="0"/>
      <w:marTop w:val="0"/>
      <w:marBottom w:val="0"/>
      <w:divBdr>
        <w:top w:val="none" w:sz="0" w:space="0" w:color="auto"/>
        <w:left w:val="none" w:sz="0" w:space="0" w:color="auto"/>
        <w:bottom w:val="none" w:sz="0" w:space="0" w:color="auto"/>
        <w:right w:val="none" w:sz="0" w:space="0" w:color="auto"/>
      </w:divBdr>
    </w:div>
    <w:div w:id="222906589">
      <w:bodyDiv w:val="1"/>
      <w:marLeft w:val="0"/>
      <w:marRight w:val="0"/>
      <w:marTop w:val="0"/>
      <w:marBottom w:val="0"/>
      <w:divBdr>
        <w:top w:val="none" w:sz="0" w:space="0" w:color="auto"/>
        <w:left w:val="none" w:sz="0" w:space="0" w:color="auto"/>
        <w:bottom w:val="none" w:sz="0" w:space="0" w:color="auto"/>
        <w:right w:val="none" w:sz="0" w:space="0" w:color="auto"/>
      </w:divBdr>
    </w:div>
    <w:div w:id="289094322">
      <w:bodyDiv w:val="1"/>
      <w:marLeft w:val="0"/>
      <w:marRight w:val="0"/>
      <w:marTop w:val="0"/>
      <w:marBottom w:val="0"/>
      <w:divBdr>
        <w:top w:val="none" w:sz="0" w:space="0" w:color="auto"/>
        <w:left w:val="none" w:sz="0" w:space="0" w:color="auto"/>
        <w:bottom w:val="none" w:sz="0" w:space="0" w:color="auto"/>
        <w:right w:val="none" w:sz="0" w:space="0" w:color="auto"/>
      </w:divBdr>
    </w:div>
    <w:div w:id="372846075">
      <w:bodyDiv w:val="1"/>
      <w:marLeft w:val="0"/>
      <w:marRight w:val="0"/>
      <w:marTop w:val="0"/>
      <w:marBottom w:val="0"/>
      <w:divBdr>
        <w:top w:val="none" w:sz="0" w:space="0" w:color="auto"/>
        <w:left w:val="none" w:sz="0" w:space="0" w:color="auto"/>
        <w:bottom w:val="none" w:sz="0" w:space="0" w:color="auto"/>
        <w:right w:val="none" w:sz="0" w:space="0" w:color="auto"/>
      </w:divBdr>
    </w:div>
    <w:div w:id="400520901">
      <w:bodyDiv w:val="1"/>
      <w:marLeft w:val="0"/>
      <w:marRight w:val="0"/>
      <w:marTop w:val="0"/>
      <w:marBottom w:val="0"/>
      <w:divBdr>
        <w:top w:val="none" w:sz="0" w:space="0" w:color="auto"/>
        <w:left w:val="none" w:sz="0" w:space="0" w:color="auto"/>
        <w:bottom w:val="none" w:sz="0" w:space="0" w:color="auto"/>
        <w:right w:val="none" w:sz="0" w:space="0" w:color="auto"/>
      </w:divBdr>
    </w:div>
    <w:div w:id="1145700697">
      <w:bodyDiv w:val="1"/>
      <w:marLeft w:val="0"/>
      <w:marRight w:val="0"/>
      <w:marTop w:val="0"/>
      <w:marBottom w:val="0"/>
      <w:divBdr>
        <w:top w:val="none" w:sz="0" w:space="0" w:color="auto"/>
        <w:left w:val="none" w:sz="0" w:space="0" w:color="auto"/>
        <w:bottom w:val="none" w:sz="0" w:space="0" w:color="auto"/>
        <w:right w:val="none" w:sz="0" w:space="0" w:color="auto"/>
      </w:divBdr>
    </w:div>
    <w:div w:id="1455096935">
      <w:bodyDiv w:val="1"/>
      <w:marLeft w:val="0"/>
      <w:marRight w:val="0"/>
      <w:marTop w:val="0"/>
      <w:marBottom w:val="0"/>
      <w:divBdr>
        <w:top w:val="none" w:sz="0" w:space="0" w:color="auto"/>
        <w:left w:val="none" w:sz="0" w:space="0" w:color="auto"/>
        <w:bottom w:val="none" w:sz="0" w:space="0" w:color="auto"/>
        <w:right w:val="none" w:sz="0" w:space="0" w:color="auto"/>
      </w:divBdr>
    </w:div>
    <w:div w:id="20246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ls.gov/oes/tabl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3F30-A537-43F2-AB90-EA4CB235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5198</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34764</CharactersWithSpaces>
  <SharedDoc>false</SharedDoc>
  <HLinks>
    <vt:vector size="12" baseType="variant">
      <vt:variant>
        <vt:i4>7798815</vt:i4>
      </vt:variant>
      <vt:variant>
        <vt:i4>3</vt:i4>
      </vt:variant>
      <vt:variant>
        <vt:i4>0</vt:i4>
      </vt:variant>
      <vt:variant>
        <vt:i4>5</vt:i4>
      </vt:variant>
      <vt:variant>
        <vt:lpwstr>https://www.bls.gov/oes/current/oes_nat.htm</vt:lpwstr>
      </vt:variant>
      <vt:variant>
        <vt:lpwstr>00-0000</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Perryman, Seleda M - OSHA</cp:lastModifiedBy>
  <cp:revision>2</cp:revision>
  <cp:lastPrinted>2017-08-29T15:44:00Z</cp:lastPrinted>
  <dcterms:created xsi:type="dcterms:W3CDTF">2021-01-16T01:33:00Z</dcterms:created>
  <dcterms:modified xsi:type="dcterms:W3CDTF">2021-01-16T01:33:00Z</dcterms:modified>
</cp:coreProperties>
</file>