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E0CCD" w:rsidR="005830BA" w:rsidP="009417CD" w:rsidRDefault="005830BA" w14:paraId="50A51DDD" w14:textId="77777777">
      <w:pPr>
        <w:pStyle w:val="Title"/>
        <w:rPr>
          <w:sz w:val="28"/>
          <w:szCs w:val="28"/>
        </w:rPr>
      </w:pPr>
      <w:r w:rsidRPr="00FE0CCD">
        <w:rPr>
          <w:sz w:val="28"/>
          <w:szCs w:val="28"/>
        </w:rPr>
        <w:t>SUPPORTING STATEMENT FOR</w:t>
      </w:r>
    </w:p>
    <w:p w:rsidRPr="00FE0CCD" w:rsidR="00B601AB" w:rsidP="009417CD" w:rsidRDefault="00B601AB" w14:paraId="69779979" w14:textId="77777777">
      <w:pPr>
        <w:pStyle w:val="Title"/>
        <w:rPr>
          <w:sz w:val="28"/>
          <w:szCs w:val="28"/>
        </w:rPr>
      </w:pPr>
      <w:r w:rsidRPr="00FE0CCD">
        <w:rPr>
          <w:sz w:val="28"/>
          <w:szCs w:val="28"/>
        </w:rPr>
        <w:t>PAPE</w:t>
      </w:r>
      <w:r w:rsidRPr="00FE0CCD" w:rsidR="002B2345">
        <w:rPr>
          <w:sz w:val="28"/>
          <w:szCs w:val="28"/>
        </w:rPr>
        <w:t>RWORK REDUCTION ACT SUBMISSION</w:t>
      </w:r>
    </w:p>
    <w:p w:rsidRPr="00FE0CCD" w:rsidR="00B601AB" w:rsidP="009417CD" w:rsidRDefault="00B601AB" w14:paraId="2C47B044" w14:textId="77777777">
      <w:pPr>
        <w:ind w:firstLine="360"/>
        <w:jc w:val="center"/>
        <w:rPr>
          <w:sz w:val="28"/>
          <w:szCs w:val="28"/>
        </w:rPr>
      </w:pPr>
    </w:p>
    <w:p w:rsidRPr="00FE0CCD" w:rsidR="00F81813" w:rsidP="009417CD" w:rsidRDefault="00F81813" w14:paraId="5541FD77" w14:textId="77777777">
      <w:pPr>
        <w:jc w:val="center"/>
        <w:rPr>
          <w:b/>
          <w:sz w:val="28"/>
          <w:szCs w:val="28"/>
        </w:rPr>
      </w:pPr>
      <w:r w:rsidRPr="00FE0CCD">
        <w:rPr>
          <w:b/>
          <w:sz w:val="28"/>
          <w:szCs w:val="28"/>
        </w:rPr>
        <w:t>Request for Advisory Opinion</w:t>
      </w:r>
    </w:p>
    <w:p w:rsidRPr="00FE0CCD" w:rsidR="00F81813" w:rsidP="009417CD" w:rsidRDefault="00F81813" w14:paraId="5FA5931F" w14:textId="77777777">
      <w:pPr>
        <w:jc w:val="center"/>
        <w:rPr>
          <w:b/>
          <w:sz w:val="28"/>
          <w:szCs w:val="28"/>
        </w:rPr>
      </w:pPr>
      <w:r w:rsidRPr="00FE0CCD">
        <w:rPr>
          <w:b/>
          <w:sz w:val="28"/>
          <w:szCs w:val="28"/>
        </w:rPr>
        <w:t>OMB No. 1405-0174</w:t>
      </w:r>
    </w:p>
    <w:p w:rsidRPr="00FE0CCD" w:rsidR="00B601AB" w:rsidP="009417CD" w:rsidRDefault="00F81813" w14:paraId="6E0A04BE" w14:textId="77777777">
      <w:pPr>
        <w:pStyle w:val="BodyText3"/>
        <w:rPr>
          <w:szCs w:val="28"/>
        </w:rPr>
      </w:pPr>
      <w:r w:rsidRPr="00FE0CCD">
        <w:rPr>
          <w:szCs w:val="28"/>
        </w:rPr>
        <w:t xml:space="preserve">Form </w:t>
      </w:r>
      <w:r w:rsidR="004442DA">
        <w:rPr>
          <w:szCs w:val="28"/>
        </w:rPr>
        <w:t>Number DS-7786</w:t>
      </w:r>
    </w:p>
    <w:p w:rsidRPr="00FE0CCD" w:rsidR="00B601AB" w:rsidP="009417CD" w:rsidRDefault="00B601AB" w14:paraId="1164F03A" w14:textId="77777777">
      <w:pPr>
        <w:jc w:val="center"/>
        <w:rPr>
          <w:b/>
          <w:sz w:val="28"/>
          <w:szCs w:val="28"/>
        </w:rPr>
      </w:pPr>
    </w:p>
    <w:p w:rsidRPr="00FE0CCD" w:rsidR="00B601AB" w:rsidP="009417CD" w:rsidRDefault="00B601AB" w14:paraId="686096A4" w14:textId="77777777">
      <w:pPr>
        <w:pStyle w:val="Heading2"/>
        <w:jc w:val="left"/>
        <w:rPr>
          <w:color w:val="auto"/>
          <w:sz w:val="28"/>
          <w:szCs w:val="28"/>
        </w:rPr>
      </w:pPr>
      <w:r w:rsidRPr="00FE0CCD">
        <w:rPr>
          <w:color w:val="auto"/>
          <w:sz w:val="28"/>
          <w:szCs w:val="28"/>
        </w:rPr>
        <w:t>A.  Justification</w:t>
      </w:r>
    </w:p>
    <w:p w:rsidRPr="007342CA" w:rsidR="00B601AB" w:rsidP="007342CA" w:rsidRDefault="00B601AB" w14:paraId="5C800CE9" w14:textId="77777777">
      <w:pPr>
        <w:spacing w:line="276" w:lineRule="auto"/>
        <w:jc w:val="center"/>
        <w:rPr>
          <w:b/>
          <w:szCs w:val="24"/>
        </w:rPr>
      </w:pPr>
    </w:p>
    <w:p w:rsidRPr="007342CA" w:rsidR="00B56A0A" w:rsidP="007342CA" w:rsidRDefault="00B56A0A" w14:paraId="377C1FBC" w14:textId="77777777">
      <w:pPr>
        <w:pStyle w:val="BodyText2"/>
        <w:numPr>
          <w:ilvl w:val="0"/>
          <w:numId w:val="12"/>
        </w:numPr>
        <w:spacing w:line="276" w:lineRule="auto"/>
        <w:ind w:left="540" w:hanging="540"/>
        <w:rPr>
          <w:sz w:val="24"/>
          <w:szCs w:val="24"/>
          <w:u w:val="single"/>
        </w:rPr>
      </w:pPr>
      <w:r w:rsidRPr="007342CA">
        <w:rPr>
          <w:sz w:val="24"/>
          <w:szCs w:val="24"/>
          <w:u w:val="single"/>
        </w:rPr>
        <w:t>Why is this collection necessary and what are the legal statutes that allow this?</w:t>
      </w:r>
    </w:p>
    <w:p w:rsidR="00B601AB" w:rsidP="005508EA" w:rsidRDefault="00CB647F" w14:paraId="2FDA4803" w14:textId="6F11166F">
      <w:pPr>
        <w:pStyle w:val="BodyText2"/>
        <w:spacing w:line="276" w:lineRule="auto"/>
        <w:rPr>
          <w:sz w:val="24"/>
          <w:szCs w:val="24"/>
        </w:rPr>
      </w:pPr>
      <w:r>
        <w:rPr>
          <w:sz w:val="24"/>
          <w:szCs w:val="24"/>
        </w:rPr>
        <w:t xml:space="preserve">The </w:t>
      </w:r>
      <w:r w:rsidRPr="007342CA">
        <w:rPr>
          <w:sz w:val="24"/>
          <w:szCs w:val="24"/>
        </w:rPr>
        <w:t>Department of State’s Bureau of Political-Military Affairs</w:t>
      </w:r>
      <w:r>
        <w:rPr>
          <w:sz w:val="24"/>
          <w:szCs w:val="24"/>
        </w:rPr>
        <w:t xml:space="preserve">, </w:t>
      </w:r>
      <w:r w:rsidRPr="007342CA" w:rsidR="002B2345">
        <w:rPr>
          <w:sz w:val="24"/>
          <w:szCs w:val="24"/>
        </w:rPr>
        <w:t>Directorate of Defense Trade Controls (DDTC), has the principal missions of taking final action on license applications and other requests for defense trade transactions via commercial channels, ensuring compliance with the statute and regulations</w:t>
      </w:r>
      <w:r w:rsidRPr="007342CA" w:rsidR="005103D1">
        <w:rPr>
          <w:sz w:val="24"/>
          <w:szCs w:val="24"/>
        </w:rPr>
        <w:t>,</w:t>
      </w:r>
      <w:r w:rsidRPr="007342CA" w:rsidR="002B2345">
        <w:rPr>
          <w:sz w:val="24"/>
          <w:szCs w:val="24"/>
        </w:rPr>
        <w:t xml:space="preserve"> and collecting various types of reports</w:t>
      </w:r>
      <w:r w:rsidRPr="007342CA" w:rsidR="003B266D">
        <w:rPr>
          <w:sz w:val="24"/>
          <w:szCs w:val="24"/>
        </w:rPr>
        <w:t xml:space="preserve"> in accordance with the Arms Export Control Act (AECA) (22 U.S.C. 2751 </w:t>
      </w:r>
      <w:r w:rsidRPr="007342CA" w:rsidR="003B266D">
        <w:rPr>
          <w:i/>
          <w:sz w:val="24"/>
          <w:szCs w:val="24"/>
        </w:rPr>
        <w:t>et seq</w:t>
      </w:r>
      <w:r w:rsidRPr="007342CA" w:rsidR="003B266D">
        <w:rPr>
          <w:sz w:val="24"/>
          <w:szCs w:val="24"/>
        </w:rPr>
        <w:t>.) and the International Traffic in Arms Regulations (ITAR) (22 CFR Parts 120-130)</w:t>
      </w:r>
      <w:r w:rsidRPr="007342CA" w:rsidR="002B2345">
        <w:rPr>
          <w:sz w:val="24"/>
          <w:szCs w:val="24"/>
        </w:rPr>
        <w:t>.  By statute, Executive Order, regulation, and delegation of authority, DDTC is charged with controlling the export and temporary import of defense articles, the provision of defense services and the brokering thereof which are covered by the U.S. Munitions List (USML).</w:t>
      </w:r>
    </w:p>
    <w:p w:rsidR="005508EA" w:rsidP="005508EA" w:rsidRDefault="005508EA" w14:paraId="672BA2E5" w14:textId="77777777">
      <w:pPr>
        <w:spacing w:line="276" w:lineRule="auto"/>
        <w:rPr>
          <w:szCs w:val="24"/>
        </w:rPr>
      </w:pPr>
    </w:p>
    <w:p w:rsidRPr="007342CA" w:rsidR="009417CD" w:rsidP="005508EA" w:rsidRDefault="002B2345" w14:paraId="64097753" w14:textId="0A8435B0">
      <w:pPr>
        <w:spacing w:line="276" w:lineRule="auto"/>
        <w:rPr>
          <w:szCs w:val="24"/>
        </w:rPr>
      </w:pPr>
      <w:r w:rsidRPr="007342CA">
        <w:rPr>
          <w:szCs w:val="24"/>
        </w:rPr>
        <w:t>The statutory authority of the President to promulgate regulations with respect to the export and the temporary import of defense articles</w:t>
      </w:r>
      <w:r w:rsidRPr="007342CA" w:rsidR="00241C8C">
        <w:rPr>
          <w:szCs w:val="24"/>
        </w:rPr>
        <w:t>,</w:t>
      </w:r>
      <w:r w:rsidRPr="007342CA">
        <w:rPr>
          <w:szCs w:val="24"/>
        </w:rPr>
        <w:t xml:space="preserve"> the provision of defense services</w:t>
      </w:r>
      <w:r w:rsidRPr="00BC588B" w:rsidR="00241C8C">
        <w:rPr>
          <w:szCs w:val="24"/>
        </w:rPr>
        <w:t xml:space="preserve"> and the brokering thereof</w:t>
      </w:r>
      <w:r w:rsidRPr="007342CA">
        <w:rPr>
          <w:szCs w:val="24"/>
        </w:rPr>
        <w:t xml:space="preserve"> </w:t>
      </w:r>
      <w:r w:rsidR="00397A12">
        <w:rPr>
          <w:szCs w:val="24"/>
        </w:rPr>
        <w:t>is</w:t>
      </w:r>
      <w:r w:rsidRPr="007342CA">
        <w:rPr>
          <w:szCs w:val="24"/>
        </w:rPr>
        <w:t xml:space="preserve"> delegated to the Secretary of State by Executive Order </w:t>
      </w:r>
      <w:r w:rsidRPr="007342CA" w:rsidR="008D5F8B">
        <w:rPr>
          <w:szCs w:val="24"/>
        </w:rPr>
        <w:t>136</w:t>
      </w:r>
      <w:r w:rsidR="008D5F8B">
        <w:rPr>
          <w:szCs w:val="24"/>
        </w:rPr>
        <w:t>37</w:t>
      </w:r>
      <w:r w:rsidRPr="007342CA">
        <w:rPr>
          <w:szCs w:val="24"/>
        </w:rPr>
        <w:t>, as amended.  These regulations are primarily administered by the Deputy Assistant Secretary of State for Defense Trade and the Directorate of Defense Trade Controls, Bureau of Political-Military Affairs.</w:t>
      </w:r>
    </w:p>
    <w:p w:rsidR="005508EA" w:rsidP="005508EA" w:rsidRDefault="005508EA" w14:paraId="10150FD3" w14:textId="77777777">
      <w:pPr>
        <w:spacing w:line="276" w:lineRule="auto"/>
        <w:rPr>
          <w:szCs w:val="24"/>
        </w:rPr>
      </w:pPr>
    </w:p>
    <w:p w:rsidRPr="007342CA" w:rsidR="000F7D27" w:rsidP="005508EA" w:rsidRDefault="00E44DCF" w14:paraId="5A339BFE" w14:textId="173E4A7E">
      <w:pPr>
        <w:spacing w:line="276" w:lineRule="auto"/>
        <w:rPr>
          <w:szCs w:val="24"/>
        </w:rPr>
      </w:pPr>
      <w:r w:rsidRPr="007342CA">
        <w:rPr>
          <w:szCs w:val="24"/>
        </w:rPr>
        <w:t>Sections 126.9</w:t>
      </w:r>
      <w:r w:rsidR="00B5088D">
        <w:rPr>
          <w:szCs w:val="24"/>
        </w:rPr>
        <w:t xml:space="preserve"> </w:t>
      </w:r>
      <w:r w:rsidR="00B5088D">
        <w:t>(Advisory opinions and related authorizations)</w:t>
      </w:r>
      <w:r w:rsidRPr="007342CA">
        <w:rPr>
          <w:szCs w:val="24"/>
        </w:rPr>
        <w:t xml:space="preserve"> and 129.9 </w:t>
      </w:r>
      <w:r w:rsidR="00B5088D">
        <w:t xml:space="preserve">(Guidance) </w:t>
      </w:r>
      <w:r w:rsidRPr="007342CA">
        <w:rPr>
          <w:szCs w:val="24"/>
        </w:rPr>
        <w:t xml:space="preserve">of the International Traffic in Arms Regulations (ITAR, 22 CFR 120-130) </w:t>
      </w:r>
      <w:r w:rsidRPr="007342CA" w:rsidR="008F2BC7">
        <w:rPr>
          <w:szCs w:val="24"/>
        </w:rPr>
        <w:t>may be used by</w:t>
      </w:r>
      <w:r w:rsidRPr="007342CA">
        <w:rPr>
          <w:szCs w:val="24"/>
        </w:rPr>
        <w:t xml:space="preserve"> entities and individuals involved in</w:t>
      </w:r>
      <w:r w:rsidRPr="007342CA" w:rsidR="008367BB">
        <w:rPr>
          <w:szCs w:val="24"/>
        </w:rPr>
        <w:t xml:space="preserve"> the manufacture,</w:t>
      </w:r>
      <w:r w:rsidRPr="007342CA">
        <w:rPr>
          <w:szCs w:val="24"/>
        </w:rPr>
        <w:t xml:space="preserve"> export</w:t>
      </w:r>
      <w:r w:rsidRPr="007342CA" w:rsidR="008367BB">
        <w:rPr>
          <w:szCs w:val="24"/>
        </w:rPr>
        <w:t>, temporary import</w:t>
      </w:r>
      <w:r w:rsidR="003773DB">
        <w:rPr>
          <w:szCs w:val="24"/>
        </w:rPr>
        <w:t>, and</w:t>
      </w:r>
      <w:r w:rsidRPr="007342CA">
        <w:rPr>
          <w:szCs w:val="24"/>
        </w:rPr>
        <w:t xml:space="preserve"> </w:t>
      </w:r>
      <w:r w:rsidRPr="007342CA" w:rsidR="003773DB">
        <w:rPr>
          <w:szCs w:val="24"/>
        </w:rPr>
        <w:t xml:space="preserve">brokering </w:t>
      </w:r>
      <w:r w:rsidRPr="007342CA">
        <w:rPr>
          <w:szCs w:val="24"/>
        </w:rPr>
        <w:t>of defense articles and defense services to request an advisory opinion as to whether DDTC would be likely to grant a license or other approval for the export of a particular defense article or defense service to a particular country</w:t>
      </w:r>
      <w:r w:rsidR="003773DB">
        <w:rPr>
          <w:szCs w:val="24"/>
        </w:rPr>
        <w:t xml:space="preserve"> (§</w:t>
      </w:r>
      <w:r w:rsidR="00247D53">
        <w:rPr>
          <w:szCs w:val="24"/>
        </w:rPr>
        <w:t> </w:t>
      </w:r>
      <w:r w:rsidR="003773DB">
        <w:rPr>
          <w:szCs w:val="24"/>
        </w:rPr>
        <w:t>126.9(a))</w:t>
      </w:r>
      <w:r w:rsidRPr="007342CA">
        <w:rPr>
          <w:szCs w:val="24"/>
        </w:rPr>
        <w:t xml:space="preserve">; </w:t>
      </w:r>
      <w:r w:rsidRPr="00F719DD" w:rsidR="00F719DD">
        <w:rPr>
          <w:szCs w:val="24"/>
        </w:rPr>
        <w:t>for an interpretation of regulatory requirements (§</w:t>
      </w:r>
      <w:r w:rsidR="00247D53">
        <w:rPr>
          <w:szCs w:val="24"/>
        </w:rPr>
        <w:t> </w:t>
      </w:r>
      <w:r w:rsidRPr="00F719DD" w:rsidR="00F719DD">
        <w:rPr>
          <w:szCs w:val="24"/>
        </w:rPr>
        <w:t xml:space="preserve">126.9(c)); </w:t>
      </w:r>
      <w:r w:rsidRPr="007342CA">
        <w:rPr>
          <w:szCs w:val="24"/>
        </w:rPr>
        <w:t>whether certain activity constitutes brokering under the ITAR</w:t>
      </w:r>
      <w:r w:rsidR="003773DB">
        <w:rPr>
          <w:szCs w:val="24"/>
        </w:rPr>
        <w:t xml:space="preserve"> (</w:t>
      </w:r>
      <w:r w:rsidR="00247D53">
        <w:rPr>
          <w:szCs w:val="24"/>
        </w:rPr>
        <w:t>§ </w:t>
      </w:r>
      <w:r w:rsidR="003773DB">
        <w:rPr>
          <w:szCs w:val="24"/>
        </w:rPr>
        <w:t>129.9(a</w:t>
      </w:r>
      <w:r w:rsidR="00F719DD">
        <w:rPr>
          <w:szCs w:val="24"/>
        </w:rPr>
        <w:t>)</w:t>
      </w:r>
      <w:r w:rsidR="003773DB">
        <w:rPr>
          <w:szCs w:val="24"/>
        </w:rPr>
        <w:t>)</w:t>
      </w:r>
      <w:r w:rsidR="00250F15">
        <w:rPr>
          <w:szCs w:val="24"/>
        </w:rPr>
        <w:t>;</w:t>
      </w:r>
      <w:r w:rsidRPr="00250F15" w:rsidR="00250F15">
        <w:rPr>
          <w:bCs/>
        </w:rPr>
        <w:t xml:space="preserve"> or for other guidance pertaining to brokering</w:t>
      </w:r>
      <w:r w:rsidR="003773DB">
        <w:rPr>
          <w:bCs/>
        </w:rPr>
        <w:t xml:space="preserve"> (</w:t>
      </w:r>
      <w:r w:rsidR="00247D53">
        <w:rPr>
          <w:bCs/>
        </w:rPr>
        <w:t>§ </w:t>
      </w:r>
      <w:r w:rsidR="003773DB">
        <w:rPr>
          <w:bCs/>
        </w:rPr>
        <w:t>129.9(c))</w:t>
      </w:r>
      <w:r w:rsidRPr="007342CA">
        <w:rPr>
          <w:szCs w:val="24"/>
        </w:rPr>
        <w:t xml:space="preserve">. </w:t>
      </w:r>
      <w:r w:rsidR="00DB0BBA">
        <w:rPr>
          <w:szCs w:val="24"/>
        </w:rPr>
        <w:t xml:space="preserve"> </w:t>
      </w:r>
    </w:p>
    <w:p w:rsidRPr="007342CA" w:rsidR="000F7D27" w:rsidP="007342CA" w:rsidRDefault="000F7D27" w14:paraId="08F44E3F" w14:textId="77777777">
      <w:pPr>
        <w:spacing w:before="100" w:beforeAutospacing="1" w:line="276" w:lineRule="auto"/>
        <w:ind w:firstLine="720"/>
        <w:rPr>
          <w:szCs w:val="24"/>
        </w:rPr>
      </w:pPr>
    </w:p>
    <w:p w:rsidRPr="007342CA" w:rsidR="00B56A0A" w:rsidP="007342CA" w:rsidRDefault="00B56A0A" w14:paraId="1F6A7ABD" w14:textId="77777777">
      <w:pPr>
        <w:pStyle w:val="ListParagraph"/>
        <w:numPr>
          <w:ilvl w:val="0"/>
          <w:numId w:val="12"/>
        </w:numPr>
        <w:spacing w:line="276" w:lineRule="auto"/>
        <w:ind w:left="540" w:hanging="540"/>
        <w:rPr>
          <w:szCs w:val="24"/>
          <w:u w:val="single"/>
        </w:rPr>
      </w:pPr>
      <w:r w:rsidRPr="007342CA">
        <w:rPr>
          <w:szCs w:val="24"/>
          <w:u w:val="single"/>
        </w:rPr>
        <w:t>What business purpose is the information gathered going to be used for?</w:t>
      </w:r>
    </w:p>
    <w:p w:rsidRPr="007342CA" w:rsidR="00A128F9" w:rsidP="007342CA" w:rsidRDefault="00B176E1" w14:paraId="52F372CF" w14:textId="77777777">
      <w:pPr>
        <w:spacing w:line="276" w:lineRule="auto"/>
        <w:rPr>
          <w:szCs w:val="24"/>
        </w:rPr>
      </w:pPr>
      <w:r w:rsidRPr="007342CA">
        <w:rPr>
          <w:szCs w:val="24"/>
        </w:rPr>
        <w:t>DDTC reviews the submitted information to</w:t>
      </w:r>
      <w:r w:rsidRPr="007342CA" w:rsidR="00A128F9">
        <w:rPr>
          <w:szCs w:val="24"/>
        </w:rPr>
        <w:t>:</w:t>
      </w:r>
    </w:p>
    <w:p w:rsidR="00EC1578" w:rsidP="00694A18" w:rsidRDefault="00A128F9" w14:paraId="28D9E46B" w14:textId="710CCEF7">
      <w:pPr>
        <w:pStyle w:val="ListParagraph"/>
        <w:numPr>
          <w:ilvl w:val="0"/>
          <w:numId w:val="14"/>
        </w:numPr>
        <w:spacing w:line="276" w:lineRule="auto"/>
        <w:rPr>
          <w:szCs w:val="24"/>
        </w:rPr>
      </w:pPr>
      <w:r w:rsidRPr="007342CA">
        <w:rPr>
          <w:szCs w:val="24"/>
        </w:rPr>
        <w:t>D</w:t>
      </w:r>
      <w:r w:rsidRPr="00BC588B" w:rsidR="00B176E1">
        <w:rPr>
          <w:szCs w:val="24"/>
        </w:rPr>
        <w:t xml:space="preserve">etermine whether it would likely grant a license or other approval for the export of a </w:t>
      </w:r>
      <w:proofErr w:type="gramStart"/>
      <w:r w:rsidR="00B5088D">
        <w:rPr>
          <w:szCs w:val="24"/>
        </w:rPr>
        <w:t xml:space="preserve">particular </w:t>
      </w:r>
      <w:r w:rsidRPr="00BC588B" w:rsidR="00B176E1">
        <w:rPr>
          <w:szCs w:val="24"/>
        </w:rPr>
        <w:t>defense</w:t>
      </w:r>
      <w:proofErr w:type="gramEnd"/>
      <w:r w:rsidRPr="00BC588B" w:rsidR="00B176E1">
        <w:rPr>
          <w:szCs w:val="24"/>
        </w:rPr>
        <w:t xml:space="preserve"> article or defense service</w:t>
      </w:r>
      <w:r w:rsidR="00B5088D">
        <w:rPr>
          <w:szCs w:val="24"/>
        </w:rPr>
        <w:t xml:space="preserve"> to a particular country</w:t>
      </w:r>
      <w:r w:rsidR="00EC1578">
        <w:rPr>
          <w:szCs w:val="24"/>
        </w:rPr>
        <w:t>,</w:t>
      </w:r>
    </w:p>
    <w:p w:rsidRPr="00F719DD" w:rsidR="00F719DD" w:rsidP="00F719DD" w:rsidRDefault="00F719DD" w14:paraId="1C9AE930" w14:textId="7698415A">
      <w:pPr>
        <w:pStyle w:val="ListParagraph"/>
        <w:numPr>
          <w:ilvl w:val="0"/>
          <w:numId w:val="14"/>
        </w:numPr>
        <w:spacing w:line="276" w:lineRule="auto"/>
        <w:rPr>
          <w:szCs w:val="24"/>
        </w:rPr>
      </w:pPr>
      <w:r w:rsidRPr="007342CA">
        <w:rPr>
          <w:szCs w:val="24"/>
        </w:rPr>
        <w:lastRenderedPageBreak/>
        <w:t>P</w:t>
      </w:r>
      <w:r w:rsidRPr="00BC588B">
        <w:rPr>
          <w:szCs w:val="24"/>
        </w:rPr>
        <w:t xml:space="preserve">rovide a response to a request for </w:t>
      </w:r>
      <w:r>
        <w:rPr>
          <w:szCs w:val="24"/>
        </w:rPr>
        <w:t xml:space="preserve">an interpretation of </w:t>
      </w:r>
      <w:r w:rsidRPr="00BC588B">
        <w:rPr>
          <w:szCs w:val="24"/>
        </w:rPr>
        <w:t xml:space="preserve">regulatory </w:t>
      </w:r>
      <w:r>
        <w:rPr>
          <w:szCs w:val="24"/>
        </w:rPr>
        <w:t>requirements,</w:t>
      </w:r>
    </w:p>
    <w:p w:rsidR="00B601AB" w:rsidP="007342CA" w:rsidRDefault="00A128F9" w14:paraId="69FED86E" w14:textId="47611F1C">
      <w:pPr>
        <w:pStyle w:val="ListParagraph"/>
        <w:numPr>
          <w:ilvl w:val="0"/>
          <w:numId w:val="14"/>
        </w:numPr>
        <w:spacing w:line="276" w:lineRule="auto"/>
        <w:rPr>
          <w:szCs w:val="24"/>
        </w:rPr>
      </w:pPr>
      <w:r w:rsidRPr="007342CA">
        <w:rPr>
          <w:szCs w:val="24"/>
        </w:rPr>
        <w:t>P</w:t>
      </w:r>
      <w:r w:rsidRPr="00BC588B" w:rsidR="008C37AE">
        <w:rPr>
          <w:szCs w:val="24"/>
        </w:rPr>
        <w:t xml:space="preserve">rovide </w:t>
      </w:r>
      <w:r w:rsidRPr="00BC588B" w:rsidR="000128D1">
        <w:rPr>
          <w:szCs w:val="24"/>
        </w:rPr>
        <w:t xml:space="preserve">a response as to </w:t>
      </w:r>
      <w:r w:rsidRPr="00BC588B" w:rsidR="008C37AE">
        <w:rPr>
          <w:szCs w:val="24"/>
        </w:rPr>
        <w:t>whether certain activity constitutes brokering under the ITAR</w:t>
      </w:r>
      <w:r w:rsidR="00694A18">
        <w:rPr>
          <w:szCs w:val="24"/>
        </w:rPr>
        <w:t>,</w:t>
      </w:r>
      <w:r w:rsidR="00F719DD">
        <w:rPr>
          <w:szCs w:val="24"/>
        </w:rPr>
        <w:t xml:space="preserve"> or</w:t>
      </w:r>
    </w:p>
    <w:p w:rsidRPr="00BC588B" w:rsidR="00250F15" w:rsidP="007342CA" w:rsidRDefault="00250F15" w14:paraId="5700D7A2" w14:textId="77777777">
      <w:pPr>
        <w:pStyle w:val="ListParagraph"/>
        <w:numPr>
          <w:ilvl w:val="0"/>
          <w:numId w:val="14"/>
        </w:numPr>
        <w:spacing w:line="276" w:lineRule="auto"/>
        <w:rPr>
          <w:szCs w:val="24"/>
        </w:rPr>
      </w:pPr>
      <w:r>
        <w:rPr>
          <w:szCs w:val="24"/>
        </w:rPr>
        <w:t>Provide a response to a request for other guidance pertaining to brokering.</w:t>
      </w:r>
    </w:p>
    <w:p w:rsidRPr="007342CA" w:rsidR="00B601AB" w:rsidP="007342CA" w:rsidRDefault="00B601AB" w14:paraId="565D4C2C" w14:textId="77777777">
      <w:pPr>
        <w:spacing w:line="276" w:lineRule="auto"/>
        <w:rPr>
          <w:szCs w:val="24"/>
        </w:rPr>
      </w:pPr>
    </w:p>
    <w:p w:rsidRPr="007342CA" w:rsidR="00B56A0A" w:rsidP="007342CA" w:rsidRDefault="00B56A0A" w14:paraId="54402A85" w14:textId="77777777">
      <w:pPr>
        <w:pStyle w:val="ListParagraph"/>
        <w:numPr>
          <w:ilvl w:val="0"/>
          <w:numId w:val="12"/>
        </w:numPr>
        <w:spacing w:line="276" w:lineRule="auto"/>
        <w:ind w:left="540" w:hanging="540"/>
        <w:rPr>
          <w:szCs w:val="24"/>
          <w:u w:val="single"/>
        </w:rPr>
      </w:pPr>
      <w:r w:rsidRPr="007342CA">
        <w:rPr>
          <w:szCs w:val="24"/>
          <w:u w:val="single"/>
        </w:rPr>
        <w:t xml:space="preserve">Is this collection able to be completed electronically (e.g. through a website or application)?  </w:t>
      </w:r>
    </w:p>
    <w:p w:rsidR="00B601AB" w:rsidP="007342CA" w:rsidRDefault="00274912" w14:paraId="3CAC17CB" w14:textId="1BB5E6C4">
      <w:pPr>
        <w:spacing w:line="276" w:lineRule="auto"/>
        <w:rPr>
          <w:szCs w:val="24"/>
        </w:rPr>
      </w:pPr>
      <w:r>
        <w:rPr>
          <w:szCs w:val="24"/>
        </w:rPr>
        <w:t xml:space="preserve">Requests for advisory opinions are </w:t>
      </w:r>
      <w:r w:rsidR="00CB647F">
        <w:rPr>
          <w:szCs w:val="24"/>
        </w:rPr>
        <w:t>submitted through DDTC’s electronic case management system</w:t>
      </w:r>
      <w:r w:rsidR="00223B36">
        <w:rPr>
          <w:szCs w:val="24"/>
        </w:rPr>
        <w:t>:</w:t>
      </w:r>
      <w:r w:rsidR="00CB647F">
        <w:rPr>
          <w:szCs w:val="24"/>
        </w:rPr>
        <w:t xml:space="preserve"> </w:t>
      </w:r>
      <w:proofErr w:type="gramStart"/>
      <w:r w:rsidR="00223B36">
        <w:rPr>
          <w:szCs w:val="24"/>
        </w:rPr>
        <w:t>t</w:t>
      </w:r>
      <w:r w:rsidR="00CB647F">
        <w:rPr>
          <w:szCs w:val="24"/>
        </w:rPr>
        <w:t>he</w:t>
      </w:r>
      <w:proofErr w:type="gramEnd"/>
      <w:r w:rsidR="00CB647F">
        <w:rPr>
          <w:szCs w:val="24"/>
        </w:rPr>
        <w:t xml:space="preserve"> Defense Trade Control and Compliance System (DECCS).  DECCS can be accessed through DDTC’s website.  </w:t>
      </w:r>
    </w:p>
    <w:p w:rsidRPr="007342CA" w:rsidR="00B808EB" w:rsidP="007342CA" w:rsidRDefault="00B808EB" w14:paraId="31199AAB" w14:textId="77777777">
      <w:pPr>
        <w:spacing w:line="276" w:lineRule="auto"/>
        <w:rPr>
          <w:szCs w:val="24"/>
        </w:rPr>
      </w:pPr>
    </w:p>
    <w:p w:rsidRPr="007342CA" w:rsidR="00B56A0A" w:rsidP="007342CA" w:rsidRDefault="00B56A0A" w14:paraId="3E4F5662" w14:textId="77777777">
      <w:pPr>
        <w:pStyle w:val="ListParagraph"/>
        <w:numPr>
          <w:ilvl w:val="0"/>
          <w:numId w:val="12"/>
        </w:numPr>
        <w:spacing w:line="276" w:lineRule="auto"/>
        <w:ind w:left="540" w:hanging="540"/>
        <w:rPr>
          <w:szCs w:val="24"/>
          <w:u w:val="single"/>
        </w:rPr>
      </w:pPr>
      <w:r w:rsidRPr="007342CA">
        <w:rPr>
          <w:szCs w:val="24"/>
          <w:u w:val="single"/>
        </w:rPr>
        <w:t>Does this collection duplicate any other collection of information?</w:t>
      </w:r>
    </w:p>
    <w:p w:rsidRPr="007342CA" w:rsidR="00B601AB" w:rsidP="007342CA" w:rsidRDefault="00B601AB" w14:paraId="04B1B34A" w14:textId="62D418D0">
      <w:pPr>
        <w:spacing w:line="276" w:lineRule="auto"/>
        <w:rPr>
          <w:szCs w:val="24"/>
        </w:rPr>
      </w:pPr>
      <w:r w:rsidRPr="007342CA">
        <w:rPr>
          <w:szCs w:val="24"/>
        </w:rPr>
        <w:t xml:space="preserve">The Department of State is unaware of any other U.S. Government </w:t>
      </w:r>
      <w:r w:rsidRPr="007342CA" w:rsidR="008A30E4">
        <w:rPr>
          <w:szCs w:val="24"/>
        </w:rPr>
        <w:t xml:space="preserve">information collection </w:t>
      </w:r>
      <w:r w:rsidRPr="007342CA">
        <w:rPr>
          <w:szCs w:val="24"/>
        </w:rPr>
        <w:t xml:space="preserve">that </w:t>
      </w:r>
      <w:r w:rsidRPr="007342CA" w:rsidR="008A30E4">
        <w:rPr>
          <w:szCs w:val="24"/>
        </w:rPr>
        <w:t xml:space="preserve">duplicates the </w:t>
      </w:r>
      <w:r w:rsidR="00223B36">
        <w:rPr>
          <w:szCs w:val="24"/>
        </w:rPr>
        <w:t>r</w:t>
      </w:r>
      <w:r w:rsidRPr="007342CA" w:rsidR="00120BDC">
        <w:rPr>
          <w:szCs w:val="24"/>
        </w:rPr>
        <w:t xml:space="preserve">equest for </w:t>
      </w:r>
      <w:r w:rsidR="00223B36">
        <w:rPr>
          <w:szCs w:val="24"/>
        </w:rPr>
        <w:t>an a</w:t>
      </w:r>
      <w:r w:rsidRPr="007342CA" w:rsidR="008A30E4">
        <w:rPr>
          <w:szCs w:val="24"/>
        </w:rPr>
        <w:t xml:space="preserve">dvisory </w:t>
      </w:r>
      <w:r w:rsidR="00223B36">
        <w:rPr>
          <w:szCs w:val="24"/>
        </w:rPr>
        <w:t>o</w:t>
      </w:r>
      <w:r w:rsidRPr="007342CA" w:rsidR="008A30E4">
        <w:rPr>
          <w:szCs w:val="24"/>
        </w:rPr>
        <w:t>pinion</w:t>
      </w:r>
      <w:r w:rsidR="00247D53">
        <w:rPr>
          <w:szCs w:val="24"/>
        </w:rPr>
        <w:t xml:space="preserve"> or brokering guidance</w:t>
      </w:r>
      <w:r w:rsidRPr="007342CA">
        <w:rPr>
          <w:szCs w:val="24"/>
        </w:rPr>
        <w:t>.</w:t>
      </w:r>
    </w:p>
    <w:p w:rsidRPr="007342CA" w:rsidR="00B601AB" w:rsidP="007342CA" w:rsidRDefault="00B601AB" w14:paraId="3037CE83" w14:textId="77777777">
      <w:pPr>
        <w:spacing w:line="276" w:lineRule="auto"/>
        <w:rPr>
          <w:szCs w:val="24"/>
        </w:rPr>
      </w:pPr>
    </w:p>
    <w:p w:rsidRPr="007342CA" w:rsidR="00B56A0A" w:rsidP="007342CA" w:rsidRDefault="00B56A0A" w14:paraId="67FA4D02" w14:textId="77777777">
      <w:pPr>
        <w:pStyle w:val="ListParagraph"/>
        <w:numPr>
          <w:ilvl w:val="0"/>
          <w:numId w:val="12"/>
        </w:numPr>
        <w:spacing w:line="276" w:lineRule="auto"/>
        <w:ind w:left="540" w:hanging="540"/>
        <w:rPr>
          <w:szCs w:val="24"/>
          <w:u w:val="single"/>
        </w:rPr>
      </w:pPr>
      <w:r w:rsidRPr="007342CA">
        <w:rPr>
          <w:szCs w:val="24"/>
          <w:u w:val="single"/>
        </w:rPr>
        <w:t>Describe any impacts on small business.</w:t>
      </w:r>
    </w:p>
    <w:p w:rsidRPr="007342CA" w:rsidR="00F036AC" w:rsidP="007342CA" w:rsidRDefault="005E5350" w14:paraId="08692244" w14:textId="7DC8C078">
      <w:pPr>
        <w:spacing w:line="276" w:lineRule="auto"/>
        <w:rPr>
          <w:szCs w:val="24"/>
        </w:rPr>
      </w:pPr>
      <w:r w:rsidRPr="007342CA">
        <w:rPr>
          <w:szCs w:val="24"/>
        </w:rPr>
        <w:t>Export control law and regulations are designed to safeguard U.S. foreign policy</w:t>
      </w:r>
      <w:r w:rsidR="00E00EAC">
        <w:rPr>
          <w:szCs w:val="24"/>
        </w:rPr>
        <w:t>,</w:t>
      </w:r>
      <w:r w:rsidRPr="007342CA">
        <w:rPr>
          <w:szCs w:val="24"/>
        </w:rPr>
        <w:t xml:space="preserve"> national security interests and to further world peace.  The law and regulations are applicable equally to large and small businesses or entities.  </w:t>
      </w:r>
      <w:r w:rsidRPr="007342CA" w:rsidR="00F036AC">
        <w:rPr>
          <w:szCs w:val="24"/>
        </w:rPr>
        <w:t>Submitting a “Request for Advisory Opinion” is optional and applies to small businesses and small entities</w:t>
      </w:r>
      <w:r w:rsidRPr="007342CA" w:rsidR="008A30E4">
        <w:rPr>
          <w:szCs w:val="24"/>
        </w:rPr>
        <w:t xml:space="preserve"> </w:t>
      </w:r>
      <w:r w:rsidR="000D0073">
        <w:rPr>
          <w:szCs w:val="24"/>
        </w:rPr>
        <w:t xml:space="preserve">only </w:t>
      </w:r>
      <w:r w:rsidRPr="007342CA" w:rsidR="008A30E4">
        <w:rPr>
          <w:szCs w:val="24"/>
        </w:rPr>
        <w:t>when they are in the business</w:t>
      </w:r>
      <w:r w:rsidRPr="007342CA" w:rsidR="00F036AC">
        <w:rPr>
          <w:szCs w:val="24"/>
        </w:rPr>
        <w:t xml:space="preserve"> of defense trade.  Burdens have been minimized through development of clear guidelines for the submission of information.</w:t>
      </w:r>
    </w:p>
    <w:p w:rsidRPr="007342CA" w:rsidR="00B601AB" w:rsidP="007342CA" w:rsidRDefault="00B601AB" w14:paraId="44544AB1" w14:textId="77777777">
      <w:pPr>
        <w:spacing w:line="276" w:lineRule="auto"/>
        <w:rPr>
          <w:szCs w:val="24"/>
        </w:rPr>
      </w:pPr>
    </w:p>
    <w:p w:rsidRPr="007342CA" w:rsidR="00B56A0A" w:rsidP="007342CA" w:rsidRDefault="00B56A0A" w14:paraId="70C246C8" w14:textId="77777777">
      <w:pPr>
        <w:pStyle w:val="BodyText2"/>
        <w:numPr>
          <w:ilvl w:val="0"/>
          <w:numId w:val="12"/>
        </w:numPr>
        <w:spacing w:line="276" w:lineRule="auto"/>
        <w:ind w:left="540" w:hanging="540"/>
        <w:rPr>
          <w:sz w:val="24"/>
          <w:szCs w:val="24"/>
          <w:u w:val="single"/>
        </w:rPr>
      </w:pPr>
      <w:r w:rsidRPr="007342CA">
        <w:rPr>
          <w:sz w:val="24"/>
          <w:szCs w:val="24"/>
          <w:u w:val="single"/>
        </w:rPr>
        <w:t>What are consequences if this collection is not done?</w:t>
      </w:r>
    </w:p>
    <w:p w:rsidRPr="007342CA" w:rsidR="00B601AB" w:rsidP="007342CA" w:rsidRDefault="004B3714" w14:paraId="682268BB" w14:textId="4EFF4E7E">
      <w:pPr>
        <w:pStyle w:val="BodyText2"/>
        <w:spacing w:line="276" w:lineRule="auto"/>
        <w:rPr>
          <w:sz w:val="24"/>
          <w:szCs w:val="24"/>
        </w:rPr>
      </w:pPr>
      <w:r w:rsidRPr="007342CA">
        <w:rPr>
          <w:sz w:val="24"/>
          <w:szCs w:val="24"/>
        </w:rPr>
        <w:t>This</w:t>
      </w:r>
      <w:r w:rsidRPr="007342CA" w:rsidR="00FE01C2">
        <w:rPr>
          <w:sz w:val="24"/>
          <w:szCs w:val="24"/>
        </w:rPr>
        <w:t xml:space="preserve"> information </w:t>
      </w:r>
      <w:r w:rsidRPr="007342CA">
        <w:rPr>
          <w:sz w:val="24"/>
          <w:szCs w:val="24"/>
        </w:rPr>
        <w:t xml:space="preserve">is </w:t>
      </w:r>
      <w:r w:rsidRPr="007342CA" w:rsidR="00FE01C2">
        <w:rPr>
          <w:sz w:val="24"/>
          <w:szCs w:val="24"/>
        </w:rPr>
        <w:t xml:space="preserve">required for </w:t>
      </w:r>
      <w:r w:rsidR="002B565B">
        <w:rPr>
          <w:sz w:val="24"/>
          <w:szCs w:val="24"/>
        </w:rPr>
        <w:t xml:space="preserve">DDTC to provide </w:t>
      </w:r>
      <w:r w:rsidR="00D07331">
        <w:rPr>
          <w:sz w:val="24"/>
          <w:szCs w:val="24"/>
        </w:rPr>
        <w:t xml:space="preserve">advisory opinions </w:t>
      </w:r>
      <w:r w:rsidR="002B565B">
        <w:rPr>
          <w:sz w:val="24"/>
          <w:szCs w:val="24"/>
        </w:rPr>
        <w:t xml:space="preserve">to requesters on </w:t>
      </w:r>
      <w:r w:rsidRPr="007342CA" w:rsidR="00FE01C2">
        <w:rPr>
          <w:sz w:val="24"/>
          <w:szCs w:val="24"/>
        </w:rPr>
        <w:t xml:space="preserve">the proper </w:t>
      </w:r>
      <w:r w:rsidRPr="007342CA" w:rsidR="00BE745E">
        <w:rPr>
          <w:sz w:val="24"/>
          <w:szCs w:val="24"/>
        </w:rPr>
        <w:t>assessment</w:t>
      </w:r>
      <w:r w:rsidRPr="007342CA" w:rsidR="00FE01C2">
        <w:rPr>
          <w:sz w:val="24"/>
          <w:szCs w:val="24"/>
        </w:rPr>
        <w:t xml:space="preserve"> of a proposed export request</w:t>
      </w:r>
      <w:r w:rsidRPr="007342CA" w:rsidR="008A30E4">
        <w:rPr>
          <w:sz w:val="24"/>
          <w:szCs w:val="24"/>
        </w:rPr>
        <w:t xml:space="preserve">, </w:t>
      </w:r>
      <w:r w:rsidRPr="00F719DD" w:rsidR="00F719DD">
        <w:rPr>
          <w:sz w:val="24"/>
          <w:szCs w:val="24"/>
        </w:rPr>
        <w:t>request for interpretation of a regulatory requirement</w:t>
      </w:r>
      <w:r w:rsidR="00F719DD">
        <w:rPr>
          <w:sz w:val="24"/>
          <w:szCs w:val="24"/>
        </w:rPr>
        <w:t>,</w:t>
      </w:r>
      <w:r w:rsidRPr="00F719DD" w:rsidR="00F719DD">
        <w:rPr>
          <w:sz w:val="24"/>
          <w:szCs w:val="24"/>
        </w:rPr>
        <w:t xml:space="preserve"> </w:t>
      </w:r>
      <w:r w:rsidRPr="007342CA" w:rsidR="008A30E4">
        <w:rPr>
          <w:sz w:val="24"/>
          <w:szCs w:val="24"/>
        </w:rPr>
        <w:t xml:space="preserve">request for </w:t>
      </w:r>
      <w:r w:rsidR="00D07331">
        <w:rPr>
          <w:sz w:val="24"/>
          <w:szCs w:val="24"/>
        </w:rPr>
        <w:t>guidance</w:t>
      </w:r>
      <w:r w:rsidRPr="007342CA" w:rsidR="00D07331">
        <w:rPr>
          <w:sz w:val="24"/>
          <w:szCs w:val="24"/>
        </w:rPr>
        <w:t xml:space="preserve"> </w:t>
      </w:r>
      <w:r w:rsidRPr="007342CA" w:rsidR="008A30E4">
        <w:rPr>
          <w:sz w:val="24"/>
          <w:szCs w:val="24"/>
        </w:rPr>
        <w:t xml:space="preserve">on </w:t>
      </w:r>
      <w:r w:rsidR="00D07331">
        <w:rPr>
          <w:sz w:val="24"/>
          <w:szCs w:val="24"/>
        </w:rPr>
        <w:t>whether an activity constitutes a brokering activity</w:t>
      </w:r>
      <w:r w:rsidRPr="007342CA" w:rsidR="008A30E4">
        <w:rPr>
          <w:sz w:val="24"/>
          <w:szCs w:val="24"/>
        </w:rPr>
        <w:t xml:space="preserve">, </w:t>
      </w:r>
      <w:r w:rsidR="000D0073">
        <w:rPr>
          <w:sz w:val="24"/>
          <w:szCs w:val="24"/>
        </w:rPr>
        <w:t xml:space="preserve">or request for other brokering </w:t>
      </w:r>
      <w:r w:rsidRPr="007342CA" w:rsidR="008A30E4">
        <w:rPr>
          <w:sz w:val="24"/>
          <w:szCs w:val="24"/>
        </w:rPr>
        <w:t xml:space="preserve">guidance. </w:t>
      </w:r>
      <w:r w:rsidR="003737BA">
        <w:rPr>
          <w:sz w:val="24"/>
          <w:szCs w:val="24"/>
        </w:rPr>
        <w:t xml:space="preserve"> </w:t>
      </w:r>
      <w:r w:rsidR="002B565B">
        <w:rPr>
          <w:sz w:val="24"/>
          <w:szCs w:val="24"/>
        </w:rPr>
        <w:t>Requests for advisory opinions</w:t>
      </w:r>
      <w:r w:rsidRPr="007342CA" w:rsidR="002B565B">
        <w:rPr>
          <w:sz w:val="24"/>
          <w:szCs w:val="24"/>
        </w:rPr>
        <w:t xml:space="preserve"> </w:t>
      </w:r>
      <w:r w:rsidR="00D07331">
        <w:rPr>
          <w:sz w:val="24"/>
          <w:szCs w:val="24"/>
        </w:rPr>
        <w:t xml:space="preserve">and guidance </w:t>
      </w:r>
      <w:r w:rsidRPr="007342CA" w:rsidR="008A30E4">
        <w:rPr>
          <w:sz w:val="24"/>
          <w:szCs w:val="24"/>
        </w:rPr>
        <w:t>are</w:t>
      </w:r>
      <w:r w:rsidRPr="007342CA" w:rsidR="00FE01C2">
        <w:rPr>
          <w:sz w:val="24"/>
          <w:szCs w:val="24"/>
        </w:rPr>
        <w:t xml:space="preserve"> reviewe</w:t>
      </w:r>
      <w:r w:rsidRPr="007342CA" w:rsidR="008A30E4">
        <w:rPr>
          <w:sz w:val="24"/>
          <w:szCs w:val="24"/>
        </w:rPr>
        <w:t xml:space="preserve">d on a case-by-case basis and </w:t>
      </w:r>
      <w:r w:rsidR="002B565B">
        <w:rPr>
          <w:sz w:val="24"/>
          <w:szCs w:val="24"/>
        </w:rPr>
        <w:t xml:space="preserve">DDTC </w:t>
      </w:r>
      <w:r w:rsidRPr="007342CA" w:rsidR="00FE01C2">
        <w:rPr>
          <w:sz w:val="24"/>
          <w:szCs w:val="24"/>
        </w:rPr>
        <w:t xml:space="preserve">specific </w:t>
      </w:r>
      <w:r w:rsidR="00D07331">
        <w:rPr>
          <w:sz w:val="24"/>
          <w:szCs w:val="24"/>
        </w:rPr>
        <w:t xml:space="preserve">response to </w:t>
      </w:r>
      <w:r w:rsidR="002B565B">
        <w:rPr>
          <w:sz w:val="24"/>
          <w:szCs w:val="24"/>
        </w:rPr>
        <w:t>each request</w:t>
      </w:r>
      <w:r w:rsidRPr="007342CA" w:rsidR="00FE01C2">
        <w:rPr>
          <w:sz w:val="24"/>
          <w:szCs w:val="24"/>
        </w:rPr>
        <w:t xml:space="preserve">.  </w:t>
      </w:r>
      <w:r w:rsidRPr="007342CA" w:rsidR="00B50B41">
        <w:rPr>
          <w:sz w:val="24"/>
          <w:szCs w:val="24"/>
        </w:rPr>
        <w:t>Without this information collection</w:t>
      </w:r>
      <w:r w:rsidRPr="007342CA" w:rsidR="00B601AB">
        <w:rPr>
          <w:sz w:val="24"/>
          <w:szCs w:val="24"/>
        </w:rPr>
        <w:t xml:space="preserve"> </w:t>
      </w:r>
      <w:r w:rsidRPr="007342CA" w:rsidR="005F4264">
        <w:rPr>
          <w:sz w:val="24"/>
          <w:szCs w:val="24"/>
        </w:rPr>
        <w:t xml:space="preserve">the Department would not have a process of responding to requests </w:t>
      </w:r>
      <w:r w:rsidRPr="007342CA" w:rsidR="008A30E4">
        <w:rPr>
          <w:sz w:val="24"/>
          <w:szCs w:val="24"/>
        </w:rPr>
        <w:t>pursuant to ITAR §§ 126.</w:t>
      </w:r>
      <w:r w:rsidR="00B5088D">
        <w:rPr>
          <w:sz w:val="24"/>
          <w:szCs w:val="24"/>
        </w:rPr>
        <w:t>9</w:t>
      </w:r>
      <w:r w:rsidRPr="007342CA" w:rsidR="00B5088D">
        <w:rPr>
          <w:sz w:val="24"/>
          <w:szCs w:val="24"/>
        </w:rPr>
        <w:t xml:space="preserve"> </w:t>
      </w:r>
      <w:r w:rsidR="00694A18">
        <w:rPr>
          <w:sz w:val="24"/>
          <w:szCs w:val="24"/>
        </w:rPr>
        <w:t>and</w:t>
      </w:r>
      <w:r w:rsidRPr="007342CA" w:rsidR="008A30E4">
        <w:rPr>
          <w:sz w:val="24"/>
          <w:szCs w:val="24"/>
        </w:rPr>
        <w:t xml:space="preserve"> 129.9.</w:t>
      </w:r>
    </w:p>
    <w:p w:rsidRPr="007342CA" w:rsidR="00B601AB" w:rsidP="007342CA" w:rsidRDefault="00B601AB" w14:paraId="0B18B45D" w14:textId="77777777">
      <w:pPr>
        <w:spacing w:line="276" w:lineRule="auto"/>
        <w:rPr>
          <w:szCs w:val="24"/>
        </w:rPr>
      </w:pPr>
    </w:p>
    <w:p w:rsidRPr="007342CA" w:rsidR="00B56A0A" w:rsidP="007342CA" w:rsidRDefault="00B56A0A" w14:paraId="4DCC12E0" w14:textId="77777777">
      <w:pPr>
        <w:pStyle w:val="ListParagraph"/>
        <w:numPr>
          <w:ilvl w:val="0"/>
          <w:numId w:val="12"/>
        </w:numPr>
        <w:spacing w:line="276" w:lineRule="auto"/>
        <w:ind w:left="540" w:hanging="540"/>
        <w:rPr>
          <w:szCs w:val="24"/>
          <w:u w:val="single"/>
        </w:rPr>
      </w:pPr>
      <w:r w:rsidRPr="007342CA">
        <w:rPr>
          <w:szCs w:val="24"/>
          <w:u w:val="single"/>
        </w:rPr>
        <w:t>Are there any special collection circumstances (e.g. responding in less than 30 days, excessive record retention, or requiring submission of proprietary trade secrets)?</w:t>
      </w:r>
    </w:p>
    <w:p w:rsidRPr="007342CA" w:rsidR="004B3714" w:rsidP="007342CA" w:rsidRDefault="00EE5105" w14:paraId="28FCF2F8" w14:textId="77777777">
      <w:pPr>
        <w:spacing w:line="276" w:lineRule="auto"/>
        <w:rPr>
          <w:szCs w:val="24"/>
        </w:rPr>
      </w:pPr>
      <w:r w:rsidRPr="007342CA">
        <w:rPr>
          <w:szCs w:val="24"/>
        </w:rPr>
        <w:t>There are no special circumstances associated with this collection.</w:t>
      </w:r>
    </w:p>
    <w:p w:rsidRPr="007342CA" w:rsidR="00B56A0A" w:rsidP="007342CA" w:rsidRDefault="00B56A0A" w14:paraId="0B01D489" w14:textId="77777777">
      <w:pPr>
        <w:spacing w:line="276" w:lineRule="auto"/>
        <w:rPr>
          <w:szCs w:val="24"/>
        </w:rPr>
      </w:pPr>
    </w:p>
    <w:p w:rsidRPr="007342CA" w:rsidR="00B56A0A" w:rsidP="007342CA" w:rsidRDefault="00B56A0A" w14:paraId="60434756" w14:textId="77777777">
      <w:pPr>
        <w:spacing w:line="276" w:lineRule="auto"/>
        <w:rPr>
          <w:szCs w:val="24"/>
        </w:rPr>
      </w:pPr>
    </w:p>
    <w:p w:rsidRPr="007342CA" w:rsidR="00B56A0A" w:rsidP="007342CA" w:rsidRDefault="00B56A0A" w14:paraId="10149798" w14:textId="77777777">
      <w:pPr>
        <w:pStyle w:val="ListParagraph"/>
        <w:numPr>
          <w:ilvl w:val="0"/>
          <w:numId w:val="12"/>
        </w:numPr>
        <w:spacing w:line="276" w:lineRule="auto"/>
        <w:ind w:left="540" w:hanging="540"/>
        <w:rPr>
          <w:szCs w:val="24"/>
          <w:u w:val="single"/>
        </w:rPr>
      </w:pPr>
      <w:r w:rsidRPr="007342CA">
        <w:rPr>
          <w:szCs w:val="24"/>
          <w:u w:val="single"/>
        </w:rPr>
        <w:t>Document the publication (or intent to publish) a request for public comments in the Federal Register.</w:t>
      </w:r>
    </w:p>
    <w:p w:rsidRPr="007342CA" w:rsidR="00340499" w:rsidP="005508EA" w:rsidRDefault="000229A8" w14:paraId="01086489" w14:textId="12CF5164">
      <w:pPr>
        <w:spacing w:line="276" w:lineRule="auto"/>
        <w:rPr>
          <w:bCs/>
          <w:i/>
          <w:iCs/>
          <w:szCs w:val="24"/>
        </w:rPr>
      </w:pPr>
      <w:r w:rsidRPr="007342CA">
        <w:rPr>
          <w:szCs w:val="24"/>
        </w:rPr>
        <w:lastRenderedPageBreak/>
        <w:t xml:space="preserve">The Department </w:t>
      </w:r>
      <w:r w:rsidR="00CB647F">
        <w:rPr>
          <w:szCs w:val="24"/>
        </w:rPr>
        <w:t>publish</w:t>
      </w:r>
      <w:r w:rsidR="0035346F">
        <w:rPr>
          <w:szCs w:val="24"/>
        </w:rPr>
        <w:t>ed</w:t>
      </w:r>
      <w:r w:rsidRPr="007342CA">
        <w:rPr>
          <w:szCs w:val="24"/>
        </w:rPr>
        <w:t xml:space="preserve"> a </w:t>
      </w:r>
      <w:r w:rsidR="00CB647F">
        <w:rPr>
          <w:szCs w:val="24"/>
        </w:rPr>
        <w:t>60</w:t>
      </w:r>
      <w:r w:rsidR="003737BA">
        <w:rPr>
          <w:szCs w:val="24"/>
        </w:rPr>
        <w:t>-</w:t>
      </w:r>
      <w:r w:rsidR="00CB647F">
        <w:rPr>
          <w:szCs w:val="24"/>
        </w:rPr>
        <w:t xml:space="preserve">day </w:t>
      </w:r>
      <w:r w:rsidRPr="007342CA">
        <w:rPr>
          <w:szCs w:val="24"/>
        </w:rPr>
        <w:t xml:space="preserve">notice in the </w:t>
      </w:r>
      <w:r w:rsidRPr="007342CA">
        <w:rPr>
          <w:i/>
          <w:iCs/>
          <w:szCs w:val="24"/>
        </w:rPr>
        <w:t>Federal Register</w:t>
      </w:r>
      <w:r w:rsidRPr="007342CA">
        <w:rPr>
          <w:szCs w:val="24"/>
        </w:rPr>
        <w:t xml:space="preserve"> </w:t>
      </w:r>
      <w:r w:rsidR="0035346F">
        <w:rPr>
          <w:szCs w:val="24"/>
        </w:rPr>
        <w:t>(</w:t>
      </w:r>
      <w:r w:rsidRPr="00FC41D9" w:rsidR="0035346F">
        <w:rPr>
          <w:szCs w:val="24"/>
        </w:rPr>
        <w:t>8</w:t>
      </w:r>
      <w:r w:rsidRPr="00FC41D9" w:rsidR="00295A0F">
        <w:rPr>
          <w:szCs w:val="24"/>
        </w:rPr>
        <w:t>5</w:t>
      </w:r>
      <w:r w:rsidRPr="00FC41D9" w:rsidR="0035346F">
        <w:rPr>
          <w:szCs w:val="24"/>
        </w:rPr>
        <w:t xml:space="preserve"> FR 18323</w:t>
      </w:r>
      <w:r w:rsidR="0035346F">
        <w:rPr>
          <w:szCs w:val="24"/>
        </w:rPr>
        <w:t xml:space="preserve">) </w:t>
      </w:r>
      <w:r w:rsidRPr="007342CA" w:rsidR="00B50B41">
        <w:rPr>
          <w:szCs w:val="24"/>
        </w:rPr>
        <w:t>soliciting</w:t>
      </w:r>
      <w:r w:rsidRPr="007342CA" w:rsidR="00537CC9">
        <w:rPr>
          <w:szCs w:val="24"/>
        </w:rPr>
        <w:t xml:space="preserve"> public comment on this information collection.</w:t>
      </w:r>
      <w:r w:rsidRPr="007342CA" w:rsidR="00B50B41">
        <w:rPr>
          <w:szCs w:val="24"/>
        </w:rPr>
        <w:t xml:space="preserve"> </w:t>
      </w:r>
      <w:r w:rsidR="0035346F">
        <w:rPr>
          <w:szCs w:val="24"/>
        </w:rPr>
        <w:t xml:space="preserve">One comment was received and determined to be </w:t>
      </w:r>
      <w:r w:rsidR="00F018EB">
        <w:rPr>
          <w:szCs w:val="24"/>
        </w:rPr>
        <w:t>irrelevant</w:t>
      </w:r>
      <w:r w:rsidR="0035346F">
        <w:rPr>
          <w:szCs w:val="24"/>
        </w:rPr>
        <w:t xml:space="preserve"> as it did not pertain to the information collection.  </w:t>
      </w:r>
      <w:r w:rsidRPr="007342CA" w:rsidR="00B50B41">
        <w:rPr>
          <w:szCs w:val="24"/>
        </w:rPr>
        <w:t xml:space="preserve"> </w:t>
      </w:r>
    </w:p>
    <w:p w:rsidRPr="007342CA" w:rsidR="00B601AB" w:rsidP="007342CA" w:rsidRDefault="00B601AB" w14:paraId="0B0C810D" w14:textId="77777777">
      <w:pPr>
        <w:spacing w:line="276" w:lineRule="auto"/>
        <w:rPr>
          <w:szCs w:val="24"/>
        </w:rPr>
      </w:pPr>
    </w:p>
    <w:p w:rsidRPr="007342CA" w:rsidR="00B56A0A" w:rsidP="007342CA" w:rsidRDefault="00B56A0A" w14:paraId="79BF91CE" w14:textId="77777777">
      <w:pPr>
        <w:pStyle w:val="ListParagraph"/>
        <w:numPr>
          <w:ilvl w:val="0"/>
          <w:numId w:val="12"/>
        </w:numPr>
        <w:spacing w:line="276" w:lineRule="auto"/>
        <w:ind w:left="540" w:hanging="540"/>
        <w:rPr>
          <w:szCs w:val="24"/>
          <w:u w:val="single"/>
        </w:rPr>
      </w:pPr>
      <w:r w:rsidRPr="007342CA">
        <w:rPr>
          <w:szCs w:val="24"/>
          <w:u w:val="single"/>
        </w:rPr>
        <w:t>Are any payments or gifts given to the respondents?</w:t>
      </w:r>
    </w:p>
    <w:p w:rsidRPr="007342CA" w:rsidR="00B601AB" w:rsidP="007342CA" w:rsidRDefault="00B601AB" w14:paraId="454993FB" w14:textId="77777777">
      <w:pPr>
        <w:spacing w:line="276" w:lineRule="auto"/>
        <w:rPr>
          <w:szCs w:val="24"/>
        </w:rPr>
      </w:pPr>
      <w:r w:rsidRPr="007342CA">
        <w:rPr>
          <w:szCs w:val="24"/>
        </w:rPr>
        <w:t>No payment or gift has been or will be provided to any respondent.</w:t>
      </w:r>
    </w:p>
    <w:p w:rsidRPr="007342CA" w:rsidR="00B601AB" w:rsidP="007342CA" w:rsidRDefault="00B601AB" w14:paraId="32BEDFAC" w14:textId="77777777">
      <w:pPr>
        <w:spacing w:line="276" w:lineRule="auto"/>
        <w:rPr>
          <w:szCs w:val="24"/>
        </w:rPr>
      </w:pPr>
    </w:p>
    <w:p w:rsidRPr="009E7105" w:rsidR="00B56A0A" w:rsidP="007342CA" w:rsidRDefault="00B56A0A" w14:paraId="5F979B01" w14:textId="77777777">
      <w:pPr>
        <w:pStyle w:val="ListParagraph"/>
        <w:numPr>
          <w:ilvl w:val="0"/>
          <w:numId w:val="12"/>
        </w:numPr>
        <w:spacing w:line="276" w:lineRule="auto"/>
        <w:ind w:left="540" w:hanging="540"/>
        <w:rPr>
          <w:szCs w:val="24"/>
          <w:u w:val="single"/>
        </w:rPr>
      </w:pPr>
      <w:r w:rsidRPr="009E7105">
        <w:rPr>
          <w:szCs w:val="24"/>
          <w:u w:val="single"/>
        </w:rPr>
        <w:t>Describe any assurances of privacy/confidentiality.</w:t>
      </w:r>
    </w:p>
    <w:p w:rsidRPr="007342CA" w:rsidR="00725AD9" w:rsidP="007342CA" w:rsidRDefault="00CB647F" w14:paraId="7A6C4FD3" w14:textId="7AD3E7AE">
      <w:pPr>
        <w:spacing w:line="276" w:lineRule="auto"/>
        <w:rPr>
          <w:szCs w:val="24"/>
        </w:rPr>
      </w:pPr>
      <w:r>
        <w:rPr>
          <w:szCs w:val="24"/>
        </w:rPr>
        <w:t>R</w:t>
      </w:r>
      <w:r w:rsidRPr="00CB647F">
        <w:rPr>
          <w:szCs w:val="24"/>
        </w:rPr>
        <w:t>espondents may review the Privacy Impact Assessment (PIA) for DDTC’s electronic system (DECCS) on the Department of State’s PIA webpage (https://www.state.gov/privacy/pias/index.htm).  The System of Records Notice STATE-42, Munitions Control Records, is being revised to include this collection of information.  Once approved, STATE-42 will be published in the Federal Register and on the Department’s Privacy webpage (https://www.state.gov/privacy/sorns/index.htm).</w:t>
      </w:r>
    </w:p>
    <w:p w:rsidR="002B2345" w:rsidP="007342CA" w:rsidRDefault="00105928" w14:paraId="00DD262F" w14:textId="41AAC687">
      <w:pPr>
        <w:spacing w:line="276" w:lineRule="auto"/>
        <w:rPr>
          <w:szCs w:val="24"/>
        </w:rPr>
      </w:pPr>
      <w:r w:rsidRPr="00105928">
        <w:rPr>
          <w:szCs w:val="24"/>
        </w:rPr>
        <w:t xml:space="preserve">Respondents to this collection </w:t>
      </w:r>
      <w:r w:rsidR="00034422">
        <w:rPr>
          <w:szCs w:val="24"/>
        </w:rPr>
        <w:t>may</w:t>
      </w:r>
      <w:r w:rsidRPr="00105928">
        <w:rPr>
          <w:szCs w:val="24"/>
        </w:rPr>
        <w:t xml:space="preserve"> </w:t>
      </w:r>
      <w:r w:rsidR="00887A0A">
        <w:rPr>
          <w:szCs w:val="24"/>
        </w:rPr>
        <w:t>review</w:t>
      </w:r>
      <w:r w:rsidRPr="00105928">
        <w:rPr>
          <w:szCs w:val="24"/>
        </w:rPr>
        <w:t xml:space="preserve"> ITAR § 126.10, which </w:t>
      </w:r>
      <w:r w:rsidR="00F018EB">
        <w:rPr>
          <w:szCs w:val="24"/>
        </w:rPr>
        <w:t xml:space="preserve">also </w:t>
      </w:r>
      <w:r w:rsidRPr="00105928">
        <w:rPr>
          <w:szCs w:val="24"/>
        </w:rPr>
        <w:t xml:space="preserve">describes </w:t>
      </w:r>
      <w:r w:rsidR="006C4D0D">
        <w:rPr>
          <w:szCs w:val="24"/>
        </w:rPr>
        <w:t>DDTC’s policy regarding the disclosure of information</w:t>
      </w:r>
      <w:r w:rsidRPr="00105928">
        <w:rPr>
          <w:szCs w:val="24"/>
        </w:rPr>
        <w:t>.</w:t>
      </w:r>
      <w:r w:rsidR="006C4D0D">
        <w:rPr>
          <w:szCs w:val="24"/>
        </w:rPr>
        <w:t xml:space="preserve">  </w:t>
      </w:r>
    </w:p>
    <w:p w:rsidRPr="007342CA" w:rsidR="00105928" w:rsidP="007342CA" w:rsidRDefault="00105928" w14:paraId="3F0E7DB7" w14:textId="77777777">
      <w:pPr>
        <w:spacing w:line="276" w:lineRule="auto"/>
        <w:rPr>
          <w:szCs w:val="24"/>
        </w:rPr>
      </w:pPr>
    </w:p>
    <w:p w:rsidRPr="007342CA" w:rsidR="00B56A0A" w:rsidP="007342CA" w:rsidRDefault="00B56A0A" w14:paraId="29F9A881" w14:textId="77777777">
      <w:pPr>
        <w:pStyle w:val="ListParagraph"/>
        <w:numPr>
          <w:ilvl w:val="0"/>
          <w:numId w:val="12"/>
        </w:numPr>
        <w:spacing w:line="276" w:lineRule="auto"/>
        <w:ind w:left="540" w:hanging="540"/>
        <w:rPr>
          <w:szCs w:val="24"/>
          <w:u w:val="single"/>
        </w:rPr>
      </w:pPr>
      <w:r w:rsidRPr="007342CA">
        <w:rPr>
          <w:szCs w:val="24"/>
          <w:u w:val="single"/>
        </w:rPr>
        <w:t>Are any questions of a sensitive nature asked?</w:t>
      </w:r>
    </w:p>
    <w:p w:rsidRPr="007342CA" w:rsidR="00B601AB" w:rsidP="007342CA" w:rsidRDefault="00F44121" w14:paraId="69C225B1" w14:textId="77777777">
      <w:pPr>
        <w:spacing w:line="276" w:lineRule="auto"/>
        <w:rPr>
          <w:szCs w:val="24"/>
        </w:rPr>
      </w:pPr>
      <w:r w:rsidRPr="007342CA">
        <w:rPr>
          <w:szCs w:val="24"/>
        </w:rPr>
        <w:t xml:space="preserve">The Department of State is </w:t>
      </w:r>
      <w:r w:rsidRPr="007342CA" w:rsidR="00B601AB">
        <w:rPr>
          <w:szCs w:val="24"/>
        </w:rPr>
        <w:t>not solicit</w:t>
      </w:r>
      <w:r w:rsidRPr="007342CA">
        <w:rPr>
          <w:szCs w:val="24"/>
        </w:rPr>
        <w:t>ing</w:t>
      </w:r>
      <w:r w:rsidRPr="007342CA" w:rsidR="00B601AB">
        <w:rPr>
          <w:szCs w:val="24"/>
        </w:rPr>
        <w:t xml:space="preserve"> any information regarding questions of a sensitive nature or matters commonly considered private.</w:t>
      </w:r>
    </w:p>
    <w:p w:rsidRPr="007342CA" w:rsidR="00B601AB" w:rsidP="007342CA" w:rsidRDefault="00B601AB" w14:paraId="582CE66B" w14:textId="77777777">
      <w:pPr>
        <w:spacing w:line="276" w:lineRule="auto"/>
        <w:rPr>
          <w:szCs w:val="24"/>
        </w:rPr>
      </w:pPr>
    </w:p>
    <w:p w:rsidRPr="007342CA" w:rsidR="00B56A0A" w:rsidP="007342CA" w:rsidRDefault="00B56A0A" w14:paraId="4D907F05" w14:textId="77777777">
      <w:pPr>
        <w:pStyle w:val="ListParagraph"/>
        <w:numPr>
          <w:ilvl w:val="0"/>
          <w:numId w:val="12"/>
        </w:numPr>
        <w:spacing w:line="276" w:lineRule="auto"/>
        <w:ind w:left="540" w:hanging="540"/>
        <w:rPr>
          <w:szCs w:val="24"/>
          <w:u w:val="single"/>
        </w:rPr>
      </w:pPr>
      <w:r w:rsidRPr="007342CA">
        <w:rPr>
          <w:szCs w:val="24"/>
          <w:u w:val="single"/>
        </w:rPr>
        <w:t>Describe the hour time burden and the hour cost burden on the respondent needed to complete this collection.</w:t>
      </w:r>
    </w:p>
    <w:p w:rsidR="00B601AB" w:rsidP="00C00A19" w:rsidRDefault="00B601AB" w14:paraId="3B65CF17" w14:textId="30D909D3">
      <w:pPr>
        <w:spacing w:line="276" w:lineRule="auto"/>
        <w:rPr>
          <w:szCs w:val="24"/>
        </w:rPr>
      </w:pPr>
      <w:r w:rsidRPr="007342CA">
        <w:rPr>
          <w:szCs w:val="24"/>
        </w:rPr>
        <w:t xml:space="preserve">The Department of State has reason to believe that the information </w:t>
      </w:r>
      <w:r w:rsidRPr="007342CA" w:rsidR="004B2241">
        <w:rPr>
          <w:szCs w:val="24"/>
        </w:rPr>
        <w:t>requested in an advisory opinion</w:t>
      </w:r>
      <w:r w:rsidRPr="007342CA">
        <w:rPr>
          <w:szCs w:val="24"/>
        </w:rPr>
        <w:t xml:space="preserve"> </w:t>
      </w:r>
      <w:r w:rsidRPr="007342CA" w:rsidR="004B2241">
        <w:rPr>
          <w:szCs w:val="24"/>
        </w:rPr>
        <w:t>is already available to respondents as an aspect of their customary and usual business practices</w:t>
      </w:r>
      <w:r w:rsidRPr="007342CA">
        <w:rPr>
          <w:szCs w:val="24"/>
        </w:rPr>
        <w:t xml:space="preserve">.  </w:t>
      </w:r>
      <w:r w:rsidRPr="007342CA" w:rsidR="00B233E8">
        <w:rPr>
          <w:szCs w:val="24"/>
        </w:rPr>
        <w:t xml:space="preserve">An estimated </w:t>
      </w:r>
      <w:r w:rsidR="00397A12">
        <w:rPr>
          <w:szCs w:val="24"/>
        </w:rPr>
        <w:t>125</w:t>
      </w:r>
      <w:r w:rsidRPr="007342CA" w:rsidR="00B233E8">
        <w:rPr>
          <w:szCs w:val="24"/>
        </w:rPr>
        <w:t xml:space="preserve"> annual responses are expected from </w:t>
      </w:r>
      <w:r w:rsidR="00397A12">
        <w:rPr>
          <w:szCs w:val="24"/>
        </w:rPr>
        <w:t>125</w:t>
      </w:r>
      <w:r w:rsidRPr="007342CA" w:rsidR="00B233E8">
        <w:rPr>
          <w:szCs w:val="24"/>
        </w:rPr>
        <w:t xml:space="preserve"> respondents</w:t>
      </w:r>
      <w:r w:rsidRPr="007342CA">
        <w:rPr>
          <w:szCs w:val="24"/>
        </w:rPr>
        <w:t xml:space="preserve">.  </w:t>
      </w:r>
      <w:r w:rsidRPr="007342CA" w:rsidR="00B50B41">
        <w:rPr>
          <w:szCs w:val="24"/>
        </w:rPr>
        <w:t>The f</w:t>
      </w:r>
      <w:r w:rsidRPr="007342CA">
        <w:rPr>
          <w:szCs w:val="24"/>
        </w:rPr>
        <w:t xml:space="preserve">requency of response is on occasion.  </w:t>
      </w:r>
      <w:r w:rsidRPr="007342CA" w:rsidR="00B50B41">
        <w:rPr>
          <w:szCs w:val="24"/>
        </w:rPr>
        <w:t>DDTC estimates that each respondent will devote, on average, approximately two hours per response.  The</w:t>
      </w:r>
      <w:r w:rsidRPr="007342CA" w:rsidR="00120BDC">
        <w:rPr>
          <w:szCs w:val="24"/>
        </w:rPr>
        <w:t xml:space="preserve"> total</w:t>
      </w:r>
      <w:r w:rsidRPr="007342CA" w:rsidR="00B50B41">
        <w:rPr>
          <w:szCs w:val="24"/>
        </w:rPr>
        <w:t xml:space="preserve"> hour-</w:t>
      </w:r>
      <w:r w:rsidRPr="007342CA" w:rsidR="00075EF8">
        <w:rPr>
          <w:szCs w:val="24"/>
        </w:rPr>
        <w:t xml:space="preserve">time </w:t>
      </w:r>
      <w:r w:rsidRPr="007342CA" w:rsidR="00120BDC">
        <w:rPr>
          <w:szCs w:val="24"/>
        </w:rPr>
        <w:t xml:space="preserve">burden is </w:t>
      </w:r>
      <w:r w:rsidRPr="007342CA" w:rsidR="00B50B41">
        <w:rPr>
          <w:szCs w:val="24"/>
        </w:rPr>
        <w:t xml:space="preserve">estimated to be </w:t>
      </w:r>
      <w:r w:rsidRPr="00397A12" w:rsidR="00397A12">
        <w:rPr>
          <w:szCs w:val="24"/>
        </w:rPr>
        <w:t>250 hours (2 hours x 125</w:t>
      </w:r>
      <w:r w:rsidRPr="00397A12" w:rsidR="00120BDC">
        <w:rPr>
          <w:szCs w:val="24"/>
        </w:rPr>
        <w:t xml:space="preserve"> responses).</w:t>
      </w:r>
      <w:r w:rsidRPr="00397A12" w:rsidR="00BD4B93">
        <w:rPr>
          <w:szCs w:val="24"/>
        </w:rPr>
        <w:t xml:space="preserve"> </w:t>
      </w:r>
    </w:p>
    <w:p w:rsidR="00CF1B38" w:rsidP="00CF1B38" w:rsidRDefault="00CF1B38" w14:paraId="4BC66AE3" w14:textId="77777777">
      <w:pPr>
        <w:spacing w:line="276" w:lineRule="auto"/>
        <w:rPr>
          <w:szCs w:val="24"/>
        </w:rPr>
      </w:pPr>
    </w:p>
    <w:p w:rsidRPr="007342CA" w:rsidR="00B04151" w:rsidP="00C00A19" w:rsidRDefault="00B04151" w14:paraId="15FF75E3" w14:textId="163FB98D">
      <w:pPr>
        <w:spacing w:line="276" w:lineRule="auto"/>
        <w:rPr>
          <w:szCs w:val="24"/>
        </w:rPr>
      </w:pPr>
      <w:r w:rsidRPr="007342CA">
        <w:rPr>
          <w:szCs w:val="24"/>
        </w:rPr>
        <w:t>According to the Department of Labor</w:t>
      </w:r>
      <w:r w:rsidRPr="007342CA" w:rsidR="00B50B41">
        <w:rPr>
          <w:szCs w:val="24"/>
        </w:rPr>
        <w:t>’s Bureau of Labor Statistics</w:t>
      </w:r>
      <w:r w:rsidRPr="007342CA">
        <w:rPr>
          <w:szCs w:val="24"/>
        </w:rPr>
        <w:t xml:space="preserve">, the </w:t>
      </w:r>
      <w:r w:rsidRPr="007342CA" w:rsidR="00B50B41">
        <w:rPr>
          <w:szCs w:val="24"/>
        </w:rPr>
        <w:t>average hourly</w:t>
      </w:r>
      <w:r w:rsidRPr="007342CA">
        <w:rPr>
          <w:szCs w:val="24"/>
        </w:rPr>
        <w:t xml:space="preserve"> wage</w:t>
      </w:r>
      <w:r w:rsidRPr="007342CA" w:rsidR="00075EF8">
        <w:rPr>
          <w:szCs w:val="24"/>
        </w:rPr>
        <w:t xml:space="preserve"> (</w:t>
      </w:r>
      <w:r w:rsidRPr="007342CA" w:rsidR="00075EF8">
        <w:rPr>
          <w:i/>
          <w:szCs w:val="24"/>
        </w:rPr>
        <w:t>weighted</w:t>
      </w:r>
      <w:r w:rsidRPr="007342CA" w:rsidR="00075EF8">
        <w:rPr>
          <w:szCs w:val="24"/>
        </w:rPr>
        <w:t>)</w:t>
      </w:r>
      <w:r w:rsidRPr="007342CA">
        <w:rPr>
          <w:szCs w:val="24"/>
        </w:rPr>
        <w:t xml:space="preserve"> for a “Compliance Officer</w:t>
      </w:r>
      <w:r w:rsidRPr="007342CA" w:rsidR="00075EF8">
        <w:rPr>
          <w:szCs w:val="24"/>
        </w:rPr>
        <w:t>”</w:t>
      </w:r>
      <w:r w:rsidRPr="007342CA" w:rsidR="00537CC9">
        <w:rPr>
          <w:szCs w:val="24"/>
        </w:rPr>
        <w:t xml:space="preserve"> is</w:t>
      </w:r>
      <w:r w:rsidR="00BC2CFD">
        <w:rPr>
          <w:szCs w:val="24"/>
        </w:rPr>
        <w:t xml:space="preserve"> $69.72</w:t>
      </w:r>
      <w:r w:rsidR="00BC2CFD">
        <w:rPr>
          <w:rStyle w:val="FootnoteReference"/>
          <w:szCs w:val="24"/>
        </w:rPr>
        <w:footnoteReference w:id="2"/>
      </w:r>
      <w:r w:rsidRPr="007342CA" w:rsidR="00075EF8">
        <w:rPr>
          <w:szCs w:val="24"/>
        </w:rPr>
        <w:t>.  This was calculated by multiplying the average hourly wage (</w:t>
      </w:r>
      <w:r w:rsidRPr="007342CA" w:rsidR="00537CC9">
        <w:rPr>
          <w:szCs w:val="24"/>
        </w:rPr>
        <w:t>$</w:t>
      </w:r>
      <w:r w:rsidR="00BC2CFD">
        <w:rPr>
          <w:szCs w:val="24"/>
        </w:rPr>
        <w:t>34.86</w:t>
      </w:r>
      <w:r w:rsidRPr="007342CA" w:rsidR="00075EF8">
        <w:rPr>
          <w:szCs w:val="24"/>
        </w:rPr>
        <w:t>)</w:t>
      </w:r>
      <w:r w:rsidR="00BC2CFD">
        <w:rPr>
          <w:szCs w:val="24"/>
        </w:rPr>
        <w:t xml:space="preserve"> by 2</w:t>
      </w:r>
      <w:r w:rsidR="00030305">
        <w:rPr>
          <w:szCs w:val="24"/>
        </w:rPr>
        <w:t xml:space="preserve"> </w:t>
      </w:r>
      <w:r w:rsidRPr="007342CA" w:rsidR="00075EF8">
        <w:rPr>
          <w:szCs w:val="24"/>
        </w:rPr>
        <w:t>to account for overhead costs.  T</w:t>
      </w:r>
      <w:r w:rsidRPr="007342CA">
        <w:rPr>
          <w:szCs w:val="24"/>
        </w:rPr>
        <w:t xml:space="preserve">he total hour-cost burden for this information </w:t>
      </w:r>
      <w:r w:rsidRPr="007342CA" w:rsidR="0096675A">
        <w:rPr>
          <w:szCs w:val="24"/>
        </w:rPr>
        <w:t>collection</w:t>
      </w:r>
      <w:r w:rsidRPr="007342CA" w:rsidR="00075EF8">
        <w:rPr>
          <w:szCs w:val="24"/>
        </w:rPr>
        <w:t>, based on the average weighted hourly wage listed above,</w:t>
      </w:r>
      <w:r w:rsidR="00BC2CFD">
        <w:rPr>
          <w:szCs w:val="24"/>
        </w:rPr>
        <w:t xml:space="preserve"> is</w:t>
      </w:r>
      <w:r w:rsidR="00397A12">
        <w:rPr>
          <w:szCs w:val="24"/>
        </w:rPr>
        <w:t xml:space="preserve"> $17,430</w:t>
      </w:r>
      <w:r w:rsidR="00BC2CFD">
        <w:rPr>
          <w:szCs w:val="24"/>
        </w:rPr>
        <w:t xml:space="preserve"> ($69.72</w:t>
      </w:r>
      <w:r w:rsidRPr="007342CA" w:rsidR="00075EF8">
        <w:rPr>
          <w:szCs w:val="24"/>
        </w:rPr>
        <w:t>/hour</w:t>
      </w:r>
      <w:r w:rsidRPr="007342CA" w:rsidR="0096675A">
        <w:rPr>
          <w:szCs w:val="24"/>
        </w:rPr>
        <w:t xml:space="preserve"> x </w:t>
      </w:r>
      <w:r w:rsidR="00397A12">
        <w:rPr>
          <w:szCs w:val="24"/>
        </w:rPr>
        <w:t>250</w:t>
      </w:r>
      <w:r w:rsidRPr="007342CA" w:rsidR="00120BDC">
        <w:rPr>
          <w:szCs w:val="24"/>
        </w:rPr>
        <w:t xml:space="preserve"> hours</w:t>
      </w:r>
      <w:r w:rsidRPr="007342CA" w:rsidR="0096675A">
        <w:rPr>
          <w:szCs w:val="24"/>
        </w:rPr>
        <w:t>).</w:t>
      </w:r>
    </w:p>
    <w:p w:rsidRPr="007342CA" w:rsidR="00B04151" w:rsidP="007342CA" w:rsidRDefault="00B04151" w14:paraId="045A3CC4" w14:textId="77777777">
      <w:pPr>
        <w:spacing w:line="276" w:lineRule="auto"/>
        <w:rPr>
          <w:szCs w:val="24"/>
        </w:rPr>
      </w:pPr>
    </w:p>
    <w:p w:rsidRPr="007342CA" w:rsidR="00B56A0A" w:rsidP="007342CA" w:rsidRDefault="00B56A0A" w14:paraId="14D9E0A1" w14:textId="77777777">
      <w:pPr>
        <w:pStyle w:val="ListParagraph"/>
        <w:numPr>
          <w:ilvl w:val="0"/>
          <w:numId w:val="12"/>
        </w:numPr>
        <w:spacing w:line="276" w:lineRule="auto"/>
        <w:ind w:left="540" w:hanging="540"/>
        <w:rPr>
          <w:szCs w:val="24"/>
          <w:u w:val="single"/>
        </w:rPr>
      </w:pPr>
      <w:r w:rsidRPr="007342CA">
        <w:rPr>
          <w:szCs w:val="24"/>
          <w:u w:val="single"/>
        </w:rPr>
        <w:t>Describe any monetary burden on the respondent needed to complete this collection.</w:t>
      </w:r>
    </w:p>
    <w:p w:rsidR="00367B66" w:rsidP="00BC2CFD" w:rsidRDefault="00BC2CFD" w14:paraId="77E0FC58" w14:textId="32171AA4">
      <w:pPr>
        <w:spacing w:line="276" w:lineRule="auto"/>
        <w:rPr>
          <w:szCs w:val="24"/>
        </w:rPr>
      </w:pPr>
      <w:r>
        <w:rPr>
          <w:szCs w:val="24"/>
        </w:rPr>
        <w:t>There is no additional monetary burden for respondents.</w:t>
      </w:r>
    </w:p>
    <w:p w:rsidRPr="00C00A19" w:rsidR="00C00A19" w:rsidP="00480506" w:rsidRDefault="00C00A19" w14:paraId="7331885D" w14:textId="77777777">
      <w:pPr>
        <w:spacing w:line="276" w:lineRule="auto"/>
        <w:rPr>
          <w:szCs w:val="24"/>
        </w:rPr>
      </w:pPr>
    </w:p>
    <w:p w:rsidRPr="007342CA" w:rsidR="00B56A0A" w:rsidP="007342CA" w:rsidRDefault="00B56A0A" w14:paraId="0D3DAFBD" w14:textId="77777777">
      <w:pPr>
        <w:pStyle w:val="ListParagraph"/>
        <w:numPr>
          <w:ilvl w:val="0"/>
          <w:numId w:val="12"/>
        </w:numPr>
        <w:spacing w:line="276" w:lineRule="auto"/>
        <w:ind w:left="540" w:hanging="540"/>
        <w:rPr>
          <w:szCs w:val="24"/>
          <w:u w:val="single"/>
        </w:rPr>
      </w:pPr>
      <w:r w:rsidRPr="007342CA">
        <w:rPr>
          <w:szCs w:val="24"/>
          <w:u w:val="single"/>
        </w:rPr>
        <w:t>Describe the cost to the Federal Government to complete this collection.</w:t>
      </w:r>
    </w:p>
    <w:p w:rsidR="004D3F52" w:rsidP="007342CA" w:rsidRDefault="00B808EB" w14:paraId="128B8B34" w14:textId="24BA6DA2">
      <w:pPr>
        <w:spacing w:line="276" w:lineRule="auto"/>
        <w:rPr>
          <w:szCs w:val="24"/>
        </w:rPr>
      </w:pPr>
      <w:r>
        <w:rPr>
          <w:szCs w:val="24"/>
        </w:rPr>
        <w:t>Conducting this collection costs DDTC</w:t>
      </w:r>
      <w:r w:rsidR="004D3F52">
        <w:rPr>
          <w:szCs w:val="24"/>
        </w:rPr>
        <w:t xml:space="preserve"> </w:t>
      </w:r>
      <w:r>
        <w:rPr>
          <w:szCs w:val="24"/>
        </w:rPr>
        <w:t>approximately</w:t>
      </w:r>
      <w:r w:rsidR="00A77CAD">
        <w:rPr>
          <w:szCs w:val="24"/>
        </w:rPr>
        <w:t xml:space="preserve"> $</w:t>
      </w:r>
      <w:r w:rsidR="003D1918">
        <w:rPr>
          <w:szCs w:val="24"/>
        </w:rPr>
        <w:t>1</w:t>
      </w:r>
      <w:r w:rsidR="00006766">
        <w:rPr>
          <w:szCs w:val="24"/>
        </w:rPr>
        <w:t>89,814</w:t>
      </w:r>
      <w:r w:rsidR="004D3F52">
        <w:rPr>
          <w:szCs w:val="24"/>
        </w:rPr>
        <w:t xml:space="preserve"> </w:t>
      </w:r>
      <w:r>
        <w:rPr>
          <w:szCs w:val="24"/>
        </w:rPr>
        <w:t>per year</w:t>
      </w:r>
      <w:r w:rsidR="004D3F52">
        <w:rPr>
          <w:szCs w:val="24"/>
        </w:rPr>
        <w:t>.  This figure is broken down further in the chart below.</w:t>
      </w:r>
      <w:r w:rsidR="00BC2CFD">
        <w:rPr>
          <w:rStyle w:val="FootnoteReference"/>
          <w:szCs w:val="24"/>
        </w:rPr>
        <w:footnoteReference w:id="3"/>
      </w:r>
    </w:p>
    <w:p w:rsidR="00CD3674" w:rsidP="007342CA" w:rsidRDefault="00CD3674" w14:paraId="0E67FD72" w14:textId="77777777">
      <w:pPr>
        <w:spacing w:line="276" w:lineRule="auto"/>
        <w:rPr>
          <w:szCs w:val="24"/>
        </w:rPr>
      </w:pPr>
    </w:p>
    <w:tbl>
      <w:tblPr>
        <w:tblStyle w:val="TableGrid"/>
        <w:tblW w:w="9918" w:type="dxa"/>
        <w:tblLook w:val="04A0" w:firstRow="1" w:lastRow="0" w:firstColumn="1" w:lastColumn="0" w:noHBand="0" w:noVBand="1"/>
      </w:tblPr>
      <w:tblGrid>
        <w:gridCol w:w="2808"/>
        <w:gridCol w:w="2520"/>
        <w:gridCol w:w="2160"/>
        <w:gridCol w:w="2430"/>
      </w:tblGrid>
      <w:tr w:rsidRPr="00397A12" w:rsidR="007F0644" w:rsidTr="00CF1B38" w14:paraId="6DFCCFEF" w14:textId="77777777">
        <w:tc>
          <w:tcPr>
            <w:tcW w:w="2808" w:type="dxa"/>
          </w:tcPr>
          <w:p w:rsidRPr="00397A12" w:rsidR="007F0644" w:rsidP="00CF1B38" w:rsidRDefault="007F0644" w14:paraId="4672B0B1" w14:textId="77777777">
            <w:pPr>
              <w:spacing w:line="276" w:lineRule="auto"/>
              <w:jc w:val="center"/>
              <w:rPr>
                <w:b/>
                <w:szCs w:val="24"/>
              </w:rPr>
            </w:pPr>
            <w:r w:rsidRPr="00397A12">
              <w:rPr>
                <w:b/>
                <w:szCs w:val="24"/>
              </w:rPr>
              <w:t>Role</w:t>
            </w:r>
          </w:p>
        </w:tc>
        <w:tc>
          <w:tcPr>
            <w:tcW w:w="2520" w:type="dxa"/>
          </w:tcPr>
          <w:p w:rsidRPr="00397A12" w:rsidR="007F0644" w:rsidP="00CF1B38" w:rsidRDefault="007F0644" w14:paraId="38F14B92" w14:textId="77777777">
            <w:pPr>
              <w:spacing w:line="276" w:lineRule="auto"/>
              <w:jc w:val="center"/>
              <w:rPr>
                <w:b/>
                <w:szCs w:val="24"/>
              </w:rPr>
            </w:pPr>
            <w:r w:rsidRPr="00397A12">
              <w:rPr>
                <w:b/>
                <w:szCs w:val="24"/>
              </w:rPr>
              <w:t>Average Hourly Wage</w:t>
            </w:r>
          </w:p>
        </w:tc>
        <w:tc>
          <w:tcPr>
            <w:tcW w:w="2160" w:type="dxa"/>
          </w:tcPr>
          <w:p w:rsidRPr="00397A12" w:rsidR="007F0644" w:rsidP="00CF1B38" w:rsidRDefault="007F0644" w14:paraId="1BECEEA4" w14:textId="77777777">
            <w:pPr>
              <w:spacing w:line="276" w:lineRule="auto"/>
              <w:jc w:val="center"/>
              <w:rPr>
                <w:b/>
                <w:szCs w:val="24"/>
              </w:rPr>
            </w:pPr>
            <w:r w:rsidRPr="00397A12">
              <w:rPr>
                <w:b/>
                <w:szCs w:val="24"/>
              </w:rPr>
              <w:t>Hours Spent/Week</w:t>
            </w:r>
          </w:p>
        </w:tc>
        <w:tc>
          <w:tcPr>
            <w:tcW w:w="2430" w:type="dxa"/>
          </w:tcPr>
          <w:p w:rsidRPr="00397A12" w:rsidR="007F0644" w:rsidP="00CF1B38" w:rsidRDefault="007F0644" w14:paraId="6B8BD1CF" w14:textId="77777777">
            <w:pPr>
              <w:spacing w:line="276" w:lineRule="auto"/>
              <w:jc w:val="center"/>
              <w:rPr>
                <w:b/>
                <w:szCs w:val="24"/>
              </w:rPr>
            </w:pPr>
            <w:r w:rsidRPr="00397A12">
              <w:rPr>
                <w:b/>
                <w:szCs w:val="24"/>
              </w:rPr>
              <w:t>Average Annual Cost</w:t>
            </w:r>
          </w:p>
        </w:tc>
      </w:tr>
      <w:tr w:rsidRPr="00397A12" w:rsidR="007F0644" w:rsidTr="00CF1B38" w14:paraId="4DBAF0F8" w14:textId="77777777">
        <w:tc>
          <w:tcPr>
            <w:tcW w:w="2808" w:type="dxa"/>
            <w:vAlign w:val="center"/>
          </w:tcPr>
          <w:p w:rsidRPr="00397A12" w:rsidR="007F0644" w:rsidP="00CF1B38" w:rsidRDefault="007F0644" w14:paraId="16C1E6A8" w14:textId="77777777">
            <w:pPr>
              <w:spacing w:line="276" w:lineRule="auto"/>
              <w:jc w:val="center"/>
              <w:rPr>
                <w:szCs w:val="24"/>
              </w:rPr>
            </w:pPr>
            <w:r w:rsidRPr="00397A12">
              <w:rPr>
                <w:szCs w:val="24"/>
              </w:rPr>
              <w:t xml:space="preserve">Analyst </w:t>
            </w:r>
            <w:r w:rsidRPr="00397A12" w:rsidR="003D1918">
              <w:rPr>
                <w:szCs w:val="24"/>
              </w:rPr>
              <w:t xml:space="preserve">Processing, </w:t>
            </w:r>
            <w:r w:rsidRPr="00397A12">
              <w:rPr>
                <w:szCs w:val="24"/>
              </w:rPr>
              <w:t>Review</w:t>
            </w:r>
            <w:r w:rsidRPr="00397A12" w:rsidR="003D1918">
              <w:rPr>
                <w:szCs w:val="24"/>
              </w:rPr>
              <w:t xml:space="preserve">, and </w:t>
            </w:r>
            <w:r w:rsidRPr="00397A12">
              <w:rPr>
                <w:szCs w:val="24"/>
              </w:rPr>
              <w:t>Response</w:t>
            </w:r>
          </w:p>
        </w:tc>
        <w:tc>
          <w:tcPr>
            <w:tcW w:w="2520" w:type="dxa"/>
            <w:vAlign w:val="center"/>
          </w:tcPr>
          <w:p w:rsidRPr="00397A12" w:rsidR="007F0644" w:rsidP="00006766" w:rsidRDefault="00A77CAD" w14:paraId="27BA84FD" w14:textId="77777777">
            <w:pPr>
              <w:spacing w:line="276" w:lineRule="auto"/>
              <w:jc w:val="center"/>
              <w:rPr>
                <w:szCs w:val="24"/>
              </w:rPr>
            </w:pPr>
            <w:r w:rsidRPr="00397A12">
              <w:rPr>
                <w:szCs w:val="24"/>
              </w:rPr>
              <w:t>$</w:t>
            </w:r>
            <w:r w:rsidRPr="00397A12" w:rsidR="003D1918">
              <w:rPr>
                <w:szCs w:val="24"/>
              </w:rPr>
              <w:t>6</w:t>
            </w:r>
            <w:r w:rsidRPr="00397A12" w:rsidR="00006766">
              <w:rPr>
                <w:szCs w:val="24"/>
              </w:rPr>
              <w:t>2.41</w:t>
            </w:r>
            <w:r w:rsidRPr="00397A12" w:rsidR="001A1FC9">
              <w:rPr>
                <w:szCs w:val="24"/>
              </w:rPr>
              <w:t xml:space="preserve"> </w:t>
            </w:r>
            <w:r w:rsidRPr="00397A12" w:rsidR="001A1FC9">
              <w:rPr>
                <w:i/>
                <w:sz w:val="16"/>
                <w:szCs w:val="16"/>
              </w:rPr>
              <w:t>(ave</w:t>
            </w:r>
            <w:r w:rsidRPr="00397A12" w:rsidR="00AD1A28">
              <w:rPr>
                <w:i/>
                <w:sz w:val="16"/>
                <w:szCs w:val="16"/>
              </w:rPr>
              <w:t>rage salary, Washington, DC GS-</w:t>
            </w:r>
            <w:r w:rsidRPr="00397A12" w:rsidR="003D1918">
              <w:rPr>
                <w:i/>
                <w:sz w:val="16"/>
                <w:szCs w:val="16"/>
              </w:rPr>
              <w:t>1</w:t>
            </w:r>
            <w:r w:rsidRPr="00397A12" w:rsidR="00006766">
              <w:rPr>
                <w:i/>
                <w:sz w:val="16"/>
                <w:szCs w:val="16"/>
              </w:rPr>
              <w:t>3</w:t>
            </w:r>
            <w:r w:rsidRPr="00397A12" w:rsidR="001A1FC9">
              <w:rPr>
                <w:i/>
                <w:sz w:val="16"/>
                <w:szCs w:val="16"/>
              </w:rPr>
              <w:t xml:space="preserve"> or equivalent)</w:t>
            </w:r>
          </w:p>
        </w:tc>
        <w:tc>
          <w:tcPr>
            <w:tcW w:w="2160" w:type="dxa"/>
            <w:vAlign w:val="center"/>
          </w:tcPr>
          <w:p w:rsidRPr="00397A12" w:rsidR="007F0644" w:rsidP="00CF1B38" w:rsidRDefault="007F0644" w14:paraId="398C9C1A" w14:textId="77777777">
            <w:pPr>
              <w:spacing w:line="276" w:lineRule="auto"/>
              <w:jc w:val="center"/>
              <w:rPr>
                <w:szCs w:val="24"/>
              </w:rPr>
            </w:pPr>
            <w:r w:rsidRPr="00397A12">
              <w:rPr>
                <w:szCs w:val="24"/>
              </w:rPr>
              <w:t>4</w:t>
            </w:r>
            <w:r w:rsidRPr="00397A12" w:rsidR="003D1918">
              <w:rPr>
                <w:szCs w:val="24"/>
              </w:rPr>
              <w:t>8</w:t>
            </w:r>
          </w:p>
        </w:tc>
        <w:tc>
          <w:tcPr>
            <w:tcW w:w="2430" w:type="dxa"/>
            <w:vAlign w:val="center"/>
          </w:tcPr>
          <w:p w:rsidRPr="00397A12" w:rsidR="007F0644" w:rsidP="00006766" w:rsidRDefault="007F0644" w14:paraId="624D6224" w14:textId="77777777">
            <w:pPr>
              <w:spacing w:line="276" w:lineRule="auto"/>
              <w:jc w:val="center"/>
              <w:rPr>
                <w:szCs w:val="24"/>
              </w:rPr>
            </w:pPr>
            <w:r w:rsidRPr="00397A12">
              <w:rPr>
                <w:szCs w:val="24"/>
              </w:rPr>
              <w:t>$</w:t>
            </w:r>
            <w:r w:rsidRPr="00397A12" w:rsidR="00006766">
              <w:rPr>
                <w:szCs w:val="24"/>
              </w:rPr>
              <w:t>130,815</w:t>
            </w:r>
          </w:p>
        </w:tc>
      </w:tr>
      <w:tr w:rsidRPr="00397A12" w:rsidR="007F0644" w:rsidTr="00CF1B38" w14:paraId="6D973F87" w14:textId="77777777">
        <w:tc>
          <w:tcPr>
            <w:tcW w:w="2808" w:type="dxa"/>
            <w:vAlign w:val="center"/>
          </w:tcPr>
          <w:p w:rsidRPr="00397A12" w:rsidR="007F0644" w:rsidP="00CF1B38" w:rsidRDefault="007F0644" w14:paraId="17BB3788" w14:textId="79E80E07">
            <w:pPr>
              <w:spacing w:line="276" w:lineRule="auto"/>
              <w:jc w:val="center"/>
              <w:rPr>
                <w:szCs w:val="24"/>
              </w:rPr>
            </w:pPr>
            <w:r w:rsidRPr="00397A12">
              <w:rPr>
                <w:szCs w:val="24"/>
              </w:rPr>
              <w:t xml:space="preserve">Analyst </w:t>
            </w:r>
            <w:r w:rsidRPr="00397A12" w:rsidR="00D90AE4">
              <w:rPr>
                <w:szCs w:val="24"/>
              </w:rPr>
              <w:t xml:space="preserve">Processing, </w:t>
            </w:r>
            <w:r w:rsidRPr="00397A12">
              <w:rPr>
                <w:szCs w:val="24"/>
              </w:rPr>
              <w:t>Review</w:t>
            </w:r>
            <w:r w:rsidRPr="00397A12" w:rsidR="00D90AE4">
              <w:rPr>
                <w:szCs w:val="24"/>
              </w:rPr>
              <w:t>,</w:t>
            </w:r>
            <w:r w:rsidRPr="00397A12" w:rsidR="003D1918">
              <w:rPr>
                <w:szCs w:val="24"/>
              </w:rPr>
              <w:t xml:space="preserve"> and </w:t>
            </w:r>
            <w:r w:rsidRPr="00397A12">
              <w:rPr>
                <w:szCs w:val="24"/>
              </w:rPr>
              <w:t>Response</w:t>
            </w:r>
          </w:p>
        </w:tc>
        <w:tc>
          <w:tcPr>
            <w:tcW w:w="2520" w:type="dxa"/>
            <w:vAlign w:val="center"/>
          </w:tcPr>
          <w:p w:rsidRPr="00397A12" w:rsidR="007F0644" w:rsidP="00CF1B38" w:rsidRDefault="00A77CAD" w14:paraId="044E234B" w14:textId="77777777">
            <w:pPr>
              <w:spacing w:line="276" w:lineRule="auto"/>
              <w:jc w:val="center"/>
              <w:rPr>
                <w:szCs w:val="24"/>
              </w:rPr>
            </w:pPr>
            <w:r w:rsidRPr="00397A12">
              <w:rPr>
                <w:szCs w:val="24"/>
              </w:rPr>
              <w:t>$</w:t>
            </w:r>
            <w:r w:rsidRPr="00397A12" w:rsidR="00AD1A28">
              <w:rPr>
                <w:szCs w:val="24"/>
              </w:rPr>
              <w:t>30.39</w:t>
            </w:r>
            <w:r w:rsidRPr="00397A12" w:rsidR="001A1FC9">
              <w:rPr>
                <w:szCs w:val="24"/>
              </w:rPr>
              <w:t xml:space="preserve"> </w:t>
            </w:r>
            <w:r w:rsidRPr="00397A12" w:rsidR="001A1FC9">
              <w:rPr>
                <w:i/>
                <w:sz w:val="16"/>
                <w:szCs w:val="16"/>
              </w:rPr>
              <w:t>(ave</w:t>
            </w:r>
            <w:r w:rsidRPr="00397A12" w:rsidR="00AD1A28">
              <w:rPr>
                <w:i/>
                <w:sz w:val="16"/>
                <w:szCs w:val="16"/>
              </w:rPr>
              <w:t>rage salary, Washington, DC GS-</w:t>
            </w:r>
            <w:r w:rsidRPr="00397A12" w:rsidR="001A1FC9">
              <w:rPr>
                <w:i/>
                <w:sz w:val="16"/>
                <w:szCs w:val="16"/>
              </w:rPr>
              <w:t>9 or equivalent)</w:t>
            </w:r>
          </w:p>
        </w:tc>
        <w:tc>
          <w:tcPr>
            <w:tcW w:w="2160" w:type="dxa"/>
            <w:vAlign w:val="center"/>
          </w:tcPr>
          <w:p w:rsidRPr="00397A12" w:rsidR="007F0644" w:rsidP="00CF1B38" w:rsidRDefault="007F0644" w14:paraId="44ACA147" w14:textId="77777777">
            <w:pPr>
              <w:spacing w:line="276" w:lineRule="auto"/>
              <w:jc w:val="center"/>
              <w:rPr>
                <w:szCs w:val="24"/>
              </w:rPr>
            </w:pPr>
            <w:r w:rsidRPr="00397A12">
              <w:rPr>
                <w:szCs w:val="24"/>
              </w:rPr>
              <w:t>20</w:t>
            </w:r>
          </w:p>
        </w:tc>
        <w:tc>
          <w:tcPr>
            <w:tcW w:w="2430" w:type="dxa"/>
            <w:vAlign w:val="center"/>
          </w:tcPr>
          <w:p w:rsidRPr="00397A12" w:rsidR="007F0644" w:rsidP="00CF1B38" w:rsidRDefault="007F0644" w14:paraId="2DB40101" w14:textId="77777777">
            <w:pPr>
              <w:spacing w:line="276" w:lineRule="auto"/>
              <w:jc w:val="center"/>
              <w:rPr>
                <w:szCs w:val="24"/>
              </w:rPr>
            </w:pPr>
            <w:r w:rsidRPr="00397A12">
              <w:rPr>
                <w:szCs w:val="24"/>
              </w:rPr>
              <w:t>$3</w:t>
            </w:r>
            <w:r w:rsidRPr="00397A12" w:rsidR="00AD1A28">
              <w:rPr>
                <w:szCs w:val="24"/>
              </w:rPr>
              <w:t>1,606</w:t>
            </w:r>
          </w:p>
        </w:tc>
      </w:tr>
      <w:tr w:rsidRPr="00397A12" w:rsidR="007F0644" w:rsidTr="00CF1B38" w14:paraId="0A17EF33" w14:textId="77777777">
        <w:tc>
          <w:tcPr>
            <w:tcW w:w="2808" w:type="dxa"/>
            <w:vAlign w:val="center"/>
          </w:tcPr>
          <w:p w:rsidRPr="00397A12" w:rsidR="007F0644" w:rsidP="00CF1B38" w:rsidRDefault="007F0644" w14:paraId="5E6D18C6" w14:textId="77777777">
            <w:pPr>
              <w:spacing w:line="276" w:lineRule="auto"/>
              <w:jc w:val="center"/>
              <w:rPr>
                <w:szCs w:val="24"/>
              </w:rPr>
            </w:pPr>
            <w:r w:rsidRPr="00397A12">
              <w:rPr>
                <w:szCs w:val="24"/>
              </w:rPr>
              <w:t>Supervisory Review</w:t>
            </w:r>
          </w:p>
        </w:tc>
        <w:tc>
          <w:tcPr>
            <w:tcW w:w="2520" w:type="dxa"/>
            <w:vAlign w:val="center"/>
          </w:tcPr>
          <w:p w:rsidRPr="00397A12" w:rsidR="007F0644" w:rsidP="00CF1B38" w:rsidRDefault="00AD1A28" w14:paraId="1A5C5201" w14:textId="77777777">
            <w:pPr>
              <w:spacing w:line="276" w:lineRule="auto"/>
              <w:jc w:val="center"/>
              <w:rPr>
                <w:szCs w:val="24"/>
              </w:rPr>
            </w:pPr>
            <w:r w:rsidRPr="00397A12">
              <w:rPr>
                <w:szCs w:val="24"/>
              </w:rPr>
              <w:t>$65</w:t>
            </w:r>
            <w:r w:rsidRPr="00397A12" w:rsidR="000007A9">
              <w:rPr>
                <w:szCs w:val="24"/>
              </w:rPr>
              <w:t>.</w:t>
            </w:r>
            <w:r w:rsidRPr="00397A12">
              <w:rPr>
                <w:szCs w:val="24"/>
              </w:rPr>
              <w:t>85</w:t>
            </w:r>
            <w:r w:rsidRPr="00397A12" w:rsidR="001A1FC9">
              <w:rPr>
                <w:szCs w:val="24"/>
              </w:rPr>
              <w:t xml:space="preserve"> </w:t>
            </w:r>
            <w:r w:rsidRPr="00397A12">
              <w:rPr>
                <w:i/>
                <w:sz w:val="16"/>
                <w:szCs w:val="16"/>
              </w:rPr>
              <w:t>(</w:t>
            </w:r>
            <w:r w:rsidRPr="00397A12" w:rsidR="001A1FC9">
              <w:rPr>
                <w:i/>
                <w:sz w:val="16"/>
                <w:szCs w:val="16"/>
              </w:rPr>
              <w:t>ave</w:t>
            </w:r>
            <w:r w:rsidRPr="00397A12">
              <w:rPr>
                <w:i/>
                <w:sz w:val="16"/>
                <w:szCs w:val="16"/>
              </w:rPr>
              <w:t>rage salary, Washington, DC GS-</w:t>
            </w:r>
            <w:r w:rsidRPr="00397A12" w:rsidR="001A1FC9">
              <w:rPr>
                <w:i/>
                <w:sz w:val="16"/>
                <w:szCs w:val="16"/>
              </w:rPr>
              <w:t>14</w:t>
            </w:r>
            <w:r w:rsidRPr="00397A12" w:rsidR="00EF1813">
              <w:rPr>
                <w:i/>
                <w:sz w:val="16"/>
                <w:szCs w:val="16"/>
              </w:rPr>
              <w:t>,</w:t>
            </w:r>
            <w:r w:rsidRPr="00397A12">
              <w:rPr>
                <w:i/>
                <w:sz w:val="16"/>
                <w:szCs w:val="16"/>
              </w:rPr>
              <w:t xml:space="preserve"> GS-</w:t>
            </w:r>
            <w:r w:rsidRPr="00397A12" w:rsidR="001A1FC9">
              <w:rPr>
                <w:i/>
                <w:sz w:val="16"/>
                <w:szCs w:val="16"/>
              </w:rPr>
              <w:t>15 or equivalent)</w:t>
            </w:r>
          </w:p>
        </w:tc>
        <w:tc>
          <w:tcPr>
            <w:tcW w:w="2160" w:type="dxa"/>
            <w:vAlign w:val="center"/>
          </w:tcPr>
          <w:p w:rsidRPr="00397A12" w:rsidR="007F0644" w:rsidP="00CF1B38" w:rsidRDefault="000007A9" w14:paraId="62C29D52" w14:textId="77777777">
            <w:pPr>
              <w:spacing w:line="276" w:lineRule="auto"/>
              <w:jc w:val="center"/>
              <w:rPr>
                <w:szCs w:val="24"/>
              </w:rPr>
            </w:pPr>
            <w:r w:rsidRPr="00397A12">
              <w:rPr>
                <w:szCs w:val="24"/>
              </w:rPr>
              <w:t>8</w:t>
            </w:r>
          </w:p>
        </w:tc>
        <w:tc>
          <w:tcPr>
            <w:tcW w:w="2430" w:type="dxa"/>
            <w:vAlign w:val="center"/>
          </w:tcPr>
          <w:p w:rsidRPr="00397A12" w:rsidR="007F0644" w:rsidP="00CF1B38" w:rsidRDefault="000007A9" w14:paraId="5F1A2C07" w14:textId="77777777">
            <w:pPr>
              <w:spacing w:line="276" w:lineRule="auto"/>
              <w:jc w:val="center"/>
              <w:rPr>
                <w:szCs w:val="24"/>
              </w:rPr>
            </w:pPr>
            <w:r w:rsidRPr="00397A12">
              <w:rPr>
                <w:szCs w:val="24"/>
              </w:rPr>
              <w:t>$2</w:t>
            </w:r>
            <w:r w:rsidRPr="00397A12" w:rsidR="00AD1A28">
              <w:rPr>
                <w:szCs w:val="24"/>
              </w:rPr>
              <w:t>7,393</w:t>
            </w:r>
          </w:p>
        </w:tc>
      </w:tr>
      <w:tr w:rsidR="007F0644" w:rsidTr="00CF1B38" w14:paraId="1440CA31" w14:textId="77777777">
        <w:tc>
          <w:tcPr>
            <w:tcW w:w="7488" w:type="dxa"/>
            <w:gridSpan w:val="3"/>
          </w:tcPr>
          <w:p w:rsidRPr="00397A12" w:rsidR="007F0644" w:rsidP="00CF1B38" w:rsidRDefault="007F0644" w14:paraId="53402528" w14:textId="77777777">
            <w:pPr>
              <w:spacing w:line="276" w:lineRule="auto"/>
              <w:jc w:val="right"/>
              <w:rPr>
                <w:b/>
                <w:szCs w:val="24"/>
              </w:rPr>
            </w:pPr>
            <w:r w:rsidRPr="00397A12">
              <w:rPr>
                <w:b/>
                <w:szCs w:val="24"/>
              </w:rPr>
              <w:t>Average Annual Cost:</w:t>
            </w:r>
          </w:p>
        </w:tc>
        <w:tc>
          <w:tcPr>
            <w:tcW w:w="2430" w:type="dxa"/>
          </w:tcPr>
          <w:p w:rsidRPr="00397A12" w:rsidR="007F0644" w:rsidP="00006766" w:rsidRDefault="000007A9" w14:paraId="5EDE611F" w14:textId="77777777">
            <w:pPr>
              <w:spacing w:line="276" w:lineRule="auto"/>
              <w:jc w:val="center"/>
              <w:rPr>
                <w:b/>
                <w:szCs w:val="24"/>
              </w:rPr>
            </w:pPr>
            <w:r w:rsidRPr="00397A12">
              <w:rPr>
                <w:b/>
                <w:szCs w:val="24"/>
              </w:rPr>
              <w:t>$</w:t>
            </w:r>
            <w:r w:rsidRPr="00397A12" w:rsidR="00006766">
              <w:rPr>
                <w:b/>
                <w:szCs w:val="24"/>
              </w:rPr>
              <w:t>189,814</w:t>
            </w:r>
          </w:p>
        </w:tc>
      </w:tr>
    </w:tbl>
    <w:p w:rsidR="00CD3674" w:rsidP="007342CA" w:rsidRDefault="004D3F52" w14:paraId="14996ACF" w14:textId="77777777">
      <w:pPr>
        <w:spacing w:line="276" w:lineRule="auto"/>
        <w:rPr>
          <w:szCs w:val="24"/>
        </w:rPr>
      </w:pPr>
      <w:r>
        <w:rPr>
          <w:szCs w:val="24"/>
        </w:rPr>
        <w:t xml:space="preserve">  </w:t>
      </w:r>
    </w:p>
    <w:p w:rsidRPr="00C00A19" w:rsidR="00B506EB" w:rsidP="007342CA" w:rsidRDefault="00B506EB" w14:paraId="7BDE1E3A" w14:textId="77777777">
      <w:pPr>
        <w:spacing w:line="276" w:lineRule="auto"/>
      </w:pPr>
    </w:p>
    <w:p w:rsidRPr="007342CA" w:rsidR="00B56A0A" w:rsidP="007342CA" w:rsidRDefault="00B56A0A" w14:paraId="133A7F4C" w14:textId="77777777">
      <w:pPr>
        <w:pStyle w:val="ListParagraph"/>
        <w:numPr>
          <w:ilvl w:val="0"/>
          <w:numId w:val="12"/>
        </w:numPr>
        <w:spacing w:line="276" w:lineRule="auto"/>
        <w:ind w:left="540" w:hanging="540"/>
        <w:rPr>
          <w:szCs w:val="24"/>
          <w:u w:val="single"/>
        </w:rPr>
      </w:pPr>
      <w:r w:rsidRPr="007342CA">
        <w:rPr>
          <w:szCs w:val="24"/>
          <w:u w:val="single"/>
        </w:rPr>
        <w:t>Explain any changes/adjustments to this collection since the previous submission.</w:t>
      </w:r>
    </w:p>
    <w:p w:rsidRPr="00CD3674" w:rsidR="00CD3674" w:rsidP="00BD4B93" w:rsidRDefault="00006766" w14:paraId="2BADEF66" w14:textId="19644C96">
      <w:pPr>
        <w:spacing w:line="276" w:lineRule="auto"/>
        <w:rPr>
          <w:szCs w:val="24"/>
        </w:rPr>
      </w:pPr>
      <w:r>
        <w:rPr>
          <w:szCs w:val="24"/>
        </w:rPr>
        <w:t xml:space="preserve">DDTC </w:t>
      </w:r>
      <w:r w:rsidR="00BD4B93">
        <w:rPr>
          <w:szCs w:val="24"/>
        </w:rPr>
        <w:t xml:space="preserve">has made minor revisions to </w:t>
      </w:r>
      <w:r w:rsidR="003737BA">
        <w:rPr>
          <w:szCs w:val="24"/>
        </w:rPr>
        <w:t xml:space="preserve">Form </w:t>
      </w:r>
      <w:r w:rsidR="00BD4B93">
        <w:rPr>
          <w:szCs w:val="24"/>
        </w:rPr>
        <w:t xml:space="preserve">DS-7786 since its last approval </w:t>
      </w:r>
      <w:proofErr w:type="gramStart"/>
      <w:r w:rsidR="00BD4B93">
        <w:rPr>
          <w:szCs w:val="24"/>
        </w:rPr>
        <w:t>in order to</w:t>
      </w:r>
      <w:proofErr w:type="gramEnd"/>
      <w:r w:rsidR="00BD4B93">
        <w:rPr>
          <w:szCs w:val="24"/>
        </w:rPr>
        <w:t xml:space="preserve"> streamline and simplify the collection of data. </w:t>
      </w:r>
      <w:r w:rsidR="003737BA">
        <w:rPr>
          <w:szCs w:val="24"/>
        </w:rPr>
        <w:t xml:space="preserve"> </w:t>
      </w:r>
      <w:r w:rsidR="006B2BF4">
        <w:rPr>
          <w:szCs w:val="24"/>
        </w:rPr>
        <w:t xml:space="preserve">DDTC has expanded the instructions and broken out the requests into individual form blocks to more accurately identify the information required of respondents for each type of opinion or guidance.  </w:t>
      </w:r>
    </w:p>
    <w:p w:rsidRPr="007342CA" w:rsidR="00B601AB" w:rsidP="007342CA" w:rsidRDefault="00B601AB" w14:paraId="4AC5D3F3" w14:textId="77777777">
      <w:pPr>
        <w:spacing w:line="276" w:lineRule="auto"/>
        <w:rPr>
          <w:szCs w:val="24"/>
        </w:rPr>
      </w:pPr>
    </w:p>
    <w:p w:rsidRPr="007342CA" w:rsidR="00B56A0A" w:rsidP="007342CA" w:rsidRDefault="00B56A0A" w14:paraId="2260FE73" w14:textId="77777777">
      <w:pPr>
        <w:pStyle w:val="ListParagraph"/>
        <w:numPr>
          <w:ilvl w:val="0"/>
          <w:numId w:val="12"/>
        </w:numPr>
        <w:spacing w:line="276" w:lineRule="auto"/>
        <w:ind w:left="540" w:hanging="540"/>
        <w:rPr>
          <w:szCs w:val="24"/>
          <w:u w:val="single"/>
        </w:rPr>
      </w:pPr>
      <w:r w:rsidRPr="007342CA">
        <w:rPr>
          <w:szCs w:val="24"/>
          <w:u w:val="single"/>
        </w:rPr>
        <w:t>Specify if the data gathered by this collection will be published.</w:t>
      </w:r>
    </w:p>
    <w:p w:rsidRPr="007342CA" w:rsidR="00CD3674" w:rsidP="007342CA" w:rsidRDefault="00724D67" w14:paraId="7E0E4E33" w14:textId="2ABDF836">
      <w:pPr>
        <w:spacing w:line="276" w:lineRule="auto"/>
        <w:rPr>
          <w:szCs w:val="24"/>
        </w:rPr>
      </w:pPr>
      <w:r w:rsidRPr="00BD4B93">
        <w:rPr>
          <w:szCs w:val="24"/>
        </w:rPr>
        <w:t xml:space="preserve">DDTC does not plan to publish </w:t>
      </w:r>
      <w:r w:rsidRPr="00BD4B93" w:rsidR="00D75E95">
        <w:rPr>
          <w:szCs w:val="24"/>
        </w:rPr>
        <w:t xml:space="preserve">data </w:t>
      </w:r>
      <w:r w:rsidRPr="00BD4B93">
        <w:rPr>
          <w:szCs w:val="24"/>
        </w:rPr>
        <w:t>submitted in response to this collection</w:t>
      </w:r>
      <w:r w:rsidRPr="00BD4B93" w:rsidR="00D75E95">
        <w:rPr>
          <w:szCs w:val="24"/>
        </w:rPr>
        <w:t>.</w:t>
      </w:r>
      <w:r w:rsidR="00BD4B93">
        <w:rPr>
          <w:szCs w:val="24"/>
        </w:rPr>
        <w:t xml:space="preserve"> </w:t>
      </w:r>
    </w:p>
    <w:p w:rsidRPr="007342CA" w:rsidR="00B601AB" w:rsidP="007342CA" w:rsidRDefault="00B601AB" w14:paraId="05DB0539" w14:textId="77777777">
      <w:pPr>
        <w:spacing w:line="276" w:lineRule="auto"/>
        <w:rPr>
          <w:szCs w:val="24"/>
        </w:rPr>
      </w:pPr>
    </w:p>
    <w:p w:rsidRPr="007342CA" w:rsidR="00B56A0A" w:rsidP="007342CA" w:rsidRDefault="00B56A0A" w14:paraId="3E641793" w14:textId="77777777">
      <w:pPr>
        <w:pStyle w:val="ListParagraph"/>
        <w:numPr>
          <w:ilvl w:val="0"/>
          <w:numId w:val="12"/>
        </w:numPr>
        <w:spacing w:line="276" w:lineRule="auto"/>
        <w:ind w:left="540" w:hanging="540"/>
        <w:rPr>
          <w:szCs w:val="24"/>
          <w:u w:val="single"/>
        </w:rPr>
      </w:pPr>
      <w:r w:rsidRPr="007342CA">
        <w:rPr>
          <w:szCs w:val="24"/>
          <w:u w:val="single"/>
        </w:rPr>
        <w:t>Explain the reasons for seeking approval to not display the OMB expiration date.</w:t>
      </w:r>
    </w:p>
    <w:p w:rsidRPr="007342CA" w:rsidR="00B601AB" w:rsidP="007342CA" w:rsidRDefault="00367B66" w14:paraId="20E94144" w14:textId="77777777">
      <w:pPr>
        <w:spacing w:line="276" w:lineRule="auto"/>
        <w:rPr>
          <w:szCs w:val="24"/>
        </w:rPr>
      </w:pPr>
      <w:r w:rsidRPr="007342CA">
        <w:rPr>
          <w:szCs w:val="24"/>
        </w:rPr>
        <w:t xml:space="preserve">DDTC </w:t>
      </w:r>
      <w:r w:rsidRPr="007342CA" w:rsidR="00B22A5B">
        <w:rPr>
          <w:szCs w:val="24"/>
        </w:rPr>
        <w:t>will</w:t>
      </w:r>
      <w:r w:rsidRPr="007342CA">
        <w:rPr>
          <w:szCs w:val="24"/>
        </w:rPr>
        <w:t xml:space="preserve"> display the expiration date for OMB approval of the information collection on the form</w:t>
      </w:r>
      <w:r w:rsidRPr="007342CA" w:rsidR="00B601AB">
        <w:rPr>
          <w:szCs w:val="24"/>
        </w:rPr>
        <w:t>.</w:t>
      </w:r>
    </w:p>
    <w:p w:rsidRPr="007342CA" w:rsidR="00B601AB" w:rsidP="007342CA" w:rsidRDefault="00B601AB" w14:paraId="2F797F88" w14:textId="77777777">
      <w:pPr>
        <w:spacing w:line="276" w:lineRule="auto"/>
        <w:rPr>
          <w:szCs w:val="24"/>
        </w:rPr>
      </w:pPr>
    </w:p>
    <w:p w:rsidRPr="007342CA" w:rsidR="00B56A0A" w:rsidP="007342CA" w:rsidRDefault="00B56A0A" w14:paraId="631E563A" w14:textId="77777777">
      <w:pPr>
        <w:pStyle w:val="ListParagraph"/>
        <w:numPr>
          <w:ilvl w:val="0"/>
          <w:numId w:val="12"/>
        </w:numPr>
        <w:spacing w:line="276" w:lineRule="auto"/>
        <w:ind w:left="540" w:hanging="540"/>
        <w:rPr>
          <w:szCs w:val="24"/>
          <w:u w:val="single"/>
        </w:rPr>
      </w:pPr>
      <w:r w:rsidRPr="007342CA">
        <w:rPr>
          <w:szCs w:val="24"/>
          <w:u w:val="single"/>
        </w:rPr>
        <w:t>Explain any exceptions to the OMB certification statement.</w:t>
      </w:r>
    </w:p>
    <w:p w:rsidRPr="007342CA" w:rsidR="00B601AB" w:rsidP="007342CA" w:rsidRDefault="00B601AB" w14:paraId="1DDED666" w14:textId="77777777">
      <w:pPr>
        <w:spacing w:line="276" w:lineRule="auto"/>
        <w:rPr>
          <w:szCs w:val="24"/>
        </w:rPr>
      </w:pPr>
      <w:r w:rsidRPr="007342CA">
        <w:rPr>
          <w:szCs w:val="24"/>
        </w:rPr>
        <w:t>The Department of State does not seek</w:t>
      </w:r>
      <w:r w:rsidRPr="007342CA" w:rsidR="00D555E6">
        <w:rPr>
          <w:szCs w:val="24"/>
        </w:rPr>
        <w:t xml:space="preserve"> any exception to the certification statement</w:t>
      </w:r>
      <w:r w:rsidRPr="007342CA">
        <w:rPr>
          <w:szCs w:val="24"/>
        </w:rPr>
        <w:t>.</w:t>
      </w:r>
    </w:p>
    <w:p w:rsidRPr="007342CA" w:rsidR="00B601AB" w:rsidP="007342CA" w:rsidRDefault="00B601AB" w14:paraId="08D3CD0B" w14:textId="77777777">
      <w:pPr>
        <w:spacing w:line="276" w:lineRule="auto"/>
        <w:rPr>
          <w:szCs w:val="24"/>
        </w:rPr>
      </w:pPr>
    </w:p>
    <w:p w:rsidRPr="00FE0CCD" w:rsidR="00B601AB" w:rsidP="009417CD" w:rsidRDefault="00B601AB" w14:paraId="406DC523" w14:textId="77777777">
      <w:pPr>
        <w:pStyle w:val="Heading2"/>
        <w:jc w:val="left"/>
        <w:rPr>
          <w:color w:val="auto"/>
          <w:sz w:val="28"/>
          <w:szCs w:val="28"/>
        </w:rPr>
      </w:pPr>
      <w:r w:rsidRPr="00FE0CCD">
        <w:rPr>
          <w:color w:val="auto"/>
          <w:sz w:val="28"/>
          <w:szCs w:val="28"/>
        </w:rPr>
        <w:t>B.  Collections of Information Employing Statistical Methods</w:t>
      </w:r>
    </w:p>
    <w:p w:rsidRPr="00FE0CCD" w:rsidR="00B601AB" w:rsidP="009417CD" w:rsidRDefault="00B601AB" w14:paraId="4E3094A6" w14:textId="77777777">
      <w:pPr>
        <w:jc w:val="center"/>
        <w:rPr>
          <w:b/>
          <w:sz w:val="28"/>
          <w:szCs w:val="28"/>
        </w:rPr>
      </w:pPr>
    </w:p>
    <w:p w:rsidRPr="007342CA" w:rsidR="00B601AB" w:rsidP="009417CD" w:rsidRDefault="00B601AB" w14:paraId="38C38257" w14:textId="77777777">
      <w:pPr>
        <w:rPr>
          <w:szCs w:val="24"/>
        </w:rPr>
      </w:pPr>
      <w:r w:rsidRPr="007342CA">
        <w:rPr>
          <w:szCs w:val="24"/>
        </w:rPr>
        <w:t>This collection of information does not employ statistical methods.</w:t>
      </w:r>
    </w:p>
    <w:sectPr w:rsidRPr="007342CA" w:rsidR="00B601AB" w:rsidSect="00BF3428">
      <w:headerReference w:type="even" r:id="rId8"/>
      <w:headerReference w:type="default" r:id="rId9"/>
      <w:footerReference w:type="even" r:id="rId10"/>
      <w:footerReference w:type="defaul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E6156" w14:textId="77777777" w:rsidR="00725AD9" w:rsidRDefault="00725AD9">
      <w:r>
        <w:separator/>
      </w:r>
    </w:p>
  </w:endnote>
  <w:endnote w:type="continuationSeparator" w:id="0">
    <w:p w14:paraId="15D2BCE3" w14:textId="77777777" w:rsidR="00725AD9" w:rsidRDefault="00725AD9">
      <w:r>
        <w:continuationSeparator/>
      </w:r>
    </w:p>
  </w:endnote>
  <w:endnote w:type="continuationNotice" w:id="1">
    <w:p w14:paraId="2E602276" w14:textId="77777777" w:rsidR="00725AD9" w:rsidRDefault="00725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C536" w14:textId="77777777" w:rsidR="00AC364C" w:rsidRDefault="00E743E2" w:rsidP="000D7488">
    <w:pPr>
      <w:pStyle w:val="Footer"/>
      <w:framePr w:wrap="around" w:vAnchor="text" w:hAnchor="margin" w:xAlign="center" w:y="1"/>
      <w:rPr>
        <w:rStyle w:val="PageNumber"/>
      </w:rPr>
    </w:pPr>
    <w:r>
      <w:rPr>
        <w:rStyle w:val="PageNumber"/>
      </w:rPr>
      <w:fldChar w:fldCharType="begin"/>
    </w:r>
    <w:r w:rsidR="00AC364C">
      <w:rPr>
        <w:rStyle w:val="PageNumber"/>
      </w:rPr>
      <w:instrText xml:space="preserve">PAGE  </w:instrText>
    </w:r>
    <w:r>
      <w:rPr>
        <w:rStyle w:val="PageNumber"/>
      </w:rPr>
      <w:fldChar w:fldCharType="end"/>
    </w:r>
  </w:p>
  <w:p w14:paraId="3D9E7651" w14:textId="77777777" w:rsidR="00AC364C" w:rsidRDefault="00AC3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55974" w14:textId="309D82DF" w:rsidR="00AC364C" w:rsidRPr="00AD3A0F" w:rsidRDefault="00E743E2" w:rsidP="000D7488">
    <w:pPr>
      <w:pStyle w:val="Footer"/>
      <w:framePr w:wrap="around" w:vAnchor="text" w:hAnchor="margin" w:xAlign="center" w:y="1"/>
      <w:rPr>
        <w:rStyle w:val="PageNumber"/>
        <w:sz w:val="28"/>
        <w:szCs w:val="28"/>
      </w:rPr>
    </w:pPr>
    <w:r w:rsidRPr="00AD3A0F">
      <w:rPr>
        <w:rStyle w:val="PageNumber"/>
        <w:sz w:val="28"/>
        <w:szCs w:val="28"/>
      </w:rPr>
      <w:fldChar w:fldCharType="begin"/>
    </w:r>
    <w:r w:rsidR="00AC364C" w:rsidRPr="00AD3A0F">
      <w:rPr>
        <w:rStyle w:val="PageNumber"/>
        <w:sz w:val="28"/>
        <w:szCs w:val="28"/>
      </w:rPr>
      <w:instrText xml:space="preserve">PAGE  </w:instrText>
    </w:r>
    <w:r w:rsidRPr="00AD3A0F">
      <w:rPr>
        <w:rStyle w:val="PageNumber"/>
        <w:sz w:val="28"/>
        <w:szCs w:val="28"/>
      </w:rPr>
      <w:fldChar w:fldCharType="separate"/>
    </w:r>
    <w:r w:rsidR="00F018EB">
      <w:rPr>
        <w:rStyle w:val="PageNumber"/>
        <w:noProof/>
        <w:sz w:val="28"/>
        <w:szCs w:val="28"/>
      </w:rPr>
      <w:t>4</w:t>
    </w:r>
    <w:r w:rsidRPr="00AD3A0F">
      <w:rPr>
        <w:rStyle w:val="PageNumber"/>
        <w:sz w:val="28"/>
        <w:szCs w:val="28"/>
      </w:rPr>
      <w:fldChar w:fldCharType="end"/>
    </w:r>
  </w:p>
  <w:p w14:paraId="4C556F0A" w14:textId="77777777" w:rsidR="00AC364C" w:rsidRDefault="00AC3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6E8CB" w14:textId="77777777" w:rsidR="00725AD9" w:rsidRDefault="00725AD9">
      <w:r>
        <w:separator/>
      </w:r>
    </w:p>
  </w:footnote>
  <w:footnote w:type="continuationSeparator" w:id="0">
    <w:p w14:paraId="0629E6B4" w14:textId="77777777" w:rsidR="00725AD9" w:rsidRDefault="00725AD9">
      <w:r>
        <w:continuationSeparator/>
      </w:r>
    </w:p>
  </w:footnote>
  <w:footnote w:type="continuationNotice" w:id="1">
    <w:p w14:paraId="0535B20D" w14:textId="77777777" w:rsidR="00725AD9" w:rsidRDefault="00725AD9"/>
  </w:footnote>
  <w:footnote w:id="2">
    <w:p w14:paraId="3895406F" w14:textId="397D1273" w:rsidR="00BC2CFD" w:rsidRDefault="00BC2CFD">
      <w:pPr>
        <w:pStyle w:val="FootnoteText"/>
      </w:pPr>
      <w:r>
        <w:rPr>
          <w:rStyle w:val="FootnoteReference"/>
        </w:rPr>
        <w:footnoteRef/>
      </w:r>
      <w:r>
        <w:t xml:space="preserve"> Source: Bureau of Labor Statistics; Occupational Employment Statistics https://www.bls.gov/oes/current/oes131041.htm</w:t>
      </w:r>
    </w:p>
  </w:footnote>
  <w:footnote w:id="3">
    <w:p w14:paraId="1F0CADEE" w14:textId="0DE3DADA" w:rsidR="00BC2CFD" w:rsidRDefault="00BC2CFD">
      <w:pPr>
        <w:pStyle w:val="FootnoteText"/>
      </w:pPr>
      <w:r>
        <w:rPr>
          <w:rStyle w:val="FootnoteReference"/>
        </w:rPr>
        <w:footnoteRef/>
      </w:r>
      <w:r>
        <w:t xml:space="preserve"> </w:t>
      </w:r>
      <w:r w:rsidRPr="00BC2CFD">
        <w:t>https://www.opm.gov/policy-data-oversight/pay-leave/salaries-wages/salary-tables/pdf/2019/DCB_h.pdf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1BDF" w14:textId="77777777" w:rsidR="00AC364C" w:rsidRDefault="00E743E2">
    <w:pPr>
      <w:pStyle w:val="Header"/>
      <w:framePr w:wrap="around" w:vAnchor="text" w:hAnchor="margin" w:xAlign="center" w:y="1"/>
      <w:rPr>
        <w:rStyle w:val="PageNumber"/>
      </w:rPr>
    </w:pPr>
    <w:r>
      <w:rPr>
        <w:rStyle w:val="PageNumber"/>
      </w:rPr>
      <w:fldChar w:fldCharType="begin"/>
    </w:r>
    <w:r w:rsidR="00AC364C">
      <w:rPr>
        <w:rStyle w:val="PageNumber"/>
      </w:rPr>
      <w:instrText xml:space="preserve">PAGE  </w:instrText>
    </w:r>
    <w:r>
      <w:rPr>
        <w:rStyle w:val="PageNumber"/>
      </w:rPr>
      <w:fldChar w:fldCharType="separate"/>
    </w:r>
    <w:r w:rsidR="00AC364C">
      <w:rPr>
        <w:rStyle w:val="PageNumber"/>
        <w:noProof/>
      </w:rPr>
      <w:t>1</w:t>
    </w:r>
    <w:r>
      <w:rPr>
        <w:rStyle w:val="PageNumber"/>
      </w:rPr>
      <w:fldChar w:fldCharType="end"/>
    </w:r>
  </w:p>
  <w:p w14:paraId="317612CE" w14:textId="77777777" w:rsidR="00AC364C" w:rsidRDefault="00AC3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E4A91" w14:textId="77777777" w:rsidR="00AC364C" w:rsidRDefault="00AC364C">
    <w:pPr>
      <w:pStyle w:val="Header"/>
      <w:framePr w:wrap="around" w:vAnchor="text" w:hAnchor="margin" w:xAlign="center" w:y="1"/>
      <w:rPr>
        <w:rStyle w:val="PageNumber"/>
      </w:rPr>
    </w:pPr>
  </w:p>
  <w:p w14:paraId="737F8C04" w14:textId="77777777" w:rsidR="00AC364C" w:rsidRDefault="00AC3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057B"/>
    <w:multiLevelType w:val="hybridMultilevel"/>
    <w:tmpl w:val="F906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3154"/>
    <w:multiLevelType w:val="hybridMultilevel"/>
    <w:tmpl w:val="E40E9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5D398B"/>
    <w:multiLevelType w:val="hybridMultilevel"/>
    <w:tmpl w:val="7AE407B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28684BF4"/>
    <w:multiLevelType w:val="hybridMultilevel"/>
    <w:tmpl w:val="406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A46C75"/>
    <w:multiLevelType w:val="hybridMultilevel"/>
    <w:tmpl w:val="C95ED17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474610"/>
    <w:multiLevelType w:val="hybridMultilevel"/>
    <w:tmpl w:val="1A1E3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abstractNumId w:val="6"/>
  </w:num>
  <w:num w:numId="2">
    <w:abstractNumId w:val="9"/>
  </w:num>
  <w:num w:numId="3">
    <w:abstractNumId w:val="12"/>
  </w:num>
  <w:num w:numId="4">
    <w:abstractNumId w:val="8"/>
  </w:num>
  <w:num w:numId="5">
    <w:abstractNumId w:val="7"/>
  </w:num>
  <w:num w:numId="6">
    <w:abstractNumId w:val="2"/>
  </w:num>
  <w:num w:numId="7">
    <w:abstractNumId w:val="11"/>
  </w:num>
  <w:num w:numId="8">
    <w:abstractNumId w:val="14"/>
  </w:num>
  <w:num w:numId="9">
    <w:abstractNumId w:val="3"/>
  </w:num>
  <w:num w:numId="10">
    <w:abstractNumId w:val="15"/>
  </w:num>
  <w:num w:numId="11">
    <w:abstractNumId w:val="10"/>
  </w:num>
  <w:num w:numId="12">
    <w:abstractNumId w:val="1"/>
  </w:num>
  <w:num w:numId="13">
    <w:abstractNumId w:val="4"/>
  </w:num>
  <w:num w:numId="14">
    <w:abstractNumId w:val="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FA"/>
    <w:rsid w:val="000007A9"/>
    <w:rsid w:val="00006766"/>
    <w:rsid w:val="000128D1"/>
    <w:rsid w:val="000229A8"/>
    <w:rsid w:val="00024497"/>
    <w:rsid w:val="0002453A"/>
    <w:rsid w:val="00024B8D"/>
    <w:rsid w:val="00026E3E"/>
    <w:rsid w:val="00030305"/>
    <w:rsid w:val="00034422"/>
    <w:rsid w:val="00036EE2"/>
    <w:rsid w:val="00070125"/>
    <w:rsid w:val="00075EF8"/>
    <w:rsid w:val="000C01A9"/>
    <w:rsid w:val="000C413B"/>
    <w:rsid w:val="000D0073"/>
    <w:rsid w:val="000D7488"/>
    <w:rsid w:val="000E2F81"/>
    <w:rsid w:val="000F7D27"/>
    <w:rsid w:val="00105928"/>
    <w:rsid w:val="00112BF4"/>
    <w:rsid w:val="00120BDC"/>
    <w:rsid w:val="001277FE"/>
    <w:rsid w:val="001916E2"/>
    <w:rsid w:val="001A1FC9"/>
    <w:rsid w:val="001B07FE"/>
    <w:rsid w:val="001B6A5B"/>
    <w:rsid w:val="001C2065"/>
    <w:rsid w:val="001D5015"/>
    <w:rsid w:val="001D5F4E"/>
    <w:rsid w:val="00202300"/>
    <w:rsid w:val="00223B36"/>
    <w:rsid w:val="002312E4"/>
    <w:rsid w:val="0023657E"/>
    <w:rsid w:val="00241C8C"/>
    <w:rsid w:val="00247D53"/>
    <w:rsid w:val="00250F15"/>
    <w:rsid w:val="00274912"/>
    <w:rsid w:val="00287767"/>
    <w:rsid w:val="00295A0F"/>
    <w:rsid w:val="002A146A"/>
    <w:rsid w:val="002A7C09"/>
    <w:rsid w:val="002B2345"/>
    <w:rsid w:val="002B2AF0"/>
    <w:rsid w:val="002B565B"/>
    <w:rsid w:val="002C15BC"/>
    <w:rsid w:val="002E2928"/>
    <w:rsid w:val="00310AD3"/>
    <w:rsid w:val="003368FA"/>
    <w:rsid w:val="00340499"/>
    <w:rsid w:val="0035346F"/>
    <w:rsid w:val="00367B66"/>
    <w:rsid w:val="003737BA"/>
    <w:rsid w:val="003773DB"/>
    <w:rsid w:val="00397A12"/>
    <w:rsid w:val="003B266D"/>
    <w:rsid w:val="003D1918"/>
    <w:rsid w:val="003D248B"/>
    <w:rsid w:val="004265D7"/>
    <w:rsid w:val="00426740"/>
    <w:rsid w:val="00434CBB"/>
    <w:rsid w:val="004442DA"/>
    <w:rsid w:val="004541FE"/>
    <w:rsid w:val="004650B9"/>
    <w:rsid w:val="00480506"/>
    <w:rsid w:val="004B2241"/>
    <w:rsid w:val="004B3714"/>
    <w:rsid w:val="004B51EC"/>
    <w:rsid w:val="004B7C56"/>
    <w:rsid w:val="004C36AD"/>
    <w:rsid w:val="004D153D"/>
    <w:rsid w:val="004D3F52"/>
    <w:rsid w:val="00505CE6"/>
    <w:rsid w:val="005103D1"/>
    <w:rsid w:val="00524E8A"/>
    <w:rsid w:val="00525D3A"/>
    <w:rsid w:val="00530EEB"/>
    <w:rsid w:val="00536876"/>
    <w:rsid w:val="00537CC9"/>
    <w:rsid w:val="00550632"/>
    <w:rsid w:val="005508EA"/>
    <w:rsid w:val="00551311"/>
    <w:rsid w:val="00552154"/>
    <w:rsid w:val="0057169B"/>
    <w:rsid w:val="005718F0"/>
    <w:rsid w:val="00574007"/>
    <w:rsid w:val="00577015"/>
    <w:rsid w:val="005830BA"/>
    <w:rsid w:val="005B1980"/>
    <w:rsid w:val="005B50A5"/>
    <w:rsid w:val="005C021E"/>
    <w:rsid w:val="005E5350"/>
    <w:rsid w:val="005F4264"/>
    <w:rsid w:val="00600B35"/>
    <w:rsid w:val="00633B12"/>
    <w:rsid w:val="00636756"/>
    <w:rsid w:val="006814EC"/>
    <w:rsid w:val="00694A18"/>
    <w:rsid w:val="006B2BF4"/>
    <w:rsid w:val="006C203B"/>
    <w:rsid w:val="006C4D0D"/>
    <w:rsid w:val="006C5CB2"/>
    <w:rsid w:val="006D0E94"/>
    <w:rsid w:val="006E6E14"/>
    <w:rsid w:val="00700E6B"/>
    <w:rsid w:val="00724D67"/>
    <w:rsid w:val="00725AD9"/>
    <w:rsid w:val="00727FFC"/>
    <w:rsid w:val="007342CA"/>
    <w:rsid w:val="00753A1D"/>
    <w:rsid w:val="0076588C"/>
    <w:rsid w:val="0078427D"/>
    <w:rsid w:val="00787FF6"/>
    <w:rsid w:val="00795067"/>
    <w:rsid w:val="007A163A"/>
    <w:rsid w:val="007A6EAB"/>
    <w:rsid w:val="007C362D"/>
    <w:rsid w:val="007D06AA"/>
    <w:rsid w:val="007E3B80"/>
    <w:rsid w:val="007E3F9D"/>
    <w:rsid w:val="007F0644"/>
    <w:rsid w:val="007F12DA"/>
    <w:rsid w:val="007F559F"/>
    <w:rsid w:val="00802A5D"/>
    <w:rsid w:val="008030A6"/>
    <w:rsid w:val="008209B0"/>
    <w:rsid w:val="008211E4"/>
    <w:rsid w:val="00827373"/>
    <w:rsid w:val="00831169"/>
    <w:rsid w:val="008367BB"/>
    <w:rsid w:val="00843AA5"/>
    <w:rsid w:val="0084528B"/>
    <w:rsid w:val="00887A0A"/>
    <w:rsid w:val="00896FD9"/>
    <w:rsid w:val="008A30E4"/>
    <w:rsid w:val="008B3F63"/>
    <w:rsid w:val="008C1CA9"/>
    <w:rsid w:val="008C37AE"/>
    <w:rsid w:val="008C556E"/>
    <w:rsid w:val="008C7800"/>
    <w:rsid w:val="008D2451"/>
    <w:rsid w:val="008D5714"/>
    <w:rsid w:val="008D5F8B"/>
    <w:rsid w:val="008D6033"/>
    <w:rsid w:val="008F2BC7"/>
    <w:rsid w:val="008F35BA"/>
    <w:rsid w:val="008F79D4"/>
    <w:rsid w:val="00907589"/>
    <w:rsid w:val="009417CD"/>
    <w:rsid w:val="00962031"/>
    <w:rsid w:val="0096675A"/>
    <w:rsid w:val="009672D8"/>
    <w:rsid w:val="00981988"/>
    <w:rsid w:val="00981A55"/>
    <w:rsid w:val="00981BD2"/>
    <w:rsid w:val="009A5553"/>
    <w:rsid w:val="009C763F"/>
    <w:rsid w:val="009E01C5"/>
    <w:rsid w:val="009E7105"/>
    <w:rsid w:val="00A128F9"/>
    <w:rsid w:val="00A2480D"/>
    <w:rsid w:val="00A27C18"/>
    <w:rsid w:val="00A34049"/>
    <w:rsid w:val="00A51570"/>
    <w:rsid w:val="00A62AD8"/>
    <w:rsid w:val="00A70C7D"/>
    <w:rsid w:val="00A779C7"/>
    <w:rsid w:val="00A77CAD"/>
    <w:rsid w:val="00AA11F9"/>
    <w:rsid w:val="00AA35AD"/>
    <w:rsid w:val="00AB39FB"/>
    <w:rsid w:val="00AC1F98"/>
    <w:rsid w:val="00AC364C"/>
    <w:rsid w:val="00AD03D5"/>
    <w:rsid w:val="00AD1A28"/>
    <w:rsid w:val="00AD31AC"/>
    <w:rsid w:val="00AD3A0F"/>
    <w:rsid w:val="00B00690"/>
    <w:rsid w:val="00B025B4"/>
    <w:rsid w:val="00B04151"/>
    <w:rsid w:val="00B120FE"/>
    <w:rsid w:val="00B176E1"/>
    <w:rsid w:val="00B2183E"/>
    <w:rsid w:val="00B22A5B"/>
    <w:rsid w:val="00B233E8"/>
    <w:rsid w:val="00B25C59"/>
    <w:rsid w:val="00B33E34"/>
    <w:rsid w:val="00B40525"/>
    <w:rsid w:val="00B46A2A"/>
    <w:rsid w:val="00B506EB"/>
    <w:rsid w:val="00B5088D"/>
    <w:rsid w:val="00B50B41"/>
    <w:rsid w:val="00B55379"/>
    <w:rsid w:val="00B56197"/>
    <w:rsid w:val="00B56A0A"/>
    <w:rsid w:val="00B578D3"/>
    <w:rsid w:val="00B601AB"/>
    <w:rsid w:val="00B60764"/>
    <w:rsid w:val="00B62D57"/>
    <w:rsid w:val="00B808EB"/>
    <w:rsid w:val="00B838A7"/>
    <w:rsid w:val="00B9212F"/>
    <w:rsid w:val="00BA0413"/>
    <w:rsid w:val="00BA33D5"/>
    <w:rsid w:val="00BB4C13"/>
    <w:rsid w:val="00BC2CFD"/>
    <w:rsid w:val="00BC588B"/>
    <w:rsid w:val="00BD4B93"/>
    <w:rsid w:val="00BE745E"/>
    <w:rsid w:val="00BF3428"/>
    <w:rsid w:val="00C00A19"/>
    <w:rsid w:val="00C0732B"/>
    <w:rsid w:val="00C459D3"/>
    <w:rsid w:val="00C46BAF"/>
    <w:rsid w:val="00C551B5"/>
    <w:rsid w:val="00C802C0"/>
    <w:rsid w:val="00CA65B0"/>
    <w:rsid w:val="00CB08A7"/>
    <w:rsid w:val="00CB647F"/>
    <w:rsid w:val="00CD3674"/>
    <w:rsid w:val="00CF1B38"/>
    <w:rsid w:val="00CF259D"/>
    <w:rsid w:val="00D07331"/>
    <w:rsid w:val="00D204FC"/>
    <w:rsid w:val="00D25DAD"/>
    <w:rsid w:val="00D555E6"/>
    <w:rsid w:val="00D563D7"/>
    <w:rsid w:val="00D72557"/>
    <w:rsid w:val="00D72DCB"/>
    <w:rsid w:val="00D75E95"/>
    <w:rsid w:val="00D90AE4"/>
    <w:rsid w:val="00DB0BBA"/>
    <w:rsid w:val="00DB46FC"/>
    <w:rsid w:val="00DC7718"/>
    <w:rsid w:val="00DF1AFE"/>
    <w:rsid w:val="00E00A3C"/>
    <w:rsid w:val="00E00EAC"/>
    <w:rsid w:val="00E11EF5"/>
    <w:rsid w:val="00E41314"/>
    <w:rsid w:val="00E44DCF"/>
    <w:rsid w:val="00E604A8"/>
    <w:rsid w:val="00E676F1"/>
    <w:rsid w:val="00E720B1"/>
    <w:rsid w:val="00E743E2"/>
    <w:rsid w:val="00E90707"/>
    <w:rsid w:val="00EA1594"/>
    <w:rsid w:val="00EC1578"/>
    <w:rsid w:val="00EE251A"/>
    <w:rsid w:val="00EE5105"/>
    <w:rsid w:val="00EF1813"/>
    <w:rsid w:val="00EF2D80"/>
    <w:rsid w:val="00EF51BD"/>
    <w:rsid w:val="00F018EB"/>
    <w:rsid w:val="00F036AC"/>
    <w:rsid w:val="00F13BA4"/>
    <w:rsid w:val="00F178A7"/>
    <w:rsid w:val="00F24B83"/>
    <w:rsid w:val="00F30B5B"/>
    <w:rsid w:val="00F44121"/>
    <w:rsid w:val="00F67CC3"/>
    <w:rsid w:val="00F719DD"/>
    <w:rsid w:val="00F81813"/>
    <w:rsid w:val="00F825BA"/>
    <w:rsid w:val="00F91C7A"/>
    <w:rsid w:val="00FB796F"/>
    <w:rsid w:val="00FC41D9"/>
    <w:rsid w:val="00FE01C2"/>
    <w:rsid w:val="00FE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0D1F99"/>
  <w15:docId w15:val="{7C035E77-DFBA-43B3-B9D5-CDF5DE22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428"/>
    <w:rPr>
      <w:sz w:val="24"/>
    </w:rPr>
  </w:style>
  <w:style w:type="paragraph" w:styleId="Heading1">
    <w:name w:val="heading 1"/>
    <w:basedOn w:val="Normal"/>
    <w:next w:val="Normal"/>
    <w:qFormat/>
    <w:rsid w:val="00BF3428"/>
    <w:pPr>
      <w:keepNext/>
      <w:ind w:firstLine="360"/>
      <w:jc w:val="center"/>
      <w:outlineLvl w:val="0"/>
    </w:pPr>
    <w:rPr>
      <w:b/>
      <w:color w:val="0000FF"/>
      <w:u w:val="single"/>
    </w:rPr>
  </w:style>
  <w:style w:type="paragraph" w:styleId="Heading2">
    <w:name w:val="heading 2"/>
    <w:basedOn w:val="Normal"/>
    <w:next w:val="Normal"/>
    <w:qFormat/>
    <w:rsid w:val="00BF3428"/>
    <w:pPr>
      <w:keepNext/>
      <w:jc w:val="center"/>
      <w:outlineLvl w:val="1"/>
    </w:pPr>
    <w:rPr>
      <w:b/>
      <w:color w:val="0000FF"/>
    </w:rPr>
  </w:style>
  <w:style w:type="paragraph" w:styleId="Heading3">
    <w:name w:val="heading 3"/>
    <w:basedOn w:val="Normal"/>
    <w:next w:val="Normal"/>
    <w:qFormat/>
    <w:rsid w:val="00BF342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3428"/>
    <w:pPr>
      <w:ind w:firstLine="360"/>
    </w:pPr>
    <w:rPr>
      <w:color w:val="0000FF"/>
    </w:rPr>
  </w:style>
  <w:style w:type="paragraph" w:styleId="Header">
    <w:name w:val="header"/>
    <w:basedOn w:val="Normal"/>
    <w:rsid w:val="00BF3428"/>
    <w:pPr>
      <w:tabs>
        <w:tab w:val="center" w:pos="4320"/>
        <w:tab w:val="right" w:pos="8640"/>
      </w:tabs>
    </w:pPr>
  </w:style>
  <w:style w:type="character" w:styleId="PageNumber">
    <w:name w:val="page number"/>
    <w:basedOn w:val="DefaultParagraphFont"/>
    <w:rsid w:val="00BF3428"/>
  </w:style>
  <w:style w:type="character" w:styleId="Hyperlink">
    <w:name w:val="Hyperlink"/>
    <w:basedOn w:val="DefaultParagraphFont"/>
    <w:rsid w:val="00BF3428"/>
    <w:rPr>
      <w:color w:val="0000FF"/>
      <w:u w:val="single"/>
    </w:rPr>
  </w:style>
  <w:style w:type="paragraph" w:styleId="BodyText">
    <w:name w:val="Body Text"/>
    <w:basedOn w:val="Normal"/>
    <w:rsid w:val="00BF3428"/>
    <w:pPr>
      <w:jc w:val="center"/>
    </w:pPr>
  </w:style>
  <w:style w:type="paragraph" w:styleId="Title">
    <w:name w:val="Title"/>
    <w:basedOn w:val="Normal"/>
    <w:qFormat/>
    <w:rsid w:val="00BF3428"/>
    <w:pPr>
      <w:ind w:firstLine="360"/>
      <w:jc w:val="center"/>
    </w:pPr>
    <w:rPr>
      <w:b/>
    </w:rPr>
  </w:style>
  <w:style w:type="paragraph" w:styleId="BodyText2">
    <w:name w:val="Body Text 2"/>
    <w:basedOn w:val="Normal"/>
    <w:rsid w:val="00BF3428"/>
    <w:rPr>
      <w:sz w:val="28"/>
    </w:rPr>
  </w:style>
  <w:style w:type="paragraph" w:styleId="BodyTextIndent2">
    <w:name w:val="Body Text Indent 2"/>
    <w:basedOn w:val="Normal"/>
    <w:rsid w:val="00BF3428"/>
    <w:pPr>
      <w:ind w:firstLine="720"/>
    </w:pPr>
    <w:rPr>
      <w:sz w:val="28"/>
    </w:rPr>
  </w:style>
  <w:style w:type="paragraph" w:styleId="BodyText3">
    <w:name w:val="Body Text 3"/>
    <w:basedOn w:val="Normal"/>
    <w:rsid w:val="00BF3428"/>
    <w:pPr>
      <w:jc w:val="center"/>
    </w:pPr>
    <w:rPr>
      <w:b/>
      <w:sz w:val="28"/>
    </w:rPr>
  </w:style>
  <w:style w:type="paragraph" w:styleId="Footer">
    <w:name w:val="footer"/>
    <w:basedOn w:val="Normal"/>
    <w:rsid w:val="00907589"/>
    <w:pPr>
      <w:tabs>
        <w:tab w:val="center" w:pos="4320"/>
        <w:tab w:val="right" w:pos="8640"/>
      </w:tabs>
    </w:pPr>
  </w:style>
  <w:style w:type="paragraph" w:styleId="BalloonText">
    <w:name w:val="Balloon Text"/>
    <w:basedOn w:val="Normal"/>
    <w:link w:val="BalloonTextChar"/>
    <w:rsid w:val="002B2345"/>
    <w:rPr>
      <w:rFonts w:ascii="Tahoma" w:hAnsi="Tahoma" w:cs="Tahoma"/>
      <w:sz w:val="16"/>
      <w:szCs w:val="16"/>
    </w:rPr>
  </w:style>
  <w:style w:type="character" w:customStyle="1" w:styleId="BalloonTextChar">
    <w:name w:val="Balloon Text Char"/>
    <w:basedOn w:val="DefaultParagraphFont"/>
    <w:link w:val="BalloonText"/>
    <w:rsid w:val="002B2345"/>
    <w:rPr>
      <w:rFonts w:ascii="Tahoma" w:hAnsi="Tahoma" w:cs="Tahoma"/>
      <w:sz w:val="16"/>
      <w:szCs w:val="16"/>
    </w:rPr>
  </w:style>
  <w:style w:type="paragraph" w:styleId="ListParagraph">
    <w:name w:val="List Paragraph"/>
    <w:basedOn w:val="Normal"/>
    <w:uiPriority w:val="34"/>
    <w:qFormat/>
    <w:rsid w:val="00B56A0A"/>
    <w:pPr>
      <w:ind w:left="720"/>
      <w:contextualSpacing/>
    </w:pPr>
  </w:style>
  <w:style w:type="character" w:styleId="CommentReference">
    <w:name w:val="annotation reference"/>
    <w:basedOn w:val="DefaultParagraphFont"/>
    <w:rsid w:val="00AD03D5"/>
    <w:rPr>
      <w:sz w:val="16"/>
      <w:szCs w:val="16"/>
    </w:rPr>
  </w:style>
  <w:style w:type="paragraph" w:styleId="CommentText">
    <w:name w:val="annotation text"/>
    <w:basedOn w:val="Normal"/>
    <w:link w:val="CommentTextChar"/>
    <w:rsid w:val="00AD03D5"/>
    <w:rPr>
      <w:sz w:val="20"/>
    </w:rPr>
  </w:style>
  <w:style w:type="character" w:customStyle="1" w:styleId="CommentTextChar">
    <w:name w:val="Comment Text Char"/>
    <w:basedOn w:val="DefaultParagraphFont"/>
    <w:link w:val="CommentText"/>
    <w:rsid w:val="00AD03D5"/>
  </w:style>
  <w:style w:type="paragraph" w:styleId="CommentSubject">
    <w:name w:val="annotation subject"/>
    <w:basedOn w:val="CommentText"/>
    <w:next w:val="CommentText"/>
    <w:link w:val="CommentSubjectChar"/>
    <w:rsid w:val="00AD03D5"/>
    <w:rPr>
      <w:b/>
      <w:bCs/>
    </w:rPr>
  </w:style>
  <w:style w:type="character" w:customStyle="1" w:styleId="CommentSubjectChar">
    <w:name w:val="Comment Subject Char"/>
    <w:basedOn w:val="CommentTextChar"/>
    <w:link w:val="CommentSubject"/>
    <w:rsid w:val="00AD03D5"/>
    <w:rPr>
      <w:b/>
      <w:bCs/>
    </w:rPr>
  </w:style>
  <w:style w:type="paragraph" w:styleId="Revision">
    <w:name w:val="Revision"/>
    <w:hidden/>
    <w:uiPriority w:val="99"/>
    <w:semiHidden/>
    <w:rsid w:val="003B266D"/>
    <w:rPr>
      <w:sz w:val="24"/>
    </w:rPr>
  </w:style>
  <w:style w:type="paragraph" w:customStyle="1" w:styleId="FRNoticeHeading2">
    <w:name w:val="FR Notice Heading 2"/>
    <w:basedOn w:val="Normal"/>
    <w:rsid w:val="00340499"/>
    <w:pPr>
      <w:spacing w:line="360" w:lineRule="auto"/>
    </w:pPr>
    <w:rPr>
      <w:bCs/>
      <w:i/>
      <w:iCs/>
    </w:rPr>
  </w:style>
  <w:style w:type="table" w:styleId="TableGrid">
    <w:name w:val="Table Grid"/>
    <w:basedOn w:val="TableNormal"/>
    <w:rsid w:val="007F0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C2CFD"/>
    <w:rPr>
      <w:sz w:val="20"/>
    </w:rPr>
  </w:style>
  <w:style w:type="character" w:customStyle="1" w:styleId="FootnoteTextChar">
    <w:name w:val="Footnote Text Char"/>
    <w:basedOn w:val="DefaultParagraphFont"/>
    <w:link w:val="FootnoteText"/>
    <w:semiHidden/>
    <w:rsid w:val="00BC2CFD"/>
  </w:style>
  <w:style w:type="character" w:styleId="FootnoteReference">
    <w:name w:val="footnote reference"/>
    <w:basedOn w:val="DefaultParagraphFont"/>
    <w:semiHidden/>
    <w:unhideWhenUsed/>
    <w:rsid w:val="00BC2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1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F8D-C1C7-4666-9708-E4ED2735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1302</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 S Department of State</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Canfield, Danielle P</dc:creator>
  <cp:lastModifiedBy>Watkins, Pamela K</cp:lastModifiedBy>
  <cp:revision>5</cp:revision>
  <cp:lastPrinted>2020-01-30T16:28:00Z</cp:lastPrinted>
  <dcterms:created xsi:type="dcterms:W3CDTF">2020-07-27T11:41:00Z</dcterms:created>
  <dcterms:modified xsi:type="dcterms:W3CDTF">2020-07-30T16:41:00Z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BattistaAL@state.gov</vt:lpwstr>
  </property>
  <property fmtid="{D5CDD505-2E9C-101B-9397-08002B2CF9AE}" pid="5" name="MSIP_Label_1665d9ee-429a-4d5f-97cc-cfb56e044a6e_SetDate">
    <vt:lpwstr>2019-12-10T16:54:08.0318796Z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d1a4aaab-6ce5-40f6-89cf-850a3d718d52</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