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2F5D" w:rsidR="009870DA" w:rsidRDefault="009870DA" w14:paraId="5A1DB358" w14:textId="77777777">
      <w:pPr>
        <w:pStyle w:val="PlainText"/>
        <w:jc w:val="center"/>
        <w:rPr>
          <w:rFonts w:ascii="Times New Roman" w:hAnsi="Times New Roman" w:eastAsia="MS Mincho" w:cs="Times New Roman"/>
          <w:sz w:val="24"/>
          <w:u w:val="single"/>
        </w:rPr>
      </w:pPr>
      <w:r w:rsidRPr="00E12F5D">
        <w:rPr>
          <w:rFonts w:ascii="Times New Roman" w:hAnsi="Times New Roman" w:eastAsia="MS Mincho" w:cs="Times New Roman"/>
          <w:sz w:val="24"/>
          <w:u w:val="single"/>
        </w:rPr>
        <w:t>Supp</w:t>
      </w:r>
      <w:r w:rsidRPr="00E12F5D" w:rsidR="00FE5FB5">
        <w:rPr>
          <w:rFonts w:ascii="Times New Roman" w:hAnsi="Times New Roman" w:eastAsia="MS Mincho" w:cs="Times New Roman"/>
          <w:sz w:val="24"/>
          <w:u w:val="single"/>
        </w:rPr>
        <w:t>orting S</w:t>
      </w:r>
      <w:r w:rsidRPr="00E12F5D">
        <w:rPr>
          <w:rFonts w:ascii="Times New Roman" w:hAnsi="Times New Roman" w:eastAsia="MS Mincho" w:cs="Times New Roman"/>
          <w:sz w:val="24"/>
          <w:u w:val="single"/>
        </w:rPr>
        <w:t>tatement</w:t>
      </w:r>
    </w:p>
    <w:p w:rsidRPr="00E12F5D" w:rsidR="00470D14" w:rsidRDefault="00793435" w14:paraId="40762DA8" w14:textId="77777777">
      <w:pPr>
        <w:pStyle w:val="PlainText"/>
        <w:jc w:val="center"/>
        <w:rPr>
          <w:rFonts w:ascii="Times New Roman" w:hAnsi="Times New Roman" w:eastAsia="MS Mincho" w:cs="Times New Roman"/>
          <w:sz w:val="24"/>
          <w:u w:val="single"/>
        </w:rPr>
      </w:pPr>
      <w:r w:rsidRPr="00E12F5D">
        <w:rPr>
          <w:rFonts w:ascii="Times New Roman" w:hAnsi="Times New Roman" w:eastAsia="MS Mincho" w:cs="Times New Roman"/>
          <w:sz w:val="24"/>
          <w:u w:val="single"/>
        </w:rPr>
        <w:t xml:space="preserve">OMB Control Number </w:t>
      </w:r>
      <w:r w:rsidRPr="00E12F5D" w:rsidR="00470D14">
        <w:rPr>
          <w:rFonts w:ascii="Times New Roman" w:hAnsi="Times New Roman" w:eastAsia="MS Mincho" w:cs="Times New Roman"/>
          <w:sz w:val="24"/>
          <w:u w:val="single"/>
        </w:rPr>
        <w:t>1506-0026</w:t>
      </w:r>
    </w:p>
    <w:p w:rsidRPr="00E12F5D" w:rsidR="005807DA" w:rsidRDefault="005807DA" w14:paraId="10C25515" w14:textId="77777777">
      <w:pPr>
        <w:pStyle w:val="PlainText"/>
        <w:jc w:val="center"/>
        <w:rPr>
          <w:rFonts w:ascii="Times New Roman" w:hAnsi="Times New Roman" w:eastAsia="MS Mincho" w:cs="Times New Roman"/>
          <w:sz w:val="24"/>
          <w:u w:val="single"/>
        </w:rPr>
      </w:pPr>
    </w:p>
    <w:p w:rsidRPr="00E12F5D" w:rsidR="005807DA" w:rsidP="0051113E" w:rsidRDefault="00E60759" w14:paraId="0A46D24F" w14:textId="21EBFE15">
      <w:pPr>
        <w:autoSpaceDE w:val="0"/>
        <w:autoSpaceDN w:val="0"/>
        <w:adjustRightInd w:val="0"/>
        <w:jc w:val="center"/>
        <w:rPr>
          <w:u w:val="single"/>
        </w:rPr>
      </w:pPr>
      <w:r>
        <w:rPr>
          <w:u w:val="single"/>
        </w:rPr>
        <w:t xml:space="preserve">Customer Identification Programs for </w:t>
      </w:r>
      <w:r w:rsidRPr="00E12F5D" w:rsidR="005807DA">
        <w:rPr>
          <w:u w:val="single"/>
        </w:rPr>
        <w:t>Banks</w:t>
      </w:r>
    </w:p>
    <w:p w:rsidR="005807DA" w:rsidRDefault="005807DA" w14:paraId="59FEE5B5" w14:textId="77777777">
      <w:pPr>
        <w:pStyle w:val="PlainText"/>
        <w:jc w:val="center"/>
        <w:rPr>
          <w:rFonts w:ascii="Times New Roman" w:hAnsi="Times New Roman" w:eastAsia="MS Mincho" w:cs="Times New Roman"/>
          <w:sz w:val="24"/>
        </w:rPr>
      </w:pPr>
    </w:p>
    <w:p w:rsidR="009870DA" w:rsidRDefault="009870DA" w14:paraId="22BF35C2" w14:textId="1C7328B6">
      <w:pPr>
        <w:pStyle w:val="PlainText"/>
        <w:rPr>
          <w:rFonts w:ascii="Times New Roman" w:hAnsi="Times New Roman" w:eastAsia="MS Mincho" w:cs="Times New Roman"/>
          <w:sz w:val="24"/>
        </w:rPr>
      </w:pPr>
      <w:r>
        <w:rPr>
          <w:rFonts w:ascii="Times New Roman" w:hAnsi="Times New Roman" w:eastAsia="MS Mincho" w:cs="Times New Roman"/>
          <w:sz w:val="24"/>
        </w:rPr>
        <w:t xml:space="preserve">1. </w:t>
      </w:r>
      <w:r>
        <w:rPr>
          <w:rFonts w:ascii="Times New Roman" w:hAnsi="Times New Roman" w:cs="Times New Roman"/>
          <w:sz w:val="24"/>
          <w:szCs w:val="22"/>
          <w:u w:val="single"/>
        </w:rPr>
        <w:t xml:space="preserve">Circumstances </w:t>
      </w:r>
      <w:r w:rsidR="001A4524">
        <w:rPr>
          <w:rFonts w:ascii="Times New Roman" w:hAnsi="Times New Roman" w:cs="Times New Roman"/>
          <w:sz w:val="24"/>
          <w:szCs w:val="22"/>
          <w:u w:val="single"/>
        </w:rPr>
        <w:t>necessitating collection of information</w:t>
      </w:r>
      <w:r w:rsidR="00CC240C">
        <w:rPr>
          <w:rFonts w:ascii="Times New Roman" w:hAnsi="Times New Roman" w:cs="Times New Roman"/>
          <w:sz w:val="24"/>
          <w:szCs w:val="22"/>
          <w:u w:val="single"/>
        </w:rPr>
        <w:t>.</w:t>
      </w:r>
    </w:p>
    <w:p w:rsidR="009870DA" w:rsidRDefault="009870DA" w14:paraId="1C7E27A0" w14:textId="77777777">
      <w:pPr>
        <w:pStyle w:val="PlainText"/>
        <w:rPr>
          <w:rFonts w:ascii="Times New Roman" w:hAnsi="Times New Roman" w:eastAsia="MS Mincho" w:cs="Times New Roman"/>
          <w:sz w:val="24"/>
        </w:rPr>
      </w:pPr>
    </w:p>
    <w:p w:rsidR="00095413" w:rsidRDefault="009133C7" w14:paraId="75D5A3F4" w14:textId="3C261F59">
      <w:pPr>
        <w:pStyle w:val="PlainText"/>
        <w:ind w:firstLine="720"/>
        <w:rPr>
          <w:rFonts w:ascii="Times New Roman" w:hAnsi="Times New Roman" w:cs="Times New Roman"/>
          <w:sz w:val="24"/>
          <w:szCs w:val="24"/>
        </w:rPr>
      </w:pPr>
      <w:r w:rsidRPr="009133C7">
        <w:rPr>
          <w:rFonts w:ascii="Times New Roman" w:hAnsi="Times New Roman" w:cs="Times New Roman"/>
          <w:sz w:val="24"/>
          <w:szCs w:val="24"/>
        </w:rPr>
        <w:t>The Financial Crimes Enforcement Network (“FinCEN”) exercises regulatory functions primarily under the Currency and Financial Transactions Reporting Act of 1970, as amended by the</w:t>
      </w:r>
      <w:r w:rsidR="00E67D2D">
        <w:rPr>
          <w:rFonts w:ascii="Times New Roman" w:hAnsi="Times New Roman" w:cs="Times New Roman"/>
          <w:sz w:val="24"/>
          <w:szCs w:val="24"/>
        </w:rPr>
        <w:t xml:space="preserve"> Uniting and Strengthening America by Providing Appropriate Tools Required to Intercept and Obstruct Terrorism Act of 2001</w:t>
      </w:r>
      <w:r w:rsidR="0051113E">
        <w:rPr>
          <w:rStyle w:val="FootnoteReference"/>
          <w:rFonts w:ascii="Times New Roman" w:hAnsi="Times New Roman" w:cs="Times New Roman"/>
          <w:sz w:val="24"/>
          <w:szCs w:val="24"/>
        </w:rPr>
        <w:footnoteReference w:id="1"/>
      </w:r>
      <w:r w:rsidR="00E67D2D">
        <w:rPr>
          <w:rFonts w:ascii="Times New Roman" w:hAnsi="Times New Roman" w:cs="Times New Roman"/>
          <w:sz w:val="24"/>
          <w:szCs w:val="24"/>
        </w:rPr>
        <w:t>(“</w:t>
      </w:r>
      <w:r w:rsidRPr="009133C7">
        <w:rPr>
          <w:rFonts w:ascii="Times New Roman" w:hAnsi="Times New Roman" w:cs="Times New Roman"/>
          <w:sz w:val="24"/>
          <w:szCs w:val="24"/>
        </w:rPr>
        <w:t>U</w:t>
      </w:r>
      <w:r w:rsidR="00E67D2D">
        <w:rPr>
          <w:rFonts w:ascii="Times New Roman" w:hAnsi="Times New Roman" w:cs="Times New Roman"/>
          <w:sz w:val="24"/>
          <w:szCs w:val="24"/>
        </w:rPr>
        <w:t>SA PATRIOT Act”) a</w:t>
      </w:r>
      <w:r w:rsidRPr="009133C7">
        <w:rPr>
          <w:rFonts w:ascii="Times New Roman" w:hAnsi="Times New Roman" w:cs="Times New Roman"/>
          <w:sz w:val="24"/>
          <w:szCs w:val="24"/>
        </w:rPr>
        <w:t>nd other legislation.  This legislative framework is commonly referred to as the “Bank Secrecy Act” (“BSA”).</w:t>
      </w:r>
      <w:r w:rsidRPr="009133C7">
        <w:rPr>
          <w:rStyle w:val="FootnoteReference"/>
          <w:rFonts w:ascii="Times New Roman" w:hAnsi="Times New Roman" w:cs="Times New Roman"/>
          <w:sz w:val="24"/>
          <w:szCs w:val="24"/>
        </w:rPr>
        <w:footnoteReference w:id="2"/>
      </w:r>
      <w:r w:rsidRPr="009133C7">
        <w:rPr>
          <w:rFonts w:ascii="Times New Roman" w:hAnsi="Times New Roman" w:cs="Times New Roman"/>
          <w:sz w:val="24"/>
          <w:szCs w:val="24"/>
        </w:rPr>
        <w:t>  The Secretary of the Treasury has delegated to the Director of FinCEN the authority to implement, administer, and enforce compliance with the BSA and associated regulations.</w:t>
      </w:r>
      <w:r w:rsidRPr="009133C7">
        <w:rPr>
          <w:rStyle w:val="FootnoteReference"/>
          <w:rFonts w:ascii="Times New Roman" w:hAnsi="Times New Roman" w:cs="Times New Roman"/>
          <w:sz w:val="24"/>
          <w:szCs w:val="24"/>
        </w:rPr>
        <w:footnoteReference w:id="3"/>
      </w:r>
      <w:r w:rsidRPr="009133C7">
        <w:rPr>
          <w:rFonts w:ascii="Times New Roman" w:hAnsi="Times New Roman" w:cs="Times New Roman"/>
          <w:sz w:val="24"/>
          <w:szCs w:val="24"/>
        </w:rPr>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9133C7">
        <w:rPr>
          <w:rStyle w:val="FootnoteReference"/>
          <w:rFonts w:ascii="Times New Roman" w:hAnsi="Times New Roman" w:cs="Times New Roman"/>
          <w:sz w:val="24"/>
          <w:szCs w:val="24"/>
        </w:rPr>
        <w:footnoteReference w:id="4"/>
      </w:r>
      <w:r w:rsidRPr="009133C7">
        <w:rPr>
          <w:rFonts w:ascii="Times New Roman" w:hAnsi="Times New Roman" w:cs="Times New Roman"/>
          <w:sz w:val="24"/>
          <w:szCs w:val="24"/>
        </w:rPr>
        <w:t xml:space="preserve"> </w:t>
      </w:r>
    </w:p>
    <w:p w:rsidR="009870DA" w:rsidRDefault="009870DA" w14:paraId="03E27EC9" w14:textId="77777777">
      <w:pPr>
        <w:pStyle w:val="PlainText"/>
        <w:ind w:firstLine="720"/>
        <w:rPr>
          <w:rFonts w:ascii="Times New Roman" w:hAnsi="Times New Roman" w:eastAsia="MS Mincho" w:cs="Times New Roman"/>
          <w:sz w:val="24"/>
        </w:rPr>
      </w:pPr>
    </w:p>
    <w:p w:rsidR="009870DA" w:rsidP="000A674B" w:rsidRDefault="00F45985" w14:paraId="1A72F4C9" w14:textId="757F2505">
      <w:pPr>
        <w:pStyle w:val="FootnoteText"/>
        <w:ind w:firstLine="720"/>
      </w:pPr>
      <w:r w:rsidRPr="00F45985">
        <w:rPr>
          <w:rFonts w:eastAsia="MS Mincho"/>
          <w:sz w:val="24"/>
        </w:rPr>
        <w:t>Section 326 of the USA PATRIOT Act added subsection (l) to 31 U.S</w:t>
      </w:r>
      <w:r w:rsidR="003F0145">
        <w:rPr>
          <w:rFonts w:eastAsia="MS Mincho"/>
          <w:sz w:val="24"/>
        </w:rPr>
        <w:t>.C. 5318 of the BSA</w:t>
      </w:r>
      <w:r w:rsidRPr="00F45985">
        <w:rPr>
          <w:rFonts w:eastAsia="MS Mincho"/>
          <w:sz w:val="24"/>
        </w:rPr>
        <w:t xml:space="preserve">. </w:t>
      </w:r>
      <w:r w:rsidR="003F0145">
        <w:rPr>
          <w:rFonts w:eastAsia="MS Mincho"/>
          <w:sz w:val="24"/>
        </w:rPr>
        <w:t xml:space="preserve"> </w:t>
      </w:r>
      <w:r w:rsidRPr="00F45985">
        <w:rPr>
          <w:rFonts w:eastAsia="MS Mincho"/>
          <w:sz w:val="24"/>
        </w:rPr>
        <w:t>Pursuant to s</w:t>
      </w:r>
      <w:r w:rsidRPr="00F45985">
        <w:rPr>
          <w:sz w:val="24"/>
        </w:rPr>
        <w:t xml:space="preserve">ection 326, FinCEN issued joint regulations with the </w:t>
      </w:r>
      <w:r>
        <w:rPr>
          <w:sz w:val="24"/>
        </w:rPr>
        <w:t>federal bank regulatory agencies</w:t>
      </w:r>
      <w:r w:rsidRPr="00F45985">
        <w:rPr>
          <w:sz w:val="24"/>
        </w:rPr>
        <w:t xml:space="preserve"> that require </w:t>
      </w:r>
      <w:r>
        <w:rPr>
          <w:sz w:val="24"/>
        </w:rPr>
        <w:t>banks</w:t>
      </w:r>
      <w:r w:rsidR="009870DA">
        <w:rPr>
          <w:sz w:val="24"/>
        </w:rPr>
        <w:t>, savings associations, credit unions, and certain non-federally regulated banks</w:t>
      </w:r>
      <w:r w:rsidRPr="00F45985">
        <w:rPr>
          <w:sz w:val="24"/>
        </w:rPr>
        <w:t xml:space="preserve"> to establish a written customer identification program and to maintain records related to verifying the identity of customers.</w:t>
      </w:r>
      <w:r w:rsidR="00A5700D">
        <w:rPr>
          <w:rStyle w:val="FootnoteReference"/>
          <w:sz w:val="24"/>
        </w:rPr>
        <w:footnoteReference w:id="5"/>
      </w:r>
      <w:r w:rsidRPr="00F45985">
        <w:rPr>
          <w:sz w:val="24"/>
        </w:rPr>
        <w:t xml:space="preserve">  Under the </w:t>
      </w:r>
      <w:r w:rsidR="000729AE">
        <w:rPr>
          <w:sz w:val="24"/>
        </w:rPr>
        <w:t xml:space="preserve">customer </w:t>
      </w:r>
      <w:r w:rsidR="00E50ACD">
        <w:rPr>
          <w:sz w:val="24"/>
        </w:rPr>
        <w:t>identification program</w:t>
      </w:r>
      <w:r w:rsidR="009133C7">
        <w:rPr>
          <w:sz w:val="24"/>
        </w:rPr>
        <w:t xml:space="preserve"> (</w:t>
      </w:r>
      <w:r w:rsidR="00F4235A">
        <w:rPr>
          <w:sz w:val="24"/>
        </w:rPr>
        <w:t>“</w:t>
      </w:r>
      <w:r w:rsidR="009133C7">
        <w:rPr>
          <w:sz w:val="24"/>
        </w:rPr>
        <w:t>CIP</w:t>
      </w:r>
      <w:r w:rsidR="00F4235A">
        <w:rPr>
          <w:sz w:val="24"/>
        </w:rPr>
        <w:t>”</w:t>
      </w:r>
      <w:r w:rsidR="009133C7">
        <w:rPr>
          <w:sz w:val="24"/>
        </w:rPr>
        <w:t>)</w:t>
      </w:r>
      <w:r w:rsidR="00E50ACD">
        <w:rPr>
          <w:sz w:val="24"/>
        </w:rPr>
        <w:t xml:space="preserve"> </w:t>
      </w:r>
      <w:r w:rsidRPr="00F45985">
        <w:rPr>
          <w:sz w:val="24"/>
        </w:rPr>
        <w:t>regulations,</w:t>
      </w:r>
      <w:r w:rsidR="00E50ACD">
        <w:rPr>
          <w:sz w:val="24"/>
        </w:rPr>
        <w:t xml:space="preserve"> the minimum requirements include:  1) implementation of a written customer identification program appropriate for the financial institution’s size and type of business; </w:t>
      </w:r>
      <w:r w:rsidR="000729AE">
        <w:rPr>
          <w:sz w:val="24"/>
        </w:rPr>
        <w:t xml:space="preserve">2) </w:t>
      </w:r>
      <w:r w:rsidR="00E50ACD">
        <w:rPr>
          <w:sz w:val="24"/>
        </w:rPr>
        <w:t>identity verification procedures; 3) recordkeeping; 4) comparison with government lists; and 5) customer notice.</w:t>
      </w:r>
      <w:r w:rsidRPr="00F45985">
        <w:rPr>
          <w:sz w:val="24"/>
        </w:rPr>
        <w:t xml:space="preserve"> </w:t>
      </w:r>
    </w:p>
    <w:p w:rsidR="00095413" w:rsidP="000A674B" w:rsidRDefault="00095413" w14:paraId="2DA759DC" w14:textId="77777777">
      <w:pPr>
        <w:pStyle w:val="FootnoteText"/>
        <w:ind w:firstLine="720"/>
      </w:pPr>
    </w:p>
    <w:p w:rsidR="009133C7" w:rsidP="009133C7" w:rsidRDefault="009133C7" w14:paraId="5B548FFA" w14:textId="007BB6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FinCEN is requesting </w:t>
      </w:r>
      <w:r w:rsidRPr="008565C8">
        <w:t>a</w:t>
      </w:r>
      <w:r>
        <w:t xml:space="preserve"> revision of the information </w:t>
      </w:r>
      <w:r w:rsidRPr="00FC131A">
        <w:t xml:space="preserve">collection </w:t>
      </w:r>
      <w:r>
        <w:t>associated with regulations covering the</w:t>
      </w:r>
      <w:r w:rsidR="000A674B">
        <w:t xml:space="preserve"> CIP requirement</w:t>
      </w:r>
      <w:r w:rsidR="00FE4E55">
        <w:t>s</w:t>
      </w:r>
      <w:r>
        <w:t xml:space="preserve">. FinCEN </w:t>
      </w:r>
      <w:r w:rsidR="00A5700D">
        <w:t xml:space="preserve">is issuing </w:t>
      </w:r>
      <w:r>
        <w:t xml:space="preserve">this statement to support </w:t>
      </w:r>
      <w:r w:rsidR="00FE4E55">
        <w:t xml:space="preserve">of </w:t>
      </w:r>
      <w:r>
        <w:t>the request for OMB approval of an information collection with respect to the final rule that will require certain banks that lack a Federal functional regulator to comply with the CIP requirements, among other things.</w:t>
      </w:r>
      <w:r w:rsidR="008B1F81">
        <w:t xml:space="preserve">  This statement adds the estimated burden hours increase for this OMB control number, as a result of the final rule.  The increase in burden hours is being added to the existing OMB approved burden hours for this control number as reflected in this supporting statement.</w:t>
      </w:r>
      <w:r w:rsidR="00875174">
        <w:rPr>
          <w:rStyle w:val="FootnoteReference"/>
        </w:rPr>
        <w:footnoteReference w:id="6"/>
      </w:r>
    </w:p>
    <w:p w:rsidR="009133C7" w:rsidP="009133C7" w:rsidRDefault="009133C7" w14:paraId="56245890" w14:textId="77777777"/>
    <w:p w:rsidR="009133C7" w:rsidP="000A674B" w:rsidRDefault="00FD3E6A" w14:paraId="3515D910" w14:textId="1CCF3AD5">
      <w:pPr>
        <w:widowControl w:val="0"/>
        <w:autoSpaceDE w:val="0"/>
        <w:autoSpaceDN w:val="0"/>
        <w:adjustRightInd w:val="0"/>
        <w:ind w:right="360" w:firstLine="720"/>
      </w:pPr>
      <w:r>
        <w:rPr>
          <w:color w:val="000000"/>
        </w:rPr>
        <w:t xml:space="preserve">On September 14, 2020, </w:t>
      </w:r>
      <w:r w:rsidR="009133C7">
        <w:rPr>
          <w:color w:val="000000"/>
        </w:rPr>
        <w:t>FinCEN is</w:t>
      </w:r>
      <w:r>
        <w:rPr>
          <w:color w:val="000000"/>
        </w:rPr>
        <w:t>sued</w:t>
      </w:r>
      <w:r w:rsidR="009133C7">
        <w:rPr>
          <w:color w:val="000000"/>
        </w:rPr>
        <w:t xml:space="preserve"> a final rule implementing sections 352, 326 and 312 of the USA PATRIOT Act and </w:t>
      </w:r>
      <w:r w:rsidR="009133C7">
        <w:t xml:space="preserve">removing the </w:t>
      </w:r>
      <w:r w:rsidR="00DC69AA">
        <w:t>anti-money laundering (</w:t>
      </w:r>
      <w:r w:rsidR="00F4235A">
        <w:t>“</w:t>
      </w:r>
      <w:r w:rsidR="009133C7">
        <w:t>AML</w:t>
      </w:r>
      <w:r w:rsidR="00F4235A">
        <w:t>”</w:t>
      </w:r>
      <w:r w:rsidR="00DC69AA">
        <w:t>)</w:t>
      </w:r>
      <w:r w:rsidRPr="00EC4BDF" w:rsidR="009133C7">
        <w:t xml:space="preserve"> </w:t>
      </w:r>
      <w:r w:rsidR="009133C7">
        <w:t xml:space="preserve">program </w:t>
      </w:r>
      <w:r w:rsidRPr="000B0656" w:rsidR="009133C7">
        <w:t>exemption</w:t>
      </w:r>
      <w:r w:rsidR="009133C7">
        <w:t xml:space="preserve"> for banks that lack a Federal functional r</w:t>
      </w:r>
      <w:r w:rsidRPr="00EC4BDF" w:rsidR="009133C7">
        <w:t>egulat</w:t>
      </w:r>
      <w:r w:rsidR="009133C7">
        <w:t xml:space="preserve">or, including, but not limited to, </w:t>
      </w:r>
      <w:r w:rsidR="009133C7">
        <w:rPr>
          <w:color w:val="000000"/>
        </w:rPr>
        <w:t>private bank</w:t>
      </w:r>
      <w:r w:rsidRPr="00733303" w:rsidR="009133C7">
        <w:rPr>
          <w:color w:val="000000"/>
        </w:rPr>
        <w:t>s</w:t>
      </w:r>
      <w:r w:rsidR="009133C7">
        <w:rPr>
          <w:color w:val="000000"/>
        </w:rPr>
        <w:t>, non-federally insured credit unions, and certain trust companies</w:t>
      </w:r>
      <w:r w:rsidR="00680607">
        <w:rPr>
          <w:color w:val="000000"/>
        </w:rPr>
        <w:t xml:space="preserve"> (the “Final Rule”).</w:t>
      </w:r>
      <w:r w:rsidRPr="00FD3E6A">
        <w:rPr>
          <w:color w:val="000000"/>
          <w:vertAlign w:val="superscript"/>
        </w:rPr>
        <w:footnoteReference w:id="7"/>
      </w:r>
      <w:r w:rsidRPr="00FD3E6A">
        <w:rPr>
          <w:color w:val="000000"/>
        </w:rPr>
        <w:t xml:space="preserve"> </w:t>
      </w:r>
      <w:r w:rsidR="00680607">
        <w:rPr>
          <w:color w:val="000000"/>
        </w:rPr>
        <w:t xml:space="preserve"> The Final R</w:t>
      </w:r>
      <w:r w:rsidR="009133C7">
        <w:rPr>
          <w:color w:val="000000"/>
        </w:rPr>
        <w:t xml:space="preserve">ule requires minimum standards for AML programs for banks without a Federal functional regulator to </w:t>
      </w:r>
      <w:r w:rsidR="009133C7">
        <w:t xml:space="preserve">ensure that all banks, regardless of whether they are subject to Federal regulation and oversight, are required to establish and implement AML programs, and extends </w:t>
      </w:r>
      <w:r w:rsidR="009133C7">
        <w:rPr>
          <w:color w:val="000000"/>
        </w:rPr>
        <w:t>CIP requirements and beneficial ownership requirements to those banks not already subject to these requirements</w:t>
      </w:r>
      <w:r w:rsidRPr="00EC4BDF" w:rsidR="009133C7">
        <w:t>.</w:t>
      </w:r>
    </w:p>
    <w:p w:rsidR="009133C7" w:rsidP="009133C7" w:rsidRDefault="009133C7" w14:paraId="3C45DEC7" w14:textId="77777777">
      <w:pPr>
        <w:pStyle w:val="FootnoteText"/>
        <w:ind w:firstLine="720"/>
        <w:rPr>
          <w:rFonts w:eastAsia="MS Mincho"/>
          <w:sz w:val="24"/>
        </w:rPr>
      </w:pPr>
    </w:p>
    <w:p w:rsidR="009870DA" w:rsidRDefault="009870DA" w14:paraId="4725881A" w14:textId="77777777">
      <w:r>
        <w:t xml:space="preserve">2. </w:t>
      </w:r>
      <w:r w:rsidRPr="000020CA">
        <w:rPr>
          <w:u w:val="single"/>
        </w:rPr>
        <w:t xml:space="preserve">Method of </w:t>
      </w:r>
      <w:r w:rsidRPr="000020CA" w:rsidR="000B363C">
        <w:rPr>
          <w:u w:val="single"/>
        </w:rPr>
        <w:t>collection and use of data</w:t>
      </w:r>
      <w:r w:rsidR="00A34393">
        <w:rPr>
          <w:u w:val="single"/>
        </w:rPr>
        <w:t>.</w:t>
      </w:r>
    </w:p>
    <w:p w:rsidR="009870DA" w:rsidRDefault="009870DA" w14:paraId="05E3396C" w14:textId="77777777">
      <w:pPr>
        <w:widowControl w:val="0"/>
        <w:autoSpaceDE w:val="0"/>
        <w:autoSpaceDN w:val="0"/>
        <w:adjustRightInd w:val="0"/>
        <w:spacing w:line="244" w:lineRule="exact"/>
        <w:ind w:firstLine="715"/>
      </w:pPr>
    </w:p>
    <w:p w:rsidRPr="00E3567D" w:rsidR="009870DA" w:rsidP="00E3567D" w:rsidRDefault="00684821" w14:paraId="791E8DE4" w14:textId="1DD20BB9">
      <w:pPr>
        <w:autoSpaceDE w:val="0"/>
        <w:autoSpaceDN w:val="0"/>
        <w:adjustRightInd w:val="0"/>
        <w:ind w:firstLine="720"/>
        <w:rPr>
          <w:szCs w:val="22"/>
        </w:rPr>
      </w:pPr>
      <w:r>
        <w:t xml:space="preserve">The information will be used to verify the identity of persons seeking to open accounts at </w:t>
      </w:r>
      <w:r>
        <w:rPr>
          <w:rFonts w:eastAsia="MS Mincho"/>
        </w:rPr>
        <w:t>banks, savings associations, credit unions, and banks</w:t>
      </w:r>
      <w:r>
        <w:t xml:space="preserve"> </w:t>
      </w:r>
      <w:r w:rsidR="008C55EF">
        <w:t xml:space="preserve">without a Federal functional regulator, </w:t>
      </w:r>
      <w:r>
        <w:t xml:space="preserve">in an effort to prevent and detect money laundering and the financing of terrorism.  </w:t>
      </w:r>
      <w:r w:rsidR="009870DA">
        <w:t xml:space="preserve">The information on the customer’s identification maintained by </w:t>
      </w:r>
      <w:r w:rsidR="009870DA">
        <w:rPr>
          <w:rFonts w:eastAsia="MS Mincho"/>
        </w:rPr>
        <w:t>banks, savings associations, credit unions, and banks</w:t>
      </w:r>
      <w:r w:rsidR="009870DA">
        <w:t xml:space="preserve"> </w:t>
      </w:r>
      <w:r w:rsidR="008C55EF">
        <w:t xml:space="preserve">without a Federal functional regulator </w:t>
      </w:r>
      <w:r w:rsidR="009870DA">
        <w:t>is made available to appropriate government authorities only upon request.</w:t>
      </w:r>
      <w:r w:rsidR="00E3567D">
        <w:t xml:space="preserve">  Compliance with these requirements will be reviewed by Federal agencies during the course of BSA examinations.</w:t>
      </w:r>
    </w:p>
    <w:p w:rsidR="009870DA" w:rsidRDefault="009870DA" w14:paraId="243663BC" w14:textId="77777777">
      <w:pPr>
        <w:spacing w:before="273"/>
        <w:rPr>
          <w:szCs w:val="22"/>
        </w:rPr>
      </w:pPr>
      <w:r>
        <w:rPr>
          <w:szCs w:val="22"/>
        </w:rPr>
        <w:t xml:space="preserve">3. </w:t>
      </w:r>
      <w:r>
        <w:rPr>
          <w:szCs w:val="22"/>
          <w:u w:val="single"/>
        </w:rPr>
        <w:t xml:space="preserve">Use </w:t>
      </w:r>
      <w:r w:rsidR="000B363C">
        <w:rPr>
          <w:szCs w:val="22"/>
          <w:u w:val="single"/>
        </w:rPr>
        <w:t>of improved information technology to reduce burden</w:t>
      </w:r>
      <w:r w:rsidR="00A34393">
        <w:rPr>
          <w:szCs w:val="22"/>
          <w:u w:val="single"/>
        </w:rPr>
        <w:t>.</w:t>
      </w:r>
      <w:r>
        <w:rPr>
          <w:szCs w:val="22"/>
        </w:rPr>
        <w:t xml:space="preserve"> </w:t>
      </w:r>
    </w:p>
    <w:p w:rsidR="001722D3" w:rsidP="009133C7" w:rsidRDefault="00684821" w14:paraId="559CD92B" w14:textId="10F55358">
      <w:pPr>
        <w:spacing w:before="273"/>
        <w:ind w:firstLine="720"/>
        <w:rPr>
          <w:szCs w:val="22"/>
        </w:rPr>
      </w:pPr>
      <w:r>
        <w:rPr>
          <w:rFonts w:eastAsia="MS Mincho"/>
        </w:rPr>
        <w:t>Banks, savings associations, credit unions, and banks</w:t>
      </w:r>
      <w:r w:rsidR="003F0145">
        <w:rPr>
          <w:szCs w:val="22"/>
        </w:rPr>
        <w:t xml:space="preserve"> </w:t>
      </w:r>
      <w:r w:rsidR="008C55EF">
        <w:t>without a Federal functional regulator</w:t>
      </w:r>
      <w:r w:rsidR="008C55EF">
        <w:rPr>
          <w:szCs w:val="22"/>
        </w:rPr>
        <w:t xml:space="preserve"> </w:t>
      </w:r>
      <w:r w:rsidR="003F0145">
        <w:rPr>
          <w:szCs w:val="22"/>
        </w:rPr>
        <w:t xml:space="preserve">are </w:t>
      </w:r>
      <w:r w:rsidR="009870DA">
        <w:rPr>
          <w:szCs w:val="22"/>
        </w:rPr>
        <w:t>permitted to automate their system</w:t>
      </w:r>
      <w:r w:rsidR="0050759F">
        <w:rPr>
          <w:szCs w:val="22"/>
        </w:rPr>
        <w:t>s</w:t>
      </w:r>
      <w:r w:rsidR="009870DA">
        <w:rPr>
          <w:szCs w:val="22"/>
        </w:rPr>
        <w:t xml:space="preserve"> to meet their requirements.  There is no specific government mandate to do so.  </w:t>
      </w:r>
    </w:p>
    <w:p w:rsidR="009870DA" w:rsidRDefault="009870DA" w14:paraId="7D443776" w14:textId="77777777">
      <w:pPr>
        <w:spacing w:before="283"/>
        <w:rPr>
          <w:szCs w:val="22"/>
          <w:u w:val="single"/>
        </w:rPr>
      </w:pPr>
      <w:r>
        <w:rPr>
          <w:szCs w:val="22"/>
        </w:rPr>
        <w:t xml:space="preserve">4. </w:t>
      </w:r>
      <w:r>
        <w:rPr>
          <w:szCs w:val="22"/>
          <w:u w:val="single"/>
        </w:rPr>
        <w:t xml:space="preserve">Efforts to </w:t>
      </w:r>
      <w:r w:rsidR="00940088">
        <w:rPr>
          <w:szCs w:val="22"/>
          <w:u w:val="single"/>
        </w:rPr>
        <w:t>i</w:t>
      </w:r>
      <w:r>
        <w:rPr>
          <w:szCs w:val="22"/>
          <w:u w:val="single"/>
        </w:rPr>
        <w:t xml:space="preserve">dentify </w:t>
      </w:r>
      <w:r w:rsidR="00940088">
        <w:rPr>
          <w:szCs w:val="22"/>
          <w:u w:val="single"/>
        </w:rPr>
        <w:t>d</w:t>
      </w:r>
      <w:r>
        <w:rPr>
          <w:szCs w:val="22"/>
          <w:u w:val="single"/>
        </w:rPr>
        <w:t>uplication</w:t>
      </w:r>
      <w:r w:rsidR="00940088">
        <w:rPr>
          <w:szCs w:val="22"/>
          <w:u w:val="single"/>
        </w:rPr>
        <w:t>.</w:t>
      </w:r>
    </w:p>
    <w:p w:rsidR="009870DA" w:rsidP="009133C7" w:rsidRDefault="009870DA" w14:paraId="3D1098D6" w14:textId="77777777">
      <w:pPr>
        <w:spacing w:before="283"/>
        <w:ind w:firstLine="720"/>
        <w:rPr>
          <w:szCs w:val="22"/>
        </w:rPr>
      </w:pPr>
      <w:r>
        <w:rPr>
          <w:szCs w:val="22"/>
        </w:rPr>
        <w:t>There is no similar information available; thus</w:t>
      </w:r>
      <w:r w:rsidR="00940088">
        <w:rPr>
          <w:szCs w:val="22"/>
        </w:rPr>
        <w:t>,</w:t>
      </w:r>
      <w:r>
        <w:rPr>
          <w:szCs w:val="22"/>
        </w:rPr>
        <w:t xml:space="preserve"> there is no duplication. </w:t>
      </w:r>
    </w:p>
    <w:p w:rsidR="009870DA" w:rsidRDefault="009870DA" w14:paraId="40C42408" w14:textId="77777777">
      <w:pPr>
        <w:spacing w:before="283"/>
        <w:rPr>
          <w:szCs w:val="22"/>
          <w:u w:val="single"/>
        </w:rPr>
      </w:pPr>
      <w:r>
        <w:rPr>
          <w:szCs w:val="22"/>
        </w:rPr>
        <w:t xml:space="preserve">5. </w:t>
      </w:r>
      <w:r>
        <w:rPr>
          <w:szCs w:val="22"/>
          <w:u w:val="single"/>
        </w:rPr>
        <w:t xml:space="preserve">Methods to </w:t>
      </w:r>
      <w:r w:rsidR="000B363C">
        <w:rPr>
          <w:szCs w:val="22"/>
          <w:u w:val="single"/>
        </w:rPr>
        <w:t>minimize burden on small businesses or other small entities</w:t>
      </w:r>
      <w:r w:rsidR="00940088">
        <w:rPr>
          <w:szCs w:val="22"/>
          <w:u w:val="single"/>
        </w:rPr>
        <w:t>.</w:t>
      </w:r>
    </w:p>
    <w:p w:rsidR="009870DA" w:rsidP="009133C7" w:rsidRDefault="009870DA" w14:paraId="3FA71C06" w14:textId="273947CB">
      <w:pPr>
        <w:spacing w:before="283"/>
        <w:ind w:firstLine="720"/>
        <w:rPr>
          <w:szCs w:val="22"/>
        </w:rPr>
      </w:pPr>
      <w:r>
        <w:rPr>
          <w:szCs w:val="22"/>
        </w:rPr>
        <w:t xml:space="preserve">All </w:t>
      </w:r>
      <w:r w:rsidR="00F3323E">
        <w:rPr>
          <w:rFonts w:eastAsia="MS Mincho"/>
        </w:rPr>
        <w:t>banks, savings associations, credit unions, and banks</w:t>
      </w:r>
      <w:r>
        <w:rPr>
          <w:szCs w:val="22"/>
        </w:rPr>
        <w:t xml:space="preserve"> </w:t>
      </w:r>
      <w:r w:rsidR="008C55EF">
        <w:t>without a Federal functional regulator</w:t>
      </w:r>
      <w:r w:rsidR="008C55EF">
        <w:rPr>
          <w:szCs w:val="22"/>
        </w:rPr>
        <w:t xml:space="preserve"> </w:t>
      </w:r>
      <w:r>
        <w:rPr>
          <w:szCs w:val="22"/>
        </w:rPr>
        <w:t>are required to document the identity of their customers and are permitted to use the method most suitable</w:t>
      </w:r>
      <w:r w:rsidR="000A45F2">
        <w:rPr>
          <w:szCs w:val="22"/>
        </w:rPr>
        <w:t xml:space="preserve"> based upon</w:t>
      </w:r>
      <w:r>
        <w:rPr>
          <w:szCs w:val="22"/>
        </w:rPr>
        <w:t xml:space="preserve"> their </w:t>
      </w:r>
      <w:r w:rsidR="000A45F2">
        <w:rPr>
          <w:szCs w:val="22"/>
        </w:rPr>
        <w:t xml:space="preserve">assessment of risk as it relates to </w:t>
      </w:r>
      <w:r w:rsidR="00645D7E">
        <w:rPr>
          <w:szCs w:val="22"/>
        </w:rPr>
        <w:t>their size and type of business.</w:t>
      </w:r>
    </w:p>
    <w:p w:rsidR="009870DA" w:rsidRDefault="009870DA" w14:paraId="08EAF936" w14:textId="77777777">
      <w:pPr>
        <w:spacing w:before="283"/>
        <w:rPr>
          <w:szCs w:val="22"/>
        </w:rPr>
      </w:pPr>
      <w:r>
        <w:rPr>
          <w:szCs w:val="22"/>
        </w:rPr>
        <w:t xml:space="preserve">6. </w:t>
      </w:r>
      <w:r w:rsidR="000B363C">
        <w:rPr>
          <w:u w:val="single"/>
        </w:rPr>
        <w:t xml:space="preserve">Consequences </w:t>
      </w:r>
      <w:r w:rsidR="00805E94">
        <w:rPr>
          <w:szCs w:val="22"/>
          <w:u w:val="single"/>
        </w:rPr>
        <w:t>to the Federal government of not collecting the information.</w:t>
      </w:r>
    </w:p>
    <w:p w:rsidR="009870DA" w:rsidP="009133C7" w:rsidRDefault="009870DA" w14:paraId="396736BA" w14:textId="77777777">
      <w:pPr>
        <w:spacing w:before="283"/>
        <w:ind w:firstLine="720"/>
        <w:rPr>
          <w:szCs w:val="22"/>
        </w:rPr>
      </w:pPr>
      <w:r>
        <w:rPr>
          <w:szCs w:val="22"/>
        </w:rPr>
        <w:t xml:space="preserve">The Federal </w:t>
      </w:r>
      <w:r w:rsidR="001722D3">
        <w:rPr>
          <w:szCs w:val="22"/>
        </w:rPr>
        <w:t>g</w:t>
      </w:r>
      <w:r>
        <w:rPr>
          <w:szCs w:val="22"/>
        </w:rPr>
        <w:t xml:space="preserve">overnment requires reporting of this information only upon request.  </w:t>
      </w:r>
    </w:p>
    <w:p w:rsidR="009870DA" w:rsidRDefault="009870DA" w14:paraId="47AB5A8E" w14:textId="77777777">
      <w:pPr>
        <w:spacing w:before="288"/>
        <w:rPr>
          <w:szCs w:val="22"/>
          <w:u w:val="single"/>
        </w:rPr>
      </w:pPr>
      <w:r>
        <w:rPr>
          <w:szCs w:val="22"/>
        </w:rPr>
        <w:lastRenderedPageBreak/>
        <w:t xml:space="preserve">7. </w:t>
      </w:r>
      <w:r w:rsidR="00DE4489">
        <w:rPr>
          <w:u w:val="single"/>
        </w:rPr>
        <w:t>Special circumstances requiring data collection to be in</w:t>
      </w:r>
      <w:r w:rsidR="00940088">
        <w:rPr>
          <w:u w:val="single"/>
        </w:rPr>
        <w:t>con</w:t>
      </w:r>
      <w:r w:rsidR="00DE4489">
        <w:rPr>
          <w:u w:val="single"/>
        </w:rPr>
        <w:t>sistent with guidelines in 5 CFR 1320.5(d)(2)</w:t>
      </w:r>
      <w:r w:rsidR="00940088">
        <w:rPr>
          <w:u w:val="single"/>
        </w:rPr>
        <w:t>.</w:t>
      </w:r>
    </w:p>
    <w:p w:rsidR="002C3559" w:rsidP="00DB5B41" w:rsidRDefault="002C3559" w14:paraId="25452851" w14:textId="77777777">
      <w:pPr>
        <w:rPr>
          <w:szCs w:val="4"/>
        </w:rPr>
      </w:pPr>
    </w:p>
    <w:p w:rsidR="00736C16" w:rsidP="002C3559" w:rsidRDefault="00DB5B41" w14:paraId="55FC808D" w14:textId="16DD809C">
      <w:pPr>
        <w:ind w:firstLine="720"/>
        <w:rPr>
          <w:szCs w:val="4"/>
        </w:rPr>
      </w:pPr>
      <w:r>
        <w:rPr>
          <w:szCs w:val="4"/>
        </w:rPr>
        <w:t>Und</w:t>
      </w:r>
      <w:r>
        <w:t xml:space="preserve">er 31 CFR 1010.430(d), </w:t>
      </w:r>
      <w:r>
        <w:rPr>
          <w:lang w:val="en"/>
        </w:rPr>
        <w:t xml:space="preserve">all records that are required to be retained by 31 CFR Chapter X must be retained for a period of five years. </w:t>
      </w:r>
      <w:r w:rsidR="00B91C55">
        <w:rPr>
          <w:lang w:val="en"/>
        </w:rPr>
        <w:t xml:space="preserve"> </w:t>
      </w:r>
      <w:r>
        <w:t>Records must be kept for five years because such records may relate to substantive violations of law that are subject to statutes of limitation longer than three years.</w:t>
      </w:r>
    </w:p>
    <w:p w:rsidR="009870DA" w:rsidP="00464BD7" w:rsidRDefault="009870DA" w14:paraId="76C912B8" w14:textId="41257B6B">
      <w:pPr>
        <w:widowControl w:val="0"/>
        <w:autoSpaceDE w:val="0"/>
        <w:autoSpaceDN w:val="0"/>
        <w:adjustRightInd w:val="0"/>
        <w:spacing w:line="240" w:lineRule="exact"/>
        <w:rPr>
          <w:szCs w:val="4"/>
        </w:rPr>
      </w:pPr>
    </w:p>
    <w:p w:rsidR="009870DA" w:rsidRDefault="009870DA" w14:paraId="23654012" w14:textId="39EB9044">
      <w:pPr>
        <w:rPr>
          <w:szCs w:val="22"/>
        </w:rPr>
      </w:pPr>
      <w:r>
        <w:rPr>
          <w:szCs w:val="22"/>
        </w:rPr>
        <w:t xml:space="preserve">8. </w:t>
      </w:r>
      <w:r>
        <w:rPr>
          <w:szCs w:val="22"/>
          <w:u w:val="single"/>
        </w:rPr>
        <w:t xml:space="preserve">Consultation </w:t>
      </w:r>
      <w:r w:rsidR="00DE4489">
        <w:rPr>
          <w:szCs w:val="22"/>
          <w:u w:val="single"/>
        </w:rPr>
        <w:t>with individuals outside of the agency on availability of data, frequency of collection, clarity of instructions and forms, and data elements</w:t>
      </w:r>
      <w:r w:rsidR="00E60759">
        <w:rPr>
          <w:szCs w:val="22"/>
          <w:u w:val="single"/>
        </w:rPr>
        <w:t>.</w:t>
      </w:r>
    </w:p>
    <w:p w:rsidR="009870DA" w:rsidRDefault="009870DA" w14:paraId="7E57B705" w14:textId="77777777">
      <w:pPr>
        <w:rPr>
          <w:szCs w:val="22"/>
        </w:rPr>
      </w:pPr>
    </w:p>
    <w:p w:rsidR="009133C7" w:rsidP="009133C7" w:rsidRDefault="009133C7" w14:paraId="23B3E1D7" w14:textId="588FE20D">
      <w:pPr>
        <w:ind w:firstLine="720"/>
        <w:rPr>
          <w:color w:val="000000"/>
        </w:rPr>
      </w:pPr>
      <w:r>
        <w:rPr>
          <w:color w:val="000000"/>
        </w:rPr>
        <w:t>On August 25, 2016</w:t>
      </w:r>
      <w:r w:rsidRPr="007D70B8">
        <w:rPr>
          <w:color w:val="000000"/>
        </w:rPr>
        <w:t xml:space="preserve">, FinCEN </w:t>
      </w:r>
      <w:r>
        <w:rPr>
          <w:color w:val="000000"/>
        </w:rPr>
        <w:t xml:space="preserve">issued </w:t>
      </w:r>
      <w:r w:rsidR="008C55EF">
        <w:rPr>
          <w:color w:val="000000"/>
        </w:rPr>
        <w:t>a notice of proposed rulemaking (</w:t>
      </w:r>
      <w:r w:rsidR="00CC240C">
        <w:rPr>
          <w:color w:val="000000"/>
        </w:rPr>
        <w:t>“</w:t>
      </w:r>
      <w:r w:rsidR="008C55EF">
        <w:rPr>
          <w:color w:val="000000"/>
        </w:rPr>
        <w:t>NPRM</w:t>
      </w:r>
      <w:r w:rsidR="00CC240C">
        <w:rPr>
          <w:color w:val="000000"/>
        </w:rPr>
        <w:t>”</w:t>
      </w:r>
      <w:r w:rsidR="008C55EF">
        <w:rPr>
          <w:color w:val="000000"/>
        </w:rPr>
        <w:t>)</w:t>
      </w:r>
      <w:r>
        <w:rPr>
          <w:color w:val="000000"/>
        </w:rPr>
        <w:t xml:space="preserve"> proposing to amend certain definitions and to amend the AML, CIP, and beneficial ownership regulations to include coverage for banks lacking</w:t>
      </w:r>
      <w:r w:rsidRPr="007D70B8">
        <w:rPr>
          <w:color w:val="000000"/>
        </w:rPr>
        <w:t xml:space="preserve"> a Federal functional regulator</w:t>
      </w:r>
      <w:r>
        <w:rPr>
          <w:color w:val="000000"/>
        </w:rPr>
        <w:t>.</w:t>
      </w:r>
      <w:r>
        <w:rPr>
          <w:rStyle w:val="FootnoteReference"/>
          <w:color w:val="000000"/>
        </w:rPr>
        <w:footnoteReference w:id="8"/>
      </w:r>
      <w:r>
        <w:rPr>
          <w:color w:val="000000"/>
        </w:rPr>
        <w:t xml:space="preserve">  </w:t>
      </w:r>
    </w:p>
    <w:p w:rsidR="009133C7" w:rsidP="009133C7" w:rsidRDefault="009133C7" w14:paraId="46EBCB0C" w14:textId="77777777">
      <w:pPr>
        <w:ind w:firstLine="720"/>
        <w:rPr>
          <w:color w:val="000000"/>
        </w:rPr>
      </w:pPr>
    </w:p>
    <w:p w:rsidR="009133C7" w:rsidP="009133C7" w:rsidRDefault="009133C7" w14:paraId="5ED9724F" w14:textId="45503352">
      <w:pPr>
        <w:ind w:firstLine="720"/>
      </w:pPr>
      <w:r>
        <w:t xml:space="preserve">The comment period on the NPRM ended on October 24, 2016.  FinCEN received </w:t>
      </w:r>
      <w:r w:rsidRPr="00C64111">
        <w:t>eigh</w:t>
      </w:r>
      <w:r>
        <w:t xml:space="preserve">t comments.  Comments were submitted by one anonymous source, three industry representatives, and four trade associations.  </w:t>
      </w:r>
      <w:r w:rsidRPr="002135CF">
        <w:t>FinCEN reviewed and considered all the comments</w:t>
      </w:r>
      <w:r>
        <w:t xml:space="preserve"> to the extent</w:t>
      </w:r>
      <w:r w:rsidRPr="002135CF">
        <w:t xml:space="preserve"> th</w:t>
      </w:r>
      <w:r>
        <w:t>ey addressed aspects of the</w:t>
      </w:r>
      <w:r w:rsidR="00CC240C">
        <w:t xml:space="preserve"> NPRM</w:t>
      </w:r>
      <w:r w:rsidRPr="002135CF">
        <w:t xml:space="preserve">.  </w:t>
      </w:r>
      <w:r>
        <w:t>All the comments supported the is</w:t>
      </w:r>
      <w:r w:rsidR="00680607">
        <w:t>suance of the Final Rule.  The Final R</w:t>
      </w:r>
      <w:r>
        <w:t xml:space="preserve">ule adopts the proposal in its entirety, but establishes a later date by which affected banks must be in compliance. </w:t>
      </w:r>
      <w:r w:rsidR="00B91C55">
        <w:t xml:space="preserve"> </w:t>
      </w:r>
      <w:r w:rsidRPr="00E803FE">
        <w:t>One commenter requested a two-year implementation period.</w:t>
      </w:r>
      <w:r>
        <w:t xml:space="preserve"> </w:t>
      </w:r>
      <w:r w:rsidRPr="00E803FE">
        <w:t xml:space="preserve"> Another suggested an implementation date </w:t>
      </w:r>
      <w:r>
        <w:t xml:space="preserve">in </w:t>
      </w:r>
      <w:r w:rsidRPr="00E803FE">
        <w:t>May 2018,</w:t>
      </w:r>
      <w:r>
        <w:t xml:space="preserve"> to coincide with that the implementation date of the beneficial ownership requirements. </w:t>
      </w:r>
      <w:r w:rsidRPr="00E803FE">
        <w:t xml:space="preserve"> A third commenter suggested an implementation</w:t>
      </w:r>
      <w:r>
        <w:t xml:space="preserve"> period of six months to a year</w:t>
      </w:r>
      <w:r w:rsidR="00A67EBE">
        <w:t xml:space="preserve"> from the date of publication of the Final Rule</w:t>
      </w:r>
      <w:r>
        <w:t xml:space="preserve">, and a fourth commenter suggested a minimum of six months. </w:t>
      </w:r>
    </w:p>
    <w:p w:rsidR="009133C7" w:rsidP="009133C7" w:rsidRDefault="009133C7" w14:paraId="57033091" w14:textId="77777777">
      <w:pPr>
        <w:ind w:firstLine="720"/>
      </w:pPr>
    </w:p>
    <w:p w:rsidR="009133C7" w:rsidP="009133C7" w:rsidRDefault="00FD3E6A" w14:paraId="306B0BC9" w14:textId="355BCF99">
      <w:pPr>
        <w:ind w:firstLine="720"/>
      </w:pPr>
      <w:r>
        <w:t xml:space="preserve">The proposals set forth in the NPRM were adopted largely without change in the Final Rule. </w:t>
      </w:r>
      <w:r w:rsidR="00B91C55">
        <w:t xml:space="preserve"> </w:t>
      </w:r>
      <w:r w:rsidRPr="0036682E" w:rsidR="009133C7">
        <w:t xml:space="preserve">As </w:t>
      </w:r>
      <w:r w:rsidR="00A67EBE">
        <w:t>FinCEN emphasized in the Final R</w:t>
      </w:r>
      <w:r w:rsidR="009133C7">
        <w:t xml:space="preserve">ule, banks lacking a Federal functional regulator </w:t>
      </w:r>
      <w:r w:rsidRPr="0036682E" w:rsidR="009133C7">
        <w:t>are already obligated to comply with a number of BSA regulations</w:t>
      </w:r>
      <w:r w:rsidR="009133C7">
        <w:t>.  In addition,</w:t>
      </w:r>
      <w:r w:rsidRPr="0036682E" w:rsidR="009133C7">
        <w:t xml:space="preserve"> banks lacking a Federal functional regulator </w:t>
      </w:r>
      <w:r w:rsidR="009133C7">
        <w:t>generally</w:t>
      </w:r>
      <w:r w:rsidRPr="0036682E" w:rsidR="009133C7">
        <w:t xml:space="preserve"> are required </w:t>
      </w:r>
      <w:r w:rsidR="009133C7">
        <w:t xml:space="preserve">by state banking regulation and guidance </w:t>
      </w:r>
      <w:r w:rsidRPr="0036682E" w:rsidR="009133C7">
        <w:t xml:space="preserve">to have policies, management oversight, personnel training, and internal compliance review and various procedures and systems in place to comply with </w:t>
      </w:r>
      <w:r w:rsidR="009133C7">
        <w:t>regulation and guidance</w:t>
      </w:r>
      <w:r w:rsidRPr="0036682E" w:rsidR="009133C7">
        <w:t>.</w:t>
      </w:r>
      <w:r w:rsidR="009133C7">
        <w:t xml:space="preserve">  Even banks not subject to these state regulatory requirements must develop such policies and procedures to properly function and comply with their BSA obligations and state banking regulations.  FinCEN views the existence of such policies and procedures as minimizing the amount of time needed to prepa</w:t>
      </w:r>
      <w:r w:rsidR="00A67EBE">
        <w:t>re for implementation of the Final R</w:t>
      </w:r>
      <w:r w:rsidR="009133C7">
        <w:t xml:space="preserve">ule’s requirements.  Accordingly, </w:t>
      </w:r>
      <w:r w:rsidRPr="0036682E" w:rsidR="009133C7">
        <w:t>FinCEN does not expect the tra</w:t>
      </w:r>
      <w:r w:rsidR="00A67EBE">
        <w:t>nsition to comply with the Final R</w:t>
      </w:r>
      <w:r w:rsidRPr="0036682E" w:rsidR="009133C7">
        <w:t>ule to be unreasonably difficult or costly</w:t>
      </w:r>
      <w:r w:rsidR="009133C7">
        <w:t>, and does not believe a two-year implementation period is needed or warranted.  However, in light of these comments, FinCEN has determined that it would be appropriate to provide affected bank</w:t>
      </w:r>
      <w:r w:rsidR="00A67EBE">
        <w:t>s more time to comply with the Final R</w:t>
      </w:r>
      <w:r w:rsidR="009133C7">
        <w:t xml:space="preserve">ule.  </w:t>
      </w:r>
      <w:r w:rsidRPr="0036682E" w:rsidR="009133C7">
        <w:t>Banks lacking a Federal functional regulator</w:t>
      </w:r>
      <w:r w:rsidR="009133C7">
        <w:t>, therefore,</w:t>
      </w:r>
      <w:r w:rsidRPr="0036682E" w:rsidR="009133C7">
        <w:t xml:space="preserve"> will </w:t>
      </w:r>
      <w:r w:rsidR="00A67EBE">
        <w:t>have 180 days from the day the F</w:t>
      </w:r>
      <w:r w:rsidRPr="0036682E" w:rsidR="009133C7">
        <w:t xml:space="preserve">inal </w:t>
      </w:r>
      <w:r w:rsidR="00A67EBE">
        <w:t>R</w:t>
      </w:r>
      <w:r w:rsidRPr="0036682E" w:rsidR="009133C7">
        <w:t>ule is published to be in compliance.</w:t>
      </w:r>
      <w:r w:rsidR="009133C7">
        <w:t xml:space="preserve">  FinCEN believes that this time frame is reasonable and adequate to ensure compliance with these requirements, given the framework that these banks are expected to already have in place.</w:t>
      </w:r>
    </w:p>
    <w:p w:rsidR="009133C7" w:rsidP="009133C7" w:rsidRDefault="009133C7" w14:paraId="15AFE115" w14:textId="77777777">
      <w:pPr>
        <w:ind w:firstLine="720"/>
        <w:rPr>
          <w:color w:val="000000"/>
        </w:rPr>
      </w:pPr>
    </w:p>
    <w:p w:rsidR="00DB580C" w:rsidP="00E12F5D" w:rsidRDefault="00DB580C" w14:paraId="39909794" w14:textId="77777777">
      <w:r>
        <w:t xml:space="preserve">9.  </w:t>
      </w:r>
      <w:r>
        <w:rPr>
          <w:u w:val="single"/>
        </w:rPr>
        <w:t>Explanation of decision to provide any payment or gift to respondents</w:t>
      </w:r>
      <w:r w:rsidR="00E60759">
        <w:rPr>
          <w:u w:val="single"/>
        </w:rPr>
        <w:t>.</w:t>
      </w:r>
    </w:p>
    <w:p w:rsidR="00DB580C" w:rsidP="007D04B3" w:rsidRDefault="00DB580C" w14:paraId="7B13D69D" w14:textId="77777777">
      <w:pPr>
        <w:pStyle w:val="BodyText"/>
        <w:ind w:firstLine="720"/>
        <w:rPr>
          <w:sz w:val="24"/>
        </w:rPr>
      </w:pPr>
      <w:r w:rsidRPr="00B96D75">
        <w:rPr>
          <w:sz w:val="24"/>
        </w:rPr>
        <w:lastRenderedPageBreak/>
        <w:t>No payments or gifts were made to respondents.</w:t>
      </w:r>
    </w:p>
    <w:p w:rsidR="009870DA" w:rsidRDefault="009870DA" w14:paraId="431D3AAC" w14:textId="77777777">
      <w:pPr>
        <w:pStyle w:val="BodyText"/>
        <w:rPr>
          <w:sz w:val="24"/>
        </w:rPr>
      </w:pPr>
      <w:r>
        <w:rPr>
          <w:sz w:val="24"/>
        </w:rPr>
        <w:t xml:space="preserve">10. </w:t>
      </w:r>
      <w:r>
        <w:rPr>
          <w:sz w:val="24"/>
          <w:u w:val="single"/>
        </w:rPr>
        <w:t xml:space="preserve">Assurance of </w:t>
      </w:r>
      <w:r w:rsidR="00632B71">
        <w:rPr>
          <w:sz w:val="24"/>
          <w:u w:val="single"/>
        </w:rPr>
        <w:t>confidentiality of responses</w:t>
      </w:r>
      <w:r w:rsidR="00E60759">
        <w:rPr>
          <w:sz w:val="24"/>
          <w:u w:val="single"/>
        </w:rPr>
        <w:t>.</w:t>
      </w:r>
    </w:p>
    <w:p w:rsidR="009870DA" w:rsidP="007D04B3" w:rsidRDefault="009870DA" w14:paraId="5360B937" w14:textId="77777777">
      <w:pPr>
        <w:widowControl w:val="0"/>
        <w:autoSpaceDE w:val="0"/>
        <w:autoSpaceDN w:val="0"/>
        <w:adjustRightInd w:val="0"/>
        <w:spacing w:before="244" w:line="235" w:lineRule="exact"/>
        <w:ind w:firstLine="720"/>
        <w:rPr>
          <w:szCs w:val="22"/>
        </w:rPr>
      </w:pPr>
      <w:r>
        <w:rPr>
          <w:szCs w:val="22"/>
        </w:rPr>
        <w:t>Information collected under 31 U.S.C. 5318(l) may be made available to appropriate law enforcement agencies and supervisory agencies.</w:t>
      </w:r>
    </w:p>
    <w:p w:rsidR="009870DA" w:rsidRDefault="009870DA" w14:paraId="40AE5FED" w14:textId="77777777">
      <w:pPr>
        <w:spacing w:before="264"/>
        <w:rPr>
          <w:szCs w:val="22"/>
        </w:rPr>
      </w:pPr>
      <w:r>
        <w:rPr>
          <w:szCs w:val="22"/>
        </w:rPr>
        <w:t xml:space="preserve">11. </w:t>
      </w:r>
      <w:r>
        <w:rPr>
          <w:szCs w:val="22"/>
          <w:u w:val="single"/>
        </w:rPr>
        <w:t xml:space="preserve">Justification </w:t>
      </w:r>
      <w:r w:rsidR="00632B71">
        <w:rPr>
          <w:szCs w:val="22"/>
          <w:u w:val="single"/>
        </w:rPr>
        <w:t>of sensitive questions</w:t>
      </w:r>
      <w:r w:rsidR="00E60759">
        <w:rPr>
          <w:szCs w:val="22"/>
          <w:u w:val="single"/>
        </w:rPr>
        <w:t>.</w:t>
      </w:r>
    </w:p>
    <w:p w:rsidRPr="005F573B" w:rsidR="003C3FDB" w:rsidP="007D04B3" w:rsidRDefault="002420DB" w14:paraId="7CA2E4FB" w14:textId="77777777">
      <w:pPr>
        <w:spacing w:before="254"/>
        <w:ind w:firstLine="720"/>
      </w:pPr>
      <w:r w:rsidRPr="00E2224C">
        <w:t>There are no questions of a sensitive nature in the collection of information.</w:t>
      </w:r>
      <w:r w:rsidRPr="00CC30C0" w:rsidR="00E60759">
        <w:t xml:space="preserve">  Any personally identifiable information collected under the B</w:t>
      </w:r>
      <w:r w:rsidR="00E60759">
        <w:t>SA</w:t>
      </w:r>
      <w:r w:rsidRPr="00CC30C0" w:rsidR="00E60759">
        <w:t xml:space="preserve"> is strictly controlled as outlined in FinCEN’s Systems of Records Notice</w:t>
      </w:r>
      <w:r w:rsidR="00E60759">
        <w:t xml:space="preserve">. </w:t>
      </w:r>
      <w:r w:rsidRPr="001502F8" w:rsidR="00E60759">
        <w:rPr>
          <w:i/>
        </w:rPr>
        <w:t>See</w:t>
      </w:r>
      <w:r w:rsidR="00E60759">
        <w:rPr>
          <w:color w:val="1F497D"/>
        </w:rPr>
        <w:t xml:space="preserve"> </w:t>
      </w:r>
      <w:hyperlink w:history="1" r:id="rId8">
        <w:r w:rsidRPr="008134C8" w:rsidR="00E60759">
          <w:rPr>
            <w:rStyle w:val="Hyperlink"/>
          </w:rPr>
          <w:t>https://www.gpo.gov/fdsys/pkg/FR-2014-04-14/pdf/2014-08254.pdf</w:t>
        </w:r>
      </w:hyperlink>
      <w:r w:rsidR="00E60759">
        <w:t>.</w:t>
      </w:r>
    </w:p>
    <w:p w:rsidR="001722D3" w:rsidP="00B9467D" w:rsidRDefault="001722D3" w14:paraId="103761E1" w14:textId="77777777"/>
    <w:p w:rsidR="00012A02" w:rsidP="00C70164" w:rsidRDefault="003C3FDB" w14:paraId="37B2AF68" w14:textId="5A821539">
      <w:pPr>
        <w:rPr>
          <w:u w:val="single"/>
        </w:rPr>
      </w:pPr>
      <w:r>
        <w:t xml:space="preserve">12 &amp; 13.  </w:t>
      </w:r>
      <w:r>
        <w:rPr>
          <w:u w:val="single"/>
        </w:rPr>
        <w:t>Estimated burden &amp; cost of information collection</w:t>
      </w:r>
      <w:r w:rsidR="00E60759">
        <w:rPr>
          <w:u w:val="single"/>
        </w:rPr>
        <w:t>.</w:t>
      </w:r>
    </w:p>
    <w:p w:rsidRPr="00B9467D" w:rsidR="00122800" w:rsidP="00C70164" w:rsidRDefault="00122800" w14:paraId="4B751C06" w14:textId="77777777">
      <w:pPr>
        <w:rPr>
          <w:u w:val="single"/>
        </w:rPr>
      </w:pPr>
    </w:p>
    <w:p w:rsidR="00012A02" w:rsidP="00C70164" w:rsidRDefault="00012A02" w14:paraId="5D000B3C" w14:textId="67DE30EB">
      <w:pPr>
        <w:numPr>
          <w:ilvl w:val="0"/>
          <w:numId w:val="1"/>
        </w:numPr>
        <w:autoSpaceDE w:val="0"/>
        <w:autoSpaceDN w:val="0"/>
        <w:adjustRightInd w:val="0"/>
        <w:ind w:left="360"/>
      </w:pPr>
      <w:r>
        <w:t xml:space="preserve">Estimated Number of </w:t>
      </w:r>
      <w:r>
        <w:rPr>
          <w:rFonts w:eastAsia="MS Mincho"/>
        </w:rPr>
        <w:t>Respondents:</w:t>
      </w:r>
      <w:r>
        <w:t xml:space="preserve">  </w:t>
      </w:r>
      <w:r w:rsidR="007D04B3">
        <w:t>16,001</w:t>
      </w:r>
      <w:r>
        <w:t>.</w:t>
      </w:r>
      <w:r>
        <w:rPr>
          <w:rStyle w:val="FootnoteReference"/>
        </w:rPr>
        <w:footnoteReference w:id="9"/>
      </w:r>
    </w:p>
    <w:p w:rsidR="00012A02" w:rsidP="00C70164" w:rsidRDefault="00012A02" w14:paraId="65BBF08F" w14:textId="77777777">
      <w:pPr>
        <w:autoSpaceDE w:val="0"/>
        <w:autoSpaceDN w:val="0"/>
        <w:adjustRightInd w:val="0"/>
        <w:rPr>
          <w:szCs w:val="18"/>
        </w:rPr>
      </w:pPr>
    </w:p>
    <w:p w:rsidR="00012A02" w:rsidP="00C70164" w:rsidRDefault="00012A02" w14:paraId="76089023" w14:textId="3CE1C696">
      <w:pPr>
        <w:numPr>
          <w:ilvl w:val="0"/>
          <w:numId w:val="1"/>
        </w:numPr>
        <w:autoSpaceDE w:val="0"/>
        <w:autoSpaceDN w:val="0"/>
        <w:adjustRightInd w:val="0"/>
        <w:ind w:left="360"/>
        <w:rPr>
          <w:szCs w:val="18"/>
        </w:rPr>
      </w:pPr>
      <w:r w:rsidRPr="00B830E9">
        <w:rPr>
          <w:szCs w:val="18"/>
        </w:rPr>
        <w:t xml:space="preserve">Estimated Average Annual Recordkeeping Burden per </w:t>
      </w:r>
      <w:r w:rsidR="00D12C32">
        <w:rPr>
          <w:szCs w:val="18"/>
        </w:rPr>
        <w:t xml:space="preserve">Existing </w:t>
      </w:r>
      <w:r w:rsidRPr="00B830E9">
        <w:rPr>
          <w:szCs w:val="18"/>
        </w:rPr>
        <w:t>Responden</w:t>
      </w:r>
      <w:r w:rsidRPr="003A744C">
        <w:rPr>
          <w:szCs w:val="18"/>
        </w:rPr>
        <w:t>t</w:t>
      </w:r>
      <w:r w:rsidR="00D12C32">
        <w:rPr>
          <w:szCs w:val="18"/>
        </w:rPr>
        <w:t xml:space="preserve"> as of 2017</w:t>
      </w:r>
      <w:r>
        <w:rPr>
          <w:szCs w:val="18"/>
        </w:rPr>
        <w:t>:  10 hours.</w:t>
      </w:r>
      <w:r>
        <w:rPr>
          <w:rStyle w:val="FootnoteReference"/>
          <w:szCs w:val="18"/>
        </w:rPr>
        <w:footnoteReference w:id="10"/>
      </w:r>
    </w:p>
    <w:p w:rsidR="00012A02" w:rsidP="00C70164" w:rsidRDefault="00012A02" w14:paraId="418E8806" w14:textId="77777777">
      <w:pPr>
        <w:autoSpaceDE w:val="0"/>
        <w:autoSpaceDN w:val="0"/>
        <w:adjustRightInd w:val="0"/>
        <w:rPr>
          <w:szCs w:val="18"/>
        </w:rPr>
      </w:pPr>
    </w:p>
    <w:p w:rsidRPr="0061261C" w:rsidR="00012A02" w:rsidP="00C70164" w:rsidRDefault="00012A02" w14:paraId="14052B05" w14:textId="38511C0A">
      <w:pPr>
        <w:numPr>
          <w:ilvl w:val="0"/>
          <w:numId w:val="1"/>
        </w:numPr>
        <w:autoSpaceDE w:val="0"/>
        <w:autoSpaceDN w:val="0"/>
        <w:adjustRightInd w:val="0"/>
        <w:ind w:left="360"/>
        <w:rPr>
          <w:szCs w:val="20"/>
        </w:rPr>
      </w:pPr>
      <w:r w:rsidRPr="00B830E9">
        <w:rPr>
          <w:szCs w:val="18"/>
        </w:rPr>
        <w:t xml:space="preserve">Estimated Average Annual Disclosure Burden per </w:t>
      </w:r>
      <w:r w:rsidR="00D12C32">
        <w:rPr>
          <w:szCs w:val="18"/>
        </w:rPr>
        <w:t xml:space="preserve">Existing </w:t>
      </w:r>
      <w:r w:rsidRPr="00B830E9">
        <w:rPr>
          <w:szCs w:val="18"/>
        </w:rPr>
        <w:t>Respondent</w:t>
      </w:r>
      <w:r w:rsidR="00D12C32">
        <w:rPr>
          <w:szCs w:val="18"/>
        </w:rPr>
        <w:t xml:space="preserve"> as of 2017 and per Respondent </w:t>
      </w:r>
      <w:r w:rsidR="008B1F81">
        <w:rPr>
          <w:szCs w:val="18"/>
        </w:rPr>
        <w:t>Add</w:t>
      </w:r>
      <w:r w:rsidR="00D12C32">
        <w:rPr>
          <w:szCs w:val="18"/>
        </w:rPr>
        <w:t>ed by the Final Rule</w:t>
      </w:r>
      <w:r w:rsidRPr="00B830E9">
        <w:rPr>
          <w:szCs w:val="18"/>
        </w:rPr>
        <w:t xml:space="preserve">: </w:t>
      </w:r>
      <w:r w:rsidR="00696031">
        <w:rPr>
          <w:szCs w:val="18"/>
        </w:rPr>
        <w:t xml:space="preserve"> </w:t>
      </w:r>
      <w:r w:rsidRPr="00B830E9">
        <w:rPr>
          <w:szCs w:val="18"/>
        </w:rPr>
        <w:t>1 hour.</w:t>
      </w:r>
      <w:r w:rsidR="00D12C32">
        <w:rPr>
          <w:rStyle w:val="FootnoteReference"/>
          <w:szCs w:val="18"/>
        </w:rPr>
        <w:footnoteReference w:id="11"/>
      </w:r>
    </w:p>
    <w:p w:rsidR="0061261C" w:rsidP="00F3577F" w:rsidRDefault="0061261C" w14:paraId="3F9A583A" w14:textId="77777777">
      <w:pPr>
        <w:pStyle w:val="ListParagraph"/>
        <w:rPr>
          <w:szCs w:val="20"/>
        </w:rPr>
      </w:pPr>
    </w:p>
    <w:p w:rsidRPr="00B830E9" w:rsidR="0061261C" w:rsidP="00C70164" w:rsidRDefault="0061261C" w14:paraId="6C72E841" w14:textId="15167000">
      <w:pPr>
        <w:numPr>
          <w:ilvl w:val="0"/>
          <w:numId w:val="1"/>
        </w:numPr>
        <w:autoSpaceDE w:val="0"/>
        <w:autoSpaceDN w:val="0"/>
        <w:adjustRightInd w:val="0"/>
        <w:ind w:left="360"/>
        <w:rPr>
          <w:szCs w:val="20"/>
        </w:rPr>
      </w:pPr>
      <w:r>
        <w:rPr>
          <w:szCs w:val="20"/>
        </w:rPr>
        <w:t xml:space="preserve">Estimated Average </w:t>
      </w:r>
      <w:r w:rsidR="00BD0583">
        <w:rPr>
          <w:szCs w:val="20"/>
        </w:rPr>
        <w:t xml:space="preserve">Annual Burden for </w:t>
      </w:r>
      <w:r>
        <w:rPr>
          <w:szCs w:val="20"/>
        </w:rPr>
        <w:t xml:space="preserve">CIP Verification per Respondent </w:t>
      </w:r>
      <w:r w:rsidR="008B1F81">
        <w:rPr>
          <w:szCs w:val="20"/>
        </w:rPr>
        <w:t>Add</w:t>
      </w:r>
      <w:r>
        <w:rPr>
          <w:szCs w:val="20"/>
        </w:rPr>
        <w:t xml:space="preserve">ed by the Final Rule: </w:t>
      </w:r>
      <w:r w:rsidR="006D56D6">
        <w:rPr>
          <w:szCs w:val="20"/>
        </w:rPr>
        <w:t xml:space="preserve"> </w:t>
      </w:r>
      <w:r w:rsidR="00F3577F">
        <w:rPr>
          <w:szCs w:val="20"/>
        </w:rPr>
        <w:t>6</w:t>
      </w:r>
      <w:r w:rsidR="00BB005A">
        <w:rPr>
          <w:szCs w:val="20"/>
        </w:rPr>
        <w:t>2.5 hours</w:t>
      </w:r>
      <w:r w:rsidR="00F3577F">
        <w:rPr>
          <w:szCs w:val="20"/>
        </w:rPr>
        <w:t>.</w:t>
      </w:r>
      <w:r w:rsidR="00767E2F">
        <w:rPr>
          <w:rStyle w:val="FootnoteReference"/>
          <w:szCs w:val="20"/>
        </w:rPr>
        <w:footnoteReference w:id="12"/>
      </w:r>
    </w:p>
    <w:p w:rsidRPr="00B830E9" w:rsidR="00012A02" w:rsidP="00C70164" w:rsidRDefault="00012A02" w14:paraId="25501451" w14:textId="77777777">
      <w:pPr>
        <w:autoSpaceDE w:val="0"/>
        <w:autoSpaceDN w:val="0"/>
        <w:adjustRightInd w:val="0"/>
        <w:rPr>
          <w:szCs w:val="18"/>
        </w:rPr>
      </w:pPr>
    </w:p>
    <w:p w:rsidR="00805E94" w:rsidP="00464BD7" w:rsidRDefault="00012A02" w14:paraId="0C28356E" w14:textId="092D95AB">
      <w:pPr>
        <w:numPr>
          <w:ilvl w:val="0"/>
          <w:numId w:val="1"/>
        </w:numPr>
        <w:autoSpaceDE w:val="0"/>
        <w:autoSpaceDN w:val="0"/>
        <w:adjustRightInd w:val="0"/>
        <w:ind w:left="360"/>
        <w:rPr>
          <w:rFonts w:eastAsia="MS Mincho"/>
        </w:rPr>
      </w:pPr>
      <w:r w:rsidRPr="00B830E9">
        <w:rPr>
          <w:szCs w:val="18"/>
        </w:rPr>
        <w:t>Estimated Total Annual Respondent Burden:</w:t>
      </w:r>
      <w:r w:rsidRPr="00B830E9">
        <w:rPr>
          <w:i/>
          <w:iCs/>
          <w:szCs w:val="18"/>
        </w:rPr>
        <w:t xml:space="preserve"> </w:t>
      </w:r>
      <w:r w:rsidRPr="00B830E9">
        <w:rPr>
          <w:szCs w:val="18"/>
        </w:rPr>
        <w:t xml:space="preserve"> 1</w:t>
      </w:r>
      <w:r w:rsidR="00F3577F">
        <w:rPr>
          <w:szCs w:val="18"/>
        </w:rPr>
        <w:t>78,205</w:t>
      </w:r>
      <w:r>
        <w:rPr>
          <w:szCs w:val="18"/>
        </w:rPr>
        <w:t xml:space="preserve"> hours.</w:t>
      </w:r>
      <w:r>
        <w:rPr>
          <w:rStyle w:val="FootnoteReference"/>
          <w:szCs w:val="18"/>
        </w:rPr>
        <w:footnoteReference w:id="13"/>
      </w:r>
    </w:p>
    <w:p w:rsidR="00805E94" w:rsidP="00464BD7" w:rsidRDefault="00805E94" w14:paraId="7D9673CE" w14:textId="77777777">
      <w:pPr>
        <w:pStyle w:val="ListParagraph"/>
      </w:pPr>
    </w:p>
    <w:p w:rsidRPr="00805E94" w:rsidR="00805E94" w:rsidP="00464BD7" w:rsidRDefault="00805E94" w14:paraId="0FE5A48B" w14:textId="2B6DD887">
      <w:pPr>
        <w:numPr>
          <w:ilvl w:val="0"/>
          <w:numId w:val="1"/>
        </w:numPr>
        <w:autoSpaceDE w:val="0"/>
        <w:autoSpaceDN w:val="0"/>
        <w:adjustRightInd w:val="0"/>
        <w:ind w:left="360"/>
        <w:rPr>
          <w:rFonts w:eastAsia="MS Mincho"/>
        </w:rPr>
      </w:pPr>
      <w:r w:rsidRPr="00D61A01">
        <w:t xml:space="preserve">Estimated </w:t>
      </w:r>
      <w:r>
        <w:t>B</w:t>
      </w:r>
      <w:r w:rsidRPr="00D61A01">
        <w:t xml:space="preserve">urden </w:t>
      </w:r>
      <w:r>
        <w:t>C</w:t>
      </w:r>
      <w:r w:rsidRPr="00D61A01">
        <w:t>ost</w:t>
      </w:r>
      <w:r>
        <w:t xml:space="preserve">: </w:t>
      </w:r>
      <w:r w:rsidR="00122800">
        <w:t xml:space="preserve"> </w:t>
      </w:r>
      <w:r w:rsidR="00511883">
        <w:t>178,205</w:t>
      </w:r>
      <w:r>
        <w:t xml:space="preserve"> hours X $</w:t>
      </w:r>
      <w:r w:rsidR="001E1140">
        <w:t>49.80</w:t>
      </w:r>
      <w:r>
        <w:t xml:space="preserve"> per hour = $</w:t>
      </w:r>
      <w:r w:rsidR="001E1140">
        <w:t>8,874,609</w:t>
      </w:r>
      <w:r>
        <w:t>.</w:t>
      </w:r>
      <w:r w:rsidRPr="003A42E4">
        <w:rPr>
          <w:rStyle w:val="FootnoteReference"/>
          <w:rFonts w:eastAsia="MS Mincho"/>
          <w:szCs w:val="20"/>
        </w:rPr>
        <w:footnoteReference w:id="14"/>
      </w:r>
      <w:r w:rsidRPr="00805E94">
        <w:rPr>
          <w:rStyle w:val="FootnoteReference"/>
          <w:rFonts w:eastAsia="MS Mincho"/>
          <w:szCs w:val="20"/>
        </w:rPr>
        <w:t xml:space="preserve">  </w:t>
      </w:r>
    </w:p>
    <w:p w:rsidR="003C3FDB" w:rsidP="00464BD7" w:rsidRDefault="003C3FDB" w14:paraId="77E621F7" w14:textId="77777777">
      <w:pPr>
        <w:spacing w:before="307"/>
        <w:ind w:firstLine="360"/>
      </w:pPr>
    </w:p>
    <w:tbl>
      <w:tblPr>
        <w:tblW w:w="11340"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00"/>
        <w:gridCol w:w="1620"/>
        <w:gridCol w:w="2070"/>
        <w:gridCol w:w="1350"/>
        <w:gridCol w:w="1350"/>
        <w:gridCol w:w="1350"/>
      </w:tblGrid>
      <w:tr w:rsidR="00CD52FB" w:rsidTr="00A66B07" w14:paraId="44581523" w14:textId="77777777">
        <w:trPr>
          <w:trHeight w:val="865"/>
          <w:tblHeader/>
        </w:trPr>
        <w:tc>
          <w:tcPr>
            <w:tcW w:w="3600"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00CD52FB" w:rsidP="00A66B07" w:rsidRDefault="00CD52FB" w14:paraId="52B1E6C8" w14:textId="77777777">
            <w:pPr>
              <w:jc w:val="center"/>
              <w:rPr>
                <w:b/>
              </w:rPr>
            </w:pPr>
            <w:r>
              <w:rPr>
                <w:b/>
              </w:rPr>
              <w:t>Information Collection</w:t>
            </w:r>
          </w:p>
        </w:tc>
        <w:tc>
          <w:tcPr>
            <w:tcW w:w="1620"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00CD52FB" w:rsidP="00A66B07" w:rsidRDefault="00CD52FB" w14:paraId="0DEF6FC9" w14:textId="301880D2">
            <w:pPr>
              <w:jc w:val="center"/>
              <w:rPr>
                <w:b/>
              </w:rPr>
            </w:pPr>
            <w:r>
              <w:rPr>
                <w:b/>
              </w:rPr>
              <w:t>Number of Respondents</w:t>
            </w:r>
          </w:p>
        </w:tc>
        <w:tc>
          <w:tcPr>
            <w:tcW w:w="2070"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00CD52FB" w:rsidP="00A66B07" w:rsidRDefault="00CD52FB" w14:paraId="35A01F6D" w14:textId="3712C099">
            <w:pPr>
              <w:jc w:val="center"/>
              <w:rPr>
                <w:b/>
              </w:rPr>
            </w:pPr>
            <w:r>
              <w:rPr>
                <w:b/>
              </w:rPr>
              <w:t>Annual Number of Responses per Respondent</w:t>
            </w:r>
          </w:p>
        </w:tc>
        <w:tc>
          <w:tcPr>
            <w:tcW w:w="1350"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00CD52FB" w:rsidP="00A66B07" w:rsidRDefault="00CD52FB" w14:paraId="5AE27548" w14:textId="77777777">
            <w:pPr>
              <w:jc w:val="center"/>
              <w:rPr>
                <w:b/>
              </w:rPr>
            </w:pPr>
            <w:r>
              <w:rPr>
                <w:b/>
              </w:rPr>
              <w:t>Total Responses</w:t>
            </w:r>
          </w:p>
        </w:tc>
        <w:tc>
          <w:tcPr>
            <w:tcW w:w="1350"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00CD52FB" w:rsidP="00A66B07" w:rsidRDefault="00CD52FB" w14:paraId="3CBA3F72" w14:textId="77777777">
            <w:pPr>
              <w:jc w:val="center"/>
              <w:rPr>
                <w:b/>
              </w:rPr>
            </w:pPr>
            <w:r>
              <w:rPr>
                <w:b/>
              </w:rPr>
              <w:t>Hours per Response</w:t>
            </w:r>
          </w:p>
        </w:tc>
        <w:tc>
          <w:tcPr>
            <w:tcW w:w="1350"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00CD52FB" w:rsidP="00A66B07" w:rsidRDefault="00CD52FB" w14:paraId="5020CEA8" w14:textId="77777777">
            <w:pPr>
              <w:jc w:val="center"/>
              <w:rPr>
                <w:b/>
              </w:rPr>
            </w:pPr>
            <w:r>
              <w:rPr>
                <w:b/>
              </w:rPr>
              <w:t>Total Hours</w:t>
            </w:r>
          </w:p>
        </w:tc>
      </w:tr>
      <w:tr w:rsidR="00CD52FB" w:rsidTr="00A66B07" w14:paraId="6F26F7DB" w14:textId="77777777">
        <w:trPr>
          <w:trHeight w:val="651"/>
        </w:trPr>
        <w:tc>
          <w:tcPr>
            <w:tcW w:w="3600" w:type="dxa"/>
            <w:tcBorders>
              <w:top w:val="single" w:color="auto" w:sz="4" w:space="0"/>
              <w:left w:val="single" w:color="auto" w:sz="4" w:space="0"/>
              <w:bottom w:val="single" w:color="auto" w:sz="4" w:space="0"/>
              <w:right w:val="single" w:color="auto" w:sz="4" w:space="0"/>
            </w:tcBorders>
            <w:hideMark/>
          </w:tcPr>
          <w:p w:rsidR="00CD52FB" w:rsidRDefault="00CD52FB" w14:paraId="022FBB0E" w14:textId="5726CECC">
            <w:r>
              <w:t>Update and maintain CIP for respondents as of 2017</w:t>
            </w:r>
          </w:p>
        </w:tc>
        <w:tc>
          <w:tcPr>
            <w:tcW w:w="1620" w:type="dxa"/>
            <w:tcBorders>
              <w:top w:val="single" w:color="auto" w:sz="4" w:space="0"/>
              <w:left w:val="single" w:color="auto" w:sz="4" w:space="0"/>
              <w:bottom w:val="single" w:color="auto" w:sz="4" w:space="0"/>
              <w:right w:val="single" w:color="auto" w:sz="4" w:space="0"/>
            </w:tcBorders>
            <w:hideMark/>
          </w:tcPr>
          <w:p w:rsidR="00CD52FB" w:rsidP="00B9467D" w:rsidRDefault="00CD52FB" w14:paraId="7C27CBAB" w14:textId="3501E317">
            <w:pPr>
              <w:jc w:val="center"/>
            </w:pPr>
            <w:r>
              <w:t>15,960</w:t>
            </w:r>
          </w:p>
        </w:tc>
        <w:tc>
          <w:tcPr>
            <w:tcW w:w="2070" w:type="dxa"/>
            <w:tcBorders>
              <w:top w:val="single" w:color="auto" w:sz="4" w:space="0"/>
              <w:left w:val="single" w:color="auto" w:sz="4" w:space="0"/>
              <w:bottom w:val="single" w:color="auto" w:sz="4" w:space="0"/>
              <w:right w:val="single" w:color="auto" w:sz="4" w:space="0"/>
            </w:tcBorders>
            <w:hideMark/>
          </w:tcPr>
          <w:p w:rsidR="00CD52FB" w:rsidP="00B9467D" w:rsidRDefault="00CD52FB" w14:paraId="1DBD592F" w14:textId="77777777">
            <w:pPr>
              <w:jc w:val="center"/>
            </w:pPr>
            <w:r>
              <w:t>1</w:t>
            </w:r>
          </w:p>
        </w:tc>
        <w:tc>
          <w:tcPr>
            <w:tcW w:w="1350" w:type="dxa"/>
            <w:tcBorders>
              <w:top w:val="single" w:color="auto" w:sz="4" w:space="0"/>
              <w:left w:val="single" w:color="auto" w:sz="4" w:space="0"/>
              <w:bottom w:val="single" w:color="auto" w:sz="4" w:space="0"/>
              <w:right w:val="single" w:color="auto" w:sz="4" w:space="0"/>
            </w:tcBorders>
            <w:hideMark/>
          </w:tcPr>
          <w:p w:rsidR="00CD52FB" w:rsidP="00B9467D" w:rsidRDefault="00CD52FB" w14:paraId="04132670" w14:textId="0CB85945">
            <w:pPr>
              <w:jc w:val="center"/>
            </w:pPr>
            <w:r>
              <w:t>15,960</w:t>
            </w:r>
          </w:p>
        </w:tc>
        <w:tc>
          <w:tcPr>
            <w:tcW w:w="1350" w:type="dxa"/>
            <w:tcBorders>
              <w:top w:val="single" w:color="auto" w:sz="4" w:space="0"/>
              <w:left w:val="single" w:color="auto" w:sz="4" w:space="0"/>
              <w:bottom w:val="single" w:color="auto" w:sz="4" w:space="0"/>
              <w:right w:val="single" w:color="auto" w:sz="4" w:space="0"/>
            </w:tcBorders>
            <w:hideMark/>
          </w:tcPr>
          <w:p w:rsidR="00CD52FB" w:rsidP="00B9467D" w:rsidRDefault="00CD52FB" w14:paraId="6DB6394D" w14:textId="6599A13C">
            <w:pPr>
              <w:jc w:val="center"/>
            </w:pPr>
            <w:r>
              <w:t>10</w:t>
            </w:r>
          </w:p>
        </w:tc>
        <w:tc>
          <w:tcPr>
            <w:tcW w:w="1350" w:type="dxa"/>
            <w:tcBorders>
              <w:top w:val="single" w:color="auto" w:sz="4" w:space="0"/>
              <w:left w:val="single" w:color="auto" w:sz="4" w:space="0"/>
              <w:bottom w:val="single" w:color="auto" w:sz="4" w:space="0"/>
              <w:right w:val="single" w:color="auto" w:sz="4" w:space="0"/>
            </w:tcBorders>
            <w:hideMark/>
          </w:tcPr>
          <w:p w:rsidR="00CD52FB" w:rsidP="00B9467D" w:rsidRDefault="00CD52FB" w14:paraId="02C13C08" w14:textId="320D9173">
            <w:pPr>
              <w:jc w:val="center"/>
            </w:pPr>
            <w:r>
              <w:rPr>
                <w:szCs w:val="18"/>
              </w:rPr>
              <w:t>159,600</w:t>
            </w:r>
          </w:p>
        </w:tc>
      </w:tr>
      <w:tr w:rsidR="00CD52FB" w:rsidTr="00A66B07" w14:paraId="7EC68C39" w14:textId="77777777">
        <w:trPr>
          <w:trHeight w:val="651"/>
        </w:trPr>
        <w:tc>
          <w:tcPr>
            <w:tcW w:w="3600" w:type="dxa"/>
            <w:tcBorders>
              <w:top w:val="single" w:color="auto" w:sz="4" w:space="0"/>
              <w:left w:val="single" w:color="auto" w:sz="4" w:space="0"/>
              <w:bottom w:val="single" w:color="auto" w:sz="4" w:space="0"/>
              <w:right w:val="single" w:color="auto" w:sz="4" w:space="0"/>
            </w:tcBorders>
          </w:tcPr>
          <w:p w:rsidR="00CD52FB" w:rsidRDefault="00CD52FB" w14:paraId="608F202E" w14:textId="257D3DC7">
            <w:r>
              <w:t xml:space="preserve">Implement CIP for respondents </w:t>
            </w:r>
            <w:r w:rsidR="008B1F81">
              <w:t>add</w:t>
            </w:r>
            <w:r>
              <w:t>ed by the Final Rule</w:t>
            </w:r>
          </w:p>
        </w:tc>
        <w:tc>
          <w:tcPr>
            <w:tcW w:w="1620" w:type="dxa"/>
            <w:tcBorders>
              <w:top w:val="single" w:color="auto" w:sz="4" w:space="0"/>
              <w:left w:val="single" w:color="auto" w:sz="4" w:space="0"/>
              <w:bottom w:val="single" w:color="auto" w:sz="4" w:space="0"/>
              <w:right w:val="single" w:color="auto" w:sz="4" w:space="0"/>
            </w:tcBorders>
          </w:tcPr>
          <w:p w:rsidR="00CD52FB" w:rsidP="00B9467D" w:rsidRDefault="00CD52FB" w14:paraId="6DD26298" w14:textId="6EBD6DBD">
            <w:pPr>
              <w:jc w:val="center"/>
            </w:pPr>
            <w:r>
              <w:t>41</w:t>
            </w:r>
          </w:p>
        </w:tc>
        <w:tc>
          <w:tcPr>
            <w:tcW w:w="2070" w:type="dxa"/>
            <w:tcBorders>
              <w:top w:val="single" w:color="auto" w:sz="4" w:space="0"/>
              <w:left w:val="single" w:color="auto" w:sz="4" w:space="0"/>
              <w:bottom w:val="single" w:color="auto" w:sz="4" w:space="0"/>
              <w:right w:val="single" w:color="auto" w:sz="4" w:space="0"/>
            </w:tcBorders>
          </w:tcPr>
          <w:p w:rsidR="00CD52FB" w:rsidP="00B9467D" w:rsidRDefault="00CD52FB" w14:paraId="3B1D51E9" w14:textId="30896121">
            <w:pPr>
              <w:jc w:val="center"/>
            </w:pPr>
            <w:r>
              <w:t>1</w:t>
            </w:r>
          </w:p>
        </w:tc>
        <w:tc>
          <w:tcPr>
            <w:tcW w:w="1350" w:type="dxa"/>
            <w:tcBorders>
              <w:top w:val="single" w:color="auto" w:sz="4" w:space="0"/>
              <w:left w:val="single" w:color="auto" w:sz="4" w:space="0"/>
              <w:bottom w:val="single" w:color="auto" w:sz="4" w:space="0"/>
              <w:right w:val="single" w:color="auto" w:sz="4" w:space="0"/>
            </w:tcBorders>
          </w:tcPr>
          <w:p w:rsidR="00CD52FB" w:rsidP="00B9467D" w:rsidRDefault="0006746B" w14:paraId="6EDC38AD" w14:textId="435305BA">
            <w:pPr>
              <w:jc w:val="center"/>
            </w:pPr>
            <w:r>
              <w:t>4</w:t>
            </w:r>
            <w:bookmarkStart w:name="_GoBack" w:id="0"/>
            <w:bookmarkEnd w:id="0"/>
            <w:r w:rsidR="00CD52FB">
              <w:t>1</w:t>
            </w:r>
          </w:p>
        </w:tc>
        <w:tc>
          <w:tcPr>
            <w:tcW w:w="1350" w:type="dxa"/>
            <w:tcBorders>
              <w:top w:val="single" w:color="auto" w:sz="4" w:space="0"/>
              <w:left w:val="single" w:color="auto" w:sz="4" w:space="0"/>
              <w:bottom w:val="single" w:color="auto" w:sz="4" w:space="0"/>
              <w:right w:val="single" w:color="auto" w:sz="4" w:space="0"/>
            </w:tcBorders>
          </w:tcPr>
          <w:p w:rsidR="00CD52FB" w:rsidP="00B9467D" w:rsidRDefault="00CD52FB" w14:paraId="1177274E" w14:textId="599519F3">
            <w:pPr>
              <w:jc w:val="center"/>
            </w:pPr>
            <w:r>
              <w:t>1</w:t>
            </w:r>
          </w:p>
        </w:tc>
        <w:tc>
          <w:tcPr>
            <w:tcW w:w="1350" w:type="dxa"/>
            <w:tcBorders>
              <w:top w:val="single" w:color="auto" w:sz="4" w:space="0"/>
              <w:left w:val="single" w:color="auto" w:sz="4" w:space="0"/>
              <w:bottom w:val="single" w:color="auto" w:sz="4" w:space="0"/>
              <w:right w:val="single" w:color="auto" w:sz="4" w:space="0"/>
            </w:tcBorders>
          </w:tcPr>
          <w:p w:rsidR="00CD52FB" w:rsidP="00B9467D" w:rsidRDefault="00CD52FB" w14:paraId="232BA8E4" w14:textId="2354F33E">
            <w:pPr>
              <w:jc w:val="center"/>
              <w:rPr>
                <w:szCs w:val="18"/>
              </w:rPr>
            </w:pPr>
            <w:r>
              <w:rPr>
                <w:szCs w:val="18"/>
              </w:rPr>
              <w:t>41</w:t>
            </w:r>
          </w:p>
        </w:tc>
      </w:tr>
      <w:tr w:rsidR="00CD52FB" w:rsidTr="00A66B07" w14:paraId="12597803" w14:textId="77777777">
        <w:trPr>
          <w:trHeight w:val="651"/>
        </w:trPr>
        <w:tc>
          <w:tcPr>
            <w:tcW w:w="3600" w:type="dxa"/>
            <w:tcBorders>
              <w:top w:val="single" w:color="auto" w:sz="4" w:space="0"/>
              <w:left w:val="single" w:color="auto" w:sz="4" w:space="0"/>
              <w:bottom w:val="single" w:color="auto" w:sz="4" w:space="0"/>
              <w:right w:val="single" w:color="auto" w:sz="4" w:space="0"/>
            </w:tcBorders>
          </w:tcPr>
          <w:p w:rsidR="00CD52FB" w:rsidRDefault="00CD52FB" w14:paraId="3DDC1B62" w14:textId="50B7C193">
            <w:r>
              <w:t>Provide customer n</w:t>
            </w:r>
            <w:r w:rsidRPr="00216DA7">
              <w:t>otification</w:t>
            </w:r>
            <w:r>
              <w:t xml:space="preserve"> for respondents as of 2017 and respondents </w:t>
            </w:r>
            <w:r w:rsidR="008B1F81">
              <w:t>add</w:t>
            </w:r>
            <w:r>
              <w:t>ed by the Final Rule</w:t>
            </w:r>
          </w:p>
        </w:tc>
        <w:tc>
          <w:tcPr>
            <w:tcW w:w="1620" w:type="dxa"/>
            <w:tcBorders>
              <w:top w:val="single" w:color="auto" w:sz="4" w:space="0"/>
              <w:left w:val="single" w:color="auto" w:sz="4" w:space="0"/>
              <w:bottom w:val="single" w:color="auto" w:sz="4" w:space="0"/>
              <w:right w:val="single" w:color="auto" w:sz="4" w:space="0"/>
            </w:tcBorders>
          </w:tcPr>
          <w:p w:rsidR="00CD52FB" w:rsidP="00B9467D" w:rsidRDefault="00CD52FB" w14:paraId="40135AEA" w14:textId="12B3FF9A">
            <w:pPr>
              <w:jc w:val="center"/>
            </w:pPr>
            <w:r>
              <w:t>16,001</w:t>
            </w:r>
          </w:p>
        </w:tc>
        <w:tc>
          <w:tcPr>
            <w:tcW w:w="2070" w:type="dxa"/>
            <w:tcBorders>
              <w:top w:val="single" w:color="auto" w:sz="4" w:space="0"/>
              <w:left w:val="single" w:color="auto" w:sz="4" w:space="0"/>
              <w:bottom w:val="single" w:color="auto" w:sz="4" w:space="0"/>
              <w:right w:val="single" w:color="auto" w:sz="4" w:space="0"/>
            </w:tcBorders>
          </w:tcPr>
          <w:p w:rsidR="00CD52FB" w:rsidP="00B9467D" w:rsidRDefault="00CD52FB" w14:paraId="41939475" w14:textId="7B215642">
            <w:pPr>
              <w:jc w:val="center"/>
            </w:pPr>
            <w:r>
              <w:t>1</w:t>
            </w:r>
          </w:p>
        </w:tc>
        <w:tc>
          <w:tcPr>
            <w:tcW w:w="1350" w:type="dxa"/>
            <w:tcBorders>
              <w:top w:val="single" w:color="auto" w:sz="4" w:space="0"/>
              <w:left w:val="single" w:color="auto" w:sz="4" w:space="0"/>
              <w:bottom w:val="single" w:color="auto" w:sz="4" w:space="0"/>
              <w:right w:val="single" w:color="auto" w:sz="4" w:space="0"/>
            </w:tcBorders>
          </w:tcPr>
          <w:p w:rsidR="00CD52FB" w:rsidP="00B9467D" w:rsidRDefault="00CD52FB" w14:paraId="55B310FD" w14:textId="5E353A8E">
            <w:pPr>
              <w:jc w:val="center"/>
            </w:pPr>
            <w:r>
              <w:t>16,001</w:t>
            </w:r>
          </w:p>
        </w:tc>
        <w:tc>
          <w:tcPr>
            <w:tcW w:w="1350" w:type="dxa"/>
            <w:tcBorders>
              <w:top w:val="single" w:color="auto" w:sz="4" w:space="0"/>
              <w:left w:val="single" w:color="auto" w:sz="4" w:space="0"/>
              <w:bottom w:val="single" w:color="auto" w:sz="4" w:space="0"/>
              <w:right w:val="single" w:color="auto" w:sz="4" w:space="0"/>
            </w:tcBorders>
          </w:tcPr>
          <w:p w:rsidR="00CD52FB" w:rsidP="00B9467D" w:rsidRDefault="00CD52FB" w14:paraId="519F947F" w14:textId="79657162">
            <w:pPr>
              <w:jc w:val="center"/>
            </w:pPr>
            <w:r>
              <w:t>1</w:t>
            </w:r>
          </w:p>
        </w:tc>
        <w:tc>
          <w:tcPr>
            <w:tcW w:w="1350" w:type="dxa"/>
            <w:tcBorders>
              <w:top w:val="single" w:color="auto" w:sz="4" w:space="0"/>
              <w:left w:val="single" w:color="auto" w:sz="4" w:space="0"/>
              <w:bottom w:val="single" w:color="auto" w:sz="4" w:space="0"/>
              <w:right w:val="single" w:color="auto" w:sz="4" w:space="0"/>
            </w:tcBorders>
          </w:tcPr>
          <w:p w:rsidRPr="00B830E9" w:rsidR="00CD52FB" w:rsidP="00B9467D" w:rsidRDefault="00CD52FB" w14:paraId="7210BD20" w14:textId="397B098C">
            <w:pPr>
              <w:jc w:val="center"/>
              <w:rPr>
                <w:szCs w:val="18"/>
              </w:rPr>
            </w:pPr>
            <w:r>
              <w:rPr>
                <w:szCs w:val="18"/>
              </w:rPr>
              <w:t>16,001</w:t>
            </w:r>
          </w:p>
        </w:tc>
      </w:tr>
      <w:tr w:rsidR="00CD52FB" w:rsidTr="00A66B07" w14:paraId="0E9BD5C9" w14:textId="77777777">
        <w:trPr>
          <w:trHeight w:val="651"/>
        </w:trPr>
        <w:tc>
          <w:tcPr>
            <w:tcW w:w="3600" w:type="dxa"/>
            <w:tcBorders>
              <w:top w:val="single" w:color="auto" w:sz="4" w:space="0"/>
              <w:left w:val="single" w:color="auto" w:sz="4" w:space="0"/>
              <w:bottom w:val="single" w:color="auto" w:sz="4" w:space="0"/>
              <w:right w:val="single" w:color="auto" w:sz="4" w:space="0"/>
            </w:tcBorders>
          </w:tcPr>
          <w:p w:rsidR="00CD52FB" w:rsidRDefault="00CD52FB" w14:paraId="58A7E562" w14:textId="348A0CC7">
            <w:r>
              <w:t xml:space="preserve">CIP identification verification for respondents </w:t>
            </w:r>
            <w:r w:rsidR="008B1F81">
              <w:t>add</w:t>
            </w:r>
            <w:r>
              <w:t>ed by the Final Rule</w:t>
            </w:r>
          </w:p>
        </w:tc>
        <w:tc>
          <w:tcPr>
            <w:tcW w:w="1620" w:type="dxa"/>
            <w:tcBorders>
              <w:top w:val="single" w:color="auto" w:sz="4" w:space="0"/>
              <w:left w:val="single" w:color="auto" w:sz="4" w:space="0"/>
              <w:bottom w:val="single" w:color="auto" w:sz="4" w:space="0"/>
              <w:right w:val="single" w:color="auto" w:sz="4" w:space="0"/>
            </w:tcBorders>
          </w:tcPr>
          <w:p w:rsidR="00CD52FB" w:rsidP="00B9467D" w:rsidRDefault="00CD52FB" w14:paraId="3C17C036" w14:textId="712AC70D">
            <w:pPr>
              <w:jc w:val="center"/>
            </w:pPr>
            <w:r>
              <w:t>41</w:t>
            </w:r>
          </w:p>
        </w:tc>
        <w:tc>
          <w:tcPr>
            <w:tcW w:w="2070" w:type="dxa"/>
            <w:tcBorders>
              <w:top w:val="single" w:color="auto" w:sz="4" w:space="0"/>
              <w:left w:val="single" w:color="auto" w:sz="4" w:space="0"/>
              <w:bottom w:val="single" w:color="auto" w:sz="4" w:space="0"/>
              <w:right w:val="single" w:color="auto" w:sz="4" w:space="0"/>
            </w:tcBorders>
          </w:tcPr>
          <w:p w:rsidR="00CD52FB" w:rsidP="00B9467D" w:rsidRDefault="00CD52FB" w14:paraId="7635A8C3" w14:textId="498A9FA9">
            <w:pPr>
              <w:jc w:val="center"/>
            </w:pPr>
            <w:r>
              <w:t>750</w:t>
            </w:r>
          </w:p>
        </w:tc>
        <w:tc>
          <w:tcPr>
            <w:tcW w:w="1350" w:type="dxa"/>
            <w:tcBorders>
              <w:top w:val="single" w:color="auto" w:sz="4" w:space="0"/>
              <w:left w:val="single" w:color="auto" w:sz="4" w:space="0"/>
              <w:bottom w:val="single" w:color="auto" w:sz="4" w:space="0"/>
              <w:right w:val="single" w:color="auto" w:sz="4" w:space="0"/>
            </w:tcBorders>
          </w:tcPr>
          <w:p w:rsidR="00CD52FB" w:rsidP="00B9467D" w:rsidRDefault="00CD52FB" w14:paraId="0398362E" w14:textId="196485C4">
            <w:pPr>
              <w:jc w:val="center"/>
            </w:pPr>
            <w:r>
              <w:t>30,750</w:t>
            </w:r>
          </w:p>
        </w:tc>
        <w:tc>
          <w:tcPr>
            <w:tcW w:w="1350" w:type="dxa"/>
            <w:tcBorders>
              <w:top w:val="single" w:color="auto" w:sz="4" w:space="0"/>
              <w:left w:val="single" w:color="auto" w:sz="4" w:space="0"/>
              <w:bottom w:val="single" w:color="auto" w:sz="4" w:space="0"/>
              <w:right w:val="single" w:color="auto" w:sz="4" w:space="0"/>
            </w:tcBorders>
          </w:tcPr>
          <w:p w:rsidR="00CD52FB" w:rsidP="00B9467D" w:rsidRDefault="00CD52FB" w14:paraId="01634793" w14:textId="46423A48">
            <w:pPr>
              <w:jc w:val="center"/>
            </w:pPr>
            <w:r>
              <w:t>5 minutes</w:t>
            </w:r>
          </w:p>
        </w:tc>
        <w:tc>
          <w:tcPr>
            <w:tcW w:w="1350" w:type="dxa"/>
            <w:tcBorders>
              <w:top w:val="single" w:color="auto" w:sz="4" w:space="0"/>
              <w:left w:val="single" w:color="auto" w:sz="4" w:space="0"/>
              <w:bottom w:val="single" w:color="auto" w:sz="4" w:space="0"/>
              <w:right w:val="single" w:color="auto" w:sz="4" w:space="0"/>
            </w:tcBorders>
          </w:tcPr>
          <w:p w:rsidRPr="00B830E9" w:rsidR="00CD52FB" w:rsidP="00B9467D" w:rsidRDefault="00CD52FB" w14:paraId="58BD831B" w14:textId="77B0CB04">
            <w:pPr>
              <w:jc w:val="center"/>
              <w:rPr>
                <w:szCs w:val="18"/>
              </w:rPr>
            </w:pPr>
            <w:r>
              <w:rPr>
                <w:szCs w:val="18"/>
              </w:rPr>
              <w:t>2,563</w:t>
            </w:r>
          </w:p>
        </w:tc>
      </w:tr>
      <w:tr w:rsidR="00CD52FB" w:rsidTr="00A66B07" w14:paraId="50363067" w14:textId="77777777">
        <w:trPr>
          <w:trHeight w:val="426"/>
        </w:trPr>
        <w:tc>
          <w:tcPr>
            <w:tcW w:w="3600" w:type="dxa"/>
            <w:tcBorders>
              <w:top w:val="single" w:color="auto" w:sz="4" w:space="0"/>
              <w:left w:val="single" w:color="auto" w:sz="4" w:space="0"/>
              <w:bottom w:val="single" w:color="auto" w:sz="4" w:space="0"/>
              <w:right w:val="single" w:color="auto" w:sz="4" w:space="0"/>
            </w:tcBorders>
            <w:hideMark/>
          </w:tcPr>
          <w:p w:rsidR="00CD52FB" w:rsidRDefault="00CD52FB" w14:paraId="44FF7070" w14:textId="77777777">
            <w:pPr>
              <w:rPr>
                <w:b/>
              </w:rPr>
            </w:pPr>
            <w:r>
              <w:rPr>
                <w:b/>
              </w:rPr>
              <w:t>TOTAL</w:t>
            </w:r>
          </w:p>
        </w:tc>
        <w:tc>
          <w:tcPr>
            <w:tcW w:w="1620" w:type="dxa"/>
            <w:tcBorders>
              <w:top w:val="single" w:color="auto" w:sz="4" w:space="0"/>
              <w:left w:val="single" w:color="auto" w:sz="4" w:space="0"/>
              <w:bottom w:val="single" w:color="auto" w:sz="4" w:space="0"/>
              <w:right w:val="single" w:color="auto" w:sz="4" w:space="0"/>
            </w:tcBorders>
          </w:tcPr>
          <w:p w:rsidR="00CD52FB" w:rsidRDefault="00CD52FB" w14:paraId="1689577A" w14:textId="4D91B953">
            <w:pPr>
              <w:rPr>
                <w:b/>
              </w:rPr>
            </w:pPr>
          </w:p>
        </w:tc>
        <w:tc>
          <w:tcPr>
            <w:tcW w:w="2070" w:type="dxa"/>
            <w:tcBorders>
              <w:top w:val="single" w:color="auto" w:sz="4" w:space="0"/>
              <w:left w:val="single" w:color="auto" w:sz="4" w:space="0"/>
              <w:bottom w:val="single" w:color="auto" w:sz="4" w:space="0"/>
              <w:right w:val="single" w:color="auto" w:sz="4" w:space="0"/>
            </w:tcBorders>
          </w:tcPr>
          <w:p w:rsidR="00CD52FB" w:rsidRDefault="00CD52FB" w14:paraId="2DED8E2E" w14:textId="39BBB67D">
            <w:pPr>
              <w:rPr>
                <w:b/>
              </w:rPr>
            </w:pPr>
          </w:p>
        </w:tc>
        <w:tc>
          <w:tcPr>
            <w:tcW w:w="1350" w:type="dxa"/>
            <w:tcBorders>
              <w:top w:val="single" w:color="auto" w:sz="4" w:space="0"/>
              <w:left w:val="single" w:color="auto" w:sz="4" w:space="0"/>
              <w:bottom w:val="single" w:color="auto" w:sz="4" w:space="0"/>
              <w:right w:val="single" w:color="auto" w:sz="4" w:space="0"/>
            </w:tcBorders>
            <w:hideMark/>
          </w:tcPr>
          <w:p w:rsidR="00CD52FB" w:rsidRDefault="00CD52FB" w14:paraId="0D7450A8" w14:textId="567971EF">
            <w:pPr>
              <w:rPr>
                <w:b/>
              </w:rPr>
            </w:pPr>
          </w:p>
        </w:tc>
        <w:tc>
          <w:tcPr>
            <w:tcW w:w="1350" w:type="dxa"/>
            <w:tcBorders>
              <w:top w:val="single" w:color="auto" w:sz="4" w:space="0"/>
              <w:left w:val="single" w:color="auto" w:sz="4" w:space="0"/>
              <w:bottom w:val="single" w:color="auto" w:sz="4" w:space="0"/>
              <w:right w:val="single" w:color="auto" w:sz="4" w:space="0"/>
            </w:tcBorders>
          </w:tcPr>
          <w:p w:rsidR="00CD52FB" w:rsidRDefault="00CD52FB" w14:paraId="4246FD9F" w14:textId="26AC933F">
            <w:pPr>
              <w:rPr>
                <w:b/>
              </w:rPr>
            </w:pPr>
          </w:p>
        </w:tc>
        <w:tc>
          <w:tcPr>
            <w:tcW w:w="1350" w:type="dxa"/>
            <w:tcBorders>
              <w:top w:val="single" w:color="auto" w:sz="4" w:space="0"/>
              <w:left w:val="single" w:color="auto" w:sz="4" w:space="0"/>
              <w:bottom w:val="single" w:color="auto" w:sz="4" w:space="0"/>
              <w:right w:val="single" w:color="auto" w:sz="4" w:space="0"/>
            </w:tcBorders>
            <w:hideMark/>
          </w:tcPr>
          <w:p w:rsidR="00CD52FB" w:rsidP="00A66B07" w:rsidRDefault="00CD52FB" w14:paraId="387C8644" w14:textId="0C14C0F5">
            <w:pPr>
              <w:jc w:val="center"/>
              <w:rPr>
                <w:b/>
              </w:rPr>
            </w:pPr>
            <w:r>
              <w:rPr>
                <w:b/>
                <w:szCs w:val="18"/>
              </w:rPr>
              <w:t>178,205</w:t>
            </w:r>
          </w:p>
        </w:tc>
      </w:tr>
    </w:tbl>
    <w:p w:rsidR="003C3FDB" w:rsidP="003C3FDB" w:rsidRDefault="003C3FDB" w14:paraId="49EBD1FC" w14:textId="77777777"/>
    <w:p w:rsidR="003C3FDB" w:rsidP="00A204A5" w:rsidRDefault="003C3FDB" w14:paraId="76E37FF8" w14:textId="77777777">
      <w:pPr>
        <w:ind w:firstLine="720"/>
      </w:pPr>
      <w:r>
        <w:t>There are no non-labor costs associated with this collection of information.</w:t>
      </w:r>
    </w:p>
    <w:p w:rsidR="009870DA" w:rsidRDefault="009870DA" w14:paraId="10B13B9E" w14:textId="77777777">
      <w:pPr>
        <w:spacing w:before="278"/>
        <w:rPr>
          <w:szCs w:val="22"/>
        </w:rPr>
      </w:pPr>
      <w:r>
        <w:rPr>
          <w:szCs w:val="22"/>
        </w:rPr>
        <w:t xml:space="preserve">14. </w:t>
      </w:r>
      <w:r>
        <w:rPr>
          <w:szCs w:val="22"/>
          <w:u w:val="single"/>
        </w:rPr>
        <w:t xml:space="preserve">Estimated </w:t>
      </w:r>
      <w:r w:rsidR="00632B71">
        <w:rPr>
          <w:szCs w:val="22"/>
          <w:u w:val="single"/>
        </w:rPr>
        <w:t xml:space="preserve">annual cost to the </w:t>
      </w:r>
      <w:r w:rsidR="001722D3">
        <w:rPr>
          <w:szCs w:val="22"/>
          <w:u w:val="single"/>
        </w:rPr>
        <w:t>F</w:t>
      </w:r>
      <w:r w:rsidR="00632B71">
        <w:rPr>
          <w:szCs w:val="22"/>
          <w:u w:val="single"/>
        </w:rPr>
        <w:t>ederal government</w:t>
      </w:r>
      <w:r w:rsidR="00E60759">
        <w:rPr>
          <w:szCs w:val="22"/>
          <w:u w:val="single"/>
        </w:rPr>
        <w:t>.</w:t>
      </w:r>
    </w:p>
    <w:p w:rsidR="00644B70" w:rsidP="001D4AC3" w:rsidRDefault="00644B70" w14:paraId="2C173E4C" w14:textId="77777777">
      <w:pPr>
        <w:ind w:firstLine="720"/>
        <w:rPr>
          <w:szCs w:val="22"/>
        </w:rPr>
      </w:pPr>
    </w:p>
    <w:p w:rsidR="00644B70" w:rsidP="001D4AC3" w:rsidRDefault="0093438C" w14:paraId="3A1C5254" w14:textId="234F164D">
      <w:pPr>
        <w:ind w:firstLine="720"/>
        <w:rPr>
          <w:szCs w:val="22"/>
        </w:rPr>
      </w:pPr>
      <w:r>
        <w:rPr>
          <w:szCs w:val="22"/>
        </w:rPr>
        <w:t>The Federal government requires reporting of this information only upon request.</w:t>
      </w:r>
    </w:p>
    <w:p w:rsidRPr="00A204A5" w:rsidR="00644B70" w:rsidP="001D4AC3" w:rsidRDefault="00644B70" w14:paraId="1BA8ECF1" w14:textId="77777777">
      <w:pPr>
        <w:ind w:firstLine="720"/>
      </w:pPr>
    </w:p>
    <w:p w:rsidRPr="00A204A5" w:rsidR="00FF2AD3" w:rsidP="00644B70" w:rsidRDefault="009870DA" w14:paraId="2EE42968" w14:textId="61A28DCA">
      <w:pPr>
        <w:pStyle w:val="FootnoteText"/>
        <w:rPr>
          <w:sz w:val="24"/>
          <w:szCs w:val="24"/>
        </w:rPr>
      </w:pPr>
      <w:r w:rsidRPr="00A204A5">
        <w:rPr>
          <w:sz w:val="24"/>
          <w:szCs w:val="24"/>
        </w:rPr>
        <w:t xml:space="preserve">15. </w:t>
      </w:r>
      <w:r w:rsidRPr="00A204A5">
        <w:rPr>
          <w:sz w:val="24"/>
          <w:szCs w:val="24"/>
          <w:u w:val="single"/>
        </w:rPr>
        <w:t>Reason</w:t>
      </w:r>
      <w:r w:rsidRPr="00A204A5" w:rsidR="00632B71">
        <w:rPr>
          <w:sz w:val="24"/>
          <w:szCs w:val="24"/>
          <w:u w:val="single"/>
        </w:rPr>
        <w:t>s</w:t>
      </w:r>
      <w:r w:rsidRPr="00A204A5">
        <w:rPr>
          <w:sz w:val="24"/>
          <w:szCs w:val="24"/>
          <w:u w:val="single"/>
        </w:rPr>
        <w:t xml:space="preserve"> for </w:t>
      </w:r>
      <w:r w:rsidRPr="00A204A5" w:rsidR="00632B71">
        <w:rPr>
          <w:sz w:val="24"/>
          <w:szCs w:val="24"/>
          <w:u w:val="single"/>
        </w:rPr>
        <w:t>change in burden</w:t>
      </w:r>
      <w:r w:rsidRPr="00A204A5" w:rsidR="00E60759">
        <w:rPr>
          <w:sz w:val="24"/>
          <w:szCs w:val="24"/>
          <w:u w:val="single"/>
        </w:rPr>
        <w:t>.</w:t>
      </w:r>
      <w:r w:rsidRPr="00A204A5" w:rsidR="00FF2AD3">
        <w:rPr>
          <w:sz w:val="24"/>
          <w:szCs w:val="24"/>
        </w:rPr>
        <w:tab/>
      </w:r>
    </w:p>
    <w:p w:rsidRPr="00644B70" w:rsidR="00644B70" w:rsidP="00644B70" w:rsidRDefault="00644B70" w14:paraId="0078B60C" w14:textId="77777777">
      <w:pPr>
        <w:pStyle w:val="FootnoteText"/>
        <w:rPr>
          <w:sz w:val="24"/>
          <w:szCs w:val="24"/>
        </w:rPr>
      </w:pPr>
    </w:p>
    <w:p w:rsidRPr="001D4AC3" w:rsidR="00FF2AD3" w:rsidP="001D4AC3" w:rsidRDefault="00FF2AD3" w14:paraId="4734AE00" w14:textId="233CBF7F">
      <w:pPr>
        <w:pStyle w:val="FootnoteText"/>
        <w:ind w:firstLine="720"/>
        <w:rPr>
          <w:sz w:val="24"/>
          <w:szCs w:val="24"/>
        </w:rPr>
      </w:pPr>
      <w:r w:rsidRPr="00644B70">
        <w:rPr>
          <w:sz w:val="24"/>
          <w:szCs w:val="24"/>
        </w:rPr>
        <w:t>The increase in burden hour</w:t>
      </w:r>
      <w:r w:rsidRPr="00644B70" w:rsidR="003B7E29">
        <w:rPr>
          <w:sz w:val="24"/>
          <w:szCs w:val="24"/>
        </w:rPr>
        <w:t>s is a result of the Final R</w:t>
      </w:r>
      <w:r w:rsidRPr="00644B70">
        <w:rPr>
          <w:sz w:val="24"/>
          <w:szCs w:val="24"/>
        </w:rPr>
        <w:t>ule, which requires that approximately 41 banks that lack a Federal fu</w:t>
      </w:r>
      <w:r w:rsidRPr="00644B70" w:rsidR="007D04B3">
        <w:rPr>
          <w:sz w:val="24"/>
          <w:szCs w:val="24"/>
        </w:rPr>
        <w:t>nctional regulator will be required to implement CIP requirements</w:t>
      </w:r>
      <w:r w:rsidRPr="001D4AC3">
        <w:rPr>
          <w:sz w:val="24"/>
          <w:szCs w:val="24"/>
        </w:rPr>
        <w:t xml:space="preserve">. </w:t>
      </w:r>
    </w:p>
    <w:p w:rsidR="00FF2AD3" w:rsidP="00FF2AD3" w:rsidRDefault="00FF2AD3" w14:paraId="4B042079" w14:textId="77777777">
      <w:pPr>
        <w:pStyle w:val="FootnoteText"/>
        <w:rPr>
          <w:sz w:val="24"/>
          <w:szCs w:val="24"/>
        </w:rPr>
      </w:pPr>
    </w:p>
    <w:p w:rsidRPr="00FF2AD3" w:rsidR="00FF2AD3" w:rsidP="00FF2AD3" w:rsidRDefault="00FF2AD3" w14:paraId="0A2CD98D" w14:textId="17BE5F3C">
      <w:pPr>
        <w:pStyle w:val="FootnoteText"/>
        <w:rPr>
          <w:sz w:val="24"/>
          <w:szCs w:val="24"/>
        </w:rPr>
      </w:pPr>
      <w:r>
        <w:rPr>
          <w:sz w:val="24"/>
          <w:szCs w:val="24"/>
        </w:rPr>
        <w:lastRenderedPageBreak/>
        <w:tab/>
        <w:t>The additional burden calculations as o</w:t>
      </w:r>
      <w:r w:rsidR="003B7E29">
        <w:rPr>
          <w:sz w:val="24"/>
          <w:szCs w:val="24"/>
        </w:rPr>
        <w:t>utlined in the preamble of the Final R</w:t>
      </w:r>
      <w:r>
        <w:rPr>
          <w:sz w:val="24"/>
          <w:szCs w:val="24"/>
        </w:rPr>
        <w:t>ule are as follows:</w:t>
      </w:r>
    </w:p>
    <w:p w:rsidR="00FF2AD3" w:rsidP="009133C7" w:rsidRDefault="00FF2AD3" w14:paraId="60BF2003" w14:textId="77777777">
      <w:pPr>
        <w:widowControl w:val="0"/>
        <w:ind w:firstLine="720"/>
        <w:rPr>
          <w:i/>
          <w:snapToGrid w:val="0"/>
        </w:rPr>
      </w:pPr>
    </w:p>
    <w:p w:rsidR="009133C7" w:rsidP="009133C7" w:rsidRDefault="009133C7" w14:paraId="50845501" w14:textId="53AEEF4E">
      <w:pPr>
        <w:widowControl w:val="0"/>
        <w:ind w:firstLine="720"/>
        <w:rPr>
          <w:rStyle w:val="CommentReference"/>
        </w:rPr>
      </w:pPr>
      <w:r w:rsidRPr="00BE7160">
        <w:rPr>
          <w:i/>
          <w:snapToGrid w:val="0"/>
        </w:rPr>
        <w:t>Description of Recordkeepers:</w:t>
      </w:r>
      <w:r>
        <w:rPr>
          <w:snapToGrid w:val="0"/>
        </w:rPr>
        <w:t xml:space="preserve">  </w:t>
      </w:r>
      <w:r>
        <w:t>Banks that lack a Federal functional r</w:t>
      </w:r>
      <w:r w:rsidRPr="00EC4BDF">
        <w:t>egulat</w:t>
      </w:r>
      <w:r>
        <w:t xml:space="preserve">or, such as </w:t>
      </w:r>
      <w:r w:rsidRPr="005D567A">
        <w:rPr>
          <w:color w:val="000000"/>
        </w:rPr>
        <w:t>non-federally insured state-chartered banks and savings and loan or building and loan associations, and international banking entities</w:t>
      </w:r>
      <w:r>
        <w:rPr>
          <w:color w:val="000000"/>
        </w:rPr>
        <w:t>.</w:t>
      </w:r>
      <w:r>
        <w:rPr>
          <w:rStyle w:val="FootnoteReference"/>
          <w:color w:val="000000"/>
        </w:rPr>
        <w:footnoteReference w:id="15"/>
      </w:r>
      <w:r w:rsidDel="001C126A">
        <w:rPr>
          <w:rStyle w:val="CommentReference"/>
        </w:rPr>
        <w:t xml:space="preserve"> </w:t>
      </w:r>
    </w:p>
    <w:p w:rsidRPr="00BE7160" w:rsidR="00FF2AD3" w:rsidP="009133C7" w:rsidRDefault="00FF2AD3" w14:paraId="791F5E85" w14:textId="77777777">
      <w:pPr>
        <w:widowControl w:val="0"/>
        <w:ind w:firstLine="720"/>
        <w:rPr>
          <w:sz w:val="16"/>
          <w:szCs w:val="16"/>
        </w:rPr>
      </w:pPr>
    </w:p>
    <w:p w:rsidRPr="00BE7160" w:rsidR="009133C7" w:rsidP="009133C7" w:rsidRDefault="009133C7" w14:paraId="7FBDD67D" w14:textId="77777777">
      <w:pPr>
        <w:pStyle w:val="ListParagraph"/>
        <w:widowControl w:val="0"/>
        <w:numPr>
          <w:ilvl w:val="0"/>
          <w:numId w:val="3"/>
        </w:numPr>
        <w:ind w:left="360"/>
        <w:rPr>
          <w:snapToGrid w:val="0"/>
          <w:u w:val="single"/>
        </w:rPr>
      </w:pPr>
      <w:r w:rsidRPr="00BE7160">
        <w:rPr>
          <w:snapToGrid w:val="0"/>
          <w:u w:val="single"/>
        </w:rPr>
        <w:t xml:space="preserve">Implementing </w:t>
      </w:r>
      <w:r w:rsidRPr="00E1788B">
        <w:rPr>
          <w:snapToGrid w:val="0"/>
          <w:u w:val="single"/>
        </w:rPr>
        <w:t>w</w:t>
      </w:r>
      <w:r w:rsidRPr="00BE7160">
        <w:rPr>
          <w:snapToGrid w:val="0"/>
          <w:u w:val="single"/>
        </w:rPr>
        <w:t xml:space="preserve">ritten CIP </w:t>
      </w:r>
      <w:r w:rsidRPr="00E1788B">
        <w:rPr>
          <w:snapToGrid w:val="0"/>
          <w:u w:val="single"/>
        </w:rPr>
        <w:t>p</w:t>
      </w:r>
      <w:r w:rsidRPr="00BE7160">
        <w:rPr>
          <w:snapToGrid w:val="0"/>
          <w:u w:val="single"/>
        </w:rPr>
        <w:t>rocedures</w:t>
      </w:r>
    </w:p>
    <w:p w:rsidRPr="00BE7160" w:rsidR="009133C7" w:rsidP="009133C7" w:rsidRDefault="009133C7" w14:paraId="30DA630F" w14:textId="77777777">
      <w:pPr>
        <w:widowControl w:val="0"/>
        <w:ind w:left="720"/>
        <w:rPr>
          <w:i/>
          <w:snapToGrid w:val="0"/>
        </w:rPr>
      </w:pPr>
      <w:r w:rsidRPr="00EB50B8">
        <w:rPr>
          <w:i/>
          <w:snapToGrid w:val="0"/>
        </w:rPr>
        <w:t>Estimated Number of Recordkeepers</w:t>
      </w:r>
      <w:r>
        <w:rPr>
          <w:snapToGrid w:val="0"/>
        </w:rPr>
        <w:t>:  41 financial institutions.</w:t>
      </w:r>
      <w:r w:rsidRPr="000D2C78">
        <w:rPr>
          <w:rStyle w:val="FootnoteReference"/>
          <w:color w:val="000000"/>
        </w:rPr>
        <w:t xml:space="preserve"> </w:t>
      </w:r>
      <w:r>
        <w:rPr>
          <w:rStyle w:val="FootnoteReference"/>
          <w:color w:val="000000"/>
        </w:rPr>
        <w:footnoteReference w:id="16"/>
      </w:r>
    </w:p>
    <w:p w:rsidRPr="00BE7160" w:rsidR="009133C7" w:rsidP="009133C7" w:rsidRDefault="009133C7" w14:paraId="451714C9" w14:textId="77777777">
      <w:pPr>
        <w:widowControl w:val="0"/>
        <w:ind w:left="720"/>
        <w:rPr>
          <w:snapToGrid w:val="0"/>
        </w:rPr>
      </w:pPr>
      <w:r>
        <w:rPr>
          <w:i/>
          <w:snapToGrid w:val="0"/>
        </w:rPr>
        <w:t xml:space="preserve">Estimated Annual Records: </w:t>
      </w:r>
      <w:r w:rsidRPr="00BE7160">
        <w:rPr>
          <w:snapToGrid w:val="0"/>
        </w:rPr>
        <w:t>4</w:t>
      </w:r>
      <w:r>
        <w:rPr>
          <w:snapToGrid w:val="0"/>
        </w:rPr>
        <w:t>1</w:t>
      </w:r>
      <w:r w:rsidRPr="00BE7160">
        <w:rPr>
          <w:snapToGrid w:val="0"/>
        </w:rPr>
        <w:t xml:space="preserve"> writt</w:t>
      </w:r>
      <w:r w:rsidRPr="00E1788B">
        <w:rPr>
          <w:snapToGrid w:val="0"/>
        </w:rPr>
        <w:t>en CIP</w:t>
      </w:r>
      <w:r w:rsidRPr="00BE7160">
        <w:rPr>
          <w:snapToGrid w:val="0"/>
        </w:rPr>
        <w:t xml:space="preserve"> programs.</w:t>
      </w:r>
    </w:p>
    <w:p w:rsidR="009133C7" w:rsidP="009133C7" w:rsidRDefault="009133C7" w14:paraId="218530CC" w14:textId="6CF8DBE7">
      <w:pPr>
        <w:widowControl w:val="0"/>
        <w:ind w:left="720"/>
        <w:rPr>
          <w:snapToGrid w:val="0"/>
        </w:rPr>
      </w:pPr>
      <w:r>
        <w:rPr>
          <w:i/>
          <w:snapToGrid w:val="0"/>
        </w:rPr>
        <w:t xml:space="preserve">Estimated Annual Burden Hours:  </w:t>
      </w:r>
      <w:r>
        <w:rPr>
          <w:snapToGrid w:val="0"/>
        </w:rPr>
        <w:t>41</w:t>
      </w:r>
      <w:r>
        <w:rPr>
          <w:i/>
          <w:snapToGrid w:val="0"/>
        </w:rPr>
        <w:t xml:space="preserve"> </w:t>
      </w:r>
      <w:r>
        <w:rPr>
          <w:snapToGrid w:val="0"/>
        </w:rPr>
        <w:t>hours.</w:t>
      </w:r>
      <w:r>
        <w:rPr>
          <w:rStyle w:val="FootnoteReference"/>
          <w:snapToGrid w:val="0"/>
        </w:rPr>
        <w:footnoteReference w:id="17"/>
      </w:r>
    </w:p>
    <w:p w:rsidRPr="00C94DC3" w:rsidR="00FF2AD3" w:rsidP="009133C7" w:rsidRDefault="00FF2AD3" w14:paraId="22192182" w14:textId="77777777">
      <w:pPr>
        <w:widowControl w:val="0"/>
        <w:ind w:left="720"/>
        <w:rPr>
          <w:snapToGrid w:val="0"/>
        </w:rPr>
      </w:pPr>
    </w:p>
    <w:p w:rsidR="009133C7" w:rsidP="009133C7" w:rsidRDefault="009133C7" w14:paraId="0DADCA6B" w14:textId="0F9208CF">
      <w:pPr>
        <w:pStyle w:val="ListParagraph"/>
        <w:widowControl w:val="0"/>
        <w:numPr>
          <w:ilvl w:val="0"/>
          <w:numId w:val="3"/>
        </w:numPr>
        <w:ind w:left="360"/>
        <w:rPr>
          <w:snapToGrid w:val="0"/>
          <w:u w:val="single"/>
        </w:rPr>
      </w:pPr>
      <w:r w:rsidRPr="00BE7160">
        <w:rPr>
          <w:snapToGrid w:val="0"/>
          <w:u w:val="single"/>
        </w:rPr>
        <w:t>Record</w:t>
      </w:r>
      <w:r w:rsidRPr="00E1788B">
        <w:rPr>
          <w:snapToGrid w:val="0"/>
          <w:u w:val="single"/>
        </w:rPr>
        <w:t>ing i</w:t>
      </w:r>
      <w:r w:rsidRPr="00BE7160">
        <w:rPr>
          <w:snapToGrid w:val="0"/>
          <w:u w:val="single"/>
        </w:rPr>
        <w:t>nformation</w:t>
      </w:r>
      <w:r w:rsidRPr="00E1788B">
        <w:rPr>
          <w:snapToGrid w:val="0"/>
          <w:u w:val="single"/>
        </w:rPr>
        <w:t xml:space="preserve"> r</w:t>
      </w:r>
      <w:r w:rsidRPr="00BB5DA8">
        <w:rPr>
          <w:snapToGrid w:val="0"/>
          <w:u w:val="single"/>
        </w:rPr>
        <w:t>equired to identify and v</w:t>
      </w:r>
      <w:r w:rsidRPr="00BE7160">
        <w:rPr>
          <w:snapToGrid w:val="0"/>
          <w:u w:val="single"/>
        </w:rPr>
        <w:t>erify new customers</w:t>
      </w:r>
    </w:p>
    <w:p w:rsidRPr="00BE7160" w:rsidR="00FF2AD3" w:rsidP="00FF2AD3" w:rsidRDefault="00FF2AD3" w14:paraId="7068AB89" w14:textId="77777777">
      <w:pPr>
        <w:pStyle w:val="ListParagraph"/>
        <w:widowControl w:val="0"/>
        <w:ind w:left="360"/>
        <w:rPr>
          <w:snapToGrid w:val="0"/>
          <w:u w:val="single"/>
        </w:rPr>
      </w:pPr>
    </w:p>
    <w:p w:rsidRPr="00BE7160" w:rsidR="009133C7" w:rsidP="009133C7" w:rsidRDefault="009133C7" w14:paraId="5F3B2936" w14:textId="77777777">
      <w:pPr>
        <w:widowControl w:val="0"/>
        <w:ind w:left="720"/>
        <w:rPr>
          <w:i/>
          <w:snapToGrid w:val="0"/>
        </w:rPr>
      </w:pPr>
      <w:r w:rsidRPr="00EB50B8">
        <w:rPr>
          <w:i/>
          <w:snapToGrid w:val="0"/>
        </w:rPr>
        <w:t>Estimated Number of Recordkeepers</w:t>
      </w:r>
      <w:r>
        <w:rPr>
          <w:snapToGrid w:val="0"/>
        </w:rPr>
        <w:t>:  41 financial institutions.</w:t>
      </w:r>
    </w:p>
    <w:p w:rsidRPr="00BE7160" w:rsidR="009133C7" w:rsidP="009133C7" w:rsidRDefault="009133C7" w14:paraId="7BA8DB40" w14:textId="77777777">
      <w:pPr>
        <w:widowControl w:val="0"/>
        <w:ind w:left="720"/>
        <w:rPr>
          <w:snapToGrid w:val="0"/>
        </w:rPr>
      </w:pPr>
      <w:r>
        <w:rPr>
          <w:i/>
          <w:snapToGrid w:val="0"/>
        </w:rPr>
        <w:t>Estimated Annual Records:</w:t>
      </w:r>
      <w:r>
        <w:rPr>
          <w:snapToGrid w:val="0"/>
        </w:rPr>
        <w:t xml:space="preserve">  30,750 records on new accounts.</w:t>
      </w:r>
      <w:r>
        <w:rPr>
          <w:rStyle w:val="FootnoteReference"/>
          <w:snapToGrid w:val="0"/>
        </w:rPr>
        <w:footnoteReference w:id="18"/>
      </w:r>
    </w:p>
    <w:p w:rsidR="009133C7" w:rsidP="009133C7" w:rsidRDefault="009133C7" w14:paraId="17F00FE7" w14:textId="13735D87">
      <w:pPr>
        <w:widowControl w:val="0"/>
        <w:ind w:left="720"/>
        <w:rPr>
          <w:snapToGrid w:val="0"/>
        </w:rPr>
      </w:pPr>
      <w:r w:rsidRPr="00EB50B8">
        <w:rPr>
          <w:i/>
          <w:snapToGrid w:val="0"/>
        </w:rPr>
        <w:t>Estimated Annual Burden Hours:</w:t>
      </w:r>
      <w:r>
        <w:rPr>
          <w:snapToGrid w:val="0"/>
        </w:rPr>
        <w:t xml:space="preserve">  2,563 hours.</w:t>
      </w:r>
      <w:r>
        <w:rPr>
          <w:rStyle w:val="FootnoteReference"/>
          <w:snapToGrid w:val="0"/>
        </w:rPr>
        <w:footnoteReference w:id="19"/>
      </w:r>
    </w:p>
    <w:p w:rsidR="00FF2AD3" w:rsidP="009133C7" w:rsidRDefault="00FF2AD3" w14:paraId="4BD7BFFC" w14:textId="77777777">
      <w:pPr>
        <w:widowControl w:val="0"/>
        <w:ind w:left="720"/>
        <w:rPr>
          <w:u w:val="single"/>
        </w:rPr>
      </w:pPr>
    </w:p>
    <w:p w:rsidR="009133C7" w:rsidP="009133C7" w:rsidRDefault="009133C7" w14:paraId="6F9EC8E3" w14:textId="37852562">
      <w:pPr>
        <w:pStyle w:val="ListParagraph"/>
        <w:widowControl w:val="0"/>
        <w:numPr>
          <w:ilvl w:val="0"/>
          <w:numId w:val="3"/>
        </w:numPr>
        <w:ind w:left="360"/>
        <w:rPr>
          <w:snapToGrid w:val="0"/>
          <w:u w:val="single"/>
        </w:rPr>
      </w:pPr>
      <w:r w:rsidRPr="00BE7160">
        <w:rPr>
          <w:snapToGrid w:val="0"/>
          <w:u w:val="single"/>
        </w:rPr>
        <w:t>Provid</w:t>
      </w:r>
      <w:r w:rsidRPr="00E1788B">
        <w:rPr>
          <w:snapToGrid w:val="0"/>
          <w:u w:val="single"/>
        </w:rPr>
        <w:t>ing c</w:t>
      </w:r>
      <w:r w:rsidRPr="00BB5DA8">
        <w:rPr>
          <w:snapToGrid w:val="0"/>
          <w:u w:val="single"/>
        </w:rPr>
        <w:t>ustomers notice of i</w:t>
      </w:r>
      <w:r w:rsidRPr="00BE7160">
        <w:rPr>
          <w:snapToGrid w:val="0"/>
          <w:u w:val="single"/>
        </w:rPr>
        <w:t>dentification</w:t>
      </w:r>
      <w:r w:rsidRPr="00E1788B">
        <w:rPr>
          <w:snapToGrid w:val="0"/>
          <w:u w:val="single"/>
        </w:rPr>
        <w:t xml:space="preserve"> r</w:t>
      </w:r>
      <w:r w:rsidRPr="00BE7160">
        <w:rPr>
          <w:snapToGrid w:val="0"/>
          <w:u w:val="single"/>
        </w:rPr>
        <w:t>equirements</w:t>
      </w:r>
    </w:p>
    <w:p w:rsidRPr="00BE7160" w:rsidR="00FF2AD3" w:rsidP="00FF2AD3" w:rsidRDefault="00FF2AD3" w14:paraId="09F8029D" w14:textId="77777777">
      <w:pPr>
        <w:pStyle w:val="ListParagraph"/>
        <w:widowControl w:val="0"/>
        <w:ind w:left="360"/>
        <w:rPr>
          <w:snapToGrid w:val="0"/>
          <w:u w:val="single"/>
        </w:rPr>
      </w:pPr>
    </w:p>
    <w:p w:rsidR="009133C7" w:rsidP="009133C7" w:rsidRDefault="009133C7" w14:paraId="398DA09B" w14:textId="77777777">
      <w:pPr>
        <w:widowControl w:val="0"/>
        <w:ind w:left="720"/>
      </w:pPr>
      <w:r w:rsidRPr="00EB50B8">
        <w:rPr>
          <w:i/>
          <w:snapToGrid w:val="0"/>
        </w:rPr>
        <w:t>Estimated Number of Recordkeepers</w:t>
      </w:r>
      <w:r>
        <w:rPr>
          <w:snapToGrid w:val="0"/>
        </w:rPr>
        <w:t>:  41 financial institutions.</w:t>
      </w:r>
    </w:p>
    <w:p w:rsidR="009133C7" w:rsidP="009133C7" w:rsidRDefault="009133C7" w14:paraId="095722C5" w14:textId="77777777">
      <w:pPr>
        <w:widowControl w:val="0"/>
        <w:ind w:left="720"/>
      </w:pPr>
      <w:r w:rsidRPr="00BE7160">
        <w:rPr>
          <w:i/>
        </w:rPr>
        <w:t>Estimated Annual Recor</w:t>
      </w:r>
      <w:r>
        <w:rPr>
          <w:i/>
        </w:rPr>
        <w:t>ds</w:t>
      </w:r>
      <w:r w:rsidRPr="00BE7160">
        <w:rPr>
          <w:i/>
        </w:rPr>
        <w:t xml:space="preserve">:  </w:t>
      </w:r>
      <w:r>
        <w:t>41 disclosure notices.</w:t>
      </w:r>
    </w:p>
    <w:p w:rsidR="009133C7" w:rsidP="009133C7" w:rsidRDefault="009133C7" w14:paraId="6EDD857A" w14:textId="21C33194">
      <w:pPr>
        <w:widowControl w:val="0"/>
        <w:ind w:left="720"/>
      </w:pPr>
      <w:r w:rsidRPr="00EB50B8">
        <w:rPr>
          <w:i/>
        </w:rPr>
        <w:t xml:space="preserve">Estimated </w:t>
      </w:r>
      <w:r>
        <w:rPr>
          <w:i/>
        </w:rPr>
        <w:t>A</w:t>
      </w:r>
      <w:r w:rsidRPr="00EB50B8">
        <w:rPr>
          <w:i/>
        </w:rPr>
        <w:t xml:space="preserve">nnual </w:t>
      </w:r>
      <w:r>
        <w:rPr>
          <w:i/>
        </w:rPr>
        <w:t>B</w:t>
      </w:r>
      <w:r w:rsidRPr="00EB50B8">
        <w:rPr>
          <w:i/>
        </w:rPr>
        <w:t>urden</w:t>
      </w:r>
      <w:r>
        <w:rPr>
          <w:i/>
        </w:rPr>
        <w:t xml:space="preserve"> Hours</w:t>
      </w:r>
      <w:r w:rsidRPr="00EB50B8">
        <w:rPr>
          <w:i/>
        </w:rPr>
        <w:t xml:space="preserve">: </w:t>
      </w:r>
      <w:r w:rsidRPr="00EB50B8">
        <w:t xml:space="preserve"> 4</w:t>
      </w:r>
      <w:r>
        <w:t>1 hours.</w:t>
      </w:r>
      <w:r w:rsidRPr="00EB50B8">
        <w:rPr>
          <w:rStyle w:val="FootnoteReference"/>
        </w:rPr>
        <w:footnoteReference w:id="20"/>
      </w:r>
    </w:p>
    <w:p w:rsidRPr="00EB50B8" w:rsidR="00FF2AD3" w:rsidP="009133C7" w:rsidRDefault="00FF2AD3" w14:paraId="5851CA57" w14:textId="77777777">
      <w:pPr>
        <w:widowControl w:val="0"/>
        <w:ind w:left="720"/>
      </w:pPr>
    </w:p>
    <w:p w:rsidR="009133C7" w:rsidP="009133C7" w:rsidRDefault="009133C7" w14:paraId="43569613" w14:textId="73619CEC">
      <w:pPr>
        <w:pStyle w:val="ListParagraph"/>
        <w:widowControl w:val="0"/>
        <w:numPr>
          <w:ilvl w:val="0"/>
          <w:numId w:val="3"/>
        </w:numPr>
        <w:ind w:left="360"/>
        <w:rPr>
          <w:snapToGrid w:val="0"/>
          <w:u w:val="single"/>
        </w:rPr>
      </w:pPr>
      <w:r w:rsidRPr="00E1788B">
        <w:rPr>
          <w:snapToGrid w:val="0"/>
          <w:u w:val="single"/>
        </w:rPr>
        <w:t xml:space="preserve">Total </w:t>
      </w:r>
      <w:r>
        <w:rPr>
          <w:snapToGrid w:val="0"/>
          <w:u w:val="single"/>
        </w:rPr>
        <w:t xml:space="preserve">annual </w:t>
      </w:r>
      <w:r w:rsidRPr="00E1788B">
        <w:rPr>
          <w:snapToGrid w:val="0"/>
          <w:u w:val="single"/>
        </w:rPr>
        <w:t>b</w:t>
      </w:r>
      <w:r w:rsidRPr="00BB5DA8">
        <w:rPr>
          <w:snapToGrid w:val="0"/>
          <w:u w:val="single"/>
        </w:rPr>
        <w:t>urden a</w:t>
      </w:r>
      <w:r w:rsidRPr="00BE7160">
        <w:rPr>
          <w:snapToGrid w:val="0"/>
          <w:u w:val="single"/>
        </w:rPr>
        <w:t>pplica</w:t>
      </w:r>
      <w:r>
        <w:rPr>
          <w:snapToGrid w:val="0"/>
          <w:u w:val="single"/>
        </w:rPr>
        <w:t>ble</w:t>
      </w:r>
      <w:r w:rsidRPr="00BE7160">
        <w:rPr>
          <w:snapToGrid w:val="0"/>
          <w:u w:val="single"/>
        </w:rPr>
        <w:t xml:space="preserve"> to CIP</w:t>
      </w:r>
      <w:r w:rsidRPr="00E1788B">
        <w:rPr>
          <w:snapToGrid w:val="0"/>
          <w:u w:val="single"/>
        </w:rPr>
        <w:t xml:space="preserve"> r</w:t>
      </w:r>
      <w:r w:rsidRPr="00BE7160">
        <w:rPr>
          <w:snapToGrid w:val="0"/>
          <w:u w:val="single"/>
        </w:rPr>
        <w:t>equirements</w:t>
      </w:r>
    </w:p>
    <w:p w:rsidRPr="00BE7160" w:rsidR="00FF2AD3" w:rsidP="00FF2AD3" w:rsidRDefault="00FF2AD3" w14:paraId="02CE01EC" w14:textId="77777777">
      <w:pPr>
        <w:pStyle w:val="ListParagraph"/>
        <w:widowControl w:val="0"/>
        <w:ind w:left="360"/>
        <w:rPr>
          <w:snapToGrid w:val="0"/>
          <w:u w:val="single"/>
        </w:rPr>
      </w:pPr>
    </w:p>
    <w:p w:rsidR="009133C7" w:rsidP="009133C7" w:rsidRDefault="009133C7" w14:paraId="6BC84160" w14:textId="6B574DF8">
      <w:pPr>
        <w:widowControl w:val="0"/>
        <w:rPr>
          <w:snapToGrid w:val="0"/>
        </w:rPr>
      </w:pPr>
      <w:r>
        <w:rPr>
          <w:b/>
          <w:i/>
          <w:snapToGrid w:val="0"/>
        </w:rPr>
        <w:t>Estima</w:t>
      </w:r>
      <w:r w:rsidRPr="00BE7160">
        <w:rPr>
          <w:b/>
          <w:i/>
          <w:snapToGrid w:val="0"/>
        </w:rPr>
        <w:t>ted Total Annual Burden Hours for CIP</w:t>
      </w:r>
      <w:r>
        <w:rPr>
          <w:b/>
          <w:i/>
          <w:snapToGrid w:val="0"/>
        </w:rPr>
        <w:t xml:space="preserve"> Requirements</w:t>
      </w:r>
      <w:r w:rsidRPr="00BE7160">
        <w:rPr>
          <w:b/>
          <w:i/>
          <w:snapToGrid w:val="0"/>
        </w:rPr>
        <w:t xml:space="preserve">: </w:t>
      </w:r>
      <w:r>
        <w:rPr>
          <w:b/>
          <w:i/>
          <w:snapToGrid w:val="0"/>
        </w:rPr>
        <w:t xml:space="preserve"> </w:t>
      </w:r>
      <w:r w:rsidRPr="00E14F32">
        <w:rPr>
          <w:b/>
          <w:snapToGrid w:val="0"/>
        </w:rPr>
        <w:t>2,645</w:t>
      </w:r>
      <w:r w:rsidRPr="00BE7160">
        <w:rPr>
          <w:b/>
          <w:snapToGrid w:val="0"/>
        </w:rPr>
        <w:t xml:space="preserve"> hours</w:t>
      </w:r>
      <w:r w:rsidRPr="00BE7160">
        <w:rPr>
          <w:snapToGrid w:val="0"/>
        </w:rPr>
        <w:t xml:space="preserve"> (4</w:t>
      </w:r>
      <w:r>
        <w:rPr>
          <w:snapToGrid w:val="0"/>
        </w:rPr>
        <w:t>1</w:t>
      </w:r>
      <w:r w:rsidRPr="00BE7160">
        <w:rPr>
          <w:snapToGrid w:val="0"/>
        </w:rPr>
        <w:t xml:space="preserve"> + </w:t>
      </w:r>
      <w:r>
        <w:rPr>
          <w:snapToGrid w:val="0"/>
        </w:rPr>
        <w:t>2,563</w:t>
      </w:r>
      <w:r w:rsidRPr="00BE7160">
        <w:rPr>
          <w:snapToGrid w:val="0"/>
        </w:rPr>
        <w:t xml:space="preserve"> +</w:t>
      </w:r>
      <w:r>
        <w:rPr>
          <w:snapToGrid w:val="0"/>
        </w:rPr>
        <w:t xml:space="preserve"> </w:t>
      </w:r>
      <w:r w:rsidRPr="00BE7160">
        <w:rPr>
          <w:snapToGrid w:val="0"/>
        </w:rPr>
        <w:t>4</w:t>
      </w:r>
      <w:r>
        <w:rPr>
          <w:snapToGrid w:val="0"/>
        </w:rPr>
        <w:t>1</w:t>
      </w:r>
      <w:r w:rsidRPr="00BE7160">
        <w:rPr>
          <w:snapToGrid w:val="0"/>
        </w:rPr>
        <w:t>).</w:t>
      </w:r>
    </w:p>
    <w:p w:rsidRPr="00BE7160" w:rsidR="00FF2AD3" w:rsidP="009133C7" w:rsidRDefault="00FF2AD3" w14:paraId="0F5701F5" w14:textId="77777777">
      <w:pPr>
        <w:widowControl w:val="0"/>
        <w:rPr>
          <w:snapToGrid w:val="0"/>
        </w:rPr>
      </w:pPr>
    </w:p>
    <w:p w:rsidR="009133C7" w:rsidP="009133C7" w:rsidRDefault="009133C7" w14:paraId="7C80DDFB" w14:textId="77777777">
      <w:pPr>
        <w:pStyle w:val="ListParagraph"/>
        <w:widowControl w:val="0"/>
        <w:numPr>
          <w:ilvl w:val="0"/>
          <w:numId w:val="4"/>
        </w:numPr>
        <w:ind w:left="720"/>
        <w:rPr>
          <w:snapToGrid w:val="0"/>
        </w:rPr>
      </w:pPr>
      <w:r>
        <w:rPr>
          <w:snapToGrid w:val="0"/>
        </w:rPr>
        <w:t>41 hours – Implementing written CIP procedures.</w:t>
      </w:r>
    </w:p>
    <w:p w:rsidR="009133C7" w:rsidP="009133C7" w:rsidRDefault="009133C7" w14:paraId="76D0EBC7" w14:textId="77777777">
      <w:pPr>
        <w:pStyle w:val="ListParagraph"/>
        <w:widowControl w:val="0"/>
        <w:numPr>
          <w:ilvl w:val="0"/>
          <w:numId w:val="4"/>
        </w:numPr>
        <w:ind w:left="720"/>
        <w:rPr>
          <w:snapToGrid w:val="0"/>
        </w:rPr>
      </w:pPr>
      <w:r>
        <w:rPr>
          <w:snapToGrid w:val="0"/>
        </w:rPr>
        <w:t xml:space="preserve">2,563 hours </w:t>
      </w:r>
      <w:r>
        <w:rPr>
          <w:i/>
        </w:rPr>
        <w:t>–</w:t>
      </w:r>
      <w:r>
        <w:rPr>
          <w:snapToGrid w:val="0"/>
        </w:rPr>
        <w:t xml:space="preserve"> Recording information required to identify and verify new customers.</w:t>
      </w:r>
    </w:p>
    <w:p w:rsidRPr="00DE7121" w:rsidR="009133C7" w:rsidP="009133C7" w:rsidRDefault="009133C7" w14:paraId="47F22C66" w14:textId="77777777">
      <w:pPr>
        <w:pStyle w:val="ListParagraph"/>
        <w:widowControl w:val="0"/>
        <w:numPr>
          <w:ilvl w:val="0"/>
          <w:numId w:val="4"/>
        </w:numPr>
        <w:ind w:left="720"/>
        <w:rPr>
          <w:snapToGrid w:val="0"/>
        </w:rPr>
      </w:pPr>
      <w:r>
        <w:rPr>
          <w:snapToGrid w:val="0"/>
        </w:rPr>
        <w:t xml:space="preserve">41 hours </w:t>
      </w:r>
      <w:r>
        <w:rPr>
          <w:i/>
        </w:rPr>
        <w:t>–</w:t>
      </w:r>
      <w:r>
        <w:rPr>
          <w:snapToGrid w:val="0"/>
        </w:rPr>
        <w:t xml:space="preserve"> Providing customers notice of identification requirements.</w:t>
      </w:r>
    </w:p>
    <w:p w:rsidR="00FF2AD3" w:rsidP="009133C7" w:rsidRDefault="00FF2AD3" w14:paraId="635CC067" w14:textId="77777777">
      <w:pPr>
        <w:widowControl w:val="0"/>
        <w:ind w:firstLine="720"/>
        <w:rPr>
          <w:snapToGrid w:val="0"/>
        </w:rPr>
      </w:pPr>
    </w:p>
    <w:p w:rsidR="009133C7" w:rsidP="00644B70" w:rsidRDefault="009133C7" w14:paraId="309E2FAE" w14:textId="09F050E9">
      <w:pPr>
        <w:widowControl w:val="0"/>
        <w:ind w:firstLine="720"/>
        <w:rPr>
          <w:snapToGrid w:val="0"/>
        </w:rPr>
      </w:pPr>
      <w:r>
        <w:rPr>
          <w:snapToGrid w:val="0"/>
        </w:rPr>
        <w:t>This burden is added to the existing burden listed under OMB control number 1506-0026 currently titled “</w:t>
      </w:r>
      <w:r w:rsidRPr="00151DD1">
        <w:rPr>
          <w:snapToGrid w:val="0"/>
        </w:rPr>
        <w:t xml:space="preserve">Customer </w:t>
      </w:r>
      <w:r>
        <w:rPr>
          <w:snapToGrid w:val="0"/>
        </w:rPr>
        <w:t>I</w:t>
      </w:r>
      <w:r w:rsidRPr="00151DD1">
        <w:rPr>
          <w:snapToGrid w:val="0"/>
        </w:rPr>
        <w:t xml:space="preserve">dentification </w:t>
      </w:r>
      <w:r>
        <w:rPr>
          <w:snapToGrid w:val="0"/>
        </w:rPr>
        <w:t>P</w:t>
      </w:r>
      <w:r w:rsidRPr="00151DD1">
        <w:rPr>
          <w:snapToGrid w:val="0"/>
        </w:rPr>
        <w:t xml:space="preserve">rograms for </w:t>
      </w:r>
      <w:r>
        <w:rPr>
          <w:snapToGrid w:val="0"/>
        </w:rPr>
        <w:t>B</w:t>
      </w:r>
      <w:r w:rsidRPr="00151DD1">
        <w:rPr>
          <w:snapToGrid w:val="0"/>
        </w:rPr>
        <w:t xml:space="preserve">anks, </w:t>
      </w:r>
      <w:r>
        <w:rPr>
          <w:snapToGrid w:val="0"/>
        </w:rPr>
        <w:t>S</w:t>
      </w:r>
      <w:r w:rsidRPr="00151DD1">
        <w:rPr>
          <w:snapToGrid w:val="0"/>
        </w:rPr>
        <w:t xml:space="preserve">avings </w:t>
      </w:r>
      <w:r>
        <w:rPr>
          <w:snapToGrid w:val="0"/>
        </w:rPr>
        <w:t>A</w:t>
      </w:r>
      <w:r w:rsidRPr="00151DD1">
        <w:rPr>
          <w:snapToGrid w:val="0"/>
        </w:rPr>
        <w:t xml:space="preserve">ssociations, </w:t>
      </w:r>
      <w:r>
        <w:rPr>
          <w:snapToGrid w:val="0"/>
        </w:rPr>
        <w:t>C</w:t>
      </w:r>
      <w:r w:rsidRPr="00151DD1">
        <w:rPr>
          <w:snapToGrid w:val="0"/>
        </w:rPr>
        <w:t xml:space="preserve">redit </w:t>
      </w:r>
      <w:r>
        <w:rPr>
          <w:snapToGrid w:val="0"/>
        </w:rPr>
        <w:t>U</w:t>
      </w:r>
      <w:r w:rsidRPr="00151DD1">
        <w:rPr>
          <w:snapToGrid w:val="0"/>
        </w:rPr>
        <w:t xml:space="preserve">nions, and </w:t>
      </w:r>
      <w:r>
        <w:rPr>
          <w:snapToGrid w:val="0"/>
        </w:rPr>
        <w:t>C</w:t>
      </w:r>
      <w:r w:rsidRPr="00151DD1">
        <w:rPr>
          <w:snapToGrid w:val="0"/>
        </w:rPr>
        <w:t xml:space="preserve">ertain </w:t>
      </w:r>
      <w:r>
        <w:rPr>
          <w:snapToGrid w:val="0"/>
        </w:rPr>
        <w:t>N</w:t>
      </w:r>
      <w:r w:rsidRPr="00151DD1">
        <w:rPr>
          <w:snapToGrid w:val="0"/>
        </w:rPr>
        <w:t>on-</w:t>
      </w:r>
      <w:r>
        <w:rPr>
          <w:snapToGrid w:val="0"/>
        </w:rPr>
        <w:t>F</w:t>
      </w:r>
      <w:r w:rsidRPr="00151DD1">
        <w:rPr>
          <w:snapToGrid w:val="0"/>
        </w:rPr>
        <w:t xml:space="preserve">ederally </w:t>
      </w:r>
      <w:r>
        <w:rPr>
          <w:snapToGrid w:val="0"/>
        </w:rPr>
        <w:t>R</w:t>
      </w:r>
      <w:r w:rsidRPr="00151DD1">
        <w:rPr>
          <w:snapToGrid w:val="0"/>
        </w:rPr>
        <w:t xml:space="preserve">egulated </w:t>
      </w:r>
      <w:r>
        <w:rPr>
          <w:snapToGrid w:val="0"/>
        </w:rPr>
        <w:t>B</w:t>
      </w:r>
      <w:r w:rsidRPr="00151DD1">
        <w:rPr>
          <w:snapToGrid w:val="0"/>
        </w:rPr>
        <w:t>anks</w:t>
      </w:r>
      <w:r>
        <w:rPr>
          <w:snapToGrid w:val="0"/>
        </w:rPr>
        <w:t>.”  The new title for this control number will be “Customer Identification Program Requirements for Banks.”  The new total estimated annual burden for this control number is 178,205 hours.</w:t>
      </w:r>
      <w:r>
        <w:rPr>
          <w:rStyle w:val="FootnoteReference"/>
          <w:snapToGrid w:val="0"/>
        </w:rPr>
        <w:footnoteReference w:id="21"/>
      </w:r>
    </w:p>
    <w:p w:rsidR="000C7C64" w:rsidP="00E74636" w:rsidRDefault="000C7C64" w14:paraId="60969C40" w14:textId="34267B11">
      <w:pPr>
        <w:rPr>
          <w:szCs w:val="22"/>
        </w:rPr>
      </w:pPr>
    </w:p>
    <w:p w:rsidR="009870DA" w:rsidP="00E74636" w:rsidRDefault="009870DA" w14:paraId="6DB9829A" w14:textId="1F10BFB1">
      <w:pPr>
        <w:rPr>
          <w:szCs w:val="22"/>
        </w:rPr>
      </w:pPr>
      <w:r>
        <w:rPr>
          <w:szCs w:val="22"/>
        </w:rPr>
        <w:t xml:space="preserve">16. </w:t>
      </w:r>
      <w:r>
        <w:rPr>
          <w:szCs w:val="22"/>
          <w:u w:val="single"/>
        </w:rPr>
        <w:t xml:space="preserve">Plans for </w:t>
      </w:r>
      <w:r w:rsidR="00E60759">
        <w:rPr>
          <w:szCs w:val="22"/>
          <w:u w:val="single"/>
        </w:rPr>
        <w:t>t</w:t>
      </w:r>
      <w:r>
        <w:rPr>
          <w:szCs w:val="22"/>
          <w:u w:val="single"/>
        </w:rPr>
        <w:t xml:space="preserve">abulation, </w:t>
      </w:r>
      <w:r w:rsidR="00E60759">
        <w:rPr>
          <w:szCs w:val="22"/>
          <w:u w:val="single"/>
        </w:rPr>
        <w:t>s</w:t>
      </w:r>
      <w:r>
        <w:rPr>
          <w:szCs w:val="22"/>
          <w:u w:val="single"/>
        </w:rPr>
        <w:t xml:space="preserve">tatistical </w:t>
      </w:r>
      <w:r w:rsidR="00E60759">
        <w:rPr>
          <w:szCs w:val="22"/>
          <w:u w:val="single"/>
        </w:rPr>
        <w:t>a</w:t>
      </w:r>
      <w:r>
        <w:rPr>
          <w:szCs w:val="22"/>
          <w:u w:val="single"/>
        </w:rPr>
        <w:t xml:space="preserve">nalysis, and </w:t>
      </w:r>
      <w:r w:rsidR="00E60759">
        <w:rPr>
          <w:szCs w:val="22"/>
          <w:u w:val="single"/>
        </w:rPr>
        <w:t>p</w:t>
      </w:r>
      <w:r>
        <w:rPr>
          <w:szCs w:val="22"/>
          <w:u w:val="single"/>
        </w:rPr>
        <w:t>ublication</w:t>
      </w:r>
      <w:r w:rsidR="00E60759">
        <w:rPr>
          <w:szCs w:val="22"/>
          <w:u w:val="single"/>
        </w:rPr>
        <w:t>.</w:t>
      </w:r>
      <w:r>
        <w:rPr>
          <w:szCs w:val="22"/>
        </w:rPr>
        <w:t xml:space="preserve"> </w:t>
      </w:r>
    </w:p>
    <w:p w:rsidR="009870DA" w:rsidP="009133C7" w:rsidRDefault="00E60759" w14:paraId="00D45199" w14:textId="77777777">
      <w:pPr>
        <w:spacing w:before="283"/>
        <w:ind w:firstLine="720"/>
        <w:rPr>
          <w:szCs w:val="22"/>
        </w:rPr>
      </w:pPr>
      <w:r>
        <w:t>The information will not be tabulated or compiled for publication.</w:t>
      </w:r>
      <w:r w:rsidR="009870DA">
        <w:rPr>
          <w:szCs w:val="22"/>
        </w:rPr>
        <w:t xml:space="preserve"> </w:t>
      </w:r>
    </w:p>
    <w:p w:rsidR="00632B71" w:rsidP="00E12F5D" w:rsidRDefault="00632B71" w14:paraId="6C4B139A" w14:textId="77777777"/>
    <w:p w:rsidR="00632B71" w:rsidP="00E12F5D" w:rsidRDefault="00632B71" w14:paraId="173BDD8E" w14:textId="77777777">
      <w:r>
        <w:t xml:space="preserve">17.  </w:t>
      </w:r>
      <w:r>
        <w:rPr>
          <w:u w:val="single"/>
        </w:rPr>
        <w:t>Request not to display the OMB expiration date</w:t>
      </w:r>
      <w:r w:rsidR="00E60759">
        <w:rPr>
          <w:u w:val="single"/>
        </w:rPr>
        <w:t>.</w:t>
      </w:r>
      <w:r>
        <w:t xml:space="preserve">  </w:t>
      </w:r>
    </w:p>
    <w:p w:rsidR="00632B71" w:rsidP="00632B71" w:rsidRDefault="00632B71" w14:paraId="6EAF5119" w14:textId="77777777">
      <w:pPr>
        <w:ind w:left="450"/>
      </w:pPr>
      <w:r>
        <w:tab/>
      </w:r>
    </w:p>
    <w:p w:rsidR="00632B71" w:rsidP="009133C7" w:rsidRDefault="00C17232" w14:paraId="56C714FB" w14:textId="3FEACC10">
      <w:pPr>
        <w:ind w:firstLine="720"/>
      </w:pPr>
      <w:r w:rsidRPr="00C17232">
        <w:rPr>
          <w:szCs w:val="22"/>
        </w:rPr>
        <w:t>FinCEN requests that it not be required to display the expiration date so that the regulations will not have to be amended for the new exp</w:t>
      </w:r>
      <w:r>
        <w:rPr>
          <w:szCs w:val="22"/>
        </w:rPr>
        <w:t>iration date every three years.</w:t>
      </w:r>
    </w:p>
    <w:p w:rsidR="00632B71" w:rsidP="00E12F5D" w:rsidRDefault="00632B71" w14:paraId="2E7CC66A" w14:textId="77777777"/>
    <w:p w:rsidR="00632B71" w:rsidP="00E12F5D" w:rsidRDefault="00632B71" w14:paraId="03D49333" w14:textId="77777777">
      <w:r>
        <w:t xml:space="preserve">18.  </w:t>
      </w:r>
      <w:r>
        <w:rPr>
          <w:u w:val="single"/>
        </w:rPr>
        <w:t>Exceptions to the certification statement</w:t>
      </w:r>
      <w:r w:rsidR="00E60759">
        <w:rPr>
          <w:u w:val="single"/>
        </w:rPr>
        <w:t>.</w:t>
      </w:r>
      <w:r>
        <w:t xml:space="preserve">  </w:t>
      </w:r>
    </w:p>
    <w:p w:rsidR="00632B71" w:rsidP="00632B71" w:rsidRDefault="00632B71" w14:paraId="0D1FB1F8" w14:textId="77777777">
      <w:pPr>
        <w:ind w:firstLine="360"/>
      </w:pPr>
    </w:p>
    <w:p w:rsidR="00632B71" w:rsidP="009133C7" w:rsidRDefault="00632B71" w14:paraId="13FB318A" w14:textId="77777777">
      <w:pPr>
        <w:ind w:firstLine="720"/>
      </w:pPr>
      <w:r w:rsidRPr="00B96D75">
        <w:t>There are no exceptions to the certification statement.</w:t>
      </w:r>
    </w:p>
    <w:p w:rsidR="009870DA" w:rsidRDefault="009870DA" w14:paraId="26A848AF" w14:textId="77777777"/>
    <w:sectPr w:rsidR="009870DA" w:rsidSect="00D465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1F75F" w14:textId="77777777" w:rsidR="00D85243" w:rsidRDefault="00D85243">
      <w:r>
        <w:separator/>
      </w:r>
    </w:p>
  </w:endnote>
  <w:endnote w:type="continuationSeparator" w:id="0">
    <w:p w14:paraId="69BD5864" w14:textId="77777777" w:rsidR="00D85243" w:rsidRDefault="00D8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281055"/>
      <w:docPartObj>
        <w:docPartGallery w:val="Page Numbers (Bottom of Page)"/>
        <w:docPartUnique/>
      </w:docPartObj>
    </w:sdtPr>
    <w:sdtEndPr>
      <w:rPr>
        <w:noProof/>
      </w:rPr>
    </w:sdtEndPr>
    <w:sdtContent>
      <w:p w14:paraId="75AC3B47" w14:textId="40E57A14" w:rsidR="00122800" w:rsidRDefault="00122800">
        <w:pPr>
          <w:pStyle w:val="Footer"/>
          <w:jc w:val="center"/>
        </w:pPr>
        <w:r>
          <w:fldChar w:fldCharType="begin"/>
        </w:r>
        <w:r>
          <w:instrText xml:space="preserve"> PAGE   \* MERGEFORMAT </w:instrText>
        </w:r>
        <w:r>
          <w:fldChar w:fldCharType="separate"/>
        </w:r>
        <w:r w:rsidR="0006746B">
          <w:rPr>
            <w:noProof/>
          </w:rPr>
          <w:t>7</w:t>
        </w:r>
        <w:r>
          <w:rPr>
            <w:noProof/>
          </w:rPr>
          <w:fldChar w:fldCharType="end"/>
        </w:r>
      </w:p>
    </w:sdtContent>
  </w:sdt>
  <w:p w14:paraId="77FCCA09" w14:textId="77777777" w:rsidR="00122800" w:rsidRDefault="00122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90DE8" w14:textId="77777777" w:rsidR="00D85243" w:rsidRDefault="00D85243">
      <w:r>
        <w:separator/>
      </w:r>
    </w:p>
  </w:footnote>
  <w:footnote w:type="continuationSeparator" w:id="0">
    <w:p w14:paraId="5122C63D" w14:textId="77777777" w:rsidR="00D85243" w:rsidRDefault="00D85243">
      <w:r>
        <w:continuationSeparator/>
      </w:r>
    </w:p>
  </w:footnote>
  <w:footnote w:id="1">
    <w:p w14:paraId="1C15D345" w14:textId="3464D822" w:rsidR="0051113E" w:rsidRDefault="0051113E">
      <w:pPr>
        <w:pStyle w:val="FootnoteText"/>
      </w:pPr>
      <w:r>
        <w:rPr>
          <w:rStyle w:val="FootnoteReference"/>
        </w:rPr>
        <w:footnoteRef/>
      </w:r>
      <w:r>
        <w:t xml:space="preserve"> </w:t>
      </w:r>
      <w:r w:rsidRPr="0051113E">
        <w:t>Public Law 107-56</w:t>
      </w:r>
      <w:r>
        <w:t>.</w:t>
      </w:r>
    </w:p>
  </w:footnote>
  <w:footnote w:id="2">
    <w:p w14:paraId="44F4BD97" w14:textId="77777777" w:rsidR="009133C7" w:rsidRDefault="009133C7" w:rsidP="009133C7">
      <w:r w:rsidRPr="00DA5474">
        <w:rPr>
          <w:rStyle w:val="FootnoteReference"/>
          <w:sz w:val="20"/>
          <w:szCs w:val="20"/>
        </w:rPr>
        <w:footnoteRef/>
      </w:r>
      <w:r w:rsidRPr="00DA5474">
        <w:rPr>
          <w:sz w:val="20"/>
          <w:szCs w:val="20"/>
        </w:rPr>
        <w:t xml:space="preserve"> </w:t>
      </w:r>
      <w:r>
        <w:rPr>
          <w:sz w:val="20"/>
          <w:szCs w:val="20"/>
        </w:rPr>
        <w:t xml:space="preserve">The BSA is codified at 12 U.S.C. 1829b, 12 U.S.C. 1951–1959, 31 U.S.C. 5311–5314 and 5316–5332 and notes thereto, with implementing regulations at 31 CFR Chapter X.  </w:t>
      </w:r>
      <w:r>
        <w:rPr>
          <w:i/>
          <w:iCs/>
          <w:sz w:val="20"/>
          <w:szCs w:val="20"/>
        </w:rPr>
        <w:t>See</w:t>
      </w:r>
      <w:r>
        <w:rPr>
          <w:sz w:val="20"/>
          <w:szCs w:val="20"/>
        </w:rPr>
        <w:t xml:space="preserve"> 31 CFR 1010.100(e).</w:t>
      </w:r>
    </w:p>
  </w:footnote>
  <w:footnote w:id="3">
    <w:p w14:paraId="7C1A3646" w14:textId="77777777" w:rsidR="009133C7" w:rsidRDefault="009133C7" w:rsidP="009133C7">
      <w:pPr>
        <w:pStyle w:val="FootnoteText"/>
      </w:pPr>
      <w:r>
        <w:rPr>
          <w:rStyle w:val="FootnoteReference"/>
        </w:rPr>
        <w:footnoteRef/>
      </w:r>
      <w:r>
        <w:t xml:space="preserve"> Treasury Order 180-01 (January 14, 2020).</w:t>
      </w:r>
    </w:p>
  </w:footnote>
  <w:footnote w:id="4">
    <w:p w14:paraId="14A11544" w14:textId="77777777" w:rsidR="009133C7" w:rsidRDefault="009133C7" w:rsidP="009133C7">
      <w:pPr>
        <w:pStyle w:val="FootnoteText"/>
      </w:pPr>
      <w:r>
        <w:rPr>
          <w:rStyle w:val="FootnoteReference"/>
        </w:rPr>
        <w:footnoteRef/>
      </w:r>
      <w:r>
        <w:t xml:space="preserve"> 31 U.S.C. 5311.</w:t>
      </w:r>
    </w:p>
  </w:footnote>
  <w:footnote w:id="5">
    <w:p w14:paraId="670C5C35" w14:textId="4F88C220" w:rsidR="00A5700D" w:rsidRDefault="00A5700D">
      <w:pPr>
        <w:pStyle w:val="FootnoteText"/>
      </w:pPr>
      <w:r>
        <w:rPr>
          <w:rStyle w:val="FootnoteReference"/>
        </w:rPr>
        <w:footnoteRef/>
      </w:r>
      <w:r>
        <w:t xml:space="preserve"> </w:t>
      </w:r>
      <w:r w:rsidRPr="004F7497">
        <w:rPr>
          <w:i/>
        </w:rPr>
        <w:t>See</w:t>
      </w:r>
      <w:r w:rsidRPr="004F7497">
        <w:t xml:space="preserve"> 31 CFR 1020.220.</w:t>
      </w:r>
      <w:r w:rsidRPr="00F45985">
        <w:rPr>
          <w:sz w:val="24"/>
        </w:rPr>
        <w:t xml:space="preserve">  </w:t>
      </w:r>
    </w:p>
  </w:footnote>
  <w:footnote w:id="6">
    <w:p w14:paraId="7206616A" w14:textId="73F5C2D7" w:rsidR="00875174" w:rsidRDefault="00875174">
      <w:pPr>
        <w:pStyle w:val="FootnoteText"/>
      </w:pPr>
      <w:r>
        <w:rPr>
          <w:rStyle w:val="FootnoteReference"/>
        </w:rPr>
        <w:footnoteRef/>
      </w:r>
      <w:r>
        <w:t xml:space="preserve"> FinCEN issued a Federal Register notice on August 13, 2020 to renew all of the OMB control numbers associated with the CIP regulations, including OMB control number 1506-0026</w:t>
      </w:r>
      <w:r w:rsidR="00C46611">
        <w:t xml:space="preserve"> (the”2020 Notice”).  The 2020 N</w:t>
      </w:r>
      <w:r>
        <w:t xml:space="preserve">otice requests comments from the public until October 13, 2020. </w:t>
      </w:r>
      <w:r w:rsidR="00FE4E55">
        <w:t xml:space="preserve"> </w:t>
      </w:r>
      <w:r w:rsidR="00CD52FB">
        <w:t>T</w:t>
      </w:r>
      <w:r w:rsidR="00C46611">
        <w:t>he 2020 N</w:t>
      </w:r>
      <w:r>
        <w:t>otice proposes to r</w:t>
      </w:r>
      <w:r w:rsidR="00030649">
        <w:t>enew without change the currently</w:t>
      </w:r>
      <w:r>
        <w:t xml:space="preserve"> approved information collections, proposes for review and comment a renewal of the portion of the</w:t>
      </w:r>
      <w:r w:rsidR="00BB0919">
        <w:t xml:space="preserve"> Paperwork Reduction Act</w:t>
      </w:r>
      <w:r>
        <w:t xml:space="preserve"> </w:t>
      </w:r>
      <w:r w:rsidR="00BB0919">
        <w:t>(“</w:t>
      </w:r>
      <w:r>
        <w:t>PRA</w:t>
      </w:r>
      <w:r w:rsidR="00BB0919">
        <w:t>”)</w:t>
      </w:r>
      <w:r>
        <w:t xml:space="preserve"> burden that has be</w:t>
      </w:r>
      <w:r w:rsidR="00030649">
        <w:t>en</w:t>
      </w:r>
      <w:r>
        <w:t xml:space="preserve"> subject to notice and comment </w:t>
      </w:r>
      <w:r w:rsidR="00030649">
        <w:t xml:space="preserve">in the past, and proposes for review and comment a future expansion of the scope of the PRA burden. </w:t>
      </w:r>
      <w:r w:rsidR="00FE4E55">
        <w:t xml:space="preserve"> </w:t>
      </w:r>
      <w:r w:rsidR="00030649">
        <w:t xml:space="preserve">Following the close of the comment period, FinCEN will issue a new supporting statement for OMB control number 1506-0026, reflecting the burden estimates proposed in 2020.  </w:t>
      </w:r>
      <w:r w:rsidR="00030649" w:rsidRPr="00030649">
        <w:rPr>
          <w:i/>
        </w:rPr>
        <w:t>See</w:t>
      </w:r>
      <w:r w:rsidR="00030649">
        <w:t xml:space="preserve"> 85 FR 49425 (Aug. 13 2020).</w:t>
      </w:r>
    </w:p>
  </w:footnote>
  <w:footnote w:id="7">
    <w:p w14:paraId="3D755EBB" w14:textId="77777777" w:rsidR="00FD3E6A" w:rsidRDefault="00FD3E6A" w:rsidP="00FD3E6A">
      <w:pPr>
        <w:pStyle w:val="FootnoteText"/>
      </w:pPr>
      <w:r>
        <w:rPr>
          <w:rStyle w:val="FootnoteReference"/>
        </w:rPr>
        <w:footnoteRef/>
      </w:r>
      <w:r>
        <w:t xml:space="preserve"> 85 FR 57129 (September 14, 2020).</w:t>
      </w:r>
    </w:p>
  </w:footnote>
  <w:footnote w:id="8">
    <w:p w14:paraId="0C81D5DA" w14:textId="77777777" w:rsidR="009133C7" w:rsidRDefault="009133C7" w:rsidP="009133C7">
      <w:pPr>
        <w:pStyle w:val="FootnoteText"/>
      </w:pPr>
      <w:r>
        <w:rPr>
          <w:rStyle w:val="FootnoteReference"/>
        </w:rPr>
        <w:footnoteRef/>
      </w:r>
      <w:r>
        <w:t xml:space="preserve"> </w:t>
      </w:r>
      <w:r w:rsidRPr="006C722C">
        <w:rPr>
          <w:i/>
        </w:rPr>
        <w:t>See</w:t>
      </w:r>
      <w:r>
        <w:t xml:space="preserve"> </w:t>
      </w:r>
      <w:r w:rsidRPr="00AE11F0">
        <w:t>81</w:t>
      </w:r>
      <w:r>
        <w:t xml:space="preserve"> FR 58425 (Aug. 25, 2016).</w:t>
      </w:r>
    </w:p>
  </w:footnote>
  <w:footnote w:id="9">
    <w:p w14:paraId="3F59A5B1" w14:textId="2DA35103" w:rsidR="00012A02" w:rsidRDefault="00012A02" w:rsidP="00012A02">
      <w:pPr>
        <w:pStyle w:val="FootnoteText"/>
      </w:pPr>
      <w:r>
        <w:rPr>
          <w:rStyle w:val="FootnoteReference"/>
        </w:rPr>
        <w:footnoteRef/>
      </w:r>
      <w:r>
        <w:t xml:space="preserve"> </w:t>
      </w:r>
      <w:r w:rsidR="00521724">
        <w:t>In the 2017 renewal</w:t>
      </w:r>
      <w:r w:rsidR="00D712FB">
        <w:t xml:space="preserve"> of OMB control number 1506-0026</w:t>
      </w:r>
      <w:r w:rsidR="00521724">
        <w:t xml:space="preserve">, the estimated number of respondents </w:t>
      </w:r>
      <w:r w:rsidR="00680607">
        <w:t xml:space="preserve">was 15,960. </w:t>
      </w:r>
      <w:r>
        <w:t xml:space="preserve">This number </w:t>
      </w:r>
      <w:r w:rsidR="00680607">
        <w:t>was</w:t>
      </w:r>
      <w:r>
        <w:t xml:space="preserve"> a total of the institutions represented in the 2017 annual reports of the following regulators: the National Credit Union Administration reported 5,573 institutions, the Federal Reserve reported 5,180 institutions, the Federal Deposit Insurance Corporation reported 3,636 institutions, the Office of the Comptroller of the Currency reported 1,446 institutions.  In addition, a report from the Government Accountability Office indicated that approximately 125 credit unions were insured privately, for a total of 15,960 institutions.</w:t>
      </w:r>
      <w:r w:rsidR="003B7E29">
        <w:t xml:space="preserve">  The Final R</w:t>
      </w:r>
      <w:r w:rsidR="007D04B3">
        <w:t>ule adds 41 banks lacking a Federal functional regulator that will be required to implement CIP requirements for the first time (15,960 + 41</w:t>
      </w:r>
      <w:r w:rsidR="008C55EF">
        <w:t>=</w:t>
      </w:r>
      <w:r w:rsidR="007D04B3">
        <w:t>16,001).</w:t>
      </w:r>
    </w:p>
  </w:footnote>
  <w:footnote w:id="10">
    <w:p w14:paraId="71B32593" w14:textId="2D275B39" w:rsidR="002C3559" w:rsidRDefault="00012A02" w:rsidP="00012A02">
      <w:pPr>
        <w:pStyle w:val="FootnoteText"/>
      </w:pPr>
      <w:r>
        <w:rPr>
          <w:rStyle w:val="FootnoteReference"/>
        </w:rPr>
        <w:footnoteRef/>
      </w:r>
      <w:r>
        <w:t xml:space="preserve"> </w:t>
      </w:r>
      <w:r w:rsidR="00D12C32">
        <w:t>In the 2017 renewal of OMB control number 1506-0026, FinCEN estimated that it would take each respondent 10 hours to update and maintain a CIP program.</w:t>
      </w:r>
    </w:p>
  </w:footnote>
  <w:footnote w:id="11">
    <w:p w14:paraId="68680AD7" w14:textId="2B36AD85" w:rsidR="00D12C32" w:rsidRDefault="00D12C32">
      <w:pPr>
        <w:pStyle w:val="FootnoteText"/>
      </w:pPr>
      <w:r>
        <w:rPr>
          <w:rStyle w:val="FootnoteReference"/>
        </w:rPr>
        <w:footnoteRef/>
      </w:r>
      <w:r>
        <w:t xml:space="preserve"> In the 2017 renewal of OMB control number 1506-0026, FinCEN estimated that it would take each respondent 1 hour to disclose CIP requirements to customers.  In the Final Rule, FinCEN also estimated that it would take each financial institution </w:t>
      </w:r>
      <w:r w:rsidR="008B1F81">
        <w:t>add</w:t>
      </w:r>
      <w:r>
        <w:t>ed by the Final Rule 1 hour to disclose CIP requirements to customers.</w:t>
      </w:r>
    </w:p>
  </w:footnote>
  <w:footnote w:id="12">
    <w:p w14:paraId="3A3756EF" w14:textId="5F093618" w:rsidR="00767E2F" w:rsidRDefault="00767E2F" w:rsidP="00BB005A">
      <w:pPr>
        <w:pStyle w:val="FootnoteText"/>
      </w:pPr>
      <w:r>
        <w:rPr>
          <w:rStyle w:val="FootnoteReference"/>
        </w:rPr>
        <w:footnoteRef/>
      </w:r>
      <w:r>
        <w:t xml:space="preserve"> </w:t>
      </w:r>
      <w:r w:rsidR="00BB005A">
        <w:t xml:space="preserve">In the Final Rule, FinCEN estimated that, on average, small financial institutions, such as those covered by the Final Rule, will open approximately 3 new accounts per business day.  There are 250 business days per year. (41 financial institutions </w:t>
      </w:r>
      <w:r w:rsidR="00BB005A" w:rsidRPr="00444F9A">
        <w:t>×</w:t>
      </w:r>
      <w:r w:rsidR="00BB005A">
        <w:t xml:space="preserve"> 3 accounts per day </w:t>
      </w:r>
      <w:r w:rsidR="00BB005A" w:rsidRPr="00444F9A">
        <w:t>×</w:t>
      </w:r>
      <w:r w:rsidR="00BB005A">
        <w:t xml:space="preserve"> 250 business days = 30,750 records per year).</w:t>
      </w:r>
      <w:r w:rsidR="006D56D6">
        <w:t xml:space="preserve"> </w:t>
      </w:r>
      <w:r w:rsidR="00D12C32">
        <w:t xml:space="preserve"> </w:t>
      </w:r>
      <w:r w:rsidR="00BB005A">
        <w:t>In past PRA burden analyses, FinCEN estimated that the burden to collect account information as a result of CIP requirements for other types of financial institutions was 2 minutes per new account.  However, because CIP is a new regulatory requirement for the financi</w:t>
      </w:r>
      <w:r w:rsidR="00A84CA6">
        <w:t xml:space="preserve">al institutions </w:t>
      </w:r>
      <w:r w:rsidR="008B1F81">
        <w:t>add</w:t>
      </w:r>
      <w:r w:rsidR="00A84CA6">
        <w:t>ed by the</w:t>
      </w:r>
      <w:r w:rsidR="00D12C32">
        <w:t xml:space="preserve"> Final Rule, FinCEN </w:t>
      </w:r>
      <w:r w:rsidR="00BB005A">
        <w:t>conservatively estimate</w:t>
      </w:r>
      <w:r w:rsidR="00D12C32">
        <w:t>d</w:t>
      </w:r>
      <w:r w:rsidR="00BB005A">
        <w:t xml:space="preserve"> that the time it takes to collect and document identification and verification information for purposes of CIP is 5 minutes per new account opened.  (30,750 records on new accounts </w:t>
      </w:r>
      <w:r w:rsidR="00BB005A" w:rsidRPr="00444F9A">
        <w:t>×</w:t>
      </w:r>
      <w:r w:rsidR="00BB005A">
        <w:t xml:space="preserve"> 5 minutes per account and converted to hours = 2,563 annual burden hours).  The burden per financial institution </w:t>
      </w:r>
      <w:r w:rsidR="008B1F81">
        <w:t>add</w:t>
      </w:r>
      <w:r w:rsidR="00BB005A">
        <w:t xml:space="preserve">ed by the Final </w:t>
      </w:r>
      <w:r w:rsidR="00943103">
        <w:t>Rule is 62.5 hours (2,563 hours</w:t>
      </w:r>
      <w:r w:rsidR="00BB005A">
        <w:t xml:space="preserve"> divided by 41 financial institutions equals 62.5 hours).</w:t>
      </w:r>
      <w:r w:rsidR="00D12C32">
        <w:t xml:space="preserve">  Note that FinCEN did not account for CIP verification in the 2017 renewal of </w:t>
      </w:r>
      <w:r w:rsidR="00C46611">
        <w:t xml:space="preserve">OMB </w:t>
      </w:r>
      <w:r w:rsidR="00D12C32">
        <w:t>control num</w:t>
      </w:r>
      <w:r w:rsidR="00943103">
        <w:t>ber 1506-0026</w:t>
      </w:r>
      <w:r w:rsidR="00C46611">
        <w:t>.  In the 2020 Notice, FinCEN clarified that in the future, FinCEN intends to add an annual burden calculation reflecting the burden of CIP verification for a</w:t>
      </w:r>
      <w:r w:rsidR="00BB0919">
        <w:t>ll financial institutions with</w:t>
      </w:r>
      <w:r w:rsidR="00C46611">
        <w:t xml:space="preserve"> CIP </w:t>
      </w:r>
      <w:r w:rsidR="00BB0919">
        <w:t xml:space="preserve">regulatory </w:t>
      </w:r>
      <w:r w:rsidR="00C46611">
        <w:t>requirement</w:t>
      </w:r>
      <w:r w:rsidR="00BB0919">
        <w:t>s</w:t>
      </w:r>
      <w:r w:rsidR="00C46611">
        <w:t>.</w:t>
      </w:r>
    </w:p>
  </w:footnote>
  <w:footnote w:id="13">
    <w:p w14:paraId="2B254D9B" w14:textId="23678AB4" w:rsidR="002C3559" w:rsidRPr="00943103" w:rsidRDefault="00012A02" w:rsidP="00012A02">
      <w:pPr>
        <w:pStyle w:val="FootnoteText"/>
      </w:pPr>
      <w:r w:rsidRPr="00943103">
        <w:rPr>
          <w:rStyle w:val="FootnoteReference"/>
        </w:rPr>
        <w:footnoteRef/>
      </w:r>
      <w:r w:rsidR="002C3559">
        <w:t xml:space="preserve"> </w:t>
      </w:r>
      <w:r w:rsidR="002915C1" w:rsidRPr="00943103">
        <w:t xml:space="preserve">See the table </w:t>
      </w:r>
      <w:r w:rsidR="00943103" w:rsidRPr="006D56D6">
        <w:t xml:space="preserve">below </w:t>
      </w:r>
      <w:r w:rsidR="002915C1" w:rsidRPr="00943103">
        <w:t xml:space="preserve">for the calculation of the total annual </w:t>
      </w:r>
      <w:r w:rsidR="00030649" w:rsidRPr="00943103">
        <w:t xml:space="preserve">respondent </w:t>
      </w:r>
      <w:r w:rsidR="002915C1" w:rsidRPr="00943103">
        <w:t>burden hours.</w:t>
      </w:r>
    </w:p>
  </w:footnote>
  <w:footnote w:id="14">
    <w:p w14:paraId="0E74F4F2" w14:textId="46A28471" w:rsidR="00F3577F" w:rsidRPr="00A66B07" w:rsidRDefault="00805E94" w:rsidP="00817CB6">
      <w:pPr>
        <w:pStyle w:val="Heading3"/>
        <w:spacing w:before="0" w:beforeAutospacing="0" w:after="0" w:afterAutospacing="0"/>
        <w:rPr>
          <w:b w:val="0"/>
          <w:sz w:val="20"/>
          <w:szCs w:val="20"/>
        </w:rPr>
      </w:pPr>
      <w:r w:rsidRPr="00A66B07">
        <w:rPr>
          <w:rStyle w:val="FootnoteReference"/>
          <w:b w:val="0"/>
          <w:sz w:val="20"/>
          <w:szCs w:val="20"/>
        </w:rPr>
        <w:footnoteRef/>
      </w:r>
      <w:r w:rsidR="002C3559">
        <w:rPr>
          <w:b w:val="0"/>
          <w:sz w:val="20"/>
          <w:szCs w:val="20"/>
        </w:rPr>
        <w:t xml:space="preserve"> </w:t>
      </w:r>
      <w:r w:rsidR="00817CB6" w:rsidRPr="00943103">
        <w:rPr>
          <w:b w:val="0"/>
          <w:sz w:val="20"/>
          <w:szCs w:val="20"/>
        </w:rPr>
        <w:t xml:space="preserve">U.S. Bureau of Labor Statistics, Occupational Employment Statistics-National, May 2019, available at </w:t>
      </w:r>
      <w:hyperlink r:id="rId1" w:history="1">
        <w:r w:rsidR="00817CB6" w:rsidRPr="00943103">
          <w:rPr>
            <w:rStyle w:val="Hyperlink"/>
            <w:b w:val="0"/>
            <w:sz w:val="20"/>
            <w:szCs w:val="20"/>
          </w:rPr>
          <w:t>https://www.bls.gov/oes/tables.htm</w:t>
        </w:r>
      </w:hyperlink>
      <w:r w:rsidR="00817CB6" w:rsidRPr="00943103">
        <w:rPr>
          <w:rStyle w:val="Hyperlink"/>
          <w:b w:val="0"/>
          <w:sz w:val="20"/>
          <w:szCs w:val="20"/>
        </w:rPr>
        <w:t>.</w:t>
      </w:r>
      <w:r w:rsidR="00817CB6" w:rsidRPr="00A66B07">
        <w:rPr>
          <w:b w:val="0"/>
          <w:sz w:val="20"/>
          <w:szCs w:val="20"/>
        </w:rPr>
        <w:t xml:space="preserve"> </w:t>
      </w:r>
      <w:r w:rsidR="006D56D6">
        <w:rPr>
          <w:b w:val="0"/>
          <w:sz w:val="20"/>
          <w:szCs w:val="20"/>
        </w:rPr>
        <w:t xml:space="preserve"> </w:t>
      </w:r>
      <w:r w:rsidR="00817CB6" w:rsidRPr="00943103">
        <w:rPr>
          <w:b w:val="0"/>
          <w:sz w:val="20"/>
          <w:szCs w:val="20"/>
        </w:rPr>
        <w:t xml:space="preserve">The most recent data from the BLS corresponds to May 2019. For the benefits component of total compensation, see U.S. Bureau of Labor Statistics, Employer’s Cost per Employee Compensation as of December 2019, available at </w:t>
      </w:r>
      <w:hyperlink r:id="rId2" w:history="1">
        <w:r w:rsidR="00817CB6" w:rsidRPr="00943103">
          <w:rPr>
            <w:rStyle w:val="Hyperlink"/>
            <w:b w:val="0"/>
            <w:sz w:val="20"/>
            <w:szCs w:val="20"/>
          </w:rPr>
          <w:t>https://www.bls.gov/news.release/ecec.nr0.htm</w:t>
        </w:r>
      </w:hyperlink>
      <w:r w:rsidR="00817CB6" w:rsidRPr="00943103">
        <w:rPr>
          <w:b w:val="0"/>
          <w:sz w:val="20"/>
          <w:szCs w:val="20"/>
        </w:rPr>
        <w:t xml:space="preserve">. </w:t>
      </w:r>
      <w:r w:rsidR="006D56D6">
        <w:rPr>
          <w:b w:val="0"/>
          <w:sz w:val="20"/>
          <w:szCs w:val="20"/>
        </w:rPr>
        <w:t xml:space="preserve"> </w:t>
      </w:r>
      <w:r w:rsidR="00817CB6" w:rsidRPr="00943103">
        <w:rPr>
          <w:b w:val="0"/>
          <w:sz w:val="20"/>
          <w:szCs w:val="20"/>
        </w:rPr>
        <w:t xml:space="preserve">The ratio between benefits and wages for financial activities is $15.95 (hourly benefits)/$32.05 (hourly wages) = 0.50. The benefit factor is 1 plus the benefit/wages ratio, or 1.50. Multiplying the hourly wage by the benefit factor produces the fully-loaded hourly wage per position. </w:t>
      </w:r>
      <w:r w:rsidR="006D56D6">
        <w:rPr>
          <w:b w:val="0"/>
          <w:sz w:val="20"/>
          <w:szCs w:val="20"/>
        </w:rPr>
        <w:t xml:space="preserve"> </w:t>
      </w:r>
      <w:r w:rsidR="00817CB6" w:rsidRPr="00943103">
        <w:rPr>
          <w:b w:val="0"/>
          <w:sz w:val="20"/>
          <w:szCs w:val="20"/>
        </w:rPr>
        <w:t>The median hourly wage for a Compliance Officer is $33.20 ($33.20 x 1.50 = $49.80).</w:t>
      </w:r>
    </w:p>
    <w:p w14:paraId="24CDF109" w14:textId="2FE09007" w:rsidR="00805E94" w:rsidRPr="00A63FF8" w:rsidRDefault="00805E94" w:rsidP="00805E94">
      <w:pPr>
        <w:pStyle w:val="FootnoteText"/>
      </w:pPr>
    </w:p>
  </w:footnote>
  <w:footnote w:id="15">
    <w:p w14:paraId="3F97EBE5" w14:textId="4A747273" w:rsidR="009133C7" w:rsidRDefault="009133C7" w:rsidP="009133C7">
      <w:pPr>
        <w:pStyle w:val="FootnoteText"/>
      </w:pPr>
      <w:r>
        <w:rPr>
          <w:rStyle w:val="FootnoteReference"/>
        </w:rPr>
        <w:footnoteRef/>
      </w:r>
      <w:r>
        <w:t xml:space="preserve"> </w:t>
      </w:r>
      <w:r w:rsidRPr="00521724">
        <w:t xml:space="preserve">FinCEN has previously implemented CIP requirements for </w:t>
      </w:r>
      <w:r w:rsidR="007C7AAD" w:rsidRPr="00521724">
        <w:t xml:space="preserve">non-Federally insured </w:t>
      </w:r>
      <w:r w:rsidRPr="00521724">
        <w:t>credit unions</w:t>
      </w:r>
      <w:r w:rsidR="007C7AAD" w:rsidRPr="00521724">
        <w:t xml:space="preserve"> and trust companies</w:t>
      </w:r>
      <w:r w:rsidRPr="00521724">
        <w:t xml:space="preserve">, </w:t>
      </w:r>
      <w:r w:rsidR="007C7AAD" w:rsidRPr="00521724">
        <w:t xml:space="preserve">and </w:t>
      </w:r>
      <w:r w:rsidRPr="00521724">
        <w:t xml:space="preserve">private banks that </w:t>
      </w:r>
      <w:r w:rsidR="007C7AAD" w:rsidRPr="00521724">
        <w:t xml:space="preserve">did </w:t>
      </w:r>
      <w:r w:rsidRPr="00521724">
        <w:t>not have a Federal functional regulator.</w:t>
      </w:r>
      <w:r w:rsidRPr="00521724">
        <w:rPr>
          <w:i/>
        </w:rPr>
        <w:t xml:space="preserve">  See </w:t>
      </w:r>
      <w:r w:rsidRPr="00521724">
        <w:t>31 CFR 1020.220</w:t>
      </w:r>
      <w:r w:rsidRPr="003B7E29">
        <w:t>.  For that reason, the CIP requirements</w:t>
      </w:r>
      <w:r w:rsidR="00A84CA6">
        <w:t xml:space="preserve"> in the</w:t>
      </w:r>
      <w:r w:rsidR="003B7E29" w:rsidRPr="003B7E29">
        <w:t xml:space="preserve"> Final R</w:t>
      </w:r>
      <w:r w:rsidRPr="003B7E29">
        <w:t>ule only appl</w:t>
      </w:r>
      <w:r w:rsidRPr="00F752A1">
        <w:t>y</w:t>
      </w:r>
      <w:r w:rsidRPr="00EB50B8">
        <w:t xml:space="preserve"> to the non-federally insured state-chartered banks and savings and loan or building and loan associations </w:t>
      </w:r>
      <w:r w:rsidRPr="00F752A1">
        <w:t xml:space="preserve">and </w:t>
      </w:r>
      <w:r w:rsidRPr="00EB50B8">
        <w:t>international banking entities.</w:t>
      </w:r>
    </w:p>
  </w:footnote>
  <w:footnote w:id="16">
    <w:p w14:paraId="4241872F" w14:textId="7500E28D" w:rsidR="009133C7" w:rsidRPr="00EB50B8" w:rsidRDefault="009133C7" w:rsidP="009133C7">
      <w:pPr>
        <w:autoSpaceDE w:val="0"/>
        <w:autoSpaceDN w:val="0"/>
        <w:adjustRightInd w:val="0"/>
        <w:rPr>
          <w:sz w:val="20"/>
          <w:szCs w:val="20"/>
        </w:rPr>
      </w:pPr>
      <w:r w:rsidRPr="00EB50B8">
        <w:rPr>
          <w:rStyle w:val="FootnoteReference"/>
          <w:sz w:val="20"/>
          <w:szCs w:val="20"/>
        </w:rPr>
        <w:footnoteRef/>
      </w:r>
      <w:r w:rsidRPr="00EB50B8">
        <w:rPr>
          <w:sz w:val="20"/>
          <w:szCs w:val="20"/>
        </w:rPr>
        <w:t xml:space="preserve"> </w:t>
      </w:r>
      <w:r>
        <w:rPr>
          <w:sz w:val="20"/>
          <w:szCs w:val="20"/>
        </w:rPr>
        <w:t>Approximately</w:t>
      </w:r>
      <w:r w:rsidRPr="00EB50B8">
        <w:rPr>
          <w:sz w:val="20"/>
          <w:szCs w:val="20"/>
        </w:rPr>
        <w:t xml:space="preserve"> 12 non-federally insured state-chartered banks and savings and loan or building and loan associations and </w:t>
      </w:r>
      <w:r>
        <w:rPr>
          <w:sz w:val="20"/>
          <w:szCs w:val="20"/>
        </w:rPr>
        <w:t>29</w:t>
      </w:r>
      <w:r w:rsidRPr="00EB50B8">
        <w:rPr>
          <w:sz w:val="20"/>
          <w:szCs w:val="20"/>
        </w:rPr>
        <w:t xml:space="preserve"> international banking entities depository institutions</w:t>
      </w:r>
      <w:r>
        <w:rPr>
          <w:sz w:val="20"/>
          <w:szCs w:val="20"/>
        </w:rPr>
        <w:t xml:space="preserve"> will be required to implement CIP re</w:t>
      </w:r>
      <w:r w:rsidR="00A84CA6">
        <w:rPr>
          <w:sz w:val="20"/>
          <w:szCs w:val="20"/>
        </w:rPr>
        <w:t>quirements as a result of the</w:t>
      </w:r>
      <w:r w:rsidR="003B7E29">
        <w:rPr>
          <w:sz w:val="20"/>
          <w:szCs w:val="20"/>
        </w:rPr>
        <w:t xml:space="preserve"> Final R</w:t>
      </w:r>
      <w:r>
        <w:rPr>
          <w:sz w:val="20"/>
          <w:szCs w:val="20"/>
        </w:rPr>
        <w:t>ule</w:t>
      </w:r>
      <w:r w:rsidRPr="00EB50B8">
        <w:rPr>
          <w:sz w:val="20"/>
          <w:szCs w:val="20"/>
        </w:rPr>
        <w:t xml:space="preserve">.   </w:t>
      </w:r>
    </w:p>
  </w:footnote>
  <w:footnote w:id="17">
    <w:p w14:paraId="66EBEB7E" w14:textId="77777777" w:rsidR="009133C7" w:rsidRPr="00BE7160" w:rsidRDefault="009133C7" w:rsidP="009133C7">
      <w:pPr>
        <w:widowControl w:val="0"/>
        <w:rPr>
          <w:snapToGrid w:val="0"/>
        </w:rPr>
      </w:pPr>
      <w:r w:rsidRPr="00C94DC3">
        <w:rPr>
          <w:rStyle w:val="FootnoteReference"/>
          <w:sz w:val="20"/>
          <w:szCs w:val="20"/>
        </w:rPr>
        <w:footnoteRef/>
      </w:r>
      <w:r w:rsidRPr="00C94DC3">
        <w:rPr>
          <w:sz w:val="20"/>
          <w:szCs w:val="20"/>
        </w:rPr>
        <w:t xml:space="preserve"> </w:t>
      </w:r>
      <w:r w:rsidRPr="00C94DC3">
        <w:rPr>
          <w:snapToGrid w:val="0"/>
          <w:sz w:val="20"/>
          <w:szCs w:val="20"/>
        </w:rPr>
        <w:t>The estimated average burden assoc</w:t>
      </w:r>
      <w:r>
        <w:rPr>
          <w:snapToGrid w:val="0"/>
          <w:sz w:val="20"/>
          <w:szCs w:val="20"/>
        </w:rPr>
        <w:t xml:space="preserve">iated with the development of </w:t>
      </w:r>
      <w:r w:rsidRPr="00C94DC3">
        <w:rPr>
          <w:snapToGrid w:val="0"/>
          <w:sz w:val="20"/>
          <w:szCs w:val="20"/>
        </w:rPr>
        <w:t>written</w:t>
      </w:r>
      <w:r>
        <w:rPr>
          <w:snapToGrid w:val="0"/>
          <w:sz w:val="20"/>
          <w:szCs w:val="20"/>
        </w:rPr>
        <w:t xml:space="preserve"> CIP</w:t>
      </w:r>
      <w:r w:rsidRPr="00C94DC3">
        <w:rPr>
          <w:snapToGrid w:val="0"/>
          <w:sz w:val="20"/>
          <w:szCs w:val="20"/>
        </w:rPr>
        <w:t xml:space="preserve"> pro</w:t>
      </w:r>
      <w:r>
        <w:rPr>
          <w:snapToGrid w:val="0"/>
          <w:sz w:val="20"/>
          <w:szCs w:val="20"/>
        </w:rPr>
        <w:t>cedures</w:t>
      </w:r>
      <w:r w:rsidRPr="00C94DC3">
        <w:rPr>
          <w:snapToGrid w:val="0"/>
          <w:sz w:val="20"/>
          <w:szCs w:val="20"/>
        </w:rPr>
        <w:t xml:space="preserve"> is one </w:t>
      </w:r>
      <w:r>
        <w:rPr>
          <w:snapToGrid w:val="0"/>
          <w:sz w:val="20"/>
          <w:szCs w:val="20"/>
        </w:rPr>
        <w:t xml:space="preserve">hour per recordkeeper annually.  </w:t>
      </w:r>
      <w:r w:rsidRPr="00C94DC3">
        <w:rPr>
          <w:snapToGrid w:val="0"/>
          <w:sz w:val="20"/>
          <w:szCs w:val="20"/>
        </w:rPr>
        <w:t xml:space="preserve">Although this is a new requirement for </w:t>
      </w:r>
      <w:r>
        <w:rPr>
          <w:snapToGrid w:val="0"/>
          <w:sz w:val="20"/>
          <w:szCs w:val="20"/>
        </w:rPr>
        <w:t xml:space="preserve">some </w:t>
      </w:r>
      <w:r w:rsidRPr="00C94DC3">
        <w:rPr>
          <w:snapToGrid w:val="0"/>
          <w:sz w:val="20"/>
          <w:szCs w:val="20"/>
        </w:rPr>
        <w:t xml:space="preserve">banks lacking a Federal functional regulator, they are already obligated to comply with a number of BSA regulations and state banking regulations. </w:t>
      </w:r>
      <w:r>
        <w:rPr>
          <w:snapToGrid w:val="0"/>
          <w:sz w:val="20"/>
          <w:szCs w:val="20"/>
        </w:rPr>
        <w:t xml:space="preserve"> T</w:t>
      </w:r>
      <w:r w:rsidRPr="00C94DC3">
        <w:rPr>
          <w:snapToGrid w:val="0"/>
          <w:sz w:val="20"/>
          <w:szCs w:val="20"/>
        </w:rPr>
        <w:t xml:space="preserve">hese banks likely maintain procedures to comply with such BSA and state banking regulations.  </w:t>
      </w:r>
      <w:r>
        <w:rPr>
          <w:snapToGrid w:val="0"/>
          <w:sz w:val="20"/>
          <w:szCs w:val="20"/>
        </w:rPr>
        <w:t xml:space="preserve">Further, certain identity verification documents for new customers are collected as standard practice for the financial industry.  </w:t>
      </w:r>
      <w:r w:rsidRPr="00C94DC3">
        <w:rPr>
          <w:snapToGrid w:val="0"/>
          <w:sz w:val="20"/>
          <w:szCs w:val="20"/>
        </w:rPr>
        <w:t>For that reason, FinCEN estimates that the burden associated with the development of written</w:t>
      </w:r>
      <w:r>
        <w:rPr>
          <w:snapToGrid w:val="0"/>
          <w:sz w:val="20"/>
          <w:szCs w:val="20"/>
        </w:rPr>
        <w:t xml:space="preserve"> CIP procedures</w:t>
      </w:r>
      <w:r w:rsidRPr="00C94DC3">
        <w:rPr>
          <w:snapToGrid w:val="0"/>
          <w:sz w:val="20"/>
          <w:szCs w:val="20"/>
        </w:rPr>
        <w:t xml:space="preserve"> is one hour because it will incorporate existing applicable procedures.  </w:t>
      </w:r>
    </w:p>
  </w:footnote>
  <w:footnote w:id="18">
    <w:p w14:paraId="03B61D50" w14:textId="035F93B5" w:rsidR="009133C7" w:rsidRDefault="009133C7" w:rsidP="009133C7">
      <w:pPr>
        <w:pStyle w:val="FootnoteText"/>
      </w:pPr>
      <w:r>
        <w:rPr>
          <w:rStyle w:val="FootnoteReference"/>
        </w:rPr>
        <w:footnoteRef/>
      </w:r>
      <w:r>
        <w:t xml:space="preserve"> FinCEN estimates that, on average, small financial institutions,</w:t>
      </w:r>
      <w:r w:rsidR="0061261C">
        <w:t xml:space="preserve"> such as those covered by </w:t>
      </w:r>
      <w:r w:rsidR="007C7AAD">
        <w:t>the</w:t>
      </w:r>
      <w:r w:rsidR="003B7E29">
        <w:t xml:space="preserve"> Final R</w:t>
      </w:r>
      <w:r>
        <w:t xml:space="preserve">ule, will open approximately 3 new accounts per business day.  There are 250 business days per year. (41 financial institutions </w:t>
      </w:r>
      <w:r w:rsidRPr="00444F9A">
        <w:t>×</w:t>
      </w:r>
      <w:r>
        <w:t xml:space="preserve"> 3 accounts per day </w:t>
      </w:r>
      <w:r w:rsidRPr="00444F9A">
        <w:t>×</w:t>
      </w:r>
      <w:r>
        <w:t xml:space="preserve"> 250 business days = 30,750 records per year).</w:t>
      </w:r>
    </w:p>
  </w:footnote>
  <w:footnote w:id="19">
    <w:p w14:paraId="7C8F460C" w14:textId="37ADBE9F" w:rsidR="009133C7" w:rsidRDefault="009133C7" w:rsidP="009133C7">
      <w:pPr>
        <w:pStyle w:val="FootnoteText"/>
      </w:pPr>
      <w:r>
        <w:rPr>
          <w:rStyle w:val="FootnoteReference"/>
        </w:rPr>
        <w:footnoteRef/>
      </w:r>
      <w:r>
        <w:t xml:space="preserve"> In past PRA burden analys</w:t>
      </w:r>
      <w:r w:rsidR="007C7AAD">
        <w:t>es</w:t>
      </w:r>
      <w:r>
        <w:t xml:space="preserve">, FinCEN estimated that the burden to collect account information as a result of CIP requirements for other types of financial institutions was 2 minutes per new account.  However, because CIP is a new regulatory requirement for the financial institutions </w:t>
      </w:r>
      <w:r w:rsidR="008B1F81">
        <w:t>add</w:t>
      </w:r>
      <w:r w:rsidR="00A84CA6">
        <w:t>ed by the</w:t>
      </w:r>
      <w:r>
        <w:t xml:space="preserve"> Final Rule, FinCEN will conservatively estimate that the time it takes to collect and document identification and verification information for purposes of CIP is 5 minutes per new account opened.  (30,750 records on new accounts </w:t>
      </w:r>
      <w:r w:rsidRPr="00444F9A">
        <w:t>×</w:t>
      </w:r>
      <w:r>
        <w:t xml:space="preserve"> 5 minutes per account and converted to hours = 2,563 annual burden hours).</w:t>
      </w:r>
    </w:p>
  </w:footnote>
  <w:footnote w:id="20">
    <w:p w14:paraId="1F7F3F36" w14:textId="1F76A8AA" w:rsidR="009133C7" w:rsidRPr="003A3F16" w:rsidRDefault="009133C7" w:rsidP="009133C7">
      <w:pPr>
        <w:pStyle w:val="FootnoteText"/>
      </w:pPr>
      <w:r w:rsidRPr="003A3F16">
        <w:rPr>
          <w:rStyle w:val="FootnoteReference"/>
        </w:rPr>
        <w:footnoteRef/>
      </w:r>
      <w:r w:rsidRPr="003A3F16">
        <w:t xml:space="preserve"> </w:t>
      </w:r>
      <w:r>
        <w:t xml:space="preserve">FinCEN estimates that it will take each financial institutions </w:t>
      </w:r>
      <w:r w:rsidR="008B1F81">
        <w:t>add</w:t>
      </w:r>
      <w:r>
        <w:t xml:space="preserve">ed by </w:t>
      </w:r>
      <w:r w:rsidR="007C7AAD">
        <w:t>the</w:t>
      </w:r>
      <w:r>
        <w:t xml:space="preserve"> </w:t>
      </w:r>
      <w:r w:rsidR="003B7E29">
        <w:t>F</w:t>
      </w:r>
      <w:r>
        <w:t xml:space="preserve">inal </w:t>
      </w:r>
      <w:r w:rsidR="003B7E29">
        <w:t>R</w:t>
      </w:r>
      <w:r>
        <w:t xml:space="preserve">ule 1 hour to draft and post a CIP disclosure notification for customers (41 financial institutions </w:t>
      </w:r>
      <w:r w:rsidRPr="00444F9A">
        <w:t>×</w:t>
      </w:r>
      <w:r>
        <w:t xml:space="preserve"> 1 hour = 41 hours).</w:t>
      </w:r>
    </w:p>
  </w:footnote>
  <w:footnote w:id="21">
    <w:p w14:paraId="6FA8B00A" w14:textId="77777777" w:rsidR="009133C7" w:rsidRDefault="009133C7" w:rsidP="009133C7">
      <w:pPr>
        <w:pStyle w:val="FootnoteText"/>
      </w:pPr>
      <w:r>
        <w:rPr>
          <w:rStyle w:val="FootnoteReference"/>
        </w:rPr>
        <w:footnoteRef/>
      </w:r>
      <w:r>
        <w:t xml:space="preserve"> </w:t>
      </w:r>
      <w:r w:rsidRPr="00F752A1">
        <w:t xml:space="preserve">The current annual burden hours estimate for OMB control number </w:t>
      </w:r>
      <w:r>
        <w:rPr>
          <w:snapToGrid w:val="0"/>
        </w:rPr>
        <w:t>1506-0026</w:t>
      </w:r>
      <w:r w:rsidRPr="00F752A1">
        <w:rPr>
          <w:snapToGrid w:val="0"/>
        </w:rPr>
        <w:t xml:space="preserve"> is</w:t>
      </w:r>
      <w:r w:rsidRPr="00F752A1">
        <w:t xml:space="preserve"> </w:t>
      </w:r>
      <w:r>
        <w:t>175,560, and 2,645</w:t>
      </w:r>
      <w:r w:rsidRPr="00F752A1">
        <w:t xml:space="preserve"> burden hours will be added to this control number as a res</w:t>
      </w:r>
      <w:r>
        <w:t>ult of this rulemaking (175,560 + 2,645 = 178,205).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17A6E"/>
    <w:multiLevelType w:val="hybridMultilevel"/>
    <w:tmpl w:val="51102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6D6133"/>
    <w:multiLevelType w:val="hybridMultilevel"/>
    <w:tmpl w:val="084A7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594610"/>
    <w:multiLevelType w:val="hybridMultilevel"/>
    <w:tmpl w:val="066A6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24476A"/>
    <w:multiLevelType w:val="hybridMultilevel"/>
    <w:tmpl w:val="45C05438"/>
    <w:lvl w:ilvl="0" w:tplc="0FBCF1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10D3ED0"/>
    <w:multiLevelType w:val="hybridMultilevel"/>
    <w:tmpl w:val="2D7E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F45985"/>
    <w:rsid w:val="000020CA"/>
    <w:rsid w:val="00012A02"/>
    <w:rsid w:val="00015DAA"/>
    <w:rsid w:val="0002657A"/>
    <w:rsid w:val="00030649"/>
    <w:rsid w:val="00044272"/>
    <w:rsid w:val="0006140A"/>
    <w:rsid w:val="00066426"/>
    <w:rsid w:val="0006746B"/>
    <w:rsid w:val="000729AE"/>
    <w:rsid w:val="00095413"/>
    <w:rsid w:val="000A45F2"/>
    <w:rsid w:val="000A674B"/>
    <w:rsid w:val="000B1C08"/>
    <w:rsid w:val="000B363C"/>
    <w:rsid w:val="000C6279"/>
    <w:rsid w:val="000C7C64"/>
    <w:rsid w:val="000D3F33"/>
    <w:rsid w:val="000D47DF"/>
    <w:rsid w:val="000F36E5"/>
    <w:rsid w:val="0010245E"/>
    <w:rsid w:val="00122800"/>
    <w:rsid w:val="001568B1"/>
    <w:rsid w:val="001722D3"/>
    <w:rsid w:val="0019729D"/>
    <w:rsid w:val="001A4524"/>
    <w:rsid w:val="001B17A1"/>
    <w:rsid w:val="001B2FEB"/>
    <w:rsid w:val="001D4AC3"/>
    <w:rsid w:val="001E1140"/>
    <w:rsid w:val="00202BD7"/>
    <w:rsid w:val="00213834"/>
    <w:rsid w:val="00216DA7"/>
    <w:rsid w:val="0023621C"/>
    <w:rsid w:val="00240612"/>
    <w:rsid w:val="002420DB"/>
    <w:rsid w:val="002561D2"/>
    <w:rsid w:val="00271033"/>
    <w:rsid w:val="00287F46"/>
    <w:rsid w:val="002915C1"/>
    <w:rsid w:val="002A426D"/>
    <w:rsid w:val="002C3559"/>
    <w:rsid w:val="002E007F"/>
    <w:rsid w:val="002E6F20"/>
    <w:rsid w:val="00301269"/>
    <w:rsid w:val="003013DB"/>
    <w:rsid w:val="00304D3C"/>
    <w:rsid w:val="00325661"/>
    <w:rsid w:val="00326177"/>
    <w:rsid w:val="00336191"/>
    <w:rsid w:val="00336B7A"/>
    <w:rsid w:val="003B7E29"/>
    <w:rsid w:val="003C3FDB"/>
    <w:rsid w:val="003F0145"/>
    <w:rsid w:val="00401738"/>
    <w:rsid w:val="00464BD7"/>
    <w:rsid w:val="00470D14"/>
    <w:rsid w:val="004E49B6"/>
    <w:rsid w:val="004F3F5D"/>
    <w:rsid w:val="004F7497"/>
    <w:rsid w:val="0050759F"/>
    <w:rsid w:val="0051113E"/>
    <w:rsid w:val="00511883"/>
    <w:rsid w:val="00521724"/>
    <w:rsid w:val="00542970"/>
    <w:rsid w:val="00556846"/>
    <w:rsid w:val="00556BCE"/>
    <w:rsid w:val="00567529"/>
    <w:rsid w:val="00573591"/>
    <w:rsid w:val="005807DA"/>
    <w:rsid w:val="005931ED"/>
    <w:rsid w:val="0059337E"/>
    <w:rsid w:val="00593502"/>
    <w:rsid w:val="00595C9F"/>
    <w:rsid w:val="005C273A"/>
    <w:rsid w:val="005D5ADB"/>
    <w:rsid w:val="005F2508"/>
    <w:rsid w:val="005F573B"/>
    <w:rsid w:val="0061261C"/>
    <w:rsid w:val="00632B71"/>
    <w:rsid w:val="00642AF1"/>
    <w:rsid w:val="00644B70"/>
    <w:rsid w:val="00645D7E"/>
    <w:rsid w:val="00664DB8"/>
    <w:rsid w:val="006678BE"/>
    <w:rsid w:val="00680607"/>
    <w:rsid w:val="00684821"/>
    <w:rsid w:val="006916B4"/>
    <w:rsid w:val="00692F65"/>
    <w:rsid w:val="00696031"/>
    <w:rsid w:val="006B6E5B"/>
    <w:rsid w:val="006D01ED"/>
    <w:rsid w:val="006D56D6"/>
    <w:rsid w:val="006F1C1E"/>
    <w:rsid w:val="00700058"/>
    <w:rsid w:val="00720F9F"/>
    <w:rsid w:val="00726A7D"/>
    <w:rsid w:val="00736C16"/>
    <w:rsid w:val="00763FDB"/>
    <w:rsid w:val="00767E2F"/>
    <w:rsid w:val="007859B9"/>
    <w:rsid w:val="00793435"/>
    <w:rsid w:val="007C7AAD"/>
    <w:rsid w:val="007D04B3"/>
    <w:rsid w:val="007D46AA"/>
    <w:rsid w:val="00805E94"/>
    <w:rsid w:val="00817CB6"/>
    <w:rsid w:val="008260CC"/>
    <w:rsid w:val="008614B2"/>
    <w:rsid w:val="00864C74"/>
    <w:rsid w:val="00875174"/>
    <w:rsid w:val="00883532"/>
    <w:rsid w:val="00887DFA"/>
    <w:rsid w:val="008A1433"/>
    <w:rsid w:val="008A5FC8"/>
    <w:rsid w:val="008B1F81"/>
    <w:rsid w:val="008C55EF"/>
    <w:rsid w:val="008D63FB"/>
    <w:rsid w:val="00905F92"/>
    <w:rsid w:val="00911700"/>
    <w:rsid w:val="009133C7"/>
    <w:rsid w:val="0093438C"/>
    <w:rsid w:val="00940088"/>
    <w:rsid w:val="00943103"/>
    <w:rsid w:val="00974EDC"/>
    <w:rsid w:val="009870DA"/>
    <w:rsid w:val="00995DCE"/>
    <w:rsid w:val="009A3DB9"/>
    <w:rsid w:val="009B4C51"/>
    <w:rsid w:val="009F0082"/>
    <w:rsid w:val="009F4A9C"/>
    <w:rsid w:val="00A204A5"/>
    <w:rsid w:val="00A23AA2"/>
    <w:rsid w:val="00A31BB4"/>
    <w:rsid w:val="00A34393"/>
    <w:rsid w:val="00A36EAF"/>
    <w:rsid w:val="00A458F5"/>
    <w:rsid w:val="00A5700D"/>
    <w:rsid w:val="00A6299C"/>
    <w:rsid w:val="00A6320F"/>
    <w:rsid w:val="00A66B07"/>
    <w:rsid w:val="00A67EBE"/>
    <w:rsid w:val="00A67F15"/>
    <w:rsid w:val="00A7265C"/>
    <w:rsid w:val="00A84CA6"/>
    <w:rsid w:val="00AC3FFF"/>
    <w:rsid w:val="00AC6F57"/>
    <w:rsid w:val="00B00C92"/>
    <w:rsid w:val="00B05DA0"/>
    <w:rsid w:val="00B15134"/>
    <w:rsid w:val="00B418EF"/>
    <w:rsid w:val="00B64B67"/>
    <w:rsid w:val="00B91C55"/>
    <w:rsid w:val="00B928AF"/>
    <w:rsid w:val="00B9467D"/>
    <w:rsid w:val="00BB005A"/>
    <w:rsid w:val="00BB0919"/>
    <w:rsid w:val="00BB5095"/>
    <w:rsid w:val="00BB7E15"/>
    <w:rsid w:val="00BD0583"/>
    <w:rsid w:val="00BD1A3E"/>
    <w:rsid w:val="00BF0ED0"/>
    <w:rsid w:val="00BF2BEE"/>
    <w:rsid w:val="00C17232"/>
    <w:rsid w:val="00C2559B"/>
    <w:rsid w:val="00C41EAC"/>
    <w:rsid w:val="00C44684"/>
    <w:rsid w:val="00C46611"/>
    <w:rsid w:val="00C61925"/>
    <w:rsid w:val="00C642A8"/>
    <w:rsid w:val="00C70164"/>
    <w:rsid w:val="00C7170F"/>
    <w:rsid w:val="00C769A6"/>
    <w:rsid w:val="00CA08B3"/>
    <w:rsid w:val="00CC240C"/>
    <w:rsid w:val="00CC79BA"/>
    <w:rsid w:val="00CD11C1"/>
    <w:rsid w:val="00CD16F0"/>
    <w:rsid w:val="00CD52FB"/>
    <w:rsid w:val="00CE4140"/>
    <w:rsid w:val="00CE4AA8"/>
    <w:rsid w:val="00CE6401"/>
    <w:rsid w:val="00CF6E31"/>
    <w:rsid w:val="00D12C32"/>
    <w:rsid w:val="00D4650F"/>
    <w:rsid w:val="00D651E7"/>
    <w:rsid w:val="00D712FB"/>
    <w:rsid w:val="00D71952"/>
    <w:rsid w:val="00D85243"/>
    <w:rsid w:val="00DB580C"/>
    <w:rsid w:val="00DB5B41"/>
    <w:rsid w:val="00DC69AA"/>
    <w:rsid w:val="00DE4489"/>
    <w:rsid w:val="00E009D6"/>
    <w:rsid w:val="00E12F5D"/>
    <w:rsid w:val="00E2224C"/>
    <w:rsid w:val="00E3567D"/>
    <w:rsid w:val="00E44D1A"/>
    <w:rsid w:val="00E50ACD"/>
    <w:rsid w:val="00E602F5"/>
    <w:rsid w:val="00E60759"/>
    <w:rsid w:val="00E67D2D"/>
    <w:rsid w:val="00E74636"/>
    <w:rsid w:val="00E76DD1"/>
    <w:rsid w:val="00E952EC"/>
    <w:rsid w:val="00E956F5"/>
    <w:rsid w:val="00EB5EF8"/>
    <w:rsid w:val="00F02F25"/>
    <w:rsid w:val="00F3323E"/>
    <w:rsid w:val="00F3577F"/>
    <w:rsid w:val="00F4235A"/>
    <w:rsid w:val="00F45985"/>
    <w:rsid w:val="00F75A30"/>
    <w:rsid w:val="00F838BE"/>
    <w:rsid w:val="00FD3E6A"/>
    <w:rsid w:val="00FE4E55"/>
    <w:rsid w:val="00FE5FB5"/>
    <w:rsid w:val="00FF2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27FC5"/>
  <w15:docId w15:val="{B83F8EB0-8965-4DE1-A64C-F4372E64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817CB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rsid w:val="00F45985"/>
    <w:rPr>
      <w:sz w:val="20"/>
      <w:szCs w:val="20"/>
    </w:rPr>
  </w:style>
  <w:style w:type="character" w:styleId="Hyperlink">
    <w:name w:val="Hyperlink"/>
    <w:rsid w:val="002420DB"/>
    <w:rPr>
      <w:color w:val="0000FF"/>
      <w:u w:val="single"/>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3C3FDB"/>
    <w:rPr>
      <w:lang w:eastAsia="en-US"/>
    </w:rPr>
  </w:style>
  <w:style w:type="character" w:styleId="CommentReference">
    <w:name w:val="annotation reference"/>
    <w:unhideWhenUsed/>
    <w:rsid w:val="00E60759"/>
    <w:rPr>
      <w:sz w:val="16"/>
      <w:szCs w:val="16"/>
    </w:rPr>
  </w:style>
  <w:style w:type="paragraph" w:styleId="CommentText">
    <w:name w:val="annotation text"/>
    <w:basedOn w:val="Normal"/>
    <w:link w:val="CommentTextChar"/>
    <w:unhideWhenUsed/>
    <w:rsid w:val="00E60759"/>
    <w:rPr>
      <w:sz w:val="20"/>
      <w:szCs w:val="20"/>
    </w:rPr>
  </w:style>
  <w:style w:type="character" w:customStyle="1" w:styleId="CommentTextChar">
    <w:name w:val="Comment Text Char"/>
    <w:basedOn w:val="DefaultParagraphFont"/>
    <w:link w:val="CommentText"/>
    <w:rsid w:val="00E60759"/>
    <w:rPr>
      <w:lang w:eastAsia="en-US"/>
    </w:rPr>
  </w:style>
  <w:style w:type="paragraph" w:styleId="CommentSubject">
    <w:name w:val="annotation subject"/>
    <w:basedOn w:val="CommentText"/>
    <w:next w:val="CommentText"/>
    <w:link w:val="CommentSubjectChar"/>
    <w:uiPriority w:val="99"/>
    <w:semiHidden/>
    <w:unhideWhenUsed/>
    <w:rsid w:val="00940088"/>
    <w:rPr>
      <w:b/>
      <w:bCs/>
    </w:rPr>
  </w:style>
  <w:style w:type="character" w:customStyle="1" w:styleId="CommentSubjectChar">
    <w:name w:val="Comment Subject Char"/>
    <w:basedOn w:val="CommentTextChar"/>
    <w:link w:val="CommentSubject"/>
    <w:uiPriority w:val="99"/>
    <w:semiHidden/>
    <w:rsid w:val="00940088"/>
    <w:rPr>
      <w:b/>
      <w:bCs/>
      <w:lang w:eastAsia="en-US"/>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No Spacing1,Bullet List,Bullet"/>
    <w:basedOn w:val="Normal"/>
    <w:link w:val="ListParagraphChar"/>
    <w:uiPriority w:val="34"/>
    <w:qFormat/>
    <w:rsid w:val="00805E94"/>
    <w:pPr>
      <w:ind w:left="720"/>
      <w:contextualSpacing/>
    </w:pPr>
  </w:style>
  <w:style w:type="paragraph" w:styleId="Revision">
    <w:name w:val="Revision"/>
    <w:hidden/>
    <w:uiPriority w:val="99"/>
    <w:semiHidden/>
    <w:rsid w:val="008D63FB"/>
    <w:rPr>
      <w:sz w:val="24"/>
      <w:szCs w:val="24"/>
      <w:lang w:eastAsia="en-US"/>
    </w:rPr>
  </w:style>
  <w:style w:type="paragraph" w:styleId="Header">
    <w:name w:val="header"/>
    <w:basedOn w:val="Normal"/>
    <w:link w:val="HeaderChar"/>
    <w:unhideWhenUsed/>
    <w:rsid w:val="00122800"/>
    <w:pPr>
      <w:tabs>
        <w:tab w:val="center" w:pos="4680"/>
        <w:tab w:val="right" w:pos="9360"/>
      </w:tabs>
    </w:pPr>
  </w:style>
  <w:style w:type="character" w:customStyle="1" w:styleId="HeaderChar">
    <w:name w:val="Header Char"/>
    <w:basedOn w:val="DefaultParagraphFont"/>
    <w:link w:val="Header"/>
    <w:uiPriority w:val="99"/>
    <w:rsid w:val="00122800"/>
    <w:rPr>
      <w:sz w:val="24"/>
      <w:szCs w:val="24"/>
      <w:lang w:eastAsia="en-US"/>
    </w:rPr>
  </w:style>
  <w:style w:type="paragraph" w:styleId="Footer">
    <w:name w:val="footer"/>
    <w:basedOn w:val="Normal"/>
    <w:link w:val="FooterChar"/>
    <w:uiPriority w:val="99"/>
    <w:unhideWhenUsed/>
    <w:rsid w:val="00122800"/>
    <w:pPr>
      <w:tabs>
        <w:tab w:val="center" w:pos="4680"/>
        <w:tab w:val="right" w:pos="9360"/>
      </w:tabs>
    </w:pPr>
  </w:style>
  <w:style w:type="character" w:customStyle="1" w:styleId="FooterChar">
    <w:name w:val="Footer Char"/>
    <w:basedOn w:val="DefaultParagraphFont"/>
    <w:link w:val="Footer"/>
    <w:uiPriority w:val="99"/>
    <w:rsid w:val="00122800"/>
    <w:rPr>
      <w:sz w:val="24"/>
      <w:szCs w:val="24"/>
      <w:lang w:eastAsia="en-US"/>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locked/>
    <w:rsid w:val="009133C7"/>
    <w:rPr>
      <w:sz w:val="24"/>
      <w:szCs w:val="24"/>
      <w:lang w:eastAsia="en-US"/>
    </w:rPr>
  </w:style>
  <w:style w:type="character" w:customStyle="1" w:styleId="Heading3Char">
    <w:name w:val="Heading 3 Char"/>
    <w:basedOn w:val="DefaultParagraphFont"/>
    <w:link w:val="Heading3"/>
    <w:uiPriority w:val="9"/>
    <w:rsid w:val="00817CB6"/>
    <w:rPr>
      <w:b/>
      <w:bCs/>
      <w:sz w:val="27"/>
      <w:szCs w:val="27"/>
      <w:lang w:eastAsia="en-US"/>
    </w:rPr>
  </w:style>
  <w:style w:type="paragraph" w:styleId="NormalWeb">
    <w:name w:val="Normal (Web)"/>
    <w:basedOn w:val="Normal"/>
    <w:uiPriority w:val="99"/>
    <w:unhideWhenUsed/>
    <w:rsid w:val="001B17A1"/>
    <w:pPr>
      <w:spacing w:before="100" w:beforeAutospacing="1" w:after="100" w:afterAutospacing="1"/>
    </w:pPr>
  </w:style>
  <w:style w:type="character" w:customStyle="1" w:styleId="PlainTextChar">
    <w:name w:val="Plain Text Char"/>
    <w:link w:val="PlainText"/>
    <w:rsid w:val="00875174"/>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0604">
      <w:bodyDiv w:val="1"/>
      <w:marLeft w:val="0"/>
      <w:marRight w:val="0"/>
      <w:marTop w:val="0"/>
      <w:marBottom w:val="0"/>
      <w:divBdr>
        <w:top w:val="none" w:sz="0" w:space="0" w:color="auto"/>
        <w:left w:val="none" w:sz="0" w:space="0" w:color="auto"/>
        <w:bottom w:val="none" w:sz="0" w:space="0" w:color="auto"/>
        <w:right w:val="none" w:sz="0" w:space="0" w:color="auto"/>
      </w:divBdr>
    </w:div>
    <w:div w:id="1094672197">
      <w:bodyDiv w:val="1"/>
      <w:marLeft w:val="0"/>
      <w:marRight w:val="0"/>
      <w:marTop w:val="0"/>
      <w:marBottom w:val="0"/>
      <w:divBdr>
        <w:top w:val="none" w:sz="0" w:space="0" w:color="auto"/>
        <w:left w:val="none" w:sz="0" w:space="0" w:color="auto"/>
        <w:bottom w:val="none" w:sz="0" w:space="0" w:color="auto"/>
        <w:right w:val="none" w:sz="0" w:space="0" w:color="auto"/>
      </w:divBdr>
    </w:div>
    <w:div w:id="152150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4-04-14/pdf/2014-0825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AAE5-1AF9-4462-80F6-E52ADB4B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12612</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dc:description/>
  <cp:lastModifiedBy>Stasko, Molly</cp:lastModifiedBy>
  <cp:revision>7</cp:revision>
  <cp:lastPrinted>2015-08-21T15:18:00Z</cp:lastPrinted>
  <dcterms:created xsi:type="dcterms:W3CDTF">2020-10-02T13:16:00Z</dcterms:created>
  <dcterms:modified xsi:type="dcterms:W3CDTF">2020-10-05T18:50:00Z</dcterms:modified>
</cp:coreProperties>
</file>