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23786D" w:rsidRDefault="00AF1157" w14:paraId="2FE1825C" w14:textId="77777777">
      <w:pPr>
        <w:suppressAutoHyphens/>
        <w:jc w:val="center"/>
        <w:rPr>
          <w:rFonts w:ascii="Arial" w:hAnsi="Arial" w:cs="Arial"/>
          <w:b/>
          <w:sz w:val="22"/>
          <w:szCs w:val="22"/>
        </w:rPr>
      </w:pPr>
      <w:bookmarkStart w:name="_GoBack" w:id="0"/>
      <w:bookmarkEnd w:id="0"/>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7A5D4B" w:rsidR="00AF1157" w:rsidP="0023786D" w:rsidRDefault="00AF1157" w14:paraId="7952DC82" w14:textId="77777777">
      <w:pPr>
        <w:suppressAutoHyphens/>
        <w:jc w:val="center"/>
        <w:rPr>
          <w:rFonts w:ascii="Arial" w:hAnsi="Arial" w:cs="Arial"/>
          <w:b/>
          <w:sz w:val="22"/>
          <w:szCs w:val="22"/>
        </w:rPr>
      </w:pPr>
    </w:p>
    <w:p w:rsidRPr="007A5D4B" w:rsidR="00AF1157" w:rsidP="0023786D" w:rsidRDefault="00AF1157" w14:paraId="7AE2664D"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9C373E" w:rsidR="00AF1157" w:rsidP="0023786D" w:rsidRDefault="00AF1157" w14:paraId="5A7B9A92" w14:textId="77777777">
      <w:pPr>
        <w:suppressAutoHyphens/>
        <w:jc w:val="center"/>
        <w:rPr>
          <w:rFonts w:ascii="Arial" w:hAnsi="Arial" w:cs="Arial"/>
          <w:b/>
          <w:sz w:val="28"/>
          <w:szCs w:val="28"/>
        </w:rPr>
      </w:pPr>
    </w:p>
    <w:p w:rsidRPr="007A5D4B" w:rsidR="00AF1157" w:rsidP="0023786D" w:rsidRDefault="00AF1157" w14:paraId="52E5C3F5"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9C373E" w:rsidR="00AF1157" w:rsidP="0023786D" w:rsidRDefault="00AF1157" w14:paraId="539B5D94" w14:textId="77777777">
      <w:pPr>
        <w:suppressAutoHyphens/>
        <w:jc w:val="center"/>
        <w:rPr>
          <w:rFonts w:ascii="Arial" w:hAnsi="Arial" w:cs="Arial"/>
          <w:b/>
          <w:sz w:val="28"/>
          <w:szCs w:val="28"/>
        </w:rPr>
      </w:pPr>
    </w:p>
    <w:p w:rsidRPr="009C373E" w:rsidR="00AF1157" w:rsidP="0023786D" w:rsidRDefault="00AF1157" w14:paraId="0A61CCDD" w14:textId="77777777">
      <w:pPr>
        <w:suppressAutoHyphens/>
        <w:jc w:val="center"/>
        <w:rPr>
          <w:rFonts w:ascii="Arial" w:hAnsi="Arial" w:cs="Arial"/>
          <w:b/>
          <w:sz w:val="22"/>
          <w:szCs w:val="22"/>
          <w:u w:val="single"/>
        </w:rPr>
      </w:pPr>
      <w:r w:rsidRPr="009C373E">
        <w:rPr>
          <w:rFonts w:ascii="Arial" w:hAnsi="Arial" w:cs="Arial"/>
          <w:b/>
          <w:sz w:val="22"/>
          <w:szCs w:val="22"/>
          <w:u w:val="single"/>
        </w:rPr>
        <w:t>OMB Control Number 1513</w:t>
      </w:r>
      <w:r w:rsidRPr="009C373E" w:rsidR="00D73D2D">
        <w:rPr>
          <w:rFonts w:ascii="Arial" w:hAnsi="Arial" w:cs="Arial"/>
          <w:b/>
          <w:sz w:val="22"/>
          <w:szCs w:val="22"/>
          <w:u w:val="single"/>
        </w:rPr>
        <w:t>–</w:t>
      </w:r>
      <w:r w:rsidRPr="009C373E" w:rsidR="00CF44C2">
        <w:rPr>
          <w:rFonts w:ascii="Arial" w:hAnsi="Arial" w:cs="Arial"/>
          <w:b/>
          <w:sz w:val="22"/>
          <w:szCs w:val="22"/>
          <w:u w:val="single"/>
        </w:rPr>
        <w:t>0053</w:t>
      </w:r>
      <w:r w:rsidRPr="009C373E" w:rsidR="00B87C90">
        <w:rPr>
          <w:rFonts w:ascii="Arial" w:hAnsi="Arial" w:cs="Arial"/>
          <w:b/>
          <w:sz w:val="22"/>
          <w:szCs w:val="22"/>
          <w:u w:val="single"/>
        </w:rPr>
        <w:t xml:space="preserve"> </w:t>
      </w:r>
    </w:p>
    <w:p w:rsidRPr="009C373E" w:rsidR="00E86B1B" w:rsidP="009C373E" w:rsidRDefault="00E86B1B" w14:paraId="64FCE272" w14:textId="77777777">
      <w:pPr>
        <w:suppressAutoHyphens/>
        <w:jc w:val="center"/>
        <w:rPr>
          <w:rFonts w:ascii="Arial" w:hAnsi="Arial" w:cs="Arial"/>
          <w:b/>
          <w:sz w:val="28"/>
          <w:szCs w:val="28"/>
          <w:u w:val="single"/>
        </w:rPr>
      </w:pPr>
    </w:p>
    <w:p w:rsidRPr="009C373E" w:rsidR="009A6532" w:rsidP="009C373E" w:rsidRDefault="00CF44C2" w14:paraId="5488170A" w14:textId="77777777">
      <w:pPr>
        <w:jc w:val="center"/>
        <w:rPr>
          <w:rFonts w:ascii="Arial" w:hAnsi="Arial" w:cs="Arial"/>
          <w:b/>
          <w:sz w:val="22"/>
          <w:szCs w:val="22"/>
        </w:rPr>
      </w:pPr>
      <w:r w:rsidRPr="009C373E">
        <w:rPr>
          <w:rFonts w:ascii="Arial" w:hAnsi="Arial" w:cs="Arial"/>
          <w:b/>
          <w:sz w:val="22"/>
          <w:szCs w:val="22"/>
        </w:rPr>
        <w:t>Report of Wine Premises Operations</w:t>
      </w:r>
      <w:r w:rsidR="009C373E">
        <w:rPr>
          <w:rFonts w:ascii="Arial" w:hAnsi="Arial" w:cs="Arial"/>
          <w:b/>
          <w:sz w:val="22"/>
          <w:szCs w:val="22"/>
        </w:rPr>
        <w:t xml:space="preserve"> </w:t>
      </w:r>
    </w:p>
    <w:p w:rsidRPr="00256D98" w:rsidR="00256D98" w:rsidP="0023786D" w:rsidRDefault="00256D98" w14:paraId="03E8BC7E" w14:textId="77777777">
      <w:pPr>
        <w:rPr>
          <w:rFonts w:ascii="Arial" w:hAnsi="Arial" w:cs="Arial"/>
          <w:sz w:val="22"/>
          <w:szCs w:val="22"/>
        </w:rPr>
      </w:pPr>
    </w:p>
    <w:p w:rsidRPr="007A5D4B" w:rsidR="00CF44C2" w:rsidP="0023786D" w:rsidRDefault="00CF44C2" w14:paraId="1293E9CB" w14:textId="77777777">
      <w:pPr>
        <w:suppressAutoHyphens/>
        <w:rPr>
          <w:rFonts w:ascii="Arial" w:hAnsi="Arial" w:cs="Arial"/>
          <w:sz w:val="22"/>
          <w:szCs w:val="22"/>
        </w:rPr>
      </w:pPr>
    </w:p>
    <w:p w:rsidRPr="007A5D4B" w:rsidR="00AF1157" w:rsidP="0023786D" w:rsidRDefault="00AF1157" w14:paraId="4F7CD72E"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23786D" w:rsidRDefault="00AF1157" w14:paraId="0357CFAA" w14:textId="77777777">
      <w:pPr>
        <w:suppressAutoHyphens/>
        <w:rPr>
          <w:rFonts w:ascii="Arial" w:hAnsi="Arial" w:cs="Arial"/>
          <w:sz w:val="22"/>
          <w:szCs w:val="22"/>
        </w:rPr>
      </w:pPr>
    </w:p>
    <w:p w:rsidRPr="007A5D4B" w:rsidR="00AF1157" w:rsidP="0023786D" w:rsidRDefault="00D73D2D" w14:paraId="5AC658F7"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23786D" w:rsidRDefault="00AF1157" w14:paraId="064FDC04" w14:textId="77777777">
      <w:pPr>
        <w:ind w:left="360"/>
        <w:rPr>
          <w:rFonts w:ascii="Arial" w:hAnsi="Arial" w:cs="Arial"/>
          <w:sz w:val="22"/>
          <w:szCs w:val="22"/>
        </w:rPr>
      </w:pPr>
    </w:p>
    <w:p w:rsidR="00256D98" w:rsidP="0023786D" w:rsidRDefault="00256D98" w14:paraId="40B84897" w14:textId="77777777">
      <w:pPr>
        <w:ind w:left="360"/>
        <w:rPr>
          <w:rFonts w:ascii="Arial" w:hAnsi="Arial" w:cs="Arial"/>
          <w:sz w:val="22"/>
          <w:szCs w:val="22"/>
        </w:rPr>
      </w:pPr>
      <w:r w:rsidRPr="00256D98">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009C373E">
        <w:rPr>
          <w:rFonts w:ascii="Arial" w:hAnsi="Arial" w:cs="Arial"/>
          <w:sz w:val="22"/>
          <w:szCs w:val="22"/>
        </w:rPr>
        <w:t xml:space="preserve">(the Secretary) </w:t>
      </w:r>
      <w:r w:rsidRPr="00256D98">
        <w:rPr>
          <w:rFonts w:ascii="Arial" w:hAnsi="Arial" w:cs="Arial"/>
          <w:sz w:val="22"/>
          <w:szCs w:val="22"/>
        </w:rPr>
        <w:t>has delegated certain IRC administrative and enforcement authorities to TTB through Treasury Department Order 120–01.</w:t>
      </w:r>
      <w:r w:rsidR="009C373E">
        <w:rPr>
          <w:rFonts w:ascii="Arial" w:hAnsi="Arial" w:cs="Arial"/>
          <w:sz w:val="22"/>
          <w:szCs w:val="22"/>
        </w:rPr>
        <w:t xml:space="preserve"> </w:t>
      </w:r>
    </w:p>
    <w:p w:rsidRPr="00C22AE6" w:rsidR="00C22AE6" w:rsidP="0023786D" w:rsidRDefault="00C22AE6" w14:paraId="78C5991A" w14:textId="77777777">
      <w:pPr>
        <w:ind w:left="360"/>
        <w:rPr>
          <w:rFonts w:ascii="Arial" w:hAnsi="Arial" w:cs="Arial"/>
          <w:sz w:val="22"/>
          <w:szCs w:val="22"/>
        </w:rPr>
      </w:pPr>
    </w:p>
    <w:p w:rsidR="0099126C" w:rsidP="0023786D" w:rsidRDefault="006B4A1D" w14:paraId="4F8F68E4" w14:textId="77777777">
      <w:pPr>
        <w:ind w:left="360"/>
        <w:rPr>
          <w:rFonts w:ascii="Arial" w:hAnsi="Arial" w:cs="Arial"/>
          <w:sz w:val="22"/>
          <w:szCs w:val="22"/>
        </w:rPr>
      </w:pPr>
      <w:r w:rsidRPr="006B4A1D">
        <w:rPr>
          <w:rFonts w:ascii="Arial" w:hAnsi="Arial" w:cs="Arial"/>
          <w:sz w:val="22"/>
          <w:szCs w:val="22"/>
        </w:rPr>
        <w:t xml:space="preserve">The IRC at 26 U.S.C. 5367 </w:t>
      </w:r>
      <w:r w:rsidRPr="0099126C" w:rsidR="0099126C">
        <w:rPr>
          <w:rFonts w:ascii="Arial" w:hAnsi="Arial" w:cs="Arial"/>
          <w:sz w:val="22"/>
          <w:szCs w:val="22"/>
        </w:rPr>
        <w:t xml:space="preserve">states, “The proprietor of a bonded wine cellar or taxpaid wine bottling house shall keep such records and file such returns, in such form and containing such information, as the Secretary may by regulations provide.”  The IRC at 26 U.S.C. 5555 also requires any person liable for tax under chapter 51 of the IRC to keep records, provide statements, and make returns as prescribed by regulation.  </w:t>
      </w:r>
      <w:r w:rsidRPr="006B4A1D">
        <w:rPr>
          <w:rFonts w:ascii="Arial" w:hAnsi="Arial" w:cs="Arial"/>
          <w:sz w:val="22"/>
          <w:szCs w:val="22"/>
        </w:rPr>
        <w:t>Under th</w:t>
      </w:r>
      <w:r w:rsidR="009C373E">
        <w:rPr>
          <w:rFonts w:ascii="Arial" w:hAnsi="Arial" w:cs="Arial"/>
          <w:sz w:val="22"/>
          <w:szCs w:val="22"/>
        </w:rPr>
        <w:t>o</w:t>
      </w:r>
      <w:r w:rsidRPr="006B4A1D">
        <w:rPr>
          <w:rFonts w:ascii="Arial" w:hAnsi="Arial" w:cs="Arial"/>
          <w:sz w:val="22"/>
          <w:szCs w:val="22"/>
        </w:rPr>
        <w:t xml:space="preserve">se authorities, the TTB </w:t>
      </w:r>
      <w:r w:rsidR="009C373E">
        <w:rPr>
          <w:rFonts w:ascii="Arial" w:hAnsi="Arial" w:cs="Arial"/>
          <w:sz w:val="22"/>
          <w:szCs w:val="22"/>
        </w:rPr>
        <w:t>regulations in 27 CFR P</w:t>
      </w:r>
      <w:r w:rsidRPr="006B4A1D">
        <w:rPr>
          <w:rFonts w:ascii="Arial" w:hAnsi="Arial" w:cs="Arial"/>
          <w:sz w:val="22"/>
          <w:szCs w:val="22"/>
        </w:rPr>
        <w:t>art 24</w:t>
      </w:r>
      <w:r w:rsidR="009C373E">
        <w:rPr>
          <w:rFonts w:ascii="Arial" w:hAnsi="Arial" w:cs="Arial"/>
          <w:sz w:val="22"/>
          <w:szCs w:val="22"/>
        </w:rPr>
        <w:t xml:space="preserve">, Wine, </w:t>
      </w:r>
      <w:r w:rsidRPr="006B4A1D">
        <w:rPr>
          <w:rFonts w:ascii="Arial" w:hAnsi="Arial" w:cs="Arial"/>
          <w:sz w:val="22"/>
          <w:szCs w:val="22"/>
        </w:rPr>
        <w:t xml:space="preserve">require wine premises </w:t>
      </w:r>
      <w:r w:rsidR="009C373E">
        <w:rPr>
          <w:rFonts w:ascii="Arial" w:hAnsi="Arial" w:cs="Arial"/>
          <w:sz w:val="22"/>
          <w:szCs w:val="22"/>
        </w:rPr>
        <w:t xml:space="preserve">proprietors </w:t>
      </w:r>
      <w:r w:rsidRPr="006B4A1D">
        <w:rPr>
          <w:rFonts w:ascii="Arial" w:hAnsi="Arial" w:cs="Arial"/>
          <w:sz w:val="22"/>
          <w:szCs w:val="22"/>
        </w:rPr>
        <w:t xml:space="preserve">to file periodic operations reports </w:t>
      </w:r>
      <w:r w:rsidRPr="0099126C" w:rsidR="0099126C">
        <w:rPr>
          <w:rFonts w:ascii="Arial" w:hAnsi="Arial" w:cs="Arial"/>
          <w:sz w:val="22"/>
          <w:szCs w:val="22"/>
        </w:rPr>
        <w:t>u</w:t>
      </w:r>
      <w:r w:rsidR="009C373E">
        <w:rPr>
          <w:rFonts w:ascii="Arial" w:hAnsi="Arial" w:cs="Arial"/>
          <w:sz w:val="22"/>
          <w:szCs w:val="22"/>
        </w:rPr>
        <w:t>sing form TTB F </w:t>
      </w:r>
      <w:r w:rsidRPr="0099126C" w:rsidR="0099126C">
        <w:rPr>
          <w:rFonts w:ascii="Arial" w:hAnsi="Arial" w:cs="Arial"/>
          <w:sz w:val="22"/>
          <w:szCs w:val="22"/>
        </w:rPr>
        <w:t>5120.17, Report of Wine Premises Operations.</w:t>
      </w:r>
      <w:r w:rsidR="00C80CE8">
        <w:rPr>
          <w:rStyle w:val="FootnoteReference"/>
          <w:rFonts w:ascii="Arial" w:hAnsi="Arial" w:cs="Arial"/>
          <w:sz w:val="22"/>
          <w:szCs w:val="22"/>
        </w:rPr>
        <w:footnoteReference w:id="1"/>
      </w:r>
      <w:r w:rsidRPr="0099126C" w:rsidR="0099126C">
        <w:rPr>
          <w:rFonts w:ascii="Arial" w:hAnsi="Arial" w:cs="Arial"/>
          <w:sz w:val="22"/>
          <w:szCs w:val="22"/>
        </w:rPr>
        <w:t xml:space="preserve">  This report </w:t>
      </w:r>
      <w:r w:rsidR="009C373E">
        <w:rPr>
          <w:rFonts w:ascii="Arial" w:hAnsi="Arial" w:cs="Arial"/>
          <w:sz w:val="22"/>
          <w:szCs w:val="22"/>
        </w:rPr>
        <w:t xml:space="preserve">collects </w:t>
      </w:r>
      <w:r w:rsidRPr="0099126C" w:rsidR="0099126C">
        <w:rPr>
          <w:rFonts w:ascii="Arial" w:hAnsi="Arial" w:cs="Arial"/>
          <w:sz w:val="22"/>
          <w:szCs w:val="22"/>
        </w:rPr>
        <w:t xml:space="preserve">information </w:t>
      </w:r>
      <w:r w:rsidR="009C373E">
        <w:rPr>
          <w:rFonts w:ascii="Arial" w:hAnsi="Arial" w:cs="Arial"/>
          <w:sz w:val="22"/>
          <w:szCs w:val="22"/>
        </w:rPr>
        <w:t xml:space="preserve">regarding, among other things, </w:t>
      </w:r>
      <w:r w:rsidRPr="0099126C" w:rsidR="0099126C">
        <w:rPr>
          <w:rFonts w:ascii="Arial" w:hAnsi="Arial" w:cs="Arial"/>
          <w:sz w:val="22"/>
          <w:szCs w:val="22"/>
        </w:rPr>
        <w:t>the</w:t>
      </w:r>
      <w:r w:rsidR="009C373E">
        <w:rPr>
          <w:rFonts w:ascii="Arial" w:hAnsi="Arial" w:cs="Arial"/>
          <w:sz w:val="22"/>
          <w:szCs w:val="22"/>
        </w:rPr>
        <w:t xml:space="preserve"> p</w:t>
      </w:r>
      <w:r w:rsidRPr="0099126C" w:rsidR="0099126C">
        <w:rPr>
          <w:rFonts w:ascii="Arial" w:hAnsi="Arial" w:cs="Arial"/>
          <w:sz w:val="22"/>
          <w:szCs w:val="22"/>
        </w:rPr>
        <w:t>roduction, bottling, and removal of wine by tax class</w:t>
      </w:r>
      <w:r w:rsidR="009C373E">
        <w:rPr>
          <w:rFonts w:ascii="Arial" w:hAnsi="Arial" w:cs="Arial"/>
          <w:sz w:val="22"/>
          <w:szCs w:val="22"/>
        </w:rPr>
        <w:t xml:space="preserve">, the </w:t>
      </w:r>
      <w:r w:rsidRPr="0099126C" w:rsidR="0099126C">
        <w:rPr>
          <w:rFonts w:ascii="Arial" w:hAnsi="Arial" w:cs="Arial"/>
          <w:sz w:val="22"/>
          <w:szCs w:val="22"/>
        </w:rPr>
        <w:t>use of wine spirits</w:t>
      </w:r>
      <w:r w:rsidR="009C373E">
        <w:rPr>
          <w:rFonts w:ascii="Arial" w:hAnsi="Arial" w:cs="Arial"/>
          <w:sz w:val="22"/>
          <w:szCs w:val="22"/>
        </w:rPr>
        <w:t xml:space="preserve">, the </w:t>
      </w:r>
      <w:r w:rsidRPr="0099126C" w:rsidR="0099126C">
        <w:rPr>
          <w:rFonts w:ascii="Arial" w:hAnsi="Arial" w:cs="Arial"/>
          <w:sz w:val="22"/>
          <w:szCs w:val="22"/>
        </w:rPr>
        <w:t>type and quantity of winemaking materials received and used</w:t>
      </w:r>
      <w:r w:rsidR="008C6BC9">
        <w:rPr>
          <w:rFonts w:ascii="Arial" w:hAnsi="Arial" w:cs="Arial"/>
          <w:sz w:val="22"/>
          <w:szCs w:val="22"/>
        </w:rPr>
        <w:t xml:space="preserve">, the </w:t>
      </w:r>
      <w:r w:rsidRPr="0099126C" w:rsidR="0099126C">
        <w:rPr>
          <w:rFonts w:ascii="Arial" w:hAnsi="Arial" w:cs="Arial"/>
          <w:sz w:val="22"/>
          <w:szCs w:val="22"/>
        </w:rPr>
        <w:t xml:space="preserve">amount of liquid in fermenters at the end of the </w:t>
      </w:r>
      <w:r w:rsidR="008C6BC9">
        <w:rPr>
          <w:rFonts w:ascii="Arial" w:hAnsi="Arial" w:cs="Arial"/>
          <w:sz w:val="22"/>
          <w:szCs w:val="22"/>
        </w:rPr>
        <w:t xml:space="preserve">reporting </w:t>
      </w:r>
      <w:r w:rsidRPr="0099126C" w:rsidR="0099126C">
        <w:rPr>
          <w:rFonts w:ascii="Arial" w:hAnsi="Arial" w:cs="Arial"/>
          <w:sz w:val="22"/>
          <w:szCs w:val="22"/>
        </w:rPr>
        <w:t>period</w:t>
      </w:r>
      <w:r w:rsidR="008C6BC9">
        <w:rPr>
          <w:rFonts w:ascii="Arial" w:hAnsi="Arial" w:cs="Arial"/>
          <w:sz w:val="22"/>
          <w:szCs w:val="22"/>
        </w:rPr>
        <w:t xml:space="preserve">, and the </w:t>
      </w:r>
      <w:r w:rsidRPr="0099126C" w:rsidR="0099126C">
        <w:rPr>
          <w:rFonts w:ascii="Arial" w:hAnsi="Arial" w:cs="Arial"/>
          <w:sz w:val="22"/>
          <w:szCs w:val="22"/>
        </w:rPr>
        <w:t xml:space="preserve">production of </w:t>
      </w:r>
      <w:r w:rsidR="008C6BC9">
        <w:rPr>
          <w:rFonts w:ascii="Arial" w:hAnsi="Arial" w:cs="Arial"/>
          <w:sz w:val="22"/>
          <w:szCs w:val="22"/>
        </w:rPr>
        <w:t xml:space="preserve">special natural wine and </w:t>
      </w:r>
      <w:r w:rsidRPr="0099126C" w:rsidR="0099126C">
        <w:rPr>
          <w:rFonts w:ascii="Arial" w:hAnsi="Arial" w:cs="Arial"/>
          <w:sz w:val="22"/>
          <w:szCs w:val="22"/>
        </w:rPr>
        <w:t>nonbeverage wine</w:t>
      </w:r>
      <w:r w:rsidR="008C6BC9">
        <w:rPr>
          <w:rFonts w:ascii="Arial" w:hAnsi="Arial" w:cs="Arial"/>
          <w:sz w:val="22"/>
          <w:szCs w:val="22"/>
        </w:rPr>
        <w:t xml:space="preserve">. </w:t>
      </w:r>
    </w:p>
    <w:p w:rsidRPr="006B4A1D" w:rsidR="0099126C" w:rsidP="0023786D" w:rsidRDefault="0099126C" w14:paraId="4BB7C2C7" w14:textId="77777777">
      <w:pPr>
        <w:ind w:left="360"/>
        <w:rPr>
          <w:rFonts w:ascii="Arial" w:hAnsi="Arial" w:cs="Arial"/>
          <w:sz w:val="22"/>
          <w:szCs w:val="22"/>
        </w:rPr>
      </w:pPr>
    </w:p>
    <w:p w:rsidR="00D449FB" w:rsidP="00A1179E" w:rsidRDefault="00442CCB" w14:paraId="63B81EDD" w14:textId="77777777">
      <w:pPr>
        <w:ind w:left="360"/>
        <w:rPr>
          <w:rFonts w:ascii="Arial" w:hAnsi="Arial" w:cs="Arial"/>
          <w:sz w:val="22"/>
          <w:szCs w:val="22"/>
        </w:rPr>
      </w:pPr>
      <w:r>
        <w:rPr>
          <w:rFonts w:ascii="Arial" w:hAnsi="Arial" w:cs="Arial"/>
          <w:sz w:val="22"/>
          <w:szCs w:val="22"/>
        </w:rPr>
        <w:t>Th</w:t>
      </w:r>
      <w:r w:rsidR="008A2386">
        <w:rPr>
          <w:rFonts w:ascii="Arial" w:hAnsi="Arial" w:cs="Arial"/>
          <w:sz w:val="22"/>
          <w:szCs w:val="22"/>
        </w:rPr>
        <w:t xml:space="preserve">e </w:t>
      </w:r>
      <w:r w:rsidR="00072DDC">
        <w:rPr>
          <w:rFonts w:ascii="Arial" w:hAnsi="Arial" w:cs="Arial"/>
          <w:sz w:val="22"/>
          <w:szCs w:val="22"/>
        </w:rPr>
        <w:t xml:space="preserve">TTB regulations in 27 CFR part 24 prescribe the </w:t>
      </w:r>
      <w:r w:rsidR="008A2386">
        <w:rPr>
          <w:rFonts w:ascii="Arial" w:hAnsi="Arial" w:cs="Arial"/>
          <w:sz w:val="22"/>
          <w:szCs w:val="22"/>
        </w:rPr>
        <w:t xml:space="preserve">filing of the wine </w:t>
      </w:r>
      <w:r w:rsidR="001035CE">
        <w:rPr>
          <w:rFonts w:ascii="Arial" w:hAnsi="Arial" w:cs="Arial"/>
          <w:sz w:val="22"/>
          <w:szCs w:val="22"/>
        </w:rPr>
        <w:t xml:space="preserve">premises </w:t>
      </w:r>
      <w:r w:rsidR="008A2386">
        <w:rPr>
          <w:rFonts w:ascii="Arial" w:hAnsi="Arial" w:cs="Arial"/>
          <w:sz w:val="22"/>
          <w:szCs w:val="22"/>
        </w:rPr>
        <w:t>operations rep</w:t>
      </w:r>
      <w:r>
        <w:rPr>
          <w:rFonts w:ascii="Arial" w:hAnsi="Arial" w:cs="Arial"/>
          <w:sz w:val="22"/>
          <w:szCs w:val="22"/>
        </w:rPr>
        <w:t xml:space="preserve">ort </w:t>
      </w:r>
      <w:r w:rsidR="00072DDC">
        <w:rPr>
          <w:rFonts w:ascii="Arial" w:hAnsi="Arial" w:cs="Arial"/>
          <w:sz w:val="22"/>
          <w:szCs w:val="22"/>
        </w:rPr>
        <w:t>in the following regulatory sections</w:t>
      </w:r>
      <w:r w:rsidRPr="00C22AE6" w:rsidR="00C22AE6">
        <w:rPr>
          <w:rFonts w:ascii="Arial" w:hAnsi="Arial" w:cs="Arial"/>
          <w:sz w:val="22"/>
          <w:szCs w:val="22"/>
        </w:rPr>
        <w:t>:</w:t>
      </w:r>
      <w:r w:rsidR="005E2042">
        <w:rPr>
          <w:rFonts w:ascii="Arial" w:hAnsi="Arial" w:cs="Arial"/>
          <w:sz w:val="22"/>
          <w:szCs w:val="22"/>
        </w:rPr>
        <w:t xml:space="preserve"> </w:t>
      </w:r>
      <w:r w:rsidR="00A1179E">
        <w:rPr>
          <w:rFonts w:ascii="Arial" w:hAnsi="Arial" w:cs="Arial"/>
          <w:sz w:val="22"/>
          <w:szCs w:val="22"/>
        </w:rPr>
        <w:t xml:space="preserve"> </w:t>
      </w:r>
      <w:r w:rsidR="00D449FB">
        <w:rPr>
          <w:rFonts w:ascii="Arial" w:hAnsi="Arial" w:cs="Arial"/>
          <w:sz w:val="22"/>
          <w:szCs w:val="22"/>
        </w:rPr>
        <w:t>24.65</w:t>
      </w:r>
      <w:r w:rsidR="00A1179E">
        <w:rPr>
          <w:rFonts w:ascii="Arial" w:hAnsi="Arial" w:cs="Arial"/>
          <w:sz w:val="22"/>
          <w:szCs w:val="22"/>
        </w:rPr>
        <w:t xml:space="preserve">, </w:t>
      </w:r>
      <w:r w:rsidR="00D449FB">
        <w:rPr>
          <w:rFonts w:ascii="Arial" w:hAnsi="Arial" w:cs="Arial"/>
          <w:sz w:val="22"/>
          <w:szCs w:val="22"/>
        </w:rPr>
        <w:t>24.75</w:t>
      </w:r>
      <w:r w:rsidR="00A1179E">
        <w:rPr>
          <w:rFonts w:ascii="Arial" w:hAnsi="Arial" w:cs="Arial"/>
          <w:sz w:val="22"/>
          <w:szCs w:val="22"/>
        </w:rPr>
        <w:t xml:space="preserve">, </w:t>
      </w:r>
      <w:r w:rsidR="00D449FB">
        <w:rPr>
          <w:rFonts w:ascii="Arial" w:hAnsi="Arial" w:cs="Arial"/>
          <w:sz w:val="22"/>
          <w:szCs w:val="22"/>
        </w:rPr>
        <w:t>24.136</w:t>
      </w:r>
      <w:r w:rsidR="00A1179E">
        <w:rPr>
          <w:rFonts w:ascii="Arial" w:hAnsi="Arial" w:cs="Arial"/>
          <w:sz w:val="22"/>
          <w:szCs w:val="22"/>
        </w:rPr>
        <w:t xml:space="preserve">, </w:t>
      </w:r>
      <w:r w:rsidR="00D449FB">
        <w:rPr>
          <w:rFonts w:ascii="Arial" w:hAnsi="Arial" w:cs="Arial"/>
          <w:sz w:val="22"/>
          <w:szCs w:val="22"/>
        </w:rPr>
        <w:t>24.140</w:t>
      </w:r>
      <w:r w:rsidR="00A1179E">
        <w:rPr>
          <w:rFonts w:ascii="Arial" w:hAnsi="Arial" w:cs="Arial"/>
          <w:sz w:val="22"/>
          <w:szCs w:val="22"/>
        </w:rPr>
        <w:t xml:space="preserve">, </w:t>
      </w:r>
      <w:r w:rsidR="00D449FB">
        <w:rPr>
          <w:rFonts w:ascii="Arial" w:hAnsi="Arial" w:cs="Arial"/>
          <w:sz w:val="22"/>
          <w:szCs w:val="22"/>
        </w:rPr>
        <w:t>24.176</w:t>
      </w:r>
      <w:r w:rsidR="00A1179E">
        <w:rPr>
          <w:rFonts w:ascii="Arial" w:hAnsi="Arial" w:cs="Arial"/>
          <w:sz w:val="22"/>
          <w:szCs w:val="22"/>
        </w:rPr>
        <w:t xml:space="preserve">, </w:t>
      </w:r>
      <w:r w:rsidR="00D449FB">
        <w:rPr>
          <w:rFonts w:ascii="Arial" w:hAnsi="Arial" w:cs="Arial"/>
          <w:sz w:val="22"/>
          <w:szCs w:val="22"/>
        </w:rPr>
        <w:t>24.197</w:t>
      </w:r>
      <w:r w:rsidR="00A1179E">
        <w:rPr>
          <w:rFonts w:ascii="Arial" w:hAnsi="Arial" w:cs="Arial"/>
          <w:sz w:val="22"/>
          <w:szCs w:val="22"/>
        </w:rPr>
        <w:t xml:space="preserve">, </w:t>
      </w:r>
      <w:r w:rsidR="00D449FB">
        <w:rPr>
          <w:rFonts w:ascii="Arial" w:hAnsi="Arial" w:cs="Arial"/>
          <w:sz w:val="22"/>
          <w:szCs w:val="22"/>
        </w:rPr>
        <w:t>24.237</w:t>
      </w:r>
      <w:r w:rsidR="00A1179E">
        <w:rPr>
          <w:rFonts w:ascii="Arial" w:hAnsi="Arial" w:cs="Arial"/>
          <w:sz w:val="22"/>
          <w:szCs w:val="22"/>
        </w:rPr>
        <w:t>,</w:t>
      </w:r>
      <w:r w:rsidR="007C1EF0">
        <w:rPr>
          <w:rFonts w:ascii="Arial" w:hAnsi="Arial" w:cs="Arial"/>
          <w:sz w:val="22"/>
          <w:szCs w:val="22"/>
        </w:rPr>
        <w:t xml:space="preserve"> 24.268,</w:t>
      </w:r>
      <w:r w:rsidR="00A1179E">
        <w:rPr>
          <w:rFonts w:ascii="Arial" w:hAnsi="Arial" w:cs="Arial"/>
          <w:sz w:val="22"/>
          <w:szCs w:val="22"/>
        </w:rPr>
        <w:t xml:space="preserve"> </w:t>
      </w:r>
      <w:r w:rsidR="00D449FB">
        <w:rPr>
          <w:rFonts w:ascii="Arial" w:hAnsi="Arial" w:cs="Arial"/>
          <w:sz w:val="22"/>
          <w:szCs w:val="22"/>
        </w:rPr>
        <w:t>24.292</w:t>
      </w:r>
      <w:r w:rsidR="00A1179E">
        <w:rPr>
          <w:rFonts w:ascii="Arial" w:hAnsi="Arial" w:cs="Arial"/>
          <w:sz w:val="22"/>
          <w:szCs w:val="22"/>
        </w:rPr>
        <w:t xml:space="preserve">, </w:t>
      </w:r>
      <w:r w:rsidR="00D449FB">
        <w:rPr>
          <w:rFonts w:ascii="Arial" w:hAnsi="Arial" w:cs="Arial"/>
          <w:sz w:val="22"/>
          <w:szCs w:val="22"/>
        </w:rPr>
        <w:t>24.293</w:t>
      </w:r>
      <w:r w:rsidR="00A1179E">
        <w:rPr>
          <w:rFonts w:ascii="Arial" w:hAnsi="Arial" w:cs="Arial"/>
          <w:sz w:val="22"/>
          <w:szCs w:val="22"/>
        </w:rPr>
        <w:t xml:space="preserve">, </w:t>
      </w:r>
      <w:r w:rsidR="00D449FB">
        <w:rPr>
          <w:rFonts w:ascii="Arial" w:hAnsi="Arial" w:cs="Arial"/>
          <w:sz w:val="22"/>
          <w:szCs w:val="22"/>
        </w:rPr>
        <w:t>24.294</w:t>
      </w:r>
      <w:r w:rsidR="00A1179E">
        <w:rPr>
          <w:rFonts w:ascii="Arial" w:hAnsi="Arial" w:cs="Arial"/>
          <w:sz w:val="22"/>
          <w:szCs w:val="22"/>
        </w:rPr>
        <w:t xml:space="preserve">, </w:t>
      </w:r>
      <w:r w:rsidR="00D449FB">
        <w:rPr>
          <w:rFonts w:ascii="Arial" w:hAnsi="Arial" w:cs="Arial"/>
          <w:sz w:val="22"/>
          <w:szCs w:val="22"/>
        </w:rPr>
        <w:t>24.295</w:t>
      </w:r>
      <w:r w:rsidR="00A1179E">
        <w:rPr>
          <w:rFonts w:ascii="Arial" w:hAnsi="Arial" w:cs="Arial"/>
          <w:sz w:val="22"/>
          <w:szCs w:val="22"/>
        </w:rPr>
        <w:t xml:space="preserve">, </w:t>
      </w:r>
      <w:r w:rsidR="00D449FB">
        <w:rPr>
          <w:rFonts w:ascii="Arial" w:hAnsi="Arial" w:cs="Arial"/>
          <w:sz w:val="22"/>
          <w:szCs w:val="22"/>
        </w:rPr>
        <w:t>24.300</w:t>
      </w:r>
      <w:r w:rsidR="00A1179E">
        <w:rPr>
          <w:rFonts w:ascii="Arial" w:hAnsi="Arial" w:cs="Arial"/>
          <w:sz w:val="22"/>
          <w:szCs w:val="22"/>
        </w:rPr>
        <w:t xml:space="preserve">, </w:t>
      </w:r>
      <w:r w:rsidR="00D449FB">
        <w:rPr>
          <w:rFonts w:ascii="Arial" w:hAnsi="Arial" w:cs="Arial"/>
          <w:sz w:val="22"/>
          <w:szCs w:val="22"/>
        </w:rPr>
        <w:t>24.303</w:t>
      </w:r>
      <w:r w:rsidR="00A1179E">
        <w:rPr>
          <w:rFonts w:ascii="Arial" w:hAnsi="Arial" w:cs="Arial"/>
          <w:sz w:val="22"/>
          <w:szCs w:val="22"/>
        </w:rPr>
        <w:t xml:space="preserve">, </w:t>
      </w:r>
      <w:r w:rsidR="00D449FB">
        <w:rPr>
          <w:rFonts w:ascii="Arial" w:hAnsi="Arial" w:cs="Arial"/>
          <w:sz w:val="22"/>
          <w:szCs w:val="22"/>
        </w:rPr>
        <w:t>24.313</w:t>
      </w:r>
      <w:r w:rsidR="00A1179E">
        <w:rPr>
          <w:rFonts w:ascii="Arial" w:hAnsi="Arial" w:cs="Arial"/>
          <w:sz w:val="22"/>
          <w:szCs w:val="22"/>
        </w:rPr>
        <w:t xml:space="preserve">, and </w:t>
      </w:r>
      <w:r w:rsidR="00520C8E">
        <w:rPr>
          <w:rFonts w:ascii="Arial" w:hAnsi="Arial" w:cs="Arial"/>
          <w:sz w:val="22"/>
          <w:szCs w:val="22"/>
        </w:rPr>
        <w:t xml:space="preserve">24.316. </w:t>
      </w:r>
    </w:p>
    <w:p w:rsidR="00D449FB" w:rsidP="00072DDC" w:rsidRDefault="00D449FB" w14:paraId="2984E492" w14:textId="77777777">
      <w:pPr>
        <w:ind w:left="360"/>
        <w:rPr>
          <w:rFonts w:ascii="Arial" w:hAnsi="Arial" w:cs="Arial"/>
          <w:sz w:val="22"/>
          <w:szCs w:val="22"/>
        </w:rPr>
      </w:pPr>
    </w:p>
    <w:p w:rsidR="00C22AE6" w:rsidP="0023786D" w:rsidRDefault="00520C8E" w14:paraId="6A41782C" w14:textId="77777777">
      <w:pPr>
        <w:ind w:left="360"/>
        <w:rPr>
          <w:rFonts w:ascii="Arial" w:hAnsi="Arial" w:cs="Arial"/>
          <w:sz w:val="22"/>
          <w:szCs w:val="22"/>
        </w:rPr>
      </w:pPr>
      <w:r>
        <w:rPr>
          <w:rFonts w:ascii="Arial" w:hAnsi="Arial" w:cs="Arial"/>
          <w:sz w:val="22"/>
          <w:szCs w:val="22"/>
        </w:rPr>
        <w:lastRenderedPageBreak/>
        <w:t xml:space="preserve">In addition, </w:t>
      </w:r>
      <w:r w:rsidRPr="00072DDC" w:rsidR="00072DDC">
        <w:rPr>
          <w:rFonts w:ascii="Arial" w:hAnsi="Arial" w:cs="Arial"/>
          <w:sz w:val="22"/>
          <w:szCs w:val="22"/>
        </w:rPr>
        <w:t>under TTB’s alcohol export regulations at 27 CFR 28.126</w:t>
      </w:r>
      <w:r w:rsidR="00072DDC">
        <w:rPr>
          <w:rFonts w:ascii="Arial" w:hAnsi="Arial" w:cs="Arial"/>
          <w:sz w:val="22"/>
          <w:szCs w:val="22"/>
        </w:rPr>
        <w:t xml:space="preserve">, </w:t>
      </w:r>
      <w:r w:rsidR="00887096">
        <w:rPr>
          <w:rFonts w:ascii="Arial" w:hAnsi="Arial" w:cs="Arial"/>
          <w:sz w:val="22"/>
          <w:szCs w:val="22"/>
        </w:rPr>
        <w:t xml:space="preserve">wine premises proprietors </w:t>
      </w:r>
      <w:r w:rsidR="00072DDC">
        <w:rPr>
          <w:rFonts w:ascii="Arial" w:hAnsi="Arial" w:cs="Arial"/>
          <w:sz w:val="22"/>
          <w:szCs w:val="22"/>
        </w:rPr>
        <w:t xml:space="preserve">also report the amount of </w:t>
      </w:r>
      <w:r w:rsidR="00887096">
        <w:rPr>
          <w:rFonts w:ascii="Arial" w:hAnsi="Arial" w:cs="Arial"/>
          <w:sz w:val="22"/>
          <w:szCs w:val="22"/>
        </w:rPr>
        <w:t xml:space="preserve">wine exported </w:t>
      </w:r>
      <w:r w:rsidRPr="00C22AE6" w:rsidR="00C22AE6">
        <w:rPr>
          <w:rFonts w:ascii="Arial" w:hAnsi="Arial" w:cs="Arial"/>
          <w:sz w:val="22"/>
          <w:szCs w:val="22"/>
        </w:rPr>
        <w:t>w</w:t>
      </w:r>
      <w:r w:rsidR="005E2042">
        <w:rPr>
          <w:rFonts w:ascii="Arial" w:hAnsi="Arial" w:cs="Arial"/>
          <w:sz w:val="22"/>
          <w:szCs w:val="22"/>
        </w:rPr>
        <w:t xml:space="preserve">ine free of tax </w:t>
      </w:r>
      <w:r w:rsidR="00887096">
        <w:rPr>
          <w:rFonts w:ascii="Arial" w:hAnsi="Arial" w:cs="Arial"/>
          <w:sz w:val="22"/>
          <w:szCs w:val="22"/>
        </w:rPr>
        <w:t>o</w:t>
      </w:r>
      <w:r w:rsidR="005E2042">
        <w:rPr>
          <w:rFonts w:ascii="Arial" w:hAnsi="Arial" w:cs="Arial"/>
          <w:sz w:val="22"/>
          <w:szCs w:val="22"/>
        </w:rPr>
        <w:t xml:space="preserve">n TTB F 5120.17. </w:t>
      </w:r>
    </w:p>
    <w:p w:rsidR="00D414AB" w:rsidP="00887096" w:rsidRDefault="00D414AB" w14:paraId="6CAC2698" w14:textId="77777777">
      <w:pPr>
        <w:ind w:left="360"/>
        <w:rPr>
          <w:rFonts w:ascii="Arial" w:hAnsi="Arial" w:cs="Arial"/>
          <w:sz w:val="22"/>
          <w:szCs w:val="22"/>
        </w:rPr>
      </w:pPr>
    </w:p>
    <w:p w:rsidR="00072DDC" w:rsidP="00887096" w:rsidRDefault="00072DDC" w14:paraId="235183AA" w14:textId="77777777">
      <w:pPr>
        <w:ind w:left="360"/>
        <w:rPr>
          <w:rFonts w:ascii="Arial" w:hAnsi="Arial" w:cs="Arial"/>
          <w:sz w:val="22"/>
          <w:szCs w:val="22"/>
        </w:rPr>
      </w:pPr>
      <w:r w:rsidRPr="00072DDC">
        <w:rPr>
          <w:rFonts w:ascii="Arial" w:hAnsi="Arial" w:cs="Arial"/>
          <w:sz w:val="22"/>
          <w:szCs w:val="22"/>
        </w:rPr>
        <w:t>The collected information is necessary to protect the revenue.  TTB’s use of this report allows it to analyze winery operations to ensure collection of the Federal excise tax due on the wine produced, and ensure proprietors produce wine in accordance with applicable Federal law and regulations.  Additionally, TTB’s analysis may reveal problem areas that indicate jeopardy to the revenue or improper identification of wine, which allows TTB to focus its limited resources on questionable activities and perform field inspections with minimal disruption to regulated industry members.  TTB also uses the collected data to produce its generalized monthly statistical report on wine operations, which it</w:t>
      </w:r>
      <w:r>
        <w:rPr>
          <w:rFonts w:ascii="Arial" w:hAnsi="Arial" w:cs="Arial"/>
          <w:sz w:val="22"/>
          <w:szCs w:val="22"/>
        </w:rPr>
        <w:t xml:space="preserve"> posts for public viewing on its </w:t>
      </w:r>
      <w:r w:rsidRPr="00072DDC">
        <w:rPr>
          <w:rFonts w:ascii="Arial" w:hAnsi="Arial" w:cs="Arial"/>
          <w:sz w:val="22"/>
          <w:szCs w:val="22"/>
        </w:rPr>
        <w:t>website.</w:t>
      </w:r>
      <w:r w:rsidR="00F51159">
        <w:rPr>
          <w:rFonts w:ascii="Arial" w:hAnsi="Arial" w:cs="Arial"/>
          <w:sz w:val="22"/>
          <w:szCs w:val="22"/>
        </w:rPr>
        <w:t xml:space="preserve"> </w:t>
      </w:r>
    </w:p>
    <w:p w:rsidR="00072DDC" w:rsidP="00887096" w:rsidRDefault="00072DDC" w14:paraId="0934E0B6" w14:textId="77777777">
      <w:pPr>
        <w:ind w:left="360"/>
        <w:rPr>
          <w:rFonts w:ascii="Arial" w:hAnsi="Arial" w:cs="Arial"/>
          <w:sz w:val="22"/>
          <w:szCs w:val="22"/>
        </w:rPr>
      </w:pPr>
    </w:p>
    <w:p w:rsidRPr="00ED4A03" w:rsidR="005E4F99" w:rsidP="00887096" w:rsidRDefault="005E4F99" w14:paraId="4C9D5253" w14:textId="77777777">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Pr="00ED4A03" w:rsidR="00D73D2D">
        <w:rPr>
          <w:rFonts w:ascii="Arial" w:hAnsi="Arial" w:cs="Arial"/>
          <w:sz w:val="22"/>
          <w:szCs w:val="22"/>
        </w:rPr>
        <w:t xml:space="preserve"> –– </w:t>
      </w:r>
    </w:p>
    <w:p w:rsidRPr="00ED4A03" w:rsidR="00ED4A03" w:rsidP="00887096" w:rsidRDefault="00ED4A03" w14:paraId="4A6C1A6F" w14:textId="77777777">
      <w:pPr>
        <w:numPr>
          <w:ilvl w:val="0"/>
          <w:numId w:val="1"/>
        </w:numPr>
        <w:tabs>
          <w:tab w:val="left" w:pos="1080"/>
        </w:tabs>
        <w:suppressAutoHyphens/>
        <w:spacing w:after="120"/>
        <w:ind w:firstLine="0"/>
        <w:rPr>
          <w:rFonts w:ascii="Arial" w:hAnsi="Arial" w:cs="Arial"/>
          <w:sz w:val="22"/>
          <w:szCs w:val="22"/>
        </w:rPr>
      </w:pPr>
      <w:r w:rsidRPr="00887096">
        <w:rPr>
          <w:rFonts w:ascii="Arial" w:hAnsi="Arial" w:cs="Arial"/>
          <w:sz w:val="22"/>
          <w:szCs w:val="22"/>
          <w:u w:val="single"/>
        </w:rPr>
        <w:t>Line of Business/Sub-function:</w:t>
      </w:r>
      <w:r w:rsidRPr="00ED4A03">
        <w:rPr>
          <w:rFonts w:ascii="Arial" w:hAnsi="Arial" w:cs="Arial"/>
          <w:sz w:val="22"/>
          <w:szCs w:val="22"/>
        </w:rPr>
        <w:t xml:space="preserve">  General Government/Taxation Management.</w:t>
      </w:r>
      <w:r>
        <w:rPr>
          <w:rFonts w:ascii="Arial" w:hAnsi="Arial" w:cs="Arial"/>
          <w:sz w:val="22"/>
          <w:szCs w:val="22"/>
        </w:rPr>
        <w:t xml:space="preserve"> </w:t>
      </w:r>
    </w:p>
    <w:p w:rsidR="005E4F99" w:rsidP="00887096" w:rsidRDefault="00ED4A03" w14:paraId="303EFDD3" w14:textId="77777777">
      <w:pPr>
        <w:numPr>
          <w:ilvl w:val="0"/>
          <w:numId w:val="1"/>
        </w:numPr>
        <w:tabs>
          <w:tab w:val="left" w:pos="1080"/>
        </w:tabs>
        <w:suppressAutoHyphens/>
        <w:ind w:firstLine="0"/>
        <w:rPr>
          <w:rFonts w:ascii="Arial" w:hAnsi="Arial" w:cs="Arial"/>
          <w:sz w:val="22"/>
          <w:szCs w:val="22"/>
        </w:rPr>
      </w:pPr>
      <w:r w:rsidRPr="00887096">
        <w:rPr>
          <w:rFonts w:ascii="Arial" w:hAnsi="Arial" w:cs="Arial"/>
          <w:sz w:val="22"/>
          <w:szCs w:val="22"/>
          <w:u w:val="single"/>
        </w:rPr>
        <w:t>IT Investment:</w:t>
      </w:r>
      <w:r w:rsidRPr="00ED4A03">
        <w:rPr>
          <w:rFonts w:ascii="Arial" w:hAnsi="Arial" w:cs="Arial"/>
          <w:sz w:val="22"/>
          <w:szCs w:val="22"/>
        </w:rPr>
        <w:t xml:space="preserve">  </w:t>
      </w:r>
      <w:r w:rsidR="00887096">
        <w:rPr>
          <w:rFonts w:ascii="Arial" w:hAnsi="Arial" w:cs="Arial"/>
          <w:sz w:val="22"/>
          <w:szCs w:val="22"/>
        </w:rPr>
        <w:t>Tax Major Application s</w:t>
      </w:r>
      <w:r>
        <w:rPr>
          <w:rFonts w:ascii="Arial" w:hAnsi="Arial" w:cs="Arial"/>
          <w:sz w:val="22"/>
          <w:szCs w:val="22"/>
        </w:rPr>
        <w:t xml:space="preserve">ystem. </w:t>
      </w:r>
    </w:p>
    <w:p w:rsidRPr="008A2386" w:rsidR="00CE2E86" w:rsidP="00887096" w:rsidRDefault="00CE2E86" w14:paraId="7B9C57E6" w14:textId="77777777">
      <w:pPr>
        <w:suppressAutoHyphens/>
        <w:rPr>
          <w:rFonts w:ascii="Arial" w:hAnsi="Arial" w:cs="Arial"/>
          <w:i/>
          <w:sz w:val="36"/>
          <w:szCs w:val="36"/>
        </w:rPr>
      </w:pPr>
    </w:p>
    <w:p w:rsidRPr="007A5D4B" w:rsidR="00AF1157" w:rsidP="0023786D" w:rsidRDefault="00AF1157" w14:paraId="37E50100"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23786D" w:rsidRDefault="00AF1157" w14:paraId="67642CF2" w14:textId="77777777">
      <w:pPr>
        <w:suppressAutoHyphens/>
        <w:ind w:left="360"/>
        <w:rPr>
          <w:rFonts w:ascii="Arial" w:hAnsi="Arial" w:cs="Arial"/>
          <w:sz w:val="22"/>
          <w:szCs w:val="22"/>
        </w:rPr>
      </w:pPr>
    </w:p>
    <w:p w:rsidR="00595BA4" w:rsidP="0023786D" w:rsidRDefault="00816747" w14:paraId="091D38DA" w14:textId="77777777">
      <w:pPr>
        <w:suppressAutoHyphens/>
        <w:ind w:left="360"/>
        <w:rPr>
          <w:rFonts w:ascii="Arial" w:hAnsi="Arial" w:cs="Arial"/>
          <w:sz w:val="22"/>
          <w:szCs w:val="22"/>
        </w:rPr>
      </w:pPr>
      <w:r>
        <w:rPr>
          <w:rFonts w:ascii="Arial" w:hAnsi="Arial" w:cs="Arial"/>
          <w:sz w:val="22"/>
          <w:szCs w:val="22"/>
        </w:rPr>
        <w:t xml:space="preserve">TTB </w:t>
      </w:r>
      <w:r w:rsidR="00887096">
        <w:rPr>
          <w:rFonts w:ascii="Arial" w:hAnsi="Arial" w:cs="Arial"/>
          <w:sz w:val="22"/>
          <w:szCs w:val="22"/>
        </w:rPr>
        <w:t>use</w:t>
      </w:r>
      <w:r w:rsidR="000D4A6E">
        <w:rPr>
          <w:rFonts w:ascii="Arial" w:hAnsi="Arial" w:cs="Arial"/>
          <w:sz w:val="22"/>
          <w:szCs w:val="22"/>
        </w:rPr>
        <w:t>s</w:t>
      </w:r>
      <w:r w:rsidR="00887096">
        <w:rPr>
          <w:rFonts w:ascii="Arial" w:hAnsi="Arial" w:cs="Arial"/>
          <w:sz w:val="22"/>
          <w:szCs w:val="22"/>
        </w:rPr>
        <w:t xml:space="preserve"> the information collected on TTB F </w:t>
      </w:r>
      <w:r w:rsidRPr="00887096" w:rsidR="00887096">
        <w:rPr>
          <w:rFonts w:ascii="Arial" w:hAnsi="Arial" w:cs="Arial"/>
          <w:sz w:val="22"/>
          <w:szCs w:val="22"/>
        </w:rPr>
        <w:t>5120.17, Report of Wine Premises Operations</w:t>
      </w:r>
      <w:r w:rsidR="00887096">
        <w:rPr>
          <w:rFonts w:ascii="Arial" w:hAnsi="Arial" w:cs="Arial"/>
          <w:sz w:val="22"/>
          <w:szCs w:val="22"/>
        </w:rPr>
        <w:t>, t</w:t>
      </w:r>
      <w:r w:rsidR="00520C8E">
        <w:rPr>
          <w:rFonts w:ascii="Arial" w:hAnsi="Arial" w:cs="Arial"/>
          <w:sz w:val="22"/>
          <w:szCs w:val="22"/>
        </w:rPr>
        <w:t>o protect the revenue</w:t>
      </w:r>
      <w:r w:rsidR="00C84167">
        <w:rPr>
          <w:rFonts w:ascii="Arial" w:hAnsi="Arial" w:cs="Arial"/>
          <w:sz w:val="22"/>
          <w:szCs w:val="22"/>
        </w:rPr>
        <w:t xml:space="preserve">.  </w:t>
      </w:r>
      <w:r w:rsidR="00887096">
        <w:rPr>
          <w:rFonts w:ascii="Arial" w:hAnsi="Arial" w:cs="Arial"/>
          <w:sz w:val="22"/>
          <w:szCs w:val="22"/>
        </w:rPr>
        <w:t xml:space="preserve">TTB </w:t>
      </w:r>
      <w:r w:rsidR="000D4A6E">
        <w:rPr>
          <w:rFonts w:ascii="Arial" w:hAnsi="Arial" w:cs="Arial"/>
          <w:sz w:val="22"/>
          <w:szCs w:val="22"/>
        </w:rPr>
        <w:t>may check</w:t>
      </w:r>
      <w:r w:rsidR="00887096">
        <w:rPr>
          <w:rFonts w:ascii="Arial" w:hAnsi="Arial" w:cs="Arial"/>
          <w:sz w:val="22"/>
          <w:szCs w:val="22"/>
        </w:rPr>
        <w:t xml:space="preserve"> r</w:t>
      </w:r>
      <w:r w:rsidR="001035CE">
        <w:rPr>
          <w:rFonts w:ascii="Arial" w:hAnsi="Arial" w:cs="Arial"/>
          <w:sz w:val="22"/>
          <w:szCs w:val="22"/>
        </w:rPr>
        <w:t>eported t</w:t>
      </w:r>
      <w:r w:rsidRPr="005E2042" w:rsidR="005E2042">
        <w:rPr>
          <w:rFonts w:ascii="Arial" w:hAnsi="Arial" w:cs="Arial"/>
          <w:sz w:val="22"/>
          <w:szCs w:val="22"/>
        </w:rPr>
        <w:t xml:space="preserve">axpaid removals </w:t>
      </w:r>
      <w:r w:rsidR="00C00359">
        <w:rPr>
          <w:rFonts w:ascii="Arial" w:hAnsi="Arial" w:cs="Arial"/>
          <w:sz w:val="22"/>
          <w:szCs w:val="22"/>
        </w:rPr>
        <w:t xml:space="preserve">from a winery </w:t>
      </w:r>
      <w:r w:rsidRPr="005E2042" w:rsidR="005E2042">
        <w:rPr>
          <w:rFonts w:ascii="Arial" w:hAnsi="Arial" w:cs="Arial"/>
          <w:sz w:val="22"/>
          <w:szCs w:val="22"/>
        </w:rPr>
        <w:t xml:space="preserve">against </w:t>
      </w:r>
      <w:r w:rsidR="00072DDC">
        <w:rPr>
          <w:rFonts w:ascii="Arial" w:hAnsi="Arial" w:cs="Arial"/>
          <w:sz w:val="22"/>
          <w:szCs w:val="22"/>
        </w:rPr>
        <w:t xml:space="preserve">its </w:t>
      </w:r>
      <w:r w:rsidR="00887096">
        <w:rPr>
          <w:rFonts w:ascii="Arial" w:hAnsi="Arial" w:cs="Arial"/>
          <w:sz w:val="22"/>
          <w:szCs w:val="22"/>
        </w:rPr>
        <w:t xml:space="preserve">excise </w:t>
      </w:r>
      <w:r w:rsidRPr="005E2042" w:rsidR="005E2042">
        <w:rPr>
          <w:rFonts w:ascii="Arial" w:hAnsi="Arial" w:cs="Arial"/>
          <w:sz w:val="22"/>
          <w:szCs w:val="22"/>
        </w:rPr>
        <w:t xml:space="preserve">tax returns to ensure </w:t>
      </w:r>
      <w:r w:rsidR="00595BA4">
        <w:rPr>
          <w:rFonts w:ascii="Arial" w:hAnsi="Arial" w:cs="Arial"/>
          <w:sz w:val="22"/>
          <w:szCs w:val="22"/>
        </w:rPr>
        <w:t xml:space="preserve">that proprietors have paid </w:t>
      </w:r>
      <w:r w:rsidRPr="005E2042" w:rsidR="005E2042">
        <w:rPr>
          <w:rFonts w:ascii="Arial" w:hAnsi="Arial" w:cs="Arial"/>
          <w:sz w:val="22"/>
          <w:szCs w:val="22"/>
        </w:rPr>
        <w:t xml:space="preserve">all </w:t>
      </w:r>
      <w:r w:rsidR="00887096">
        <w:rPr>
          <w:rFonts w:ascii="Arial" w:hAnsi="Arial" w:cs="Arial"/>
          <w:sz w:val="22"/>
          <w:szCs w:val="22"/>
        </w:rPr>
        <w:t>such taxes due</w:t>
      </w:r>
      <w:r w:rsidR="00595BA4">
        <w:rPr>
          <w:rFonts w:ascii="Arial" w:hAnsi="Arial" w:cs="Arial"/>
          <w:sz w:val="22"/>
          <w:szCs w:val="22"/>
        </w:rPr>
        <w:t>.</w:t>
      </w:r>
      <w:r w:rsidR="00887096">
        <w:rPr>
          <w:rStyle w:val="FootnoteReference"/>
          <w:rFonts w:ascii="Arial" w:hAnsi="Arial" w:cs="Arial"/>
          <w:sz w:val="22"/>
          <w:szCs w:val="22"/>
        </w:rPr>
        <w:footnoteReference w:id="2"/>
      </w:r>
      <w:r w:rsidRPr="005E2042" w:rsidR="005E2042">
        <w:rPr>
          <w:rFonts w:ascii="Arial" w:hAnsi="Arial" w:cs="Arial"/>
          <w:sz w:val="22"/>
          <w:szCs w:val="22"/>
        </w:rPr>
        <w:t xml:space="preserve">  </w:t>
      </w:r>
      <w:r w:rsidRPr="00887096" w:rsidR="00887096">
        <w:rPr>
          <w:rFonts w:ascii="Arial" w:hAnsi="Arial" w:cs="Arial"/>
          <w:sz w:val="22"/>
          <w:szCs w:val="22"/>
        </w:rPr>
        <w:t>TTB</w:t>
      </w:r>
      <w:r w:rsidR="00887096">
        <w:rPr>
          <w:rFonts w:ascii="Arial" w:hAnsi="Arial" w:cs="Arial"/>
          <w:sz w:val="22"/>
          <w:szCs w:val="22"/>
        </w:rPr>
        <w:t xml:space="preserve"> also </w:t>
      </w:r>
      <w:r w:rsidR="000D4A6E">
        <w:rPr>
          <w:rFonts w:ascii="Arial" w:hAnsi="Arial" w:cs="Arial"/>
          <w:sz w:val="22"/>
          <w:szCs w:val="22"/>
        </w:rPr>
        <w:t xml:space="preserve">may </w:t>
      </w:r>
      <w:r w:rsidR="00887096">
        <w:rPr>
          <w:rFonts w:ascii="Arial" w:hAnsi="Arial" w:cs="Arial"/>
          <w:sz w:val="22"/>
          <w:szCs w:val="22"/>
        </w:rPr>
        <w:t>analyze the collected information to e</w:t>
      </w:r>
      <w:r w:rsidRPr="00887096" w:rsidR="00887096">
        <w:rPr>
          <w:rFonts w:ascii="Arial" w:hAnsi="Arial" w:cs="Arial"/>
          <w:sz w:val="22"/>
          <w:szCs w:val="22"/>
        </w:rPr>
        <w:t>nsure proprietors produce wine in accordance with applicable Federal law and regulations</w:t>
      </w:r>
      <w:r w:rsidR="00887096">
        <w:rPr>
          <w:rFonts w:ascii="Arial" w:hAnsi="Arial" w:cs="Arial"/>
          <w:sz w:val="22"/>
          <w:szCs w:val="22"/>
        </w:rPr>
        <w:t xml:space="preserve">, and to identify any problems that </w:t>
      </w:r>
      <w:r w:rsidRPr="00887096" w:rsidR="00887096">
        <w:rPr>
          <w:rFonts w:ascii="Arial" w:hAnsi="Arial" w:cs="Arial"/>
          <w:sz w:val="22"/>
          <w:szCs w:val="22"/>
        </w:rPr>
        <w:t>indicate jeopardy to the revenue or improper identification of wine</w:t>
      </w:r>
      <w:r w:rsidR="00595BA4">
        <w:rPr>
          <w:rFonts w:ascii="Arial" w:hAnsi="Arial" w:cs="Arial"/>
          <w:sz w:val="22"/>
          <w:szCs w:val="22"/>
        </w:rPr>
        <w:t xml:space="preserve">.  This </w:t>
      </w:r>
      <w:r w:rsidRPr="00887096" w:rsidR="00887096">
        <w:rPr>
          <w:rFonts w:ascii="Arial" w:hAnsi="Arial" w:cs="Arial"/>
          <w:sz w:val="22"/>
          <w:szCs w:val="22"/>
        </w:rPr>
        <w:t xml:space="preserve">allows TTB to focus its limited resources on </w:t>
      </w:r>
      <w:r w:rsidR="00595BA4">
        <w:rPr>
          <w:rFonts w:ascii="Arial" w:hAnsi="Arial" w:cs="Arial"/>
          <w:sz w:val="22"/>
          <w:szCs w:val="22"/>
        </w:rPr>
        <w:t xml:space="preserve">problematic </w:t>
      </w:r>
      <w:r w:rsidR="00072DDC">
        <w:rPr>
          <w:rFonts w:ascii="Arial" w:hAnsi="Arial" w:cs="Arial"/>
          <w:sz w:val="22"/>
          <w:szCs w:val="22"/>
        </w:rPr>
        <w:t xml:space="preserve">operations </w:t>
      </w:r>
      <w:r w:rsidRPr="00887096" w:rsidR="00887096">
        <w:rPr>
          <w:rFonts w:ascii="Arial" w:hAnsi="Arial" w:cs="Arial"/>
          <w:sz w:val="22"/>
          <w:szCs w:val="22"/>
        </w:rPr>
        <w:t xml:space="preserve">and perform field inspections with minimal disruption to regulated industry members.  TTB also uses the collected data to produce its generalized monthly statistical report on wine operations, which </w:t>
      </w:r>
      <w:r w:rsidR="00072DDC">
        <w:rPr>
          <w:rFonts w:ascii="Arial" w:hAnsi="Arial" w:cs="Arial"/>
          <w:sz w:val="22"/>
          <w:szCs w:val="22"/>
        </w:rPr>
        <w:t xml:space="preserve">it posts </w:t>
      </w:r>
      <w:r w:rsidR="00595BA4">
        <w:rPr>
          <w:rFonts w:ascii="Arial" w:hAnsi="Arial" w:cs="Arial"/>
          <w:sz w:val="22"/>
          <w:szCs w:val="22"/>
        </w:rPr>
        <w:t xml:space="preserve">on its website for use by State and local governments, industry members, the media, and other members of the public. </w:t>
      </w:r>
    </w:p>
    <w:p w:rsidRPr="008A2386" w:rsidR="00AF1157" w:rsidP="0023786D" w:rsidRDefault="00AF1157" w14:paraId="411ABD1D" w14:textId="77777777">
      <w:pPr>
        <w:ind w:left="576" w:hanging="576"/>
        <w:rPr>
          <w:rFonts w:ascii="Arial" w:hAnsi="Arial" w:cs="Arial"/>
          <w:sz w:val="36"/>
          <w:szCs w:val="36"/>
        </w:rPr>
      </w:pPr>
    </w:p>
    <w:p w:rsidRPr="007A5D4B" w:rsidR="00AF1157" w:rsidP="0023786D" w:rsidRDefault="00CA7E3C" w14:paraId="39D5EB09"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23786D" w:rsidRDefault="00AF1157" w14:paraId="5EA68884" w14:textId="77777777">
      <w:pPr>
        <w:suppressAutoHyphens/>
        <w:rPr>
          <w:rFonts w:ascii="Arial" w:hAnsi="Arial" w:cs="Arial"/>
          <w:sz w:val="22"/>
          <w:szCs w:val="22"/>
        </w:rPr>
      </w:pPr>
    </w:p>
    <w:p w:rsidR="002E10C9" w:rsidP="0023786D" w:rsidRDefault="00595BA4" w14:paraId="35D01E66" w14:textId="77777777">
      <w:pPr>
        <w:autoSpaceDE w:val="0"/>
        <w:autoSpaceDN w:val="0"/>
        <w:adjustRightInd w:val="0"/>
        <w:ind w:left="360"/>
        <w:rPr>
          <w:rFonts w:ascii="Arial" w:hAnsi="Arial" w:cs="Arial"/>
          <w:sz w:val="22"/>
          <w:szCs w:val="22"/>
        </w:rPr>
      </w:pPr>
      <w:r w:rsidRPr="00595BA4">
        <w:rPr>
          <w:rFonts w:ascii="Arial" w:hAnsi="Arial" w:cs="Arial"/>
          <w:sz w:val="22"/>
          <w:szCs w:val="22"/>
        </w:rPr>
        <w:t xml:space="preserve">Currently, respondents may electronically complete and submit </w:t>
      </w:r>
      <w:r>
        <w:rPr>
          <w:rFonts w:ascii="Arial" w:hAnsi="Arial" w:cs="Arial"/>
          <w:sz w:val="22"/>
          <w:szCs w:val="22"/>
        </w:rPr>
        <w:t xml:space="preserve">TTB F 5120.17 </w:t>
      </w:r>
      <w:r w:rsidRPr="00595BA4">
        <w:rPr>
          <w:rFonts w:ascii="Arial" w:hAnsi="Arial" w:cs="Arial"/>
          <w:sz w:val="22"/>
          <w:szCs w:val="22"/>
        </w:rPr>
        <w:t>using the Pay.gov website</w:t>
      </w:r>
      <w:r w:rsidR="002E10C9">
        <w:rPr>
          <w:rFonts w:ascii="Arial" w:hAnsi="Arial" w:cs="Arial"/>
          <w:sz w:val="22"/>
          <w:szCs w:val="22"/>
        </w:rPr>
        <w:t xml:space="preserve">; </w:t>
      </w:r>
      <w:r w:rsidRPr="00595BA4">
        <w:rPr>
          <w:rFonts w:ascii="Arial" w:hAnsi="Arial" w:cs="Arial"/>
          <w:sz w:val="22"/>
          <w:szCs w:val="22"/>
        </w:rPr>
        <w:t xml:space="preserve">see </w:t>
      </w:r>
      <w:r w:rsidRPr="00595BA4">
        <w:rPr>
          <w:rFonts w:ascii="Arial" w:hAnsi="Arial" w:cs="Arial"/>
          <w:i/>
          <w:sz w:val="22"/>
          <w:szCs w:val="22"/>
        </w:rPr>
        <w:t>https://www.ttb.gov/epayment</w:t>
      </w:r>
      <w:r w:rsidRPr="00595BA4">
        <w:rPr>
          <w:rFonts w:ascii="Arial" w:hAnsi="Arial" w:cs="Arial"/>
          <w:sz w:val="22"/>
          <w:szCs w:val="22"/>
        </w:rPr>
        <w:t xml:space="preserve"> and </w:t>
      </w:r>
      <w:r w:rsidRPr="00595BA4">
        <w:rPr>
          <w:rFonts w:ascii="Arial" w:hAnsi="Arial" w:cs="Arial"/>
          <w:i/>
          <w:sz w:val="22"/>
          <w:szCs w:val="22"/>
        </w:rPr>
        <w:t>https://www.pay.gov/public/login</w:t>
      </w:r>
      <w:r w:rsidR="00A90EDA">
        <w:rPr>
          <w:rFonts w:ascii="Arial" w:hAnsi="Arial" w:cs="Arial"/>
          <w:sz w:val="22"/>
          <w:szCs w:val="22"/>
        </w:rPr>
        <w:t xml:space="preserve">. </w:t>
      </w:r>
    </w:p>
    <w:p w:rsidR="002E10C9" w:rsidP="0023786D" w:rsidRDefault="002E10C9" w14:paraId="0C2AFEDB" w14:textId="77777777">
      <w:pPr>
        <w:autoSpaceDE w:val="0"/>
        <w:autoSpaceDN w:val="0"/>
        <w:adjustRightInd w:val="0"/>
        <w:ind w:left="360"/>
        <w:rPr>
          <w:rFonts w:ascii="Arial" w:hAnsi="Arial" w:cs="Arial"/>
          <w:sz w:val="22"/>
          <w:szCs w:val="22"/>
        </w:rPr>
      </w:pPr>
    </w:p>
    <w:p w:rsidR="00595BA4" w:rsidP="002E10C9" w:rsidRDefault="00595BA4" w14:paraId="687FDC31" w14:textId="77777777">
      <w:pPr>
        <w:autoSpaceDE w:val="0"/>
        <w:autoSpaceDN w:val="0"/>
        <w:adjustRightInd w:val="0"/>
        <w:ind w:left="360"/>
        <w:rPr>
          <w:rFonts w:ascii="Arial" w:hAnsi="Arial" w:cs="Arial"/>
          <w:sz w:val="22"/>
          <w:szCs w:val="22"/>
        </w:rPr>
      </w:pPr>
      <w:r>
        <w:rPr>
          <w:rFonts w:ascii="Arial" w:hAnsi="Arial" w:cs="Arial"/>
          <w:sz w:val="22"/>
          <w:szCs w:val="22"/>
        </w:rPr>
        <w:t xml:space="preserve">In addition, TTB offers </w:t>
      </w:r>
      <w:r w:rsidR="00A90EDA">
        <w:rPr>
          <w:rFonts w:ascii="Arial" w:hAnsi="Arial" w:cs="Arial"/>
          <w:sz w:val="22"/>
          <w:szCs w:val="22"/>
        </w:rPr>
        <w:t xml:space="preserve">two fillable-printable “smart form” versions of </w:t>
      </w:r>
      <w:r>
        <w:rPr>
          <w:rFonts w:ascii="Arial" w:hAnsi="Arial" w:cs="Arial"/>
          <w:sz w:val="22"/>
          <w:szCs w:val="22"/>
        </w:rPr>
        <w:t>the wine premises operations report</w:t>
      </w:r>
      <w:r w:rsidR="002E10C9">
        <w:rPr>
          <w:rFonts w:ascii="Arial" w:hAnsi="Arial" w:cs="Arial"/>
          <w:sz w:val="22"/>
          <w:szCs w:val="22"/>
        </w:rPr>
        <w:t xml:space="preserve">:  </w:t>
      </w:r>
      <w:r w:rsidR="00072DDC">
        <w:rPr>
          <w:rFonts w:ascii="Arial" w:hAnsi="Arial" w:cs="Arial"/>
          <w:sz w:val="22"/>
          <w:szCs w:val="22"/>
        </w:rPr>
        <w:t>TTB F </w:t>
      </w:r>
      <w:r w:rsidRPr="00595BA4">
        <w:rPr>
          <w:rFonts w:ascii="Arial" w:hAnsi="Arial" w:cs="Arial"/>
          <w:sz w:val="22"/>
          <w:szCs w:val="22"/>
        </w:rPr>
        <w:t>5</w:t>
      </w:r>
      <w:r w:rsidR="00072DDC">
        <w:rPr>
          <w:rFonts w:ascii="Arial" w:hAnsi="Arial" w:cs="Arial"/>
          <w:sz w:val="22"/>
          <w:szCs w:val="22"/>
        </w:rPr>
        <w:t>120.17</w:t>
      </w:r>
      <w:r w:rsidRPr="00595BA4">
        <w:rPr>
          <w:rFonts w:ascii="Arial" w:hAnsi="Arial" w:cs="Arial"/>
          <w:sz w:val="22"/>
          <w:szCs w:val="22"/>
        </w:rPr>
        <w:t>sm</w:t>
      </w:r>
      <w:r w:rsidR="00C80CE8">
        <w:rPr>
          <w:rFonts w:ascii="Arial" w:hAnsi="Arial" w:cs="Arial"/>
          <w:sz w:val="22"/>
          <w:szCs w:val="22"/>
        </w:rPr>
        <w:t xml:space="preserve"> to report activities </w:t>
      </w:r>
      <w:r w:rsidR="002E10C9">
        <w:rPr>
          <w:rFonts w:ascii="Arial" w:hAnsi="Arial" w:cs="Arial"/>
          <w:sz w:val="22"/>
          <w:szCs w:val="22"/>
        </w:rPr>
        <w:t>in 2017 or before</w:t>
      </w:r>
      <w:r w:rsidR="00C80CE8">
        <w:rPr>
          <w:rFonts w:ascii="Arial" w:hAnsi="Arial" w:cs="Arial"/>
          <w:sz w:val="22"/>
          <w:szCs w:val="22"/>
        </w:rPr>
        <w:t>, and TTB F 5120.17sm T</w:t>
      </w:r>
      <w:r w:rsidR="00A90EDA">
        <w:rPr>
          <w:rFonts w:ascii="Arial" w:hAnsi="Arial" w:cs="Arial"/>
          <w:sz w:val="22"/>
          <w:szCs w:val="22"/>
        </w:rPr>
        <w:t>emp</w:t>
      </w:r>
      <w:r w:rsidR="00C80CE8">
        <w:rPr>
          <w:rFonts w:ascii="Arial" w:hAnsi="Arial" w:cs="Arial"/>
          <w:sz w:val="22"/>
          <w:szCs w:val="22"/>
        </w:rPr>
        <w:t xml:space="preserve"> to report activities in 2018, 2019, or 2020.</w:t>
      </w:r>
      <w:r w:rsidR="00A90EDA">
        <w:rPr>
          <w:rFonts w:ascii="Arial" w:hAnsi="Arial" w:cs="Arial"/>
          <w:sz w:val="22"/>
          <w:szCs w:val="22"/>
        </w:rPr>
        <w:t xml:space="preserve">  </w:t>
      </w:r>
      <w:r w:rsidR="00381A3A">
        <w:rPr>
          <w:rFonts w:ascii="Arial" w:hAnsi="Arial" w:cs="Arial"/>
          <w:sz w:val="22"/>
          <w:szCs w:val="22"/>
        </w:rPr>
        <w:t xml:space="preserve">The two forms will continue in use for 2021 and beyond as well (see footnote 1).  </w:t>
      </w:r>
      <w:r w:rsidR="00A90EDA">
        <w:rPr>
          <w:rFonts w:ascii="Arial" w:hAnsi="Arial" w:cs="Arial"/>
          <w:sz w:val="22"/>
          <w:szCs w:val="22"/>
        </w:rPr>
        <w:t>Th</w:t>
      </w:r>
      <w:r w:rsidR="002E10C9">
        <w:rPr>
          <w:rFonts w:ascii="Arial" w:hAnsi="Arial" w:cs="Arial"/>
          <w:sz w:val="22"/>
          <w:szCs w:val="22"/>
        </w:rPr>
        <w:t xml:space="preserve">e two </w:t>
      </w:r>
      <w:r w:rsidR="00A90EDA">
        <w:rPr>
          <w:rFonts w:ascii="Arial" w:hAnsi="Arial" w:cs="Arial"/>
          <w:sz w:val="22"/>
          <w:szCs w:val="22"/>
        </w:rPr>
        <w:t>smart forms have</w:t>
      </w:r>
      <w:r w:rsidRPr="00595BA4">
        <w:rPr>
          <w:rFonts w:ascii="Arial" w:hAnsi="Arial" w:cs="Arial"/>
          <w:sz w:val="22"/>
          <w:szCs w:val="22"/>
        </w:rPr>
        <w:t xml:space="preserve"> built-in logic and automation features designed to prevent common mistakes and make completion of the form</w:t>
      </w:r>
      <w:r w:rsidR="002E10C9">
        <w:rPr>
          <w:rFonts w:ascii="Arial" w:hAnsi="Arial" w:cs="Arial"/>
          <w:sz w:val="22"/>
          <w:szCs w:val="22"/>
        </w:rPr>
        <w:t>s</w:t>
      </w:r>
      <w:r w:rsidRPr="00595BA4">
        <w:rPr>
          <w:rFonts w:ascii="Arial" w:hAnsi="Arial" w:cs="Arial"/>
          <w:sz w:val="22"/>
          <w:szCs w:val="22"/>
        </w:rPr>
        <w:t xml:space="preserve"> easier for the respondent.  For example, </w:t>
      </w:r>
      <w:r w:rsidR="002E10C9">
        <w:rPr>
          <w:rFonts w:ascii="Arial" w:hAnsi="Arial" w:cs="Arial"/>
          <w:sz w:val="22"/>
          <w:szCs w:val="22"/>
        </w:rPr>
        <w:t xml:space="preserve">each </w:t>
      </w:r>
      <w:r w:rsidRPr="00595BA4">
        <w:rPr>
          <w:rFonts w:ascii="Arial" w:hAnsi="Arial" w:cs="Arial"/>
          <w:sz w:val="22"/>
          <w:szCs w:val="22"/>
        </w:rPr>
        <w:t>smart form automatically makes mathematical calculations</w:t>
      </w:r>
      <w:r w:rsidR="00A90EDA">
        <w:rPr>
          <w:rFonts w:ascii="Arial" w:hAnsi="Arial" w:cs="Arial"/>
          <w:sz w:val="22"/>
          <w:szCs w:val="22"/>
        </w:rPr>
        <w:t xml:space="preserve">, </w:t>
      </w:r>
      <w:r w:rsidRPr="00595BA4">
        <w:rPr>
          <w:rFonts w:ascii="Arial" w:hAnsi="Arial" w:cs="Arial"/>
          <w:sz w:val="22"/>
          <w:szCs w:val="22"/>
        </w:rPr>
        <w:t xml:space="preserve">and it prevents printing of the form if any mandatory data field is incomplete.  </w:t>
      </w:r>
      <w:r w:rsidR="002E10C9">
        <w:rPr>
          <w:rFonts w:ascii="Arial" w:hAnsi="Arial" w:cs="Arial"/>
          <w:sz w:val="22"/>
          <w:szCs w:val="22"/>
        </w:rPr>
        <w:t xml:space="preserve">TTB has posted the two smart forms and instructions for their use on its website at </w:t>
      </w:r>
      <w:r w:rsidRPr="002E10C9" w:rsidR="002E10C9">
        <w:rPr>
          <w:rFonts w:ascii="Arial" w:hAnsi="Arial" w:cs="Arial"/>
          <w:i/>
          <w:sz w:val="22"/>
          <w:szCs w:val="22"/>
        </w:rPr>
        <w:t>https://www.ttb.gov/forms</w:t>
      </w:r>
      <w:r w:rsidR="002E10C9">
        <w:rPr>
          <w:rFonts w:ascii="Arial" w:hAnsi="Arial" w:cs="Arial"/>
          <w:sz w:val="22"/>
          <w:szCs w:val="22"/>
        </w:rPr>
        <w:t xml:space="preserve">. </w:t>
      </w:r>
    </w:p>
    <w:p w:rsidR="00982C5C" w:rsidP="002E10C9" w:rsidRDefault="00982C5C" w14:paraId="0C2F2C54" w14:textId="77777777">
      <w:pPr>
        <w:pStyle w:val="ListParagraph"/>
        <w:ind w:left="360"/>
        <w:rPr>
          <w:rFonts w:ascii="Arial" w:hAnsi="Arial" w:cs="Arial"/>
          <w:sz w:val="22"/>
          <w:szCs w:val="22"/>
        </w:rPr>
      </w:pPr>
    </w:p>
    <w:p w:rsidR="00AA3F8F" w:rsidP="002E10C9" w:rsidRDefault="00EB71DD" w14:paraId="08C454E8" w14:textId="77777777">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Furthermore, </w:t>
      </w:r>
      <w:r w:rsidR="008A2386">
        <w:rPr>
          <w:rFonts w:ascii="Arial" w:hAnsi="Arial" w:cs="Arial"/>
          <w:sz w:val="22"/>
          <w:szCs w:val="22"/>
        </w:rPr>
        <w:t>u</w:t>
      </w:r>
      <w:r w:rsidRPr="008A2386" w:rsidR="00C84167">
        <w:rPr>
          <w:rFonts w:ascii="Arial" w:hAnsi="Arial" w:cs="Arial"/>
          <w:sz w:val="22"/>
          <w:szCs w:val="22"/>
        </w:rPr>
        <w:t xml:space="preserve">nder the TTB wine regulations at 27 CFR 24.22, </w:t>
      </w:r>
      <w:r w:rsidRPr="008A2386" w:rsidR="008A2386">
        <w:rPr>
          <w:rFonts w:ascii="Arial" w:hAnsi="Arial" w:cs="Arial"/>
          <w:sz w:val="22"/>
          <w:szCs w:val="22"/>
        </w:rPr>
        <w:t>A</w:t>
      </w:r>
      <w:r w:rsidRPr="008A2386" w:rsidR="00C84167">
        <w:rPr>
          <w:rFonts w:ascii="Arial" w:hAnsi="Arial" w:cs="Arial"/>
          <w:sz w:val="22"/>
          <w:szCs w:val="22"/>
        </w:rPr>
        <w:t xml:space="preserve">lternate methods or procedures, </w:t>
      </w:r>
      <w:r w:rsidRPr="008A2386" w:rsidR="004C18C9">
        <w:rPr>
          <w:rFonts w:ascii="Arial" w:hAnsi="Arial" w:cs="Arial"/>
          <w:sz w:val="22"/>
          <w:szCs w:val="22"/>
        </w:rPr>
        <w:t xml:space="preserve">TTB </w:t>
      </w:r>
      <w:r w:rsidR="008A2386">
        <w:rPr>
          <w:rFonts w:ascii="Arial" w:hAnsi="Arial" w:cs="Arial"/>
          <w:sz w:val="22"/>
          <w:szCs w:val="22"/>
        </w:rPr>
        <w:t>will c</w:t>
      </w:r>
      <w:r w:rsidRPr="008A2386" w:rsidR="004C18C9">
        <w:rPr>
          <w:rFonts w:ascii="Arial" w:hAnsi="Arial" w:cs="Arial"/>
          <w:sz w:val="22"/>
          <w:szCs w:val="22"/>
        </w:rPr>
        <w:t xml:space="preserve">onsider requests by </w:t>
      </w:r>
      <w:r w:rsidR="002E10C9">
        <w:rPr>
          <w:rFonts w:ascii="Arial" w:hAnsi="Arial" w:cs="Arial"/>
          <w:sz w:val="22"/>
          <w:szCs w:val="22"/>
        </w:rPr>
        <w:t xml:space="preserve">respondents </w:t>
      </w:r>
      <w:r w:rsidRPr="008A2386" w:rsidR="004C18C9">
        <w:rPr>
          <w:rFonts w:ascii="Arial" w:hAnsi="Arial" w:cs="Arial"/>
          <w:sz w:val="22"/>
          <w:szCs w:val="22"/>
        </w:rPr>
        <w:t xml:space="preserve">to use </w:t>
      </w:r>
      <w:r w:rsidR="002E10C9">
        <w:rPr>
          <w:rFonts w:ascii="Arial" w:hAnsi="Arial" w:cs="Arial"/>
          <w:sz w:val="22"/>
          <w:szCs w:val="22"/>
        </w:rPr>
        <w:t xml:space="preserve">their own </w:t>
      </w:r>
      <w:r w:rsidRPr="008A2386" w:rsidR="00C84167">
        <w:rPr>
          <w:rFonts w:ascii="Arial" w:hAnsi="Arial" w:cs="Arial"/>
          <w:sz w:val="22"/>
          <w:szCs w:val="22"/>
        </w:rPr>
        <w:t>computer-generated reports</w:t>
      </w:r>
      <w:r w:rsidRPr="008A2386" w:rsidR="004C18C9">
        <w:rPr>
          <w:rFonts w:ascii="Arial" w:hAnsi="Arial" w:cs="Arial"/>
          <w:sz w:val="22"/>
          <w:szCs w:val="22"/>
        </w:rPr>
        <w:t xml:space="preserve"> to reduce the burden of this</w:t>
      </w:r>
      <w:r w:rsidRPr="004C18C9" w:rsidR="004C18C9">
        <w:rPr>
          <w:rFonts w:ascii="Arial" w:hAnsi="Arial" w:cs="Arial"/>
          <w:sz w:val="22"/>
          <w:szCs w:val="22"/>
        </w:rPr>
        <w:t xml:space="preserve"> reporting requirement.  </w:t>
      </w:r>
      <w:r w:rsidR="002E10C9">
        <w:rPr>
          <w:rFonts w:ascii="Arial" w:hAnsi="Arial" w:cs="Arial"/>
          <w:sz w:val="22"/>
          <w:szCs w:val="22"/>
        </w:rPr>
        <w:t>TTB approves r</w:t>
      </w:r>
      <w:r w:rsidRPr="004C18C9" w:rsidR="004C18C9">
        <w:rPr>
          <w:rFonts w:ascii="Arial" w:hAnsi="Arial" w:cs="Arial"/>
          <w:sz w:val="22"/>
          <w:szCs w:val="22"/>
        </w:rPr>
        <w:t xml:space="preserve">equests </w:t>
      </w:r>
      <w:r w:rsidR="00C84167">
        <w:rPr>
          <w:rFonts w:ascii="Arial" w:hAnsi="Arial" w:cs="Arial"/>
          <w:sz w:val="22"/>
          <w:szCs w:val="22"/>
        </w:rPr>
        <w:t xml:space="preserve">to use alternatives to </w:t>
      </w:r>
      <w:r w:rsidR="00047C8E">
        <w:rPr>
          <w:rFonts w:ascii="Arial" w:hAnsi="Arial" w:cs="Arial"/>
          <w:sz w:val="22"/>
          <w:szCs w:val="22"/>
        </w:rPr>
        <w:t xml:space="preserve">the </w:t>
      </w:r>
      <w:r w:rsidR="002E10C9">
        <w:rPr>
          <w:rFonts w:ascii="Arial" w:hAnsi="Arial" w:cs="Arial"/>
          <w:sz w:val="22"/>
          <w:szCs w:val="22"/>
        </w:rPr>
        <w:t xml:space="preserve">TTB wine premises operation report form </w:t>
      </w:r>
      <w:r w:rsidR="00C84167">
        <w:rPr>
          <w:rFonts w:ascii="Arial" w:hAnsi="Arial" w:cs="Arial"/>
          <w:sz w:val="22"/>
          <w:szCs w:val="22"/>
        </w:rPr>
        <w:t>on a case-by-case basis</w:t>
      </w:r>
      <w:r w:rsidR="00270EE2">
        <w:rPr>
          <w:rFonts w:ascii="Arial" w:hAnsi="Arial" w:cs="Arial"/>
          <w:sz w:val="22"/>
          <w:szCs w:val="22"/>
        </w:rPr>
        <w:t xml:space="preserve"> if </w:t>
      </w:r>
      <w:r w:rsidRPr="004C18C9" w:rsidR="004C18C9">
        <w:rPr>
          <w:rFonts w:ascii="Arial" w:hAnsi="Arial" w:cs="Arial"/>
          <w:sz w:val="22"/>
          <w:szCs w:val="22"/>
        </w:rPr>
        <w:t xml:space="preserve">the alternate </w:t>
      </w:r>
      <w:r w:rsidR="00047C8E">
        <w:rPr>
          <w:rFonts w:ascii="Arial" w:hAnsi="Arial" w:cs="Arial"/>
          <w:sz w:val="22"/>
          <w:szCs w:val="22"/>
        </w:rPr>
        <w:t>repor</w:t>
      </w:r>
      <w:r w:rsidR="00270EE2">
        <w:rPr>
          <w:rFonts w:ascii="Arial" w:hAnsi="Arial" w:cs="Arial"/>
          <w:sz w:val="22"/>
          <w:szCs w:val="22"/>
        </w:rPr>
        <w:t xml:space="preserve">t </w:t>
      </w:r>
      <w:r w:rsidR="008A2386">
        <w:rPr>
          <w:rFonts w:ascii="Arial" w:hAnsi="Arial" w:cs="Arial"/>
          <w:sz w:val="22"/>
          <w:szCs w:val="22"/>
        </w:rPr>
        <w:t xml:space="preserve">contains the same information as </w:t>
      </w:r>
      <w:r w:rsidR="002E10C9">
        <w:rPr>
          <w:rFonts w:ascii="Arial" w:hAnsi="Arial" w:cs="Arial"/>
          <w:sz w:val="22"/>
          <w:szCs w:val="22"/>
        </w:rPr>
        <w:t xml:space="preserve">the TTB form, and </w:t>
      </w:r>
      <w:r w:rsidR="00270EE2">
        <w:rPr>
          <w:rFonts w:ascii="Arial" w:hAnsi="Arial" w:cs="Arial"/>
          <w:sz w:val="22"/>
          <w:szCs w:val="22"/>
        </w:rPr>
        <w:t xml:space="preserve">it </w:t>
      </w:r>
      <w:r w:rsidRPr="004C18C9" w:rsidR="004C18C9">
        <w:rPr>
          <w:rFonts w:ascii="Arial" w:hAnsi="Arial" w:cs="Arial"/>
          <w:sz w:val="22"/>
          <w:szCs w:val="22"/>
        </w:rPr>
        <w:t>does not cause administrative difficul</w:t>
      </w:r>
      <w:r w:rsidR="004C18C9">
        <w:rPr>
          <w:rFonts w:ascii="Arial" w:hAnsi="Arial" w:cs="Arial"/>
          <w:sz w:val="22"/>
          <w:szCs w:val="22"/>
        </w:rPr>
        <w:t xml:space="preserve">ty or jeopardy to the revenue. </w:t>
      </w:r>
    </w:p>
    <w:p w:rsidRPr="008A2386" w:rsidR="00AF1157" w:rsidP="0023786D" w:rsidRDefault="00AF1157" w14:paraId="6EF9F935" w14:textId="77777777">
      <w:pPr>
        <w:suppressAutoHyphens/>
        <w:rPr>
          <w:rFonts w:ascii="Arial" w:hAnsi="Arial" w:cs="Arial"/>
          <w:sz w:val="36"/>
          <w:szCs w:val="36"/>
        </w:rPr>
      </w:pPr>
    </w:p>
    <w:p w:rsidRPr="007A5D4B" w:rsidR="00AF1157" w:rsidP="0023786D" w:rsidRDefault="00CA7E3C" w14:paraId="06DA578D"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23786D" w:rsidRDefault="00AF1157" w14:paraId="015D61EA" w14:textId="77777777">
      <w:pPr>
        <w:suppressAutoHyphens/>
        <w:ind w:left="480" w:hanging="480"/>
        <w:rPr>
          <w:rFonts w:ascii="Arial" w:hAnsi="Arial" w:cs="Arial"/>
          <w:sz w:val="22"/>
          <w:szCs w:val="22"/>
        </w:rPr>
      </w:pPr>
    </w:p>
    <w:p w:rsidR="00D414AB" w:rsidP="0023786D" w:rsidRDefault="001035CE" w14:paraId="76820F7E" w14:textId="77777777">
      <w:pPr>
        <w:ind w:left="360"/>
        <w:rPr>
          <w:rFonts w:ascii="Arial" w:hAnsi="Arial" w:cs="Arial"/>
          <w:sz w:val="22"/>
          <w:szCs w:val="22"/>
          <w:highlight w:val="yellow"/>
        </w:rPr>
      </w:pPr>
      <w:r>
        <w:rPr>
          <w:rFonts w:ascii="Arial" w:hAnsi="Arial" w:cs="Arial"/>
          <w:sz w:val="22"/>
          <w:szCs w:val="22"/>
        </w:rPr>
        <w:t xml:space="preserve">This </w:t>
      </w:r>
      <w:r w:rsidR="00270EE2">
        <w:rPr>
          <w:rFonts w:ascii="Arial" w:hAnsi="Arial" w:cs="Arial"/>
          <w:sz w:val="22"/>
          <w:szCs w:val="22"/>
        </w:rPr>
        <w:t xml:space="preserve">collected </w:t>
      </w:r>
      <w:r>
        <w:rPr>
          <w:rFonts w:ascii="Arial" w:hAnsi="Arial" w:cs="Arial"/>
          <w:sz w:val="22"/>
          <w:szCs w:val="22"/>
        </w:rPr>
        <w:t xml:space="preserve">information </w:t>
      </w:r>
      <w:r w:rsidRPr="00C00359" w:rsidR="00C00359">
        <w:rPr>
          <w:rFonts w:ascii="Arial" w:hAnsi="Arial" w:cs="Arial"/>
          <w:sz w:val="22"/>
          <w:szCs w:val="22"/>
        </w:rPr>
        <w:t>is pertinent to each respondent and specific</w:t>
      </w:r>
      <w:r w:rsidR="007F48BD">
        <w:rPr>
          <w:rFonts w:ascii="Arial" w:hAnsi="Arial" w:cs="Arial"/>
          <w:sz w:val="22"/>
          <w:szCs w:val="22"/>
        </w:rPr>
        <w:t xml:space="preserve"> to the</w:t>
      </w:r>
      <w:r w:rsidRPr="00C00359" w:rsidR="00C00359">
        <w:rPr>
          <w:rFonts w:ascii="Arial" w:hAnsi="Arial" w:cs="Arial"/>
          <w:sz w:val="22"/>
          <w:szCs w:val="22"/>
        </w:rPr>
        <w:t xml:space="preserve"> reporting </w:t>
      </w:r>
      <w:r w:rsidR="007F48BD">
        <w:rPr>
          <w:rFonts w:ascii="Arial" w:hAnsi="Arial" w:cs="Arial"/>
          <w:sz w:val="22"/>
          <w:szCs w:val="22"/>
        </w:rPr>
        <w:t xml:space="preserve">of </w:t>
      </w:r>
      <w:r w:rsidR="00C00359">
        <w:rPr>
          <w:rFonts w:ascii="Arial" w:hAnsi="Arial" w:cs="Arial"/>
          <w:sz w:val="22"/>
          <w:szCs w:val="22"/>
        </w:rPr>
        <w:t xml:space="preserve">winery </w:t>
      </w:r>
      <w:r w:rsidRPr="00C00359" w:rsidR="00C00359">
        <w:rPr>
          <w:rFonts w:ascii="Arial" w:hAnsi="Arial" w:cs="Arial"/>
          <w:sz w:val="22"/>
          <w:szCs w:val="22"/>
        </w:rPr>
        <w:t>operational activities</w:t>
      </w:r>
      <w:r>
        <w:rPr>
          <w:rFonts w:ascii="Arial" w:hAnsi="Arial" w:cs="Arial"/>
          <w:sz w:val="22"/>
          <w:szCs w:val="22"/>
        </w:rPr>
        <w:t xml:space="preserve"> to TTB</w:t>
      </w:r>
      <w:r w:rsidRPr="00C00359" w:rsidR="00C00359">
        <w:rPr>
          <w:rFonts w:ascii="Arial" w:hAnsi="Arial" w:cs="Arial"/>
          <w:sz w:val="22"/>
          <w:szCs w:val="22"/>
        </w:rPr>
        <w:t>.  As far as</w:t>
      </w:r>
      <w:r w:rsidR="00C00359">
        <w:rPr>
          <w:rFonts w:ascii="Arial" w:hAnsi="Arial" w:cs="Arial"/>
          <w:sz w:val="22"/>
          <w:szCs w:val="22"/>
        </w:rPr>
        <w:t xml:space="preserve"> TTB can de</w:t>
      </w:r>
      <w:r w:rsidRPr="00C00359" w:rsidR="00C00359">
        <w:rPr>
          <w:rFonts w:ascii="Arial" w:hAnsi="Arial" w:cs="Arial"/>
          <w:sz w:val="22"/>
          <w:szCs w:val="22"/>
        </w:rPr>
        <w:t>termine, similar information is not available elsewhere.</w:t>
      </w:r>
      <w:r w:rsidRPr="00D414AB" w:rsidR="00D414AB">
        <w:rPr>
          <w:rFonts w:ascii="Arial" w:hAnsi="Arial" w:cs="Arial"/>
          <w:sz w:val="22"/>
          <w:szCs w:val="22"/>
          <w:highlight w:val="yellow"/>
        </w:rPr>
        <w:t xml:space="preserve"> </w:t>
      </w:r>
    </w:p>
    <w:p w:rsidRPr="00017892" w:rsidR="007A5D4B" w:rsidP="0023786D" w:rsidRDefault="007A5D4B" w14:paraId="76994B88" w14:textId="77777777">
      <w:pPr>
        <w:suppressAutoHyphens/>
        <w:rPr>
          <w:rFonts w:ascii="Arial" w:hAnsi="Arial" w:cs="Arial"/>
          <w:sz w:val="36"/>
          <w:szCs w:val="36"/>
        </w:rPr>
      </w:pPr>
    </w:p>
    <w:p w:rsidRPr="00017892" w:rsidR="00AF1157" w:rsidP="0023786D" w:rsidRDefault="007A5D4B" w14:paraId="71F3A866" w14:textId="77777777">
      <w:pPr>
        <w:suppressAutoHyphens/>
        <w:rPr>
          <w:rFonts w:ascii="Arial" w:hAnsi="Arial" w:cs="Arial"/>
          <w:i/>
          <w:sz w:val="22"/>
          <w:szCs w:val="22"/>
        </w:rPr>
      </w:pPr>
      <w:r w:rsidRPr="00017892">
        <w:rPr>
          <w:rFonts w:ascii="Arial" w:hAnsi="Arial" w:cs="Arial"/>
          <w:i/>
          <w:sz w:val="22"/>
          <w:szCs w:val="22"/>
        </w:rPr>
        <w:t xml:space="preserve">5.  </w:t>
      </w:r>
      <w:r w:rsidRPr="00017892" w:rsidR="00AF1157">
        <w:rPr>
          <w:rFonts w:ascii="Arial" w:hAnsi="Arial" w:cs="Arial"/>
          <w:i/>
          <w:sz w:val="22"/>
          <w:szCs w:val="22"/>
        </w:rPr>
        <w:t>If this collection of information impacts small businesses or other small entities,</w:t>
      </w:r>
      <w:r w:rsidRPr="00017892" w:rsidR="00DF5F98">
        <w:rPr>
          <w:rFonts w:ascii="Arial" w:hAnsi="Arial" w:cs="Arial"/>
          <w:i/>
          <w:sz w:val="22"/>
          <w:szCs w:val="22"/>
        </w:rPr>
        <w:t xml:space="preserve"> </w:t>
      </w:r>
      <w:r w:rsidRPr="00017892" w:rsidR="00AF1157">
        <w:rPr>
          <w:rFonts w:ascii="Arial" w:hAnsi="Arial" w:cs="Arial"/>
          <w:i/>
          <w:sz w:val="22"/>
          <w:szCs w:val="22"/>
        </w:rPr>
        <w:t>what methods are used to minimize burden?</w:t>
      </w:r>
      <w:r w:rsidRPr="00017892">
        <w:rPr>
          <w:rFonts w:ascii="Arial" w:hAnsi="Arial" w:cs="Arial"/>
          <w:i/>
          <w:sz w:val="22"/>
          <w:szCs w:val="22"/>
        </w:rPr>
        <w:t xml:space="preserve"> </w:t>
      </w:r>
    </w:p>
    <w:p w:rsidRPr="00017892" w:rsidR="007A5D4B" w:rsidP="0023786D" w:rsidRDefault="007A5D4B" w14:paraId="2B9044F8" w14:textId="77777777">
      <w:pPr>
        <w:suppressAutoHyphens/>
        <w:ind w:left="480" w:hanging="480"/>
        <w:rPr>
          <w:rFonts w:ascii="Arial" w:hAnsi="Arial" w:cs="Arial"/>
          <w:sz w:val="22"/>
          <w:szCs w:val="22"/>
        </w:rPr>
      </w:pPr>
    </w:p>
    <w:p w:rsidR="00270EE2" w:rsidP="0023786D" w:rsidRDefault="00C47433" w14:paraId="58B2B7EE" w14:textId="77777777">
      <w:pPr>
        <w:autoSpaceDE w:val="0"/>
        <w:autoSpaceDN w:val="0"/>
        <w:adjustRightInd w:val="0"/>
        <w:ind w:left="360"/>
        <w:rPr>
          <w:rFonts w:ascii="Arial" w:hAnsi="Arial" w:cs="Arial"/>
          <w:sz w:val="22"/>
          <w:szCs w:val="22"/>
        </w:rPr>
      </w:pPr>
      <w:r w:rsidRPr="00017892">
        <w:rPr>
          <w:rFonts w:ascii="Arial" w:hAnsi="Arial" w:cs="Arial"/>
          <w:sz w:val="22"/>
          <w:szCs w:val="22"/>
        </w:rPr>
        <w:t xml:space="preserve">In general, </w:t>
      </w:r>
      <w:r w:rsidR="00270EE2">
        <w:rPr>
          <w:rFonts w:ascii="Arial" w:hAnsi="Arial" w:cs="Arial"/>
          <w:sz w:val="22"/>
          <w:szCs w:val="22"/>
        </w:rPr>
        <w:t xml:space="preserve">the TTB regulations at </w:t>
      </w:r>
      <w:r w:rsidRPr="00270EE2" w:rsidR="00270EE2">
        <w:rPr>
          <w:rFonts w:ascii="Arial" w:hAnsi="Arial" w:cs="Arial"/>
          <w:sz w:val="22"/>
          <w:szCs w:val="22"/>
        </w:rPr>
        <w:t>27 CFR 24.300(g)(1)</w:t>
      </w:r>
      <w:r w:rsidR="00270EE2">
        <w:rPr>
          <w:rFonts w:ascii="Arial" w:hAnsi="Arial" w:cs="Arial"/>
          <w:sz w:val="22"/>
          <w:szCs w:val="22"/>
        </w:rPr>
        <w:t xml:space="preserve"> require wine premises </w:t>
      </w:r>
      <w:r w:rsidRPr="00017892">
        <w:rPr>
          <w:rFonts w:ascii="Arial" w:hAnsi="Arial" w:cs="Arial"/>
          <w:sz w:val="22"/>
          <w:szCs w:val="22"/>
        </w:rPr>
        <w:t>proprietors</w:t>
      </w:r>
      <w:r>
        <w:rPr>
          <w:rFonts w:ascii="Arial" w:hAnsi="Arial" w:cs="Arial"/>
          <w:sz w:val="22"/>
          <w:szCs w:val="22"/>
        </w:rPr>
        <w:t xml:space="preserve"> to file operations reports on a monthly basis</w:t>
      </w:r>
      <w:r w:rsidR="000148B7">
        <w:rPr>
          <w:rFonts w:ascii="Arial" w:hAnsi="Arial" w:cs="Arial"/>
          <w:sz w:val="22"/>
          <w:szCs w:val="22"/>
        </w:rPr>
        <w:t xml:space="preserve">.  However, </w:t>
      </w:r>
      <w:r w:rsidR="006A2D68">
        <w:rPr>
          <w:rFonts w:ascii="Arial" w:hAnsi="Arial" w:cs="Arial"/>
          <w:sz w:val="22"/>
          <w:szCs w:val="22"/>
        </w:rPr>
        <w:t>u</w:t>
      </w:r>
      <w:r w:rsidR="000148B7">
        <w:rPr>
          <w:rFonts w:ascii="Arial" w:hAnsi="Arial" w:cs="Arial"/>
          <w:sz w:val="22"/>
          <w:szCs w:val="22"/>
        </w:rPr>
        <w:t xml:space="preserve">nder </w:t>
      </w:r>
      <w:r w:rsidR="00017892">
        <w:rPr>
          <w:rFonts w:ascii="Arial" w:hAnsi="Arial" w:cs="Arial"/>
          <w:sz w:val="22"/>
          <w:szCs w:val="22"/>
        </w:rPr>
        <w:t>§ 24.300</w:t>
      </w:r>
      <w:r w:rsidR="000148B7">
        <w:rPr>
          <w:rFonts w:ascii="Arial" w:hAnsi="Arial" w:cs="Arial"/>
          <w:sz w:val="22"/>
          <w:szCs w:val="22"/>
        </w:rPr>
        <w:t xml:space="preserve">(g)(2), </w:t>
      </w:r>
      <w:r w:rsidR="00017892">
        <w:rPr>
          <w:rFonts w:ascii="Arial" w:hAnsi="Arial" w:cs="Arial"/>
          <w:sz w:val="22"/>
          <w:szCs w:val="22"/>
        </w:rPr>
        <w:t xml:space="preserve">wine premises </w:t>
      </w:r>
      <w:r w:rsidR="000148B7">
        <w:rPr>
          <w:rFonts w:ascii="Arial" w:hAnsi="Arial" w:cs="Arial"/>
          <w:sz w:val="22"/>
          <w:szCs w:val="22"/>
        </w:rPr>
        <w:t xml:space="preserve">proprietors who file alcohol excise tax returns </w:t>
      </w:r>
      <w:r w:rsidR="006A2D68">
        <w:rPr>
          <w:rFonts w:ascii="Arial" w:hAnsi="Arial" w:cs="Arial"/>
          <w:sz w:val="22"/>
          <w:szCs w:val="22"/>
        </w:rPr>
        <w:t xml:space="preserve">quarterly </w:t>
      </w:r>
      <w:r w:rsidR="000148B7">
        <w:rPr>
          <w:rFonts w:ascii="Arial" w:hAnsi="Arial" w:cs="Arial"/>
          <w:sz w:val="22"/>
          <w:szCs w:val="22"/>
        </w:rPr>
        <w:t>are eligible to file operations reports</w:t>
      </w:r>
      <w:r w:rsidR="00270EE2">
        <w:rPr>
          <w:rFonts w:ascii="Arial" w:hAnsi="Arial" w:cs="Arial"/>
          <w:sz w:val="22"/>
          <w:szCs w:val="22"/>
        </w:rPr>
        <w:t xml:space="preserve"> on </w:t>
      </w:r>
      <w:r w:rsidR="006A2D68">
        <w:rPr>
          <w:rFonts w:ascii="Arial" w:hAnsi="Arial" w:cs="Arial"/>
          <w:sz w:val="22"/>
          <w:szCs w:val="22"/>
        </w:rPr>
        <w:t xml:space="preserve">the same </w:t>
      </w:r>
      <w:r w:rsidR="00270EE2">
        <w:rPr>
          <w:rFonts w:ascii="Arial" w:hAnsi="Arial" w:cs="Arial"/>
          <w:sz w:val="22"/>
          <w:szCs w:val="22"/>
        </w:rPr>
        <w:t>basis</w:t>
      </w:r>
      <w:r w:rsidR="000148B7">
        <w:rPr>
          <w:rFonts w:ascii="Arial" w:hAnsi="Arial" w:cs="Arial"/>
          <w:sz w:val="22"/>
          <w:szCs w:val="22"/>
        </w:rPr>
        <w:t xml:space="preserve">, while proprietors who file such tax returns </w:t>
      </w:r>
      <w:r w:rsidR="00270EE2">
        <w:rPr>
          <w:rFonts w:ascii="Arial" w:hAnsi="Arial" w:cs="Arial"/>
          <w:sz w:val="22"/>
          <w:szCs w:val="22"/>
        </w:rPr>
        <w:t xml:space="preserve">annually </w:t>
      </w:r>
      <w:r w:rsidR="000148B7">
        <w:rPr>
          <w:rFonts w:ascii="Arial" w:hAnsi="Arial" w:cs="Arial"/>
          <w:sz w:val="22"/>
          <w:szCs w:val="22"/>
        </w:rPr>
        <w:t xml:space="preserve">are eligible to file operations reports </w:t>
      </w:r>
      <w:r w:rsidR="006A2D68">
        <w:rPr>
          <w:rFonts w:ascii="Arial" w:hAnsi="Arial" w:cs="Arial"/>
          <w:sz w:val="22"/>
          <w:szCs w:val="22"/>
        </w:rPr>
        <w:t>annually as well</w:t>
      </w:r>
      <w:r w:rsidR="000148B7">
        <w:rPr>
          <w:rFonts w:ascii="Arial" w:hAnsi="Arial" w:cs="Arial"/>
          <w:sz w:val="22"/>
          <w:szCs w:val="22"/>
        </w:rPr>
        <w:t>.</w:t>
      </w:r>
      <w:r w:rsidR="000148B7">
        <w:rPr>
          <w:rStyle w:val="FootnoteReference"/>
          <w:rFonts w:ascii="Arial" w:hAnsi="Arial" w:cs="Arial"/>
          <w:sz w:val="22"/>
          <w:szCs w:val="22"/>
        </w:rPr>
        <w:footnoteReference w:id="3"/>
      </w:r>
      <w:r w:rsidR="000148B7">
        <w:rPr>
          <w:rFonts w:ascii="Arial" w:hAnsi="Arial" w:cs="Arial"/>
          <w:sz w:val="22"/>
          <w:szCs w:val="22"/>
        </w:rPr>
        <w:t xml:space="preserve">  </w:t>
      </w:r>
    </w:p>
    <w:p w:rsidR="00270EE2" w:rsidP="0023786D" w:rsidRDefault="00270EE2" w14:paraId="5B471D7F" w14:textId="77777777">
      <w:pPr>
        <w:autoSpaceDE w:val="0"/>
        <w:autoSpaceDN w:val="0"/>
        <w:adjustRightInd w:val="0"/>
        <w:ind w:left="360"/>
        <w:rPr>
          <w:rFonts w:ascii="Arial" w:hAnsi="Arial" w:cs="Arial"/>
          <w:sz w:val="22"/>
          <w:szCs w:val="22"/>
        </w:rPr>
      </w:pPr>
    </w:p>
    <w:p w:rsidR="009B039B" w:rsidP="0023786D" w:rsidRDefault="006A2D68" w14:paraId="52436A86" w14:textId="77777777">
      <w:pPr>
        <w:autoSpaceDE w:val="0"/>
        <w:autoSpaceDN w:val="0"/>
        <w:adjustRightInd w:val="0"/>
        <w:ind w:left="360"/>
        <w:rPr>
          <w:rFonts w:ascii="Arial" w:hAnsi="Arial" w:cs="Arial"/>
          <w:sz w:val="22"/>
          <w:szCs w:val="22"/>
        </w:rPr>
      </w:pPr>
      <w:r>
        <w:rPr>
          <w:rFonts w:ascii="Arial" w:hAnsi="Arial" w:cs="Arial"/>
          <w:sz w:val="22"/>
          <w:szCs w:val="22"/>
        </w:rPr>
        <w:t>In addition</w:t>
      </w:r>
      <w:r w:rsidR="00017892">
        <w:rPr>
          <w:rFonts w:ascii="Arial" w:hAnsi="Arial" w:cs="Arial"/>
          <w:sz w:val="22"/>
          <w:szCs w:val="22"/>
        </w:rPr>
        <w:t xml:space="preserve">, </w:t>
      </w:r>
      <w:r w:rsidR="00C04D09">
        <w:rPr>
          <w:rFonts w:ascii="Arial" w:hAnsi="Arial" w:cs="Arial"/>
          <w:sz w:val="22"/>
          <w:szCs w:val="22"/>
        </w:rPr>
        <w:t>TTB offers “smart form” version</w:t>
      </w:r>
      <w:r>
        <w:rPr>
          <w:rFonts w:ascii="Arial" w:hAnsi="Arial" w:cs="Arial"/>
          <w:sz w:val="22"/>
          <w:szCs w:val="22"/>
        </w:rPr>
        <w:t>s</w:t>
      </w:r>
      <w:r w:rsidR="00C04D09">
        <w:rPr>
          <w:rFonts w:ascii="Arial" w:hAnsi="Arial" w:cs="Arial"/>
          <w:sz w:val="22"/>
          <w:szCs w:val="22"/>
        </w:rPr>
        <w:t xml:space="preserve"> of TTB F 5120.17, which h</w:t>
      </w:r>
      <w:r w:rsidRPr="00C04D09" w:rsidR="00C04D09">
        <w:rPr>
          <w:rFonts w:ascii="Arial" w:hAnsi="Arial" w:cs="Arial"/>
          <w:sz w:val="22"/>
          <w:szCs w:val="22"/>
        </w:rPr>
        <w:t>as built-in logic and automation features</w:t>
      </w:r>
      <w:r>
        <w:rPr>
          <w:rFonts w:ascii="Arial" w:hAnsi="Arial" w:cs="Arial"/>
          <w:sz w:val="22"/>
          <w:szCs w:val="22"/>
        </w:rPr>
        <w:t xml:space="preserve"> </w:t>
      </w:r>
      <w:r w:rsidRPr="00C04D09" w:rsidR="00C04D09">
        <w:rPr>
          <w:rFonts w:ascii="Arial" w:hAnsi="Arial" w:cs="Arial"/>
          <w:sz w:val="22"/>
          <w:szCs w:val="22"/>
        </w:rPr>
        <w:t xml:space="preserve">to prevent common mistakes and make completion of the form easier for the respondent.  </w:t>
      </w:r>
      <w:r>
        <w:rPr>
          <w:rFonts w:ascii="Arial" w:hAnsi="Arial" w:cs="Arial"/>
          <w:sz w:val="22"/>
          <w:szCs w:val="22"/>
        </w:rPr>
        <w:t xml:space="preserve">Finally, </w:t>
      </w:r>
      <w:r w:rsidRPr="009B039B" w:rsidR="009B039B">
        <w:rPr>
          <w:rFonts w:ascii="Arial" w:hAnsi="Arial" w:cs="Arial"/>
          <w:sz w:val="22"/>
          <w:szCs w:val="22"/>
        </w:rPr>
        <w:t>under the TTB wine regulations at 27 CFR 24.22, Alternate methods or procedures, TTB will consider requests by proprietors</w:t>
      </w:r>
      <w:r w:rsidR="009B039B">
        <w:rPr>
          <w:rFonts w:ascii="Arial" w:hAnsi="Arial" w:cs="Arial"/>
          <w:sz w:val="22"/>
          <w:szCs w:val="22"/>
        </w:rPr>
        <w:t xml:space="preserve">, </w:t>
      </w:r>
      <w:r>
        <w:rPr>
          <w:rFonts w:ascii="Arial" w:hAnsi="Arial" w:cs="Arial"/>
          <w:sz w:val="22"/>
          <w:szCs w:val="22"/>
        </w:rPr>
        <w:t xml:space="preserve">regardless of size, </w:t>
      </w:r>
      <w:r w:rsidRPr="009B039B" w:rsidR="009B039B">
        <w:rPr>
          <w:rFonts w:ascii="Arial" w:hAnsi="Arial" w:cs="Arial"/>
          <w:sz w:val="22"/>
          <w:szCs w:val="22"/>
        </w:rPr>
        <w:t xml:space="preserve">to use </w:t>
      </w:r>
      <w:r>
        <w:rPr>
          <w:rFonts w:ascii="Arial" w:hAnsi="Arial" w:cs="Arial"/>
          <w:sz w:val="22"/>
          <w:szCs w:val="22"/>
        </w:rPr>
        <w:t>self-generated computer reports containing the required information to</w:t>
      </w:r>
      <w:r w:rsidRPr="009B039B" w:rsidR="009B039B">
        <w:rPr>
          <w:rFonts w:ascii="Arial" w:hAnsi="Arial" w:cs="Arial"/>
          <w:sz w:val="22"/>
          <w:szCs w:val="22"/>
        </w:rPr>
        <w:t xml:space="preserve"> reduce the burden </w:t>
      </w:r>
      <w:r>
        <w:rPr>
          <w:rFonts w:ascii="Arial" w:hAnsi="Arial" w:cs="Arial"/>
          <w:sz w:val="22"/>
          <w:szCs w:val="22"/>
        </w:rPr>
        <w:t xml:space="preserve">of this reporting requirement. </w:t>
      </w:r>
    </w:p>
    <w:p w:rsidR="00466815" w:rsidP="0023786D" w:rsidRDefault="00466815" w14:paraId="7F5A8B44" w14:textId="77777777">
      <w:pPr>
        <w:autoSpaceDE w:val="0"/>
        <w:autoSpaceDN w:val="0"/>
        <w:adjustRightInd w:val="0"/>
        <w:ind w:left="360"/>
        <w:rPr>
          <w:rFonts w:ascii="Arial" w:hAnsi="Arial" w:cs="Arial"/>
          <w:sz w:val="22"/>
          <w:szCs w:val="22"/>
        </w:rPr>
      </w:pPr>
    </w:p>
    <w:p w:rsidR="000148B7" w:rsidP="0023786D" w:rsidRDefault="00466815" w14:paraId="4F9DA1D1" w14:textId="77777777">
      <w:pPr>
        <w:autoSpaceDE w:val="0"/>
        <w:autoSpaceDN w:val="0"/>
        <w:adjustRightInd w:val="0"/>
        <w:ind w:left="360"/>
        <w:rPr>
          <w:rFonts w:ascii="Arial" w:hAnsi="Arial" w:cs="Arial"/>
          <w:sz w:val="22"/>
          <w:szCs w:val="22"/>
        </w:rPr>
      </w:pPr>
      <w:r w:rsidRPr="00466815">
        <w:rPr>
          <w:rFonts w:ascii="Arial" w:hAnsi="Arial" w:cs="Arial"/>
          <w:sz w:val="22"/>
          <w:szCs w:val="22"/>
        </w:rPr>
        <w:t>Given these less burdensome filing options for proprietors of small wine premises, TTB believes that this information collection does not have a significant impact on a substantial number of</w:t>
      </w:r>
      <w:r>
        <w:rPr>
          <w:rFonts w:ascii="Arial" w:hAnsi="Arial" w:cs="Arial"/>
          <w:sz w:val="22"/>
          <w:szCs w:val="22"/>
        </w:rPr>
        <w:t xml:space="preserve"> small businesses or entities. </w:t>
      </w:r>
    </w:p>
    <w:p w:rsidRPr="00017892" w:rsidR="007A5D4B" w:rsidP="0023786D" w:rsidRDefault="007A5D4B" w14:paraId="6D55C157" w14:textId="77777777">
      <w:pPr>
        <w:suppressAutoHyphens/>
        <w:rPr>
          <w:rFonts w:ascii="Arial" w:hAnsi="Arial" w:cs="Arial"/>
          <w:sz w:val="36"/>
          <w:szCs w:val="36"/>
        </w:rPr>
      </w:pPr>
    </w:p>
    <w:p w:rsidRPr="007A5D4B" w:rsidR="00AF1157" w:rsidP="0023786D" w:rsidRDefault="007A5D4B" w14:paraId="0DE70E76" w14:textId="77777777">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P="0023786D" w:rsidRDefault="00AF1157" w14:paraId="74226F0D" w14:textId="77777777">
      <w:pPr>
        <w:suppressAutoHyphens/>
        <w:ind w:left="480" w:hanging="480"/>
        <w:rPr>
          <w:rFonts w:ascii="Arial" w:hAnsi="Arial" w:cs="Arial"/>
          <w:sz w:val="22"/>
          <w:szCs w:val="22"/>
        </w:rPr>
      </w:pPr>
    </w:p>
    <w:p w:rsidR="00CA07BF" w:rsidP="0023786D" w:rsidRDefault="00470494" w14:paraId="680B29AD" w14:textId="77777777">
      <w:pPr>
        <w:ind w:left="360"/>
        <w:rPr>
          <w:rFonts w:ascii="Arial" w:hAnsi="Arial" w:cs="Arial"/>
          <w:sz w:val="22"/>
          <w:szCs w:val="22"/>
        </w:rPr>
      </w:pPr>
      <w:r>
        <w:rPr>
          <w:rFonts w:ascii="Arial" w:hAnsi="Arial" w:cs="Arial"/>
          <w:sz w:val="22"/>
          <w:szCs w:val="22"/>
        </w:rPr>
        <w:t>Proprietors of t</w:t>
      </w:r>
      <w:r w:rsidR="00CD7764">
        <w:rPr>
          <w:rFonts w:ascii="Arial" w:hAnsi="Arial" w:cs="Arial"/>
          <w:sz w:val="22"/>
          <w:szCs w:val="22"/>
        </w:rPr>
        <w:t>he</w:t>
      </w:r>
      <w:r w:rsidRPr="005510A3" w:rsidR="00CD7764">
        <w:rPr>
          <w:rFonts w:ascii="Arial" w:hAnsi="Arial" w:cs="Arial"/>
          <w:sz w:val="22"/>
          <w:szCs w:val="22"/>
        </w:rPr>
        <w:t xml:space="preserve"> </w:t>
      </w:r>
      <w:r w:rsidRPr="005510A3" w:rsidR="005510A3">
        <w:rPr>
          <w:rFonts w:ascii="Arial" w:hAnsi="Arial" w:cs="Arial"/>
          <w:sz w:val="22"/>
          <w:szCs w:val="22"/>
        </w:rPr>
        <w:t xml:space="preserve">largest wineries pay more than $1,000,000 </w:t>
      </w:r>
      <w:r w:rsidR="00017892">
        <w:rPr>
          <w:rFonts w:ascii="Arial" w:hAnsi="Arial" w:cs="Arial"/>
          <w:sz w:val="22"/>
          <w:szCs w:val="22"/>
        </w:rPr>
        <w:t xml:space="preserve">per </w:t>
      </w:r>
      <w:r w:rsidRPr="005510A3" w:rsidR="005510A3">
        <w:rPr>
          <w:rFonts w:ascii="Arial" w:hAnsi="Arial" w:cs="Arial"/>
          <w:sz w:val="22"/>
          <w:szCs w:val="22"/>
        </w:rPr>
        <w:t xml:space="preserve">month in </w:t>
      </w:r>
      <w:r w:rsidR="005510A3">
        <w:rPr>
          <w:rFonts w:ascii="Arial" w:hAnsi="Arial" w:cs="Arial"/>
          <w:sz w:val="22"/>
          <w:szCs w:val="22"/>
        </w:rPr>
        <w:t xml:space="preserve">Federal </w:t>
      </w:r>
      <w:r w:rsidRPr="005510A3" w:rsidR="005510A3">
        <w:rPr>
          <w:rFonts w:ascii="Arial" w:hAnsi="Arial" w:cs="Arial"/>
          <w:sz w:val="22"/>
          <w:szCs w:val="22"/>
        </w:rPr>
        <w:t>excise tax</w:t>
      </w:r>
      <w:r w:rsidR="00017892">
        <w:rPr>
          <w:rFonts w:ascii="Arial" w:hAnsi="Arial" w:cs="Arial"/>
          <w:sz w:val="22"/>
          <w:szCs w:val="22"/>
        </w:rPr>
        <w:t xml:space="preserve">, and, as such, </w:t>
      </w:r>
      <w:r w:rsidRPr="005510A3" w:rsidR="005510A3">
        <w:rPr>
          <w:rFonts w:ascii="Arial" w:hAnsi="Arial" w:cs="Arial"/>
          <w:sz w:val="22"/>
          <w:szCs w:val="22"/>
        </w:rPr>
        <w:t xml:space="preserve">their monthly </w:t>
      </w:r>
      <w:r>
        <w:rPr>
          <w:rFonts w:ascii="Arial" w:hAnsi="Arial" w:cs="Arial"/>
          <w:sz w:val="22"/>
          <w:szCs w:val="22"/>
        </w:rPr>
        <w:t xml:space="preserve">wine premises </w:t>
      </w:r>
      <w:r w:rsidR="00017892">
        <w:rPr>
          <w:rFonts w:ascii="Arial" w:hAnsi="Arial" w:cs="Arial"/>
          <w:sz w:val="22"/>
          <w:szCs w:val="22"/>
        </w:rPr>
        <w:t xml:space="preserve">operations </w:t>
      </w:r>
      <w:r w:rsidRPr="005510A3" w:rsidR="005510A3">
        <w:rPr>
          <w:rFonts w:ascii="Arial" w:hAnsi="Arial" w:cs="Arial"/>
          <w:sz w:val="22"/>
          <w:szCs w:val="22"/>
        </w:rPr>
        <w:t xml:space="preserve">reports </w:t>
      </w:r>
      <w:r w:rsidR="00017892">
        <w:rPr>
          <w:rFonts w:ascii="Arial" w:hAnsi="Arial" w:cs="Arial"/>
          <w:sz w:val="22"/>
          <w:szCs w:val="22"/>
        </w:rPr>
        <w:t xml:space="preserve">document </w:t>
      </w:r>
      <w:r w:rsidRPr="005510A3" w:rsidR="005510A3">
        <w:rPr>
          <w:rFonts w:ascii="Arial" w:hAnsi="Arial" w:cs="Arial"/>
          <w:sz w:val="22"/>
          <w:szCs w:val="22"/>
        </w:rPr>
        <w:t>large potential tax liabilit</w:t>
      </w:r>
      <w:r w:rsidR="00017892">
        <w:rPr>
          <w:rFonts w:ascii="Arial" w:hAnsi="Arial" w:cs="Arial"/>
          <w:sz w:val="22"/>
          <w:szCs w:val="22"/>
        </w:rPr>
        <w:t>ies</w:t>
      </w:r>
      <w:r w:rsidRPr="005510A3" w:rsidR="005510A3">
        <w:rPr>
          <w:rFonts w:ascii="Arial" w:hAnsi="Arial" w:cs="Arial"/>
          <w:sz w:val="22"/>
          <w:szCs w:val="22"/>
        </w:rPr>
        <w:t xml:space="preserve">.  </w:t>
      </w:r>
      <w:r>
        <w:rPr>
          <w:rFonts w:ascii="Arial" w:hAnsi="Arial" w:cs="Arial"/>
          <w:sz w:val="22"/>
          <w:szCs w:val="22"/>
        </w:rPr>
        <w:t xml:space="preserve">Not collecting </w:t>
      </w:r>
      <w:r w:rsidR="008F1F3E">
        <w:rPr>
          <w:rFonts w:ascii="Arial" w:hAnsi="Arial" w:cs="Arial"/>
          <w:sz w:val="22"/>
          <w:szCs w:val="22"/>
        </w:rPr>
        <w:t xml:space="preserve">monthly operations </w:t>
      </w:r>
      <w:r>
        <w:rPr>
          <w:rFonts w:ascii="Arial" w:hAnsi="Arial" w:cs="Arial"/>
          <w:sz w:val="22"/>
          <w:szCs w:val="22"/>
        </w:rPr>
        <w:t xml:space="preserve">reports from large </w:t>
      </w:r>
      <w:r w:rsidR="008F1F3E">
        <w:rPr>
          <w:rFonts w:ascii="Arial" w:hAnsi="Arial" w:cs="Arial"/>
          <w:sz w:val="22"/>
          <w:szCs w:val="22"/>
        </w:rPr>
        <w:t xml:space="preserve">wine </w:t>
      </w:r>
      <w:r>
        <w:rPr>
          <w:rFonts w:ascii="Arial" w:hAnsi="Arial" w:cs="Arial"/>
          <w:sz w:val="22"/>
          <w:szCs w:val="22"/>
        </w:rPr>
        <w:t xml:space="preserve">taxpayers, or collecting them less frequently, </w:t>
      </w:r>
      <w:r w:rsidRPr="005510A3" w:rsidR="005510A3">
        <w:rPr>
          <w:rFonts w:ascii="Arial" w:hAnsi="Arial" w:cs="Arial"/>
          <w:sz w:val="22"/>
          <w:szCs w:val="22"/>
        </w:rPr>
        <w:t xml:space="preserve">would </w:t>
      </w:r>
      <w:r w:rsidR="00417BC3">
        <w:rPr>
          <w:rFonts w:ascii="Arial" w:hAnsi="Arial" w:cs="Arial"/>
          <w:sz w:val="22"/>
          <w:szCs w:val="22"/>
        </w:rPr>
        <w:t xml:space="preserve">jeopardize the revenue and </w:t>
      </w:r>
      <w:r w:rsidR="008F1F3E">
        <w:rPr>
          <w:rFonts w:ascii="Arial" w:hAnsi="Arial" w:cs="Arial"/>
          <w:sz w:val="22"/>
          <w:szCs w:val="22"/>
        </w:rPr>
        <w:t xml:space="preserve">the monitoring value of </w:t>
      </w:r>
      <w:r w:rsidR="008F1F3E">
        <w:rPr>
          <w:rFonts w:ascii="Arial" w:hAnsi="Arial" w:cs="Arial"/>
          <w:sz w:val="22"/>
          <w:szCs w:val="22"/>
        </w:rPr>
        <w:lastRenderedPageBreak/>
        <w:t>those</w:t>
      </w:r>
      <w:r w:rsidR="00017892">
        <w:rPr>
          <w:rFonts w:ascii="Arial" w:hAnsi="Arial" w:cs="Arial"/>
          <w:sz w:val="22"/>
          <w:szCs w:val="22"/>
        </w:rPr>
        <w:t xml:space="preserve"> reports</w:t>
      </w:r>
      <w:r>
        <w:rPr>
          <w:rFonts w:ascii="Arial" w:hAnsi="Arial" w:cs="Arial"/>
          <w:sz w:val="22"/>
          <w:szCs w:val="22"/>
        </w:rPr>
        <w:t xml:space="preserve">.  For </w:t>
      </w:r>
      <w:r w:rsidR="008F1F3E">
        <w:rPr>
          <w:rFonts w:ascii="Arial" w:hAnsi="Arial" w:cs="Arial"/>
          <w:sz w:val="22"/>
          <w:szCs w:val="22"/>
        </w:rPr>
        <w:t xml:space="preserve">proprietors of </w:t>
      </w:r>
      <w:r>
        <w:rPr>
          <w:rFonts w:ascii="Arial" w:hAnsi="Arial" w:cs="Arial"/>
          <w:sz w:val="22"/>
          <w:szCs w:val="22"/>
        </w:rPr>
        <w:t>smaller wineries,</w:t>
      </w:r>
      <w:r w:rsidR="008F1F3E">
        <w:rPr>
          <w:rFonts w:ascii="Arial" w:hAnsi="Arial" w:cs="Arial"/>
          <w:sz w:val="22"/>
          <w:szCs w:val="22"/>
        </w:rPr>
        <w:t xml:space="preserve"> </w:t>
      </w:r>
      <w:r w:rsidRPr="008F1F3E" w:rsidR="008F1F3E">
        <w:rPr>
          <w:rFonts w:ascii="Arial" w:hAnsi="Arial" w:cs="Arial"/>
          <w:sz w:val="22"/>
          <w:szCs w:val="22"/>
        </w:rPr>
        <w:t>due to significantly lower tax liabilities of such taxpayers</w:t>
      </w:r>
      <w:r w:rsidR="008F1F3E">
        <w:rPr>
          <w:rFonts w:ascii="Arial" w:hAnsi="Arial" w:cs="Arial"/>
          <w:sz w:val="22"/>
          <w:szCs w:val="22"/>
        </w:rPr>
        <w:t>,</w:t>
      </w:r>
      <w:r w:rsidRPr="008F1F3E" w:rsidR="008F1F3E">
        <w:rPr>
          <w:rFonts w:ascii="Arial" w:hAnsi="Arial" w:cs="Arial"/>
          <w:sz w:val="22"/>
          <w:szCs w:val="22"/>
        </w:rPr>
        <w:t xml:space="preserve"> the TTB regulations allow for quarterly or annual filing of operations reports for such propriet</w:t>
      </w:r>
      <w:r w:rsidR="008F1F3E">
        <w:rPr>
          <w:rFonts w:ascii="Arial" w:hAnsi="Arial" w:cs="Arial"/>
          <w:sz w:val="22"/>
          <w:szCs w:val="22"/>
        </w:rPr>
        <w:t>ors.  H</w:t>
      </w:r>
      <w:r w:rsidR="00417BC3">
        <w:rPr>
          <w:rFonts w:ascii="Arial" w:hAnsi="Arial" w:cs="Arial"/>
          <w:sz w:val="22"/>
          <w:szCs w:val="22"/>
        </w:rPr>
        <w:t xml:space="preserve">owever, not collecting </w:t>
      </w:r>
      <w:r>
        <w:rPr>
          <w:rFonts w:ascii="Arial" w:hAnsi="Arial" w:cs="Arial"/>
          <w:sz w:val="22"/>
          <w:szCs w:val="22"/>
        </w:rPr>
        <w:t xml:space="preserve">the required </w:t>
      </w:r>
      <w:r w:rsidR="00417BC3">
        <w:rPr>
          <w:rFonts w:ascii="Arial" w:hAnsi="Arial" w:cs="Arial"/>
          <w:sz w:val="22"/>
          <w:szCs w:val="22"/>
        </w:rPr>
        <w:t xml:space="preserve">information would jeopardize the </w:t>
      </w:r>
      <w:r w:rsidR="008F1F3E">
        <w:rPr>
          <w:rFonts w:ascii="Arial" w:hAnsi="Arial" w:cs="Arial"/>
          <w:sz w:val="22"/>
          <w:szCs w:val="22"/>
        </w:rPr>
        <w:t>revenue,</w:t>
      </w:r>
      <w:r w:rsidR="00417BC3">
        <w:rPr>
          <w:rFonts w:ascii="Arial" w:hAnsi="Arial" w:cs="Arial"/>
          <w:sz w:val="22"/>
          <w:szCs w:val="22"/>
        </w:rPr>
        <w:t xml:space="preserve"> as TTB would </w:t>
      </w:r>
      <w:r w:rsidR="008F1F3E">
        <w:rPr>
          <w:rFonts w:ascii="Arial" w:hAnsi="Arial" w:cs="Arial"/>
          <w:sz w:val="22"/>
          <w:szCs w:val="22"/>
        </w:rPr>
        <w:t>not be able to compare operational information with excise tax return information for such p</w:t>
      </w:r>
      <w:r w:rsidR="00417BC3">
        <w:rPr>
          <w:rFonts w:ascii="Arial" w:hAnsi="Arial" w:cs="Arial"/>
          <w:sz w:val="22"/>
          <w:szCs w:val="22"/>
        </w:rPr>
        <w:t>remises</w:t>
      </w:r>
      <w:r w:rsidR="008F1F3E">
        <w:rPr>
          <w:rFonts w:ascii="Arial" w:hAnsi="Arial" w:cs="Arial"/>
          <w:sz w:val="22"/>
          <w:szCs w:val="22"/>
        </w:rPr>
        <w:t>.</w:t>
      </w:r>
      <w:r w:rsidR="00417BC3">
        <w:rPr>
          <w:rFonts w:ascii="Arial" w:hAnsi="Arial" w:cs="Arial"/>
          <w:sz w:val="22"/>
          <w:szCs w:val="22"/>
        </w:rPr>
        <w:t xml:space="preserve"> </w:t>
      </w:r>
    </w:p>
    <w:p w:rsidR="00417BC3" w:rsidP="0023786D" w:rsidRDefault="00417BC3" w14:paraId="0F4AB7AE" w14:textId="77777777">
      <w:pPr>
        <w:ind w:left="360"/>
        <w:rPr>
          <w:rFonts w:ascii="Arial" w:hAnsi="Arial" w:cs="Arial"/>
          <w:sz w:val="22"/>
          <w:szCs w:val="22"/>
        </w:rPr>
      </w:pPr>
    </w:p>
    <w:p w:rsidRPr="00CA07BF" w:rsidR="00417BC3" w:rsidP="0023786D" w:rsidRDefault="00417BC3" w14:paraId="40753BEB" w14:textId="77777777">
      <w:pPr>
        <w:ind w:left="360"/>
        <w:rPr>
          <w:rFonts w:ascii="Arial" w:hAnsi="Arial" w:cs="Arial"/>
          <w:sz w:val="22"/>
          <w:szCs w:val="22"/>
        </w:rPr>
      </w:pPr>
      <w:r>
        <w:rPr>
          <w:rFonts w:ascii="Arial" w:hAnsi="Arial" w:cs="Arial"/>
          <w:sz w:val="22"/>
          <w:szCs w:val="22"/>
        </w:rPr>
        <w:t xml:space="preserve">In addition, if </w:t>
      </w:r>
      <w:r w:rsidR="008F1F3E">
        <w:rPr>
          <w:rFonts w:ascii="Arial" w:hAnsi="Arial" w:cs="Arial"/>
          <w:sz w:val="22"/>
          <w:szCs w:val="22"/>
        </w:rPr>
        <w:t xml:space="preserve">TTB did not conduct </w:t>
      </w:r>
      <w:r>
        <w:rPr>
          <w:rFonts w:ascii="Arial" w:hAnsi="Arial" w:cs="Arial"/>
          <w:sz w:val="22"/>
          <w:szCs w:val="22"/>
        </w:rPr>
        <w:t>this collection</w:t>
      </w:r>
      <w:r w:rsidR="008F1F3E">
        <w:rPr>
          <w:rFonts w:ascii="Arial" w:hAnsi="Arial" w:cs="Arial"/>
          <w:sz w:val="22"/>
          <w:szCs w:val="22"/>
        </w:rPr>
        <w:t xml:space="preserve"> or conducted it less frequently, it could not </w:t>
      </w:r>
      <w:r>
        <w:rPr>
          <w:rFonts w:ascii="Arial" w:hAnsi="Arial" w:cs="Arial"/>
          <w:sz w:val="22"/>
          <w:szCs w:val="22"/>
        </w:rPr>
        <w:t xml:space="preserve">compile monthly wine industry statistical reports, which are used for a variety of purposes by industry members, Federal and State government agencies, educations institutions, media outlets, and the </w:t>
      </w:r>
      <w:r w:rsidR="0001127D">
        <w:rPr>
          <w:rFonts w:ascii="Arial" w:hAnsi="Arial" w:cs="Arial"/>
          <w:sz w:val="22"/>
          <w:szCs w:val="22"/>
        </w:rPr>
        <w:t>public</w:t>
      </w:r>
      <w:r>
        <w:rPr>
          <w:rFonts w:ascii="Arial" w:hAnsi="Arial" w:cs="Arial"/>
          <w:sz w:val="22"/>
          <w:szCs w:val="22"/>
        </w:rPr>
        <w:t xml:space="preserve">. </w:t>
      </w:r>
    </w:p>
    <w:p w:rsidRPr="002121DA" w:rsidR="007A5D4B" w:rsidP="0023786D" w:rsidRDefault="007A5D4B" w14:paraId="6C887891" w14:textId="77777777">
      <w:pPr>
        <w:suppressAutoHyphens/>
        <w:rPr>
          <w:rFonts w:ascii="Arial" w:hAnsi="Arial" w:cs="Arial"/>
          <w:sz w:val="36"/>
          <w:szCs w:val="36"/>
        </w:rPr>
      </w:pPr>
    </w:p>
    <w:p w:rsidRPr="007A5D4B" w:rsidR="00EC4FC3" w:rsidP="0023786D" w:rsidRDefault="007A5D4B" w14:paraId="4A86367B" w14:textId="77777777">
      <w:pPr>
        <w:suppressAutoHyphens/>
        <w:rPr>
          <w:rFonts w:ascii="Arial" w:hAnsi="Arial" w:cs="Arial"/>
          <w:i/>
          <w:sz w:val="22"/>
          <w:szCs w:val="22"/>
        </w:rPr>
      </w:pPr>
      <w:r w:rsidRPr="007A5D4B">
        <w:rPr>
          <w:rFonts w:ascii="Arial" w:hAnsi="Arial" w:cs="Arial"/>
          <w:i/>
          <w:sz w:val="22"/>
          <w:szCs w:val="22"/>
        </w:rPr>
        <w:t xml:space="preserve">7.  </w:t>
      </w:r>
      <w:r w:rsidRPr="007A5D4B" w:rsidR="00EC4FC3">
        <w:rPr>
          <w:rFonts w:ascii="Arial" w:hAnsi="Arial" w:cs="Arial"/>
          <w:i/>
          <w:sz w:val="22"/>
          <w:szCs w:val="22"/>
        </w:rPr>
        <w:t>Are there any special circumstances associated with this information collection</w:t>
      </w:r>
      <w:r w:rsidRPr="007A5D4B" w:rsidR="005C282B">
        <w:rPr>
          <w:rFonts w:ascii="Arial" w:hAnsi="Arial" w:cs="Arial"/>
          <w:i/>
          <w:sz w:val="22"/>
          <w:szCs w:val="22"/>
        </w:rPr>
        <w:t xml:space="preserve"> that would require it to be conducted in a manner inconsistent with OMB guidelines</w:t>
      </w:r>
      <w:r w:rsidRPr="007A5D4B" w:rsidR="00EC4FC3">
        <w:rPr>
          <w:rFonts w:ascii="Arial" w:hAnsi="Arial" w:cs="Arial"/>
          <w:i/>
          <w:sz w:val="22"/>
          <w:szCs w:val="22"/>
        </w:rPr>
        <w:t xml:space="preserve">? </w:t>
      </w:r>
    </w:p>
    <w:p w:rsidRPr="007A5D4B" w:rsidR="00101DE7" w:rsidP="0023786D" w:rsidRDefault="00101DE7" w14:paraId="19E4E46D" w14:textId="77777777">
      <w:pPr>
        <w:rPr>
          <w:rFonts w:ascii="Arial" w:hAnsi="Arial" w:cs="Arial"/>
          <w:sz w:val="22"/>
          <w:szCs w:val="22"/>
        </w:rPr>
      </w:pPr>
    </w:p>
    <w:p w:rsidR="002C58F5" w:rsidP="0023786D" w:rsidRDefault="009B039B" w14:paraId="7D1BF7F8" w14:textId="77777777">
      <w:pPr>
        <w:ind w:left="360"/>
        <w:rPr>
          <w:rFonts w:ascii="Arial" w:hAnsi="Arial" w:cs="Arial"/>
          <w:sz w:val="22"/>
          <w:szCs w:val="22"/>
        </w:rPr>
      </w:pPr>
      <w:r>
        <w:rPr>
          <w:rFonts w:ascii="Arial" w:hAnsi="Arial" w:cs="Arial"/>
          <w:sz w:val="22"/>
          <w:szCs w:val="22"/>
        </w:rPr>
        <w:t>Under 5 </w:t>
      </w:r>
      <w:r w:rsidRPr="002121DA" w:rsidR="002121DA">
        <w:rPr>
          <w:rFonts w:ascii="Arial" w:hAnsi="Arial" w:cs="Arial"/>
          <w:sz w:val="22"/>
          <w:szCs w:val="22"/>
        </w:rPr>
        <w:t xml:space="preserve">CFR 1320.5(d)(2)(i), requiring respondents to report information to an agency more often than quarterly </w:t>
      </w:r>
      <w:r w:rsidR="002121DA">
        <w:rPr>
          <w:rFonts w:ascii="Arial" w:hAnsi="Arial" w:cs="Arial"/>
          <w:sz w:val="22"/>
          <w:szCs w:val="22"/>
        </w:rPr>
        <w:t xml:space="preserve">and requiring retention of a record for more than three years are </w:t>
      </w:r>
      <w:r w:rsidRPr="002121DA" w:rsidR="002121DA">
        <w:rPr>
          <w:rFonts w:ascii="Arial" w:hAnsi="Arial" w:cs="Arial"/>
          <w:sz w:val="22"/>
          <w:szCs w:val="22"/>
        </w:rPr>
        <w:t>special circumstance</w:t>
      </w:r>
      <w:r w:rsidR="002121DA">
        <w:rPr>
          <w:rFonts w:ascii="Arial" w:hAnsi="Arial" w:cs="Arial"/>
          <w:sz w:val="22"/>
          <w:szCs w:val="22"/>
        </w:rPr>
        <w:t xml:space="preserve">s.  As noted, the largest wine excise taxpayers are required to file operations reports on a monthly basis.  This is necessary to protect the revenue, which amounts to over $1 million per month for each of the largest taxpayers.  Smaller wine excise taxpayers may file operations reports or a quarterly or annual basis, depending on their tax liability.  </w:t>
      </w:r>
      <w:r w:rsidRPr="002C58F5" w:rsidR="002C58F5">
        <w:rPr>
          <w:rFonts w:ascii="Arial" w:hAnsi="Arial" w:cs="Arial"/>
          <w:sz w:val="22"/>
          <w:szCs w:val="22"/>
        </w:rPr>
        <w:t xml:space="preserve">The retention period for </w:t>
      </w:r>
      <w:r w:rsidR="002121DA">
        <w:rPr>
          <w:rFonts w:ascii="Arial" w:hAnsi="Arial" w:cs="Arial"/>
          <w:sz w:val="22"/>
          <w:szCs w:val="22"/>
        </w:rPr>
        <w:t xml:space="preserve">wine premises operations reports </w:t>
      </w:r>
      <w:r w:rsidR="002C58F5">
        <w:rPr>
          <w:rFonts w:ascii="Arial" w:hAnsi="Arial" w:cs="Arial"/>
          <w:sz w:val="22"/>
          <w:szCs w:val="22"/>
        </w:rPr>
        <w:t>i</w:t>
      </w:r>
      <w:r w:rsidRPr="002C58F5" w:rsidR="002C58F5">
        <w:rPr>
          <w:rFonts w:ascii="Arial" w:hAnsi="Arial" w:cs="Arial"/>
          <w:sz w:val="22"/>
          <w:szCs w:val="22"/>
        </w:rPr>
        <w:t xml:space="preserve">s three years, but </w:t>
      </w:r>
      <w:r w:rsidR="002C58F5">
        <w:rPr>
          <w:rFonts w:ascii="Arial" w:hAnsi="Arial" w:cs="Arial"/>
          <w:sz w:val="22"/>
          <w:szCs w:val="22"/>
        </w:rPr>
        <w:t xml:space="preserve">this period </w:t>
      </w:r>
      <w:r w:rsidRPr="002C58F5" w:rsidR="002C58F5">
        <w:rPr>
          <w:rFonts w:ascii="Arial" w:hAnsi="Arial" w:cs="Arial"/>
          <w:sz w:val="22"/>
          <w:szCs w:val="22"/>
        </w:rPr>
        <w:t xml:space="preserve">may be extended for an additional three years </w:t>
      </w:r>
      <w:r>
        <w:rPr>
          <w:rFonts w:ascii="Arial" w:hAnsi="Arial" w:cs="Arial"/>
          <w:sz w:val="22"/>
          <w:szCs w:val="22"/>
        </w:rPr>
        <w:t xml:space="preserve">at the </w:t>
      </w:r>
      <w:r w:rsidRPr="002C58F5" w:rsidR="002C58F5">
        <w:rPr>
          <w:rFonts w:ascii="Arial" w:hAnsi="Arial" w:cs="Arial"/>
          <w:sz w:val="22"/>
          <w:szCs w:val="22"/>
        </w:rPr>
        <w:t xml:space="preserve">direction of </w:t>
      </w:r>
      <w:r>
        <w:rPr>
          <w:rFonts w:ascii="Arial" w:hAnsi="Arial" w:cs="Arial"/>
          <w:sz w:val="22"/>
          <w:szCs w:val="22"/>
        </w:rPr>
        <w:t xml:space="preserve">the appropriate </w:t>
      </w:r>
      <w:r w:rsidRPr="002C58F5" w:rsidR="002C58F5">
        <w:rPr>
          <w:rFonts w:ascii="Arial" w:hAnsi="Arial" w:cs="Arial"/>
          <w:sz w:val="22"/>
          <w:szCs w:val="22"/>
        </w:rPr>
        <w:t>TTB offic</w:t>
      </w:r>
      <w:r>
        <w:rPr>
          <w:rFonts w:ascii="Arial" w:hAnsi="Arial" w:cs="Arial"/>
          <w:sz w:val="22"/>
          <w:szCs w:val="22"/>
        </w:rPr>
        <w:t>er</w:t>
      </w:r>
      <w:r w:rsidRPr="002C58F5" w:rsidR="002C58F5">
        <w:rPr>
          <w:rFonts w:ascii="Arial" w:hAnsi="Arial" w:cs="Arial"/>
          <w:sz w:val="22"/>
          <w:szCs w:val="22"/>
        </w:rPr>
        <w:t>.</w:t>
      </w:r>
      <w:r w:rsidR="002C58F5">
        <w:rPr>
          <w:rFonts w:ascii="Arial" w:hAnsi="Arial" w:cs="Arial"/>
          <w:sz w:val="22"/>
          <w:szCs w:val="22"/>
        </w:rPr>
        <w:t xml:space="preserve"> </w:t>
      </w:r>
    </w:p>
    <w:p w:rsidRPr="002121DA" w:rsidR="00EC4FC3" w:rsidP="0023786D" w:rsidRDefault="00EC4FC3" w14:paraId="3504E526" w14:textId="77777777">
      <w:pPr>
        <w:rPr>
          <w:rFonts w:ascii="Arial" w:hAnsi="Arial" w:cs="Arial"/>
          <w:sz w:val="36"/>
          <w:szCs w:val="36"/>
        </w:rPr>
      </w:pPr>
    </w:p>
    <w:p w:rsidRPr="007A5D4B" w:rsidR="005C282B" w:rsidP="0023786D" w:rsidRDefault="007A5D4B" w14:paraId="17D7A69E"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23786D" w:rsidRDefault="005C282B" w14:paraId="471FBDA3" w14:textId="77777777">
      <w:pPr>
        <w:suppressAutoHyphens/>
        <w:ind w:left="480" w:hanging="480"/>
        <w:rPr>
          <w:rFonts w:ascii="Arial" w:hAnsi="Arial" w:cs="Arial"/>
          <w:sz w:val="22"/>
          <w:szCs w:val="22"/>
        </w:rPr>
      </w:pPr>
    </w:p>
    <w:p w:rsidR="002121DA" w:rsidP="0023786D" w:rsidRDefault="002121DA" w14:paraId="27BADF92" w14:textId="77777777">
      <w:pPr>
        <w:ind w:left="360"/>
        <w:rPr>
          <w:rFonts w:ascii="Arial" w:hAnsi="Arial" w:cs="Arial"/>
          <w:sz w:val="22"/>
          <w:szCs w:val="22"/>
        </w:rPr>
      </w:pPr>
      <w:r w:rsidRPr="002121DA">
        <w:rPr>
          <w:rFonts w:ascii="Arial" w:hAnsi="Arial" w:cs="Arial"/>
          <w:sz w:val="22"/>
          <w:szCs w:val="22"/>
        </w:rPr>
        <w:t xml:space="preserve">To solicit comments from the </w:t>
      </w:r>
      <w:r w:rsidRPr="002121DA" w:rsidR="008F1F3E">
        <w:rPr>
          <w:rFonts w:ascii="Arial" w:hAnsi="Arial" w:cs="Arial"/>
          <w:sz w:val="22"/>
          <w:szCs w:val="22"/>
        </w:rPr>
        <w:t>public</w:t>
      </w:r>
      <w:r w:rsidRPr="002121DA">
        <w:rPr>
          <w:rFonts w:ascii="Arial" w:hAnsi="Arial" w:cs="Arial"/>
          <w:sz w:val="22"/>
          <w:szCs w:val="22"/>
        </w:rPr>
        <w:t xml:space="preserve">, TTB published a “60-day” comment request notice for this information collection in the Federal Register on </w:t>
      </w:r>
      <w:r w:rsidR="008F1F3E">
        <w:rPr>
          <w:rFonts w:ascii="Arial" w:hAnsi="Arial" w:cs="Arial"/>
          <w:sz w:val="22"/>
          <w:szCs w:val="22"/>
        </w:rPr>
        <w:t xml:space="preserve">September 3, 2020, at 85 FR 55067.  </w:t>
      </w:r>
      <w:r w:rsidRPr="00466815">
        <w:rPr>
          <w:rFonts w:ascii="Arial" w:hAnsi="Arial" w:cs="Arial"/>
          <w:sz w:val="22"/>
          <w:szCs w:val="22"/>
        </w:rPr>
        <w:t>TTB received no comments on this information collection in response.</w:t>
      </w:r>
      <w:r>
        <w:rPr>
          <w:rFonts w:ascii="Arial" w:hAnsi="Arial" w:cs="Arial"/>
          <w:sz w:val="22"/>
          <w:szCs w:val="22"/>
        </w:rPr>
        <w:t xml:space="preserve"> </w:t>
      </w:r>
    </w:p>
    <w:p w:rsidRPr="002121DA" w:rsidR="00734B25" w:rsidP="0023786D" w:rsidRDefault="00734B25" w14:paraId="471FB736" w14:textId="77777777">
      <w:pPr>
        <w:suppressAutoHyphens/>
        <w:rPr>
          <w:rFonts w:ascii="Arial" w:hAnsi="Arial" w:cs="Arial"/>
          <w:sz w:val="36"/>
          <w:szCs w:val="36"/>
        </w:rPr>
      </w:pPr>
    </w:p>
    <w:p w:rsidRPr="00D656EA" w:rsidR="00EC4FC3" w:rsidP="0023786D" w:rsidRDefault="005E4F9B" w14:paraId="26C45DEC"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23786D" w:rsidRDefault="00EC4FC3" w14:paraId="5653EF44" w14:textId="77777777">
      <w:pPr>
        <w:suppressAutoHyphens/>
        <w:rPr>
          <w:rFonts w:ascii="Arial" w:hAnsi="Arial" w:cs="Arial"/>
          <w:sz w:val="22"/>
          <w:szCs w:val="22"/>
        </w:rPr>
      </w:pPr>
    </w:p>
    <w:p w:rsidRPr="007A5D4B" w:rsidR="00EC4FC3" w:rsidP="0023786D" w:rsidRDefault="00EC4FC3" w14:paraId="6D0ED6F2" w14:textId="77777777">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01127D">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2121DA" w:rsidR="00EC4FC3" w:rsidP="0023786D" w:rsidRDefault="00EC4FC3" w14:paraId="6D58FA8C" w14:textId="77777777">
      <w:pPr>
        <w:suppressAutoHyphens/>
        <w:rPr>
          <w:rFonts w:ascii="Arial" w:hAnsi="Arial" w:cs="Arial"/>
          <w:sz w:val="36"/>
          <w:szCs w:val="36"/>
        </w:rPr>
      </w:pPr>
    </w:p>
    <w:p w:rsidRPr="00D656EA" w:rsidR="00EC4FC3" w:rsidP="0023786D" w:rsidRDefault="00D656EA" w14:paraId="0990B7C9"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23786D" w:rsidRDefault="00EC4FC3" w14:paraId="0FE7554B" w14:textId="77777777">
      <w:pPr>
        <w:rPr>
          <w:rFonts w:ascii="Arial" w:hAnsi="Arial" w:cs="Arial"/>
          <w:sz w:val="22"/>
          <w:szCs w:val="22"/>
        </w:rPr>
      </w:pPr>
    </w:p>
    <w:p w:rsidR="002121DA" w:rsidP="0001127D" w:rsidRDefault="0001127D" w14:paraId="38BFC55C" w14:textId="77777777">
      <w:pPr>
        <w:ind w:left="360"/>
        <w:rPr>
          <w:rFonts w:ascii="Arial" w:hAnsi="Arial" w:cs="Arial"/>
          <w:sz w:val="22"/>
          <w:szCs w:val="22"/>
        </w:rPr>
      </w:pPr>
      <w:r>
        <w:rPr>
          <w:rFonts w:ascii="Arial" w:hAnsi="Arial" w:cs="Arial"/>
          <w:sz w:val="22"/>
          <w:szCs w:val="22"/>
        </w:rPr>
        <w:t>TTB provides n</w:t>
      </w:r>
      <w:r w:rsidRPr="002121DA" w:rsidR="002121DA">
        <w:rPr>
          <w:rFonts w:ascii="Arial" w:hAnsi="Arial" w:cs="Arial"/>
          <w:sz w:val="22"/>
          <w:szCs w:val="22"/>
        </w:rPr>
        <w:t xml:space="preserve">o specific assurance of confidentiality </w:t>
      </w:r>
      <w:r>
        <w:rPr>
          <w:rFonts w:ascii="Arial" w:hAnsi="Arial" w:cs="Arial"/>
          <w:sz w:val="22"/>
          <w:szCs w:val="22"/>
        </w:rPr>
        <w:t>f</w:t>
      </w:r>
      <w:r w:rsidRPr="002121DA" w:rsidR="002121DA">
        <w:rPr>
          <w:rFonts w:ascii="Arial" w:hAnsi="Arial" w:cs="Arial"/>
          <w:sz w:val="22"/>
          <w:szCs w:val="22"/>
        </w:rPr>
        <w:t>or this collect</w:t>
      </w:r>
      <w:r w:rsidR="002121DA">
        <w:rPr>
          <w:rFonts w:ascii="Arial" w:hAnsi="Arial" w:cs="Arial"/>
          <w:sz w:val="22"/>
          <w:szCs w:val="22"/>
        </w:rPr>
        <w:t>ion.  However, Federal law at 5 </w:t>
      </w:r>
      <w:r w:rsidRPr="002121DA" w:rsidR="002121DA">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2121DA">
        <w:rPr>
          <w:rFonts w:ascii="Arial" w:hAnsi="Arial" w:cs="Arial"/>
          <w:sz w:val="22"/>
          <w:szCs w:val="22"/>
        </w:rPr>
        <w:t>taxpayer-</w:t>
      </w:r>
      <w:r w:rsidRPr="002121DA" w:rsidR="002121DA">
        <w:rPr>
          <w:rFonts w:ascii="Arial" w:hAnsi="Arial" w:cs="Arial"/>
          <w:sz w:val="22"/>
          <w:szCs w:val="22"/>
        </w:rPr>
        <w:t xml:space="preserve">related information unless disclosure is specifically authorized by that section.  TTB maintains the collected information in secure </w:t>
      </w:r>
      <w:r>
        <w:rPr>
          <w:rFonts w:ascii="Arial" w:hAnsi="Arial" w:cs="Arial"/>
          <w:sz w:val="22"/>
          <w:szCs w:val="22"/>
        </w:rPr>
        <w:t xml:space="preserve">computer systems and file rooms with </w:t>
      </w:r>
      <w:r w:rsidRPr="002121DA" w:rsidR="002121DA">
        <w:rPr>
          <w:rFonts w:ascii="Arial" w:hAnsi="Arial" w:cs="Arial"/>
          <w:sz w:val="22"/>
          <w:szCs w:val="22"/>
        </w:rPr>
        <w:t>controlled access</w:t>
      </w:r>
      <w:r>
        <w:rPr>
          <w:rFonts w:ascii="Arial" w:hAnsi="Arial" w:cs="Arial"/>
          <w:sz w:val="22"/>
          <w:szCs w:val="22"/>
        </w:rPr>
        <w:t>.</w:t>
      </w:r>
      <w:r w:rsidR="002121DA">
        <w:rPr>
          <w:rFonts w:ascii="Arial" w:hAnsi="Arial" w:cs="Arial"/>
          <w:sz w:val="22"/>
          <w:szCs w:val="22"/>
        </w:rPr>
        <w:t xml:space="preserve"> </w:t>
      </w:r>
    </w:p>
    <w:p w:rsidRPr="002121DA" w:rsidR="00AF1157" w:rsidP="0023786D" w:rsidRDefault="00AF1157" w14:paraId="30032D38" w14:textId="77777777">
      <w:pPr>
        <w:suppressAutoHyphens/>
        <w:rPr>
          <w:rFonts w:ascii="Arial" w:hAnsi="Arial" w:cs="Arial"/>
          <w:sz w:val="36"/>
          <w:szCs w:val="36"/>
        </w:rPr>
      </w:pPr>
    </w:p>
    <w:p w:rsidRPr="00965E7F" w:rsidR="0038747C" w:rsidP="0023786D" w:rsidRDefault="00D656EA" w14:paraId="04EA8C2C" w14:textId="77777777">
      <w:pPr>
        <w:rPr>
          <w:rFonts w:ascii="Arial" w:hAnsi="Arial" w:cs="Arial"/>
          <w:i/>
          <w:sz w:val="22"/>
          <w:szCs w:val="22"/>
        </w:rPr>
      </w:pPr>
      <w:r w:rsidRPr="00965E7F">
        <w:rPr>
          <w:rFonts w:ascii="Arial" w:hAnsi="Arial" w:cs="Arial"/>
          <w:i/>
          <w:sz w:val="22"/>
          <w:szCs w:val="22"/>
        </w:rPr>
        <w:t xml:space="preserve">11.  </w:t>
      </w:r>
      <w:r w:rsidRPr="00965E7F" w:rsidR="0038747C">
        <w:rPr>
          <w:rFonts w:ascii="Arial" w:hAnsi="Arial" w:cs="Arial"/>
          <w:i/>
          <w:sz w:val="22"/>
          <w:szCs w:val="22"/>
        </w:rPr>
        <w:t>What</w:t>
      </w:r>
      <w:r w:rsidRPr="00965E7F">
        <w:rPr>
          <w:rFonts w:ascii="Arial" w:hAnsi="Arial" w:cs="Arial"/>
          <w:i/>
          <w:sz w:val="22"/>
          <w:szCs w:val="22"/>
        </w:rPr>
        <w:t xml:space="preserve"> is the</w:t>
      </w:r>
      <w:r w:rsidRPr="00965E7F" w:rsidR="0038747C">
        <w:rPr>
          <w:rFonts w:ascii="Arial" w:hAnsi="Arial" w:cs="Arial"/>
          <w:i/>
          <w:sz w:val="22"/>
          <w:szCs w:val="22"/>
        </w:rPr>
        <w:t xml:space="preserve"> justification for questions of a sensitive nature?  If personally identifiable information (PII) is being collected in an electronic system, identify the Privacy Impact </w:t>
      </w:r>
      <w:r w:rsidRPr="00965E7F" w:rsidR="0038747C">
        <w:rPr>
          <w:rFonts w:ascii="Arial" w:hAnsi="Arial" w:cs="Arial"/>
          <w:i/>
          <w:sz w:val="22"/>
          <w:szCs w:val="22"/>
        </w:rPr>
        <w:lastRenderedPageBreak/>
        <w:t xml:space="preserve">Assessment (PIA) that has been conducted for the information collected under this request and/or </w:t>
      </w:r>
      <w:r w:rsidRPr="00965E7F">
        <w:rPr>
          <w:rFonts w:ascii="Arial" w:hAnsi="Arial" w:cs="Arial"/>
          <w:i/>
          <w:sz w:val="22"/>
          <w:szCs w:val="22"/>
        </w:rPr>
        <w:t xml:space="preserve">the </w:t>
      </w:r>
      <w:r w:rsidRPr="00965E7F" w:rsidR="0038747C">
        <w:rPr>
          <w:rFonts w:ascii="Arial" w:hAnsi="Arial" w:cs="Arial"/>
          <w:i/>
          <w:sz w:val="22"/>
          <w:szCs w:val="22"/>
        </w:rPr>
        <w:t>Privacy Act System of Records notice (SORN) issued for the electronic system in which the PII is being stored.</w:t>
      </w:r>
      <w:r w:rsidRPr="00965E7F">
        <w:rPr>
          <w:rFonts w:ascii="Arial" w:hAnsi="Arial" w:cs="Arial"/>
          <w:i/>
          <w:sz w:val="22"/>
          <w:szCs w:val="22"/>
        </w:rPr>
        <w:t xml:space="preserve"> </w:t>
      </w:r>
    </w:p>
    <w:p w:rsidRPr="00965E7F" w:rsidR="0038747C" w:rsidP="0023786D" w:rsidRDefault="0038747C" w14:paraId="35102AC2" w14:textId="77777777">
      <w:pPr>
        <w:rPr>
          <w:rFonts w:ascii="Arial" w:hAnsi="Arial" w:cs="Arial"/>
          <w:i/>
          <w:sz w:val="22"/>
          <w:szCs w:val="22"/>
        </w:rPr>
      </w:pPr>
    </w:p>
    <w:p w:rsidR="0001127D" w:rsidP="0023786D" w:rsidRDefault="0001127D" w14:paraId="484525D9" w14:textId="77777777">
      <w:pPr>
        <w:suppressAutoHyphens/>
        <w:autoSpaceDE w:val="0"/>
        <w:autoSpaceDN w:val="0"/>
        <w:adjustRightInd w:val="0"/>
        <w:ind w:left="360"/>
        <w:rPr>
          <w:rFonts w:ascii="Arial" w:hAnsi="Arial" w:cs="Arial"/>
          <w:sz w:val="22"/>
          <w:szCs w:val="22"/>
        </w:rPr>
      </w:pPr>
      <w:r w:rsidRPr="0001127D">
        <w:rPr>
          <w:rFonts w:ascii="Arial" w:hAnsi="Arial" w:cs="Arial"/>
          <w:sz w:val="22"/>
          <w:szCs w:val="22"/>
        </w:rPr>
        <w:t>This information collection contains no questions of a sensitive nature.  Additionally, this information request does not collect personally identifiable information (PII) in an electronic system.  Therefore, no Privacy Impact Assessment (PIA) or System of Records Notice (SORN) is required for this collection.</w:t>
      </w:r>
    </w:p>
    <w:p w:rsidRPr="002121DA" w:rsidR="00AF1157" w:rsidP="0023786D" w:rsidRDefault="00AF1157" w14:paraId="1FC9D9B7" w14:textId="77777777">
      <w:pPr>
        <w:suppressAutoHyphens/>
        <w:rPr>
          <w:rFonts w:ascii="Arial" w:hAnsi="Arial" w:cs="Arial"/>
          <w:sz w:val="36"/>
          <w:szCs w:val="36"/>
        </w:rPr>
      </w:pPr>
    </w:p>
    <w:p w:rsidRPr="007E6E7F" w:rsidR="007E6E7F" w:rsidP="007E6E7F" w:rsidRDefault="007E6E7F" w14:paraId="1DB1F9D4" w14:textId="77777777">
      <w:pPr>
        <w:suppressAutoHyphens/>
        <w:autoSpaceDE w:val="0"/>
        <w:autoSpaceDN w:val="0"/>
        <w:adjustRightInd w:val="0"/>
        <w:rPr>
          <w:rFonts w:ascii="Arial" w:hAnsi="Arial" w:cs="Arial"/>
          <w:i/>
          <w:sz w:val="22"/>
          <w:szCs w:val="22"/>
        </w:rPr>
      </w:pPr>
      <w:r w:rsidRPr="007E6E7F">
        <w:rPr>
          <w:rFonts w:ascii="Arial" w:hAnsi="Arial" w:cs="Arial"/>
          <w:i/>
          <w:sz w:val="22"/>
          <w:szCs w:val="22"/>
        </w:rPr>
        <w:t xml:space="preserve">12.  What is the estimated hour burden of this collection of information? </w:t>
      </w:r>
    </w:p>
    <w:p w:rsidRPr="007E6E7F" w:rsidR="007E6E7F" w:rsidP="007E6E7F" w:rsidRDefault="007E6E7F" w14:paraId="4FCA0445" w14:textId="77777777">
      <w:pPr>
        <w:suppressAutoHyphens/>
        <w:autoSpaceDE w:val="0"/>
        <w:autoSpaceDN w:val="0"/>
        <w:adjustRightInd w:val="0"/>
        <w:rPr>
          <w:rFonts w:ascii="Arial" w:hAnsi="Arial" w:cs="Arial"/>
          <w:sz w:val="22"/>
          <w:szCs w:val="22"/>
        </w:rPr>
      </w:pPr>
    </w:p>
    <w:p w:rsidRPr="00014781" w:rsidR="007E6E7F" w:rsidP="007E6E7F" w:rsidRDefault="007E6E7F" w14:paraId="1412A522" w14:textId="77777777">
      <w:pPr>
        <w:autoSpaceDE w:val="0"/>
        <w:autoSpaceDN w:val="0"/>
        <w:adjustRightInd w:val="0"/>
        <w:ind w:left="360"/>
        <w:rPr>
          <w:rFonts w:ascii="Arial" w:hAnsi="Arial" w:cs="Arial"/>
          <w:sz w:val="22"/>
          <w:szCs w:val="22"/>
        </w:rPr>
      </w:pPr>
      <w:r w:rsidRPr="007E6E7F">
        <w:rPr>
          <w:rFonts w:ascii="Arial" w:hAnsi="Arial" w:cs="Arial"/>
          <w:sz w:val="22"/>
          <w:szCs w:val="22"/>
          <w:u w:val="single"/>
        </w:rPr>
        <w:t>Estimated Respondent Burden:</w:t>
      </w:r>
      <w:r w:rsidRPr="007E6E7F">
        <w:rPr>
          <w:rFonts w:ascii="Arial" w:hAnsi="Arial" w:cs="Arial"/>
          <w:sz w:val="22"/>
          <w:szCs w:val="22"/>
        </w:rPr>
        <w:t xml:space="preserve">  </w:t>
      </w:r>
      <w:r w:rsidRPr="00014781" w:rsidR="00764FBA">
        <w:rPr>
          <w:rFonts w:ascii="Arial" w:hAnsi="Arial" w:cs="Arial"/>
          <w:sz w:val="22"/>
          <w:szCs w:val="22"/>
        </w:rPr>
        <w:t xml:space="preserve">Based on recent data and the frequency of reporting, TTB estimates the respondent burden for this information collection as follows: </w:t>
      </w:r>
    </w:p>
    <w:p w:rsidRPr="00014781" w:rsidR="007E6E7F" w:rsidP="007E6E7F" w:rsidRDefault="007E6E7F" w14:paraId="2A55C991" w14:textId="77777777">
      <w:pPr>
        <w:autoSpaceDE w:val="0"/>
        <w:autoSpaceDN w:val="0"/>
        <w:adjustRightInd w:val="0"/>
        <w:ind w:left="360"/>
        <w:rPr>
          <w:rFonts w:ascii="Arial" w:hAnsi="Arial" w:cs="Arial"/>
          <w:sz w:val="22"/>
          <w:szCs w:val="22"/>
        </w:rPr>
      </w:pPr>
    </w:p>
    <w:tbl>
      <w:tblPr>
        <w:tblpPr w:leftFromText="180" w:rightFromText="180" w:vertAnchor="text" w:tblpXSpec="center"/>
        <w:tblW w:w="8640" w:type="dxa"/>
        <w:tblCellMar>
          <w:left w:w="29" w:type="dxa"/>
          <w:right w:w="29" w:type="dxa"/>
        </w:tblCellMar>
        <w:tblLook w:val="04A0" w:firstRow="1" w:lastRow="0" w:firstColumn="1" w:lastColumn="0" w:noHBand="0" w:noVBand="1"/>
      </w:tblPr>
      <w:tblGrid>
        <w:gridCol w:w="1472"/>
        <w:gridCol w:w="1537"/>
        <w:gridCol w:w="1718"/>
        <w:gridCol w:w="1356"/>
        <w:gridCol w:w="1266"/>
        <w:gridCol w:w="1291"/>
      </w:tblGrid>
      <w:tr w:rsidRPr="00014781" w:rsidR="00014781" w:rsidTr="003C1DC1" w14:paraId="207CA4BE" w14:textId="77777777">
        <w:trPr>
          <w:trHeight w:val="432"/>
        </w:trPr>
        <w:tc>
          <w:tcPr>
            <w:tcW w:w="8600" w:type="dxa"/>
            <w:gridSpan w:val="6"/>
            <w:tcBorders>
              <w:top w:val="single" w:color="auto" w:sz="8" w:space="0"/>
              <w:left w:val="single" w:color="auto" w:sz="8" w:space="0"/>
              <w:bottom w:val="single" w:color="auto" w:sz="8" w:space="0"/>
              <w:right w:val="single" w:color="auto" w:sz="8" w:space="0"/>
            </w:tcBorders>
            <w:tcMar>
              <w:top w:w="0" w:type="dxa"/>
              <w:left w:w="115" w:type="dxa"/>
              <w:bottom w:w="0" w:type="dxa"/>
              <w:right w:w="216" w:type="dxa"/>
            </w:tcMar>
            <w:vAlign w:val="center"/>
          </w:tcPr>
          <w:p w:rsidRPr="00014781" w:rsidR="00764FBA" w:rsidP="007E6E7F" w:rsidRDefault="00764FBA" w14:paraId="38228CB4" w14:textId="77777777">
            <w:pPr>
              <w:jc w:val="center"/>
              <w:rPr>
                <w:rFonts w:ascii="Arial" w:hAnsi="Arial" w:eastAsia="Calibri" w:cs="Arial"/>
                <w:b/>
                <w:sz w:val="20"/>
                <w:szCs w:val="20"/>
              </w:rPr>
            </w:pPr>
            <w:r w:rsidRPr="00014781">
              <w:rPr>
                <w:rFonts w:ascii="Arial" w:hAnsi="Arial" w:eastAsia="Calibri" w:cs="Arial"/>
                <w:b/>
                <w:sz w:val="20"/>
                <w:szCs w:val="20"/>
              </w:rPr>
              <w:t>Estimated Annual Burden – Wine Premises Operations Report (TTB F 5120.17)</w:t>
            </w:r>
          </w:p>
        </w:tc>
      </w:tr>
      <w:tr w:rsidRPr="00014781" w:rsidR="00014781" w:rsidTr="003C1DC1" w14:paraId="022B3117" w14:textId="77777777">
        <w:trPr>
          <w:trHeight w:val="432"/>
        </w:trPr>
        <w:tc>
          <w:tcPr>
            <w:tcW w:w="1465" w:type="dxa"/>
            <w:tcBorders>
              <w:top w:val="single" w:color="auto" w:sz="8" w:space="0"/>
              <w:left w:val="single" w:color="auto" w:sz="8" w:space="0"/>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7E6E7F" w14:paraId="68C8CE35" w14:textId="77777777">
            <w:pPr>
              <w:jc w:val="center"/>
              <w:rPr>
                <w:rFonts w:ascii="Arial" w:hAnsi="Arial" w:eastAsia="Calibri" w:cs="Arial"/>
                <w:sz w:val="20"/>
                <w:szCs w:val="20"/>
              </w:rPr>
            </w:pPr>
            <w:r w:rsidRPr="007E6E7F">
              <w:rPr>
                <w:rFonts w:ascii="Arial" w:hAnsi="Arial" w:eastAsia="Calibri" w:cs="Arial"/>
                <w:sz w:val="20"/>
                <w:szCs w:val="20"/>
              </w:rPr>
              <w:t xml:space="preserve">Frequency </w:t>
            </w:r>
            <w:r w:rsidRPr="00014781" w:rsidR="00764FBA">
              <w:rPr>
                <w:rFonts w:ascii="Arial" w:hAnsi="Arial" w:eastAsia="Calibri" w:cs="Arial"/>
                <w:sz w:val="20"/>
                <w:szCs w:val="20"/>
              </w:rPr>
              <w:t xml:space="preserve">of </w:t>
            </w:r>
            <w:r w:rsidRPr="007E6E7F">
              <w:rPr>
                <w:rFonts w:ascii="Arial" w:hAnsi="Arial" w:eastAsia="Calibri" w:cs="Arial"/>
                <w:sz w:val="20"/>
                <w:szCs w:val="20"/>
              </w:rPr>
              <w:t>Report</w:t>
            </w:r>
            <w:r w:rsidRPr="00014781" w:rsidR="00764FBA">
              <w:rPr>
                <w:rFonts w:ascii="Arial" w:hAnsi="Arial" w:eastAsia="Calibri" w:cs="Arial"/>
                <w:sz w:val="20"/>
                <w:szCs w:val="20"/>
              </w:rPr>
              <w:t>ing</w:t>
            </w:r>
          </w:p>
        </w:tc>
        <w:tc>
          <w:tcPr>
            <w:tcW w:w="1530" w:type="dxa"/>
            <w:tcBorders>
              <w:top w:val="single" w:color="auto" w:sz="8" w:space="0"/>
              <w:left w:val="nil"/>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7E6E7F" w14:paraId="7A9BC881" w14:textId="77777777">
            <w:pPr>
              <w:jc w:val="center"/>
              <w:rPr>
                <w:rFonts w:ascii="Arial" w:hAnsi="Arial" w:eastAsia="Calibri" w:cs="Arial"/>
                <w:sz w:val="20"/>
                <w:szCs w:val="20"/>
              </w:rPr>
            </w:pPr>
            <w:r w:rsidRPr="007E6E7F">
              <w:rPr>
                <w:rFonts w:ascii="Arial" w:hAnsi="Arial" w:eastAsia="Calibri" w:cs="Arial"/>
                <w:sz w:val="20"/>
                <w:szCs w:val="20"/>
              </w:rPr>
              <w:t>No. of Respondents</w:t>
            </w:r>
          </w:p>
        </w:tc>
        <w:tc>
          <w:tcPr>
            <w:tcW w:w="1710" w:type="dxa"/>
            <w:tcBorders>
              <w:top w:val="single" w:color="auto" w:sz="8" w:space="0"/>
              <w:left w:val="nil"/>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7E6E7F" w14:paraId="4567E35D" w14:textId="77777777">
            <w:pPr>
              <w:jc w:val="center"/>
              <w:rPr>
                <w:rFonts w:ascii="Arial" w:hAnsi="Arial" w:eastAsia="Calibri" w:cs="Arial"/>
                <w:sz w:val="20"/>
                <w:szCs w:val="20"/>
              </w:rPr>
            </w:pPr>
            <w:r w:rsidRPr="007E6E7F">
              <w:rPr>
                <w:rFonts w:ascii="Arial" w:hAnsi="Arial" w:eastAsia="Calibri" w:cs="Arial"/>
                <w:sz w:val="20"/>
                <w:szCs w:val="20"/>
              </w:rPr>
              <w:t>Responses per Respondent</w:t>
            </w:r>
          </w:p>
        </w:tc>
        <w:tc>
          <w:tcPr>
            <w:tcW w:w="1350" w:type="dxa"/>
            <w:tcBorders>
              <w:top w:val="single" w:color="auto" w:sz="8" w:space="0"/>
              <w:left w:val="nil"/>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7E6E7F" w14:paraId="3D8A5335" w14:textId="77777777">
            <w:pPr>
              <w:jc w:val="center"/>
              <w:rPr>
                <w:rFonts w:ascii="Arial" w:hAnsi="Arial" w:eastAsia="Calibri" w:cs="Arial"/>
                <w:sz w:val="20"/>
                <w:szCs w:val="20"/>
              </w:rPr>
            </w:pPr>
            <w:r w:rsidRPr="007E6E7F">
              <w:rPr>
                <w:rFonts w:ascii="Arial" w:hAnsi="Arial" w:eastAsia="Calibri" w:cs="Arial"/>
                <w:sz w:val="20"/>
                <w:szCs w:val="20"/>
              </w:rPr>
              <w:t>Annual Responses</w:t>
            </w:r>
          </w:p>
        </w:tc>
        <w:tc>
          <w:tcPr>
            <w:tcW w:w="1260" w:type="dxa"/>
            <w:tcBorders>
              <w:top w:val="single" w:color="auto" w:sz="8" w:space="0"/>
              <w:left w:val="nil"/>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3C1DC1" w14:paraId="7EA6EBB8" w14:textId="77777777">
            <w:pPr>
              <w:jc w:val="center"/>
              <w:rPr>
                <w:rFonts w:ascii="Arial" w:hAnsi="Arial" w:eastAsia="Calibri" w:cs="Arial"/>
                <w:sz w:val="20"/>
                <w:szCs w:val="20"/>
              </w:rPr>
            </w:pPr>
            <w:r w:rsidRPr="00014781">
              <w:rPr>
                <w:rFonts w:ascii="Arial" w:hAnsi="Arial" w:eastAsia="Calibri" w:cs="Arial"/>
                <w:sz w:val="20"/>
                <w:szCs w:val="20"/>
              </w:rPr>
              <w:t>Hours p</w:t>
            </w:r>
            <w:r w:rsidRPr="007E6E7F" w:rsidR="007E6E7F">
              <w:rPr>
                <w:rFonts w:ascii="Arial" w:hAnsi="Arial" w:eastAsia="Calibri" w:cs="Arial"/>
                <w:sz w:val="20"/>
                <w:szCs w:val="20"/>
              </w:rPr>
              <w:t>er Response</w:t>
            </w:r>
          </w:p>
        </w:tc>
        <w:tc>
          <w:tcPr>
            <w:tcW w:w="1285" w:type="dxa"/>
            <w:tcBorders>
              <w:top w:val="single" w:color="auto" w:sz="8" w:space="0"/>
              <w:left w:val="nil"/>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7E6E7F" w14:paraId="64ADFF62" w14:textId="77777777">
            <w:pPr>
              <w:jc w:val="center"/>
              <w:rPr>
                <w:rFonts w:ascii="Arial" w:hAnsi="Arial" w:eastAsia="Calibri" w:cs="Arial"/>
                <w:sz w:val="20"/>
                <w:szCs w:val="20"/>
              </w:rPr>
            </w:pPr>
            <w:r w:rsidRPr="007E6E7F">
              <w:rPr>
                <w:rFonts w:ascii="Arial" w:hAnsi="Arial" w:eastAsia="Calibri" w:cs="Arial"/>
                <w:sz w:val="20"/>
                <w:szCs w:val="20"/>
              </w:rPr>
              <w:t>Total Burden</w:t>
            </w:r>
            <w:r w:rsidRPr="00014781" w:rsidR="003C1DC1">
              <w:rPr>
                <w:rFonts w:ascii="Arial" w:hAnsi="Arial" w:eastAsia="Calibri" w:cs="Arial"/>
                <w:sz w:val="20"/>
                <w:szCs w:val="20"/>
              </w:rPr>
              <w:t xml:space="preserve"> Hours</w:t>
            </w:r>
          </w:p>
        </w:tc>
      </w:tr>
      <w:tr w:rsidRPr="00014781" w:rsidR="00014781" w:rsidTr="003C1DC1" w14:paraId="4FAC2964" w14:textId="77777777">
        <w:trPr>
          <w:trHeight w:val="432"/>
        </w:trPr>
        <w:tc>
          <w:tcPr>
            <w:tcW w:w="1465" w:type="dxa"/>
            <w:tcBorders>
              <w:top w:val="nil"/>
              <w:left w:val="single" w:color="auto" w:sz="8" w:space="0"/>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7E6E7F" w14:paraId="4E06F4B4" w14:textId="77777777">
            <w:pPr>
              <w:jc w:val="center"/>
              <w:rPr>
                <w:rFonts w:ascii="Arial" w:hAnsi="Arial" w:eastAsia="Calibri" w:cs="Arial"/>
                <w:sz w:val="20"/>
                <w:szCs w:val="20"/>
              </w:rPr>
            </w:pPr>
            <w:r w:rsidRPr="007E6E7F">
              <w:rPr>
                <w:rFonts w:ascii="Arial" w:hAnsi="Arial" w:eastAsia="Calibri" w:cs="Arial"/>
                <w:sz w:val="20"/>
                <w:szCs w:val="20"/>
              </w:rPr>
              <w:t>Monthly</w:t>
            </w:r>
          </w:p>
        </w:tc>
        <w:tc>
          <w:tcPr>
            <w:tcW w:w="153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7BE683D1" w14:textId="77777777">
            <w:pPr>
              <w:jc w:val="center"/>
              <w:rPr>
                <w:rFonts w:ascii="Arial" w:hAnsi="Arial" w:eastAsia="Calibri" w:cs="Arial"/>
                <w:sz w:val="20"/>
                <w:szCs w:val="20"/>
              </w:rPr>
            </w:pPr>
            <w:r w:rsidRPr="007E6E7F">
              <w:rPr>
                <w:rFonts w:ascii="Arial" w:hAnsi="Arial" w:eastAsia="Calibri" w:cs="Arial"/>
                <w:sz w:val="20"/>
                <w:szCs w:val="20"/>
              </w:rPr>
              <w:t>1,7</w:t>
            </w:r>
            <w:r w:rsidRPr="00014781" w:rsidR="003C1DC1">
              <w:rPr>
                <w:rFonts w:ascii="Arial" w:hAnsi="Arial" w:eastAsia="Calibri" w:cs="Arial"/>
                <w:sz w:val="20"/>
                <w:szCs w:val="20"/>
              </w:rPr>
              <w:t>80</w:t>
            </w:r>
          </w:p>
        </w:tc>
        <w:tc>
          <w:tcPr>
            <w:tcW w:w="171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555BE561" w14:textId="77777777">
            <w:pPr>
              <w:jc w:val="center"/>
              <w:rPr>
                <w:rFonts w:ascii="Arial" w:hAnsi="Arial" w:eastAsia="Calibri" w:cs="Arial"/>
                <w:sz w:val="20"/>
                <w:szCs w:val="20"/>
              </w:rPr>
            </w:pPr>
            <w:r w:rsidRPr="007E6E7F">
              <w:rPr>
                <w:rFonts w:ascii="Arial" w:hAnsi="Arial" w:eastAsia="Calibri" w:cs="Arial"/>
                <w:sz w:val="20"/>
                <w:szCs w:val="20"/>
              </w:rPr>
              <w:t>12</w:t>
            </w:r>
          </w:p>
        </w:tc>
        <w:tc>
          <w:tcPr>
            <w:tcW w:w="1350" w:type="dxa"/>
            <w:tcBorders>
              <w:top w:val="nil"/>
              <w:left w:val="nil"/>
              <w:bottom w:val="single" w:color="auto" w:sz="8" w:space="0"/>
              <w:right w:val="single" w:color="auto" w:sz="8" w:space="0"/>
            </w:tcBorders>
            <w:noWrap/>
            <w:tcMar>
              <w:top w:w="0" w:type="dxa"/>
              <w:left w:w="115" w:type="dxa"/>
              <w:bottom w:w="0" w:type="dxa"/>
              <w:right w:w="216" w:type="dxa"/>
            </w:tcMar>
            <w:vAlign w:val="center"/>
          </w:tcPr>
          <w:p w:rsidRPr="007E6E7F" w:rsidR="007E6E7F" w:rsidP="003C1DC1" w:rsidRDefault="003C1DC1" w14:paraId="417BAF34" w14:textId="77777777">
            <w:pPr>
              <w:jc w:val="center"/>
              <w:rPr>
                <w:rFonts w:ascii="Arial" w:hAnsi="Arial" w:eastAsia="Calibri" w:cs="Arial"/>
                <w:sz w:val="20"/>
                <w:szCs w:val="20"/>
              </w:rPr>
            </w:pPr>
            <w:r w:rsidRPr="00014781">
              <w:rPr>
                <w:rFonts w:ascii="Arial" w:hAnsi="Arial" w:eastAsia="Calibri" w:cs="Arial"/>
                <w:sz w:val="20"/>
                <w:szCs w:val="20"/>
              </w:rPr>
              <w:t>21,360</w:t>
            </w:r>
          </w:p>
        </w:tc>
        <w:tc>
          <w:tcPr>
            <w:tcW w:w="126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40FD261F" w14:textId="77777777">
            <w:pPr>
              <w:jc w:val="center"/>
              <w:rPr>
                <w:rFonts w:ascii="Arial" w:hAnsi="Arial" w:eastAsia="Calibri" w:cs="Arial"/>
                <w:sz w:val="20"/>
                <w:szCs w:val="20"/>
              </w:rPr>
            </w:pPr>
            <w:r w:rsidRPr="007E6E7F">
              <w:rPr>
                <w:rFonts w:ascii="Arial" w:hAnsi="Arial" w:eastAsia="Calibri" w:cs="Arial"/>
                <w:sz w:val="20"/>
                <w:szCs w:val="20"/>
              </w:rPr>
              <w:t>1.10</w:t>
            </w:r>
          </w:p>
        </w:tc>
        <w:tc>
          <w:tcPr>
            <w:tcW w:w="1285" w:type="dxa"/>
            <w:tcBorders>
              <w:top w:val="nil"/>
              <w:left w:val="nil"/>
              <w:bottom w:val="single" w:color="auto" w:sz="8" w:space="0"/>
              <w:right w:val="single" w:color="auto" w:sz="8" w:space="0"/>
            </w:tcBorders>
            <w:noWrap/>
            <w:tcMar>
              <w:top w:w="0" w:type="dxa"/>
              <w:left w:w="115" w:type="dxa"/>
              <w:bottom w:w="0" w:type="dxa"/>
              <w:right w:w="216" w:type="dxa"/>
            </w:tcMar>
            <w:vAlign w:val="center"/>
          </w:tcPr>
          <w:p w:rsidRPr="007E6E7F" w:rsidR="007E6E7F" w:rsidP="003C1DC1" w:rsidRDefault="003C1DC1" w14:paraId="4AAC50FF" w14:textId="77777777">
            <w:pPr>
              <w:jc w:val="center"/>
              <w:rPr>
                <w:rFonts w:ascii="Arial" w:hAnsi="Arial" w:eastAsia="Calibri" w:cs="Arial"/>
                <w:sz w:val="20"/>
                <w:szCs w:val="20"/>
              </w:rPr>
            </w:pPr>
            <w:r w:rsidRPr="00014781">
              <w:rPr>
                <w:rFonts w:ascii="Arial" w:hAnsi="Arial" w:eastAsia="Calibri" w:cs="Arial"/>
                <w:sz w:val="20"/>
                <w:szCs w:val="20"/>
              </w:rPr>
              <w:t>23,496</w:t>
            </w:r>
          </w:p>
        </w:tc>
      </w:tr>
      <w:tr w:rsidRPr="00014781" w:rsidR="00014781" w:rsidTr="003C1DC1" w14:paraId="2C5DDF44" w14:textId="77777777">
        <w:trPr>
          <w:trHeight w:val="432"/>
        </w:trPr>
        <w:tc>
          <w:tcPr>
            <w:tcW w:w="1465" w:type="dxa"/>
            <w:tcBorders>
              <w:top w:val="nil"/>
              <w:left w:val="single" w:color="auto" w:sz="8" w:space="0"/>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7E6E7F" w14:paraId="1ABCCA9B" w14:textId="77777777">
            <w:pPr>
              <w:jc w:val="center"/>
              <w:rPr>
                <w:rFonts w:ascii="Arial" w:hAnsi="Arial" w:eastAsia="Calibri" w:cs="Arial"/>
                <w:sz w:val="20"/>
                <w:szCs w:val="20"/>
              </w:rPr>
            </w:pPr>
            <w:r w:rsidRPr="007E6E7F">
              <w:rPr>
                <w:rFonts w:ascii="Arial" w:hAnsi="Arial" w:eastAsia="Calibri" w:cs="Arial"/>
                <w:sz w:val="20"/>
                <w:szCs w:val="20"/>
              </w:rPr>
              <w:t>Quarterly</w:t>
            </w:r>
          </w:p>
        </w:tc>
        <w:tc>
          <w:tcPr>
            <w:tcW w:w="153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57B557A7" w14:textId="77777777">
            <w:pPr>
              <w:jc w:val="center"/>
              <w:rPr>
                <w:rFonts w:ascii="Arial" w:hAnsi="Arial" w:eastAsia="Calibri" w:cs="Arial"/>
                <w:sz w:val="20"/>
                <w:szCs w:val="20"/>
              </w:rPr>
            </w:pPr>
            <w:r w:rsidRPr="007E6E7F">
              <w:rPr>
                <w:rFonts w:ascii="Arial" w:hAnsi="Arial" w:eastAsia="Calibri" w:cs="Arial"/>
                <w:sz w:val="20"/>
                <w:szCs w:val="20"/>
              </w:rPr>
              <w:t>7,0</w:t>
            </w:r>
            <w:r w:rsidRPr="00014781" w:rsidR="003C1DC1">
              <w:rPr>
                <w:rFonts w:ascii="Arial" w:hAnsi="Arial" w:eastAsia="Calibri" w:cs="Arial"/>
                <w:sz w:val="20"/>
                <w:szCs w:val="20"/>
              </w:rPr>
              <w:t>30</w:t>
            </w:r>
          </w:p>
        </w:tc>
        <w:tc>
          <w:tcPr>
            <w:tcW w:w="171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62F0761C" w14:textId="77777777">
            <w:pPr>
              <w:jc w:val="center"/>
              <w:rPr>
                <w:rFonts w:ascii="Arial" w:hAnsi="Arial" w:eastAsia="Calibri" w:cs="Arial"/>
                <w:sz w:val="20"/>
                <w:szCs w:val="20"/>
              </w:rPr>
            </w:pPr>
            <w:r w:rsidRPr="007E6E7F">
              <w:rPr>
                <w:rFonts w:ascii="Arial" w:hAnsi="Arial" w:eastAsia="Calibri" w:cs="Arial"/>
                <w:sz w:val="20"/>
                <w:szCs w:val="20"/>
              </w:rPr>
              <w:t>4</w:t>
            </w:r>
          </w:p>
        </w:tc>
        <w:tc>
          <w:tcPr>
            <w:tcW w:w="1350" w:type="dxa"/>
            <w:tcBorders>
              <w:top w:val="nil"/>
              <w:left w:val="nil"/>
              <w:bottom w:val="single" w:color="auto" w:sz="8" w:space="0"/>
              <w:right w:val="single" w:color="auto" w:sz="8" w:space="0"/>
            </w:tcBorders>
            <w:noWrap/>
            <w:tcMar>
              <w:top w:w="0" w:type="dxa"/>
              <w:left w:w="115" w:type="dxa"/>
              <w:bottom w:w="0" w:type="dxa"/>
              <w:right w:w="216" w:type="dxa"/>
            </w:tcMar>
            <w:vAlign w:val="center"/>
          </w:tcPr>
          <w:p w:rsidRPr="007E6E7F" w:rsidR="007E6E7F" w:rsidP="003C1DC1" w:rsidRDefault="003C1DC1" w14:paraId="3DF00536" w14:textId="77777777">
            <w:pPr>
              <w:jc w:val="center"/>
              <w:rPr>
                <w:rFonts w:ascii="Arial" w:hAnsi="Arial" w:eastAsia="Calibri" w:cs="Arial"/>
                <w:sz w:val="20"/>
                <w:szCs w:val="20"/>
              </w:rPr>
            </w:pPr>
            <w:r w:rsidRPr="00014781">
              <w:rPr>
                <w:rFonts w:ascii="Arial" w:hAnsi="Arial" w:eastAsia="Calibri" w:cs="Arial"/>
                <w:sz w:val="20"/>
                <w:szCs w:val="20"/>
              </w:rPr>
              <w:t>28,120</w:t>
            </w:r>
          </w:p>
        </w:tc>
        <w:tc>
          <w:tcPr>
            <w:tcW w:w="126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3C04B7D1" w14:textId="77777777">
            <w:pPr>
              <w:jc w:val="center"/>
              <w:rPr>
                <w:rFonts w:ascii="Arial" w:hAnsi="Arial" w:eastAsia="Calibri" w:cs="Arial"/>
                <w:sz w:val="20"/>
                <w:szCs w:val="20"/>
              </w:rPr>
            </w:pPr>
            <w:r w:rsidRPr="007E6E7F">
              <w:rPr>
                <w:rFonts w:ascii="Arial" w:hAnsi="Arial" w:eastAsia="Calibri" w:cs="Arial"/>
                <w:sz w:val="20"/>
                <w:szCs w:val="20"/>
              </w:rPr>
              <w:t>1.10</w:t>
            </w:r>
          </w:p>
        </w:tc>
        <w:tc>
          <w:tcPr>
            <w:tcW w:w="1285" w:type="dxa"/>
            <w:tcBorders>
              <w:top w:val="nil"/>
              <w:left w:val="nil"/>
              <w:bottom w:val="single" w:color="auto" w:sz="8" w:space="0"/>
              <w:right w:val="single" w:color="auto" w:sz="8" w:space="0"/>
            </w:tcBorders>
            <w:noWrap/>
            <w:tcMar>
              <w:top w:w="0" w:type="dxa"/>
              <w:left w:w="115" w:type="dxa"/>
              <w:bottom w:w="0" w:type="dxa"/>
              <w:right w:w="216" w:type="dxa"/>
            </w:tcMar>
            <w:vAlign w:val="center"/>
          </w:tcPr>
          <w:p w:rsidRPr="007E6E7F" w:rsidR="007E6E7F" w:rsidP="003C1DC1" w:rsidRDefault="003C1DC1" w14:paraId="1C0CA68B" w14:textId="77777777">
            <w:pPr>
              <w:jc w:val="center"/>
              <w:rPr>
                <w:rFonts w:ascii="Arial" w:hAnsi="Arial" w:eastAsia="Calibri" w:cs="Arial"/>
                <w:sz w:val="20"/>
                <w:szCs w:val="20"/>
              </w:rPr>
            </w:pPr>
            <w:r w:rsidRPr="00014781">
              <w:rPr>
                <w:rFonts w:ascii="Arial" w:hAnsi="Arial" w:eastAsia="Calibri" w:cs="Arial"/>
                <w:sz w:val="20"/>
                <w:szCs w:val="20"/>
              </w:rPr>
              <w:t>30,932</w:t>
            </w:r>
          </w:p>
        </w:tc>
      </w:tr>
      <w:tr w:rsidRPr="00014781" w:rsidR="00014781" w:rsidTr="003C1DC1" w14:paraId="2BC2544C" w14:textId="77777777">
        <w:trPr>
          <w:trHeight w:val="432"/>
        </w:trPr>
        <w:tc>
          <w:tcPr>
            <w:tcW w:w="1465" w:type="dxa"/>
            <w:tcBorders>
              <w:top w:val="nil"/>
              <w:left w:val="single" w:color="auto" w:sz="8" w:space="0"/>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7E6E7F" w14:paraId="284AF318" w14:textId="77777777">
            <w:pPr>
              <w:jc w:val="center"/>
              <w:rPr>
                <w:rFonts w:ascii="Arial" w:hAnsi="Arial" w:eastAsia="Calibri" w:cs="Arial"/>
                <w:sz w:val="20"/>
                <w:szCs w:val="20"/>
              </w:rPr>
            </w:pPr>
            <w:r w:rsidRPr="007E6E7F">
              <w:rPr>
                <w:rFonts w:ascii="Arial" w:hAnsi="Arial" w:eastAsia="Calibri" w:cs="Arial"/>
                <w:sz w:val="20"/>
                <w:szCs w:val="20"/>
              </w:rPr>
              <w:t>Annually</w:t>
            </w:r>
          </w:p>
        </w:tc>
        <w:tc>
          <w:tcPr>
            <w:tcW w:w="153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5E5CACD2" w14:textId="77777777">
            <w:pPr>
              <w:jc w:val="center"/>
              <w:rPr>
                <w:rFonts w:ascii="Arial" w:hAnsi="Arial" w:eastAsia="Calibri" w:cs="Arial"/>
                <w:sz w:val="20"/>
                <w:szCs w:val="20"/>
              </w:rPr>
            </w:pPr>
            <w:r w:rsidRPr="007E6E7F">
              <w:rPr>
                <w:rFonts w:ascii="Arial" w:hAnsi="Arial" w:eastAsia="Calibri" w:cs="Arial"/>
                <w:sz w:val="20"/>
                <w:szCs w:val="20"/>
              </w:rPr>
              <w:t>3,390</w:t>
            </w:r>
          </w:p>
        </w:tc>
        <w:tc>
          <w:tcPr>
            <w:tcW w:w="171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245ECA9C" w14:textId="77777777">
            <w:pPr>
              <w:jc w:val="center"/>
              <w:rPr>
                <w:rFonts w:ascii="Arial" w:hAnsi="Arial" w:eastAsia="Calibri" w:cs="Arial"/>
                <w:sz w:val="20"/>
                <w:szCs w:val="20"/>
              </w:rPr>
            </w:pPr>
            <w:r w:rsidRPr="007E6E7F">
              <w:rPr>
                <w:rFonts w:ascii="Arial" w:hAnsi="Arial" w:eastAsia="Calibri" w:cs="Arial"/>
                <w:sz w:val="20"/>
                <w:szCs w:val="20"/>
              </w:rPr>
              <w:t>1</w:t>
            </w:r>
          </w:p>
        </w:tc>
        <w:tc>
          <w:tcPr>
            <w:tcW w:w="1350" w:type="dxa"/>
            <w:tcBorders>
              <w:top w:val="nil"/>
              <w:left w:val="nil"/>
              <w:bottom w:val="single" w:color="auto" w:sz="8" w:space="0"/>
              <w:right w:val="single" w:color="auto" w:sz="8" w:space="0"/>
            </w:tcBorders>
            <w:noWrap/>
            <w:tcMar>
              <w:top w:w="0" w:type="dxa"/>
              <w:left w:w="115" w:type="dxa"/>
              <w:bottom w:w="0" w:type="dxa"/>
              <w:right w:w="216" w:type="dxa"/>
            </w:tcMar>
            <w:vAlign w:val="center"/>
          </w:tcPr>
          <w:p w:rsidRPr="007E6E7F" w:rsidR="007E6E7F" w:rsidP="003C1DC1" w:rsidRDefault="003C1DC1" w14:paraId="638F7FBD" w14:textId="77777777">
            <w:pPr>
              <w:jc w:val="center"/>
              <w:rPr>
                <w:rFonts w:ascii="Arial" w:hAnsi="Arial" w:eastAsia="Calibri" w:cs="Arial"/>
                <w:sz w:val="20"/>
                <w:szCs w:val="20"/>
              </w:rPr>
            </w:pPr>
            <w:r w:rsidRPr="00014781">
              <w:rPr>
                <w:rFonts w:ascii="Arial" w:hAnsi="Arial" w:eastAsia="Calibri" w:cs="Arial"/>
                <w:sz w:val="20"/>
                <w:szCs w:val="20"/>
              </w:rPr>
              <w:t>3,390</w:t>
            </w:r>
          </w:p>
        </w:tc>
        <w:tc>
          <w:tcPr>
            <w:tcW w:w="126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132450ED" w14:textId="77777777">
            <w:pPr>
              <w:jc w:val="center"/>
              <w:rPr>
                <w:rFonts w:ascii="Arial" w:hAnsi="Arial" w:eastAsia="Calibri" w:cs="Arial"/>
                <w:sz w:val="20"/>
                <w:szCs w:val="20"/>
              </w:rPr>
            </w:pPr>
            <w:r w:rsidRPr="007E6E7F">
              <w:rPr>
                <w:rFonts w:ascii="Arial" w:hAnsi="Arial" w:eastAsia="Calibri" w:cs="Arial"/>
                <w:sz w:val="20"/>
                <w:szCs w:val="20"/>
              </w:rPr>
              <w:t>1.10</w:t>
            </w:r>
          </w:p>
        </w:tc>
        <w:tc>
          <w:tcPr>
            <w:tcW w:w="1285" w:type="dxa"/>
            <w:tcBorders>
              <w:top w:val="nil"/>
              <w:left w:val="nil"/>
              <w:bottom w:val="single" w:color="auto" w:sz="8" w:space="0"/>
              <w:right w:val="single" w:color="auto" w:sz="8" w:space="0"/>
            </w:tcBorders>
            <w:noWrap/>
            <w:tcMar>
              <w:top w:w="0" w:type="dxa"/>
              <w:left w:w="115" w:type="dxa"/>
              <w:bottom w:w="0" w:type="dxa"/>
              <w:right w:w="216" w:type="dxa"/>
            </w:tcMar>
            <w:vAlign w:val="center"/>
          </w:tcPr>
          <w:p w:rsidRPr="007E6E7F" w:rsidR="007E6E7F" w:rsidP="00014781" w:rsidRDefault="003C1DC1" w14:paraId="734150B6" w14:textId="77777777">
            <w:pPr>
              <w:jc w:val="center"/>
              <w:rPr>
                <w:rFonts w:ascii="Arial" w:hAnsi="Arial" w:eastAsia="Calibri" w:cs="Arial"/>
                <w:sz w:val="20"/>
                <w:szCs w:val="20"/>
              </w:rPr>
            </w:pPr>
            <w:r w:rsidRPr="00014781">
              <w:rPr>
                <w:rFonts w:ascii="Arial" w:hAnsi="Arial" w:eastAsia="Calibri" w:cs="Arial"/>
                <w:sz w:val="20"/>
                <w:szCs w:val="20"/>
              </w:rPr>
              <w:t>3,</w:t>
            </w:r>
            <w:r w:rsidRPr="00014781" w:rsidR="00014781">
              <w:rPr>
                <w:rFonts w:ascii="Arial" w:hAnsi="Arial" w:eastAsia="Calibri" w:cs="Arial"/>
                <w:sz w:val="20"/>
                <w:szCs w:val="20"/>
              </w:rPr>
              <w:t>729</w:t>
            </w:r>
          </w:p>
        </w:tc>
      </w:tr>
      <w:tr w:rsidRPr="00014781" w:rsidR="00014781" w:rsidTr="003C1DC1" w14:paraId="49E03327" w14:textId="77777777">
        <w:trPr>
          <w:trHeight w:val="432"/>
        </w:trPr>
        <w:tc>
          <w:tcPr>
            <w:tcW w:w="1465" w:type="dxa"/>
            <w:tcBorders>
              <w:top w:val="nil"/>
              <w:left w:val="single" w:color="auto" w:sz="8" w:space="0"/>
              <w:bottom w:val="single" w:color="auto" w:sz="8" w:space="0"/>
              <w:right w:val="single" w:color="auto" w:sz="8" w:space="0"/>
            </w:tcBorders>
            <w:tcMar>
              <w:top w:w="0" w:type="dxa"/>
              <w:left w:w="115" w:type="dxa"/>
              <w:bottom w:w="0" w:type="dxa"/>
              <w:right w:w="216" w:type="dxa"/>
            </w:tcMar>
            <w:vAlign w:val="center"/>
            <w:hideMark/>
          </w:tcPr>
          <w:p w:rsidRPr="007E6E7F" w:rsidR="007E6E7F" w:rsidP="003C1DC1" w:rsidRDefault="007E6E7F" w14:paraId="5928BCF4" w14:textId="77777777">
            <w:pPr>
              <w:jc w:val="center"/>
              <w:rPr>
                <w:rFonts w:ascii="Arial" w:hAnsi="Arial" w:eastAsia="Calibri" w:cs="Arial"/>
                <w:b/>
                <w:bCs/>
                <w:sz w:val="20"/>
                <w:szCs w:val="20"/>
              </w:rPr>
            </w:pPr>
            <w:r w:rsidRPr="007E6E7F">
              <w:rPr>
                <w:rFonts w:ascii="Arial" w:hAnsi="Arial" w:eastAsia="Calibri" w:cs="Arial"/>
                <w:b/>
                <w:bCs/>
                <w:sz w:val="20"/>
                <w:szCs w:val="20"/>
              </w:rPr>
              <w:t>Totals</w:t>
            </w:r>
          </w:p>
        </w:tc>
        <w:tc>
          <w:tcPr>
            <w:tcW w:w="153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0AE5B236" w14:textId="77777777">
            <w:pPr>
              <w:jc w:val="center"/>
              <w:rPr>
                <w:rFonts w:ascii="Arial" w:hAnsi="Arial" w:eastAsia="Calibri" w:cs="Arial"/>
                <w:b/>
                <w:bCs/>
                <w:sz w:val="20"/>
                <w:szCs w:val="20"/>
              </w:rPr>
            </w:pPr>
            <w:r w:rsidRPr="007E6E7F">
              <w:rPr>
                <w:rFonts w:ascii="Arial" w:hAnsi="Arial" w:eastAsia="Calibri" w:cs="Arial"/>
                <w:b/>
                <w:bCs/>
                <w:sz w:val="20"/>
                <w:szCs w:val="20"/>
              </w:rPr>
              <w:t>12,</w:t>
            </w:r>
            <w:r w:rsidRPr="00014781" w:rsidR="003C1DC1">
              <w:rPr>
                <w:rFonts w:ascii="Arial" w:hAnsi="Arial" w:eastAsia="Calibri" w:cs="Arial"/>
                <w:b/>
                <w:bCs/>
                <w:sz w:val="20"/>
                <w:szCs w:val="20"/>
              </w:rPr>
              <w:t>200</w:t>
            </w:r>
          </w:p>
        </w:tc>
        <w:tc>
          <w:tcPr>
            <w:tcW w:w="1710" w:type="dxa"/>
            <w:tcBorders>
              <w:top w:val="nil"/>
              <w:left w:val="nil"/>
              <w:bottom w:val="single" w:color="auto" w:sz="8" w:space="0"/>
              <w:right w:val="single" w:color="auto" w:sz="8" w:space="0"/>
            </w:tcBorders>
            <w:noWrap/>
            <w:tcMar>
              <w:top w:w="0" w:type="dxa"/>
              <w:left w:w="115" w:type="dxa"/>
              <w:bottom w:w="0" w:type="dxa"/>
              <w:right w:w="216" w:type="dxa"/>
            </w:tcMar>
            <w:vAlign w:val="center"/>
          </w:tcPr>
          <w:p w:rsidRPr="007E6E7F" w:rsidR="007E6E7F" w:rsidP="003C1DC1" w:rsidRDefault="00014781" w14:paraId="28F285BB" w14:textId="77777777">
            <w:pPr>
              <w:jc w:val="center"/>
              <w:rPr>
                <w:rFonts w:ascii="Arial" w:hAnsi="Arial" w:eastAsia="Calibri" w:cs="Arial"/>
                <w:b/>
                <w:bCs/>
                <w:sz w:val="20"/>
                <w:szCs w:val="20"/>
              </w:rPr>
            </w:pPr>
            <w:r w:rsidRPr="00014781">
              <w:rPr>
                <w:rFonts w:ascii="Arial" w:hAnsi="Arial" w:eastAsia="Calibri" w:cs="Arial"/>
                <w:b/>
                <w:bCs/>
                <w:sz w:val="20"/>
                <w:szCs w:val="20"/>
              </w:rPr>
              <w:t>(4.3336)</w:t>
            </w:r>
          </w:p>
        </w:tc>
        <w:tc>
          <w:tcPr>
            <w:tcW w:w="1350" w:type="dxa"/>
            <w:tcBorders>
              <w:top w:val="nil"/>
              <w:left w:val="nil"/>
              <w:bottom w:val="single" w:color="auto" w:sz="8" w:space="0"/>
              <w:right w:val="single" w:color="auto" w:sz="8" w:space="0"/>
            </w:tcBorders>
            <w:noWrap/>
            <w:tcMar>
              <w:top w:w="0" w:type="dxa"/>
              <w:left w:w="115" w:type="dxa"/>
              <w:bottom w:w="0" w:type="dxa"/>
              <w:right w:w="216" w:type="dxa"/>
            </w:tcMar>
            <w:vAlign w:val="center"/>
          </w:tcPr>
          <w:p w:rsidRPr="007E6E7F" w:rsidR="007E6E7F" w:rsidP="003C1DC1" w:rsidRDefault="003C1DC1" w14:paraId="7B010EAD" w14:textId="77777777">
            <w:pPr>
              <w:jc w:val="center"/>
              <w:rPr>
                <w:rFonts w:ascii="Arial" w:hAnsi="Arial" w:eastAsia="Calibri" w:cs="Arial"/>
                <w:b/>
                <w:bCs/>
                <w:sz w:val="20"/>
                <w:szCs w:val="20"/>
              </w:rPr>
            </w:pPr>
            <w:r w:rsidRPr="00014781">
              <w:rPr>
                <w:rFonts w:ascii="Arial" w:hAnsi="Arial" w:eastAsia="Calibri" w:cs="Arial"/>
                <w:b/>
                <w:bCs/>
                <w:sz w:val="20"/>
                <w:szCs w:val="20"/>
              </w:rPr>
              <w:t>52,870</w:t>
            </w:r>
          </w:p>
        </w:tc>
        <w:tc>
          <w:tcPr>
            <w:tcW w:w="1260"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7E6E7F" w14:paraId="729D0871" w14:textId="77777777">
            <w:pPr>
              <w:jc w:val="center"/>
              <w:rPr>
                <w:rFonts w:ascii="Arial" w:hAnsi="Arial" w:eastAsia="Calibri" w:cs="Arial"/>
                <w:b/>
                <w:bCs/>
                <w:sz w:val="20"/>
                <w:szCs w:val="20"/>
              </w:rPr>
            </w:pPr>
            <w:r w:rsidRPr="007E6E7F">
              <w:rPr>
                <w:rFonts w:ascii="Arial" w:hAnsi="Arial" w:eastAsia="Calibri" w:cs="Arial"/>
                <w:b/>
                <w:bCs/>
                <w:sz w:val="20"/>
                <w:szCs w:val="20"/>
              </w:rPr>
              <w:t>1.10</w:t>
            </w:r>
          </w:p>
        </w:tc>
        <w:tc>
          <w:tcPr>
            <w:tcW w:w="1285" w:type="dxa"/>
            <w:tcBorders>
              <w:top w:val="nil"/>
              <w:left w:val="nil"/>
              <w:bottom w:val="single" w:color="auto" w:sz="8" w:space="0"/>
              <w:right w:val="single" w:color="auto" w:sz="8" w:space="0"/>
            </w:tcBorders>
            <w:noWrap/>
            <w:tcMar>
              <w:top w:w="0" w:type="dxa"/>
              <w:left w:w="115" w:type="dxa"/>
              <w:bottom w:w="0" w:type="dxa"/>
              <w:right w:w="216" w:type="dxa"/>
            </w:tcMar>
            <w:vAlign w:val="center"/>
            <w:hideMark/>
          </w:tcPr>
          <w:p w:rsidRPr="007E6E7F" w:rsidR="007E6E7F" w:rsidP="003C1DC1" w:rsidRDefault="00014781" w14:paraId="0D59D229" w14:textId="77777777">
            <w:pPr>
              <w:jc w:val="center"/>
              <w:rPr>
                <w:rFonts w:ascii="Arial" w:hAnsi="Arial" w:eastAsia="Calibri" w:cs="Arial"/>
                <w:b/>
                <w:bCs/>
                <w:sz w:val="20"/>
                <w:szCs w:val="20"/>
              </w:rPr>
            </w:pPr>
            <w:r w:rsidRPr="00014781">
              <w:rPr>
                <w:rFonts w:ascii="Arial" w:hAnsi="Arial" w:eastAsia="Calibri" w:cs="Arial"/>
                <w:b/>
                <w:bCs/>
                <w:sz w:val="20"/>
                <w:szCs w:val="20"/>
              </w:rPr>
              <w:t>58,157</w:t>
            </w:r>
          </w:p>
        </w:tc>
      </w:tr>
    </w:tbl>
    <w:p w:rsidRPr="000D4A6E" w:rsidR="007E6E7F" w:rsidP="007E6E7F" w:rsidRDefault="007E6E7F" w14:paraId="39174B37" w14:textId="77777777">
      <w:pPr>
        <w:autoSpaceDE w:val="0"/>
        <w:autoSpaceDN w:val="0"/>
        <w:adjustRightInd w:val="0"/>
        <w:ind w:left="360"/>
        <w:rPr>
          <w:rFonts w:ascii="Arial" w:hAnsi="Arial" w:cs="Arial"/>
          <w:sz w:val="22"/>
          <w:szCs w:val="22"/>
        </w:rPr>
      </w:pPr>
    </w:p>
    <w:p w:rsidRPr="00014781" w:rsidR="00014781" w:rsidP="00014781" w:rsidRDefault="00014781" w14:paraId="4DAD53F9" w14:textId="77777777">
      <w:pPr>
        <w:ind w:left="360"/>
        <w:rPr>
          <w:rFonts w:ascii="Arial" w:hAnsi="Arial" w:cs="Arial"/>
          <w:sz w:val="22"/>
          <w:szCs w:val="22"/>
        </w:rPr>
      </w:pPr>
      <w:r w:rsidRPr="00014781">
        <w:rPr>
          <w:rFonts w:ascii="Arial" w:hAnsi="Arial" w:cs="Arial"/>
          <w:sz w:val="22"/>
          <w:szCs w:val="22"/>
          <w:u w:val="single"/>
        </w:rPr>
        <w:t>Estimated Respondent Labor Costs:</w:t>
      </w:r>
      <w:r w:rsidRPr="00014781">
        <w:rPr>
          <w:rFonts w:ascii="Arial" w:hAnsi="Arial" w:cs="Arial"/>
          <w:sz w:val="22"/>
          <w:szCs w:val="22"/>
        </w:rPr>
        <w:t xml:space="preserve">  TTB estimates the annual per-respondent and total respondent labor costs </w:t>
      </w:r>
      <w:r w:rsidR="00F51159">
        <w:rPr>
          <w:rFonts w:ascii="Arial" w:hAnsi="Arial" w:cs="Arial"/>
          <w:sz w:val="22"/>
          <w:szCs w:val="22"/>
        </w:rPr>
        <w:t xml:space="preserve">associated with </w:t>
      </w:r>
      <w:r w:rsidRPr="00014781">
        <w:rPr>
          <w:rFonts w:ascii="Arial" w:hAnsi="Arial" w:cs="Arial"/>
          <w:sz w:val="22"/>
          <w:szCs w:val="22"/>
        </w:rPr>
        <w:t xml:space="preserve">this information collection as follows: </w:t>
      </w:r>
    </w:p>
    <w:p w:rsidRPr="00014781" w:rsidR="00014781" w:rsidP="00014781" w:rsidRDefault="00014781" w14:paraId="0D7B4CE1" w14:textId="77777777">
      <w:pPr>
        <w:suppressAutoHyphens/>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435"/>
        <w:gridCol w:w="1170"/>
        <w:gridCol w:w="1099"/>
        <w:gridCol w:w="1234"/>
        <w:gridCol w:w="1234"/>
        <w:gridCol w:w="1023"/>
        <w:gridCol w:w="1445"/>
      </w:tblGrid>
      <w:tr w:rsidRPr="00014781" w:rsidR="00014781" w:rsidTr="00F51159" w14:paraId="302615FF" w14:textId="77777777">
        <w:trPr>
          <w:trHeight w:val="557"/>
          <w:jc w:val="center"/>
        </w:trPr>
        <w:tc>
          <w:tcPr>
            <w:tcW w:w="8640" w:type="dxa"/>
            <w:gridSpan w:val="7"/>
            <w:shd w:val="clear" w:color="auto" w:fill="auto"/>
            <w:vAlign w:val="center"/>
          </w:tcPr>
          <w:p w:rsidRPr="00014781" w:rsidR="00014781" w:rsidP="00DB27DB" w:rsidRDefault="00014781" w14:paraId="4E4109E9" w14:textId="77777777">
            <w:pPr>
              <w:suppressAutoHyphens/>
              <w:jc w:val="center"/>
              <w:rPr>
                <w:rFonts w:ascii="Arial" w:hAnsi="Arial" w:eastAsia="Calibri" w:cs="Arial"/>
                <w:b/>
                <w:sz w:val="20"/>
                <w:szCs w:val="20"/>
              </w:rPr>
            </w:pPr>
            <w:r w:rsidRPr="00014781">
              <w:rPr>
                <w:rFonts w:ascii="Arial" w:hAnsi="Arial" w:eastAsia="Calibri" w:cs="Arial"/>
                <w:b/>
                <w:sz w:val="20"/>
                <w:szCs w:val="20"/>
              </w:rPr>
              <w:t>NAICS 312000 - Beverage &amp; Tobacco Product Manufacturing – Office &amp; Administrative Support Occupations – Fully-loaded Labor Rate/Hour = $29.65</w:t>
            </w:r>
            <w:r w:rsidRPr="00014781">
              <w:rPr>
                <w:rFonts w:ascii="Arial" w:hAnsi="Arial" w:eastAsia="Calibri" w:cs="Arial"/>
                <w:b/>
                <w:sz w:val="20"/>
                <w:szCs w:val="20"/>
                <w:vertAlign w:val="superscript"/>
              </w:rPr>
              <w:footnoteReference w:id="4"/>
            </w:r>
          </w:p>
        </w:tc>
      </w:tr>
      <w:tr w:rsidRPr="00014781" w:rsidR="00014781" w:rsidTr="00F51159" w14:paraId="02AD43A6" w14:textId="77777777">
        <w:trPr>
          <w:trHeight w:val="530"/>
          <w:jc w:val="center"/>
        </w:trPr>
        <w:tc>
          <w:tcPr>
            <w:tcW w:w="1435" w:type="dxa"/>
            <w:shd w:val="clear" w:color="auto" w:fill="auto"/>
            <w:tcMar>
              <w:left w:w="29" w:type="dxa"/>
              <w:right w:w="29" w:type="dxa"/>
            </w:tcMar>
            <w:vAlign w:val="center"/>
          </w:tcPr>
          <w:p w:rsidRPr="00014781" w:rsidR="00014781" w:rsidP="00DB27DB" w:rsidRDefault="00014781" w14:paraId="4026B61F" w14:textId="77777777">
            <w:pPr>
              <w:suppressAutoHyphens/>
              <w:jc w:val="center"/>
              <w:rPr>
                <w:rFonts w:ascii="Arial" w:hAnsi="Arial" w:eastAsia="Calibri" w:cs="Arial"/>
                <w:sz w:val="20"/>
                <w:szCs w:val="20"/>
              </w:rPr>
            </w:pPr>
            <w:r w:rsidRPr="00DB27DB">
              <w:rPr>
                <w:rFonts w:ascii="Arial" w:hAnsi="Arial" w:eastAsia="Calibri" w:cs="Arial"/>
                <w:sz w:val="20"/>
                <w:szCs w:val="20"/>
              </w:rPr>
              <w:t xml:space="preserve">Frequency of Reporting </w:t>
            </w:r>
          </w:p>
        </w:tc>
        <w:tc>
          <w:tcPr>
            <w:tcW w:w="1170" w:type="dxa"/>
            <w:shd w:val="clear" w:color="auto" w:fill="auto"/>
            <w:tcMar>
              <w:left w:w="29" w:type="dxa"/>
              <w:right w:w="29" w:type="dxa"/>
            </w:tcMar>
            <w:vAlign w:val="center"/>
          </w:tcPr>
          <w:p w:rsidRPr="00014781" w:rsidR="00014781" w:rsidP="00DB27DB" w:rsidRDefault="00014781" w14:paraId="28259EFA" w14:textId="77777777">
            <w:pPr>
              <w:suppressAutoHyphens/>
              <w:jc w:val="center"/>
              <w:rPr>
                <w:rFonts w:ascii="Arial" w:hAnsi="Arial" w:eastAsia="Calibri" w:cs="Arial"/>
                <w:sz w:val="18"/>
                <w:szCs w:val="18"/>
              </w:rPr>
            </w:pPr>
            <w:r w:rsidRPr="00014781">
              <w:rPr>
                <w:rFonts w:ascii="Arial" w:hAnsi="Arial" w:eastAsia="Calibri" w:cs="Arial"/>
                <w:sz w:val="18"/>
                <w:szCs w:val="18"/>
              </w:rPr>
              <w:t xml:space="preserve">Avg. Time / Response </w:t>
            </w:r>
          </w:p>
        </w:tc>
        <w:tc>
          <w:tcPr>
            <w:tcW w:w="1099" w:type="dxa"/>
            <w:shd w:val="clear" w:color="auto" w:fill="auto"/>
            <w:tcMar>
              <w:left w:w="29" w:type="dxa"/>
              <w:right w:w="29" w:type="dxa"/>
            </w:tcMar>
            <w:vAlign w:val="center"/>
          </w:tcPr>
          <w:p w:rsidRPr="00014781" w:rsidR="00014781" w:rsidP="00DB27DB" w:rsidRDefault="00014781" w14:paraId="46509CE2" w14:textId="77777777">
            <w:pPr>
              <w:suppressAutoHyphens/>
              <w:jc w:val="center"/>
              <w:rPr>
                <w:rFonts w:ascii="Arial" w:hAnsi="Arial" w:eastAsia="Calibri" w:cs="Arial"/>
                <w:sz w:val="18"/>
                <w:szCs w:val="18"/>
              </w:rPr>
            </w:pPr>
            <w:r w:rsidRPr="00014781">
              <w:rPr>
                <w:rFonts w:ascii="Arial" w:hAnsi="Arial" w:eastAsia="Calibri" w:cs="Arial"/>
                <w:sz w:val="18"/>
                <w:szCs w:val="18"/>
              </w:rPr>
              <w:t>Labor Cost / Response</w:t>
            </w:r>
          </w:p>
        </w:tc>
        <w:tc>
          <w:tcPr>
            <w:tcW w:w="1234" w:type="dxa"/>
            <w:shd w:val="clear" w:color="auto" w:fill="auto"/>
            <w:vAlign w:val="center"/>
          </w:tcPr>
          <w:p w:rsidRPr="00014781" w:rsidR="00014781" w:rsidP="00DB27DB" w:rsidRDefault="00014781" w14:paraId="1D9F6F8F" w14:textId="77777777">
            <w:pPr>
              <w:suppressAutoHyphens/>
              <w:jc w:val="center"/>
              <w:rPr>
                <w:rFonts w:ascii="Arial" w:hAnsi="Arial" w:eastAsia="Calibri" w:cs="Arial"/>
                <w:sz w:val="18"/>
                <w:szCs w:val="18"/>
              </w:rPr>
            </w:pPr>
            <w:r w:rsidRPr="00014781">
              <w:rPr>
                <w:rFonts w:ascii="Arial" w:hAnsi="Arial" w:eastAsia="Calibri" w:cs="Arial"/>
                <w:sz w:val="18"/>
                <w:szCs w:val="18"/>
              </w:rPr>
              <w:t>Responses / Respondent</w:t>
            </w:r>
          </w:p>
        </w:tc>
        <w:tc>
          <w:tcPr>
            <w:tcW w:w="1234" w:type="dxa"/>
            <w:tcBorders>
              <w:right w:val="single" w:color="auto" w:sz="12" w:space="0"/>
            </w:tcBorders>
            <w:shd w:val="clear" w:color="auto" w:fill="auto"/>
            <w:vAlign w:val="center"/>
          </w:tcPr>
          <w:p w:rsidRPr="00014781" w:rsidR="00014781" w:rsidP="00DB27DB" w:rsidRDefault="00014781" w14:paraId="0887722E" w14:textId="77777777">
            <w:pPr>
              <w:suppressAutoHyphens/>
              <w:jc w:val="center"/>
              <w:rPr>
                <w:rFonts w:ascii="Arial" w:hAnsi="Arial" w:eastAsia="Calibri" w:cs="Arial"/>
                <w:sz w:val="18"/>
                <w:szCs w:val="18"/>
              </w:rPr>
            </w:pPr>
            <w:r w:rsidRPr="00014781">
              <w:rPr>
                <w:rFonts w:ascii="Arial" w:hAnsi="Arial" w:eastAsia="Calibri" w:cs="Arial"/>
                <w:sz w:val="18"/>
                <w:szCs w:val="18"/>
              </w:rPr>
              <w:t xml:space="preserve">Labor Costs / Respondent </w:t>
            </w:r>
          </w:p>
        </w:tc>
        <w:tc>
          <w:tcPr>
            <w:tcW w:w="1023" w:type="dxa"/>
            <w:tcBorders>
              <w:left w:val="single" w:color="auto" w:sz="12" w:space="0"/>
            </w:tcBorders>
            <w:shd w:val="clear" w:color="auto" w:fill="auto"/>
            <w:tcMar>
              <w:left w:w="29" w:type="dxa"/>
              <w:right w:w="29" w:type="dxa"/>
            </w:tcMar>
            <w:vAlign w:val="center"/>
          </w:tcPr>
          <w:p w:rsidRPr="00014781" w:rsidR="00014781" w:rsidP="00DB27DB" w:rsidRDefault="00014781" w14:paraId="4F340F26" w14:textId="77777777">
            <w:pPr>
              <w:suppressAutoHyphens/>
              <w:jc w:val="center"/>
              <w:rPr>
                <w:rFonts w:ascii="Arial" w:hAnsi="Arial" w:eastAsia="Calibri" w:cs="Arial"/>
                <w:sz w:val="18"/>
                <w:szCs w:val="18"/>
              </w:rPr>
            </w:pPr>
            <w:r w:rsidRPr="00014781">
              <w:rPr>
                <w:rFonts w:ascii="Arial" w:hAnsi="Arial" w:eastAsia="Calibri" w:cs="Arial"/>
                <w:sz w:val="18"/>
                <w:szCs w:val="18"/>
              </w:rPr>
              <w:t>Total Responses</w:t>
            </w:r>
          </w:p>
        </w:tc>
        <w:tc>
          <w:tcPr>
            <w:tcW w:w="1445" w:type="dxa"/>
            <w:shd w:val="clear" w:color="auto" w:fill="auto"/>
            <w:tcMar>
              <w:left w:w="29" w:type="dxa"/>
              <w:right w:w="29" w:type="dxa"/>
            </w:tcMar>
            <w:vAlign w:val="center"/>
          </w:tcPr>
          <w:p w:rsidRPr="00014781" w:rsidR="00014781" w:rsidP="00DB27DB" w:rsidRDefault="00014781" w14:paraId="1B3606BD" w14:textId="77777777">
            <w:pPr>
              <w:suppressAutoHyphens/>
              <w:jc w:val="center"/>
              <w:rPr>
                <w:rFonts w:ascii="Arial" w:hAnsi="Arial" w:eastAsia="Calibri" w:cs="Arial"/>
                <w:sz w:val="18"/>
                <w:szCs w:val="18"/>
              </w:rPr>
            </w:pPr>
            <w:r w:rsidRPr="00014781">
              <w:rPr>
                <w:rFonts w:ascii="Arial" w:hAnsi="Arial" w:eastAsia="Calibri" w:cs="Arial"/>
                <w:sz w:val="18"/>
                <w:szCs w:val="18"/>
              </w:rPr>
              <w:t xml:space="preserve">Total Labor Costs </w:t>
            </w:r>
          </w:p>
        </w:tc>
      </w:tr>
      <w:tr w:rsidRPr="00014781" w:rsidR="00014781" w:rsidTr="00F51159" w14:paraId="272D7312" w14:textId="77777777">
        <w:trPr>
          <w:trHeight w:val="504"/>
          <w:jc w:val="center"/>
        </w:trPr>
        <w:tc>
          <w:tcPr>
            <w:tcW w:w="1435" w:type="dxa"/>
            <w:shd w:val="clear" w:color="auto" w:fill="auto"/>
            <w:tcMar>
              <w:left w:w="29" w:type="dxa"/>
              <w:right w:w="29" w:type="dxa"/>
            </w:tcMar>
            <w:vAlign w:val="center"/>
          </w:tcPr>
          <w:p w:rsidRPr="00DB27DB" w:rsidR="00014781" w:rsidP="00DB27DB" w:rsidRDefault="00014781" w14:paraId="4C08F99E" w14:textId="77777777">
            <w:pPr>
              <w:suppressAutoHyphens/>
              <w:jc w:val="center"/>
              <w:rPr>
                <w:rFonts w:ascii="Arial" w:hAnsi="Arial" w:eastAsia="Calibri" w:cs="Arial"/>
                <w:sz w:val="20"/>
                <w:szCs w:val="20"/>
              </w:rPr>
            </w:pPr>
            <w:r w:rsidRPr="00DB27DB">
              <w:rPr>
                <w:rFonts w:ascii="Arial" w:hAnsi="Arial" w:eastAsia="Calibri" w:cs="Arial"/>
                <w:sz w:val="20"/>
                <w:szCs w:val="20"/>
              </w:rPr>
              <w:t>Monthly</w:t>
            </w:r>
          </w:p>
        </w:tc>
        <w:tc>
          <w:tcPr>
            <w:tcW w:w="1170" w:type="dxa"/>
            <w:shd w:val="clear" w:color="auto" w:fill="auto"/>
            <w:tcMar>
              <w:left w:w="29" w:type="dxa"/>
              <w:right w:w="29" w:type="dxa"/>
            </w:tcMar>
            <w:vAlign w:val="center"/>
          </w:tcPr>
          <w:p w:rsidRPr="00DB27DB" w:rsidR="00014781" w:rsidP="00DB27DB" w:rsidRDefault="00014781" w14:paraId="0F5CF2BA" w14:textId="77777777">
            <w:pPr>
              <w:suppressAutoHyphens/>
              <w:jc w:val="center"/>
              <w:rPr>
                <w:rFonts w:ascii="Arial" w:hAnsi="Arial" w:eastAsia="Calibri" w:cs="Arial"/>
                <w:sz w:val="20"/>
                <w:szCs w:val="20"/>
              </w:rPr>
            </w:pPr>
            <w:r w:rsidRPr="00DB27DB">
              <w:rPr>
                <w:rFonts w:ascii="Arial" w:hAnsi="Arial" w:eastAsia="Calibri" w:cs="Arial"/>
                <w:sz w:val="20"/>
                <w:szCs w:val="20"/>
              </w:rPr>
              <w:t>1.10 hours</w:t>
            </w:r>
          </w:p>
        </w:tc>
        <w:tc>
          <w:tcPr>
            <w:tcW w:w="1099" w:type="dxa"/>
            <w:shd w:val="clear" w:color="auto" w:fill="auto"/>
            <w:tcMar>
              <w:left w:w="29" w:type="dxa"/>
              <w:right w:w="29" w:type="dxa"/>
            </w:tcMar>
            <w:vAlign w:val="center"/>
          </w:tcPr>
          <w:p w:rsidRPr="00DB27DB" w:rsidR="00014781" w:rsidP="00DB27DB" w:rsidRDefault="00B34AEA" w14:paraId="7BD88942" w14:textId="77777777">
            <w:pPr>
              <w:suppressAutoHyphens/>
              <w:jc w:val="center"/>
              <w:rPr>
                <w:rFonts w:ascii="Arial" w:hAnsi="Arial" w:eastAsia="Calibri" w:cs="Arial"/>
                <w:sz w:val="20"/>
                <w:szCs w:val="20"/>
              </w:rPr>
            </w:pPr>
            <w:r w:rsidRPr="00DB27DB">
              <w:rPr>
                <w:rFonts w:ascii="Arial" w:hAnsi="Arial" w:eastAsia="Calibri" w:cs="Arial"/>
                <w:sz w:val="20"/>
                <w:szCs w:val="20"/>
              </w:rPr>
              <w:t>$32.62</w:t>
            </w:r>
          </w:p>
        </w:tc>
        <w:tc>
          <w:tcPr>
            <w:tcW w:w="1234" w:type="dxa"/>
            <w:shd w:val="clear" w:color="auto" w:fill="auto"/>
            <w:vAlign w:val="center"/>
          </w:tcPr>
          <w:p w:rsidRPr="00DB27DB" w:rsidR="00014781" w:rsidP="00DB27DB" w:rsidRDefault="00B34AEA" w14:paraId="3D1691F4" w14:textId="77777777">
            <w:pPr>
              <w:suppressAutoHyphens/>
              <w:jc w:val="center"/>
              <w:rPr>
                <w:rFonts w:ascii="Arial" w:hAnsi="Arial" w:eastAsia="Calibri" w:cs="Arial"/>
                <w:sz w:val="20"/>
                <w:szCs w:val="20"/>
              </w:rPr>
            </w:pPr>
            <w:r w:rsidRPr="00DB27DB">
              <w:rPr>
                <w:rFonts w:ascii="Arial" w:hAnsi="Arial" w:eastAsia="Calibri" w:cs="Arial"/>
                <w:sz w:val="20"/>
                <w:szCs w:val="20"/>
              </w:rPr>
              <w:t>12</w:t>
            </w:r>
          </w:p>
        </w:tc>
        <w:tc>
          <w:tcPr>
            <w:tcW w:w="1234" w:type="dxa"/>
            <w:tcBorders>
              <w:right w:val="single" w:color="auto" w:sz="12" w:space="0"/>
            </w:tcBorders>
            <w:shd w:val="clear" w:color="auto" w:fill="auto"/>
            <w:vAlign w:val="center"/>
          </w:tcPr>
          <w:p w:rsidRPr="00DB27DB" w:rsidR="00014781" w:rsidP="00DB27DB" w:rsidRDefault="00B34AEA" w14:paraId="25EA038D" w14:textId="77777777">
            <w:pPr>
              <w:suppressAutoHyphens/>
              <w:jc w:val="center"/>
              <w:rPr>
                <w:rFonts w:ascii="Arial" w:hAnsi="Arial" w:eastAsia="Calibri" w:cs="Arial"/>
                <w:sz w:val="20"/>
                <w:szCs w:val="20"/>
              </w:rPr>
            </w:pPr>
            <w:r w:rsidRPr="00DB27DB">
              <w:rPr>
                <w:rFonts w:ascii="Arial" w:hAnsi="Arial" w:eastAsia="Calibri" w:cs="Arial"/>
                <w:sz w:val="20"/>
                <w:szCs w:val="20"/>
              </w:rPr>
              <w:t>$391.44</w:t>
            </w:r>
          </w:p>
        </w:tc>
        <w:tc>
          <w:tcPr>
            <w:tcW w:w="1023" w:type="dxa"/>
            <w:tcBorders>
              <w:left w:val="single" w:color="auto" w:sz="12" w:space="0"/>
            </w:tcBorders>
            <w:shd w:val="clear" w:color="auto" w:fill="auto"/>
            <w:tcMar>
              <w:left w:w="29" w:type="dxa"/>
              <w:right w:w="29" w:type="dxa"/>
            </w:tcMar>
            <w:vAlign w:val="center"/>
          </w:tcPr>
          <w:p w:rsidRPr="00DB27DB" w:rsidR="00014781" w:rsidP="00DB27DB" w:rsidRDefault="00B34AEA" w14:paraId="1D96FDC2" w14:textId="77777777">
            <w:pPr>
              <w:suppressAutoHyphens/>
              <w:jc w:val="center"/>
              <w:rPr>
                <w:rFonts w:ascii="Arial" w:hAnsi="Arial" w:eastAsia="Calibri" w:cs="Arial"/>
                <w:sz w:val="20"/>
                <w:szCs w:val="20"/>
              </w:rPr>
            </w:pPr>
            <w:r w:rsidRPr="00DB27DB">
              <w:rPr>
                <w:rFonts w:ascii="Arial" w:hAnsi="Arial" w:eastAsia="Calibri" w:cs="Arial"/>
                <w:sz w:val="20"/>
                <w:szCs w:val="20"/>
              </w:rPr>
              <w:t>21,360</w:t>
            </w:r>
          </w:p>
        </w:tc>
        <w:tc>
          <w:tcPr>
            <w:tcW w:w="1445" w:type="dxa"/>
            <w:shd w:val="clear" w:color="auto" w:fill="auto"/>
            <w:tcMar>
              <w:left w:w="29" w:type="dxa"/>
              <w:right w:w="29" w:type="dxa"/>
            </w:tcMar>
            <w:vAlign w:val="center"/>
          </w:tcPr>
          <w:p w:rsidRPr="00DB27DB" w:rsidR="00014781" w:rsidP="00DB27DB" w:rsidRDefault="00B34AEA" w14:paraId="4491C488" w14:textId="77777777">
            <w:pPr>
              <w:suppressAutoHyphens/>
              <w:jc w:val="center"/>
              <w:rPr>
                <w:rFonts w:ascii="Arial" w:hAnsi="Arial" w:eastAsia="Calibri" w:cs="Arial"/>
                <w:sz w:val="20"/>
                <w:szCs w:val="20"/>
              </w:rPr>
            </w:pPr>
            <w:r w:rsidRPr="00DB27DB">
              <w:rPr>
                <w:rFonts w:ascii="Arial" w:hAnsi="Arial" w:eastAsia="Calibri" w:cs="Arial"/>
                <w:sz w:val="20"/>
                <w:szCs w:val="20"/>
              </w:rPr>
              <w:t>$696,763.20</w:t>
            </w:r>
          </w:p>
        </w:tc>
      </w:tr>
      <w:tr w:rsidRPr="00014781" w:rsidR="00014781" w:rsidTr="00F51159" w14:paraId="0FE3AAD0" w14:textId="77777777">
        <w:trPr>
          <w:trHeight w:val="504"/>
          <w:jc w:val="center"/>
        </w:trPr>
        <w:tc>
          <w:tcPr>
            <w:tcW w:w="1435" w:type="dxa"/>
            <w:shd w:val="clear" w:color="auto" w:fill="auto"/>
            <w:tcMar>
              <w:left w:w="29" w:type="dxa"/>
              <w:right w:w="29" w:type="dxa"/>
            </w:tcMar>
            <w:vAlign w:val="center"/>
          </w:tcPr>
          <w:p w:rsidRPr="00DB27DB" w:rsidR="00014781" w:rsidP="00DB27DB" w:rsidRDefault="00014781" w14:paraId="15A42EF7" w14:textId="77777777">
            <w:pPr>
              <w:suppressAutoHyphens/>
              <w:jc w:val="center"/>
              <w:rPr>
                <w:rFonts w:ascii="Arial" w:hAnsi="Arial" w:eastAsia="Calibri" w:cs="Arial"/>
                <w:sz w:val="20"/>
                <w:szCs w:val="20"/>
              </w:rPr>
            </w:pPr>
            <w:r w:rsidRPr="00DB27DB">
              <w:rPr>
                <w:rFonts w:ascii="Arial" w:hAnsi="Arial" w:eastAsia="Calibri" w:cs="Arial"/>
                <w:sz w:val="20"/>
                <w:szCs w:val="20"/>
              </w:rPr>
              <w:t xml:space="preserve">Quarterly </w:t>
            </w:r>
          </w:p>
        </w:tc>
        <w:tc>
          <w:tcPr>
            <w:tcW w:w="1170" w:type="dxa"/>
            <w:shd w:val="clear" w:color="auto" w:fill="auto"/>
            <w:tcMar>
              <w:left w:w="29" w:type="dxa"/>
              <w:right w:w="29" w:type="dxa"/>
            </w:tcMar>
            <w:vAlign w:val="center"/>
          </w:tcPr>
          <w:p w:rsidRPr="00DB27DB" w:rsidR="00014781" w:rsidP="00DB27DB" w:rsidRDefault="00014781" w14:paraId="56AA80C3" w14:textId="77777777">
            <w:pPr>
              <w:suppressAutoHyphens/>
              <w:jc w:val="center"/>
              <w:rPr>
                <w:rFonts w:ascii="Arial" w:hAnsi="Arial" w:eastAsia="Calibri" w:cs="Arial"/>
                <w:sz w:val="20"/>
                <w:szCs w:val="20"/>
              </w:rPr>
            </w:pPr>
            <w:r w:rsidRPr="00DB27DB">
              <w:rPr>
                <w:rFonts w:ascii="Arial" w:hAnsi="Arial" w:eastAsia="Calibri" w:cs="Arial"/>
                <w:sz w:val="20"/>
                <w:szCs w:val="20"/>
              </w:rPr>
              <w:t>1.10 hours</w:t>
            </w:r>
          </w:p>
        </w:tc>
        <w:tc>
          <w:tcPr>
            <w:tcW w:w="1099" w:type="dxa"/>
            <w:shd w:val="clear" w:color="auto" w:fill="auto"/>
            <w:tcMar>
              <w:left w:w="29" w:type="dxa"/>
              <w:right w:w="29" w:type="dxa"/>
            </w:tcMar>
            <w:vAlign w:val="center"/>
          </w:tcPr>
          <w:p w:rsidRPr="00DB27DB" w:rsidR="00014781" w:rsidP="00DB27DB" w:rsidRDefault="00B34AEA" w14:paraId="661A9A2B" w14:textId="77777777">
            <w:pPr>
              <w:suppressAutoHyphens/>
              <w:jc w:val="center"/>
              <w:rPr>
                <w:rFonts w:ascii="Arial" w:hAnsi="Arial" w:eastAsia="Calibri" w:cs="Arial"/>
                <w:sz w:val="20"/>
                <w:szCs w:val="20"/>
              </w:rPr>
            </w:pPr>
            <w:r w:rsidRPr="00DB27DB">
              <w:rPr>
                <w:rFonts w:ascii="Arial" w:hAnsi="Arial" w:eastAsia="Calibri" w:cs="Arial"/>
                <w:sz w:val="20"/>
                <w:szCs w:val="20"/>
              </w:rPr>
              <w:t>$32.62</w:t>
            </w:r>
          </w:p>
        </w:tc>
        <w:tc>
          <w:tcPr>
            <w:tcW w:w="1234" w:type="dxa"/>
            <w:shd w:val="clear" w:color="auto" w:fill="auto"/>
            <w:vAlign w:val="center"/>
          </w:tcPr>
          <w:p w:rsidRPr="00DB27DB" w:rsidR="00014781" w:rsidP="00DB27DB" w:rsidRDefault="00B34AEA" w14:paraId="259961F4" w14:textId="77777777">
            <w:pPr>
              <w:suppressAutoHyphens/>
              <w:jc w:val="center"/>
              <w:rPr>
                <w:rFonts w:ascii="Arial" w:hAnsi="Arial" w:eastAsia="Calibri" w:cs="Arial"/>
                <w:sz w:val="20"/>
                <w:szCs w:val="20"/>
              </w:rPr>
            </w:pPr>
            <w:r w:rsidRPr="00DB27DB">
              <w:rPr>
                <w:rFonts w:ascii="Arial" w:hAnsi="Arial" w:eastAsia="Calibri" w:cs="Arial"/>
                <w:sz w:val="20"/>
                <w:szCs w:val="20"/>
              </w:rPr>
              <w:t>4</w:t>
            </w:r>
          </w:p>
        </w:tc>
        <w:tc>
          <w:tcPr>
            <w:tcW w:w="1234" w:type="dxa"/>
            <w:tcBorders>
              <w:right w:val="single" w:color="auto" w:sz="12" w:space="0"/>
            </w:tcBorders>
            <w:shd w:val="clear" w:color="auto" w:fill="auto"/>
            <w:vAlign w:val="center"/>
          </w:tcPr>
          <w:p w:rsidRPr="00DB27DB" w:rsidR="00014781" w:rsidP="00DB27DB" w:rsidRDefault="00B34AEA" w14:paraId="084F8A90" w14:textId="77777777">
            <w:pPr>
              <w:suppressAutoHyphens/>
              <w:jc w:val="center"/>
              <w:rPr>
                <w:rFonts w:ascii="Arial" w:hAnsi="Arial" w:eastAsia="Calibri" w:cs="Arial"/>
                <w:sz w:val="20"/>
                <w:szCs w:val="20"/>
              </w:rPr>
            </w:pPr>
            <w:r w:rsidRPr="00DB27DB">
              <w:rPr>
                <w:rFonts w:ascii="Arial" w:hAnsi="Arial" w:eastAsia="Calibri" w:cs="Arial"/>
                <w:sz w:val="20"/>
                <w:szCs w:val="20"/>
              </w:rPr>
              <w:t>$130.48</w:t>
            </w:r>
          </w:p>
        </w:tc>
        <w:tc>
          <w:tcPr>
            <w:tcW w:w="1023" w:type="dxa"/>
            <w:tcBorders>
              <w:left w:val="single" w:color="auto" w:sz="12" w:space="0"/>
            </w:tcBorders>
            <w:shd w:val="clear" w:color="auto" w:fill="auto"/>
            <w:tcMar>
              <w:left w:w="29" w:type="dxa"/>
              <w:right w:w="29" w:type="dxa"/>
            </w:tcMar>
            <w:vAlign w:val="center"/>
          </w:tcPr>
          <w:p w:rsidRPr="00DB27DB" w:rsidR="00014781" w:rsidP="00DB27DB" w:rsidRDefault="00B34AEA" w14:paraId="6E835D46" w14:textId="77777777">
            <w:pPr>
              <w:suppressAutoHyphens/>
              <w:jc w:val="center"/>
              <w:rPr>
                <w:rFonts w:ascii="Arial" w:hAnsi="Arial" w:eastAsia="Calibri" w:cs="Arial"/>
                <w:sz w:val="20"/>
                <w:szCs w:val="20"/>
              </w:rPr>
            </w:pPr>
            <w:r w:rsidRPr="00DB27DB">
              <w:rPr>
                <w:rFonts w:ascii="Arial" w:hAnsi="Arial" w:eastAsia="Calibri" w:cs="Arial"/>
                <w:sz w:val="20"/>
                <w:szCs w:val="20"/>
              </w:rPr>
              <w:t>28,120</w:t>
            </w:r>
          </w:p>
        </w:tc>
        <w:tc>
          <w:tcPr>
            <w:tcW w:w="1445" w:type="dxa"/>
            <w:shd w:val="clear" w:color="auto" w:fill="auto"/>
            <w:tcMar>
              <w:left w:w="29" w:type="dxa"/>
              <w:right w:w="29" w:type="dxa"/>
            </w:tcMar>
            <w:vAlign w:val="center"/>
          </w:tcPr>
          <w:p w:rsidRPr="00DB27DB" w:rsidR="00014781" w:rsidP="00DB27DB" w:rsidRDefault="00B34AEA" w14:paraId="409E31A7" w14:textId="77777777">
            <w:pPr>
              <w:suppressAutoHyphens/>
              <w:jc w:val="center"/>
              <w:rPr>
                <w:rFonts w:ascii="Arial" w:hAnsi="Arial" w:eastAsia="Calibri" w:cs="Arial"/>
                <w:sz w:val="20"/>
                <w:szCs w:val="20"/>
              </w:rPr>
            </w:pPr>
            <w:r w:rsidRPr="00DB27DB">
              <w:rPr>
                <w:rFonts w:ascii="Arial" w:hAnsi="Arial" w:eastAsia="Calibri" w:cs="Arial"/>
                <w:sz w:val="20"/>
                <w:szCs w:val="20"/>
              </w:rPr>
              <w:t>$917,274.40</w:t>
            </w:r>
          </w:p>
        </w:tc>
      </w:tr>
      <w:tr w:rsidRPr="00014781" w:rsidR="00014781" w:rsidTr="00F51159" w14:paraId="29C24276" w14:textId="77777777">
        <w:trPr>
          <w:trHeight w:val="504"/>
          <w:jc w:val="center"/>
        </w:trPr>
        <w:tc>
          <w:tcPr>
            <w:tcW w:w="1435" w:type="dxa"/>
            <w:shd w:val="clear" w:color="auto" w:fill="auto"/>
            <w:tcMar>
              <w:left w:w="29" w:type="dxa"/>
              <w:right w:w="29" w:type="dxa"/>
            </w:tcMar>
            <w:vAlign w:val="center"/>
          </w:tcPr>
          <w:p w:rsidRPr="00014781" w:rsidR="00014781" w:rsidP="00DB27DB" w:rsidRDefault="00014781" w14:paraId="2C1CAA8E" w14:textId="77777777">
            <w:pPr>
              <w:suppressAutoHyphens/>
              <w:jc w:val="center"/>
              <w:rPr>
                <w:rFonts w:ascii="Arial" w:hAnsi="Arial" w:eastAsia="Calibri" w:cs="Arial"/>
                <w:sz w:val="20"/>
                <w:szCs w:val="20"/>
              </w:rPr>
            </w:pPr>
            <w:r w:rsidRPr="00DB27DB">
              <w:rPr>
                <w:rFonts w:ascii="Arial" w:hAnsi="Arial" w:eastAsia="Calibri" w:cs="Arial"/>
                <w:sz w:val="20"/>
                <w:szCs w:val="20"/>
              </w:rPr>
              <w:t>Annually</w:t>
            </w:r>
          </w:p>
        </w:tc>
        <w:tc>
          <w:tcPr>
            <w:tcW w:w="1170" w:type="dxa"/>
            <w:shd w:val="clear" w:color="auto" w:fill="auto"/>
            <w:tcMar>
              <w:left w:w="29" w:type="dxa"/>
              <w:right w:w="29" w:type="dxa"/>
            </w:tcMar>
            <w:vAlign w:val="center"/>
          </w:tcPr>
          <w:p w:rsidRPr="00014781" w:rsidR="00014781" w:rsidP="00DB27DB" w:rsidRDefault="00014781" w14:paraId="62C7DDE1" w14:textId="77777777">
            <w:pPr>
              <w:suppressAutoHyphens/>
              <w:jc w:val="center"/>
              <w:rPr>
                <w:rFonts w:ascii="Arial" w:hAnsi="Arial" w:eastAsia="Calibri" w:cs="Arial"/>
                <w:sz w:val="20"/>
                <w:szCs w:val="20"/>
              </w:rPr>
            </w:pPr>
            <w:r w:rsidRPr="00DB27DB">
              <w:rPr>
                <w:rFonts w:ascii="Arial" w:hAnsi="Arial" w:eastAsia="Calibri" w:cs="Arial"/>
                <w:sz w:val="20"/>
                <w:szCs w:val="20"/>
              </w:rPr>
              <w:t>1.1</w:t>
            </w:r>
            <w:r w:rsidRPr="00014781">
              <w:rPr>
                <w:rFonts w:ascii="Arial" w:hAnsi="Arial" w:eastAsia="Calibri" w:cs="Arial"/>
                <w:sz w:val="20"/>
                <w:szCs w:val="20"/>
              </w:rPr>
              <w:t>0 hour</w:t>
            </w:r>
            <w:r w:rsidRPr="00DB27DB">
              <w:rPr>
                <w:rFonts w:ascii="Arial" w:hAnsi="Arial" w:eastAsia="Calibri" w:cs="Arial"/>
                <w:sz w:val="20"/>
                <w:szCs w:val="20"/>
              </w:rPr>
              <w:t>s</w:t>
            </w:r>
          </w:p>
        </w:tc>
        <w:tc>
          <w:tcPr>
            <w:tcW w:w="1099" w:type="dxa"/>
            <w:shd w:val="clear" w:color="auto" w:fill="auto"/>
            <w:tcMar>
              <w:left w:w="29" w:type="dxa"/>
              <w:right w:w="29" w:type="dxa"/>
            </w:tcMar>
            <w:vAlign w:val="center"/>
          </w:tcPr>
          <w:p w:rsidRPr="00014781" w:rsidR="00014781" w:rsidP="00DB27DB" w:rsidRDefault="00B34AEA" w14:paraId="2897E7D7" w14:textId="77777777">
            <w:pPr>
              <w:suppressAutoHyphens/>
              <w:jc w:val="center"/>
              <w:rPr>
                <w:rFonts w:ascii="Arial" w:hAnsi="Arial" w:eastAsia="Calibri" w:cs="Arial"/>
                <w:sz w:val="20"/>
                <w:szCs w:val="20"/>
              </w:rPr>
            </w:pPr>
            <w:r w:rsidRPr="00DB27DB">
              <w:rPr>
                <w:rFonts w:ascii="Arial" w:hAnsi="Arial" w:eastAsia="Calibri" w:cs="Arial"/>
                <w:sz w:val="20"/>
                <w:szCs w:val="20"/>
              </w:rPr>
              <w:t>$32.62</w:t>
            </w:r>
          </w:p>
        </w:tc>
        <w:tc>
          <w:tcPr>
            <w:tcW w:w="1234" w:type="dxa"/>
            <w:shd w:val="clear" w:color="auto" w:fill="auto"/>
            <w:vAlign w:val="center"/>
          </w:tcPr>
          <w:p w:rsidRPr="00014781" w:rsidR="00014781" w:rsidP="00DB27DB" w:rsidRDefault="00B34AEA" w14:paraId="66A5FA8B" w14:textId="77777777">
            <w:pPr>
              <w:suppressAutoHyphens/>
              <w:jc w:val="center"/>
              <w:rPr>
                <w:rFonts w:ascii="Arial" w:hAnsi="Arial" w:eastAsia="Calibri" w:cs="Arial"/>
                <w:sz w:val="20"/>
                <w:szCs w:val="20"/>
              </w:rPr>
            </w:pPr>
            <w:r w:rsidRPr="00DB27DB">
              <w:rPr>
                <w:rFonts w:ascii="Arial" w:hAnsi="Arial" w:eastAsia="Calibri" w:cs="Arial"/>
                <w:sz w:val="20"/>
                <w:szCs w:val="20"/>
              </w:rPr>
              <w:t>1</w:t>
            </w:r>
          </w:p>
        </w:tc>
        <w:tc>
          <w:tcPr>
            <w:tcW w:w="1234" w:type="dxa"/>
            <w:tcBorders>
              <w:right w:val="single" w:color="auto" w:sz="12" w:space="0"/>
            </w:tcBorders>
            <w:shd w:val="clear" w:color="auto" w:fill="auto"/>
            <w:vAlign w:val="center"/>
          </w:tcPr>
          <w:p w:rsidRPr="00014781" w:rsidR="00014781" w:rsidP="00DB27DB" w:rsidRDefault="00A1403A" w14:paraId="0889A5BA" w14:textId="77777777">
            <w:pPr>
              <w:suppressAutoHyphens/>
              <w:jc w:val="center"/>
              <w:rPr>
                <w:rFonts w:ascii="Arial" w:hAnsi="Arial" w:eastAsia="Calibri" w:cs="Arial"/>
                <w:sz w:val="20"/>
                <w:szCs w:val="20"/>
              </w:rPr>
            </w:pPr>
            <w:r w:rsidRPr="00DB27DB">
              <w:rPr>
                <w:rFonts w:ascii="Arial" w:hAnsi="Arial" w:eastAsia="Calibri" w:cs="Arial"/>
                <w:sz w:val="20"/>
                <w:szCs w:val="20"/>
              </w:rPr>
              <w:t>$32.62</w:t>
            </w:r>
          </w:p>
        </w:tc>
        <w:tc>
          <w:tcPr>
            <w:tcW w:w="1023" w:type="dxa"/>
            <w:tcBorders>
              <w:left w:val="single" w:color="auto" w:sz="12" w:space="0"/>
            </w:tcBorders>
            <w:shd w:val="clear" w:color="auto" w:fill="auto"/>
            <w:tcMar>
              <w:left w:w="29" w:type="dxa"/>
              <w:right w:w="29" w:type="dxa"/>
            </w:tcMar>
            <w:vAlign w:val="center"/>
          </w:tcPr>
          <w:p w:rsidRPr="00014781" w:rsidR="00014781" w:rsidP="00DB27DB" w:rsidRDefault="00B34AEA" w14:paraId="23A79462" w14:textId="77777777">
            <w:pPr>
              <w:suppressAutoHyphens/>
              <w:jc w:val="center"/>
              <w:rPr>
                <w:rFonts w:ascii="Arial" w:hAnsi="Arial" w:eastAsia="Calibri" w:cs="Arial"/>
                <w:sz w:val="20"/>
                <w:szCs w:val="20"/>
              </w:rPr>
            </w:pPr>
            <w:r w:rsidRPr="00DB27DB">
              <w:rPr>
                <w:rFonts w:ascii="Arial" w:hAnsi="Arial" w:eastAsia="Calibri" w:cs="Arial"/>
                <w:sz w:val="20"/>
                <w:szCs w:val="20"/>
              </w:rPr>
              <w:t>3,390</w:t>
            </w:r>
          </w:p>
        </w:tc>
        <w:tc>
          <w:tcPr>
            <w:tcW w:w="1445" w:type="dxa"/>
            <w:shd w:val="clear" w:color="auto" w:fill="auto"/>
            <w:tcMar>
              <w:left w:w="29" w:type="dxa"/>
              <w:right w:w="29" w:type="dxa"/>
            </w:tcMar>
            <w:vAlign w:val="center"/>
          </w:tcPr>
          <w:p w:rsidRPr="00014781" w:rsidR="00014781" w:rsidP="00DB27DB" w:rsidRDefault="00B34AEA" w14:paraId="6EF435D6" w14:textId="77777777">
            <w:pPr>
              <w:suppressAutoHyphens/>
              <w:jc w:val="center"/>
              <w:rPr>
                <w:rFonts w:ascii="Arial" w:hAnsi="Arial" w:eastAsia="Calibri" w:cs="Arial"/>
                <w:sz w:val="20"/>
                <w:szCs w:val="20"/>
              </w:rPr>
            </w:pPr>
            <w:r w:rsidRPr="00DB27DB">
              <w:rPr>
                <w:rFonts w:ascii="Arial" w:hAnsi="Arial" w:eastAsia="Calibri" w:cs="Arial"/>
                <w:sz w:val="20"/>
                <w:szCs w:val="20"/>
              </w:rPr>
              <w:t>$110,581.80</w:t>
            </w:r>
          </w:p>
        </w:tc>
      </w:tr>
      <w:tr w:rsidRPr="00014781" w:rsidR="00B34AEA" w:rsidTr="00F51159" w14:paraId="2D3A2764" w14:textId="77777777">
        <w:trPr>
          <w:trHeight w:val="504"/>
          <w:jc w:val="center"/>
        </w:trPr>
        <w:tc>
          <w:tcPr>
            <w:tcW w:w="1435" w:type="dxa"/>
            <w:shd w:val="clear" w:color="auto" w:fill="auto"/>
            <w:tcMar>
              <w:left w:w="29" w:type="dxa"/>
              <w:right w:w="29" w:type="dxa"/>
            </w:tcMar>
            <w:vAlign w:val="center"/>
          </w:tcPr>
          <w:p w:rsidRPr="00F51159" w:rsidR="00B34AEA" w:rsidP="00DB27DB" w:rsidRDefault="00B34AEA" w14:paraId="1C7C7C1D" w14:textId="77777777">
            <w:pPr>
              <w:suppressAutoHyphens/>
              <w:jc w:val="center"/>
              <w:rPr>
                <w:rFonts w:ascii="Arial" w:hAnsi="Arial" w:eastAsia="Calibri" w:cs="Arial"/>
                <w:b/>
                <w:sz w:val="20"/>
                <w:szCs w:val="20"/>
              </w:rPr>
            </w:pPr>
            <w:r w:rsidRPr="00F51159">
              <w:rPr>
                <w:rFonts w:ascii="Arial" w:hAnsi="Arial" w:eastAsia="Calibri" w:cs="Arial"/>
                <w:b/>
                <w:sz w:val="20"/>
                <w:szCs w:val="20"/>
              </w:rPr>
              <w:t>Totals</w:t>
            </w:r>
          </w:p>
        </w:tc>
        <w:tc>
          <w:tcPr>
            <w:tcW w:w="1170" w:type="dxa"/>
            <w:shd w:val="clear" w:color="auto" w:fill="auto"/>
            <w:tcMar>
              <w:left w:w="29" w:type="dxa"/>
              <w:right w:w="29" w:type="dxa"/>
            </w:tcMar>
            <w:vAlign w:val="center"/>
          </w:tcPr>
          <w:p w:rsidRPr="00F51159" w:rsidR="00B34AEA" w:rsidP="00DB27DB" w:rsidRDefault="00B34AEA" w14:paraId="6EB236CE" w14:textId="77777777">
            <w:pPr>
              <w:suppressAutoHyphens/>
              <w:jc w:val="center"/>
              <w:rPr>
                <w:rFonts w:ascii="Arial" w:hAnsi="Arial" w:eastAsia="Calibri" w:cs="Arial"/>
                <w:b/>
                <w:sz w:val="20"/>
                <w:szCs w:val="20"/>
              </w:rPr>
            </w:pPr>
            <w:r w:rsidRPr="00F51159">
              <w:rPr>
                <w:rFonts w:ascii="Arial" w:hAnsi="Arial" w:eastAsia="Calibri" w:cs="Arial"/>
                <w:b/>
                <w:sz w:val="20"/>
                <w:szCs w:val="20"/>
              </w:rPr>
              <w:t>1.10 hours</w:t>
            </w:r>
          </w:p>
        </w:tc>
        <w:tc>
          <w:tcPr>
            <w:tcW w:w="1099" w:type="dxa"/>
            <w:shd w:val="clear" w:color="auto" w:fill="auto"/>
            <w:tcMar>
              <w:left w:w="29" w:type="dxa"/>
              <w:right w:w="29" w:type="dxa"/>
            </w:tcMar>
            <w:vAlign w:val="center"/>
          </w:tcPr>
          <w:p w:rsidRPr="00F51159" w:rsidR="00B34AEA" w:rsidP="00DB27DB" w:rsidRDefault="00B34AEA" w14:paraId="45ED679C" w14:textId="77777777">
            <w:pPr>
              <w:suppressAutoHyphens/>
              <w:jc w:val="center"/>
              <w:rPr>
                <w:rFonts w:ascii="Arial" w:hAnsi="Arial" w:eastAsia="Calibri" w:cs="Arial"/>
                <w:b/>
                <w:sz w:val="20"/>
                <w:szCs w:val="20"/>
              </w:rPr>
            </w:pPr>
            <w:r w:rsidRPr="00F51159">
              <w:rPr>
                <w:rFonts w:ascii="Arial" w:hAnsi="Arial" w:eastAsia="Calibri" w:cs="Arial"/>
                <w:b/>
                <w:sz w:val="20"/>
                <w:szCs w:val="20"/>
              </w:rPr>
              <w:t>$32.62</w:t>
            </w:r>
          </w:p>
        </w:tc>
        <w:tc>
          <w:tcPr>
            <w:tcW w:w="1234" w:type="dxa"/>
            <w:tcBorders>
              <w:top w:val="nil"/>
              <w:left w:val="nil"/>
              <w:bottom w:val="single" w:color="auto" w:sz="8" w:space="0"/>
              <w:right w:val="single" w:color="auto" w:sz="8" w:space="0"/>
            </w:tcBorders>
            <w:shd w:val="clear" w:color="auto" w:fill="auto"/>
            <w:vAlign w:val="center"/>
          </w:tcPr>
          <w:p w:rsidRPr="00F51159" w:rsidR="00B34AEA" w:rsidP="00DB27DB" w:rsidRDefault="00F51159" w14:paraId="3FAC9F5E" w14:textId="77777777">
            <w:pPr>
              <w:jc w:val="center"/>
              <w:rPr>
                <w:rFonts w:ascii="Arial" w:hAnsi="Arial" w:eastAsia="Calibri" w:cs="Arial"/>
                <w:b/>
                <w:bCs/>
                <w:sz w:val="18"/>
                <w:szCs w:val="18"/>
              </w:rPr>
            </w:pPr>
            <w:r w:rsidRPr="00F51159">
              <w:rPr>
                <w:rFonts w:ascii="Arial" w:hAnsi="Arial" w:eastAsia="Calibri" w:cs="Arial"/>
                <w:b/>
                <w:bCs/>
                <w:sz w:val="18"/>
                <w:szCs w:val="18"/>
              </w:rPr>
              <w:t>(4.3336)</w:t>
            </w:r>
          </w:p>
        </w:tc>
        <w:tc>
          <w:tcPr>
            <w:tcW w:w="1234" w:type="dxa"/>
            <w:tcBorders>
              <w:top w:val="nil"/>
              <w:left w:val="nil"/>
              <w:bottom w:val="single" w:color="auto" w:sz="8" w:space="0"/>
              <w:right w:val="single" w:color="auto" w:sz="8" w:space="0"/>
            </w:tcBorders>
            <w:shd w:val="clear" w:color="auto" w:fill="auto"/>
            <w:vAlign w:val="center"/>
          </w:tcPr>
          <w:p w:rsidRPr="00F51159" w:rsidR="00B34AEA" w:rsidP="00DB27DB" w:rsidRDefault="00F51159" w14:paraId="5C6AAEDD" w14:textId="77777777">
            <w:pPr>
              <w:jc w:val="center"/>
              <w:rPr>
                <w:rFonts w:ascii="Arial" w:hAnsi="Arial" w:eastAsia="Calibri" w:cs="Arial"/>
                <w:b/>
                <w:bCs/>
                <w:sz w:val="18"/>
                <w:szCs w:val="18"/>
              </w:rPr>
            </w:pPr>
            <w:r w:rsidRPr="00F51159">
              <w:rPr>
                <w:rFonts w:ascii="Arial" w:hAnsi="Arial" w:eastAsia="Calibri" w:cs="Arial"/>
                <w:b/>
                <w:bCs/>
                <w:sz w:val="18"/>
                <w:szCs w:val="18"/>
              </w:rPr>
              <w:t>($141.362)</w:t>
            </w:r>
          </w:p>
        </w:tc>
        <w:tc>
          <w:tcPr>
            <w:tcW w:w="1023" w:type="dxa"/>
            <w:tcBorders>
              <w:left w:val="single" w:color="auto" w:sz="12" w:space="0"/>
            </w:tcBorders>
            <w:shd w:val="clear" w:color="auto" w:fill="auto"/>
            <w:tcMar>
              <w:left w:w="29" w:type="dxa"/>
              <w:right w:w="29" w:type="dxa"/>
            </w:tcMar>
            <w:vAlign w:val="center"/>
          </w:tcPr>
          <w:p w:rsidRPr="00F51159" w:rsidR="00B34AEA" w:rsidP="00DB27DB" w:rsidRDefault="00F51159" w14:paraId="03C34CB3" w14:textId="77777777">
            <w:pPr>
              <w:suppressAutoHyphens/>
              <w:jc w:val="center"/>
              <w:rPr>
                <w:rFonts w:ascii="Arial" w:hAnsi="Arial" w:eastAsia="Calibri" w:cs="Arial"/>
                <w:b/>
                <w:sz w:val="20"/>
                <w:szCs w:val="20"/>
              </w:rPr>
            </w:pPr>
            <w:r w:rsidRPr="00F51159">
              <w:rPr>
                <w:rFonts w:ascii="Arial" w:hAnsi="Arial" w:eastAsia="Calibri" w:cs="Arial"/>
                <w:b/>
                <w:sz w:val="20"/>
                <w:szCs w:val="20"/>
              </w:rPr>
              <w:t>52,870</w:t>
            </w:r>
          </w:p>
        </w:tc>
        <w:tc>
          <w:tcPr>
            <w:tcW w:w="1445" w:type="dxa"/>
            <w:shd w:val="clear" w:color="auto" w:fill="auto"/>
            <w:tcMar>
              <w:left w:w="29" w:type="dxa"/>
              <w:right w:w="29" w:type="dxa"/>
            </w:tcMar>
            <w:vAlign w:val="center"/>
          </w:tcPr>
          <w:p w:rsidRPr="00F51159" w:rsidR="00B34AEA" w:rsidP="00DB27DB" w:rsidRDefault="00B34AEA" w14:paraId="76621E87" w14:textId="77777777">
            <w:pPr>
              <w:suppressAutoHyphens/>
              <w:jc w:val="center"/>
              <w:rPr>
                <w:rFonts w:ascii="Arial" w:hAnsi="Arial" w:eastAsia="Calibri" w:cs="Arial"/>
                <w:b/>
                <w:sz w:val="20"/>
                <w:szCs w:val="20"/>
              </w:rPr>
            </w:pPr>
            <w:r w:rsidRPr="00F51159">
              <w:rPr>
                <w:rFonts w:ascii="Arial" w:hAnsi="Arial" w:eastAsia="Calibri" w:cs="Arial"/>
                <w:b/>
                <w:sz w:val="20"/>
                <w:szCs w:val="20"/>
              </w:rPr>
              <w:t>$1,724,619.40</w:t>
            </w:r>
          </w:p>
        </w:tc>
      </w:tr>
    </w:tbl>
    <w:p w:rsidRPr="00014781" w:rsidR="00014781" w:rsidP="00014781" w:rsidRDefault="00014781" w14:paraId="2B05F508" w14:textId="77777777">
      <w:pPr>
        <w:ind w:left="360"/>
        <w:rPr>
          <w:rFonts w:ascii="Arial" w:hAnsi="Arial" w:cs="Arial"/>
          <w:sz w:val="8"/>
          <w:szCs w:val="8"/>
        </w:rPr>
      </w:pPr>
    </w:p>
    <w:p w:rsidRPr="00014781" w:rsidR="00014781" w:rsidP="00014781" w:rsidRDefault="00014781" w14:paraId="1E95F53F" w14:textId="77777777">
      <w:pPr>
        <w:ind w:left="360"/>
        <w:rPr>
          <w:rFonts w:ascii="Arial" w:hAnsi="Arial" w:cs="Arial"/>
          <w:sz w:val="18"/>
          <w:szCs w:val="18"/>
        </w:rPr>
      </w:pPr>
      <w:r w:rsidRPr="00014781">
        <w:rPr>
          <w:rFonts w:ascii="Arial" w:hAnsi="Arial" w:cs="Arial"/>
          <w:sz w:val="18"/>
          <w:szCs w:val="18"/>
        </w:rPr>
        <w:t xml:space="preserve">NOTE:  All costs rounded to the nearest whole cent. </w:t>
      </w:r>
    </w:p>
    <w:p w:rsidRPr="007354B7" w:rsidR="00014781" w:rsidP="00014781" w:rsidRDefault="00014781" w14:paraId="79EE3458" w14:textId="77777777">
      <w:pPr>
        <w:ind w:left="360"/>
        <w:rPr>
          <w:rFonts w:ascii="Arial" w:hAnsi="Arial" w:cs="Arial"/>
          <w:sz w:val="22"/>
          <w:szCs w:val="22"/>
        </w:rPr>
      </w:pPr>
    </w:p>
    <w:p w:rsidRPr="007354B7" w:rsidR="007E6E7F" w:rsidP="007E6E7F" w:rsidRDefault="007E6E7F" w14:paraId="425B1898" w14:textId="77777777">
      <w:pPr>
        <w:ind w:left="360"/>
        <w:rPr>
          <w:rFonts w:ascii="Arial" w:hAnsi="Arial" w:cs="Arial"/>
          <w:sz w:val="22"/>
          <w:szCs w:val="22"/>
        </w:rPr>
      </w:pPr>
      <w:r w:rsidRPr="007354B7">
        <w:rPr>
          <w:rFonts w:ascii="Arial" w:hAnsi="Arial" w:cs="Arial"/>
          <w:sz w:val="22"/>
          <w:szCs w:val="22"/>
          <w:u w:val="single"/>
        </w:rPr>
        <w:lastRenderedPageBreak/>
        <w:t>Respondent Record Retention:</w:t>
      </w:r>
      <w:r w:rsidRPr="007354B7">
        <w:rPr>
          <w:rFonts w:ascii="Arial" w:hAnsi="Arial" w:cs="Arial"/>
          <w:sz w:val="22"/>
          <w:szCs w:val="22"/>
        </w:rPr>
        <w:t xml:space="preserve">  In general, the TTB regulations </w:t>
      </w:r>
      <w:r w:rsidRPr="007354B7" w:rsidR="00F51159">
        <w:rPr>
          <w:rFonts w:ascii="Arial" w:hAnsi="Arial" w:cs="Arial"/>
          <w:sz w:val="22"/>
          <w:szCs w:val="22"/>
        </w:rPr>
        <w:t xml:space="preserve">at 27 CFR 24.300(d) require wine </w:t>
      </w:r>
      <w:r w:rsidRPr="007354B7">
        <w:rPr>
          <w:rFonts w:ascii="Arial" w:hAnsi="Arial" w:cs="Arial"/>
          <w:sz w:val="22"/>
          <w:szCs w:val="22"/>
        </w:rPr>
        <w:t>industry respondents to retain record copies of forms submitted to TTB for 3 years from the date of the record or the date of the last entry in the record, whichever is later</w:t>
      </w:r>
      <w:r w:rsidRPr="007354B7" w:rsidR="00F51159">
        <w:rPr>
          <w:rFonts w:ascii="Arial" w:hAnsi="Arial" w:cs="Arial"/>
          <w:sz w:val="22"/>
          <w:szCs w:val="22"/>
        </w:rPr>
        <w:t xml:space="preserve">. </w:t>
      </w:r>
    </w:p>
    <w:p w:rsidRPr="007354B7" w:rsidR="007E6E7F" w:rsidP="007E6E7F" w:rsidRDefault="007E6E7F" w14:paraId="3BCB462D" w14:textId="77777777">
      <w:pPr>
        <w:tabs>
          <w:tab w:val="left" w:pos="540"/>
        </w:tabs>
        <w:autoSpaceDE w:val="0"/>
        <w:autoSpaceDN w:val="0"/>
        <w:adjustRightInd w:val="0"/>
        <w:ind w:left="540" w:hanging="540"/>
        <w:rPr>
          <w:rFonts w:ascii="Arial" w:hAnsi="Arial" w:cs="Arial"/>
          <w:sz w:val="28"/>
          <w:szCs w:val="28"/>
        </w:rPr>
      </w:pPr>
    </w:p>
    <w:p w:rsidRPr="000D4A6E" w:rsidR="007E6E7F" w:rsidP="007E6E7F" w:rsidRDefault="007E6E7F" w14:paraId="005006B7" w14:textId="77777777">
      <w:pPr>
        <w:suppressAutoHyphens/>
        <w:autoSpaceDE w:val="0"/>
        <w:autoSpaceDN w:val="0"/>
        <w:adjustRightInd w:val="0"/>
        <w:rPr>
          <w:rFonts w:ascii="Arial" w:hAnsi="Arial" w:cs="Arial"/>
          <w:i/>
          <w:sz w:val="22"/>
          <w:szCs w:val="22"/>
        </w:rPr>
      </w:pPr>
      <w:r w:rsidRPr="000D4A6E">
        <w:rPr>
          <w:rFonts w:ascii="Arial" w:hAnsi="Arial" w:cs="Arial"/>
          <w:i/>
          <w:sz w:val="22"/>
          <w:szCs w:val="22"/>
        </w:rPr>
        <w:t xml:space="preserve">13.  What is the estimated annual cost burden to respondents or recordkeepers resulting from this information collection request (excluding the value of the hour burden in Question 12 above)? </w:t>
      </w:r>
    </w:p>
    <w:p w:rsidRPr="000D4A6E" w:rsidR="007E6E7F" w:rsidP="007E6E7F" w:rsidRDefault="007E6E7F" w14:paraId="191E5035" w14:textId="77777777">
      <w:pPr>
        <w:suppressAutoHyphens/>
        <w:autoSpaceDE w:val="0"/>
        <w:autoSpaceDN w:val="0"/>
        <w:adjustRightInd w:val="0"/>
        <w:ind w:left="480" w:hanging="480"/>
        <w:rPr>
          <w:rFonts w:ascii="Arial" w:hAnsi="Arial" w:cs="Arial"/>
          <w:sz w:val="22"/>
          <w:szCs w:val="22"/>
        </w:rPr>
      </w:pPr>
    </w:p>
    <w:p w:rsidRPr="000D4A6E" w:rsidR="007E6E7F" w:rsidP="007E6E7F" w:rsidRDefault="00F51159" w14:paraId="3AF7BDCC" w14:textId="77777777">
      <w:pPr>
        <w:suppressAutoHyphens/>
        <w:autoSpaceDE w:val="0"/>
        <w:autoSpaceDN w:val="0"/>
        <w:adjustRightInd w:val="0"/>
        <w:ind w:left="360"/>
        <w:rPr>
          <w:rFonts w:ascii="Arial" w:hAnsi="Arial" w:cs="Arial"/>
          <w:sz w:val="22"/>
          <w:szCs w:val="22"/>
        </w:rPr>
      </w:pPr>
      <w:r w:rsidRPr="000D4A6E">
        <w:rPr>
          <w:rFonts w:ascii="Arial" w:hAnsi="Arial" w:cs="Arial"/>
          <w:sz w:val="22"/>
          <w:szCs w:val="22"/>
        </w:rPr>
        <w:t xml:space="preserve">The wine premises operations </w:t>
      </w:r>
      <w:r w:rsidRPr="000D4A6E" w:rsidR="007354B7">
        <w:rPr>
          <w:rFonts w:ascii="Arial" w:hAnsi="Arial" w:cs="Arial"/>
          <w:sz w:val="22"/>
          <w:szCs w:val="22"/>
        </w:rPr>
        <w:t>data re</w:t>
      </w:r>
      <w:r w:rsidRPr="000D4A6E">
        <w:rPr>
          <w:rFonts w:ascii="Arial" w:hAnsi="Arial" w:cs="Arial"/>
          <w:sz w:val="22"/>
          <w:szCs w:val="22"/>
        </w:rPr>
        <w:t xml:space="preserve">ported to TTB under this </w:t>
      </w:r>
      <w:r w:rsidRPr="000D4A6E" w:rsidR="007354B7">
        <w:rPr>
          <w:rFonts w:ascii="Arial" w:hAnsi="Arial" w:cs="Arial"/>
          <w:sz w:val="22"/>
          <w:szCs w:val="22"/>
        </w:rPr>
        <w:t xml:space="preserve">information </w:t>
      </w:r>
      <w:r w:rsidRPr="000D4A6E">
        <w:rPr>
          <w:rFonts w:ascii="Arial" w:hAnsi="Arial" w:cs="Arial"/>
          <w:sz w:val="22"/>
          <w:szCs w:val="22"/>
        </w:rPr>
        <w:t xml:space="preserve">collection </w:t>
      </w:r>
      <w:r w:rsidRPr="000D4A6E" w:rsidR="007354B7">
        <w:rPr>
          <w:rFonts w:ascii="Arial" w:hAnsi="Arial" w:cs="Arial"/>
          <w:sz w:val="22"/>
          <w:szCs w:val="22"/>
        </w:rPr>
        <w:t xml:space="preserve">request </w:t>
      </w:r>
      <w:r w:rsidRPr="000D4A6E">
        <w:rPr>
          <w:rFonts w:ascii="Arial" w:hAnsi="Arial" w:cs="Arial"/>
          <w:sz w:val="22"/>
          <w:szCs w:val="22"/>
        </w:rPr>
        <w:t xml:space="preserve">consists of </w:t>
      </w:r>
      <w:r w:rsidRPr="000D4A6E" w:rsidR="007354B7">
        <w:rPr>
          <w:rFonts w:ascii="Arial" w:hAnsi="Arial" w:cs="Arial"/>
          <w:sz w:val="22"/>
          <w:szCs w:val="22"/>
        </w:rPr>
        <w:t xml:space="preserve">usual and customary purchase, production, gain, loss, removal, transfer, and other such information kept by respondents during the normal course of business to control and track their product production and inventory.  </w:t>
      </w:r>
      <w:r w:rsidRPr="000D4A6E">
        <w:rPr>
          <w:rFonts w:ascii="Arial" w:hAnsi="Arial" w:cs="Arial"/>
          <w:sz w:val="22"/>
          <w:szCs w:val="22"/>
        </w:rPr>
        <w:t xml:space="preserve">As such, TTB believes that there are no </w:t>
      </w:r>
      <w:r w:rsidRPr="000D4A6E" w:rsidR="007354B7">
        <w:rPr>
          <w:rFonts w:ascii="Arial" w:hAnsi="Arial" w:cs="Arial"/>
          <w:sz w:val="22"/>
          <w:szCs w:val="22"/>
        </w:rPr>
        <w:t xml:space="preserve">start-up, maintenance, or other </w:t>
      </w:r>
      <w:r w:rsidRPr="000D4A6E">
        <w:rPr>
          <w:rFonts w:ascii="Arial" w:hAnsi="Arial" w:cs="Arial"/>
          <w:sz w:val="22"/>
          <w:szCs w:val="22"/>
        </w:rPr>
        <w:t xml:space="preserve">annualized costs to respondents associated with this information collection. </w:t>
      </w:r>
    </w:p>
    <w:p w:rsidRPr="000D4A6E" w:rsidR="007354B7" w:rsidP="007E6E7F" w:rsidRDefault="007354B7" w14:paraId="4D391A53" w14:textId="77777777">
      <w:pPr>
        <w:suppressAutoHyphens/>
        <w:autoSpaceDE w:val="0"/>
        <w:autoSpaceDN w:val="0"/>
        <w:adjustRightInd w:val="0"/>
        <w:ind w:left="360"/>
        <w:rPr>
          <w:rFonts w:ascii="Arial" w:hAnsi="Arial" w:cs="Arial"/>
          <w:sz w:val="22"/>
          <w:szCs w:val="22"/>
        </w:rPr>
      </w:pPr>
    </w:p>
    <w:p w:rsidRPr="000D4A6E" w:rsidR="007E6E7F" w:rsidP="007E6E7F" w:rsidRDefault="007E6E7F" w14:paraId="22B3BEB1" w14:textId="551F2BA9">
      <w:pPr>
        <w:suppressAutoHyphens/>
        <w:autoSpaceDE w:val="0"/>
        <w:autoSpaceDN w:val="0"/>
        <w:adjustRightInd w:val="0"/>
        <w:ind w:left="360"/>
        <w:rPr>
          <w:rFonts w:ascii="Arial" w:hAnsi="Arial" w:cs="Arial"/>
          <w:sz w:val="22"/>
          <w:szCs w:val="22"/>
        </w:rPr>
      </w:pPr>
      <w:r w:rsidRPr="000D4A6E">
        <w:rPr>
          <w:rFonts w:ascii="Arial" w:hAnsi="Arial" w:cs="Arial"/>
          <w:sz w:val="22"/>
          <w:szCs w:val="22"/>
        </w:rPr>
        <w:t xml:space="preserve">As for respondent mailing costs, TTB estimates that of the </w:t>
      </w:r>
      <w:r w:rsidRPr="000D4A6E" w:rsidR="007354B7">
        <w:rPr>
          <w:rFonts w:ascii="Arial" w:hAnsi="Arial" w:cs="Arial"/>
          <w:sz w:val="22"/>
          <w:szCs w:val="22"/>
        </w:rPr>
        <w:t>52,870</w:t>
      </w:r>
      <w:r w:rsidRPr="000D4A6E">
        <w:rPr>
          <w:rFonts w:ascii="Arial" w:hAnsi="Arial" w:cs="Arial"/>
          <w:sz w:val="22"/>
          <w:szCs w:val="22"/>
        </w:rPr>
        <w:t xml:space="preserve"> annual responses to this collection, respondents submit </w:t>
      </w:r>
      <w:r w:rsidRPr="000D4A6E" w:rsidR="007354B7">
        <w:rPr>
          <w:rFonts w:ascii="Arial" w:hAnsi="Arial" w:cs="Arial"/>
          <w:sz w:val="22"/>
          <w:szCs w:val="22"/>
        </w:rPr>
        <w:t>34,365</w:t>
      </w:r>
      <w:r w:rsidRPr="000D4A6E">
        <w:rPr>
          <w:rFonts w:ascii="Arial" w:hAnsi="Arial" w:cs="Arial"/>
          <w:sz w:val="22"/>
          <w:szCs w:val="22"/>
        </w:rPr>
        <w:t xml:space="preserve"> (65 percent) by mail</w:t>
      </w:r>
      <w:r w:rsidRPr="000D4A6E" w:rsidR="007354B7">
        <w:rPr>
          <w:rFonts w:ascii="Arial" w:hAnsi="Arial" w:cs="Arial"/>
          <w:sz w:val="22"/>
          <w:szCs w:val="22"/>
        </w:rPr>
        <w:t xml:space="preserve">, while the remaining </w:t>
      </w:r>
      <w:r w:rsidRPr="000D4A6E" w:rsidR="000D4A6E">
        <w:rPr>
          <w:rFonts w:ascii="Arial" w:hAnsi="Arial" w:cs="Arial"/>
          <w:sz w:val="22"/>
          <w:szCs w:val="22"/>
        </w:rPr>
        <w:t>18,505 (35 percent) are submitted electronically via the Pay.gov website</w:t>
      </w:r>
      <w:r w:rsidRPr="000D4A6E">
        <w:rPr>
          <w:rFonts w:ascii="Arial" w:hAnsi="Arial" w:cs="Arial"/>
          <w:sz w:val="22"/>
          <w:szCs w:val="22"/>
        </w:rPr>
        <w:t xml:space="preserve">.  TTB estimates that each </w:t>
      </w:r>
      <w:r w:rsidR="007A2D12">
        <w:rPr>
          <w:rFonts w:ascii="Arial" w:hAnsi="Arial" w:cs="Arial"/>
          <w:sz w:val="22"/>
          <w:szCs w:val="22"/>
        </w:rPr>
        <w:t xml:space="preserve">of those 34,365 mail-in </w:t>
      </w:r>
      <w:r w:rsidRPr="000D4A6E">
        <w:rPr>
          <w:rFonts w:ascii="Arial" w:hAnsi="Arial" w:cs="Arial"/>
          <w:sz w:val="22"/>
          <w:szCs w:val="22"/>
        </w:rPr>
        <w:t>response</w:t>
      </w:r>
      <w:r w:rsidR="007A2D12">
        <w:rPr>
          <w:rFonts w:ascii="Arial" w:hAnsi="Arial" w:cs="Arial"/>
          <w:sz w:val="22"/>
          <w:szCs w:val="22"/>
        </w:rPr>
        <w:t>s</w:t>
      </w:r>
      <w:r w:rsidRPr="000D4A6E">
        <w:rPr>
          <w:rFonts w:ascii="Arial" w:hAnsi="Arial" w:cs="Arial"/>
          <w:sz w:val="22"/>
          <w:szCs w:val="22"/>
        </w:rPr>
        <w:t xml:space="preserve"> requires $1.</w:t>
      </w:r>
      <w:r w:rsidRPr="000D4A6E" w:rsidR="000D4A6E">
        <w:rPr>
          <w:rFonts w:ascii="Arial" w:hAnsi="Arial" w:cs="Arial"/>
          <w:sz w:val="22"/>
          <w:szCs w:val="22"/>
        </w:rPr>
        <w:t>0</w:t>
      </w:r>
      <w:r w:rsidRPr="000D4A6E">
        <w:rPr>
          <w:rFonts w:ascii="Arial" w:hAnsi="Arial" w:cs="Arial"/>
          <w:sz w:val="22"/>
          <w:szCs w:val="22"/>
        </w:rPr>
        <w:t>0 in postage</w:t>
      </w:r>
      <w:r w:rsidRPr="000D4A6E" w:rsidR="000D4A6E">
        <w:rPr>
          <w:rFonts w:ascii="Arial" w:hAnsi="Arial" w:cs="Arial"/>
          <w:sz w:val="22"/>
          <w:szCs w:val="22"/>
        </w:rPr>
        <w:t xml:space="preserve"> and </w:t>
      </w:r>
      <w:r w:rsidRPr="000D4A6E">
        <w:rPr>
          <w:rFonts w:ascii="Arial" w:hAnsi="Arial" w:cs="Arial"/>
          <w:sz w:val="22"/>
          <w:szCs w:val="22"/>
        </w:rPr>
        <w:t>mailing supplies</w:t>
      </w:r>
      <w:r w:rsidRPr="000D4A6E" w:rsidR="000D4A6E">
        <w:rPr>
          <w:rFonts w:ascii="Arial" w:hAnsi="Arial" w:cs="Arial"/>
          <w:sz w:val="22"/>
          <w:szCs w:val="22"/>
        </w:rPr>
        <w:t xml:space="preserve">, resulting in total annual </w:t>
      </w:r>
      <w:r w:rsidR="007A2D12">
        <w:rPr>
          <w:rFonts w:ascii="Arial" w:hAnsi="Arial" w:cs="Arial"/>
          <w:sz w:val="22"/>
          <w:szCs w:val="22"/>
        </w:rPr>
        <w:t xml:space="preserve">mailing </w:t>
      </w:r>
      <w:r w:rsidRPr="000D4A6E" w:rsidR="000D4A6E">
        <w:rPr>
          <w:rFonts w:ascii="Arial" w:hAnsi="Arial" w:cs="Arial"/>
          <w:sz w:val="22"/>
          <w:szCs w:val="22"/>
        </w:rPr>
        <w:t xml:space="preserve">costs of </w:t>
      </w:r>
      <w:r w:rsidR="007A2D12">
        <w:rPr>
          <w:rFonts w:ascii="Arial" w:hAnsi="Arial" w:cs="Arial"/>
          <w:sz w:val="22"/>
          <w:szCs w:val="22"/>
        </w:rPr>
        <w:t xml:space="preserve">$34,365 for this information collection.  Per-respondent costs for mailed responses are </w:t>
      </w:r>
      <w:r w:rsidRPr="000D4A6E" w:rsidR="000D4A6E">
        <w:rPr>
          <w:rFonts w:ascii="Arial" w:hAnsi="Arial" w:cs="Arial"/>
          <w:sz w:val="22"/>
          <w:szCs w:val="22"/>
        </w:rPr>
        <w:t>$1.0</w:t>
      </w:r>
      <w:r w:rsidRPr="000D4A6E">
        <w:rPr>
          <w:rFonts w:ascii="Arial" w:hAnsi="Arial" w:cs="Arial"/>
          <w:sz w:val="22"/>
          <w:szCs w:val="22"/>
        </w:rPr>
        <w:t>0 for a respondent filing once annually, $4.</w:t>
      </w:r>
      <w:r w:rsidRPr="000D4A6E" w:rsidR="000D4A6E">
        <w:rPr>
          <w:rFonts w:ascii="Arial" w:hAnsi="Arial" w:cs="Arial"/>
          <w:sz w:val="22"/>
          <w:szCs w:val="22"/>
        </w:rPr>
        <w:t>00</w:t>
      </w:r>
      <w:r w:rsidRPr="000D4A6E">
        <w:rPr>
          <w:rFonts w:ascii="Arial" w:hAnsi="Arial" w:cs="Arial"/>
          <w:sz w:val="22"/>
          <w:szCs w:val="22"/>
        </w:rPr>
        <w:t xml:space="preserve"> for a respondent filing quarterly, and $</w:t>
      </w:r>
      <w:r w:rsidRPr="000D4A6E" w:rsidR="000D4A6E">
        <w:rPr>
          <w:rFonts w:ascii="Arial" w:hAnsi="Arial" w:cs="Arial"/>
          <w:sz w:val="22"/>
          <w:szCs w:val="22"/>
        </w:rPr>
        <w:t>12.00</w:t>
      </w:r>
      <w:r w:rsidRPr="000D4A6E">
        <w:rPr>
          <w:rFonts w:ascii="Arial" w:hAnsi="Arial" w:cs="Arial"/>
          <w:sz w:val="22"/>
          <w:szCs w:val="22"/>
        </w:rPr>
        <w:t xml:space="preserve"> for a respondent filing </w:t>
      </w:r>
      <w:r w:rsidR="007A2D12">
        <w:rPr>
          <w:rFonts w:ascii="Arial" w:hAnsi="Arial" w:cs="Arial"/>
          <w:sz w:val="22"/>
          <w:szCs w:val="22"/>
        </w:rPr>
        <w:t xml:space="preserve">monthly. </w:t>
      </w:r>
    </w:p>
    <w:p w:rsidRPr="000D4A6E" w:rsidR="007E6E7F" w:rsidP="007E6E7F" w:rsidRDefault="007E6E7F" w14:paraId="64A74C4A" w14:textId="77777777">
      <w:pPr>
        <w:tabs>
          <w:tab w:val="left" w:pos="540"/>
        </w:tabs>
        <w:autoSpaceDE w:val="0"/>
        <w:autoSpaceDN w:val="0"/>
        <w:adjustRightInd w:val="0"/>
        <w:ind w:left="540" w:hanging="540"/>
        <w:rPr>
          <w:rFonts w:ascii="Arial" w:hAnsi="Arial" w:cs="Arial"/>
          <w:sz w:val="28"/>
          <w:szCs w:val="28"/>
        </w:rPr>
      </w:pPr>
    </w:p>
    <w:p w:rsidRPr="00E27C61" w:rsidR="007E6E7F" w:rsidP="007E6E7F" w:rsidRDefault="007E6E7F" w14:paraId="0126915F" w14:textId="77777777">
      <w:pPr>
        <w:suppressAutoHyphens/>
        <w:autoSpaceDE w:val="0"/>
        <w:autoSpaceDN w:val="0"/>
        <w:adjustRightInd w:val="0"/>
        <w:ind w:left="480" w:hanging="480"/>
        <w:rPr>
          <w:rFonts w:ascii="Arial" w:hAnsi="Arial" w:cs="Arial"/>
          <w:i/>
          <w:sz w:val="22"/>
          <w:szCs w:val="22"/>
        </w:rPr>
      </w:pPr>
      <w:r w:rsidRPr="00E27C61">
        <w:rPr>
          <w:rFonts w:ascii="Arial" w:hAnsi="Arial" w:cs="Arial"/>
          <w:i/>
          <w:sz w:val="22"/>
          <w:szCs w:val="22"/>
        </w:rPr>
        <w:t xml:space="preserve">14.  What is the annualized cost to the Federal Government? </w:t>
      </w:r>
    </w:p>
    <w:p w:rsidRPr="00E27C61" w:rsidR="007E6E7F" w:rsidP="007E6E7F" w:rsidRDefault="007E6E7F" w14:paraId="3FA39EDC" w14:textId="77777777">
      <w:pPr>
        <w:suppressAutoHyphens/>
        <w:autoSpaceDE w:val="0"/>
        <w:autoSpaceDN w:val="0"/>
        <w:adjustRightInd w:val="0"/>
        <w:ind w:left="480" w:hanging="480"/>
        <w:rPr>
          <w:rFonts w:ascii="Arial" w:hAnsi="Arial" w:cs="Arial"/>
          <w:sz w:val="22"/>
          <w:szCs w:val="22"/>
        </w:rPr>
      </w:pPr>
    </w:p>
    <w:p w:rsidRPr="00E27C61" w:rsidR="007E6E7F" w:rsidP="000D4A6E" w:rsidRDefault="007E6E7F" w14:paraId="0312445B" w14:textId="77777777">
      <w:pPr>
        <w:widowControl w:val="0"/>
        <w:autoSpaceDE w:val="0"/>
        <w:autoSpaceDN w:val="0"/>
        <w:adjustRightInd w:val="0"/>
        <w:ind w:left="360"/>
        <w:rPr>
          <w:rFonts w:ascii="Arial" w:hAnsi="Arial" w:cs="Arial"/>
          <w:sz w:val="22"/>
          <w:szCs w:val="22"/>
        </w:rPr>
      </w:pPr>
      <w:r w:rsidRPr="00E27C61">
        <w:rPr>
          <w:rFonts w:ascii="Arial" w:hAnsi="Arial" w:cs="Arial"/>
          <w:sz w:val="22"/>
          <w:szCs w:val="22"/>
        </w:rPr>
        <w:t xml:space="preserve">As noted above, </w:t>
      </w:r>
      <w:r w:rsidRPr="00E27C61" w:rsidR="000D4A6E">
        <w:rPr>
          <w:rFonts w:ascii="Arial" w:hAnsi="Arial" w:cs="Arial"/>
          <w:sz w:val="22"/>
          <w:szCs w:val="22"/>
        </w:rPr>
        <w:t xml:space="preserve">TTB estimates that of the 52,870 annual responses to this collection, respondents submit 34,365 (65 percent) </w:t>
      </w:r>
      <w:r w:rsidRPr="00E27C61" w:rsidR="00A21AA1">
        <w:rPr>
          <w:rFonts w:ascii="Arial" w:hAnsi="Arial" w:cs="Arial"/>
          <w:sz w:val="22"/>
          <w:szCs w:val="22"/>
        </w:rPr>
        <w:t xml:space="preserve">responses </w:t>
      </w:r>
      <w:r w:rsidRPr="00E27C61" w:rsidR="000D4A6E">
        <w:rPr>
          <w:rFonts w:ascii="Arial" w:hAnsi="Arial" w:cs="Arial"/>
          <w:sz w:val="22"/>
          <w:szCs w:val="22"/>
        </w:rPr>
        <w:t xml:space="preserve">by mail, </w:t>
      </w:r>
      <w:r w:rsidRPr="00E27C61" w:rsidR="00A21AA1">
        <w:rPr>
          <w:rFonts w:ascii="Arial" w:hAnsi="Arial" w:cs="Arial"/>
          <w:sz w:val="22"/>
          <w:szCs w:val="22"/>
        </w:rPr>
        <w:t xml:space="preserve">which TTB clerks must process.  Respondents submit the </w:t>
      </w:r>
      <w:r w:rsidRPr="00E27C61" w:rsidR="000D4A6E">
        <w:rPr>
          <w:rFonts w:ascii="Arial" w:hAnsi="Arial" w:cs="Arial"/>
          <w:sz w:val="22"/>
          <w:szCs w:val="22"/>
        </w:rPr>
        <w:t xml:space="preserve">remaining 18,505 (35 percent) </w:t>
      </w:r>
      <w:r w:rsidRPr="00E27C61" w:rsidR="00A21AA1">
        <w:rPr>
          <w:rFonts w:ascii="Arial" w:hAnsi="Arial" w:cs="Arial"/>
          <w:sz w:val="22"/>
          <w:szCs w:val="22"/>
        </w:rPr>
        <w:t xml:space="preserve">responses </w:t>
      </w:r>
      <w:r w:rsidRPr="00E27C61" w:rsidR="000D4A6E">
        <w:rPr>
          <w:rFonts w:ascii="Arial" w:hAnsi="Arial" w:cs="Arial"/>
          <w:sz w:val="22"/>
          <w:szCs w:val="22"/>
        </w:rPr>
        <w:t>via the Pay.gov website</w:t>
      </w:r>
      <w:r w:rsidRPr="00E27C61" w:rsidR="00A21AA1">
        <w:rPr>
          <w:rFonts w:ascii="Arial" w:hAnsi="Arial" w:cs="Arial"/>
          <w:sz w:val="22"/>
          <w:szCs w:val="22"/>
        </w:rPr>
        <w:t>, which automatically processes such responses</w:t>
      </w:r>
      <w:r w:rsidRPr="00E27C61" w:rsidR="000D4A6E">
        <w:rPr>
          <w:rFonts w:ascii="Arial" w:hAnsi="Arial" w:cs="Arial"/>
          <w:sz w:val="22"/>
          <w:szCs w:val="22"/>
        </w:rPr>
        <w:t xml:space="preserve">.  </w:t>
      </w:r>
      <w:r w:rsidRPr="00E27C61" w:rsidR="00A21AA1">
        <w:rPr>
          <w:rFonts w:ascii="Arial" w:hAnsi="Arial" w:cs="Arial"/>
          <w:sz w:val="22"/>
          <w:szCs w:val="22"/>
        </w:rPr>
        <w:t xml:space="preserve">TTB also estimates that it has $1.00 in overhead costs for each of the 52,870 total responses to this collection.  </w:t>
      </w:r>
      <w:r w:rsidRPr="00E27C61">
        <w:rPr>
          <w:rFonts w:ascii="Arial" w:hAnsi="Arial" w:cs="Arial"/>
          <w:sz w:val="22"/>
          <w:szCs w:val="22"/>
        </w:rPr>
        <w:t xml:space="preserve">As such, TTB estimates its annual costs for this information collection as follows: </w:t>
      </w:r>
    </w:p>
    <w:p w:rsidRPr="00E27C61" w:rsidR="007E6E7F" w:rsidP="007E6E7F" w:rsidRDefault="007E6E7F" w14:paraId="6ED4FB3F" w14:textId="77777777">
      <w:pPr>
        <w:widowControl w:val="0"/>
        <w:autoSpaceDE w:val="0"/>
        <w:autoSpaceDN w:val="0"/>
        <w:adjustRightInd w:val="0"/>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4" w:type="dxa"/>
          <w:right w:w="144" w:type="dxa"/>
        </w:tblCellMar>
        <w:tblLook w:val="04A0" w:firstRow="1" w:lastRow="0" w:firstColumn="1" w:lastColumn="0" w:noHBand="0" w:noVBand="1"/>
      </w:tblPr>
      <w:tblGrid>
        <w:gridCol w:w="1795"/>
        <w:gridCol w:w="1260"/>
        <w:gridCol w:w="1440"/>
        <w:gridCol w:w="1260"/>
        <w:gridCol w:w="1260"/>
        <w:gridCol w:w="1625"/>
      </w:tblGrid>
      <w:tr w:rsidRPr="00E27C61" w:rsidR="00E27C61" w:rsidTr="00DB27DB" w14:paraId="4CFBACD3" w14:textId="77777777">
        <w:trPr>
          <w:trHeight w:val="576"/>
          <w:jc w:val="center"/>
        </w:trPr>
        <w:tc>
          <w:tcPr>
            <w:tcW w:w="8640" w:type="dxa"/>
            <w:gridSpan w:val="6"/>
            <w:shd w:val="clear" w:color="auto" w:fill="auto"/>
            <w:vAlign w:val="center"/>
          </w:tcPr>
          <w:p w:rsidRPr="00E27C61" w:rsidR="007E6E7F" w:rsidP="00DB27DB" w:rsidRDefault="007E6E7F" w14:paraId="7BB795D3" w14:textId="77777777">
            <w:pPr>
              <w:widowControl w:val="0"/>
              <w:suppressAutoHyphens/>
              <w:autoSpaceDE w:val="0"/>
              <w:autoSpaceDN w:val="0"/>
              <w:adjustRightInd w:val="0"/>
              <w:jc w:val="center"/>
              <w:rPr>
                <w:rFonts w:ascii="Arial" w:hAnsi="Arial" w:eastAsia="Calibri" w:cs="Arial"/>
                <w:b/>
                <w:sz w:val="20"/>
                <w:szCs w:val="20"/>
              </w:rPr>
            </w:pPr>
            <w:r w:rsidRPr="00E27C61">
              <w:rPr>
                <w:rFonts w:ascii="Arial" w:hAnsi="Arial" w:eastAsia="Calibri" w:cs="Arial"/>
                <w:b/>
                <w:sz w:val="20"/>
                <w:szCs w:val="20"/>
              </w:rPr>
              <w:t>Costs for Personnel at TTB’s National Revenue Center in Cincinnati, Ohio</w:t>
            </w:r>
          </w:p>
        </w:tc>
      </w:tr>
      <w:tr w:rsidRPr="00E27C61" w:rsidR="00E27C61" w:rsidTr="00DB27DB" w14:paraId="5CD2AD0E" w14:textId="77777777">
        <w:trPr>
          <w:trHeight w:val="576"/>
          <w:jc w:val="center"/>
        </w:trPr>
        <w:tc>
          <w:tcPr>
            <w:tcW w:w="1795" w:type="dxa"/>
            <w:shd w:val="clear" w:color="auto" w:fill="auto"/>
            <w:vAlign w:val="center"/>
          </w:tcPr>
          <w:p w:rsidRPr="00E27C61" w:rsidR="007E6E7F" w:rsidP="00DB27DB" w:rsidRDefault="007E6E7F" w14:paraId="6E21E727"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 xml:space="preserve">Position </w:t>
            </w:r>
          </w:p>
        </w:tc>
        <w:tc>
          <w:tcPr>
            <w:tcW w:w="1260" w:type="dxa"/>
            <w:shd w:val="clear" w:color="auto" w:fill="auto"/>
            <w:tcMar>
              <w:left w:w="29" w:type="dxa"/>
              <w:right w:w="29" w:type="dxa"/>
            </w:tcMar>
            <w:vAlign w:val="center"/>
          </w:tcPr>
          <w:p w:rsidRPr="00E27C61" w:rsidR="007E6E7F" w:rsidP="00DB27DB" w:rsidRDefault="007E6E7F" w14:paraId="25ADAE78"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Fully-loaded Labor Rate/Hour</w:t>
            </w:r>
            <w:r w:rsidRPr="00E27C61">
              <w:rPr>
                <w:rFonts w:ascii="Arial" w:hAnsi="Arial" w:eastAsia="Calibri" w:cs="Arial"/>
                <w:sz w:val="20"/>
                <w:szCs w:val="20"/>
                <w:vertAlign w:val="superscript"/>
              </w:rPr>
              <w:footnoteReference w:id="5"/>
            </w:r>
          </w:p>
        </w:tc>
        <w:tc>
          <w:tcPr>
            <w:tcW w:w="1440" w:type="dxa"/>
            <w:shd w:val="clear" w:color="auto" w:fill="auto"/>
            <w:tcMar>
              <w:left w:w="29" w:type="dxa"/>
              <w:right w:w="29" w:type="dxa"/>
            </w:tcMar>
            <w:vAlign w:val="center"/>
          </w:tcPr>
          <w:p w:rsidRPr="00E27C61" w:rsidR="007E6E7F" w:rsidP="00DB27DB" w:rsidRDefault="007E6E7F" w14:paraId="130AE945"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Processing Time per Response</w:t>
            </w:r>
          </w:p>
        </w:tc>
        <w:tc>
          <w:tcPr>
            <w:tcW w:w="1260" w:type="dxa"/>
            <w:shd w:val="clear" w:color="auto" w:fill="auto"/>
            <w:tcMar>
              <w:left w:w="29" w:type="dxa"/>
              <w:right w:w="29" w:type="dxa"/>
            </w:tcMar>
            <w:vAlign w:val="center"/>
          </w:tcPr>
          <w:p w:rsidRPr="00E27C61" w:rsidR="007E6E7F" w:rsidP="00DB27DB" w:rsidRDefault="007E6E7F" w14:paraId="24A3ADF8"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Costs per Response*</w:t>
            </w:r>
          </w:p>
        </w:tc>
        <w:tc>
          <w:tcPr>
            <w:tcW w:w="1260" w:type="dxa"/>
            <w:shd w:val="clear" w:color="auto" w:fill="auto"/>
            <w:tcMar>
              <w:left w:w="29" w:type="dxa"/>
              <w:right w:w="29" w:type="dxa"/>
            </w:tcMar>
            <w:vAlign w:val="center"/>
          </w:tcPr>
          <w:p w:rsidRPr="00E27C61" w:rsidR="007E6E7F" w:rsidP="00DB27DB" w:rsidRDefault="007E6E7F" w14:paraId="3655DBE2"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Responses</w:t>
            </w:r>
          </w:p>
        </w:tc>
        <w:tc>
          <w:tcPr>
            <w:tcW w:w="1625" w:type="dxa"/>
            <w:shd w:val="clear" w:color="auto" w:fill="auto"/>
            <w:tcMar>
              <w:left w:w="29" w:type="dxa"/>
              <w:right w:w="29" w:type="dxa"/>
            </w:tcMar>
            <w:vAlign w:val="center"/>
          </w:tcPr>
          <w:p w:rsidRPr="00E27C61" w:rsidR="007E6E7F" w:rsidP="00DB27DB" w:rsidRDefault="007E6E7F" w14:paraId="16E1504F"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Total Costs</w:t>
            </w:r>
          </w:p>
        </w:tc>
      </w:tr>
      <w:tr w:rsidRPr="00E27C61" w:rsidR="00E27C61" w:rsidTr="00DB27DB" w14:paraId="08ADC7BA" w14:textId="77777777">
        <w:trPr>
          <w:trHeight w:val="576"/>
          <w:jc w:val="center"/>
        </w:trPr>
        <w:tc>
          <w:tcPr>
            <w:tcW w:w="1795" w:type="dxa"/>
            <w:shd w:val="clear" w:color="auto" w:fill="auto"/>
            <w:vAlign w:val="center"/>
          </w:tcPr>
          <w:p w:rsidRPr="00E27C61" w:rsidR="007E6E7F" w:rsidP="00DB27DB" w:rsidRDefault="007E6E7F" w14:paraId="1945E16F"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 xml:space="preserve">GS–5, Step 5, </w:t>
            </w:r>
          </w:p>
          <w:p w:rsidRPr="00E27C61" w:rsidR="007E6E7F" w:rsidP="00DB27DB" w:rsidRDefault="007E6E7F" w14:paraId="28E60FA8"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 xml:space="preserve">Clerk </w:t>
            </w:r>
          </w:p>
        </w:tc>
        <w:tc>
          <w:tcPr>
            <w:tcW w:w="1260" w:type="dxa"/>
            <w:shd w:val="clear" w:color="auto" w:fill="auto"/>
            <w:tcMar>
              <w:left w:w="29" w:type="dxa"/>
              <w:right w:w="29" w:type="dxa"/>
            </w:tcMar>
            <w:vAlign w:val="center"/>
          </w:tcPr>
          <w:p w:rsidRPr="00E27C61" w:rsidR="007E6E7F" w:rsidP="00DB27DB" w:rsidRDefault="007E6E7F" w14:paraId="1CF35994"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$32.13</w:t>
            </w:r>
          </w:p>
        </w:tc>
        <w:tc>
          <w:tcPr>
            <w:tcW w:w="1440" w:type="dxa"/>
            <w:shd w:val="clear" w:color="auto" w:fill="auto"/>
            <w:tcMar>
              <w:left w:w="29" w:type="dxa"/>
              <w:right w:w="29" w:type="dxa"/>
            </w:tcMar>
            <w:vAlign w:val="center"/>
          </w:tcPr>
          <w:p w:rsidRPr="00E27C61" w:rsidR="007E6E7F" w:rsidP="00DB27DB" w:rsidRDefault="007E6E7F" w14:paraId="3EC0496C"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0.1 hour</w:t>
            </w:r>
          </w:p>
        </w:tc>
        <w:tc>
          <w:tcPr>
            <w:tcW w:w="1260" w:type="dxa"/>
            <w:shd w:val="clear" w:color="auto" w:fill="auto"/>
            <w:tcMar>
              <w:left w:w="29" w:type="dxa"/>
              <w:right w:w="29" w:type="dxa"/>
            </w:tcMar>
            <w:vAlign w:val="center"/>
          </w:tcPr>
          <w:p w:rsidRPr="00E27C61" w:rsidR="007E6E7F" w:rsidP="00DB27DB" w:rsidRDefault="007E6E7F" w14:paraId="71CD9916"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$3.21</w:t>
            </w:r>
          </w:p>
        </w:tc>
        <w:tc>
          <w:tcPr>
            <w:tcW w:w="1260" w:type="dxa"/>
            <w:shd w:val="clear" w:color="auto" w:fill="auto"/>
            <w:tcMar>
              <w:left w:w="29" w:type="dxa"/>
              <w:right w:w="29" w:type="dxa"/>
            </w:tcMar>
            <w:vAlign w:val="center"/>
          </w:tcPr>
          <w:p w:rsidRPr="00E27C61" w:rsidR="007E6E7F" w:rsidP="00DB27DB" w:rsidRDefault="00A21AA1" w14:paraId="7776CD8F"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34,365</w:t>
            </w:r>
          </w:p>
        </w:tc>
        <w:tc>
          <w:tcPr>
            <w:tcW w:w="1625" w:type="dxa"/>
            <w:shd w:val="clear" w:color="auto" w:fill="auto"/>
            <w:tcMar>
              <w:left w:w="29" w:type="dxa"/>
              <w:right w:w="29" w:type="dxa"/>
            </w:tcMar>
            <w:vAlign w:val="center"/>
          </w:tcPr>
          <w:p w:rsidRPr="00E27C61" w:rsidR="007E6E7F" w:rsidP="00DB27DB" w:rsidRDefault="00A21AA1" w14:paraId="23B8EECC"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$110,311.65</w:t>
            </w:r>
          </w:p>
        </w:tc>
      </w:tr>
      <w:tr w:rsidRPr="00E27C61" w:rsidR="00E27C61" w:rsidTr="00DB27DB" w14:paraId="6C45B224" w14:textId="77777777">
        <w:trPr>
          <w:trHeight w:val="576"/>
          <w:jc w:val="center"/>
        </w:trPr>
        <w:tc>
          <w:tcPr>
            <w:tcW w:w="1795" w:type="dxa"/>
            <w:shd w:val="clear" w:color="auto" w:fill="auto"/>
            <w:vAlign w:val="center"/>
          </w:tcPr>
          <w:p w:rsidRPr="00E27C61" w:rsidR="007E6E7F" w:rsidP="00DB27DB" w:rsidRDefault="007E6E7F" w14:paraId="0DD3E637"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 xml:space="preserve">Overhead Costs </w:t>
            </w:r>
          </w:p>
        </w:tc>
        <w:tc>
          <w:tcPr>
            <w:tcW w:w="1260" w:type="dxa"/>
            <w:shd w:val="clear" w:color="auto" w:fill="auto"/>
            <w:vAlign w:val="center"/>
          </w:tcPr>
          <w:p w:rsidRPr="00E27C61" w:rsidR="007E6E7F" w:rsidP="00DB27DB" w:rsidRDefault="007E6E7F" w14:paraId="153395F0" w14:textId="2603E629">
            <w:pPr>
              <w:widowControl w:val="0"/>
              <w:suppressAutoHyphens/>
              <w:autoSpaceDE w:val="0"/>
              <w:autoSpaceDN w:val="0"/>
              <w:adjustRightInd w:val="0"/>
              <w:jc w:val="center"/>
              <w:rPr>
                <w:rFonts w:ascii="Arial" w:hAnsi="Arial" w:eastAsia="Calibri" w:cs="Arial"/>
                <w:sz w:val="20"/>
                <w:szCs w:val="20"/>
              </w:rPr>
            </w:pPr>
          </w:p>
        </w:tc>
        <w:tc>
          <w:tcPr>
            <w:tcW w:w="1440" w:type="dxa"/>
            <w:shd w:val="clear" w:color="auto" w:fill="auto"/>
            <w:vAlign w:val="center"/>
          </w:tcPr>
          <w:p w:rsidRPr="00E27C61" w:rsidR="007E6E7F" w:rsidP="00DB27DB" w:rsidRDefault="007E6E7F" w14:paraId="770BD660" w14:textId="77777777">
            <w:pPr>
              <w:widowControl w:val="0"/>
              <w:suppressAutoHyphens/>
              <w:autoSpaceDE w:val="0"/>
              <w:autoSpaceDN w:val="0"/>
              <w:adjustRightInd w:val="0"/>
              <w:jc w:val="center"/>
              <w:rPr>
                <w:rFonts w:ascii="Arial" w:hAnsi="Arial" w:eastAsia="Calibri" w:cs="Arial"/>
                <w:sz w:val="20"/>
                <w:szCs w:val="20"/>
              </w:rPr>
            </w:pPr>
          </w:p>
        </w:tc>
        <w:tc>
          <w:tcPr>
            <w:tcW w:w="1260" w:type="dxa"/>
            <w:shd w:val="clear" w:color="auto" w:fill="auto"/>
            <w:tcMar>
              <w:left w:w="29" w:type="dxa"/>
              <w:right w:w="29" w:type="dxa"/>
            </w:tcMar>
            <w:vAlign w:val="center"/>
          </w:tcPr>
          <w:p w:rsidRPr="00E27C61" w:rsidR="007E6E7F" w:rsidP="00DB27DB" w:rsidRDefault="007E6E7F" w14:paraId="1C2C17F0"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$1.00</w:t>
            </w:r>
          </w:p>
        </w:tc>
        <w:tc>
          <w:tcPr>
            <w:tcW w:w="1260" w:type="dxa"/>
            <w:shd w:val="clear" w:color="auto" w:fill="auto"/>
            <w:tcMar>
              <w:left w:w="29" w:type="dxa"/>
              <w:right w:w="29" w:type="dxa"/>
            </w:tcMar>
            <w:vAlign w:val="center"/>
          </w:tcPr>
          <w:p w:rsidRPr="00E27C61" w:rsidR="007E6E7F" w:rsidP="00A21AA1" w:rsidRDefault="00A21AA1" w14:paraId="629F1DCA"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52,870</w:t>
            </w:r>
          </w:p>
        </w:tc>
        <w:tc>
          <w:tcPr>
            <w:tcW w:w="1625" w:type="dxa"/>
            <w:shd w:val="clear" w:color="auto" w:fill="auto"/>
            <w:tcMar>
              <w:left w:w="29" w:type="dxa"/>
              <w:right w:w="29" w:type="dxa"/>
            </w:tcMar>
            <w:vAlign w:val="center"/>
          </w:tcPr>
          <w:p w:rsidRPr="00E27C61" w:rsidR="007E6E7F" w:rsidP="00A21AA1" w:rsidRDefault="00A21AA1" w14:paraId="0D46B2CA" w14:textId="77777777">
            <w:pPr>
              <w:widowControl w:val="0"/>
              <w:suppressAutoHyphens/>
              <w:autoSpaceDE w:val="0"/>
              <w:autoSpaceDN w:val="0"/>
              <w:adjustRightInd w:val="0"/>
              <w:jc w:val="center"/>
              <w:rPr>
                <w:rFonts w:ascii="Arial" w:hAnsi="Arial" w:eastAsia="Calibri" w:cs="Arial"/>
                <w:sz w:val="20"/>
                <w:szCs w:val="20"/>
              </w:rPr>
            </w:pPr>
            <w:r w:rsidRPr="00E27C61">
              <w:rPr>
                <w:rFonts w:ascii="Arial" w:hAnsi="Arial" w:eastAsia="Calibri" w:cs="Arial"/>
                <w:sz w:val="20"/>
                <w:szCs w:val="20"/>
              </w:rPr>
              <w:t>$52,870</w:t>
            </w:r>
          </w:p>
        </w:tc>
      </w:tr>
      <w:tr w:rsidRPr="00E27C61" w:rsidR="00E27C61" w:rsidTr="00DB27DB" w14:paraId="4ACB5FFC" w14:textId="77777777">
        <w:trPr>
          <w:trHeight w:val="576"/>
          <w:jc w:val="center"/>
        </w:trPr>
        <w:tc>
          <w:tcPr>
            <w:tcW w:w="1795" w:type="dxa"/>
            <w:shd w:val="clear" w:color="auto" w:fill="auto"/>
            <w:vAlign w:val="center"/>
          </w:tcPr>
          <w:p w:rsidRPr="00E27C61" w:rsidR="007E6E7F" w:rsidP="00DB27DB" w:rsidRDefault="007E6E7F" w14:paraId="48D00936" w14:textId="77777777">
            <w:pPr>
              <w:widowControl w:val="0"/>
              <w:suppressAutoHyphens/>
              <w:autoSpaceDE w:val="0"/>
              <w:autoSpaceDN w:val="0"/>
              <w:adjustRightInd w:val="0"/>
              <w:jc w:val="center"/>
              <w:rPr>
                <w:rFonts w:ascii="Arial" w:hAnsi="Arial" w:eastAsia="Calibri" w:cs="Arial"/>
                <w:b/>
                <w:sz w:val="20"/>
                <w:szCs w:val="20"/>
              </w:rPr>
            </w:pPr>
            <w:r w:rsidRPr="00E27C61">
              <w:rPr>
                <w:rFonts w:ascii="Arial" w:hAnsi="Arial" w:eastAsia="Calibri" w:cs="Arial"/>
                <w:b/>
                <w:sz w:val="20"/>
                <w:szCs w:val="20"/>
              </w:rPr>
              <w:t>TOTAL COSTS</w:t>
            </w:r>
          </w:p>
        </w:tc>
        <w:tc>
          <w:tcPr>
            <w:tcW w:w="1260" w:type="dxa"/>
            <w:shd w:val="clear" w:color="auto" w:fill="auto"/>
            <w:vAlign w:val="center"/>
          </w:tcPr>
          <w:p w:rsidRPr="00E27C61" w:rsidR="007E6E7F" w:rsidP="00DB27DB" w:rsidRDefault="007E6E7F" w14:paraId="6FFE3973" w14:textId="77777777">
            <w:pPr>
              <w:widowControl w:val="0"/>
              <w:suppressAutoHyphens/>
              <w:autoSpaceDE w:val="0"/>
              <w:autoSpaceDN w:val="0"/>
              <w:adjustRightInd w:val="0"/>
              <w:jc w:val="center"/>
              <w:rPr>
                <w:rFonts w:ascii="Arial" w:hAnsi="Arial" w:eastAsia="Calibri" w:cs="Arial"/>
                <w:b/>
                <w:sz w:val="20"/>
                <w:szCs w:val="20"/>
              </w:rPr>
            </w:pPr>
          </w:p>
        </w:tc>
        <w:tc>
          <w:tcPr>
            <w:tcW w:w="1440" w:type="dxa"/>
            <w:shd w:val="clear" w:color="auto" w:fill="auto"/>
            <w:vAlign w:val="center"/>
          </w:tcPr>
          <w:p w:rsidRPr="00E27C61" w:rsidR="007E6E7F" w:rsidP="00DB27DB" w:rsidRDefault="007E6E7F" w14:paraId="06EEF302" w14:textId="77777777">
            <w:pPr>
              <w:widowControl w:val="0"/>
              <w:suppressAutoHyphens/>
              <w:autoSpaceDE w:val="0"/>
              <w:autoSpaceDN w:val="0"/>
              <w:adjustRightInd w:val="0"/>
              <w:jc w:val="center"/>
              <w:rPr>
                <w:rFonts w:ascii="Arial" w:hAnsi="Arial" w:eastAsia="Calibri" w:cs="Arial"/>
                <w:b/>
                <w:sz w:val="20"/>
                <w:szCs w:val="20"/>
              </w:rPr>
            </w:pPr>
          </w:p>
        </w:tc>
        <w:tc>
          <w:tcPr>
            <w:tcW w:w="1260" w:type="dxa"/>
            <w:shd w:val="clear" w:color="auto" w:fill="auto"/>
            <w:tcMar>
              <w:left w:w="29" w:type="dxa"/>
              <w:right w:w="29" w:type="dxa"/>
            </w:tcMar>
            <w:vAlign w:val="center"/>
          </w:tcPr>
          <w:p w:rsidRPr="00E27C61" w:rsidR="007E6E7F" w:rsidP="00E27C61" w:rsidRDefault="00E27C61" w14:paraId="17ED3B84" w14:textId="77777777">
            <w:pPr>
              <w:widowControl w:val="0"/>
              <w:suppressAutoHyphens/>
              <w:autoSpaceDE w:val="0"/>
              <w:autoSpaceDN w:val="0"/>
              <w:adjustRightInd w:val="0"/>
              <w:jc w:val="center"/>
              <w:rPr>
                <w:rFonts w:ascii="Arial" w:hAnsi="Arial" w:eastAsia="Calibri" w:cs="Arial"/>
                <w:b/>
                <w:sz w:val="18"/>
                <w:szCs w:val="18"/>
              </w:rPr>
            </w:pPr>
            <w:r w:rsidRPr="00E27C61">
              <w:rPr>
                <w:rFonts w:ascii="Arial" w:hAnsi="Arial" w:eastAsia="Calibri" w:cs="Arial"/>
                <w:b/>
                <w:sz w:val="18"/>
                <w:szCs w:val="18"/>
              </w:rPr>
              <w:t>($3.08647)</w:t>
            </w:r>
          </w:p>
        </w:tc>
        <w:tc>
          <w:tcPr>
            <w:tcW w:w="1260" w:type="dxa"/>
            <w:shd w:val="clear" w:color="auto" w:fill="auto"/>
            <w:tcMar>
              <w:left w:w="29" w:type="dxa"/>
              <w:right w:w="29" w:type="dxa"/>
            </w:tcMar>
            <w:vAlign w:val="center"/>
          </w:tcPr>
          <w:p w:rsidRPr="00E27C61" w:rsidR="007E6E7F" w:rsidP="00DB27DB" w:rsidRDefault="00E27C61" w14:paraId="0310FBBE" w14:textId="77777777">
            <w:pPr>
              <w:widowControl w:val="0"/>
              <w:suppressAutoHyphens/>
              <w:autoSpaceDE w:val="0"/>
              <w:autoSpaceDN w:val="0"/>
              <w:adjustRightInd w:val="0"/>
              <w:jc w:val="center"/>
              <w:rPr>
                <w:rFonts w:ascii="Arial" w:hAnsi="Arial" w:eastAsia="Calibri" w:cs="Arial"/>
                <w:b/>
                <w:sz w:val="20"/>
                <w:szCs w:val="20"/>
              </w:rPr>
            </w:pPr>
            <w:r w:rsidRPr="00E27C61">
              <w:rPr>
                <w:rFonts w:ascii="Arial" w:hAnsi="Arial" w:eastAsia="Calibri" w:cs="Arial"/>
                <w:b/>
                <w:sz w:val="20"/>
                <w:szCs w:val="20"/>
              </w:rPr>
              <w:t>52,870</w:t>
            </w:r>
          </w:p>
        </w:tc>
        <w:tc>
          <w:tcPr>
            <w:tcW w:w="1625" w:type="dxa"/>
            <w:shd w:val="clear" w:color="auto" w:fill="auto"/>
            <w:tcMar>
              <w:left w:w="29" w:type="dxa"/>
              <w:right w:w="29" w:type="dxa"/>
            </w:tcMar>
            <w:vAlign w:val="center"/>
          </w:tcPr>
          <w:p w:rsidRPr="00E27C61" w:rsidR="007E6E7F" w:rsidP="00DB27DB" w:rsidRDefault="00E27C61" w14:paraId="3D9651C2" w14:textId="77777777">
            <w:pPr>
              <w:widowControl w:val="0"/>
              <w:suppressAutoHyphens/>
              <w:autoSpaceDE w:val="0"/>
              <w:autoSpaceDN w:val="0"/>
              <w:adjustRightInd w:val="0"/>
              <w:jc w:val="center"/>
              <w:rPr>
                <w:rFonts w:ascii="Arial" w:hAnsi="Arial" w:eastAsia="Calibri" w:cs="Arial"/>
                <w:b/>
                <w:sz w:val="20"/>
                <w:szCs w:val="20"/>
              </w:rPr>
            </w:pPr>
            <w:r w:rsidRPr="00E27C61">
              <w:rPr>
                <w:rFonts w:ascii="Arial" w:hAnsi="Arial" w:eastAsia="Calibri" w:cs="Arial"/>
                <w:b/>
                <w:sz w:val="20"/>
                <w:szCs w:val="20"/>
              </w:rPr>
              <w:t>$163,181.65</w:t>
            </w:r>
          </w:p>
        </w:tc>
      </w:tr>
    </w:tbl>
    <w:p w:rsidRPr="00E27C61" w:rsidR="007E6E7F" w:rsidP="00E27C61" w:rsidRDefault="007E6E7F" w14:paraId="772E3596" w14:textId="77777777">
      <w:pPr>
        <w:widowControl w:val="0"/>
        <w:autoSpaceDE w:val="0"/>
        <w:autoSpaceDN w:val="0"/>
        <w:adjustRightInd w:val="0"/>
        <w:ind w:left="360"/>
        <w:rPr>
          <w:rFonts w:ascii="Arial" w:hAnsi="Arial" w:cs="Arial"/>
          <w:sz w:val="22"/>
          <w:szCs w:val="22"/>
        </w:rPr>
      </w:pPr>
    </w:p>
    <w:p w:rsidRPr="00E27C61" w:rsidR="00E27C61" w:rsidP="00E27C61" w:rsidRDefault="007E6E7F" w14:paraId="42CAC30A" w14:textId="77777777">
      <w:pPr>
        <w:ind w:left="360"/>
        <w:rPr>
          <w:rFonts w:ascii="Arial" w:hAnsi="Arial" w:cs="Arial"/>
          <w:sz w:val="22"/>
          <w:szCs w:val="22"/>
        </w:rPr>
      </w:pPr>
      <w:r w:rsidRPr="00E27C61">
        <w:rPr>
          <w:rFonts w:ascii="Arial" w:hAnsi="Arial" w:cs="Arial"/>
          <w:sz w:val="22"/>
          <w:szCs w:val="22"/>
        </w:rPr>
        <w:lastRenderedPageBreak/>
        <w:t xml:space="preserve">Printing and distribution costs to </w:t>
      </w:r>
      <w:r w:rsidR="00E27C61">
        <w:rPr>
          <w:rFonts w:ascii="Arial" w:hAnsi="Arial" w:cs="Arial"/>
          <w:sz w:val="22"/>
          <w:szCs w:val="22"/>
        </w:rPr>
        <w:t xml:space="preserve">TTB </w:t>
      </w:r>
      <w:r w:rsidRPr="00E27C61">
        <w:rPr>
          <w:rFonts w:ascii="Arial" w:hAnsi="Arial" w:cs="Arial"/>
          <w:sz w:val="22"/>
          <w:szCs w:val="22"/>
        </w:rPr>
        <w:t xml:space="preserve">have decreased to $0.00 in due to the availability of </w:t>
      </w:r>
      <w:r w:rsidR="00E27C61">
        <w:rPr>
          <w:rFonts w:ascii="Arial" w:hAnsi="Arial" w:cs="Arial"/>
          <w:sz w:val="22"/>
          <w:szCs w:val="22"/>
        </w:rPr>
        <w:t xml:space="preserve">TTB F 5120.17 on the TTB website and on Pay.gov; see </w:t>
      </w:r>
      <w:r w:rsidRPr="00E27C61" w:rsidR="00E27C61">
        <w:rPr>
          <w:rFonts w:ascii="Arial" w:hAnsi="Arial" w:cs="Arial"/>
          <w:i/>
          <w:sz w:val="22"/>
          <w:szCs w:val="22"/>
        </w:rPr>
        <w:t>https://www.ttb.gov/forms</w:t>
      </w:r>
      <w:r w:rsidR="00E27C61">
        <w:rPr>
          <w:rFonts w:ascii="Arial" w:hAnsi="Arial" w:cs="Arial"/>
          <w:sz w:val="22"/>
          <w:szCs w:val="22"/>
        </w:rPr>
        <w:t xml:space="preserve"> and </w:t>
      </w:r>
      <w:r w:rsidRPr="00E27C61" w:rsidR="00E27C61">
        <w:rPr>
          <w:rFonts w:ascii="Arial" w:hAnsi="Arial" w:cs="Arial"/>
          <w:i/>
          <w:sz w:val="22"/>
          <w:szCs w:val="22"/>
        </w:rPr>
        <w:t>https://www.pay.gov/public/login</w:t>
      </w:r>
      <w:r w:rsidRPr="00E27C61" w:rsidR="00E27C61">
        <w:rPr>
          <w:rFonts w:ascii="Arial" w:hAnsi="Arial" w:cs="Arial"/>
          <w:sz w:val="22"/>
          <w:szCs w:val="22"/>
        </w:rPr>
        <w:t xml:space="preserve">. </w:t>
      </w:r>
    </w:p>
    <w:p w:rsidRPr="00EB71DD" w:rsidR="00F51BB5" w:rsidP="0023786D" w:rsidRDefault="00F51BB5" w14:paraId="77A920BC" w14:textId="77777777">
      <w:pPr>
        <w:rPr>
          <w:rFonts w:ascii="Arial" w:hAnsi="Arial" w:cs="Arial"/>
          <w:sz w:val="36"/>
          <w:szCs w:val="36"/>
        </w:rPr>
      </w:pPr>
    </w:p>
    <w:p w:rsidRPr="00EB71DD" w:rsidR="00AF1157" w:rsidP="0023786D" w:rsidRDefault="00AF060A" w14:paraId="2E59BECA" w14:textId="77777777">
      <w:pPr>
        <w:suppressAutoHyphens/>
        <w:rPr>
          <w:rFonts w:ascii="Arial" w:hAnsi="Arial" w:cs="Arial"/>
          <w:i/>
          <w:sz w:val="22"/>
          <w:szCs w:val="22"/>
        </w:rPr>
      </w:pPr>
      <w:r w:rsidRPr="00EB71DD">
        <w:rPr>
          <w:rFonts w:ascii="Arial" w:hAnsi="Arial" w:cs="Arial"/>
          <w:i/>
          <w:sz w:val="22"/>
          <w:szCs w:val="22"/>
        </w:rPr>
        <w:t xml:space="preserve">15.  </w:t>
      </w:r>
      <w:r w:rsidRPr="00EB71DD" w:rsidR="00AF1157">
        <w:rPr>
          <w:rFonts w:ascii="Arial" w:hAnsi="Arial" w:cs="Arial"/>
          <w:i/>
          <w:sz w:val="22"/>
          <w:szCs w:val="22"/>
        </w:rPr>
        <w:t>What is the reason for any program changes or adjustments reported?</w:t>
      </w:r>
      <w:r w:rsidRPr="00EB71DD">
        <w:rPr>
          <w:rFonts w:ascii="Arial" w:hAnsi="Arial" w:cs="Arial"/>
          <w:i/>
          <w:sz w:val="22"/>
          <w:szCs w:val="22"/>
        </w:rPr>
        <w:t xml:space="preserve"> </w:t>
      </w:r>
    </w:p>
    <w:p w:rsidRPr="00EB71DD" w:rsidR="00AF1157" w:rsidP="0023786D" w:rsidRDefault="00AF1157" w14:paraId="43F913D7" w14:textId="77777777">
      <w:pPr>
        <w:suppressAutoHyphens/>
        <w:rPr>
          <w:rFonts w:ascii="Arial" w:hAnsi="Arial" w:cs="Arial"/>
          <w:sz w:val="22"/>
          <w:szCs w:val="22"/>
        </w:rPr>
      </w:pPr>
    </w:p>
    <w:p w:rsidRPr="00EB71DD" w:rsidR="00E27C61" w:rsidP="0023786D" w:rsidRDefault="00E27C61" w14:paraId="457AEB62" w14:textId="77777777">
      <w:pPr>
        <w:ind w:left="360"/>
        <w:rPr>
          <w:rFonts w:ascii="Arial" w:hAnsi="Arial" w:cs="Arial"/>
          <w:sz w:val="22"/>
          <w:szCs w:val="22"/>
        </w:rPr>
      </w:pPr>
      <w:r w:rsidRPr="00EB71DD">
        <w:rPr>
          <w:rFonts w:ascii="Arial" w:hAnsi="Arial" w:cs="Arial"/>
          <w:sz w:val="22"/>
          <w:szCs w:val="22"/>
        </w:rPr>
        <w:t>There are no program changes associated with this information collection at this time.  As for adjustments, due to changes in agency estimates, TTB is increasing the estimated number of annual respondents, responses, and burden hours associated with this collection, from 6,043 respondents to 12,200, from 31,555 responses to 52,870, and from 34,710 hours to 58,157.  The increase in the number of respondents</w:t>
      </w:r>
      <w:r w:rsidRPr="00EB71DD" w:rsidR="00EB71DD">
        <w:rPr>
          <w:rFonts w:ascii="Arial" w:hAnsi="Arial" w:cs="Arial"/>
          <w:sz w:val="22"/>
          <w:szCs w:val="22"/>
        </w:rPr>
        <w:t xml:space="preserve">, responses, and burden hours associated with this </w:t>
      </w:r>
      <w:r w:rsidRPr="00EB71DD">
        <w:rPr>
          <w:rFonts w:ascii="Arial" w:hAnsi="Arial" w:cs="Arial"/>
          <w:sz w:val="22"/>
          <w:szCs w:val="22"/>
        </w:rPr>
        <w:t xml:space="preserve">information collection is due to continued growth in the number of small </w:t>
      </w:r>
      <w:r w:rsidRPr="00EB71DD" w:rsidR="00EB71DD">
        <w:rPr>
          <w:rFonts w:ascii="Arial" w:hAnsi="Arial" w:cs="Arial"/>
          <w:sz w:val="22"/>
          <w:szCs w:val="22"/>
        </w:rPr>
        <w:t xml:space="preserve">winery premises </w:t>
      </w:r>
      <w:r w:rsidRPr="00EB71DD">
        <w:rPr>
          <w:rFonts w:ascii="Arial" w:hAnsi="Arial" w:cs="Arial"/>
          <w:sz w:val="22"/>
          <w:szCs w:val="22"/>
        </w:rPr>
        <w:t>in the United States.</w:t>
      </w:r>
      <w:r w:rsidRPr="00EB71DD" w:rsidR="00EB71DD">
        <w:rPr>
          <w:rFonts w:ascii="Arial" w:hAnsi="Arial" w:cs="Arial"/>
          <w:sz w:val="22"/>
          <w:szCs w:val="22"/>
        </w:rPr>
        <w:t xml:space="preserve">  In addition, due to changes in agency estimates, TTB is decreasing the average number of annual responses submitted per respondent, from approximately 5.22 per respondent to 4.33.  The decrease results from the increasing number of respondents filing wine operations reports or an annual or quarterly basis, as authorized by the TTB regulations at 27 CFR 24.300(g)(2). </w:t>
      </w:r>
    </w:p>
    <w:p w:rsidRPr="00EB71DD" w:rsidR="00E226BB" w:rsidP="0023786D" w:rsidRDefault="00E226BB" w14:paraId="17A4E4FF" w14:textId="77777777">
      <w:pPr>
        <w:rPr>
          <w:rFonts w:ascii="Arial" w:hAnsi="Arial" w:cs="Arial"/>
          <w:sz w:val="36"/>
          <w:szCs w:val="36"/>
        </w:rPr>
      </w:pPr>
    </w:p>
    <w:p w:rsidRPr="00EB71DD" w:rsidR="00AF1157" w:rsidP="0023786D" w:rsidRDefault="00AF060A" w14:paraId="2BF1CEAC" w14:textId="77777777">
      <w:pPr>
        <w:suppressAutoHyphens/>
        <w:rPr>
          <w:rFonts w:ascii="Arial" w:hAnsi="Arial" w:cs="Arial"/>
          <w:i/>
          <w:sz w:val="22"/>
          <w:szCs w:val="22"/>
        </w:rPr>
      </w:pPr>
      <w:r w:rsidRPr="00EB71DD">
        <w:rPr>
          <w:rFonts w:ascii="Arial" w:hAnsi="Arial" w:cs="Arial"/>
          <w:i/>
          <w:sz w:val="22"/>
          <w:szCs w:val="22"/>
        </w:rPr>
        <w:t xml:space="preserve">16.  </w:t>
      </w:r>
      <w:r w:rsidRPr="00EB71DD" w:rsidR="00AF1157">
        <w:rPr>
          <w:rFonts w:ascii="Arial" w:hAnsi="Arial" w:cs="Arial"/>
          <w:i/>
          <w:sz w:val="22"/>
          <w:szCs w:val="22"/>
        </w:rPr>
        <w:t>Outline plans for tabulation and publication for collections of information whose results will be published.</w:t>
      </w:r>
      <w:r w:rsidRPr="00EB71DD">
        <w:rPr>
          <w:rFonts w:ascii="Arial" w:hAnsi="Arial" w:cs="Arial"/>
          <w:i/>
          <w:sz w:val="22"/>
          <w:szCs w:val="22"/>
        </w:rPr>
        <w:t xml:space="preserve"> </w:t>
      </w:r>
    </w:p>
    <w:p w:rsidRPr="007A5D4B" w:rsidR="00AF1157" w:rsidP="0023786D" w:rsidRDefault="00AF1157" w14:paraId="7692739F" w14:textId="77777777">
      <w:pPr>
        <w:suppressAutoHyphens/>
        <w:ind w:left="480" w:hanging="480"/>
        <w:rPr>
          <w:rFonts w:ascii="Arial" w:hAnsi="Arial" w:cs="Arial"/>
          <w:sz w:val="22"/>
          <w:szCs w:val="22"/>
        </w:rPr>
      </w:pPr>
    </w:p>
    <w:p w:rsidR="0001127D" w:rsidP="0023786D" w:rsidRDefault="0001127D" w14:paraId="6B6AA47A" w14:textId="77777777">
      <w:pPr>
        <w:suppressAutoHyphens/>
        <w:ind w:left="360"/>
        <w:rPr>
          <w:rFonts w:ascii="Arial" w:hAnsi="Arial" w:cs="Arial"/>
          <w:sz w:val="22"/>
          <w:szCs w:val="22"/>
        </w:rPr>
      </w:pPr>
      <w:r>
        <w:rPr>
          <w:rFonts w:ascii="Arial" w:hAnsi="Arial" w:cs="Arial"/>
          <w:sz w:val="22"/>
          <w:szCs w:val="22"/>
        </w:rPr>
        <w:t>Based on the wine premises operations</w:t>
      </w:r>
      <w:r w:rsidR="00402540">
        <w:rPr>
          <w:rFonts w:ascii="Arial" w:hAnsi="Arial" w:cs="Arial"/>
          <w:sz w:val="22"/>
          <w:szCs w:val="22"/>
        </w:rPr>
        <w:t xml:space="preserve"> reports </w:t>
      </w:r>
      <w:r>
        <w:rPr>
          <w:rFonts w:ascii="Arial" w:hAnsi="Arial" w:cs="Arial"/>
          <w:sz w:val="22"/>
          <w:szCs w:val="22"/>
        </w:rPr>
        <w:t>required under this collection, TTB publishes monthly and yearly Wine Statistical Releases on its website for use by</w:t>
      </w:r>
      <w:r w:rsidRPr="0001127D">
        <w:rPr>
          <w:rFonts w:ascii="Arial" w:hAnsi="Arial" w:cs="Arial"/>
          <w:sz w:val="22"/>
          <w:szCs w:val="22"/>
        </w:rPr>
        <w:t xml:space="preserve"> industry members, Federal and State government agencies, educations institutions, medi</w:t>
      </w:r>
      <w:r w:rsidR="00EB71DD">
        <w:rPr>
          <w:rFonts w:ascii="Arial" w:hAnsi="Arial" w:cs="Arial"/>
          <w:sz w:val="22"/>
          <w:szCs w:val="22"/>
        </w:rPr>
        <w:t xml:space="preserve">a outlets, and </w:t>
      </w:r>
      <w:r w:rsidRPr="0001127D">
        <w:rPr>
          <w:rFonts w:ascii="Arial" w:hAnsi="Arial" w:cs="Arial"/>
          <w:sz w:val="22"/>
          <w:szCs w:val="22"/>
        </w:rPr>
        <w:t>the public.</w:t>
      </w:r>
      <w:r>
        <w:rPr>
          <w:rFonts w:ascii="Arial" w:hAnsi="Arial" w:cs="Arial"/>
          <w:sz w:val="22"/>
          <w:szCs w:val="22"/>
        </w:rPr>
        <w:t xml:space="preserve">  TTB generalizes the collected data, and no wine premises or proprietors are identifiable from the published information.  See </w:t>
      </w:r>
      <w:r w:rsidRPr="00402540">
        <w:rPr>
          <w:rFonts w:ascii="Arial" w:hAnsi="Arial" w:cs="Arial"/>
          <w:i/>
          <w:sz w:val="22"/>
          <w:szCs w:val="22"/>
        </w:rPr>
        <w:t>https://www.ttb.gov/wine/wine-statistics</w:t>
      </w:r>
      <w:r>
        <w:rPr>
          <w:rFonts w:ascii="Arial" w:hAnsi="Arial" w:cs="Arial"/>
          <w:sz w:val="22"/>
          <w:szCs w:val="22"/>
        </w:rPr>
        <w:t xml:space="preserve">. </w:t>
      </w:r>
    </w:p>
    <w:p w:rsidRPr="0066194E" w:rsidR="00AF1157" w:rsidP="0023786D" w:rsidRDefault="00AF1157" w14:paraId="7534D720" w14:textId="77777777">
      <w:pPr>
        <w:suppressAutoHyphens/>
        <w:rPr>
          <w:rFonts w:ascii="Arial" w:hAnsi="Arial" w:cs="Arial"/>
          <w:sz w:val="36"/>
          <w:szCs w:val="36"/>
        </w:rPr>
      </w:pPr>
    </w:p>
    <w:p w:rsidRPr="0077626A" w:rsidR="00AF1157" w:rsidP="0023786D" w:rsidRDefault="00AF060A" w14:paraId="072DDBBE" w14:textId="77777777">
      <w:pPr>
        <w:suppressAutoHyphens/>
        <w:rPr>
          <w:rFonts w:ascii="Arial" w:hAnsi="Arial" w:cs="Arial"/>
          <w:i/>
          <w:sz w:val="22"/>
          <w:szCs w:val="22"/>
        </w:rPr>
      </w:pPr>
      <w:r w:rsidRPr="0077626A">
        <w:rPr>
          <w:rFonts w:ascii="Arial" w:hAnsi="Arial" w:cs="Arial"/>
          <w:i/>
          <w:sz w:val="22"/>
          <w:szCs w:val="22"/>
        </w:rPr>
        <w:t xml:space="preserve">17.  </w:t>
      </w:r>
      <w:r w:rsidRPr="0077626A" w:rsidR="00AF1157">
        <w:rPr>
          <w:rFonts w:ascii="Arial" w:hAnsi="Arial" w:cs="Arial"/>
          <w:i/>
          <w:sz w:val="22"/>
          <w:szCs w:val="22"/>
        </w:rPr>
        <w:t>If seeking approval to not display the expiration date for OMB approval of this information collection, what are the reasons that the display would be inappropriate?</w:t>
      </w:r>
      <w:r w:rsidRPr="0077626A" w:rsidR="004D086A">
        <w:rPr>
          <w:rFonts w:ascii="Arial" w:hAnsi="Arial" w:cs="Arial"/>
          <w:i/>
          <w:sz w:val="22"/>
          <w:szCs w:val="22"/>
        </w:rPr>
        <w:t xml:space="preserve"> </w:t>
      </w:r>
    </w:p>
    <w:p w:rsidRPr="007A5D4B" w:rsidR="00AF1157" w:rsidP="0023786D" w:rsidRDefault="00AF1157" w14:paraId="0553B7E8" w14:textId="77777777">
      <w:pPr>
        <w:suppressAutoHyphens/>
        <w:rPr>
          <w:rFonts w:ascii="Arial" w:hAnsi="Arial" w:cs="Arial"/>
          <w:sz w:val="22"/>
          <w:szCs w:val="22"/>
        </w:rPr>
      </w:pPr>
    </w:p>
    <w:p w:rsidR="00402540" w:rsidP="0023786D" w:rsidRDefault="00402540" w14:paraId="77C2F560" w14:textId="77777777">
      <w:pPr>
        <w:autoSpaceDE w:val="0"/>
        <w:autoSpaceDN w:val="0"/>
        <w:ind w:left="360"/>
        <w:rPr>
          <w:rFonts w:ascii="Arial" w:hAnsi="Arial" w:cs="Arial"/>
          <w:sz w:val="22"/>
          <w:szCs w:val="22"/>
        </w:rPr>
      </w:pPr>
      <w:r w:rsidRPr="00402540">
        <w:rPr>
          <w:rFonts w:ascii="Arial" w:hAnsi="Arial" w:cs="Arial"/>
          <w:sz w:val="22"/>
          <w:szCs w:val="22"/>
        </w:rPr>
        <w:t>As a cost saving measure for both TTB and the public, TTB is seeking approval not to display the expiration date this information collection’s OMB approval on its related form.  By not displaying that date on TTB F 5000.24, TTB will not have to update the form’s OMB expiration date on the paper form, on its website, and on the Pay.gov website each time that OMB approves this information collection.  Removing the OMB expiration date from TTB F 5000.24 also avoids confusion among users of the form when that date has passed but the collection is still under OMB review.  In addition, TTB-regulated businesses will not have to update their stocks of paper forms or alter electronic copies of the form, including any versions of the form produced by some businesses, at their own expense, for use with their electronic systems or for sale.</w:t>
      </w:r>
      <w:r w:rsidR="00EB71DD">
        <w:rPr>
          <w:rFonts w:ascii="Arial" w:hAnsi="Arial" w:cs="Arial"/>
          <w:sz w:val="22"/>
          <w:szCs w:val="22"/>
        </w:rPr>
        <w:t xml:space="preserve"> </w:t>
      </w:r>
    </w:p>
    <w:p w:rsidRPr="0066194E" w:rsidR="00014CEB" w:rsidP="0023786D" w:rsidRDefault="00014CEB" w14:paraId="0D4C69A0" w14:textId="77777777">
      <w:pPr>
        <w:autoSpaceDE w:val="0"/>
        <w:autoSpaceDN w:val="0"/>
        <w:rPr>
          <w:rFonts w:ascii="Arial" w:hAnsi="Arial" w:cs="Arial"/>
          <w:sz w:val="36"/>
          <w:szCs w:val="36"/>
        </w:rPr>
      </w:pPr>
    </w:p>
    <w:p w:rsidRPr="00FD18EE" w:rsidR="00AF1157" w:rsidP="0023786D" w:rsidRDefault="00BA1A21" w14:paraId="477CDB71"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23786D" w:rsidRDefault="00AF1157" w14:paraId="1BFB605C" w14:textId="77777777">
      <w:pPr>
        <w:suppressAutoHyphens/>
        <w:ind w:left="360"/>
        <w:rPr>
          <w:rFonts w:ascii="Arial" w:hAnsi="Arial" w:cs="Arial"/>
          <w:sz w:val="22"/>
          <w:szCs w:val="22"/>
        </w:rPr>
      </w:pPr>
    </w:p>
    <w:p w:rsidRPr="00B02230" w:rsidR="00B02230" w:rsidP="00402540" w:rsidRDefault="00402540" w14:paraId="15AC68E4" w14:textId="77777777">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B02230" w:rsidR="00B02230">
        <w:rPr>
          <w:rFonts w:ascii="Arial" w:hAnsi="Arial" w:cs="Arial"/>
          <w:sz w:val="22"/>
          <w:szCs w:val="22"/>
        </w:rPr>
        <w:t>This is not a recordkeeping collection</w:t>
      </w:r>
      <w:r w:rsidR="005741DD">
        <w:rPr>
          <w:rFonts w:ascii="Arial" w:hAnsi="Arial" w:cs="Arial"/>
          <w:sz w:val="22"/>
          <w:szCs w:val="22"/>
        </w:rPr>
        <w:t xml:space="preserve">. </w:t>
      </w:r>
    </w:p>
    <w:p w:rsidR="00B02230" w:rsidP="00402540" w:rsidRDefault="00402540" w14:paraId="1240A08A" w14:textId="77777777">
      <w:pPr>
        <w:tabs>
          <w:tab w:val="left" w:pos="720"/>
        </w:tabs>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B02230" w:rsidR="00B02230">
        <w:rPr>
          <w:rFonts w:ascii="Arial" w:hAnsi="Arial" w:cs="Arial"/>
          <w:sz w:val="22"/>
          <w:szCs w:val="22"/>
        </w:rPr>
        <w:t>No statistical survey methodology is involved</w:t>
      </w:r>
      <w:r w:rsidR="00B02230">
        <w:rPr>
          <w:rFonts w:ascii="Arial" w:hAnsi="Arial" w:cs="Arial"/>
          <w:sz w:val="22"/>
          <w:szCs w:val="22"/>
        </w:rPr>
        <w:t xml:space="preserve">. </w:t>
      </w:r>
    </w:p>
    <w:p w:rsidRPr="0066194E" w:rsidR="00734B25" w:rsidP="0023786D" w:rsidRDefault="00734B25" w14:paraId="545B79F7" w14:textId="77777777">
      <w:pPr>
        <w:rPr>
          <w:rFonts w:ascii="Arial" w:hAnsi="Arial" w:cs="Arial"/>
          <w:sz w:val="36"/>
          <w:szCs w:val="36"/>
        </w:rPr>
      </w:pPr>
    </w:p>
    <w:p w:rsidRPr="0066194E" w:rsidR="00E115FD" w:rsidP="0023786D" w:rsidRDefault="00E115FD" w14:paraId="5462DC89" w14:textId="77777777">
      <w:pPr>
        <w:rPr>
          <w:rFonts w:ascii="Arial" w:hAnsi="Arial" w:cs="Arial"/>
          <w:sz w:val="36"/>
          <w:szCs w:val="36"/>
        </w:rPr>
      </w:pPr>
    </w:p>
    <w:p w:rsidRPr="007A5D4B" w:rsidR="00BD3333" w:rsidP="0023786D" w:rsidRDefault="00BD3333" w14:paraId="6FB34B82"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23786D" w:rsidRDefault="00BD3333" w14:paraId="4C64AEF7" w14:textId="77777777">
      <w:pPr>
        <w:pStyle w:val="Header"/>
        <w:tabs>
          <w:tab w:val="clear" w:pos="4320"/>
          <w:tab w:val="clear" w:pos="8640"/>
        </w:tabs>
        <w:rPr>
          <w:rFonts w:ascii="Arial" w:hAnsi="Arial" w:cs="Arial"/>
          <w:sz w:val="22"/>
          <w:szCs w:val="22"/>
        </w:rPr>
      </w:pPr>
    </w:p>
    <w:p w:rsidR="00BD3333" w:rsidP="0023786D" w:rsidRDefault="00BD3333" w14:paraId="4D991392" w14:textId="77777777">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402540">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rsidRPr="007A5D4B" w:rsidR="00402540" w:rsidP="0023786D" w:rsidRDefault="00402540" w14:paraId="049099B7" w14:textId="77777777">
      <w:pPr>
        <w:pStyle w:val="Header"/>
        <w:tabs>
          <w:tab w:val="clear" w:pos="4320"/>
          <w:tab w:val="clear" w:pos="8640"/>
        </w:tabs>
        <w:ind w:left="360"/>
        <w:rPr>
          <w:rFonts w:ascii="Arial" w:hAnsi="Arial" w:cs="Arial"/>
          <w:sz w:val="22"/>
          <w:szCs w:val="22"/>
        </w:rPr>
      </w:pPr>
    </w:p>
    <w:sectPr w:rsidRPr="007A5D4B" w:rsidR="00402540"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1C673E" w16cid:durableId="23623730"/>
  <w16cid:commentId w16cid:paraId="323F3899" w16cid:durableId="23623B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793BE" w14:textId="77777777" w:rsidR="00953C55" w:rsidRDefault="00953C55">
      <w:r>
        <w:separator/>
      </w:r>
    </w:p>
  </w:endnote>
  <w:endnote w:type="continuationSeparator" w:id="0">
    <w:p w14:paraId="0942D503" w14:textId="77777777" w:rsidR="00953C55" w:rsidRDefault="0095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5F26" w14:textId="77777777" w:rsidR="00DD7C26" w:rsidRDefault="00DD7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28D5" w14:textId="77777777" w:rsidR="009B039B" w:rsidRPr="007A5D4B" w:rsidRDefault="009B039B" w:rsidP="007E7AC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1127D">
      <w:rPr>
        <w:rFonts w:ascii="Arial" w:hAnsi="Arial" w:cs="Arial"/>
        <w:sz w:val="20"/>
        <w:szCs w:val="20"/>
      </w:rPr>
      <w:t xml:space="preserve">OMB No. </w:t>
    </w:r>
    <w:r w:rsidRPr="007E7AC6">
      <w:rPr>
        <w:rFonts w:ascii="Arial" w:hAnsi="Arial" w:cs="Arial"/>
        <w:sz w:val="20"/>
        <w:szCs w:val="20"/>
      </w:rPr>
      <w:t>1513–0053 Supporting Statement (</w:t>
    </w:r>
    <w:r w:rsidR="0001127D">
      <w:rPr>
        <w:rFonts w:ascii="Arial" w:hAnsi="Arial" w:cs="Arial"/>
        <w:sz w:val="20"/>
        <w:szCs w:val="20"/>
      </w:rPr>
      <w:t>11</w:t>
    </w:r>
    <w:r w:rsidRPr="007E7AC6">
      <w:rPr>
        <w:rFonts w:ascii="Arial" w:hAnsi="Arial" w:cs="Arial"/>
        <w:sz w:val="20"/>
        <w:szCs w:val="20"/>
      </w:rPr>
      <w:t>–20</w:t>
    </w:r>
    <w:r w:rsidR="0001127D">
      <w:rPr>
        <w:rFonts w:ascii="Arial" w:hAnsi="Arial" w:cs="Arial"/>
        <w:sz w:val="20"/>
        <w:szCs w:val="20"/>
      </w:rPr>
      <w:t>20</w:t>
    </w:r>
    <w:r w:rsidRPr="007E7AC6">
      <w:rPr>
        <w:rFonts w:ascii="Arial" w:hAnsi="Arial" w:cs="Arial"/>
        <w:sz w:val="20"/>
        <w:szCs w:val="20"/>
      </w:rPr>
      <w:t>)</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B8408" w14:textId="77777777" w:rsidR="009B039B" w:rsidRPr="007A5D4B" w:rsidRDefault="009B039B" w:rsidP="007E7AC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A90EDA">
      <w:rPr>
        <w:rFonts w:ascii="Arial" w:hAnsi="Arial" w:cs="Arial"/>
        <w:sz w:val="20"/>
        <w:szCs w:val="20"/>
      </w:rPr>
      <w:t xml:space="preserve">OMB No. </w:t>
    </w:r>
    <w:r>
      <w:rPr>
        <w:rFonts w:ascii="Arial" w:hAnsi="Arial" w:cs="Arial"/>
        <w:sz w:val="20"/>
        <w:szCs w:val="20"/>
      </w:rPr>
      <w:t>1513–0053 Supporting Statement (</w:t>
    </w:r>
    <w:r w:rsidR="00A90EDA">
      <w:rPr>
        <w:rFonts w:ascii="Arial" w:hAnsi="Arial" w:cs="Arial"/>
        <w:sz w:val="20"/>
        <w:szCs w:val="20"/>
      </w:rPr>
      <w:t>11</w:t>
    </w:r>
    <w:r>
      <w:rPr>
        <w:rFonts w:ascii="Arial" w:hAnsi="Arial" w:cs="Arial"/>
        <w:sz w:val="20"/>
        <w:szCs w:val="20"/>
      </w:rPr>
      <w:t>–20</w:t>
    </w:r>
    <w:r w:rsidR="00A90EDA">
      <w:rPr>
        <w:rFonts w:ascii="Arial" w:hAnsi="Arial" w:cs="Arial"/>
        <w:sz w:val="20"/>
        <w:szCs w:val="20"/>
      </w:rPr>
      <w:t>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DE248" w14:textId="77777777" w:rsidR="00953C55" w:rsidRDefault="00953C55">
      <w:r>
        <w:separator/>
      </w:r>
    </w:p>
  </w:footnote>
  <w:footnote w:type="continuationSeparator" w:id="0">
    <w:p w14:paraId="08EE80A1" w14:textId="77777777" w:rsidR="00953C55" w:rsidRDefault="00953C55">
      <w:r>
        <w:continuationSeparator/>
      </w:r>
    </w:p>
  </w:footnote>
  <w:footnote w:id="1">
    <w:p w14:paraId="251EB60B" w14:textId="77777777" w:rsidR="00C80CE8" w:rsidRPr="00A90EDA" w:rsidRDefault="00C80CE8" w:rsidP="0081273A">
      <w:pPr>
        <w:pStyle w:val="FootnoteText"/>
        <w:rPr>
          <w:sz w:val="18"/>
          <w:szCs w:val="18"/>
        </w:rPr>
      </w:pPr>
      <w:r w:rsidRPr="00A90EDA">
        <w:rPr>
          <w:rStyle w:val="FootnoteReference"/>
          <w:sz w:val="22"/>
          <w:szCs w:val="22"/>
        </w:rPr>
        <w:footnoteRef/>
      </w:r>
      <w:r w:rsidRPr="00A90EDA">
        <w:rPr>
          <w:sz w:val="22"/>
          <w:szCs w:val="22"/>
        </w:rPr>
        <w:t xml:space="preserve"> </w:t>
      </w:r>
      <w:r w:rsidR="0081273A" w:rsidRPr="00A90EDA">
        <w:rPr>
          <w:sz w:val="18"/>
          <w:szCs w:val="18"/>
        </w:rPr>
        <w:t>The Craft Beverage Modernization Act (CBMA) portion of the Tax Cuts and J</w:t>
      </w:r>
      <w:r w:rsidR="00A90EDA" w:rsidRPr="00A90EDA">
        <w:rPr>
          <w:sz w:val="18"/>
          <w:szCs w:val="18"/>
        </w:rPr>
        <w:t>obs Act of 2017 (Public Law 115–</w:t>
      </w:r>
      <w:r w:rsidR="0081273A" w:rsidRPr="00A90EDA">
        <w:rPr>
          <w:sz w:val="18"/>
          <w:szCs w:val="18"/>
        </w:rPr>
        <w:t>97) temporar</w:t>
      </w:r>
      <w:r w:rsidR="002E10C9">
        <w:rPr>
          <w:sz w:val="18"/>
          <w:szCs w:val="18"/>
        </w:rPr>
        <w:t>ily</w:t>
      </w:r>
      <w:r w:rsidR="0081273A" w:rsidRPr="00A90EDA">
        <w:rPr>
          <w:sz w:val="18"/>
          <w:szCs w:val="18"/>
        </w:rPr>
        <w:t xml:space="preserve"> lowered the Federal excise tax rate</w:t>
      </w:r>
      <w:r w:rsidR="00B42AF1">
        <w:rPr>
          <w:sz w:val="18"/>
          <w:szCs w:val="18"/>
        </w:rPr>
        <w:t xml:space="preserve">s for certain smaller amounts of alcohol beverages removed </w:t>
      </w:r>
      <w:r w:rsidR="0081273A" w:rsidRPr="00A90EDA">
        <w:rPr>
          <w:sz w:val="18"/>
          <w:szCs w:val="18"/>
        </w:rPr>
        <w:t>in 2018 and 2019</w:t>
      </w:r>
      <w:r w:rsidR="00B42AF1">
        <w:rPr>
          <w:sz w:val="18"/>
          <w:szCs w:val="18"/>
        </w:rPr>
        <w:t>.  T</w:t>
      </w:r>
      <w:r w:rsidR="0081273A" w:rsidRPr="00A90EDA">
        <w:rPr>
          <w:sz w:val="18"/>
          <w:szCs w:val="18"/>
        </w:rPr>
        <w:t>he Further Consolidated Appropriations Act, 2020</w:t>
      </w:r>
      <w:r w:rsidR="00A90EDA" w:rsidRPr="00A90EDA">
        <w:rPr>
          <w:sz w:val="18"/>
          <w:szCs w:val="18"/>
        </w:rPr>
        <w:t xml:space="preserve"> (Public Law 116–94) extended those lower rates for such products removed through </w:t>
      </w:r>
      <w:r w:rsidR="0081273A" w:rsidRPr="00A90EDA">
        <w:rPr>
          <w:sz w:val="18"/>
          <w:szCs w:val="18"/>
        </w:rPr>
        <w:t>December 31, 2020</w:t>
      </w:r>
      <w:r w:rsidR="00A90EDA" w:rsidRPr="00A90EDA">
        <w:rPr>
          <w:sz w:val="18"/>
          <w:szCs w:val="18"/>
        </w:rPr>
        <w:t>.  Because</w:t>
      </w:r>
      <w:r w:rsidR="00A90EDA">
        <w:rPr>
          <w:sz w:val="18"/>
          <w:szCs w:val="18"/>
        </w:rPr>
        <w:t xml:space="preserve"> of the differing tax rates</w:t>
      </w:r>
      <w:r w:rsidR="00A1179E">
        <w:rPr>
          <w:sz w:val="18"/>
          <w:szCs w:val="18"/>
        </w:rPr>
        <w:t xml:space="preserve"> between recent calendar years</w:t>
      </w:r>
      <w:r w:rsidRPr="00A90EDA">
        <w:rPr>
          <w:sz w:val="18"/>
          <w:szCs w:val="18"/>
        </w:rPr>
        <w:t xml:space="preserve">, TTB currently offers two </w:t>
      </w:r>
      <w:r w:rsidR="00A90EDA">
        <w:rPr>
          <w:sz w:val="18"/>
          <w:szCs w:val="18"/>
        </w:rPr>
        <w:t xml:space="preserve">“smart form” </w:t>
      </w:r>
      <w:r w:rsidRPr="00A90EDA">
        <w:rPr>
          <w:sz w:val="18"/>
          <w:szCs w:val="18"/>
        </w:rPr>
        <w:t xml:space="preserve">versions of the wine premises operations report, </w:t>
      </w:r>
      <w:r w:rsidR="002E10C9">
        <w:rPr>
          <w:sz w:val="18"/>
          <w:szCs w:val="18"/>
        </w:rPr>
        <w:t>“</w:t>
      </w:r>
      <w:r w:rsidRPr="00A90EDA">
        <w:rPr>
          <w:sz w:val="18"/>
          <w:szCs w:val="18"/>
        </w:rPr>
        <w:t>TTB F 5120.17sm</w:t>
      </w:r>
      <w:r w:rsidR="002E10C9">
        <w:rPr>
          <w:sz w:val="18"/>
          <w:szCs w:val="18"/>
        </w:rPr>
        <w:t>”</w:t>
      </w:r>
      <w:r w:rsidRPr="00A90EDA">
        <w:rPr>
          <w:sz w:val="18"/>
          <w:szCs w:val="18"/>
        </w:rPr>
        <w:t xml:space="preserve"> to report activities in 2017 or before, and </w:t>
      </w:r>
      <w:r w:rsidR="002E10C9">
        <w:rPr>
          <w:sz w:val="18"/>
          <w:szCs w:val="18"/>
        </w:rPr>
        <w:t>“</w:t>
      </w:r>
      <w:r w:rsidRPr="00A90EDA">
        <w:rPr>
          <w:sz w:val="18"/>
          <w:szCs w:val="18"/>
        </w:rPr>
        <w:t>TTB F 51020.17sm T</w:t>
      </w:r>
      <w:r w:rsidR="00A90EDA">
        <w:rPr>
          <w:sz w:val="18"/>
          <w:szCs w:val="18"/>
        </w:rPr>
        <w:t>emp</w:t>
      </w:r>
      <w:r w:rsidR="002E10C9">
        <w:rPr>
          <w:sz w:val="18"/>
          <w:szCs w:val="18"/>
        </w:rPr>
        <w:t>”</w:t>
      </w:r>
      <w:r w:rsidRPr="00A90EDA">
        <w:rPr>
          <w:sz w:val="18"/>
          <w:szCs w:val="18"/>
        </w:rPr>
        <w:t xml:space="preserve"> to report activities </w:t>
      </w:r>
      <w:r w:rsidR="00B42AF1">
        <w:rPr>
          <w:sz w:val="18"/>
          <w:szCs w:val="18"/>
        </w:rPr>
        <w:t xml:space="preserve">from </w:t>
      </w:r>
      <w:r w:rsidRPr="00A90EDA">
        <w:rPr>
          <w:sz w:val="18"/>
          <w:szCs w:val="18"/>
        </w:rPr>
        <w:t xml:space="preserve">2018 through 2020. </w:t>
      </w:r>
      <w:r w:rsidR="00A1179E">
        <w:rPr>
          <w:sz w:val="18"/>
          <w:szCs w:val="18"/>
        </w:rPr>
        <w:t xml:space="preserve"> Respondents will use the first form to report wine premises operations in 2021 and beyond if the lower taxes rates expire, while respondents will use the second form to report such activities in the future if the lower </w:t>
      </w:r>
      <w:r w:rsidR="00B42AF1">
        <w:rPr>
          <w:sz w:val="18"/>
          <w:szCs w:val="18"/>
        </w:rPr>
        <w:t xml:space="preserve">alcohol excise </w:t>
      </w:r>
      <w:r w:rsidR="00A1179E">
        <w:rPr>
          <w:sz w:val="18"/>
          <w:szCs w:val="18"/>
        </w:rPr>
        <w:t xml:space="preserve">tax rates are temporarily or permanently extended by law. </w:t>
      </w:r>
      <w:r w:rsidR="00B42AF1">
        <w:rPr>
          <w:sz w:val="18"/>
          <w:szCs w:val="18"/>
        </w:rPr>
        <w:t xml:space="preserve"> See </w:t>
      </w:r>
      <w:r w:rsidR="00B42AF1" w:rsidRPr="00B42AF1">
        <w:rPr>
          <w:i/>
          <w:sz w:val="18"/>
          <w:szCs w:val="18"/>
        </w:rPr>
        <w:t>https://www.ttb.gov/tax-audit/tax-and-fee-rates</w:t>
      </w:r>
      <w:r w:rsidR="00B42AF1">
        <w:rPr>
          <w:sz w:val="18"/>
          <w:szCs w:val="18"/>
        </w:rPr>
        <w:t xml:space="preserve">. </w:t>
      </w:r>
    </w:p>
  </w:footnote>
  <w:footnote w:id="2">
    <w:p w14:paraId="263A8124" w14:textId="77777777" w:rsidR="00887096" w:rsidRPr="00595BA4" w:rsidRDefault="00887096" w:rsidP="00595BA4">
      <w:pPr>
        <w:pStyle w:val="FootnoteText"/>
        <w:rPr>
          <w:sz w:val="18"/>
          <w:szCs w:val="18"/>
        </w:rPr>
      </w:pPr>
      <w:r w:rsidRPr="00595BA4">
        <w:rPr>
          <w:rStyle w:val="FootnoteReference"/>
          <w:sz w:val="22"/>
          <w:szCs w:val="22"/>
        </w:rPr>
        <w:footnoteRef/>
      </w:r>
      <w:r w:rsidRPr="00595BA4">
        <w:rPr>
          <w:sz w:val="22"/>
          <w:szCs w:val="22"/>
        </w:rPr>
        <w:t xml:space="preserve"> </w:t>
      </w:r>
      <w:r w:rsidR="00595BA4">
        <w:rPr>
          <w:sz w:val="18"/>
          <w:szCs w:val="18"/>
        </w:rPr>
        <w:t xml:space="preserve">See </w:t>
      </w:r>
      <w:r w:rsidRPr="00595BA4">
        <w:rPr>
          <w:sz w:val="18"/>
          <w:szCs w:val="18"/>
        </w:rPr>
        <w:t xml:space="preserve">TTB F 5000.24, </w:t>
      </w:r>
      <w:r w:rsidR="00595BA4">
        <w:rPr>
          <w:sz w:val="18"/>
          <w:szCs w:val="18"/>
        </w:rPr>
        <w:t xml:space="preserve">Excise Tax Return, </w:t>
      </w:r>
      <w:r w:rsidRPr="00595BA4">
        <w:rPr>
          <w:sz w:val="18"/>
          <w:szCs w:val="18"/>
        </w:rPr>
        <w:t xml:space="preserve">approved under OMB No. </w:t>
      </w:r>
      <w:r w:rsidR="00595BA4">
        <w:rPr>
          <w:sz w:val="18"/>
          <w:szCs w:val="18"/>
        </w:rPr>
        <w:t>1513–</w:t>
      </w:r>
      <w:r w:rsidRPr="00595BA4">
        <w:rPr>
          <w:sz w:val="18"/>
          <w:szCs w:val="18"/>
        </w:rPr>
        <w:t>0083</w:t>
      </w:r>
      <w:r w:rsidR="00595BA4">
        <w:rPr>
          <w:sz w:val="18"/>
          <w:szCs w:val="18"/>
        </w:rPr>
        <w:t xml:space="preserve">. </w:t>
      </w:r>
    </w:p>
  </w:footnote>
  <w:footnote w:id="3">
    <w:p w14:paraId="2D78FDF3" w14:textId="77777777" w:rsidR="009B039B" w:rsidRPr="000148B7" w:rsidRDefault="009B039B" w:rsidP="00270EE2">
      <w:pPr>
        <w:pStyle w:val="FootnoteText"/>
        <w:rPr>
          <w:sz w:val="18"/>
          <w:szCs w:val="18"/>
        </w:rPr>
      </w:pPr>
      <w:r w:rsidRPr="00270EE2">
        <w:rPr>
          <w:rStyle w:val="FootnoteReference"/>
          <w:sz w:val="22"/>
          <w:szCs w:val="22"/>
        </w:rPr>
        <w:footnoteRef/>
      </w:r>
      <w:r w:rsidRPr="00270EE2">
        <w:rPr>
          <w:sz w:val="22"/>
          <w:szCs w:val="22"/>
        </w:rPr>
        <w:t xml:space="preserve"> </w:t>
      </w:r>
      <w:r>
        <w:rPr>
          <w:sz w:val="18"/>
          <w:szCs w:val="18"/>
        </w:rPr>
        <w:t>U</w:t>
      </w:r>
      <w:r w:rsidRPr="000148B7">
        <w:rPr>
          <w:sz w:val="18"/>
          <w:szCs w:val="18"/>
        </w:rPr>
        <w:t>nder 26 U.S.C. 5061(d)(4), certain small alcohol excise taxpayers may pay</w:t>
      </w:r>
      <w:r>
        <w:rPr>
          <w:sz w:val="18"/>
          <w:szCs w:val="18"/>
        </w:rPr>
        <w:t xml:space="preserve"> alcohol excise</w:t>
      </w:r>
      <w:r w:rsidRPr="000148B7">
        <w:rPr>
          <w:sz w:val="18"/>
          <w:szCs w:val="18"/>
        </w:rPr>
        <w:t xml:space="preserve"> tax and file </w:t>
      </w:r>
      <w:r>
        <w:rPr>
          <w:sz w:val="18"/>
          <w:szCs w:val="18"/>
        </w:rPr>
        <w:t xml:space="preserve">tax returns </w:t>
      </w:r>
      <w:r w:rsidRPr="000148B7">
        <w:rPr>
          <w:sz w:val="18"/>
          <w:szCs w:val="18"/>
        </w:rPr>
        <w:t>on a quarterly or annual basis.  Under that paragraph, to pay tax and file returns quarterly, a taxpayer must reasonably expect to be liable for not more than $50,000 in such taxes for the calendar year and must be liable for not more than $50,000 in such taxes in the preceding calendar year.  To pay tax and file returns annually, a taxpayer must reasonably expect to be liable for not more than $1,000 in such taxes for the calendar year and must be liable for not more than $1,000 in such taxes in the preceding calendar year</w:t>
      </w:r>
      <w:r w:rsidR="006A2D68">
        <w:rPr>
          <w:sz w:val="18"/>
          <w:szCs w:val="18"/>
        </w:rPr>
        <w:t>.</w:t>
      </w:r>
      <w:r>
        <w:rPr>
          <w:sz w:val="18"/>
          <w:szCs w:val="18"/>
        </w:rPr>
        <w:t xml:space="preserve"> </w:t>
      </w:r>
    </w:p>
  </w:footnote>
  <w:footnote w:id="4">
    <w:p w14:paraId="15B30BC7" w14:textId="77777777" w:rsidR="00014781" w:rsidRPr="00E942AE" w:rsidRDefault="00014781" w:rsidP="00014781">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Private </w:t>
      </w:r>
      <w:r w:rsidRPr="00FF0866">
        <w:rPr>
          <w:rFonts w:ascii="Arial" w:eastAsia="Calibri" w:hAnsi="Arial" w:cs="Arial"/>
          <w:sz w:val="18"/>
          <w:szCs w:val="18"/>
        </w:rPr>
        <w:t xml:space="preserve">Sector Fully-loaded Labor Rate = Hourly wage rate x a factor of 1.44 to account for benefit costs.  Per the most recent U.S. Department of Labor, Bureau of Labor Statistics (BLS), data for National Industry-Specific Occupational Employment and Wage Estimates for NAICS 312000—Beverage and Tobacco Product Manufacturing, the average fully-loaded labor rate per hour for Office and Administrative Support Occupations is $29.65 ($20.59 in wages plus $9.06 in benefit costs).  See the BLS website at </w:t>
      </w:r>
      <w:r w:rsidR="00B34AEA" w:rsidRPr="00B34AEA">
        <w:rPr>
          <w:rFonts w:ascii="Arial" w:eastAsia="Calibri" w:hAnsi="Arial" w:cs="Arial"/>
          <w:i/>
          <w:sz w:val="18"/>
          <w:szCs w:val="18"/>
        </w:rPr>
        <w:t>https://www.bls.gov/oes/current/naics3_312000.htm</w:t>
      </w:r>
      <w:r w:rsidRPr="00FF0866">
        <w:rPr>
          <w:rFonts w:ascii="Arial" w:eastAsia="Calibri" w:hAnsi="Arial" w:cs="Arial"/>
          <w:sz w:val="18"/>
          <w:szCs w:val="18"/>
        </w:rPr>
        <w:t>.</w:t>
      </w:r>
      <w:r w:rsidR="00B34AEA">
        <w:rPr>
          <w:rFonts w:ascii="Arial" w:eastAsia="Calibri" w:hAnsi="Arial" w:cs="Arial"/>
          <w:sz w:val="18"/>
          <w:szCs w:val="18"/>
        </w:rPr>
        <w:t xml:space="preserve"> </w:t>
      </w:r>
    </w:p>
  </w:footnote>
  <w:footnote w:id="5">
    <w:p w14:paraId="10D78320" w14:textId="6F8ACA80" w:rsidR="007E6E7F" w:rsidRPr="00A21AA1" w:rsidRDefault="007E6E7F" w:rsidP="00A21AA1">
      <w:pPr>
        <w:suppressAutoHyphens/>
        <w:rPr>
          <w:rFonts w:ascii="Arial" w:hAnsi="Arial" w:cs="Arial"/>
          <w:sz w:val="18"/>
          <w:szCs w:val="18"/>
        </w:rPr>
      </w:pPr>
      <w:r w:rsidRPr="00A21AA1">
        <w:rPr>
          <w:rStyle w:val="FootnoteReference"/>
          <w:rFonts w:ascii="Arial" w:hAnsi="Arial" w:cs="Arial"/>
          <w:sz w:val="22"/>
          <w:szCs w:val="22"/>
        </w:rPr>
        <w:footnoteRef/>
      </w:r>
      <w:r w:rsidRPr="00A21AA1">
        <w:rPr>
          <w:rFonts w:ascii="Arial" w:hAnsi="Arial" w:cs="Arial"/>
          <w:sz w:val="22"/>
          <w:szCs w:val="22"/>
        </w:rPr>
        <w:t xml:space="preserve"> </w:t>
      </w:r>
      <w:r w:rsidRPr="00A21AA1">
        <w:rPr>
          <w:rFonts w:ascii="Arial" w:hAnsi="Arial" w:cs="Arial"/>
          <w:sz w:val="18"/>
          <w:szCs w:val="18"/>
        </w:rPr>
        <w:t xml:space="preserve">Federal Government Fully-loaded Labor Rate per Hour = Hourly wage rate x 1.63 to account for benefit costs.  Per the most recent Office of Personnel Management (OPM) wage data, the fully-loaded labor rate for the Cincinnati, Ohio, wage area </w:t>
      </w:r>
      <w:r w:rsidR="00F877AE">
        <w:rPr>
          <w:rFonts w:ascii="Arial" w:hAnsi="Arial" w:cs="Arial"/>
          <w:sz w:val="18"/>
          <w:szCs w:val="18"/>
        </w:rPr>
        <w:t xml:space="preserve">for a </w:t>
      </w:r>
      <w:r w:rsidRPr="00A21AA1">
        <w:rPr>
          <w:rFonts w:ascii="Arial" w:hAnsi="Arial" w:cs="Arial"/>
          <w:sz w:val="18"/>
          <w:szCs w:val="18"/>
        </w:rPr>
        <w:t xml:space="preserve">GS–5, step 5, employee </w:t>
      </w:r>
      <w:r w:rsidR="00F877AE">
        <w:rPr>
          <w:rFonts w:ascii="Arial" w:hAnsi="Arial" w:cs="Arial"/>
          <w:sz w:val="18"/>
          <w:szCs w:val="18"/>
        </w:rPr>
        <w:t>are</w:t>
      </w:r>
      <w:r w:rsidRPr="00A21AA1">
        <w:rPr>
          <w:rFonts w:ascii="Arial" w:hAnsi="Arial" w:cs="Arial"/>
          <w:sz w:val="18"/>
          <w:szCs w:val="18"/>
        </w:rPr>
        <w:t xml:space="preserve"> $32.13 ($19.71 in wages plus $12.42 in benefit costs)</w:t>
      </w:r>
      <w:r w:rsidR="00F877AE">
        <w:rPr>
          <w:rFonts w:ascii="Arial" w:hAnsi="Arial" w:cs="Arial"/>
          <w:sz w:val="18"/>
          <w:szCs w:val="18"/>
        </w:rPr>
        <w:t>.</w:t>
      </w:r>
      <w:r w:rsidRPr="00A21AA1">
        <w:rPr>
          <w:rFonts w:ascii="Arial" w:hAnsi="Arial" w:cs="Arial"/>
          <w:sz w:val="18"/>
          <w:szCs w:val="18"/>
        </w:rPr>
        <w:t xml:space="preserve">  See the OPM website at </w:t>
      </w:r>
      <w:r w:rsidRPr="00A21AA1">
        <w:rPr>
          <w:rFonts w:ascii="Arial" w:hAnsi="Arial" w:cs="Arial"/>
          <w:i/>
          <w:sz w:val="18"/>
          <w:szCs w:val="18"/>
        </w:rPr>
        <w:t>https://www.opm.gov/policy-data-oversight/pay-leave/salaries-wages/salary-tables/pdf/2020/CIN_h.pdf</w:t>
      </w:r>
      <w:r w:rsidRPr="00A21AA1">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E53E" w14:textId="77777777" w:rsidR="00DD7C26" w:rsidRDefault="00DD7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DAC46" w14:textId="6D0952F5" w:rsidR="009B039B" w:rsidRPr="007A5D4B" w:rsidRDefault="009B039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877AE">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7C9C" w14:textId="77777777" w:rsidR="009B039B" w:rsidRPr="007A5D4B" w:rsidRDefault="009B039B"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852"/>
    <w:multiLevelType w:val="hybridMultilevel"/>
    <w:tmpl w:val="96A6C682"/>
    <w:lvl w:ilvl="0" w:tplc="76A2B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4C69"/>
    <w:rsid w:val="0001127D"/>
    <w:rsid w:val="00012E43"/>
    <w:rsid w:val="00014781"/>
    <w:rsid w:val="000148B7"/>
    <w:rsid w:val="00014CEB"/>
    <w:rsid w:val="00017892"/>
    <w:rsid w:val="0003032C"/>
    <w:rsid w:val="000329F4"/>
    <w:rsid w:val="00034568"/>
    <w:rsid w:val="0004708F"/>
    <w:rsid w:val="000473AC"/>
    <w:rsid w:val="0004764C"/>
    <w:rsid w:val="00047C8E"/>
    <w:rsid w:val="00064566"/>
    <w:rsid w:val="00072DDC"/>
    <w:rsid w:val="00074898"/>
    <w:rsid w:val="00081466"/>
    <w:rsid w:val="00095F53"/>
    <w:rsid w:val="000A2E33"/>
    <w:rsid w:val="000A4E1A"/>
    <w:rsid w:val="000B0378"/>
    <w:rsid w:val="000B3E08"/>
    <w:rsid w:val="000C088B"/>
    <w:rsid w:val="000D4A6E"/>
    <w:rsid w:val="000D6313"/>
    <w:rsid w:val="000F6905"/>
    <w:rsid w:val="00101DE7"/>
    <w:rsid w:val="001035CE"/>
    <w:rsid w:val="00113D83"/>
    <w:rsid w:val="001146A8"/>
    <w:rsid w:val="001608E4"/>
    <w:rsid w:val="0018537F"/>
    <w:rsid w:val="001A7FA3"/>
    <w:rsid w:val="001E7BDE"/>
    <w:rsid w:val="002121DA"/>
    <w:rsid w:val="00220BF9"/>
    <w:rsid w:val="0022156B"/>
    <w:rsid w:val="0023786D"/>
    <w:rsid w:val="00250066"/>
    <w:rsid w:val="00256D98"/>
    <w:rsid w:val="002611FD"/>
    <w:rsid w:val="00270EE2"/>
    <w:rsid w:val="00273CEE"/>
    <w:rsid w:val="00276081"/>
    <w:rsid w:val="002B47FB"/>
    <w:rsid w:val="002C58F5"/>
    <w:rsid w:val="002D1324"/>
    <w:rsid w:val="002E10C9"/>
    <w:rsid w:val="002E6145"/>
    <w:rsid w:val="002F05A5"/>
    <w:rsid w:val="002F539D"/>
    <w:rsid w:val="003260C2"/>
    <w:rsid w:val="0033260C"/>
    <w:rsid w:val="00380C8C"/>
    <w:rsid w:val="00381A3A"/>
    <w:rsid w:val="00381FFC"/>
    <w:rsid w:val="0038747C"/>
    <w:rsid w:val="003C1DC1"/>
    <w:rsid w:val="003C40B1"/>
    <w:rsid w:val="003D64AA"/>
    <w:rsid w:val="003E6BD8"/>
    <w:rsid w:val="003F1527"/>
    <w:rsid w:val="003F321E"/>
    <w:rsid w:val="00402540"/>
    <w:rsid w:val="00402937"/>
    <w:rsid w:val="00410F32"/>
    <w:rsid w:val="00417BC3"/>
    <w:rsid w:val="00442CCB"/>
    <w:rsid w:val="0044522E"/>
    <w:rsid w:val="00447B6B"/>
    <w:rsid w:val="00456CF6"/>
    <w:rsid w:val="00466815"/>
    <w:rsid w:val="00470494"/>
    <w:rsid w:val="00477232"/>
    <w:rsid w:val="004A16BE"/>
    <w:rsid w:val="004A3505"/>
    <w:rsid w:val="004A3DE5"/>
    <w:rsid w:val="004A43B5"/>
    <w:rsid w:val="004A61A0"/>
    <w:rsid w:val="004C18C9"/>
    <w:rsid w:val="004D086A"/>
    <w:rsid w:val="004D1808"/>
    <w:rsid w:val="004D3468"/>
    <w:rsid w:val="004D4299"/>
    <w:rsid w:val="004E2C89"/>
    <w:rsid w:val="004F62C7"/>
    <w:rsid w:val="0050222D"/>
    <w:rsid w:val="0050368E"/>
    <w:rsid w:val="00520528"/>
    <w:rsid w:val="00520C8E"/>
    <w:rsid w:val="005278E4"/>
    <w:rsid w:val="00536D29"/>
    <w:rsid w:val="005510A3"/>
    <w:rsid w:val="005741DD"/>
    <w:rsid w:val="00595BA4"/>
    <w:rsid w:val="005A6AF2"/>
    <w:rsid w:val="005A7AC8"/>
    <w:rsid w:val="005C282B"/>
    <w:rsid w:val="005D2D70"/>
    <w:rsid w:val="005E2042"/>
    <w:rsid w:val="005E4F99"/>
    <w:rsid w:val="005E4F9B"/>
    <w:rsid w:val="00616F14"/>
    <w:rsid w:val="00622377"/>
    <w:rsid w:val="006244FF"/>
    <w:rsid w:val="00631780"/>
    <w:rsid w:val="0066194E"/>
    <w:rsid w:val="00663972"/>
    <w:rsid w:val="00683121"/>
    <w:rsid w:val="00695A1C"/>
    <w:rsid w:val="0069718A"/>
    <w:rsid w:val="006A2D68"/>
    <w:rsid w:val="006A35C6"/>
    <w:rsid w:val="006B4A1D"/>
    <w:rsid w:val="006C2245"/>
    <w:rsid w:val="006D0DF4"/>
    <w:rsid w:val="006F1A36"/>
    <w:rsid w:val="006F2142"/>
    <w:rsid w:val="006F7B19"/>
    <w:rsid w:val="00715C3A"/>
    <w:rsid w:val="00721C76"/>
    <w:rsid w:val="007230FF"/>
    <w:rsid w:val="00734B25"/>
    <w:rsid w:val="007354B7"/>
    <w:rsid w:val="00736DD6"/>
    <w:rsid w:val="00764FBA"/>
    <w:rsid w:val="00766D4B"/>
    <w:rsid w:val="0077626A"/>
    <w:rsid w:val="007A2D12"/>
    <w:rsid w:val="007A5D4B"/>
    <w:rsid w:val="007B4E08"/>
    <w:rsid w:val="007C1EF0"/>
    <w:rsid w:val="007D5727"/>
    <w:rsid w:val="007E57D5"/>
    <w:rsid w:val="007E6E7F"/>
    <w:rsid w:val="007E7AC6"/>
    <w:rsid w:val="007F40E3"/>
    <w:rsid w:val="007F48BD"/>
    <w:rsid w:val="00804B0C"/>
    <w:rsid w:val="00810218"/>
    <w:rsid w:val="00811A04"/>
    <w:rsid w:val="0081273A"/>
    <w:rsid w:val="00815D46"/>
    <w:rsid w:val="00816747"/>
    <w:rsid w:val="00827956"/>
    <w:rsid w:val="00856AD3"/>
    <w:rsid w:val="008603B9"/>
    <w:rsid w:val="00861C80"/>
    <w:rsid w:val="0088283B"/>
    <w:rsid w:val="00887096"/>
    <w:rsid w:val="008A2386"/>
    <w:rsid w:val="008A6717"/>
    <w:rsid w:val="008B146B"/>
    <w:rsid w:val="008B6859"/>
    <w:rsid w:val="008C399F"/>
    <w:rsid w:val="008C6BC9"/>
    <w:rsid w:val="008D3332"/>
    <w:rsid w:val="008D346B"/>
    <w:rsid w:val="008E2D74"/>
    <w:rsid w:val="008F1F3E"/>
    <w:rsid w:val="00902B6D"/>
    <w:rsid w:val="00923AF8"/>
    <w:rsid w:val="0093436B"/>
    <w:rsid w:val="009359B9"/>
    <w:rsid w:val="00945041"/>
    <w:rsid w:val="00953C55"/>
    <w:rsid w:val="00960CF2"/>
    <w:rsid w:val="0096457D"/>
    <w:rsid w:val="00965E7F"/>
    <w:rsid w:val="00982C5C"/>
    <w:rsid w:val="00990301"/>
    <w:rsid w:val="0099126C"/>
    <w:rsid w:val="009A1CD5"/>
    <w:rsid w:val="009A6532"/>
    <w:rsid w:val="009B039B"/>
    <w:rsid w:val="009C373E"/>
    <w:rsid w:val="009E4E4C"/>
    <w:rsid w:val="009F584B"/>
    <w:rsid w:val="009F7BB1"/>
    <w:rsid w:val="00A1179E"/>
    <w:rsid w:val="00A1403A"/>
    <w:rsid w:val="00A15A68"/>
    <w:rsid w:val="00A17E04"/>
    <w:rsid w:val="00A17E42"/>
    <w:rsid w:val="00A21AA1"/>
    <w:rsid w:val="00A22FE3"/>
    <w:rsid w:val="00A30DF3"/>
    <w:rsid w:val="00A33D0A"/>
    <w:rsid w:val="00A826EF"/>
    <w:rsid w:val="00A90EDA"/>
    <w:rsid w:val="00AA3F8F"/>
    <w:rsid w:val="00AA6881"/>
    <w:rsid w:val="00AC686F"/>
    <w:rsid w:val="00AD2D55"/>
    <w:rsid w:val="00AF060A"/>
    <w:rsid w:val="00AF1157"/>
    <w:rsid w:val="00B02230"/>
    <w:rsid w:val="00B23FF6"/>
    <w:rsid w:val="00B31E02"/>
    <w:rsid w:val="00B34AEA"/>
    <w:rsid w:val="00B35BDB"/>
    <w:rsid w:val="00B42AF1"/>
    <w:rsid w:val="00B72AC4"/>
    <w:rsid w:val="00B768DD"/>
    <w:rsid w:val="00B8347B"/>
    <w:rsid w:val="00B87C90"/>
    <w:rsid w:val="00B9346C"/>
    <w:rsid w:val="00B95061"/>
    <w:rsid w:val="00BA0DC9"/>
    <w:rsid w:val="00BA1A21"/>
    <w:rsid w:val="00BB4BA5"/>
    <w:rsid w:val="00BB67E5"/>
    <w:rsid w:val="00BC1D1F"/>
    <w:rsid w:val="00BD08C5"/>
    <w:rsid w:val="00BD3333"/>
    <w:rsid w:val="00BE3C19"/>
    <w:rsid w:val="00C00359"/>
    <w:rsid w:val="00C04D09"/>
    <w:rsid w:val="00C10318"/>
    <w:rsid w:val="00C1362D"/>
    <w:rsid w:val="00C22AE6"/>
    <w:rsid w:val="00C271EA"/>
    <w:rsid w:val="00C47433"/>
    <w:rsid w:val="00C6597B"/>
    <w:rsid w:val="00C71838"/>
    <w:rsid w:val="00C80CE8"/>
    <w:rsid w:val="00C84167"/>
    <w:rsid w:val="00CA07BF"/>
    <w:rsid w:val="00CA7E3C"/>
    <w:rsid w:val="00CB00C1"/>
    <w:rsid w:val="00CC2DE7"/>
    <w:rsid w:val="00CD4DB4"/>
    <w:rsid w:val="00CD7764"/>
    <w:rsid w:val="00CE170E"/>
    <w:rsid w:val="00CE2E86"/>
    <w:rsid w:val="00CF44C2"/>
    <w:rsid w:val="00D004D6"/>
    <w:rsid w:val="00D01AA2"/>
    <w:rsid w:val="00D03A61"/>
    <w:rsid w:val="00D24A35"/>
    <w:rsid w:val="00D414AB"/>
    <w:rsid w:val="00D449FB"/>
    <w:rsid w:val="00D50640"/>
    <w:rsid w:val="00D56B01"/>
    <w:rsid w:val="00D6325C"/>
    <w:rsid w:val="00D656EA"/>
    <w:rsid w:val="00D73D2D"/>
    <w:rsid w:val="00D742EE"/>
    <w:rsid w:val="00D76DF0"/>
    <w:rsid w:val="00DA29D8"/>
    <w:rsid w:val="00DA2CA4"/>
    <w:rsid w:val="00DB27DB"/>
    <w:rsid w:val="00DB69BD"/>
    <w:rsid w:val="00DC05A9"/>
    <w:rsid w:val="00DD7C26"/>
    <w:rsid w:val="00DF5F98"/>
    <w:rsid w:val="00E00461"/>
    <w:rsid w:val="00E05C0F"/>
    <w:rsid w:val="00E115FD"/>
    <w:rsid w:val="00E226BB"/>
    <w:rsid w:val="00E27C61"/>
    <w:rsid w:val="00E323CD"/>
    <w:rsid w:val="00E41ED9"/>
    <w:rsid w:val="00E45CBA"/>
    <w:rsid w:val="00E56E11"/>
    <w:rsid w:val="00E75DB8"/>
    <w:rsid w:val="00E86B1B"/>
    <w:rsid w:val="00EB1133"/>
    <w:rsid w:val="00EB71DD"/>
    <w:rsid w:val="00EC4FC3"/>
    <w:rsid w:val="00ED4A03"/>
    <w:rsid w:val="00ED7233"/>
    <w:rsid w:val="00EE4237"/>
    <w:rsid w:val="00F00C74"/>
    <w:rsid w:val="00F0232B"/>
    <w:rsid w:val="00F03208"/>
    <w:rsid w:val="00F058FA"/>
    <w:rsid w:val="00F17CD8"/>
    <w:rsid w:val="00F51159"/>
    <w:rsid w:val="00F51BB5"/>
    <w:rsid w:val="00F618E0"/>
    <w:rsid w:val="00F877AE"/>
    <w:rsid w:val="00F95A6D"/>
    <w:rsid w:val="00FA228E"/>
    <w:rsid w:val="00FD18EE"/>
    <w:rsid w:val="00FE29D6"/>
    <w:rsid w:val="00FE4DDC"/>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ECD6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uiPriority w:val="99"/>
    <w:unhideWhenUsed/>
    <w:rsid w:val="00520C8E"/>
    <w:pPr>
      <w:widowControl w:val="0"/>
      <w:autoSpaceDE w:val="0"/>
      <w:autoSpaceDN w:val="0"/>
      <w:adjustRightInd w:val="0"/>
    </w:pPr>
    <w:rPr>
      <w:rFonts w:ascii="Arial" w:hAnsi="Arial" w:cs="Arial"/>
      <w:sz w:val="20"/>
      <w:szCs w:val="20"/>
    </w:rPr>
  </w:style>
  <w:style w:type="character" w:customStyle="1" w:styleId="FootnoteTextChar">
    <w:name w:val="Footnote Text Char"/>
    <w:link w:val="FootnoteText"/>
    <w:uiPriority w:val="99"/>
    <w:rsid w:val="00520C8E"/>
    <w:rPr>
      <w:rFonts w:ascii="Arial" w:hAnsi="Arial" w:cs="Arial"/>
    </w:rPr>
  </w:style>
  <w:style w:type="character" w:styleId="FootnoteReference">
    <w:name w:val="footnote reference"/>
    <w:uiPriority w:val="99"/>
    <w:unhideWhenUsed/>
    <w:rsid w:val="00520C8E"/>
    <w:rPr>
      <w:vertAlign w:val="superscript"/>
    </w:rPr>
  </w:style>
  <w:style w:type="paragraph" w:styleId="ListParagraph">
    <w:name w:val="List Paragraph"/>
    <w:basedOn w:val="Normal"/>
    <w:uiPriority w:val="34"/>
    <w:qFormat/>
    <w:rsid w:val="008A2386"/>
    <w:pPr>
      <w:ind w:left="720"/>
    </w:pPr>
  </w:style>
  <w:style w:type="table" w:customStyle="1" w:styleId="TableGrid1">
    <w:name w:val="Table Grid1"/>
    <w:basedOn w:val="TableNormal"/>
    <w:next w:val="TableGrid"/>
    <w:uiPriority w:val="39"/>
    <w:rsid w:val="007E6E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E6E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147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13929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DBB81-53C5-4A24-94D2-3FA0F96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2811</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2020-11-22T00:36:00Z</dcterms:created>
  <dcterms:modified xsi:type="dcterms:W3CDTF">2020-11-22T00:46:00Z</dcterms:modified>
</cp:coreProperties>
</file>