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D4" w:rsidP="00676CD4" w:rsidRDefault="00676CD4">
      <w:pPr>
        <w:jc w:val="center"/>
        <w:rPr>
          <w:b/>
          <w:sz w:val="24"/>
          <w:szCs w:val="24"/>
        </w:rPr>
      </w:pPr>
      <w:r w:rsidRPr="00D02851">
        <w:rPr>
          <w:b/>
          <w:sz w:val="24"/>
          <w:szCs w:val="24"/>
        </w:rPr>
        <w:t xml:space="preserve">Permits Online — Transfer in Bond Portion of the </w:t>
      </w:r>
      <w:r>
        <w:rPr>
          <w:b/>
          <w:sz w:val="24"/>
          <w:szCs w:val="24"/>
        </w:rPr>
        <w:t xml:space="preserve">Distilled Spirits Plant </w:t>
      </w:r>
      <w:r>
        <w:rPr>
          <w:b/>
          <w:sz w:val="24"/>
          <w:szCs w:val="24"/>
        </w:rPr>
        <w:t>(</w:t>
      </w:r>
      <w:r>
        <w:rPr>
          <w:b/>
          <w:sz w:val="24"/>
          <w:szCs w:val="24"/>
        </w:rPr>
        <w:t>DSP)</w:t>
      </w:r>
      <w:r w:rsidRPr="00D02851">
        <w:rPr>
          <w:b/>
          <w:sz w:val="24"/>
          <w:szCs w:val="24"/>
        </w:rPr>
        <w:t xml:space="preserve"> </w:t>
      </w:r>
      <w:r>
        <w:rPr>
          <w:b/>
          <w:sz w:val="24"/>
          <w:szCs w:val="24"/>
        </w:rPr>
        <w:t xml:space="preserve">Application (OMB No. 1513–0038) </w:t>
      </w:r>
    </w:p>
    <w:p w:rsidRPr="002F1D8A" w:rsidR="00676CD4" w:rsidP="00676CD4" w:rsidRDefault="00676CD4">
      <w:pPr>
        <w:rPr>
          <w:sz w:val="24"/>
          <w:szCs w:val="24"/>
        </w:rPr>
      </w:pPr>
      <w:r w:rsidRPr="002F1D8A">
        <w:rPr>
          <w:sz w:val="24"/>
          <w:szCs w:val="24"/>
        </w:rPr>
        <w:tab/>
      </w:r>
      <w:r>
        <w:rPr>
          <w:sz w:val="24"/>
          <w:szCs w:val="24"/>
        </w:rPr>
        <w:t xml:space="preserve">The respondent selects “Add a Row” under the Transfer in Bond heading: </w:t>
      </w:r>
    </w:p>
    <w:p w:rsidR="00676CD4" w:rsidP="00D02851" w:rsidRDefault="00676CD4">
      <w:pPr>
        <w:jc w:val="center"/>
        <w:rPr>
          <w:b/>
          <w:sz w:val="24"/>
          <w:szCs w:val="24"/>
        </w:rPr>
      </w:pPr>
      <w:r>
        <w:rPr>
          <w:noProof/>
        </w:rPr>
        <w:drawing>
          <wp:inline distT="0" distB="0" distL="0" distR="0" wp14:anchorId="6ACBFB20" wp14:editId="2E6DE327">
            <wp:extent cx="7802882" cy="487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830791" cy="4894243"/>
                    </a:xfrm>
                    <a:prstGeom prst="rect">
                      <a:avLst/>
                    </a:prstGeom>
                  </pic:spPr>
                </pic:pic>
              </a:graphicData>
            </a:graphic>
          </wp:inline>
        </w:drawing>
      </w:r>
    </w:p>
    <w:p w:rsidR="00676CD4" w:rsidP="00D02851" w:rsidRDefault="00676CD4">
      <w:pPr>
        <w:jc w:val="center"/>
        <w:rPr>
          <w:b/>
          <w:sz w:val="24"/>
          <w:szCs w:val="24"/>
        </w:rPr>
      </w:pPr>
    </w:p>
    <w:p w:rsidRPr="002F1D8A" w:rsidR="00676CD4" w:rsidP="00676CD4" w:rsidRDefault="00676CD4">
      <w:pPr>
        <w:rPr>
          <w:sz w:val="24"/>
          <w:szCs w:val="24"/>
        </w:rPr>
      </w:pPr>
      <w:r>
        <w:rPr>
          <w:sz w:val="24"/>
          <w:szCs w:val="24"/>
        </w:rPr>
        <w:lastRenderedPageBreak/>
        <w:t xml:space="preserve">After selecting “Add a Row” under the Transfer in Bond heading, the respondent completes the Transfer in Bond information </w:t>
      </w:r>
      <w:r>
        <w:rPr>
          <w:sz w:val="24"/>
          <w:szCs w:val="24"/>
        </w:rPr>
        <w:tab/>
        <w:t xml:space="preserve">screen, as shown here: </w:t>
      </w:r>
    </w:p>
    <w:p w:rsidR="00A60E51" w:rsidP="00676CD4" w:rsidRDefault="00DC48DC">
      <w:pPr>
        <w:jc w:val="center"/>
        <w:rPr>
          <w:rFonts w:ascii="Arial" w:hAnsi="Arial" w:cs="Arial"/>
          <w:sz w:val="20"/>
          <w:szCs w:val="20"/>
        </w:rPr>
      </w:pPr>
      <w:r>
        <w:rPr>
          <w:noProof/>
        </w:rPr>
        <w:drawing>
          <wp:inline distT="0" distB="0" distL="0" distR="0" wp14:anchorId="72F08851" wp14:editId="10AA8723">
            <wp:extent cx="73152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32898" cy="4583061"/>
                    </a:xfrm>
                    <a:prstGeom prst="rect">
                      <a:avLst/>
                    </a:prstGeom>
                  </pic:spPr>
                </pic:pic>
              </a:graphicData>
            </a:graphic>
          </wp:inline>
        </w:drawing>
      </w:r>
    </w:p>
    <w:p w:rsidRPr="00676CD4" w:rsidR="00676CD4" w:rsidP="00676CD4" w:rsidRDefault="00676CD4">
      <w:pPr>
        <w:rPr>
          <w:rFonts w:ascii="Calibri" w:hAnsi="Calibri" w:cs="Calibri"/>
          <w:sz w:val="24"/>
          <w:szCs w:val="24"/>
        </w:rPr>
      </w:pPr>
      <w:r w:rsidRPr="00676CD4">
        <w:rPr>
          <w:rFonts w:ascii="Calibri" w:hAnsi="Calibri" w:cs="Calibri"/>
          <w:sz w:val="24"/>
          <w:szCs w:val="24"/>
        </w:rPr>
        <w:t xml:space="preserve">NOTE:  The data entered on this screen, along with data identifying the receiving plant retrieved by the PONL system from stored data collected under other OMB control numbers, is equivalent to TTB F 5100.16, Application to Receive Spirits and/or Denatured Spirits by Transfer in Bond. </w:t>
      </w:r>
    </w:p>
    <w:p w:rsidRPr="002F1D8A" w:rsidR="00676CD4" w:rsidP="00676CD4" w:rsidRDefault="00676CD4">
      <w:pPr>
        <w:rPr>
          <w:rFonts w:ascii="Calibri" w:hAnsi="Calibri" w:cs="Calibri"/>
          <w:sz w:val="24"/>
          <w:szCs w:val="24"/>
        </w:rPr>
      </w:pPr>
      <w:r w:rsidRPr="002F1D8A">
        <w:rPr>
          <w:rFonts w:ascii="Calibri" w:hAnsi="Calibri" w:cs="Calibri"/>
          <w:sz w:val="24"/>
          <w:szCs w:val="24"/>
        </w:rPr>
        <w:lastRenderedPageBreak/>
        <w:t xml:space="preserve">After completing the Transfer in Bond screen, the respondent will see a summary of the entered information on the Summary screen: </w:t>
      </w:r>
    </w:p>
    <w:p w:rsidR="00B670AA" w:rsidRDefault="00DC48DC">
      <w:pPr>
        <w:rPr>
          <w:rFonts w:ascii="Arial" w:hAnsi="Arial" w:cs="Arial"/>
          <w:sz w:val="20"/>
          <w:szCs w:val="20"/>
        </w:rPr>
      </w:pPr>
      <w:r>
        <w:rPr>
          <w:noProof/>
        </w:rPr>
        <w:drawing>
          <wp:inline distT="0" distB="0" distL="0" distR="0" wp14:anchorId="790EF8FE" wp14:editId="4E7319B7">
            <wp:extent cx="7572375" cy="47327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591263" cy="4744539"/>
                    </a:xfrm>
                    <a:prstGeom prst="rect">
                      <a:avLst/>
                    </a:prstGeom>
                  </pic:spPr>
                </pic:pic>
              </a:graphicData>
            </a:graphic>
          </wp:inline>
        </w:drawing>
      </w:r>
    </w:p>
    <w:p w:rsidRPr="00676CD4" w:rsidR="00B670AA" w:rsidRDefault="00B670AA">
      <w:pPr>
        <w:rPr>
          <w:rFonts w:ascii="Arial" w:hAnsi="Arial" w:cs="Arial"/>
          <w:sz w:val="24"/>
          <w:szCs w:val="24"/>
        </w:rPr>
      </w:pPr>
      <w:bookmarkStart w:name="_GoBack" w:id="0"/>
      <w:bookmarkEnd w:id="0"/>
    </w:p>
    <w:p w:rsidRPr="00676CD4" w:rsidR="00B670AA" w:rsidRDefault="00676CD4">
      <w:pPr>
        <w:rPr>
          <w:rFonts w:ascii="Arial" w:hAnsi="Arial" w:cs="Arial"/>
          <w:sz w:val="24"/>
          <w:szCs w:val="24"/>
        </w:rPr>
      </w:pPr>
      <w:r w:rsidRPr="00676CD4">
        <w:rPr>
          <w:rFonts w:ascii="Arial" w:hAnsi="Arial" w:cs="Arial"/>
          <w:sz w:val="24"/>
          <w:szCs w:val="24"/>
        </w:rPr>
        <w:t xml:space="preserve">-- END -- </w:t>
      </w:r>
    </w:p>
    <w:sectPr w:rsidRPr="00676CD4" w:rsidR="00B670AA" w:rsidSect="00D0285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51"/>
    <w:rsid w:val="005916C4"/>
    <w:rsid w:val="00676CD4"/>
    <w:rsid w:val="00A52186"/>
    <w:rsid w:val="00A60E51"/>
    <w:rsid w:val="00A66C1D"/>
    <w:rsid w:val="00B670AA"/>
    <w:rsid w:val="00C246CF"/>
    <w:rsid w:val="00D02851"/>
    <w:rsid w:val="00DC48DC"/>
    <w:rsid w:val="00FC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019F"/>
  <w15:docId w15:val="{E7406411-59DF-4C9A-AEBB-FCF0C1BC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1D"/>
    <w:rPr>
      <w:rFonts w:ascii="Tahoma" w:hAnsi="Tahoma" w:cs="Tahoma"/>
      <w:sz w:val="16"/>
      <w:szCs w:val="16"/>
    </w:rPr>
  </w:style>
  <w:style w:type="paragraph" w:styleId="ListParagraph">
    <w:name w:val="List Paragraph"/>
    <w:basedOn w:val="Normal"/>
    <w:uiPriority w:val="34"/>
    <w:qFormat/>
    <w:rsid w:val="0067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Hoover, Michael D.</cp:lastModifiedBy>
  <cp:revision>3</cp:revision>
  <dcterms:created xsi:type="dcterms:W3CDTF">2020-11-23T01:38:00Z</dcterms:created>
  <dcterms:modified xsi:type="dcterms:W3CDTF">2020-11-23T02:04:00Z</dcterms:modified>
</cp:coreProperties>
</file>