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73083" w:rsidR="00AF1157" w:rsidP="00D73D2D" w:rsidRDefault="002A555B" w14:paraId="316FFE1D" w14:textId="32FD2808">
      <w:pPr>
        <w:suppressAutoHyphens/>
        <w:jc w:val="center"/>
        <w:rPr>
          <w:rFonts w:ascii="Arial" w:hAnsi="Arial" w:cs="Arial"/>
          <w:b/>
          <w:sz w:val="22"/>
          <w:szCs w:val="22"/>
        </w:rPr>
      </w:pPr>
      <w:bookmarkStart w:name="_GoBack" w:id="0"/>
      <w:bookmarkEnd w:id="0"/>
      <w:r>
        <w:rPr>
          <w:rFonts w:ascii="Arial" w:hAnsi="Arial" w:cs="Arial"/>
          <w:b/>
          <w:sz w:val="22"/>
          <w:szCs w:val="22"/>
        </w:rPr>
        <w:t>D</w:t>
      </w:r>
      <w:r w:rsidRPr="00A73083" w:rsidR="00AF1157">
        <w:rPr>
          <w:rFonts w:ascii="Arial" w:hAnsi="Arial" w:cs="Arial"/>
          <w:b/>
          <w:sz w:val="22"/>
          <w:szCs w:val="22"/>
        </w:rPr>
        <w:t>EPARTMENT OF THE TREASURY</w:t>
      </w:r>
      <w:r w:rsidRPr="00A73083" w:rsidR="00D73D2D">
        <w:rPr>
          <w:rFonts w:ascii="Arial" w:hAnsi="Arial" w:cs="Arial"/>
          <w:b/>
          <w:sz w:val="22"/>
          <w:szCs w:val="22"/>
        </w:rPr>
        <w:t xml:space="preserve"> </w:t>
      </w:r>
    </w:p>
    <w:p w:rsidRPr="00A73083" w:rsidR="00AF1157" w:rsidP="00D73D2D" w:rsidRDefault="00AF1157" w14:paraId="30746DD0" w14:textId="77777777">
      <w:pPr>
        <w:suppressAutoHyphens/>
        <w:jc w:val="center"/>
        <w:rPr>
          <w:rFonts w:ascii="Arial" w:hAnsi="Arial" w:cs="Arial"/>
          <w:b/>
          <w:sz w:val="22"/>
          <w:szCs w:val="22"/>
        </w:rPr>
      </w:pPr>
    </w:p>
    <w:p w:rsidRPr="00A73083" w:rsidR="00AF1157" w:rsidP="00D73D2D" w:rsidRDefault="00AF1157" w14:paraId="7DA57EC7" w14:textId="77777777">
      <w:pPr>
        <w:suppressAutoHyphens/>
        <w:jc w:val="center"/>
        <w:rPr>
          <w:rFonts w:ascii="Arial" w:hAnsi="Arial" w:cs="Arial"/>
          <w:b/>
          <w:sz w:val="22"/>
          <w:szCs w:val="22"/>
        </w:rPr>
      </w:pPr>
      <w:r w:rsidRPr="00A73083">
        <w:rPr>
          <w:rFonts w:ascii="Arial" w:hAnsi="Arial" w:cs="Arial"/>
          <w:b/>
          <w:sz w:val="22"/>
          <w:szCs w:val="22"/>
        </w:rPr>
        <w:t xml:space="preserve">ALCOHOL </w:t>
      </w:r>
      <w:r w:rsidRPr="00A73083" w:rsidR="00D004D6">
        <w:rPr>
          <w:rFonts w:ascii="Arial" w:hAnsi="Arial" w:cs="Arial"/>
          <w:b/>
          <w:sz w:val="22"/>
          <w:szCs w:val="22"/>
        </w:rPr>
        <w:t xml:space="preserve">AND </w:t>
      </w:r>
      <w:r w:rsidRPr="00A73083">
        <w:rPr>
          <w:rFonts w:ascii="Arial" w:hAnsi="Arial" w:cs="Arial"/>
          <w:b/>
          <w:sz w:val="22"/>
          <w:szCs w:val="22"/>
        </w:rPr>
        <w:t>TOBACCO TAX AND TRADE BUREAU</w:t>
      </w:r>
      <w:r w:rsidRPr="00A73083" w:rsidR="00D73D2D">
        <w:rPr>
          <w:rFonts w:ascii="Arial" w:hAnsi="Arial" w:cs="Arial"/>
          <w:b/>
          <w:sz w:val="22"/>
          <w:szCs w:val="22"/>
        </w:rPr>
        <w:t xml:space="preserve"> </w:t>
      </w:r>
    </w:p>
    <w:p w:rsidRPr="00A73083" w:rsidR="00AF1157" w:rsidP="00D73D2D" w:rsidRDefault="00AF1157" w14:paraId="50FD9DAA" w14:textId="77777777">
      <w:pPr>
        <w:suppressAutoHyphens/>
        <w:jc w:val="center"/>
        <w:rPr>
          <w:rFonts w:ascii="Arial" w:hAnsi="Arial" w:cs="Arial"/>
          <w:b/>
          <w:sz w:val="22"/>
          <w:szCs w:val="22"/>
        </w:rPr>
      </w:pPr>
    </w:p>
    <w:p w:rsidRPr="00A73083" w:rsidR="00AF1157" w:rsidP="00D73D2D" w:rsidRDefault="00AF1157" w14:paraId="2C9668E3" w14:textId="77777777">
      <w:pPr>
        <w:suppressAutoHyphens/>
        <w:jc w:val="center"/>
        <w:rPr>
          <w:rFonts w:ascii="Arial" w:hAnsi="Arial" w:cs="Arial"/>
          <w:b/>
          <w:sz w:val="22"/>
          <w:szCs w:val="22"/>
        </w:rPr>
      </w:pPr>
      <w:r w:rsidRPr="00A73083">
        <w:rPr>
          <w:rFonts w:ascii="Arial" w:hAnsi="Arial" w:cs="Arial"/>
          <w:b/>
          <w:sz w:val="22"/>
          <w:szCs w:val="22"/>
        </w:rPr>
        <w:t xml:space="preserve">Supporting Statement </w:t>
      </w:r>
      <w:r w:rsidRPr="00A73083" w:rsidR="00D73D2D">
        <w:rPr>
          <w:rFonts w:ascii="Arial" w:hAnsi="Arial" w:cs="Arial"/>
          <w:b/>
          <w:sz w:val="22"/>
          <w:szCs w:val="22"/>
        </w:rPr>
        <w:t>––</w:t>
      </w:r>
      <w:r w:rsidRPr="00A73083">
        <w:rPr>
          <w:rFonts w:ascii="Arial" w:hAnsi="Arial" w:cs="Arial"/>
          <w:b/>
          <w:sz w:val="22"/>
          <w:szCs w:val="22"/>
        </w:rPr>
        <w:t xml:space="preserve"> Information Collection Request</w:t>
      </w:r>
      <w:r w:rsidRPr="00A73083" w:rsidR="00D73D2D">
        <w:rPr>
          <w:rFonts w:ascii="Arial" w:hAnsi="Arial" w:cs="Arial"/>
          <w:b/>
          <w:sz w:val="22"/>
          <w:szCs w:val="22"/>
        </w:rPr>
        <w:t xml:space="preserve"> </w:t>
      </w:r>
    </w:p>
    <w:p w:rsidRPr="00A02040" w:rsidR="00AF1157" w:rsidP="00D73D2D" w:rsidRDefault="00AF1157" w14:paraId="2142960C" w14:textId="77777777">
      <w:pPr>
        <w:suppressAutoHyphens/>
        <w:jc w:val="center"/>
        <w:rPr>
          <w:rFonts w:ascii="Arial" w:hAnsi="Arial" w:cs="Arial"/>
          <w:b/>
        </w:rPr>
      </w:pPr>
    </w:p>
    <w:p w:rsidRPr="00A02040" w:rsidR="00AF1157" w:rsidP="00D73D2D" w:rsidRDefault="00AF1157" w14:paraId="12830C13" w14:textId="56DEF1F3">
      <w:pPr>
        <w:suppressAutoHyphens/>
        <w:jc w:val="center"/>
        <w:rPr>
          <w:rFonts w:ascii="Arial" w:hAnsi="Arial" w:cs="Arial"/>
          <w:b/>
          <w:sz w:val="22"/>
          <w:szCs w:val="22"/>
          <w:u w:val="single"/>
        </w:rPr>
      </w:pPr>
      <w:r w:rsidRPr="00A02040">
        <w:rPr>
          <w:rFonts w:ascii="Arial" w:hAnsi="Arial" w:cs="Arial"/>
          <w:b/>
          <w:sz w:val="22"/>
          <w:szCs w:val="22"/>
          <w:u w:val="single"/>
        </w:rPr>
        <w:t>OMB Control Number 1513</w:t>
      </w:r>
      <w:r w:rsidRPr="00A02040" w:rsidR="00D73D2D">
        <w:rPr>
          <w:rFonts w:ascii="Arial" w:hAnsi="Arial" w:cs="Arial"/>
          <w:b/>
          <w:sz w:val="22"/>
          <w:szCs w:val="22"/>
          <w:u w:val="single"/>
        </w:rPr>
        <w:t>–</w:t>
      </w:r>
      <w:r w:rsidRPr="00A02040" w:rsidR="00560EB5">
        <w:rPr>
          <w:rFonts w:ascii="Arial" w:hAnsi="Arial" w:cs="Arial"/>
          <w:b/>
          <w:sz w:val="22"/>
          <w:szCs w:val="22"/>
          <w:u w:val="single"/>
        </w:rPr>
        <w:t>00</w:t>
      </w:r>
      <w:r w:rsidRPr="00A02040" w:rsidR="002D463F">
        <w:rPr>
          <w:rFonts w:ascii="Arial" w:hAnsi="Arial" w:cs="Arial"/>
          <w:b/>
          <w:sz w:val="22"/>
          <w:szCs w:val="22"/>
          <w:u w:val="single"/>
        </w:rPr>
        <w:t>37</w:t>
      </w:r>
      <w:r w:rsidRPr="00A02040" w:rsidR="00560EB5">
        <w:rPr>
          <w:rFonts w:ascii="Arial" w:hAnsi="Arial" w:cs="Arial"/>
          <w:b/>
          <w:sz w:val="22"/>
          <w:szCs w:val="22"/>
          <w:u w:val="single"/>
        </w:rPr>
        <w:t xml:space="preserve"> </w:t>
      </w:r>
    </w:p>
    <w:p w:rsidRPr="00A02040" w:rsidR="00D73D2D" w:rsidP="00CF4BCB" w:rsidRDefault="00D73D2D" w14:paraId="7D016F1F" w14:textId="77777777">
      <w:pPr>
        <w:suppressAutoHyphens/>
        <w:jc w:val="center"/>
        <w:rPr>
          <w:rFonts w:ascii="Arial" w:hAnsi="Arial" w:cs="Arial"/>
          <w:b/>
        </w:rPr>
      </w:pPr>
    </w:p>
    <w:p w:rsidRPr="00A73083" w:rsidR="009A6532" w:rsidP="00CF4BCB" w:rsidRDefault="002D463F" w14:paraId="4C698416" w14:textId="3C3DE143">
      <w:pPr>
        <w:ind w:left="360"/>
        <w:jc w:val="center"/>
        <w:rPr>
          <w:rFonts w:ascii="Arial" w:hAnsi="Arial" w:cs="Arial"/>
          <w:b/>
          <w:sz w:val="22"/>
          <w:szCs w:val="22"/>
        </w:rPr>
      </w:pPr>
      <w:r w:rsidRPr="00A73083">
        <w:rPr>
          <w:rFonts w:ascii="Arial" w:hAnsi="Arial" w:cs="Arial"/>
          <w:b/>
          <w:sz w:val="22"/>
          <w:szCs w:val="22"/>
        </w:rPr>
        <w:t>Withdrawal of Spirits, Specially Denatured Spirits, or Wines for Exportation</w:t>
      </w:r>
      <w:r w:rsidRPr="00A73083" w:rsidR="00CF4BCB">
        <w:rPr>
          <w:rFonts w:ascii="Arial" w:hAnsi="Arial" w:cs="Arial"/>
          <w:b/>
          <w:sz w:val="22"/>
          <w:szCs w:val="22"/>
        </w:rPr>
        <w:t xml:space="preserve"> </w:t>
      </w:r>
    </w:p>
    <w:p w:rsidRPr="00A02040" w:rsidR="00CF4BCB" w:rsidP="00CF4BCB" w:rsidRDefault="00CF4BCB" w14:paraId="25DE8995" w14:textId="77777777">
      <w:pPr>
        <w:rPr>
          <w:rFonts w:ascii="Arial" w:hAnsi="Arial" w:cs="Arial"/>
          <w:sz w:val="28"/>
          <w:szCs w:val="28"/>
        </w:rPr>
      </w:pPr>
    </w:p>
    <w:p w:rsidRPr="00A73083" w:rsidR="00AF1157" w:rsidP="00D73D2D" w:rsidRDefault="00AF1157" w14:paraId="3B673182" w14:textId="611DC8C2">
      <w:pPr>
        <w:suppressAutoHyphens/>
        <w:rPr>
          <w:rFonts w:ascii="Arial" w:hAnsi="Arial" w:cs="Arial"/>
          <w:b/>
          <w:sz w:val="22"/>
          <w:szCs w:val="22"/>
          <w:u w:val="single"/>
        </w:rPr>
      </w:pPr>
      <w:r w:rsidRPr="00A73083">
        <w:rPr>
          <w:rFonts w:ascii="Arial" w:hAnsi="Arial" w:cs="Arial"/>
          <w:b/>
          <w:sz w:val="22"/>
          <w:szCs w:val="22"/>
          <w:u w:val="single"/>
        </w:rPr>
        <w:t>A.  J</w:t>
      </w:r>
      <w:r w:rsidRPr="00A73083" w:rsidR="00BD3333">
        <w:rPr>
          <w:rFonts w:ascii="Arial" w:hAnsi="Arial" w:cs="Arial"/>
          <w:b/>
          <w:sz w:val="22"/>
          <w:szCs w:val="22"/>
          <w:u w:val="single"/>
        </w:rPr>
        <w:t>ustification</w:t>
      </w:r>
      <w:r w:rsidRPr="00A73083" w:rsidR="00D73D2D">
        <w:rPr>
          <w:rFonts w:ascii="Arial" w:hAnsi="Arial" w:cs="Arial"/>
          <w:b/>
          <w:sz w:val="22"/>
          <w:szCs w:val="22"/>
          <w:u w:val="single"/>
        </w:rPr>
        <w:t xml:space="preserve"> </w:t>
      </w:r>
    </w:p>
    <w:p w:rsidRPr="00A73083" w:rsidR="00AF1157" w:rsidP="00D73D2D" w:rsidRDefault="00AF1157" w14:paraId="00E32345" w14:textId="77777777">
      <w:pPr>
        <w:suppressAutoHyphens/>
        <w:rPr>
          <w:rFonts w:ascii="Arial" w:hAnsi="Arial" w:cs="Arial"/>
          <w:sz w:val="22"/>
          <w:szCs w:val="22"/>
        </w:rPr>
      </w:pPr>
    </w:p>
    <w:p w:rsidRPr="00A73083" w:rsidR="00AF1157" w:rsidP="00D73D2D" w:rsidRDefault="00D73D2D" w14:paraId="24CCB5C8" w14:textId="77777777">
      <w:pPr>
        <w:tabs>
          <w:tab w:val="left" w:pos="360"/>
        </w:tabs>
        <w:suppressAutoHyphens/>
        <w:rPr>
          <w:rFonts w:ascii="Arial" w:hAnsi="Arial" w:cs="Arial"/>
          <w:i/>
          <w:sz w:val="22"/>
          <w:szCs w:val="22"/>
        </w:rPr>
      </w:pPr>
      <w:r w:rsidRPr="00A73083">
        <w:rPr>
          <w:rFonts w:ascii="Arial" w:hAnsi="Arial" w:cs="Arial"/>
          <w:i/>
          <w:sz w:val="22"/>
          <w:szCs w:val="22"/>
        </w:rPr>
        <w:t xml:space="preserve">1.  </w:t>
      </w:r>
      <w:r w:rsidRPr="00A73083" w:rsidR="00AF1157">
        <w:rPr>
          <w:rFonts w:ascii="Arial" w:hAnsi="Arial" w:cs="Arial"/>
          <w:i/>
          <w:sz w:val="22"/>
          <w:szCs w:val="22"/>
        </w:rPr>
        <w:t>What are the circumstances that make this collection of information necessary</w:t>
      </w:r>
      <w:r w:rsidRPr="00A73083">
        <w:rPr>
          <w:rFonts w:ascii="Arial" w:hAnsi="Arial" w:cs="Arial"/>
          <w:i/>
          <w:sz w:val="22"/>
          <w:szCs w:val="22"/>
        </w:rPr>
        <w:t>,</w:t>
      </w:r>
      <w:r w:rsidRPr="00A73083" w:rsidR="00AF1157">
        <w:rPr>
          <w:rFonts w:ascii="Arial" w:hAnsi="Arial" w:cs="Arial"/>
          <w:i/>
          <w:sz w:val="22"/>
          <w:szCs w:val="22"/>
        </w:rPr>
        <w:t xml:space="preserve"> and what legal or administrative requirements necessitate the collection?</w:t>
      </w:r>
      <w:r w:rsidRPr="00A73083" w:rsidR="005E4F99">
        <w:rPr>
          <w:rFonts w:ascii="Arial" w:hAnsi="Arial" w:cs="Arial"/>
          <w:i/>
          <w:sz w:val="22"/>
          <w:szCs w:val="22"/>
        </w:rPr>
        <w:t xml:space="preserve">  Also </w:t>
      </w:r>
      <w:r w:rsidRPr="00A73083">
        <w:rPr>
          <w:rFonts w:ascii="Arial" w:hAnsi="Arial" w:cs="Arial"/>
          <w:i/>
          <w:sz w:val="22"/>
          <w:szCs w:val="22"/>
        </w:rPr>
        <w:t xml:space="preserve">align </w:t>
      </w:r>
      <w:r w:rsidRPr="00A73083" w:rsidR="005E4F99">
        <w:rPr>
          <w:rFonts w:ascii="Arial" w:hAnsi="Arial" w:cs="Arial"/>
          <w:i/>
          <w:sz w:val="22"/>
          <w:szCs w:val="22"/>
        </w:rPr>
        <w:t xml:space="preserve">the information collection to </w:t>
      </w:r>
      <w:r w:rsidRPr="00A73083" w:rsidR="00074898">
        <w:rPr>
          <w:rFonts w:ascii="Arial" w:hAnsi="Arial" w:cs="Arial"/>
          <w:i/>
          <w:sz w:val="22"/>
          <w:szCs w:val="22"/>
        </w:rPr>
        <w:t>TTB</w:t>
      </w:r>
      <w:r w:rsidRPr="00A73083">
        <w:rPr>
          <w:rFonts w:ascii="Arial" w:hAnsi="Arial" w:cs="Arial"/>
          <w:i/>
          <w:sz w:val="22"/>
          <w:szCs w:val="22"/>
        </w:rPr>
        <w:t>’s</w:t>
      </w:r>
      <w:r w:rsidRPr="00A73083" w:rsidR="00074898">
        <w:rPr>
          <w:rFonts w:ascii="Arial" w:hAnsi="Arial" w:cs="Arial"/>
          <w:i/>
          <w:sz w:val="22"/>
          <w:szCs w:val="22"/>
        </w:rPr>
        <w:t xml:space="preserve"> </w:t>
      </w:r>
      <w:r w:rsidRPr="00A73083" w:rsidR="005E4F99">
        <w:rPr>
          <w:rFonts w:ascii="Arial" w:hAnsi="Arial" w:cs="Arial"/>
          <w:i/>
          <w:sz w:val="22"/>
          <w:szCs w:val="22"/>
        </w:rPr>
        <w:t>Line of Business/Sub-function and IT Investment, if one is used.</w:t>
      </w:r>
      <w:r w:rsidRPr="00A73083">
        <w:rPr>
          <w:rFonts w:ascii="Arial" w:hAnsi="Arial" w:cs="Arial"/>
          <w:i/>
          <w:sz w:val="22"/>
          <w:szCs w:val="22"/>
        </w:rPr>
        <w:t xml:space="preserve"> </w:t>
      </w:r>
    </w:p>
    <w:p w:rsidRPr="00A73083" w:rsidR="002F1F16" w:rsidP="00812FFC" w:rsidRDefault="002F1F16" w14:paraId="4DB1ACE3" w14:textId="61047403">
      <w:pPr>
        <w:ind w:left="360"/>
        <w:rPr>
          <w:rFonts w:ascii="Arial" w:hAnsi="Arial" w:cs="Arial"/>
          <w:sz w:val="22"/>
          <w:szCs w:val="22"/>
        </w:rPr>
      </w:pPr>
    </w:p>
    <w:p w:rsidRPr="00A73083" w:rsidR="009A60DE" w:rsidP="009A60DE" w:rsidRDefault="009A60DE" w14:paraId="5690DCA2" w14:textId="1AB9FDEC">
      <w:pPr>
        <w:ind w:left="360"/>
        <w:rPr>
          <w:rFonts w:ascii="Arial" w:hAnsi="Arial" w:cs="Arial"/>
          <w:sz w:val="22"/>
          <w:szCs w:val="22"/>
        </w:rPr>
      </w:pPr>
      <w:r w:rsidRPr="00A73083">
        <w:rPr>
          <w:rFonts w:ascii="Arial" w:hAnsi="Arial" w:cs="Arial"/>
          <w:sz w:val="22"/>
          <w:szCs w:val="22"/>
        </w:rPr>
        <w:t>The Alcohol and Tobacco Tax and Trade Bureau (TTB) administers chapter 51 (distilled spirits, wine, and beer), chapter 52 (tobacco products, processed tobacco, and cigarette papers and tubes), and sections 4181–4182 (firearms and ammunition excise taxes) of the Internal Revenue Code of 1986, as amended, (IRC, 26 U.S.C.) pursuant to section 1111(d) of the Homeland Securit</w:t>
      </w:r>
      <w:r w:rsidRPr="00A73083" w:rsidR="004F0E58">
        <w:rPr>
          <w:rFonts w:ascii="Arial" w:hAnsi="Arial" w:cs="Arial"/>
          <w:sz w:val="22"/>
          <w:szCs w:val="22"/>
        </w:rPr>
        <w:t>y Act of 2002, as codified at 6 </w:t>
      </w:r>
      <w:r w:rsidRPr="00A73083">
        <w:rPr>
          <w:rFonts w:ascii="Arial" w:hAnsi="Arial" w:cs="Arial"/>
          <w:sz w:val="22"/>
          <w:szCs w:val="22"/>
        </w:rPr>
        <w:t xml:space="preserve">U.S.C. 531(d).  In addition, the Secretary of the Treasury </w:t>
      </w:r>
      <w:r w:rsidRPr="00A73083" w:rsidR="00CF4BCB">
        <w:rPr>
          <w:rFonts w:ascii="Arial" w:hAnsi="Arial" w:cs="Arial"/>
          <w:sz w:val="22"/>
          <w:szCs w:val="22"/>
        </w:rPr>
        <w:t xml:space="preserve">(the Secretary) </w:t>
      </w:r>
      <w:r w:rsidRPr="00A73083">
        <w:rPr>
          <w:rFonts w:ascii="Arial" w:hAnsi="Arial" w:cs="Arial"/>
          <w:sz w:val="22"/>
          <w:szCs w:val="22"/>
        </w:rPr>
        <w:t>has delegated certain IRC administrative and enforcement authorities to TTB through Treasury Department Order 120–01.</w:t>
      </w:r>
      <w:r w:rsidRPr="00A73083" w:rsidR="004F0E58">
        <w:rPr>
          <w:rFonts w:ascii="Arial" w:hAnsi="Arial" w:cs="Arial"/>
          <w:sz w:val="22"/>
          <w:szCs w:val="22"/>
        </w:rPr>
        <w:t xml:space="preserve"> </w:t>
      </w:r>
    </w:p>
    <w:p w:rsidRPr="00A73083" w:rsidR="00C265E5" w:rsidP="009A60DE" w:rsidRDefault="00C265E5" w14:paraId="5231864E" w14:textId="77777777">
      <w:pPr>
        <w:ind w:left="360"/>
        <w:rPr>
          <w:rFonts w:ascii="Arial" w:hAnsi="Arial" w:cs="Arial"/>
          <w:sz w:val="22"/>
          <w:szCs w:val="22"/>
        </w:rPr>
      </w:pPr>
    </w:p>
    <w:p w:rsidRPr="00A73083" w:rsidR="004D66FF" w:rsidP="009A60DE" w:rsidRDefault="002D463F" w14:paraId="7688E0DE" w14:textId="7F00F9E1">
      <w:pPr>
        <w:suppressAutoHyphens/>
        <w:ind w:left="360"/>
        <w:rPr>
          <w:rFonts w:ascii="Arial" w:hAnsi="Arial" w:cs="Arial"/>
          <w:sz w:val="22"/>
          <w:szCs w:val="22"/>
        </w:rPr>
      </w:pPr>
      <w:r w:rsidRPr="00A73083">
        <w:rPr>
          <w:rFonts w:ascii="Arial" w:hAnsi="Arial" w:cs="Arial"/>
          <w:sz w:val="22"/>
          <w:szCs w:val="22"/>
        </w:rPr>
        <w:t xml:space="preserve">The IRC, at 26 U.S.C. </w:t>
      </w:r>
      <w:r w:rsidRPr="00A73083" w:rsidR="003C1674">
        <w:rPr>
          <w:rFonts w:ascii="Arial" w:hAnsi="Arial" w:cs="Arial"/>
          <w:sz w:val="22"/>
          <w:szCs w:val="22"/>
        </w:rPr>
        <w:t xml:space="preserve">5066, </w:t>
      </w:r>
      <w:r w:rsidRPr="00A73083">
        <w:rPr>
          <w:rFonts w:ascii="Arial" w:hAnsi="Arial" w:cs="Arial"/>
          <w:sz w:val="22"/>
          <w:szCs w:val="22"/>
        </w:rPr>
        <w:t>5214</w:t>
      </w:r>
      <w:r w:rsidRPr="00A73083" w:rsidR="009A60DE">
        <w:rPr>
          <w:rFonts w:ascii="Arial" w:hAnsi="Arial" w:cs="Arial"/>
          <w:sz w:val="22"/>
          <w:szCs w:val="22"/>
        </w:rPr>
        <w:t>,</w:t>
      </w:r>
      <w:r w:rsidRPr="00A73083">
        <w:rPr>
          <w:rFonts w:ascii="Arial" w:hAnsi="Arial" w:cs="Arial"/>
          <w:sz w:val="22"/>
          <w:szCs w:val="22"/>
        </w:rPr>
        <w:t xml:space="preserve"> and 5362, provides that distilled spirits, denatured spirits, and wines may be withdrawn from bonded premises</w:t>
      </w:r>
      <w:r w:rsidRPr="00A73083" w:rsidR="009A60DE">
        <w:rPr>
          <w:rFonts w:ascii="Arial" w:hAnsi="Arial" w:cs="Arial"/>
          <w:sz w:val="22"/>
          <w:szCs w:val="22"/>
        </w:rPr>
        <w:t>,</w:t>
      </w:r>
      <w:r w:rsidRPr="00A73083">
        <w:rPr>
          <w:rFonts w:ascii="Arial" w:hAnsi="Arial" w:cs="Arial"/>
          <w:sz w:val="22"/>
          <w:szCs w:val="22"/>
        </w:rPr>
        <w:t xml:space="preserve"> without payment of Federal alcohol excise tax</w:t>
      </w:r>
      <w:r w:rsidRPr="00A73083" w:rsidR="009A60DE">
        <w:rPr>
          <w:rFonts w:ascii="Arial" w:hAnsi="Arial" w:cs="Arial"/>
          <w:sz w:val="22"/>
          <w:szCs w:val="22"/>
        </w:rPr>
        <w:t>,</w:t>
      </w:r>
      <w:r w:rsidR="00FF52BF">
        <w:rPr>
          <w:rFonts w:ascii="Arial" w:hAnsi="Arial" w:cs="Arial"/>
          <w:sz w:val="22"/>
          <w:szCs w:val="22"/>
        </w:rPr>
        <w:t xml:space="preserve"> for export purposes.  Those purposes include </w:t>
      </w:r>
      <w:r w:rsidR="00A50027">
        <w:rPr>
          <w:rFonts w:ascii="Arial" w:hAnsi="Arial" w:cs="Arial"/>
          <w:sz w:val="22"/>
          <w:szCs w:val="22"/>
        </w:rPr>
        <w:t xml:space="preserve">for </w:t>
      </w:r>
      <w:r w:rsidR="00FF52BF">
        <w:rPr>
          <w:rFonts w:ascii="Arial" w:hAnsi="Arial" w:cs="Arial"/>
          <w:sz w:val="22"/>
          <w:szCs w:val="22"/>
        </w:rPr>
        <w:t xml:space="preserve">direct export, </w:t>
      </w:r>
      <w:r w:rsidR="00A50027">
        <w:rPr>
          <w:rFonts w:ascii="Arial" w:hAnsi="Arial" w:cs="Arial"/>
          <w:sz w:val="22"/>
          <w:szCs w:val="22"/>
        </w:rPr>
        <w:t xml:space="preserve">for </w:t>
      </w:r>
      <w:r w:rsidRPr="00A73083">
        <w:rPr>
          <w:rFonts w:ascii="Arial" w:hAnsi="Arial" w:cs="Arial"/>
          <w:sz w:val="22"/>
          <w:szCs w:val="22"/>
        </w:rPr>
        <w:t>transfer to a foreign trade zone, a customs manufactur</w:t>
      </w:r>
      <w:r w:rsidRPr="00A73083" w:rsidR="00CA4B17">
        <w:rPr>
          <w:rFonts w:ascii="Arial" w:hAnsi="Arial" w:cs="Arial"/>
          <w:sz w:val="22"/>
          <w:szCs w:val="22"/>
        </w:rPr>
        <w:t>ing</w:t>
      </w:r>
      <w:r w:rsidRPr="00A73083">
        <w:rPr>
          <w:rFonts w:ascii="Arial" w:hAnsi="Arial" w:cs="Arial"/>
          <w:sz w:val="22"/>
          <w:szCs w:val="22"/>
        </w:rPr>
        <w:t xml:space="preserve"> bonded warehouse or a customs bonded warehouse</w:t>
      </w:r>
      <w:r w:rsidR="00FF52BF">
        <w:rPr>
          <w:rFonts w:ascii="Arial" w:hAnsi="Arial" w:cs="Arial"/>
          <w:sz w:val="22"/>
          <w:szCs w:val="22"/>
        </w:rPr>
        <w:t xml:space="preserve"> for later export,</w:t>
      </w:r>
      <w:r w:rsidRPr="00A73083">
        <w:rPr>
          <w:rFonts w:ascii="Arial" w:hAnsi="Arial" w:cs="Arial"/>
          <w:sz w:val="22"/>
          <w:szCs w:val="22"/>
        </w:rPr>
        <w:t xml:space="preserve"> or </w:t>
      </w:r>
      <w:r w:rsidR="00A50027">
        <w:rPr>
          <w:rFonts w:ascii="Arial" w:hAnsi="Arial" w:cs="Arial"/>
          <w:sz w:val="22"/>
          <w:szCs w:val="22"/>
        </w:rPr>
        <w:t xml:space="preserve">for </w:t>
      </w:r>
      <w:r w:rsidRPr="00A73083">
        <w:rPr>
          <w:rFonts w:ascii="Arial" w:hAnsi="Arial" w:cs="Arial"/>
          <w:sz w:val="22"/>
          <w:szCs w:val="22"/>
        </w:rPr>
        <w:t>use as su</w:t>
      </w:r>
      <w:r w:rsidR="00FF52BF">
        <w:rPr>
          <w:rFonts w:ascii="Arial" w:hAnsi="Arial" w:cs="Arial"/>
          <w:sz w:val="22"/>
          <w:szCs w:val="22"/>
        </w:rPr>
        <w:t xml:space="preserve">pplies on </w:t>
      </w:r>
      <w:r w:rsidRPr="00A73083" w:rsidR="004D66FF">
        <w:rPr>
          <w:rFonts w:ascii="Arial" w:hAnsi="Arial" w:cs="Arial"/>
          <w:sz w:val="22"/>
          <w:szCs w:val="22"/>
        </w:rPr>
        <w:t>vessels or aircraft</w:t>
      </w:r>
      <w:r w:rsidR="00FF52BF">
        <w:rPr>
          <w:rFonts w:ascii="Arial" w:hAnsi="Arial" w:cs="Arial"/>
          <w:sz w:val="22"/>
          <w:szCs w:val="22"/>
        </w:rPr>
        <w:t xml:space="preserve"> traveling outside the jurisdiction of the United States</w:t>
      </w:r>
      <w:r w:rsidRPr="00A73083" w:rsidR="004D66FF">
        <w:rPr>
          <w:rFonts w:ascii="Arial" w:hAnsi="Arial" w:cs="Arial"/>
          <w:sz w:val="22"/>
          <w:szCs w:val="22"/>
        </w:rPr>
        <w:t>.  These IRC sections also state that such withdrawals are subject to regulations prescribed by the Secretary</w:t>
      </w:r>
      <w:r w:rsidRPr="00A73083" w:rsidR="004F0E58">
        <w:rPr>
          <w:rFonts w:ascii="Arial" w:hAnsi="Arial" w:cs="Arial"/>
          <w:sz w:val="22"/>
          <w:szCs w:val="22"/>
        </w:rPr>
        <w:t>.</w:t>
      </w:r>
      <w:r w:rsidRPr="00A73083" w:rsidR="004D66FF">
        <w:rPr>
          <w:rFonts w:ascii="Arial" w:hAnsi="Arial" w:cs="Arial"/>
          <w:sz w:val="22"/>
          <w:szCs w:val="22"/>
        </w:rPr>
        <w:t xml:space="preserve"> </w:t>
      </w:r>
    </w:p>
    <w:p w:rsidRPr="00A73083" w:rsidR="004D66FF" w:rsidP="009A60DE" w:rsidRDefault="004D66FF" w14:paraId="15B8AA4B" w14:textId="77777777">
      <w:pPr>
        <w:suppressAutoHyphens/>
        <w:ind w:left="360"/>
        <w:rPr>
          <w:rFonts w:ascii="Arial" w:hAnsi="Arial" w:cs="Arial"/>
          <w:sz w:val="22"/>
          <w:szCs w:val="22"/>
        </w:rPr>
      </w:pPr>
    </w:p>
    <w:p w:rsidRPr="00A73083" w:rsidR="00296F40" w:rsidP="009A60DE" w:rsidRDefault="009A60DE" w14:paraId="3A8D4478" w14:textId="3FC5B456">
      <w:pPr>
        <w:suppressAutoHyphens/>
        <w:ind w:left="360"/>
        <w:rPr>
          <w:rFonts w:ascii="Arial" w:hAnsi="Arial" w:cs="Arial"/>
          <w:sz w:val="22"/>
          <w:szCs w:val="22"/>
        </w:rPr>
      </w:pPr>
      <w:r w:rsidRPr="00A73083">
        <w:rPr>
          <w:rFonts w:ascii="Arial" w:hAnsi="Arial" w:cs="Arial"/>
          <w:sz w:val="22"/>
          <w:szCs w:val="22"/>
        </w:rPr>
        <w:t xml:space="preserve">Under those authorities, TTB has </w:t>
      </w:r>
      <w:r w:rsidRPr="00A73083" w:rsidR="004F0E58">
        <w:rPr>
          <w:rFonts w:ascii="Arial" w:hAnsi="Arial" w:cs="Arial"/>
          <w:sz w:val="22"/>
          <w:szCs w:val="22"/>
        </w:rPr>
        <w:t xml:space="preserve">issued </w:t>
      </w:r>
      <w:r w:rsidRPr="00A73083">
        <w:rPr>
          <w:rFonts w:ascii="Arial" w:hAnsi="Arial" w:cs="Arial"/>
          <w:sz w:val="22"/>
          <w:szCs w:val="22"/>
        </w:rPr>
        <w:t>r</w:t>
      </w:r>
      <w:r w:rsidRPr="00A73083" w:rsidR="00B60CE4">
        <w:rPr>
          <w:rFonts w:ascii="Arial" w:hAnsi="Arial" w:cs="Arial"/>
          <w:sz w:val="22"/>
          <w:szCs w:val="22"/>
        </w:rPr>
        <w:t xml:space="preserve">egulations regarding the exportation </w:t>
      </w:r>
      <w:r w:rsidRPr="00A73083">
        <w:rPr>
          <w:rFonts w:ascii="Arial" w:hAnsi="Arial" w:cs="Arial"/>
          <w:sz w:val="22"/>
          <w:szCs w:val="22"/>
        </w:rPr>
        <w:t>of alcohol</w:t>
      </w:r>
      <w:r w:rsidRPr="00A73083" w:rsidR="00C3741F">
        <w:rPr>
          <w:rFonts w:ascii="Arial" w:hAnsi="Arial" w:cs="Arial"/>
          <w:sz w:val="22"/>
          <w:szCs w:val="22"/>
        </w:rPr>
        <w:t xml:space="preserve">, which are contained in 27 CFR part 28.  </w:t>
      </w:r>
      <w:r w:rsidR="00FF52BF">
        <w:rPr>
          <w:rFonts w:ascii="Arial" w:hAnsi="Arial" w:cs="Arial"/>
          <w:sz w:val="22"/>
          <w:szCs w:val="22"/>
        </w:rPr>
        <w:t>Specific to this information collection, t</w:t>
      </w:r>
      <w:r w:rsidRPr="00A73083" w:rsidR="004E701D">
        <w:rPr>
          <w:rFonts w:ascii="Arial" w:hAnsi="Arial" w:cs="Arial"/>
          <w:sz w:val="22"/>
          <w:szCs w:val="22"/>
        </w:rPr>
        <w:t>h</w:t>
      </w:r>
      <w:r w:rsidRPr="00A73083" w:rsidR="00C3741F">
        <w:rPr>
          <w:rFonts w:ascii="Arial" w:hAnsi="Arial" w:cs="Arial"/>
          <w:sz w:val="22"/>
          <w:szCs w:val="22"/>
        </w:rPr>
        <w:t xml:space="preserve">e TTB regulations at 27 CFR 28.92, 28.122, and 28.152, </w:t>
      </w:r>
      <w:r w:rsidRPr="00A73083" w:rsidR="004E701D">
        <w:rPr>
          <w:rFonts w:ascii="Arial" w:hAnsi="Arial" w:cs="Arial"/>
          <w:sz w:val="22"/>
          <w:szCs w:val="22"/>
        </w:rPr>
        <w:t xml:space="preserve">require </w:t>
      </w:r>
      <w:r w:rsidR="00A50027">
        <w:rPr>
          <w:rFonts w:ascii="Arial" w:hAnsi="Arial" w:cs="Arial"/>
          <w:sz w:val="22"/>
          <w:szCs w:val="22"/>
        </w:rPr>
        <w:t>respondents</w:t>
      </w:r>
      <w:r w:rsidRPr="00A73083" w:rsidR="00296F40">
        <w:rPr>
          <w:rFonts w:ascii="Arial" w:hAnsi="Arial" w:cs="Arial"/>
          <w:sz w:val="22"/>
          <w:szCs w:val="22"/>
        </w:rPr>
        <w:t xml:space="preserve"> </w:t>
      </w:r>
      <w:r w:rsidRPr="00A73083" w:rsidR="00C3741F">
        <w:rPr>
          <w:rFonts w:ascii="Arial" w:hAnsi="Arial" w:cs="Arial"/>
          <w:sz w:val="22"/>
          <w:szCs w:val="22"/>
        </w:rPr>
        <w:t xml:space="preserve">to </w:t>
      </w:r>
      <w:r w:rsidR="00A50027">
        <w:rPr>
          <w:rFonts w:ascii="Arial" w:hAnsi="Arial" w:cs="Arial"/>
          <w:sz w:val="22"/>
          <w:szCs w:val="22"/>
        </w:rPr>
        <w:t>use form TTB F 5100.11 to report withdrawals from bonded premises of distilled spirits, denatured spirits, or wines, made without payment of tax for export purposes.</w:t>
      </w:r>
      <w:r w:rsidRPr="00A50027" w:rsidR="00A50027">
        <w:rPr>
          <w:rStyle w:val="FootnoteReference"/>
          <w:rFonts w:ascii="Arial" w:hAnsi="Arial" w:cs="Arial"/>
          <w:sz w:val="22"/>
          <w:szCs w:val="22"/>
        </w:rPr>
        <w:t xml:space="preserve"> </w:t>
      </w:r>
      <w:r w:rsidRPr="00A73083" w:rsidR="00A50027">
        <w:rPr>
          <w:rStyle w:val="FootnoteReference"/>
          <w:rFonts w:ascii="Arial" w:hAnsi="Arial" w:cs="Arial"/>
          <w:sz w:val="22"/>
          <w:szCs w:val="22"/>
        </w:rPr>
        <w:footnoteReference w:id="1"/>
      </w:r>
      <w:r w:rsidR="00A50027">
        <w:rPr>
          <w:rFonts w:ascii="Arial" w:hAnsi="Arial" w:cs="Arial"/>
          <w:sz w:val="22"/>
          <w:szCs w:val="22"/>
        </w:rPr>
        <w:t xml:space="preserve">  Under those regulations, such purposes include direct </w:t>
      </w:r>
      <w:r w:rsidRPr="00A73083" w:rsidR="004E701D">
        <w:rPr>
          <w:rFonts w:ascii="Arial" w:hAnsi="Arial" w:cs="Arial"/>
          <w:sz w:val="22"/>
          <w:szCs w:val="22"/>
        </w:rPr>
        <w:t>export</w:t>
      </w:r>
      <w:r w:rsidRPr="00A73083" w:rsidR="0039034A">
        <w:rPr>
          <w:rFonts w:ascii="Arial" w:hAnsi="Arial" w:cs="Arial"/>
          <w:sz w:val="22"/>
          <w:szCs w:val="22"/>
        </w:rPr>
        <w:t xml:space="preserve"> </w:t>
      </w:r>
      <w:r w:rsidRPr="00A73083" w:rsidR="004F0E58">
        <w:rPr>
          <w:rFonts w:ascii="Arial" w:hAnsi="Arial" w:cs="Arial"/>
          <w:sz w:val="22"/>
          <w:szCs w:val="22"/>
        </w:rPr>
        <w:t xml:space="preserve">to a foreign country </w:t>
      </w:r>
      <w:r w:rsidRPr="00A73083" w:rsidR="0039034A">
        <w:rPr>
          <w:rFonts w:ascii="Arial" w:hAnsi="Arial" w:cs="Arial"/>
          <w:sz w:val="22"/>
          <w:szCs w:val="22"/>
        </w:rPr>
        <w:t xml:space="preserve">or </w:t>
      </w:r>
      <w:r w:rsidRPr="00A73083" w:rsidR="004E701D">
        <w:rPr>
          <w:rFonts w:ascii="Arial" w:hAnsi="Arial" w:cs="Arial"/>
          <w:sz w:val="22"/>
          <w:szCs w:val="22"/>
        </w:rPr>
        <w:t xml:space="preserve">United States </w:t>
      </w:r>
      <w:r w:rsidRPr="00A73083" w:rsidR="0039034A">
        <w:rPr>
          <w:rFonts w:ascii="Arial" w:hAnsi="Arial" w:cs="Arial"/>
          <w:sz w:val="22"/>
          <w:szCs w:val="22"/>
        </w:rPr>
        <w:t xml:space="preserve">armed forces </w:t>
      </w:r>
      <w:r w:rsidRPr="00A73083" w:rsidR="003B011E">
        <w:rPr>
          <w:rFonts w:ascii="Arial" w:hAnsi="Arial" w:cs="Arial"/>
          <w:sz w:val="22"/>
          <w:szCs w:val="22"/>
        </w:rPr>
        <w:t xml:space="preserve">stationed </w:t>
      </w:r>
      <w:r w:rsidRPr="00A73083" w:rsidR="004F0E58">
        <w:rPr>
          <w:rFonts w:ascii="Arial" w:hAnsi="Arial" w:cs="Arial"/>
          <w:sz w:val="22"/>
          <w:szCs w:val="22"/>
        </w:rPr>
        <w:t>overseas</w:t>
      </w:r>
      <w:r w:rsidR="00FF52BF">
        <w:rPr>
          <w:rFonts w:ascii="Arial" w:hAnsi="Arial" w:cs="Arial"/>
          <w:sz w:val="22"/>
          <w:szCs w:val="22"/>
        </w:rPr>
        <w:t>;</w:t>
      </w:r>
      <w:r w:rsidRPr="00A73083" w:rsidR="0039034A">
        <w:rPr>
          <w:rFonts w:ascii="Arial" w:hAnsi="Arial" w:cs="Arial"/>
          <w:sz w:val="22"/>
          <w:szCs w:val="22"/>
        </w:rPr>
        <w:t xml:space="preserve"> transfer to a foreign trade zone, a customs </w:t>
      </w:r>
      <w:r w:rsidRPr="00A73083" w:rsidR="00754C15">
        <w:rPr>
          <w:rFonts w:ascii="Arial" w:hAnsi="Arial" w:cs="Arial"/>
          <w:sz w:val="22"/>
          <w:szCs w:val="22"/>
        </w:rPr>
        <w:t>m</w:t>
      </w:r>
      <w:r w:rsidRPr="00A73083" w:rsidR="0039034A">
        <w:rPr>
          <w:rFonts w:ascii="Arial" w:hAnsi="Arial" w:cs="Arial"/>
          <w:sz w:val="22"/>
          <w:szCs w:val="22"/>
        </w:rPr>
        <w:t>anufacturing bonded warehouse</w:t>
      </w:r>
      <w:r w:rsidR="00A50027">
        <w:rPr>
          <w:rFonts w:ascii="Arial" w:hAnsi="Arial" w:cs="Arial"/>
          <w:sz w:val="22"/>
          <w:szCs w:val="22"/>
        </w:rPr>
        <w:t>,</w:t>
      </w:r>
      <w:r w:rsidRPr="00A73083" w:rsidR="0039034A">
        <w:rPr>
          <w:rFonts w:ascii="Arial" w:hAnsi="Arial" w:cs="Arial"/>
          <w:sz w:val="22"/>
          <w:szCs w:val="22"/>
        </w:rPr>
        <w:t xml:space="preserve"> or a customs bonded warehouse</w:t>
      </w:r>
      <w:r w:rsidRPr="00A73083" w:rsidR="008449C4">
        <w:rPr>
          <w:rFonts w:ascii="Arial" w:hAnsi="Arial" w:cs="Arial"/>
          <w:sz w:val="22"/>
          <w:szCs w:val="22"/>
        </w:rPr>
        <w:t xml:space="preserve"> for subsequent export</w:t>
      </w:r>
      <w:r w:rsidR="00FF52BF">
        <w:rPr>
          <w:rFonts w:ascii="Arial" w:hAnsi="Arial" w:cs="Arial"/>
          <w:sz w:val="22"/>
          <w:szCs w:val="22"/>
        </w:rPr>
        <w:t>;</w:t>
      </w:r>
      <w:r w:rsidRPr="00A73083" w:rsidR="0039034A">
        <w:rPr>
          <w:rFonts w:ascii="Arial" w:hAnsi="Arial" w:cs="Arial"/>
          <w:sz w:val="22"/>
          <w:szCs w:val="22"/>
        </w:rPr>
        <w:t xml:space="preserve"> or </w:t>
      </w:r>
      <w:r w:rsidR="000562C4">
        <w:rPr>
          <w:rFonts w:ascii="Arial" w:hAnsi="Arial" w:cs="Arial"/>
          <w:sz w:val="22"/>
          <w:szCs w:val="22"/>
        </w:rPr>
        <w:t xml:space="preserve">for </w:t>
      </w:r>
      <w:r w:rsidRPr="00A73083" w:rsidR="0039034A">
        <w:rPr>
          <w:rFonts w:ascii="Arial" w:hAnsi="Arial" w:cs="Arial"/>
          <w:sz w:val="22"/>
          <w:szCs w:val="22"/>
        </w:rPr>
        <w:t xml:space="preserve">use as supplies on </w:t>
      </w:r>
      <w:r w:rsidR="00A50027">
        <w:rPr>
          <w:rFonts w:ascii="Arial" w:hAnsi="Arial" w:cs="Arial"/>
          <w:sz w:val="22"/>
          <w:szCs w:val="22"/>
        </w:rPr>
        <w:t xml:space="preserve">international </w:t>
      </w:r>
      <w:r w:rsidRPr="00A73083" w:rsidR="0039034A">
        <w:rPr>
          <w:rFonts w:ascii="Arial" w:hAnsi="Arial" w:cs="Arial"/>
          <w:sz w:val="22"/>
          <w:szCs w:val="22"/>
        </w:rPr>
        <w:t>vessels or aircraft</w:t>
      </w:r>
      <w:r w:rsidRPr="00A73083" w:rsidR="00296F40">
        <w:rPr>
          <w:rFonts w:ascii="Arial" w:hAnsi="Arial" w:cs="Arial"/>
          <w:sz w:val="22"/>
          <w:szCs w:val="22"/>
        </w:rPr>
        <w:t xml:space="preserve">. </w:t>
      </w:r>
      <w:r w:rsidR="00C02260">
        <w:rPr>
          <w:rFonts w:ascii="Arial" w:hAnsi="Arial" w:cs="Arial"/>
          <w:sz w:val="22"/>
          <w:szCs w:val="22"/>
        </w:rPr>
        <w:t xml:space="preserve"> </w:t>
      </w:r>
      <w:r w:rsidRPr="00C02260" w:rsidR="00C02260">
        <w:rPr>
          <w:rFonts w:ascii="Arial" w:hAnsi="Arial" w:cs="Arial"/>
          <w:sz w:val="22"/>
          <w:szCs w:val="22"/>
        </w:rPr>
        <w:t>In general, completion of the form as instructed relieves the exporter of any further excise tax liability with respect to the spirits and wine described on the form</w:t>
      </w:r>
      <w:r w:rsidR="00C02260">
        <w:rPr>
          <w:rFonts w:ascii="Arial" w:hAnsi="Arial" w:cs="Arial"/>
          <w:sz w:val="22"/>
          <w:szCs w:val="22"/>
        </w:rPr>
        <w:t xml:space="preserve">. </w:t>
      </w:r>
    </w:p>
    <w:p w:rsidRPr="00A73083" w:rsidR="002D463F" w:rsidP="009A60DE" w:rsidRDefault="002D463F" w14:paraId="7602244A" w14:textId="4D983B4D">
      <w:pPr>
        <w:suppressAutoHyphens/>
        <w:ind w:left="360"/>
        <w:rPr>
          <w:rFonts w:ascii="Arial" w:hAnsi="Arial" w:cs="Arial"/>
          <w:sz w:val="22"/>
          <w:szCs w:val="22"/>
        </w:rPr>
      </w:pPr>
    </w:p>
    <w:p w:rsidR="00C02260" w:rsidP="009A60DE" w:rsidRDefault="00014276" w14:paraId="2D9BA705" w14:textId="05FC70FE">
      <w:pPr>
        <w:suppressAutoHyphens/>
        <w:ind w:left="360"/>
        <w:rPr>
          <w:rFonts w:ascii="Arial" w:hAnsi="Arial" w:cs="Arial"/>
          <w:sz w:val="22"/>
          <w:szCs w:val="22"/>
        </w:rPr>
      </w:pPr>
      <w:r w:rsidRPr="00A73083">
        <w:rPr>
          <w:rFonts w:ascii="Arial" w:hAnsi="Arial" w:cs="Arial"/>
          <w:sz w:val="22"/>
          <w:szCs w:val="22"/>
        </w:rPr>
        <w:t>Under th</w:t>
      </w:r>
      <w:r w:rsidRPr="00A73083" w:rsidR="00296F40">
        <w:rPr>
          <w:rFonts w:ascii="Arial" w:hAnsi="Arial" w:cs="Arial"/>
          <w:sz w:val="22"/>
          <w:szCs w:val="22"/>
        </w:rPr>
        <w:t>o</w:t>
      </w:r>
      <w:r w:rsidRPr="00A73083">
        <w:rPr>
          <w:rFonts w:ascii="Arial" w:hAnsi="Arial" w:cs="Arial"/>
          <w:sz w:val="22"/>
          <w:szCs w:val="22"/>
        </w:rPr>
        <w:t xml:space="preserve">se </w:t>
      </w:r>
      <w:r w:rsidR="00C02260">
        <w:rPr>
          <w:rFonts w:ascii="Arial" w:hAnsi="Arial" w:cs="Arial"/>
          <w:sz w:val="22"/>
          <w:szCs w:val="22"/>
        </w:rPr>
        <w:t xml:space="preserve">TTB </w:t>
      </w:r>
      <w:r w:rsidRPr="00A73083">
        <w:rPr>
          <w:rFonts w:ascii="Arial" w:hAnsi="Arial" w:cs="Arial"/>
          <w:sz w:val="22"/>
          <w:szCs w:val="22"/>
        </w:rPr>
        <w:t>regulations, i</w:t>
      </w:r>
      <w:r w:rsidRPr="00A73083" w:rsidR="002D463F">
        <w:rPr>
          <w:rFonts w:ascii="Arial" w:hAnsi="Arial" w:cs="Arial"/>
          <w:sz w:val="22"/>
          <w:szCs w:val="22"/>
        </w:rPr>
        <w:t>f the exporter is also the proprietor of the bonded premises from which the spirits o</w:t>
      </w:r>
      <w:r w:rsidRPr="00A73083">
        <w:rPr>
          <w:rFonts w:ascii="Arial" w:hAnsi="Arial" w:cs="Arial"/>
          <w:sz w:val="22"/>
          <w:szCs w:val="22"/>
        </w:rPr>
        <w:t>r wines are to be removed, the proprietor completes Part </w:t>
      </w:r>
      <w:r w:rsidRPr="00A73083" w:rsidR="002D463F">
        <w:rPr>
          <w:rFonts w:ascii="Arial" w:hAnsi="Arial" w:cs="Arial"/>
          <w:sz w:val="22"/>
          <w:szCs w:val="22"/>
        </w:rPr>
        <w:t xml:space="preserve">I of the form </w:t>
      </w:r>
      <w:r w:rsidRPr="00A73083">
        <w:rPr>
          <w:rFonts w:ascii="Arial" w:hAnsi="Arial" w:cs="Arial"/>
          <w:sz w:val="22"/>
          <w:szCs w:val="22"/>
        </w:rPr>
        <w:t>a</w:t>
      </w:r>
      <w:r w:rsidRPr="00A73083" w:rsidR="002D463F">
        <w:rPr>
          <w:rFonts w:ascii="Arial" w:hAnsi="Arial" w:cs="Arial"/>
          <w:sz w:val="22"/>
          <w:szCs w:val="22"/>
        </w:rPr>
        <w:t>s a "notice" of removal</w:t>
      </w:r>
      <w:r w:rsidRPr="00A73083" w:rsidR="004E701D">
        <w:rPr>
          <w:rFonts w:ascii="Arial" w:hAnsi="Arial" w:cs="Arial"/>
          <w:sz w:val="22"/>
          <w:szCs w:val="22"/>
        </w:rPr>
        <w:t xml:space="preserve">.  </w:t>
      </w:r>
      <w:r w:rsidRPr="00A73083" w:rsidR="008449C4">
        <w:rPr>
          <w:rFonts w:ascii="Arial" w:hAnsi="Arial" w:cs="Arial"/>
          <w:sz w:val="22"/>
          <w:szCs w:val="22"/>
        </w:rPr>
        <w:t>H</w:t>
      </w:r>
      <w:r w:rsidRPr="00A73083" w:rsidR="002D463F">
        <w:rPr>
          <w:rFonts w:ascii="Arial" w:hAnsi="Arial" w:cs="Arial"/>
          <w:sz w:val="22"/>
          <w:szCs w:val="22"/>
        </w:rPr>
        <w:t xml:space="preserve">owever, </w:t>
      </w:r>
      <w:r w:rsidRPr="00A73083" w:rsidR="008449C4">
        <w:rPr>
          <w:rFonts w:ascii="Arial" w:hAnsi="Arial" w:cs="Arial"/>
          <w:sz w:val="22"/>
          <w:szCs w:val="22"/>
        </w:rPr>
        <w:t xml:space="preserve">if </w:t>
      </w:r>
      <w:r w:rsidRPr="00A73083" w:rsidR="002D463F">
        <w:rPr>
          <w:rFonts w:ascii="Arial" w:hAnsi="Arial" w:cs="Arial"/>
          <w:sz w:val="22"/>
          <w:szCs w:val="22"/>
        </w:rPr>
        <w:t xml:space="preserve">the exporter is not the </w:t>
      </w:r>
      <w:r w:rsidRPr="00A73083" w:rsidR="008449C4">
        <w:rPr>
          <w:rFonts w:ascii="Arial" w:hAnsi="Arial" w:cs="Arial"/>
          <w:sz w:val="22"/>
          <w:szCs w:val="22"/>
        </w:rPr>
        <w:t xml:space="preserve">same as the </w:t>
      </w:r>
      <w:r w:rsidRPr="00A73083" w:rsidR="002D463F">
        <w:rPr>
          <w:rFonts w:ascii="Arial" w:hAnsi="Arial" w:cs="Arial"/>
          <w:sz w:val="22"/>
          <w:szCs w:val="22"/>
        </w:rPr>
        <w:t>propriet</w:t>
      </w:r>
      <w:r w:rsidRPr="00A73083">
        <w:rPr>
          <w:rFonts w:ascii="Arial" w:hAnsi="Arial" w:cs="Arial"/>
          <w:sz w:val="22"/>
          <w:szCs w:val="22"/>
        </w:rPr>
        <w:t>or</w:t>
      </w:r>
      <w:r w:rsidRPr="00A73083" w:rsidR="008449C4">
        <w:rPr>
          <w:rFonts w:ascii="Arial" w:hAnsi="Arial" w:cs="Arial"/>
          <w:sz w:val="22"/>
          <w:szCs w:val="22"/>
        </w:rPr>
        <w:t>, P</w:t>
      </w:r>
      <w:r w:rsidRPr="00A73083">
        <w:rPr>
          <w:rFonts w:ascii="Arial" w:hAnsi="Arial" w:cs="Arial"/>
          <w:sz w:val="22"/>
          <w:szCs w:val="22"/>
        </w:rPr>
        <w:t>art </w:t>
      </w:r>
      <w:r w:rsidRPr="00A73083" w:rsidR="002D463F">
        <w:rPr>
          <w:rFonts w:ascii="Arial" w:hAnsi="Arial" w:cs="Arial"/>
          <w:sz w:val="22"/>
          <w:szCs w:val="22"/>
        </w:rPr>
        <w:t xml:space="preserve">I becomes </w:t>
      </w:r>
      <w:r w:rsidRPr="00A73083" w:rsidR="004F0E58">
        <w:rPr>
          <w:rFonts w:ascii="Arial" w:hAnsi="Arial" w:cs="Arial"/>
          <w:sz w:val="22"/>
          <w:szCs w:val="22"/>
        </w:rPr>
        <w:t xml:space="preserve">an </w:t>
      </w:r>
      <w:r w:rsidRPr="00A73083" w:rsidR="002D463F">
        <w:rPr>
          <w:rFonts w:ascii="Arial" w:hAnsi="Arial" w:cs="Arial"/>
          <w:sz w:val="22"/>
          <w:szCs w:val="22"/>
        </w:rPr>
        <w:t xml:space="preserve">"application" </w:t>
      </w:r>
      <w:r w:rsidRPr="00A73083" w:rsidR="004E701D">
        <w:rPr>
          <w:rFonts w:ascii="Arial" w:hAnsi="Arial" w:cs="Arial"/>
          <w:sz w:val="22"/>
          <w:szCs w:val="22"/>
        </w:rPr>
        <w:t xml:space="preserve">made by the exporter </w:t>
      </w:r>
      <w:r w:rsidRPr="00A73083" w:rsidR="002D463F">
        <w:rPr>
          <w:rFonts w:ascii="Arial" w:hAnsi="Arial" w:cs="Arial"/>
          <w:sz w:val="22"/>
          <w:szCs w:val="22"/>
        </w:rPr>
        <w:t>to remove the spirits or wines listed o</w:t>
      </w:r>
      <w:r w:rsidRPr="00A73083" w:rsidR="004F0E58">
        <w:rPr>
          <w:rFonts w:ascii="Arial" w:hAnsi="Arial" w:cs="Arial"/>
          <w:sz w:val="22"/>
          <w:szCs w:val="22"/>
        </w:rPr>
        <w:t xml:space="preserve">n the </w:t>
      </w:r>
      <w:r w:rsidRPr="00A73083" w:rsidR="004F0E58">
        <w:rPr>
          <w:rFonts w:ascii="Arial" w:hAnsi="Arial" w:cs="Arial"/>
          <w:sz w:val="22"/>
          <w:szCs w:val="22"/>
        </w:rPr>
        <w:lastRenderedPageBreak/>
        <w:t>form</w:t>
      </w:r>
      <w:r w:rsidRPr="00A73083" w:rsidR="00280ECD">
        <w:rPr>
          <w:rFonts w:ascii="Arial" w:hAnsi="Arial" w:cs="Arial"/>
          <w:sz w:val="22"/>
          <w:szCs w:val="22"/>
        </w:rPr>
        <w:t xml:space="preserve">.  </w:t>
      </w:r>
      <w:r w:rsidRPr="00A73083" w:rsidR="004F0E58">
        <w:rPr>
          <w:rFonts w:ascii="Arial" w:hAnsi="Arial" w:cs="Arial"/>
          <w:sz w:val="22"/>
          <w:szCs w:val="22"/>
        </w:rPr>
        <w:t>If TTB approves the exporter's application</w:t>
      </w:r>
      <w:r w:rsidRPr="00A73083">
        <w:rPr>
          <w:rFonts w:ascii="Arial" w:hAnsi="Arial" w:cs="Arial"/>
          <w:sz w:val="22"/>
          <w:szCs w:val="22"/>
        </w:rPr>
        <w:t>, a TTB officer completes Part </w:t>
      </w:r>
      <w:r w:rsidRPr="00A73083" w:rsidR="002D463F">
        <w:rPr>
          <w:rFonts w:ascii="Arial" w:hAnsi="Arial" w:cs="Arial"/>
          <w:sz w:val="22"/>
          <w:szCs w:val="22"/>
        </w:rPr>
        <w:t>II</w:t>
      </w:r>
      <w:r w:rsidRPr="00A73083" w:rsidR="004F0E58">
        <w:rPr>
          <w:rFonts w:ascii="Arial" w:hAnsi="Arial" w:cs="Arial"/>
          <w:sz w:val="22"/>
          <w:szCs w:val="22"/>
        </w:rPr>
        <w:t>, and th</w:t>
      </w:r>
      <w:r w:rsidRPr="00A73083" w:rsidR="003B011E">
        <w:rPr>
          <w:rFonts w:ascii="Arial" w:hAnsi="Arial" w:cs="Arial"/>
          <w:sz w:val="22"/>
          <w:szCs w:val="22"/>
        </w:rPr>
        <w:t>e</w:t>
      </w:r>
      <w:r w:rsidRPr="00A73083" w:rsidR="00296F40">
        <w:rPr>
          <w:rFonts w:ascii="Arial" w:hAnsi="Arial" w:cs="Arial"/>
          <w:sz w:val="22"/>
          <w:szCs w:val="22"/>
        </w:rPr>
        <w:t xml:space="preserve"> </w:t>
      </w:r>
      <w:r w:rsidRPr="00A73083" w:rsidR="002D463F">
        <w:rPr>
          <w:rFonts w:ascii="Arial" w:hAnsi="Arial" w:cs="Arial"/>
          <w:sz w:val="22"/>
          <w:szCs w:val="22"/>
        </w:rPr>
        <w:t>officer's signature is the proprietor's authorization to remove the spirits or wines from the bonded premises on behalf of the exporter</w:t>
      </w:r>
      <w:r w:rsidRPr="00A73083" w:rsidR="008449C4">
        <w:rPr>
          <w:rFonts w:ascii="Arial" w:hAnsi="Arial" w:cs="Arial"/>
          <w:sz w:val="22"/>
          <w:szCs w:val="22"/>
        </w:rPr>
        <w:t>, which the proprietor reports on Part III or Part IV of the form, as appropriate</w:t>
      </w:r>
      <w:r w:rsidRPr="00A73083" w:rsidR="002D463F">
        <w:rPr>
          <w:rFonts w:ascii="Arial" w:hAnsi="Arial" w:cs="Arial"/>
          <w:sz w:val="22"/>
          <w:szCs w:val="22"/>
        </w:rPr>
        <w:t xml:space="preserve">.  </w:t>
      </w:r>
      <w:r w:rsidRPr="00C02260" w:rsidR="00C02260">
        <w:rPr>
          <w:rFonts w:ascii="Arial" w:hAnsi="Arial" w:cs="Arial"/>
          <w:sz w:val="22"/>
          <w:szCs w:val="22"/>
        </w:rPr>
        <w:t>Customs officers complete Parts V, VI, or VII, as appropriate, to document the export or lading of the spirits and wines in question.  The part of the form to be completed depends upon the nature of the removal</w:t>
      </w:r>
      <w:r w:rsidR="00C02260">
        <w:rPr>
          <w:rFonts w:ascii="Arial" w:hAnsi="Arial" w:cs="Arial"/>
          <w:sz w:val="22"/>
          <w:szCs w:val="22"/>
        </w:rPr>
        <w:t>—</w:t>
      </w:r>
      <w:r w:rsidRPr="00C02260" w:rsidR="00C02260">
        <w:rPr>
          <w:rFonts w:ascii="Arial" w:hAnsi="Arial" w:cs="Arial"/>
          <w:sz w:val="22"/>
          <w:szCs w:val="22"/>
        </w:rPr>
        <w:t xml:space="preserve">for direct export, for transfer to a </w:t>
      </w:r>
      <w:r w:rsidR="00C02260">
        <w:rPr>
          <w:rFonts w:ascii="Arial" w:hAnsi="Arial" w:cs="Arial"/>
          <w:sz w:val="22"/>
          <w:szCs w:val="22"/>
        </w:rPr>
        <w:t xml:space="preserve">customs warehouse or </w:t>
      </w:r>
      <w:r w:rsidRPr="00C02260" w:rsidR="00C02260">
        <w:rPr>
          <w:rFonts w:ascii="Arial" w:hAnsi="Arial" w:cs="Arial"/>
          <w:sz w:val="22"/>
          <w:szCs w:val="22"/>
        </w:rPr>
        <w:t xml:space="preserve">foreign trade zone, </w:t>
      </w:r>
      <w:r w:rsidR="00C02260">
        <w:rPr>
          <w:rFonts w:ascii="Arial" w:hAnsi="Arial" w:cs="Arial"/>
          <w:sz w:val="22"/>
          <w:szCs w:val="22"/>
        </w:rPr>
        <w:t xml:space="preserve">or </w:t>
      </w:r>
      <w:r w:rsidRPr="00C02260" w:rsidR="00C02260">
        <w:rPr>
          <w:rFonts w:ascii="Arial" w:hAnsi="Arial" w:cs="Arial"/>
          <w:sz w:val="22"/>
          <w:szCs w:val="22"/>
        </w:rPr>
        <w:t>for use as supplies on vessels or aircraft.  A U.S. armed forces officer uses Part VIII of the form to certify receipt of spirits and wine for shipment to forces stationed overseas.</w:t>
      </w:r>
      <w:r w:rsidR="00C02260">
        <w:rPr>
          <w:rFonts w:ascii="Arial" w:hAnsi="Arial" w:cs="Arial"/>
          <w:sz w:val="22"/>
          <w:szCs w:val="22"/>
        </w:rPr>
        <w:t xml:space="preserve"> </w:t>
      </w:r>
    </w:p>
    <w:p w:rsidR="00C02260" w:rsidP="009A60DE" w:rsidRDefault="00C02260" w14:paraId="59E27B3B" w14:textId="56DF78F1">
      <w:pPr>
        <w:suppressAutoHyphens/>
        <w:ind w:left="360"/>
        <w:rPr>
          <w:rFonts w:ascii="Arial" w:hAnsi="Arial" w:cs="Arial"/>
          <w:sz w:val="22"/>
          <w:szCs w:val="22"/>
        </w:rPr>
      </w:pPr>
    </w:p>
    <w:p w:rsidR="003244EB" w:rsidP="009A60DE" w:rsidRDefault="003244EB" w14:paraId="5BD712F7" w14:textId="0FD00835">
      <w:pPr>
        <w:suppressAutoHyphens/>
        <w:ind w:left="360"/>
        <w:rPr>
          <w:rFonts w:ascii="Arial" w:hAnsi="Arial" w:cs="Arial"/>
          <w:sz w:val="22"/>
          <w:szCs w:val="22"/>
        </w:rPr>
      </w:pPr>
      <w:r>
        <w:rPr>
          <w:rFonts w:ascii="Arial" w:hAnsi="Arial" w:cs="Arial"/>
          <w:sz w:val="22"/>
          <w:szCs w:val="22"/>
        </w:rPr>
        <w:t xml:space="preserve">This information collection is necessary to protect the revenue.  The use of TTB F 5100.11 allows TTB to verify that exporters have </w:t>
      </w:r>
      <w:r w:rsidR="000B164C">
        <w:rPr>
          <w:rFonts w:ascii="Arial" w:hAnsi="Arial" w:cs="Arial"/>
          <w:sz w:val="22"/>
          <w:szCs w:val="22"/>
        </w:rPr>
        <w:t>sufficient bond coverage, if required, to cover the tax liability for the removed spirits and wines.</w:t>
      </w:r>
      <w:r w:rsidRPr="000B164C" w:rsidR="000B164C">
        <w:rPr>
          <w:rStyle w:val="FootnoteReference"/>
          <w:rFonts w:ascii="Arial" w:hAnsi="Arial" w:cs="Arial"/>
          <w:sz w:val="22"/>
          <w:szCs w:val="22"/>
        </w:rPr>
        <w:t xml:space="preserve"> </w:t>
      </w:r>
      <w:r w:rsidR="000B164C">
        <w:rPr>
          <w:rStyle w:val="FootnoteReference"/>
          <w:rFonts w:ascii="Arial" w:hAnsi="Arial" w:cs="Arial"/>
          <w:sz w:val="22"/>
          <w:szCs w:val="22"/>
        </w:rPr>
        <w:footnoteReference w:id="2"/>
      </w:r>
      <w:r w:rsidR="000B164C">
        <w:rPr>
          <w:rFonts w:ascii="Arial" w:hAnsi="Arial" w:cs="Arial"/>
          <w:sz w:val="22"/>
          <w:szCs w:val="22"/>
        </w:rPr>
        <w:t xml:space="preserve">  The form also documents that the spirits and wines in question were, in fact, exported or laden and not diverted into taxable domestic commerce. </w:t>
      </w:r>
    </w:p>
    <w:p w:rsidR="003244EB" w:rsidP="009A60DE" w:rsidRDefault="003244EB" w14:paraId="73AC733B" w14:textId="77777777">
      <w:pPr>
        <w:suppressAutoHyphens/>
        <w:ind w:left="360"/>
        <w:rPr>
          <w:rFonts w:ascii="Arial" w:hAnsi="Arial" w:cs="Arial"/>
          <w:sz w:val="22"/>
          <w:szCs w:val="22"/>
        </w:rPr>
      </w:pPr>
    </w:p>
    <w:p w:rsidR="002D463F" w:rsidP="009A60DE" w:rsidRDefault="00C02260" w14:paraId="2922A2EF" w14:textId="126CD177">
      <w:pPr>
        <w:suppressAutoHyphens/>
        <w:ind w:left="360"/>
        <w:rPr>
          <w:rFonts w:ascii="Arial" w:hAnsi="Arial" w:cs="Arial"/>
          <w:sz w:val="22"/>
          <w:szCs w:val="22"/>
        </w:rPr>
      </w:pPr>
      <w:r>
        <w:rPr>
          <w:rFonts w:ascii="Arial" w:hAnsi="Arial" w:cs="Arial"/>
          <w:sz w:val="22"/>
          <w:szCs w:val="22"/>
        </w:rPr>
        <w:t xml:space="preserve">The collected information is necessary to protect the revenue.  The required removal </w:t>
      </w:r>
      <w:r w:rsidRPr="00A73083" w:rsidR="002D463F">
        <w:rPr>
          <w:rFonts w:ascii="Arial" w:hAnsi="Arial" w:cs="Arial"/>
          <w:sz w:val="22"/>
          <w:szCs w:val="22"/>
        </w:rPr>
        <w:t>application procedure allows TTB to determine</w:t>
      </w:r>
      <w:r w:rsidRPr="00A73083" w:rsidR="008449C4">
        <w:rPr>
          <w:rFonts w:ascii="Arial" w:hAnsi="Arial" w:cs="Arial"/>
          <w:sz w:val="22"/>
          <w:szCs w:val="22"/>
        </w:rPr>
        <w:t xml:space="preserve"> </w:t>
      </w:r>
      <w:r>
        <w:rPr>
          <w:rFonts w:ascii="Arial" w:hAnsi="Arial" w:cs="Arial"/>
          <w:sz w:val="22"/>
          <w:szCs w:val="22"/>
        </w:rPr>
        <w:t xml:space="preserve">if </w:t>
      </w:r>
      <w:r w:rsidRPr="00A73083" w:rsidR="002D463F">
        <w:rPr>
          <w:rFonts w:ascii="Arial" w:hAnsi="Arial" w:cs="Arial"/>
          <w:sz w:val="22"/>
          <w:szCs w:val="22"/>
        </w:rPr>
        <w:t xml:space="preserve">the exporter </w:t>
      </w:r>
      <w:r w:rsidRPr="00A73083" w:rsidR="003B011E">
        <w:rPr>
          <w:rFonts w:ascii="Arial" w:hAnsi="Arial" w:cs="Arial"/>
          <w:sz w:val="22"/>
          <w:szCs w:val="22"/>
        </w:rPr>
        <w:t xml:space="preserve">has </w:t>
      </w:r>
      <w:r>
        <w:rPr>
          <w:rFonts w:ascii="Arial" w:hAnsi="Arial" w:cs="Arial"/>
          <w:sz w:val="22"/>
          <w:szCs w:val="22"/>
        </w:rPr>
        <w:t xml:space="preserve">a bond </w:t>
      </w:r>
      <w:r w:rsidRPr="00A73083" w:rsidR="004E701D">
        <w:rPr>
          <w:rFonts w:ascii="Arial" w:hAnsi="Arial" w:cs="Arial"/>
          <w:sz w:val="22"/>
          <w:szCs w:val="22"/>
        </w:rPr>
        <w:t>sufficient enough to cover the tax liability on th</w:t>
      </w:r>
      <w:r>
        <w:rPr>
          <w:rFonts w:ascii="Arial" w:hAnsi="Arial" w:cs="Arial"/>
          <w:sz w:val="22"/>
          <w:szCs w:val="22"/>
        </w:rPr>
        <w:t>e products to be removed without payment of tax</w:t>
      </w:r>
      <w:r w:rsidR="003244EB">
        <w:rPr>
          <w:rFonts w:ascii="Arial" w:hAnsi="Arial" w:cs="Arial"/>
          <w:sz w:val="22"/>
          <w:szCs w:val="22"/>
        </w:rPr>
        <w:t xml:space="preserve">, </w:t>
      </w:r>
      <w:r w:rsidRPr="00A73083" w:rsidR="004E701D">
        <w:rPr>
          <w:rFonts w:ascii="Arial" w:hAnsi="Arial" w:cs="Arial"/>
          <w:sz w:val="22"/>
          <w:szCs w:val="22"/>
        </w:rPr>
        <w:t>as required by the IRC at 26 U.S.C. 5175 or 5362(c)</w:t>
      </w:r>
      <w:r w:rsidRPr="00A73083" w:rsidR="008449C4">
        <w:rPr>
          <w:rFonts w:ascii="Arial" w:hAnsi="Arial" w:cs="Arial"/>
          <w:sz w:val="22"/>
          <w:szCs w:val="22"/>
        </w:rPr>
        <w:t>,</w:t>
      </w:r>
      <w:r w:rsidRPr="00A73083" w:rsidR="004E701D">
        <w:rPr>
          <w:rFonts w:ascii="Arial" w:hAnsi="Arial" w:cs="Arial"/>
          <w:sz w:val="22"/>
          <w:szCs w:val="22"/>
        </w:rPr>
        <w:t xml:space="preserve"> or is </w:t>
      </w:r>
      <w:r w:rsidRPr="00A73083" w:rsidR="008449C4">
        <w:rPr>
          <w:rFonts w:ascii="Arial" w:hAnsi="Arial" w:cs="Arial"/>
          <w:sz w:val="22"/>
          <w:szCs w:val="22"/>
        </w:rPr>
        <w:t xml:space="preserve">otherwise </w:t>
      </w:r>
      <w:r w:rsidRPr="00A73083" w:rsidR="00DF5775">
        <w:rPr>
          <w:rFonts w:ascii="Arial" w:hAnsi="Arial" w:cs="Arial"/>
          <w:sz w:val="22"/>
          <w:szCs w:val="22"/>
        </w:rPr>
        <w:t xml:space="preserve">exempt from </w:t>
      </w:r>
      <w:r w:rsidRPr="00A73083" w:rsidR="00280ECD">
        <w:rPr>
          <w:rFonts w:ascii="Arial" w:hAnsi="Arial" w:cs="Arial"/>
          <w:sz w:val="22"/>
          <w:szCs w:val="22"/>
        </w:rPr>
        <w:t>th</w:t>
      </w:r>
      <w:r w:rsidR="003244EB">
        <w:rPr>
          <w:rFonts w:ascii="Arial" w:hAnsi="Arial" w:cs="Arial"/>
          <w:sz w:val="22"/>
          <w:szCs w:val="22"/>
        </w:rPr>
        <w:t xml:space="preserve">ose </w:t>
      </w:r>
      <w:r w:rsidRPr="00A73083" w:rsidR="00DF5775">
        <w:rPr>
          <w:rFonts w:ascii="Arial" w:hAnsi="Arial" w:cs="Arial"/>
          <w:sz w:val="22"/>
          <w:szCs w:val="22"/>
        </w:rPr>
        <w:t xml:space="preserve">bond requirements </w:t>
      </w:r>
      <w:r w:rsidRPr="00A73083" w:rsidR="004E701D">
        <w:rPr>
          <w:rFonts w:ascii="Arial" w:hAnsi="Arial" w:cs="Arial"/>
          <w:sz w:val="22"/>
          <w:szCs w:val="22"/>
        </w:rPr>
        <w:t xml:space="preserve">under </w:t>
      </w:r>
      <w:r w:rsidRPr="00A73083" w:rsidR="00DF5775">
        <w:rPr>
          <w:rFonts w:ascii="Arial" w:hAnsi="Arial" w:cs="Arial"/>
          <w:sz w:val="22"/>
          <w:szCs w:val="22"/>
        </w:rPr>
        <w:t>26 U.S.C. 5551(d)</w:t>
      </w:r>
      <w:r w:rsidRPr="00A73083" w:rsidR="004E701D">
        <w:rPr>
          <w:rFonts w:ascii="Arial" w:hAnsi="Arial" w:cs="Arial"/>
          <w:sz w:val="22"/>
          <w:szCs w:val="22"/>
        </w:rPr>
        <w:t xml:space="preserve">. </w:t>
      </w:r>
      <w:r w:rsidR="003244EB">
        <w:rPr>
          <w:rFonts w:ascii="Arial" w:hAnsi="Arial" w:cs="Arial"/>
          <w:sz w:val="22"/>
          <w:szCs w:val="22"/>
        </w:rPr>
        <w:t xml:space="preserve"> The export or lading certifications provided by customs or armed forces officers documents that the products were, in fact, exported and not diverted into taxable domestic commerce. </w:t>
      </w:r>
    </w:p>
    <w:p w:rsidRPr="00A73083" w:rsidR="003244EB" w:rsidP="009A60DE" w:rsidRDefault="003244EB" w14:paraId="4509DCA8" w14:textId="77777777">
      <w:pPr>
        <w:suppressAutoHyphens/>
        <w:ind w:left="360"/>
        <w:rPr>
          <w:rFonts w:ascii="Arial" w:hAnsi="Arial" w:cs="Arial"/>
          <w:sz w:val="22"/>
          <w:szCs w:val="22"/>
        </w:rPr>
      </w:pPr>
    </w:p>
    <w:p w:rsidRPr="00A73083" w:rsidR="002D463F" w:rsidP="00FA51DA" w:rsidRDefault="002D463F" w14:paraId="18CCFBE8" w14:textId="194CD3D2">
      <w:pPr>
        <w:suppressAutoHyphens/>
        <w:spacing w:after="120"/>
        <w:ind w:left="360"/>
        <w:rPr>
          <w:rFonts w:ascii="Arial" w:hAnsi="Arial" w:cs="Arial"/>
          <w:sz w:val="22"/>
          <w:szCs w:val="22"/>
        </w:rPr>
      </w:pPr>
      <w:r w:rsidRPr="00A73083">
        <w:rPr>
          <w:rFonts w:ascii="Arial" w:hAnsi="Arial" w:cs="Arial"/>
          <w:sz w:val="22"/>
          <w:szCs w:val="22"/>
        </w:rPr>
        <w:t>This information collection is aligned with:</w:t>
      </w:r>
      <w:r w:rsidRPr="00A73083" w:rsidR="00296F40">
        <w:rPr>
          <w:rFonts w:ascii="Arial" w:hAnsi="Arial" w:cs="Arial"/>
          <w:sz w:val="22"/>
          <w:szCs w:val="22"/>
        </w:rPr>
        <w:t xml:space="preserve"> </w:t>
      </w:r>
    </w:p>
    <w:p w:rsidRPr="00A73083" w:rsidR="002D463F" w:rsidP="00FA51DA" w:rsidRDefault="002D463F" w14:paraId="1BB0E260" w14:textId="61465D62">
      <w:pPr>
        <w:suppressAutoHyphens/>
        <w:spacing w:after="120"/>
        <w:ind w:left="720"/>
        <w:rPr>
          <w:rFonts w:ascii="Arial" w:hAnsi="Arial" w:cs="Arial"/>
          <w:sz w:val="22"/>
          <w:szCs w:val="22"/>
        </w:rPr>
      </w:pPr>
      <w:r w:rsidRPr="00A73083">
        <w:rPr>
          <w:rFonts w:ascii="Arial" w:hAnsi="Arial" w:cs="Arial"/>
          <w:sz w:val="22"/>
          <w:szCs w:val="22"/>
          <w:u w:val="single"/>
        </w:rPr>
        <w:t>Line of Business/Sub-function:</w:t>
      </w:r>
      <w:r w:rsidRPr="00A73083">
        <w:rPr>
          <w:rFonts w:ascii="Arial" w:hAnsi="Arial" w:cs="Arial"/>
          <w:sz w:val="22"/>
          <w:szCs w:val="22"/>
        </w:rPr>
        <w:t xml:space="preserve">  General Government/Taxation Management.</w:t>
      </w:r>
      <w:r w:rsidRPr="00A73083" w:rsidR="00296F40">
        <w:rPr>
          <w:rFonts w:ascii="Arial" w:hAnsi="Arial" w:cs="Arial"/>
          <w:sz w:val="22"/>
          <w:szCs w:val="22"/>
        </w:rPr>
        <w:t xml:space="preserve"> </w:t>
      </w:r>
    </w:p>
    <w:p w:rsidRPr="00A73083" w:rsidR="002D463F" w:rsidP="009A60DE" w:rsidRDefault="002D463F" w14:paraId="6BE92BDA" w14:textId="2BAB2F67">
      <w:pPr>
        <w:suppressAutoHyphens/>
        <w:ind w:left="720"/>
        <w:rPr>
          <w:rFonts w:ascii="Arial" w:hAnsi="Arial" w:cs="Arial"/>
          <w:sz w:val="22"/>
          <w:szCs w:val="22"/>
        </w:rPr>
      </w:pPr>
      <w:r w:rsidRPr="00A73083">
        <w:rPr>
          <w:rFonts w:ascii="Arial" w:hAnsi="Arial" w:cs="Arial"/>
          <w:sz w:val="22"/>
          <w:szCs w:val="22"/>
          <w:u w:val="single"/>
        </w:rPr>
        <w:t>IT Investment:</w:t>
      </w:r>
      <w:r w:rsidRPr="00A73083" w:rsidR="00296F40">
        <w:rPr>
          <w:rFonts w:ascii="Arial" w:hAnsi="Arial" w:cs="Arial"/>
          <w:sz w:val="22"/>
          <w:szCs w:val="22"/>
        </w:rPr>
        <w:t xml:space="preserve">  None. </w:t>
      </w:r>
    </w:p>
    <w:p w:rsidRPr="00A02040" w:rsidR="005E4F99" w:rsidP="00D73D2D" w:rsidRDefault="005E4F99" w14:paraId="028D8170" w14:textId="77777777">
      <w:pPr>
        <w:suppressAutoHyphens/>
        <w:rPr>
          <w:rFonts w:ascii="Arial" w:hAnsi="Arial" w:cs="Arial"/>
          <w:sz w:val="28"/>
          <w:szCs w:val="28"/>
        </w:rPr>
      </w:pPr>
    </w:p>
    <w:p w:rsidRPr="00A73083" w:rsidR="00AF1157" w:rsidP="00D73D2D" w:rsidRDefault="00AF1157" w14:paraId="09AB4D41" w14:textId="77777777">
      <w:pPr>
        <w:suppressAutoHyphens/>
        <w:rPr>
          <w:rFonts w:ascii="Arial" w:hAnsi="Arial" w:cs="Arial"/>
          <w:i/>
          <w:sz w:val="22"/>
          <w:szCs w:val="22"/>
        </w:rPr>
      </w:pPr>
      <w:r w:rsidRPr="00A73083">
        <w:rPr>
          <w:rFonts w:ascii="Arial" w:hAnsi="Arial" w:cs="Arial"/>
          <w:i/>
          <w:sz w:val="22"/>
          <w:szCs w:val="22"/>
        </w:rPr>
        <w:t>2.  How, by whom</w:t>
      </w:r>
      <w:r w:rsidRPr="00A73083" w:rsidR="00101DE7">
        <w:rPr>
          <w:rFonts w:ascii="Arial" w:hAnsi="Arial" w:cs="Arial"/>
          <w:i/>
          <w:sz w:val="22"/>
          <w:szCs w:val="22"/>
        </w:rPr>
        <w:t>,</w:t>
      </w:r>
      <w:r w:rsidRPr="00A73083">
        <w:rPr>
          <w:rFonts w:ascii="Arial" w:hAnsi="Arial" w:cs="Arial"/>
          <w:i/>
          <w:sz w:val="22"/>
          <w:szCs w:val="22"/>
        </w:rPr>
        <w:t xml:space="preserve"> and for what purpose is this information used?</w:t>
      </w:r>
      <w:r w:rsidRPr="00A73083" w:rsidR="00D73D2D">
        <w:rPr>
          <w:rFonts w:ascii="Arial" w:hAnsi="Arial" w:cs="Arial"/>
          <w:i/>
          <w:sz w:val="22"/>
          <w:szCs w:val="22"/>
        </w:rPr>
        <w:t xml:space="preserve"> </w:t>
      </w:r>
    </w:p>
    <w:p w:rsidRPr="00A73083" w:rsidR="00AF1157" w:rsidP="000329F4" w:rsidRDefault="00AF1157" w14:paraId="0BBF6680" w14:textId="77777777">
      <w:pPr>
        <w:suppressAutoHyphens/>
        <w:ind w:left="360"/>
        <w:rPr>
          <w:rFonts w:ascii="Arial" w:hAnsi="Arial" w:cs="Arial"/>
          <w:sz w:val="22"/>
          <w:szCs w:val="22"/>
        </w:rPr>
      </w:pPr>
    </w:p>
    <w:p w:rsidRPr="00A73083" w:rsidR="00014276" w:rsidP="00014276" w:rsidRDefault="00C86314" w14:paraId="61902AFB" w14:textId="2A987987">
      <w:pPr>
        <w:suppressAutoHyphens/>
        <w:ind w:left="360"/>
        <w:rPr>
          <w:rFonts w:ascii="Arial" w:hAnsi="Arial" w:cs="Arial"/>
          <w:sz w:val="22"/>
          <w:szCs w:val="22"/>
        </w:rPr>
      </w:pPr>
      <w:r w:rsidRPr="00A73083">
        <w:rPr>
          <w:rFonts w:ascii="Arial" w:hAnsi="Arial" w:cs="Arial"/>
          <w:sz w:val="22"/>
          <w:szCs w:val="22"/>
        </w:rPr>
        <w:t>T</w:t>
      </w:r>
      <w:r w:rsidRPr="00A73083" w:rsidR="00014276">
        <w:rPr>
          <w:rFonts w:ascii="Arial" w:hAnsi="Arial" w:cs="Arial"/>
          <w:sz w:val="22"/>
          <w:szCs w:val="22"/>
        </w:rPr>
        <w:t xml:space="preserve">he information collected on TTB F 5100.11 allows TTB to determine that exporters of </w:t>
      </w:r>
      <w:r w:rsidRPr="00A73083" w:rsidR="00EB7714">
        <w:rPr>
          <w:rFonts w:ascii="Arial" w:hAnsi="Arial" w:cs="Arial"/>
          <w:sz w:val="22"/>
          <w:szCs w:val="22"/>
        </w:rPr>
        <w:t xml:space="preserve">untaxpaid </w:t>
      </w:r>
      <w:r w:rsidRPr="00A73083" w:rsidR="00014276">
        <w:rPr>
          <w:rFonts w:ascii="Arial" w:hAnsi="Arial" w:cs="Arial"/>
          <w:sz w:val="22"/>
          <w:szCs w:val="22"/>
        </w:rPr>
        <w:t>spirits and wines</w:t>
      </w:r>
      <w:r w:rsidRPr="00A73083" w:rsidR="001E0FA5">
        <w:rPr>
          <w:rFonts w:ascii="Arial" w:hAnsi="Arial" w:cs="Arial"/>
          <w:sz w:val="22"/>
          <w:szCs w:val="22"/>
        </w:rPr>
        <w:t xml:space="preserve"> </w:t>
      </w:r>
      <w:r w:rsidRPr="00A73083" w:rsidR="00EB7714">
        <w:rPr>
          <w:rFonts w:ascii="Arial" w:hAnsi="Arial" w:cs="Arial"/>
          <w:sz w:val="22"/>
          <w:szCs w:val="22"/>
        </w:rPr>
        <w:t>poss</w:t>
      </w:r>
      <w:r w:rsidRPr="00A73083" w:rsidR="00014276">
        <w:rPr>
          <w:rFonts w:ascii="Arial" w:hAnsi="Arial" w:cs="Arial"/>
          <w:sz w:val="22"/>
          <w:szCs w:val="22"/>
        </w:rPr>
        <w:t>ess the</w:t>
      </w:r>
      <w:r w:rsidRPr="00A73083" w:rsidR="00DF5775">
        <w:rPr>
          <w:rFonts w:ascii="Arial" w:hAnsi="Arial" w:cs="Arial"/>
          <w:sz w:val="22"/>
          <w:szCs w:val="22"/>
        </w:rPr>
        <w:t xml:space="preserve"> </w:t>
      </w:r>
      <w:r w:rsidR="000B164C">
        <w:rPr>
          <w:rFonts w:ascii="Arial" w:hAnsi="Arial" w:cs="Arial"/>
          <w:sz w:val="22"/>
          <w:szCs w:val="22"/>
        </w:rPr>
        <w:t xml:space="preserve">bond coverage </w:t>
      </w:r>
      <w:r w:rsidRPr="00A73083" w:rsidR="00014276">
        <w:rPr>
          <w:rFonts w:ascii="Arial" w:hAnsi="Arial" w:cs="Arial"/>
          <w:sz w:val="22"/>
          <w:szCs w:val="22"/>
        </w:rPr>
        <w:t xml:space="preserve">required by law and regulations.  </w:t>
      </w:r>
      <w:r w:rsidRPr="00A73083">
        <w:rPr>
          <w:rFonts w:ascii="Arial" w:hAnsi="Arial" w:cs="Arial"/>
          <w:sz w:val="22"/>
          <w:szCs w:val="22"/>
        </w:rPr>
        <w:t>Additionally, t</w:t>
      </w:r>
      <w:r w:rsidRPr="00A73083" w:rsidR="00014276">
        <w:rPr>
          <w:rFonts w:ascii="Arial" w:hAnsi="Arial" w:cs="Arial"/>
          <w:sz w:val="22"/>
          <w:szCs w:val="22"/>
        </w:rPr>
        <w:t xml:space="preserve">he </w:t>
      </w:r>
      <w:r w:rsidRPr="00A73083">
        <w:rPr>
          <w:rFonts w:ascii="Arial" w:hAnsi="Arial" w:cs="Arial"/>
          <w:sz w:val="22"/>
          <w:szCs w:val="22"/>
        </w:rPr>
        <w:t xml:space="preserve">certifications of export or lading made on the form by </w:t>
      </w:r>
      <w:r w:rsidR="000B164C">
        <w:rPr>
          <w:rFonts w:ascii="Arial" w:hAnsi="Arial" w:cs="Arial"/>
          <w:sz w:val="22"/>
          <w:szCs w:val="22"/>
        </w:rPr>
        <w:t>c</w:t>
      </w:r>
      <w:r w:rsidRPr="00A73083">
        <w:rPr>
          <w:rFonts w:ascii="Arial" w:hAnsi="Arial" w:cs="Arial"/>
          <w:sz w:val="22"/>
          <w:szCs w:val="22"/>
        </w:rPr>
        <w:t xml:space="preserve">ustoms or </w:t>
      </w:r>
      <w:r w:rsidR="000B164C">
        <w:rPr>
          <w:rFonts w:ascii="Arial" w:hAnsi="Arial" w:cs="Arial"/>
          <w:sz w:val="22"/>
          <w:szCs w:val="22"/>
        </w:rPr>
        <w:t>a</w:t>
      </w:r>
      <w:r w:rsidRPr="00A73083">
        <w:rPr>
          <w:rFonts w:ascii="Arial" w:hAnsi="Arial" w:cs="Arial"/>
          <w:sz w:val="22"/>
          <w:szCs w:val="22"/>
        </w:rPr>
        <w:t xml:space="preserve">rmed </w:t>
      </w:r>
      <w:r w:rsidR="000B164C">
        <w:rPr>
          <w:rFonts w:ascii="Arial" w:hAnsi="Arial" w:cs="Arial"/>
          <w:sz w:val="22"/>
          <w:szCs w:val="22"/>
        </w:rPr>
        <w:t>f</w:t>
      </w:r>
      <w:r w:rsidRPr="00A73083">
        <w:rPr>
          <w:rFonts w:ascii="Arial" w:hAnsi="Arial" w:cs="Arial"/>
          <w:sz w:val="22"/>
          <w:szCs w:val="22"/>
        </w:rPr>
        <w:t xml:space="preserve">orces officers </w:t>
      </w:r>
      <w:r w:rsidRPr="00A73083" w:rsidR="00C70D17">
        <w:rPr>
          <w:rFonts w:ascii="Arial" w:hAnsi="Arial" w:cs="Arial"/>
          <w:sz w:val="22"/>
          <w:szCs w:val="22"/>
        </w:rPr>
        <w:t xml:space="preserve">demonstrate to TTB </w:t>
      </w:r>
      <w:r w:rsidRPr="00A73083" w:rsidR="00014276">
        <w:rPr>
          <w:rFonts w:ascii="Arial" w:hAnsi="Arial" w:cs="Arial"/>
          <w:sz w:val="22"/>
          <w:szCs w:val="22"/>
        </w:rPr>
        <w:t xml:space="preserve">that </w:t>
      </w:r>
      <w:r w:rsidRPr="00A73083" w:rsidR="00C70D17">
        <w:rPr>
          <w:rFonts w:ascii="Arial" w:hAnsi="Arial" w:cs="Arial"/>
          <w:sz w:val="22"/>
          <w:szCs w:val="22"/>
        </w:rPr>
        <w:t xml:space="preserve">the </w:t>
      </w:r>
      <w:r w:rsidRPr="00A73083" w:rsidR="00014276">
        <w:rPr>
          <w:rFonts w:ascii="Arial" w:hAnsi="Arial" w:cs="Arial"/>
          <w:sz w:val="22"/>
          <w:szCs w:val="22"/>
        </w:rPr>
        <w:t xml:space="preserve">spirits and wines </w:t>
      </w:r>
      <w:r w:rsidRPr="00A73083" w:rsidR="00C70D17">
        <w:rPr>
          <w:rFonts w:ascii="Arial" w:hAnsi="Arial" w:cs="Arial"/>
          <w:sz w:val="22"/>
          <w:szCs w:val="22"/>
        </w:rPr>
        <w:t xml:space="preserve">in question </w:t>
      </w:r>
      <w:r w:rsidR="007E1705">
        <w:rPr>
          <w:rFonts w:ascii="Arial" w:hAnsi="Arial" w:cs="Arial"/>
          <w:sz w:val="22"/>
          <w:szCs w:val="22"/>
        </w:rPr>
        <w:t xml:space="preserve">were, </w:t>
      </w:r>
      <w:r w:rsidRPr="00A73083" w:rsidR="00014276">
        <w:rPr>
          <w:rFonts w:ascii="Arial" w:hAnsi="Arial" w:cs="Arial"/>
          <w:sz w:val="22"/>
          <w:szCs w:val="22"/>
        </w:rPr>
        <w:t>in fact</w:t>
      </w:r>
      <w:r w:rsidRPr="00A73083">
        <w:rPr>
          <w:rFonts w:ascii="Arial" w:hAnsi="Arial" w:cs="Arial"/>
          <w:sz w:val="22"/>
          <w:szCs w:val="22"/>
        </w:rPr>
        <w:t>,</w:t>
      </w:r>
      <w:r w:rsidRPr="00A73083" w:rsidR="00014276">
        <w:rPr>
          <w:rFonts w:ascii="Arial" w:hAnsi="Arial" w:cs="Arial"/>
          <w:sz w:val="22"/>
          <w:szCs w:val="22"/>
        </w:rPr>
        <w:t xml:space="preserve"> exported </w:t>
      </w:r>
      <w:r w:rsidR="007E1705">
        <w:rPr>
          <w:rFonts w:ascii="Arial" w:hAnsi="Arial" w:cs="Arial"/>
          <w:sz w:val="22"/>
          <w:szCs w:val="22"/>
        </w:rPr>
        <w:t xml:space="preserve">or laden </w:t>
      </w:r>
      <w:r w:rsidRPr="00A73083" w:rsidR="00014276">
        <w:rPr>
          <w:rFonts w:ascii="Arial" w:hAnsi="Arial" w:cs="Arial"/>
          <w:sz w:val="22"/>
          <w:szCs w:val="22"/>
        </w:rPr>
        <w:t xml:space="preserve">and </w:t>
      </w:r>
      <w:r w:rsidR="007E1705">
        <w:rPr>
          <w:rFonts w:ascii="Arial" w:hAnsi="Arial" w:cs="Arial"/>
          <w:sz w:val="22"/>
          <w:szCs w:val="22"/>
        </w:rPr>
        <w:t>were</w:t>
      </w:r>
      <w:r w:rsidRPr="00A73083" w:rsidR="00014276">
        <w:rPr>
          <w:rFonts w:ascii="Arial" w:hAnsi="Arial" w:cs="Arial"/>
          <w:sz w:val="22"/>
          <w:szCs w:val="22"/>
        </w:rPr>
        <w:t>, therefore, legitimate tax</w:t>
      </w:r>
      <w:r w:rsidRPr="00A73083" w:rsidR="001E0FA5">
        <w:rPr>
          <w:rFonts w:ascii="Arial" w:hAnsi="Arial" w:cs="Arial"/>
          <w:sz w:val="22"/>
          <w:szCs w:val="22"/>
        </w:rPr>
        <w:t>-</w:t>
      </w:r>
      <w:r w:rsidRPr="00A73083">
        <w:rPr>
          <w:rFonts w:ascii="Arial" w:hAnsi="Arial" w:cs="Arial"/>
          <w:sz w:val="22"/>
          <w:szCs w:val="22"/>
        </w:rPr>
        <w:t xml:space="preserve">free removals.  </w:t>
      </w:r>
      <w:r w:rsidRPr="00A73083" w:rsidR="00C70D17">
        <w:rPr>
          <w:rFonts w:ascii="Arial" w:hAnsi="Arial" w:cs="Arial"/>
          <w:sz w:val="22"/>
          <w:szCs w:val="22"/>
        </w:rPr>
        <w:t>If</w:t>
      </w:r>
      <w:r w:rsidRPr="00A73083" w:rsidR="001E0FA5">
        <w:rPr>
          <w:rFonts w:ascii="Arial" w:hAnsi="Arial" w:cs="Arial"/>
          <w:sz w:val="22"/>
          <w:szCs w:val="22"/>
        </w:rPr>
        <w:t xml:space="preserve"> </w:t>
      </w:r>
      <w:r w:rsidRPr="00A73083" w:rsidR="00014276">
        <w:rPr>
          <w:rFonts w:ascii="Arial" w:hAnsi="Arial" w:cs="Arial"/>
          <w:sz w:val="22"/>
          <w:szCs w:val="22"/>
        </w:rPr>
        <w:t xml:space="preserve">TTB did not collect this information, it would have no reasonable means of </w:t>
      </w:r>
      <w:r w:rsidRPr="00A73083" w:rsidR="001E0FA5">
        <w:rPr>
          <w:rFonts w:ascii="Arial" w:hAnsi="Arial" w:cs="Arial"/>
          <w:sz w:val="22"/>
          <w:szCs w:val="22"/>
        </w:rPr>
        <w:t xml:space="preserve">verifying that withdraws of spirits </w:t>
      </w:r>
      <w:r w:rsidRPr="00A73083" w:rsidR="003B011E">
        <w:rPr>
          <w:rFonts w:ascii="Arial" w:hAnsi="Arial" w:cs="Arial"/>
          <w:sz w:val="22"/>
          <w:szCs w:val="22"/>
        </w:rPr>
        <w:t xml:space="preserve">and </w:t>
      </w:r>
      <w:r w:rsidR="007E1705">
        <w:rPr>
          <w:rFonts w:ascii="Arial" w:hAnsi="Arial" w:cs="Arial"/>
          <w:sz w:val="22"/>
          <w:szCs w:val="22"/>
        </w:rPr>
        <w:t xml:space="preserve">wines made </w:t>
      </w:r>
      <w:r w:rsidRPr="00A73083" w:rsidR="001E0FA5">
        <w:rPr>
          <w:rFonts w:ascii="Arial" w:hAnsi="Arial" w:cs="Arial"/>
          <w:sz w:val="22"/>
          <w:szCs w:val="22"/>
        </w:rPr>
        <w:t xml:space="preserve">without payment of tax for export </w:t>
      </w:r>
      <w:r w:rsidR="007E1705">
        <w:rPr>
          <w:rFonts w:ascii="Arial" w:hAnsi="Arial" w:cs="Arial"/>
          <w:sz w:val="22"/>
          <w:szCs w:val="22"/>
        </w:rPr>
        <w:t>purpose were</w:t>
      </w:r>
      <w:r w:rsidRPr="00A73083" w:rsidR="001E0FA5">
        <w:rPr>
          <w:rFonts w:ascii="Arial" w:hAnsi="Arial" w:cs="Arial"/>
          <w:sz w:val="22"/>
          <w:szCs w:val="22"/>
        </w:rPr>
        <w:t xml:space="preserve">, in fact, exported </w:t>
      </w:r>
      <w:r w:rsidR="007E1705">
        <w:rPr>
          <w:rFonts w:ascii="Arial" w:hAnsi="Arial" w:cs="Arial"/>
          <w:sz w:val="22"/>
          <w:szCs w:val="22"/>
        </w:rPr>
        <w:t xml:space="preserve">or laden </w:t>
      </w:r>
      <w:r w:rsidRPr="00A73083" w:rsidR="001E0FA5">
        <w:rPr>
          <w:rFonts w:ascii="Arial" w:hAnsi="Arial" w:cs="Arial"/>
          <w:sz w:val="22"/>
          <w:szCs w:val="22"/>
        </w:rPr>
        <w:t xml:space="preserve">and not diverted into </w:t>
      </w:r>
      <w:r w:rsidR="007E1705">
        <w:rPr>
          <w:rFonts w:ascii="Arial" w:hAnsi="Arial" w:cs="Arial"/>
          <w:sz w:val="22"/>
          <w:szCs w:val="22"/>
        </w:rPr>
        <w:t xml:space="preserve">taxable </w:t>
      </w:r>
      <w:r w:rsidRPr="00A73083" w:rsidR="001E0FA5">
        <w:rPr>
          <w:rFonts w:ascii="Arial" w:hAnsi="Arial" w:cs="Arial"/>
          <w:sz w:val="22"/>
          <w:szCs w:val="22"/>
        </w:rPr>
        <w:t xml:space="preserve">domestic commerce. </w:t>
      </w:r>
    </w:p>
    <w:p w:rsidRPr="00A02040" w:rsidR="00AF1157" w:rsidP="00D73D2D" w:rsidRDefault="00AF1157" w14:paraId="50D9157E" w14:textId="77777777">
      <w:pPr>
        <w:ind w:left="576" w:hanging="576"/>
        <w:rPr>
          <w:rFonts w:ascii="Arial" w:hAnsi="Arial" w:cs="Arial"/>
          <w:sz w:val="28"/>
          <w:szCs w:val="28"/>
        </w:rPr>
      </w:pPr>
    </w:p>
    <w:p w:rsidRPr="00A73083" w:rsidR="00AF1157" w:rsidP="00D73D2D" w:rsidRDefault="00CA7E3C" w14:paraId="331A6B86" w14:textId="77777777">
      <w:pPr>
        <w:suppressAutoHyphens/>
        <w:rPr>
          <w:rFonts w:ascii="Arial" w:hAnsi="Arial" w:cs="Arial"/>
          <w:i/>
          <w:sz w:val="22"/>
          <w:szCs w:val="22"/>
        </w:rPr>
      </w:pPr>
      <w:r w:rsidRPr="00A73083">
        <w:rPr>
          <w:rFonts w:ascii="Arial" w:hAnsi="Arial" w:cs="Arial"/>
          <w:i/>
          <w:sz w:val="22"/>
          <w:szCs w:val="22"/>
        </w:rPr>
        <w:t xml:space="preserve">3.  </w:t>
      </w:r>
      <w:r w:rsidRPr="00A73083"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A73083">
        <w:rPr>
          <w:rFonts w:ascii="Arial" w:hAnsi="Arial" w:cs="Arial"/>
          <w:i/>
          <w:sz w:val="22"/>
          <w:szCs w:val="22"/>
        </w:rPr>
        <w:t xml:space="preserve"> </w:t>
      </w:r>
    </w:p>
    <w:p w:rsidRPr="00A73083" w:rsidR="00AF1157" w:rsidP="00D73D2D" w:rsidRDefault="00AF1157" w14:paraId="179BCAF9" w14:textId="77777777">
      <w:pPr>
        <w:suppressAutoHyphens/>
        <w:rPr>
          <w:rFonts w:ascii="Arial" w:hAnsi="Arial" w:cs="Arial"/>
          <w:sz w:val="22"/>
          <w:szCs w:val="22"/>
        </w:rPr>
      </w:pPr>
    </w:p>
    <w:p w:rsidRPr="00A73083" w:rsidR="00CF4BCB" w:rsidP="007D3E36" w:rsidRDefault="007D3E36" w14:paraId="1982A507" w14:textId="5EF16D49">
      <w:pPr>
        <w:tabs>
          <w:tab w:val="left" w:pos="8496"/>
        </w:tabs>
        <w:suppressAutoHyphens/>
        <w:spacing w:line="240" w:lineRule="atLeast"/>
        <w:ind w:left="360"/>
        <w:rPr>
          <w:rFonts w:ascii="Arial" w:hAnsi="Arial" w:cs="Arial"/>
          <w:sz w:val="22"/>
          <w:szCs w:val="22"/>
        </w:rPr>
      </w:pPr>
      <w:r w:rsidRPr="00A73083">
        <w:rPr>
          <w:rFonts w:ascii="Arial" w:hAnsi="Arial" w:cs="Arial"/>
          <w:sz w:val="22"/>
          <w:szCs w:val="22"/>
        </w:rPr>
        <w:t xml:space="preserve">TTB has approved and will continue to approve, on a case-by-case basis, the use of improved information technology for the submission of the application form and the </w:t>
      </w:r>
      <w:r w:rsidRPr="00A73083">
        <w:rPr>
          <w:rFonts w:ascii="Arial" w:hAnsi="Arial" w:cs="Arial"/>
          <w:sz w:val="22"/>
          <w:szCs w:val="22"/>
        </w:rPr>
        <w:lastRenderedPageBreak/>
        <w:t>maintenance of the required records.  Currently, TTB F 51</w:t>
      </w:r>
      <w:r w:rsidRPr="00A73083" w:rsidR="00BD03C8">
        <w:rPr>
          <w:rFonts w:ascii="Arial" w:hAnsi="Arial" w:cs="Arial"/>
          <w:sz w:val="22"/>
          <w:szCs w:val="22"/>
        </w:rPr>
        <w:t>00.11</w:t>
      </w:r>
      <w:r w:rsidRPr="00A73083">
        <w:rPr>
          <w:rFonts w:ascii="Arial" w:hAnsi="Arial" w:cs="Arial"/>
          <w:sz w:val="22"/>
          <w:szCs w:val="22"/>
        </w:rPr>
        <w:t xml:space="preserve"> is “fillable–printable” from the TTB website </w:t>
      </w:r>
      <w:r w:rsidRPr="00A73083" w:rsidR="00CF4BCB">
        <w:rPr>
          <w:rFonts w:ascii="Arial" w:hAnsi="Arial" w:cs="Arial"/>
          <w:sz w:val="22"/>
          <w:szCs w:val="22"/>
        </w:rPr>
        <w:t xml:space="preserve">at </w:t>
      </w:r>
      <w:r w:rsidRPr="00A73083" w:rsidR="00CF4BCB">
        <w:rPr>
          <w:rFonts w:ascii="Arial" w:hAnsi="Arial" w:cs="Arial"/>
          <w:i/>
          <w:sz w:val="22"/>
          <w:szCs w:val="22"/>
        </w:rPr>
        <w:t>https://www.ttb.gov/forms/all-forms</w:t>
      </w:r>
      <w:r w:rsidRPr="00A73083" w:rsidR="00CF4BCB">
        <w:rPr>
          <w:rFonts w:ascii="Arial" w:hAnsi="Arial" w:cs="Arial"/>
          <w:sz w:val="22"/>
          <w:szCs w:val="22"/>
        </w:rPr>
        <w:t xml:space="preserve">. </w:t>
      </w:r>
    </w:p>
    <w:p w:rsidRPr="00A02040" w:rsidR="00AF1157" w:rsidP="00D73D2D" w:rsidRDefault="00AF1157" w14:paraId="2FC50B05" w14:textId="77777777">
      <w:pPr>
        <w:suppressAutoHyphens/>
        <w:rPr>
          <w:rFonts w:ascii="Arial" w:hAnsi="Arial" w:cs="Arial"/>
          <w:sz w:val="28"/>
          <w:szCs w:val="28"/>
        </w:rPr>
      </w:pPr>
    </w:p>
    <w:p w:rsidRPr="00A73083" w:rsidR="00AF1157" w:rsidP="00B5011A" w:rsidRDefault="00CA7E3C" w14:paraId="3544804E" w14:textId="19C8CFCF">
      <w:pPr>
        <w:rPr>
          <w:rFonts w:ascii="Arial" w:hAnsi="Arial" w:cs="Arial"/>
          <w:i/>
          <w:sz w:val="22"/>
          <w:szCs w:val="22"/>
        </w:rPr>
      </w:pPr>
      <w:r w:rsidRPr="00A73083">
        <w:rPr>
          <w:rFonts w:ascii="Arial" w:hAnsi="Arial" w:cs="Arial"/>
          <w:i/>
          <w:sz w:val="22"/>
          <w:szCs w:val="22"/>
        </w:rPr>
        <w:t xml:space="preserve">4.  </w:t>
      </w:r>
      <w:r w:rsidRPr="00A73083" w:rsidR="00AF1157">
        <w:rPr>
          <w:rFonts w:ascii="Arial" w:hAnsi="Arial" w:cs="Arial"/>
          <w:i/>
          <w:sz w:val="22"/>
          <w:szCs w:val="22"/>
        </w:rPr>
        <w:t>What efforts are used to identi</w:t>
      </w:r>
      <w:r w:rsidRPr="00A73083" w:rsidR="009E4E4C">
        <w:rPr>
          <w:rFonts w:ascii="Arial" w:hAnsi="Arial" w:cs="Arial"/>
          <w:i/>
          <w:sz w:val="22"/>
          <w:szCs w:val="22"/>
        </w:rPr>
        <w:t>f</w:t>
      </w:r>
      <w:r w:rsidRPr="00A73083" w:rsidR="00AF1157">
        <w:rPr>
          <w:rFonts w:ascii="Arial" w:hAnsi="Arial" w:cs="Arial"/>
          <w:i/>
          <w:sz w:val="22"/>
          <w:szCs w:val="22"/>
        </w:rPr>
        <w:t xml:space="preserve">y duplication?  </w:t>
      </w:r>
      <w:r w:rsidRPr="00A73083" w:rsidR="007A5D4B">
        <w:rPr>
          <w:rFonts w:ascii="Arial" w:hAnsi="Arial" w:cs="Arial"/>
          <w:i/>
          <w:sz w:val="22"/>
          <w:szCs w:val="22"/>
        </w:rPr>
        <w:t xml:space="preserve">Can </w:t>
      </w:r>
      <w:r w:rsidRPr="00A73083" w:rsidR="00AF1157">
        <w:rPr>
          <w:rFonts w:ascii="Arial" w:hAnsi="Arial" w:cs="Arial"/>
          <w:i/>
          <w:sz w:val="22"/>
          <w:szCs w:val="22"/>
        </w:rPr>
        <w:t>similar information</w:t>
      </w:r>
      <w:r w:rsidRPr="00A73083" w:rsidR="00DF5F98">
        <w:rPr>
          <w:rFonts w:ascii="Arial" w:hAnsi="Arial" w:cs="Arial"/>
          <w:i/>
          <w:sz w:val="22"/>
          <w:szCs w:val="22"/>
        </w:rPr>
        <w:t xml:space="preserve"> </w:t>
      </w:r>
      <w:r w:rsidRPr="00A73083" w:rsidR="00AF1157">
        <w:rPr>
          <w:rFonts w:ascii="Arial" w:hAnsi="Arial" w:cs="Arial"/>
          <w:i/>
          <w:sz w:val="22"/>
          <w:szCs w:val="22"/>
        </w:rPr>
        <w:t>already available be used or modified for use for</w:t>
      </w:r>
      <w:r w:rsidRPr="00A73083" w:rsidR="00DF5F98">
        <w:rPr>
          <w:rFonts w:ascii="Arial" w:hAnsi="Arial" w:cs="Arial"/>
          <w:i/>
          <w:sz w:val="22"/>
          <w:szCs w:val="22"/>
        </w:rPr>
        <w:t xml:space="preserve"> the purposes described in Item </w:t>
      </w:r>
      <w:r w:rsidRPr="00A73083" w:rsidR="00AF1157">
        <w:rPr>
          <w:rFonts w:ascii="Arial" w:hAnsi="Arial" w:cs="Arial"/>
          <w:i/>
          <w:sz w:val="22"/>
          <w:szCs w:val="22"/>
        </w:rPr>
        <w:t>2</w:t>
      </w:r>
      <w:r w:rsidRPr="00A73083" w:rsidR="00DF5F98">
        <w:rPr>
          <w:rFonts w:ascii="Arial" w:hAnsi="Arial" w:cs="Arial"/>
          <w:i/>
          <w:sz w:val="22"/>
          <w:szCs w:val="22"/>
        </w:rPr>
        <w:t xml:space="preserve"> </w:t>
      </w:r>
      <w:r w:rsidRPr="00A73083" w:rsidR="00AF1157">
        <w:rPr>
          <w:rFonts w:ascii="Arial" w:hAnsi="Arial" w:cs="Arial"/>
          <w:i/>
          <w:sz w:val="22"/>
          <w:szCs w:val="22"/>
        </w:rPr>
        <w:t>above?</w:t>
      </w:r>
      <w:r w:rsidRPr="00A73083" w:rsidR="00DF5F98">
        <w:rPr>
          <w:rFonts w:ascii="Arial" w:hAnsi="Arial" w:cs="Arial"/>
          <w:i/>
          <w:sz w:val="22"/>
          <w:szCs w:val="22"/>
        </w:rPr>
        <w:t xml:space="preserve"> </w:t>
      </w:r>
    </w:p>
    <w:p w:rsidRPr="00A73083" w:rsidR="00AF1157" w:rsidP="00D73D2D" w:rsidRDefault="00AF1157" w14:paraId="1FFB00BC" w14:textId="77777777">
      <w:pPr>
        <w:suppressAutoHyphens/>
        <w:ind w:left="480" w:hanging="480"/>
        <w:rPr>
          <w:rFonts w:ascii="Arial" w:hAnsi="Arial" w:cs="Arial"/>
          <w:sz w:val="22"/>
          <w:szCs w:val="22"/>
        </w:rPr>
      </w:pPr>
    </w:p>
    <w:p w:rsidR="007B1A41" w:rsidP="007B1A41" w:rsidRDefault="00BD0D39" w14:paraId="75102E70" w14:textId="3590AE39">
      <w:pPr>
        <w:suppressAutoHyphens/>
        <w:ind w:left="360"/>
        <w:rPr>
          <w:rFonts w:ascii="Arial" w:hAnsi="Arial" w:cs="Arial"/>
          <w:sz w:val="22"/>
          <w:szCs w:val="22"/>
        </w:rPr>
      </w:pPr>
      <w:r w:rsidRPr="00A73083">
        <w:rPr>
          <w:rFonts w:ascii="Arial" w:hAnsi="Arial" w:cs="Arial"/>
          <w:sz w:val="22"/>
          <w:szCs w:val="22"/>
        </w:rPr>
        <w:t>TTB F 51</w:t>
      </w:r>
      <w:r w:rsidRPr="00A73083" w:rsidR="00BD03C8">
        <w:rPr>
          <w:rFonts w:ascii="Arial" w:hAnsi="Arial" w:cs="Arial"/>
          <w:sz w:val="22"/>
          <w:szCs w:val="22"/>
        </w:rPr>
        <w:t>0</w:t>
      </w:r>
      <w:r w:rsidRPr="00A73083">
        <w:rPr>
          <w:rFonts w:ascii="Arial" w:hAnsi="Arial" w:cs="Arial"/>
          <w:sz w:val="22"/>
          <w:szCs w:val="22"/>
        </w:rPr>
        <w:t>0.</w:t>
      </w:r>
      <w:r w:rsidRPr="00A73083" w:rsidR="00BD03C8">
        <w:rPr>
          <w:rFonts w:ascii="Arial" w:hAnsi="Arial" w:cs="Arial"/>
          <w:sz w:val="22"/>
          <w:szCs w:val="22"/>
        </w:rPr>
        <w:t>11</w:t>
      </w:r>
      <w:r w:rsidRPr="00A73083">
        <w:rPr>
          <w:rFonts w:ascii="Arial" w:hAnsi="Arial" w:cs="Arial"/>
          <w:sz w:val="22"/>
          <w:szCs w:val="22"/>
        </w:rPr>
        <w:t xml:space="preserve"> collects information that is pertinent to each respondent and applicable to the respondent’s </w:t>
      </w:r>
      <w:r w:rsidRPr="00A73083" w:rsidR="00BD03C8">
        <w:rPr>
          <w:rFonts w:ascii="Arial" w:hAnsi="Arial" w:cs="Arial"/>
          <w:sz w:val="22"/>
          <w:szCs w:val="22"/>
        </w:rPr>
        <w:t xml:space="preserve">removal of </w:t>
      </w:r>
      <w:r w:rsidRPr="00A73083" w:rsidR="003B011E">
        <w:rPr>
          <w:rFonts w:ascii="Arial" w:hAnsi="Arial" w:cs="Arial"/>
          <w:sz w:val="22"/>
          <w:szCs w:val="22"/>
        </w:rPr>
        <w:t xml:space="preserve">specific </w:t>
      </w:r>
      <w:r w:rsidRPr="00A73083" w:rsidR="00BD03C8">
        <w:rPr>
          <w:rFonts w:ascii="Arial" w:hAnsi="Arial" w:cs="Arial"/>
          <w:sz w:val="22"/>
          <w:szCs w:val="22"/>
        </w:rPr>
        <w:t xml:space="preserve">spirits </w:t>
      </w:r>
      <w:r w:rsidRPr="00A73083" w:rsidR="001F5B5D">
        <w:rPr>
          <w:rFonts w:ascii="Arial" w:hAnsi="Arial" w:cs="Arial"/>
          <w:sz w:val="22"/>
          <w:szCs w:val="22"/>
        </w:rPr>
        <w:t>or wines</w:t>
      </w:r>
      <w:r w:rsidRPr="00A73083" w:rsidR="003B011E">
        <w:rPr>
          <w:rFonts w:ascii="Arial" w:hAnsi="Arial" w:cs="Arial"/>
          <w:sz w:val="22"/>
          <w:szCs w:val="22"/>
        </w:rPr>
        <w:t>, without payment of tax,</w:t>
      </w:r>
      <w:r w:rsidRPr="00A73083" w:rsidR="001F5B5D">
        <w:rPr>
          <w:rFonts w:ascii="Arial" w:hAnsi="Arial" w:cs="Arial"/>
          <w:sz w:val="22"/>
          <w:szCs w:val="22"/>
        </w:rPr>
        <w:t xml:space="preserve"> </w:t>
      </w:r>
      <w:r w:rsidRPr="00A73083" w:rsidR="00BD03C8">
        <w:rPr>
          <w:rFonts w:ascii="Arial" w:hAnsi="Arial" w:cs="Arial"/>
          <w:sz w:val="22"/>
          <w:szCs w:val="22"/>
        </w:rPr>
        <w:t>for export</w:t>
      </w:r>
      <w:r w:rsidR="007E1705">
        <w:rPr>
          <w:rFonts w:ascii="Arial" w:hAnsi="Arial" w:cs="Arial"/>
          <w:sz w:val="22"/>
          <w:szCs w:val="22"/>
        </w:rPr>
        <w:t xml:space="preserve"> purposes.  </w:t>
      </w:r>
      <w:r w:rsidRPr="00A73083">
        <w:rPr>
          <w:rFonts w:ascii="Arial" w:hAnsi="Arial" w:cs="Arial"/>
          <w:sz w:val="22"/>
          <w:szCs w:val="22"/>
        </w:rPr>
        <w:t>As far as TTB can determine, similar information is not available elsewhere</w:t>
      </w:r>
      <w:r w:rsidR="007B1A41">
        <w:rPr>
          <w:rFonts w:ascii="Arial" w:hAnsi="Arial" w:cs="Arial"/>
          <w:sz w:val="22"/>
          <w:szCs w:val="22"/>
        </w:rPr>
        <w:t xml:space="preserve">. </w:t>
      </w:r>
    </w:p>
    <w:p w:rsidRPr="00A02040" w:rsidR="007B1A41" w:rsidP="007A5D4B" w:rsidRDefault="007B1A41" w14:paraId="63D31FE4" w14:textId="36E8B084">
      <w:pPr>
        <w:suppressAutoHyphens/>
        <w:rPr>
          <w:rFonts w:ascii="Arial" w:hAnsi="Arial" w:cs="Arial"/>
          <w:sz w:val="28"/>
          <w:szCs w:val="28"/>
        </w:rPr>
      </w:pPr>
    </w:p>
    <w:p w:rsidRPr="00A73083" w:rsidR="00AF1157" w:rsidP="00D73D2D" w:rsidRDefault="007A5D4B" w14:paraId="758F1D01" w14:textId="77777777">
      <w:pPr>
        <w:suppressAutoHyphens/>
        <w:rPr>
          <w:rFonts w:ascii="Arial" w:hAnsi="Arial" w:cs="Arial"/>
          <w:i/>
          <w:sz w:val="22"/>
          <w:szCs w:val="22"/>
        </w:rPr>
      </w:pPr>
      <w:r w:rsidRPr="00A73083">
        <w:rPr>
          <w:rFonts w:ascii="Arial" w:hAnsi="Arial" w:cs="Arial"/>
          <w:i/>
          <w:sz w:val="22"/>
          <w:szCs w:val="22"/>
        </w:rPr>
        <w:t xml:space="preserve">5.  </w:t>
      </w:r>
      <w:r w:rsidRPr="00A73083" w:rsidR="00AF1157">
        <w:rPr>
          <w:rFonts w:ascii="Arial" w:hAnsi="Arial" w:cs="Arial"/>
          <w:i/>
          <w:sz w:val="22"/>
          <w:szCs w:val="22"/>
        </w:rPr>
        <w:t>If this collection of information impacts small businesses or other small entities,</w:t>
      </w:r>
      <w:r w:rsidRPr="00A73083" w:rsidR="00DF5F98">
        <w:rPr>
          <w:rFonts w:ascii="Arial" w:hAnsi="Arial" w:cs="Arial"/>
          <w:i/>
          <w:sz w:val="22"/>
          <w:szCs w:val="22"/>
        </w:rPr>
        <w:t xml:space="preserve"> </w:t>
      </w:r>
      <w:r w:rsidRPr="00A73083" w:rsidR="00AF1157">
        <w:rPr>
          <w:rFonts w:ascii="Arial" w:hAnsi="Arial" w:cs="Arial"/>
          <w:i/>
          <w:sz w:val="22"/>
          <w:szCs w:val="22"/>
        </w:rPr>
        <w:t>what methods are used to minimize burden?</w:t>
      </w:r>
      <w:r w:rsidRPr="00A73083">
        <w:rPr>
          <w:rFonts w:ascii="Arial" w:hAnsi="Arial" w:cs="Arial"/>
          <w:i/>
          <w:sz w:val="22"/>
          <w:szCs w:val="22"/>
        </w:rPr>
        <w:t xml:space="preserve"> </w:t>
      </w:r>
    </w:p>
    <w:p w:rsidRPr="00A73083" w:rsidR="007A5D4B" w:rsidP="007A5D4B" w:rsidRDefault="007A5D4B" w14:paraId="0E5897E4" w14:textId="77777777">
      <w:pPr>
        <w:suppressAutoHyphens/>
        <w:ind w:left="480" w:hanging="480"/>
        <w:rPr>
          <w:rFonts w:ascii="Arial" w:hAnsi="Arial" w:cs="Arial"/>
          <w:sz w:val="22"/>
          <w:szCs w:val="22"/>
        </w:rPr>
      </w:pPr>
    </w:p>
    <w:p w:rsidRPr="00A73083" w:rsidR="007A5D4B" w:rsidP="006665B1" w:rsidRDefault="003B011E" w14:paraId="77C7C849" w14:textId="4C21A701">
      <w:pPr>
        <w:ind w:left="360"/>
        <w:rPr>
          <w:rFonts w:ascii="Arial" w:hAnsi="Arial" w:cs="Arial"/>
          <w:sz w:val="22"/>
          <w:szCs w:val="22"/>
        </w:rPr>
      </w:pPr>
      <w:r w:rsidRPr="00A73083">
        <w:rPr>
          <w:rFonts w:ascii="Arial" w:hAnsi="Arial" w:cs="Arial"/>
          <w:sz w:val="22"/>
          <w:szCs w:val="22"/>
        </w:rPr>
        <w:t>The TTB regulations require a</w:t>
      </w:r>
      <w:r w:rsidRPr="00A73083" w:rsidR="006665B1">
        <w:rPr>
          <w:rFonts w:ascii="Arial" w:hAnsi="Arial" w:cs="Arial"/>
          <w:sz w:val="22"/>
          <w:szCs w:val="22"/>
        </w:rPr>
        <w:t xml:space="preserve">ll entities, regardless of size, </w:t>
      </w:r>
      <w:r w:rsidRPr="00A73083">
        <w:rPr>
          <w:rFonts w:ascii="Arial" w:hAnsi="Arial" w:cs="Arial"/>
          <w:sz w:val="22"/>
          <w:szCs w:val="22"/>
        </w:rPr>
        <w:t>t</w:t>
      </w:r>
      <w:r w:rsidRPr="00A73083" w:rsidR="006665B1">
        <w:rPr>
          <w:rFonts w:ascii="Arial" w:hAnsi="Arial" w:cs="Arial"/>
          <w:sz w:val="22"/>
          <w:szCs w:val="22"/>
        </w:rPr>
        <w:t>o complete TTB F 51</w:t>
      </w:r>
      <w:r w:rsidRPr="00A73083" w:rsidR="00BD03C8">
        <w:rPr>
          <w:rFonts w:ascii="Arial" w:hAnsi="Arial" w:cs="Arial"/>
          <w:sz w:val="22"/>
          <w:szCs w:val="22"/>
        </w:rPr>
        <w:t>0</w:t>
      </w:r>
      <w:r w:rsidRPr="00A73083" w:rsidR="006665B1">
        <w:rPr>
          <w:rFonts w:ascii="Arial" w:hAnsi="Arial" w:cs="Arial"/>
          <w:sz w:val="22"/>
          <w:szCs w:val="22"/>
        </w:rPr>
        <w:t>0.</w:t>
      </w:r>
      <w:r w:rsidRPr="00A73083" w:rsidR="00BD03C8">
        <w:rPr>
          <w:rFonts w:ascii="Arial" w:hAnsi="Arial" w:cs="Arial"/>
          <w:sz w:val="22"/>
          <w:szCs w:val="22"/>
        </w:rPr>
        <w:t>11</w:t>
      </w:r>
      <w:r w:rsidRPr="00A73083" w:rsidR="00BD0D39">
        <w:rPr>
          <w:rFonts w:ascii="Arial" w:hAnsi="Arial" w:cs="Arial"/>
          <w:sz w:val="22"/>
          <w:szCs w:val="22"/>
        </w:rPr>
        <w:t xml:space="preserve"> to document </w:t>
      </w:r>
      <w:r w:rsidRPr="00A73083" w:rsidR="00BD03C8">
        <w:rPr>
          <w:rFonts w:ascii="Arial" w:hAnsi="Arial" w:cs="Arial"/>
          <w:sz w:val="22"/>
          <w:szCs w:val="22"/>
        </w:rPr>
        <w:t xml:space="preserve">that </w:t>
      </w:r>
      <w:r w:rsidRPr="00A73083" w:rsidR="00BD0D39">
        <w:rPr>
          <w:rFonts w:ascii="Arial" w:hAnsi="Arial" w:cs="Arial"/>
          <w:sz w:val="22"/>
          <w:szCs w:val="22"/>
        </w:rPr>
        <w:t xml:space="preserve">spirits </w:t>
      </w:r>
      <w:r w:rsidRPr="00A73083" w:rsidR="001F5B5D">
        <w:rPr>
          <w:rFonts w:ascii="Arial" w:hAnsi="Arial" w:cs="Arial"/>
          <w:sz w:val="22"/>
          <w:szCs w:val="22"/>
        </w:rPr>
        <w:t xml:space="preserve">or wines </w:t>
      </w:r>
      <w:r w:rsidRPr="00A73083" w:rsidR="00BD03C8">
        <w:rPr>
          <w:rFonts w:ascii="Arial" w:hAnsi="Arial" w:cs="Arial"/>
          <w:sz w:val="22"/>
          <w:szCs w:val="22"/>
        </w:rPr>
        <w:t xml:space="preserve">withdrawn from bonded premises </w:t>
      </w:r>
      <w:r w:rsidR="007E1705">
        <w:rPr>
          <w:rFonts w:ascii="Arial" w:hAnsi="Arial" w:cs="Arial"/>
          <w:sz w:val="22"/>
          <w:szCs w:val="22"/>
        </w:rPr>
        <w:t>without payment of tax are</w:t>
      </w:r>
      <w:r w:rsidRPr="00A73083" w:rsidR="00BD03C8">
        <w:rPr>
          <w:rFonts w:ascii="Arial" w:hAnsi="Arial" w:cs="Arial"/>
          <w:sz w:val="22"/>
          <w:szCs w:val="22"/>
        </w:rPr>
        <w:t>, in fact, exported</w:t>
      </w:r>
      <w:r w:rsidR="007E1705">
        <w:rPr>
          <w:rFonts w:ascii="Arial" w:hAnsi="Arial" w:cs="Arial"/>
          <w:sz w:val="22"/>
          <w:szCs w:val="22"/>
        </w:rPr>
        <w:t xml:space="preserve"> as stated and not entered into domestic commerce.  Because t</w:t>
      </w:r>
      <w:r w:rsidRPr="00A73083" w:rsidR="006665B1">
        <w:rPr>
          <w:rFonts w:ascii="Arial" w:hAnsi="Arial" w:cs="Arial"/>
          <w:sz w:val="22"/>
          <w:szCs w:val="22"/>
        </w:rPr>
        <w:t xml:space="preserve">his information collection requirement is necessary to protect the revenue, </w:t>
      </w:r>
      <w:r w:rsidRPr="00A73083" w:rsidR="00576CD5">
        <w:rPr>
          <w:rFonts w:ascii="Arial" w:hAnsi="Arial" w:cs="Arial"/>
          <w:sz w:val="22"/>
          <w:szCs w:val="22"/>
        </w:rPr>
        <w:t xml:space="preserve">TTB cannot waive the collection </w:t>
      </w:r>
      <w:r w:rsidRPr="00A73083" w:rsidR="006665B1">
        <w:rPr>
          <w:rFonts w:ascii="Arial" w:hAnsi="Arial" w:cs="Arial"/>
          <w:sz w:val="22"/>
          <w:szCs w:val="22"/>
        </w:rPr>
        <w:t xml:space="preserve">simply because the respondent’s business is small. </w:t>
      </w:r>
    </w:p>
    <w:p w:rsidRPr="00A02040" w:rsidR="007A5D4B" w:rsidP="007A5D4B" w:rsidRDefault="007A5D4B" w14:paraId="465B9D24" w14:textId="77777777">
      <w:pPr>
        <w:suppressAutoHyphens/>
        <w:rPr>
          <w:rFonts w:ascii="Arial" w:hAnsi="Arial" w:cs="Arial"/>
          <w:sz w:val="28"/>
          <w:szCs w:val="28"/>
        </w:rPr>
      </w:pPr>
    </w:p>
    <w:p w:rsidRPr="00A73083" w:rsidR="00AF1157" w:rsidP="00D73D2D" w:rsidRDefault="007A5D4B" w14:paraId="43A85B66" w14:textId="77777777">
      <w:pPr>
        <w:suppressAutoHyphens/>
        <w:rPr>
          <w:rFonts w:ascii="Arial" w:hAnsi="Arial" w:cs="Arial"/>
          <w:i/>
          <w:sz w:val="22"/>
          <w:szCs w:val="22"/>
        </w:rPr>
      </w:pPr>
      <w:r w:rsidRPr="00A73083">
        <w:rPr>
          <w:rFonts w:ascii="Arial" w:hAnsi="Arial" w:cs="Arial"/>
          <w:i/>
          <w:sz w:val="22"/>
          <w:szCs w:val="22"/>
        </w:rPr>
        <w:t xml:space="preserve">6.  </w:t>
      </w:r>
      <w:r w:rsidRPr="00A73083"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A73083">
        <w:rPr>
          <w:rFonts w:ascii="Arial" w:hAnsi="Arial" w:cs="Arial"/>
          <w:i/>
          <w:sz w:val="22"/>
          <w:szCs w:val="22"/>
        </w:rPr>
        <w:t xml:space="preserve"> </w:t>
      </w:r>
    </w:p>
    <w:p w:rsidRPr="00A73083" w:rsidR="00AF1157" w:rsidP="00D73D2D" w:rsidRDefault="00AF1157" w14:paraId="2CC7326B" w14:textId="77777777">
      <w:pPr>
        <w:suppressAutoHyphens/>
        <w:ind w:left="480" w:hanging="480"/>
        <w:rPr>
          <w:rFonts w:ascii="Arial" w:hAnsi="Arial" w:cs="Arial"/>
          <w:sz w:val="22"/>
          <w:szCs w:val="22"/>
        </w:rPr>
      </w:pPr>
    </w:p>
    <w:p w:rsidRPr="00A73083" w:rsidR="00BD0D39" w:rsidP="00BD0D39" w:rsidRDefault="00BD0D39" w14:paraId="510F8243" w14:textId="688DCAD3">
      <w:pPr>
        <w:ind w:left="360"/>
        <w:rPr>
          <w:rFonts w:ascii="Arial" w:hAnsi="Arial" w:cs="Arial"/>
          <w:sz w:val="22"/>
          <w:szCs w:val="22"/>
        </w:rPr>
      </w:pPr>
      <w:r w:rsidRPr="00A73083">
        <w:rPr>
          <w:rFonts w:ascii="Arial" w:hAnsi="Arial" w:cs="Arial"/>
          <w:sz w:val="22"/>
          <w:szCs w:val="22"/>
        </w:rPr>
        <w:t>The completion of TTB F 51</w:t>
      </w:r>
      <w:r w:rsidRPr="00A73083" w:rsidR="00BD03C8">
        <w:rPr>
          <w:rFonts w:ascii="Arial" w:hAnsi="Arial" w:cs="Arial"/>
          <w:sz w:val="22"/>
          <w:szCs w:val="22"/>
        </w:rPr>
        <w:t>0</w:t>
      </w:r>
      <w:r w:rsidRPr="00A73083">
        <w:rPr>
          <w:rFonts w:ascii="Arial" w:hAnsi="Arial" w:cs="Arial"/>
          <w:sz w:val="22"/>
          <w:szCs w:val="22"/>
        </w:rPr>
        <w:t>0.</w:t>
      </w:r>
      <w:r w:rsidRPr="00A73083" w:rsidR="00BD03C8">
        <w:rPr>
          <w:rFonts w:ascii="Arial" w:hAnsi="Arial" w:cs="Arial"/>
          <w:sz w:val="22"/>
          <w:szCs w:val="22"/>
        </w:rPr>
        <w:t>11</w:t>
      </w:r>
      <w:r w:rsidRPr="00A73083">
        <w:rPr>
          <w:rFonts w:ascii="Arial" w:hAnsi="Arial" w:cs="Arial"/>
          <w:sz w:val="22"/>
          <w:szCs w:val="22"/>
        </w:rPr>
        <w:t xml:space="preserve"> is necessary to document and verify the </w:t>
      </w:r>
      <w:r w:rsidRPr="00A73083" w:rsidR="00BD03C8">
        <w:rPr>
          <w:rFonts w:ascii="Arial" w:hAnsi="Arial" w:cs="Arial"/>
          <w:sz w:val="22"/>
          <w:szCs w:val="22"/>
        </w:rPr>
        <w:t xml:space="preserve">export of spirits </w:t>
      </w:r>
      <w:r w:rsidRPr="00A73083" w:rsidR="001F5B5D">
        <w:rPr>
          <w:rFonts w:ascii="Arial" w:hAnsi="Arial" w:cs="Arial"/>
          <w:sz w:val="22"/>
          <w:szCs w:val="22"/>
        </w:rPr>
        <w:t xml:space="preserve">or wines </w:t>
      </w:r>
      <w:r w:rsidRPr="00A73083" w:rsidR="00BD03C8">
        <w:rPr>
          <w:rFonts w:ascii="Arial" w:hAnsi="Arial" w:cs="Arial"/>
          <w:sz w:val="22"/>
          <w:szCs w:val="22"/>
        </w:rPr>
        <w:t>removed from bonded premises</w:t>
      </w:r>
      <w:r w:rsidR="007E1705">
        <w:rPr>
          <w:rFonts w:ascii="Arial" w:hAnsi="Arial" w:cs="Arial"/>
          <w:sz w:val="22"/>
          <w:szCs w:val="22"/>
        </w:rPr>
        <w:t xml:space="preserve"> without payment of tax</w:t>
      </w:r>
      <w:r w:rsidRPr="00A73083" w:rsidR="00BD03C8">
        <w:rPr>
          <w:rFonts w:ascii="Arial" w:hAnsi="Arial" w:cs="Arial"/>
          <w:sz w:val="22"/>
          <w:szCs w:val="22"/>
        </w:rPr>
        <w:t xml:space="preserve">.  </w:t>
      </w:r>
      <w:r w:rsidRPr="00A73083">
        <w:rPr>
          <w:rFonts w:ascii="Arial" w:hAnsi="Arial" w:cs="Arial"/>
          <w:sz w:val="22"/>
          <w:szCs w:val="22"/>
        </w:rPr>
        <w:t xml:space="preserve">If TTB </w:t>
      </w:r>
      <w:r w:rsidRPr="00A73083" w:rsidR="00576CD5">
        <w:rPr>
          <w:rFonts w:ascii="Arial" w:hAnsi="Arial" w:cs="Arial"/>
          <w:sz w:val="22"/>
          <w:szCs w:val="22"/>
        </w:rPr>
        <w:t xml:space="preserve">did </w:t>
      </w:r>
      <w:r w:rsidRPr="00A73083">
        <w:rPr>
          <w:rFonts w:ascii="Arial" w:hAnsi="Arial" w:cs="Arial"/>
          <w:sz w:val="22"/>
          <w:szCs w:val="22"/>
        </w:rPr>
        <w:t xml:space="preserve">not collect this information, </w:t>
      </w:r>
      <w:r w:rsidRPr="00A73083" w:rsidR="00576CD5">
        <w:rPr>
          <w:rFonts w:ascii="Arial" w:hAnsi="Arial" w:cs="Arial"/>
          <w:sz w:val="22"/>
          <w:szCs w:val="22"/>
        </w:rPr>
        <w:t>persons could make f</w:t>
      </w:r>
      <w:r w:rsidRPr="00A73083">
        <w:rPr>
          <w:rFonts w:ascii="Arial" w:hAnsi="Arial" w:cs="Arial"/>
          <w:sz w:val="22"/>
          <w:szCs w:val="22"/>
        </w:rPr>
        <w:t xml:space="preserve">raudulent </w:t>
      </w:r>
      <w:r w:rsidRPr="00A73083" w:rsidR="00576CD5">
        <w:rPr>
          <w:rFonts w:ascii="Arial" w:hAnsi="Arial" w:cs="Arial"/>
          <w:sz w:val="22"/>
          <w:szCs w:val="22"/>
        </w:rPr>
        <w:t xml:space="preserve">or incorrect </w:t>
      </w:r>
      <w:r w:rsidRPr="00A73083" w:rsidR="00BD03C8">
        <w:rPr>
          <w:rFonts w:ascii="Arial" w:hAnsi="Arial" w:cs="Arial"/>
          <w:sz w:val="22"/>
          <w:szCs w:val="22"/>
        </w:rPr>
        <w:t xml:space="preserve">export </w:t>
      </w:r>
      <w:r w:rsidRPr="00A73083">
        <w:rPr>
          <w:rFonts w:ascii="Arial" w:hAnsi="Arial" w:cs="Arial"/>
          <w:sz w:val="22"/>
          <w:szCs w:val="22"/>
        </w:rPr>
        <w:t xml:space="preserve">claims </w:t>
      </w:r>
      <w:r w:rsidRPr="00A73083" w:rsidR="00576CD5">
        <w:rPr>
          <w:rFonts w:ascii="Arial" w:hAnsi="Arial" w:cs="Arial"/>
          <w:sz w:val="22"/>
          <w:szCs w:val="22"/>
        </w:rPr>
        <w:t xml:space="preserve">and </w:t>
      </w:r>
      <w:r w:rsidR="007E1705">
        <w:rPr>
          <w:rFonts w:ascii="Arial" w:hAnsi="Arial" w:cs="Arial"/>
          <w:sz w:val="22"/>
          <w:szCs w:val="22"/>
        </w:rPr>
        <w:t xml:space="preserve">divert </w:t>
      </w:r>
      <w:r w:rsidRPr="00A73083" w:rsidR="00576CD5">
        <w:rPr>
          <w:rFonts w:ascii="Arial" w:hAnsi="Arial" w:cs="Arial"/>
          <w:sz w:val="22"/>
          <w:szCs w:val="22"/>
        </w:rPr>
        <w:t>untaxpaid spirits and wines into domestic commerce</w:t>
      </w:r>
      <w:r w:rsidRPr="00A73083">
        <w:rPr>
          <w:rFonts w:ascii="Arial" w:hAnsi="Arial" w:cs="Arial"/>
          <w:sz w:val="22"/>
          <w:szCs w:val="22"/>
        </w:rPr>
        <w:t xml:space="preserve">, which would jeopardize </w:t>
      </w:r>
      <w:r w:rsidRPr="00A73083" w:rsidR="00A877DA">
        <w:rPr>
          <w:rFonts w:ascii="Arial" w:hAnsi="Arial" w:cs="Arial"/>
          <w:sz w:val="22"/>
          <w:szCs w:val="22"/>
        </w:rPr>
        <w:t xml:space="preserve">the revenue.  </w:t>
      </w:r>
      <w:r w:rsidRPr="00A73083" w:rsidR="00576CD5">
        <w:rPr>
          <w:rFonts w:ascii="Arial" w:hAnsi="Arial" w:cs="Arial"/>
          <w:sz w:val="22"/>
          <w:szCs w:val="22"/>
        </w:rPr>
        <w:t xml:space="preserve">In addition, </w:t>
      </w:r>
      <w:r w:rsidRPr="00A73083" w:rsidR="00A877DA">
        <w:rPr>
          <w:rFonts w:ascii="Arial" w:hAnsi="Arial" w:cs="Arial"/>
          <w:sz w:val="22"/>
          <w:szCs w:val="22"/>
        </w:rPr>
        <w:t>because r</w:t>
      </w:r>
      <w:r w:rsidRPr="00A73083">
        <w:rPr>
          <w:rFonts w:ascii="Arial" w:hAnsi="Arial" w:cs="Arial"/>
          <w:sz w:val="22"/>
          <w:szCs w:val="22"/>
        </w:rPr>
        <w:t xml:space="preserve">espondents complete this information only as necessary to </w:t>
      </w:r>
      <w:r w:rsidRPr="00A73083" w:rsidR="00BD03C8">
        <w:rPr>
          <w:rFonts w:ascii="Arial" w:hAnsi="Arial" w:cs="Arial"/>
          <w:sz w:val="22"/>
          <w:szCs w:val="22"/>
        </w:rPr>
        <w:t>document such exports</w:t>
      </w:r>
      <w:r w:rsidRPr="00A73083" w:rsidR="00A877DA">
        <w:rPr>
          <w:rFonts w:ascii="Arial" w:hAnsi="Arial" w:cs="Arial"/>
          <w:sz w:val="22"/>
          <w:szCs w:val="22"/>
        </w:rPr>
        <w:t xml:space="preserve">, </w:t>
      </w:r>
      <w:r w:rsidRPr="00A73083" w:rsidR="00576CD5">
        <w:rPr>
          <w:rFonts w:ascii="Arial" w:hAnsi="Arial" w:cs="Arial"/>
          <w:sz w:val="22"/>
          <w:szCs w:val="22"/>
        </w:rPr>
        <w:t xml:space="preserve">TTB cannot conduct this collection </w:t>
      </w:r>
      <w:r w:rsidRPr="00A73083" w:rsidR="00A877DA">
        <w:rPr>
          <w:rFonts w:ascii="Arial" w:hAnsi="Arial" w:cs="Arial"/>
          <w:sz w:val="22"/>
          <w:szCs w:val="22"/>
        </w:rPr>
        <w:t>less frequently</w:t>
      </w:r>
      <w:r w:rsidRPr="00A73083" w:rsidR="00BD03C8">
        <w:rPr>
          <w:rFonts w:ascii="Arial" w:hAnsi="Arial" w:cs="Arial"/>
          <w:sz w:val="22"/>
          <w:szCs w:val="22"/>
        </w:rPr>
        <w:t>.</w:t>
      </w:r>
      <w:r w:rsidRPr="00A73083">
        <w:rPr>
          <w:rFonts w:ascii="Arial" w:hAnsi="Arial" w:cs="Arial"/>
          <w:sz w:val="22"/>
          <w:szCs w:val="22"/>
        </w:rPr>
        <w:t xml:space="preserve"> </w:t>
      </w:r>
    </w:p>
    <w:p w:rsidRPr="00A02040" w:rsidR="007A5D4B" w:rsidP="007A5D4B" w:rsidRDefault="007A5D4B" w14:paraId="44D8AFE9" w14:textId="77777777">
      <w:pPr>
        <w:suppressAutoHyphens/>
        <w:rPr>
          <w:rFonts w:ascii="Arial" w:hAnsi="Arial" w:cs="Arial"/>
          <w:sz w:val="28"/>
          <w:szCs w:val="28"/>
        </w:rPr>
      </w:pPr>
    </w:p>
    <w:p w:rsidRPr="00A73083" w:rsidR="00F45A1B" w:rsidP="00F45A1B" w:rsidRDefault="00F45A1B" w14:paraId="4CE7E425" w14:textId="77777777">
      <w:pPr>
        <w:suppressAutoHyphens/>
        <w:rPr>
          <w:rFonts w:ascii="Arial" w:hAnsi="Arial" w:cs="Arial"/>
          <w:i/>
          <w:sz w:val="22"/>
          <w:szCs w:val="22"/>
        </w:rPr>
      </w:pPr>
      <w:r w:rsidRPr="00A73083">
        <w:rPr>
          <w:rFonts w:ascii="Arial" w:hAnsi="Arial" w:cs="Arial"/>
          <w:i/>
          <w:sz w:val="22"/>
          <w:szCs w:val="22"/>
        </w:rPr>
        <w:t xml:space="preserve">7.  Are there any special circumstances associated with this information collection that would require it to be conducted in a manner inconsistent with OMB guidelines?  (See 5 CFR 1320.5(d)(2).) </w:t>
      </w:r>
    </w:p>
    <w:p w:rsidRPr="00A73083" w:rsidR="00F45A1B" w:rsidP="00F45A1B" w:rsidRDefault="00F45A1B" w14:paraId="77283994" w14:textId="77777777">
      <w:pPr>
        <w:suppressAutoHyphens/>
        <w:rPr>
          <w:rFonts w:ascii="Arial" w:hAnsi="Arial" w:cs="Arial"/>
          <w:sz w:val="22"/>
          <w:szCs w:val="22"/>
        </w:rPr>
      </w:pPr>
    </w:p>
    <w:p w:rsidRPr="00A73083" w:rsidR="00F45A1B" w:rsidP="00576CD5" w:rsidRDefault="00F45A1B" w14:paraId="50156D34" w14:textId="551DDEBF">
      <w:pPr>
        <w:suppressAutoHyphens/>
        <w:ind w:left="360"/>
        <w:rPr>
          <w:rFonts w:ascii="Arial" w:hAnsi="Arial" w:cs="Arial"/>
          <w:sz w:val="22"/>
          <w:szCs w:val="22"/>
        </w:rPr>
      </w:pPr>
      <w:r w:rsidRPr="00A73083">
        <w:rPr>
          <w:rFonts w:ascii="Arial" w:hAnsi="Arial" w:cs="Arial"/>
          <w:sz w:val="22"/>
          <w:szCs w:val="22"/>
        </w:rPr>
        <w:t>Under</w:t>
      </w:r>
      <w:r w:rsidRPr="00A73083" w:rsidR="00725B57">
        <w:rPr>
          <w:rFonts w:ascii="Arial" w:hAnsi="Arial" w:cs="Arial"/>
          <w:sz w:val="22"/>
          <w:szCs w:val="22"/>
        </w:rPr>
        <w:t xml:space="preserve"> 5 </w:t>
      </w:r>
      <w:r w:rsidRPr="00A73083">
        <w:rPr>
          <w:rFonts w:ascii="Arial" w:hAnsi="Arial" w:cs="Arial"/>
          <w:sz w:val="22"/>
          <w:szCs w:val="22"/>
        </w:rPr>
        <w:t>CFR 1320.5(d)(2)(iii), requiring respondents to submit more than an original and two copies of any document is a special circumstan</w:t>
      </w:r>
      <w:r w:rsidRPr="00A73083" w:rsidR="00725B57">
        <w:rPr>
          <w:rFonts w:ascii="Arial" w:hAnsi="Arial" w:cs="Arial"/>
          <w:sz w:val="22"/>
          <w:szCs w:val="22"/>
        </w:rPr>
        <w:t>ce.  The instructions for TTB F </w:t>
      </w:r>
      <w:r w:rsidRPr="00A73083">
        <w:rPr>
          <w:rFonts w:ascii="Arial" w:hAnsi="Arial" w:cs="Arial"/>
          <w:sz w:val="22"/>
          <w:szCs w:val="22"/>
        </w:rPr>
        <w:t>5100.11 require respondents to pr</w:t>
      </w:r>
      <w:r w:rsidRPr="00A73083" w:rsidR="00725B57">
        <w:rPr>
          <w:rFonts w:ascii="Arial" w:hAnsi="Arial" w:cs="Arial"/>
          <w:sz w:val="22"/>
          <w:szCs w:val="22"/>
        </w:rPr>
        <w:t xml:space="preserve">epare the form in quadruplicate, and a fifth copy is required when distilled spirits or wines are for use </w:t>
      </w:r>
      <w:r w:rsidRPr="00A73083" w:rsidR="00576CD5">
        <w:rPr>
          <w:rFonts w:ascii="Arial" w:hAnsi="Arial" w:cs="Arial"/>
          <w:sz w:val="22"/>
          <w:szCs w:val="22"/>
        </w:rPr>
        <w:t xml:space="preserve">as supplies </w:t>
      </w:r>
      <w:r w:rsidRPr="00A73083" w:rsidR="00725B57">
        <w:rPr>
          <w:rFonts w:ascii="Arial" w:hAnsi="Arial" w:cs="Arial"/>
          <w:sz w:val="22"/>
          <w:szCs w:val="22"/>
        </w:rPr>
        <w:t xml:space="preserve">on an aircraft.  The form’s instructions describe the distribution of the copies to the </w:t>
      </w:r>
      <w:r w:rsidRPr="00A73083" w:rsidR="00576CD5">
        <w:rPr>
          <w:rFonts w:ascii="Arial" w:hAnsi="Arial" w:cs="Arial"/>
          <w:sz w:val="22"/>
          <w:szCs w:val="22"/>
        </w:rPr>
        <w:t xml:space="preserve">exporter, </w:t>
      </w:r>
      <w:r w:rsidRPr="00A73083" w:rsidR="00725B57">
        <w:rPr>
          <w:rFonts w:ascii="Arial" w:hAnsi="Arial" w:cs="Arial"/>
          <w:sz w:val="22"/>
          <w:szCs w:val="22"/>
        </w:rPr>
        <w:t>customs officer or other person certifying the export of the distilled spirits or wines in question, the consignee, and T</w:t>
      </w:r>
      <w:r w:rsidRPr="00A73083">
        <w:rPr>
          <w:rFonts w:ascii="Arial" w:hAnsi="Arial" w:cs="Arial"/>
          <w:sz w:val="22"/>
          <w:szCs w:val="22"/>
        </w:rPr>
        <w:t>TB’s National Revenue Center</w:t>
      </w:r>
      <w:r w:rsidRPr="00A73083" w:rsidR="00725B57">
        <w:rPr>
          <w:rFonts w:ascii="Arial" w:hAnsi="Arial" w:cs="Arial"/>
          <w:sz w:val="22"/>
          <w:szCs w:val="22"/>
        </w:rPr>
        <w:t xml:space="preserve">. </w:t>
      </w:r>
    </w:p>
    <w:p w:rsidRPr="00A02040" w:rsidR="00EC4FC3" w:rsidP="00D73D2D" w:rsidRDefault="00EC4FC3" w14:paraId="295B38B1" w14:textId="77777777">
      <w:pPr>
        <w:rPr>
          <w:rFonts w:ascii="Arial" w:hAnsi="Arial" w:cs="Arial"/>
          <w:sz w:val="28"/>
          <w:szCs w:val="28"/>
        </w:rPr>
      </w:pPr>
    </w:p>
    <w:p w:rsidRPr="00A73083" w:rsidR="005C282B" w:rsidP="00D73D2D" w:rsidRDefault="007A5D4B" w14:paraId="2B9AAAA7" w14:textId="77777777">
      <w:pPr>
        <w:rPr>
          <w:rFonts w:ascii="Arial" w:hAnsi="Arial" w:cs="Arial"/>
          <w:i/>
          <w:sz w:val="22"/>
          <w:szCs w:val="22"/>
        </w:rPr>
      </w:pPr>
      <w:r w:rsidRPr="00A73083">
        <w:rPr>
          <w:rFonts w:ascii="Arial" w:hAnsi="Arial" w:cs="Arial"/>
          <w:i/>
          <w:sz w:val="22"/>
          <w:szCs w:val="22"/>
        </w:rPr>
        <w:t xml:space="preserve">8.  </w:t>
      </w:r>
      <w:r w:rsidRPr="00A73083" w:rsidR="00EC4FC3">
        <w:rPr>
          <w:rFonts w:ascii="Arial" w:hAnsi="Arial" w:cs="Arial"/>
          <w:i/>
          <w:sz w:val="22"/>
          <w:szCs w:val="22"/>
        </w:rPr>
        <w:t>What effort was made to notify the general public about this collection of information?</w:t>
      </w:r>
      <w:r w:rsidRPr="00A73083" w:rsidR="005C282B">
        <w:rPr>
          <w:rFonts w:ascii="Arial" w:hAnsi="Arial" w:cs="Arial"/>
          <w:i/>
          <w:sz w:val="22"/>
          <w:szCs w:val="22"/>
        </w:rPr>
        <w:t xml:space="preserve">  Summarize the public comments that were received and describe the action taken by the agency in response to those comments.</w:t>
      </w:r>
      <w:r w:rsidRPr="00A73083">
        <w:rPr>
          <w:rFonts w:ascii="Arial" w:hAnsi="Arial" w:cs="Arial"/>
          <w:i/>
          <w:sz w:val="22"/>
          <w:szCs w:val="22"/>
        </w:rPr>
        <w:t xml:space="preserve"> </w:t>
      </w:r>
    </w:p>
    <w:p w:rsidRPr="00A73083" w:rsidR="005C282B" w:rsidP="00D73D2D" w:rsidRDefault="005C282B" w14:paraId="6791A607" w14:textId="77777777">
      <w:pPr>
        <w:suppressAutoHyphens/>
        <w:ind w:left="480" w:hanging="480"/>
        <w:rPr>
          <w:rFonts w:ascii="Arial" w:hAnsi="Arial" w:cs="Arial"/>
          <w:sz w:val="22"/>
          <w:szCs w:val="22"/>
        </w:rPr>
      </w:pPr>
    </w:p>
    <w:p w:rsidR="00D414AB" w:rsidP="004D086A" w:rsidRDefault="0039034A" w14:paraId="599B40D2" w14:textId="4BF94779">
      <w:pPr>
        <w:ind w:left="360"/>
        <w:rPr>
          <w:rFonts w:ascii="Arial" w:hAnsi="Arial" w:cs="Arial"/>
          <w:sz w:val="22"/>
          <w:szCs w:val="22"/>
        </w:rPr>
      </w:pPr>
      <w:r w:rsidRPr="00A73083">
        <w:rPr>
          <w:rFonts w:ascii="Arial" w:hAnsi="Arial" w:cs="Arial"/>
          <w:sz w:val="22"/>
          <w:szCs w:val="22"/>
        </w:rPr>
        <w:t xml:space="preserve">To solicit comments from the public, TTB published a “60-day” comment request notice for this information collection in the Federal Register on </w:t>
      </w:r>
      <w:r w:rsidRPr="00A73083" w:rsidR="00CF4BCB">
        <w:rPr>
          <w:rFonts w:ascii="Arial" w:hAnsi="Arial" w:cs="Arial"/>
          <w:sz w:val="22"/>
          <w:szCs w:val="22"/>
        </w:rPr>
        <w:t xml:space="preserve">September 3, 2020, at 85 FR 55067.  </w:t>
      </w:r>
      <w:r w:rsidRPr="00A73083">
        <w:rPr>
          <w:rFonts w:ascii="Arial" w:hAnsi="Arial" w:cs="Arial"/>
          <w:sz w:val="22"/>
          <w:szCs w:val="22"/>
        </w:rPr>
        <w:t xml:space="preserve">TTB received no comments on this information collection in response. </w:t>
      </w:r>
    </w:p>
    <w:p w:rsidRPr="00A73083" w:rsidR="00EC4FC3" w:rsidP="00D73D2D" w:rsidRDefault="005E4F9B" w14:paraId="4723B1AB" w14:textId="77777777">
      <w:pPr>
        <w:suppressAutoHyphens/>
        <w:rPr>
          <w:rFonts w:ascii="Arial" w:hAnsi="Arial" w:cs="Arial"/>
          <w:i/>
          <w:sz w:val="22"/>
          <w:szCs w:val="22"/>
        </w:rPr>
      </w:pPr>
      <w:r w:rsidRPr="00A73083">
        <w:rPr>
          <w:rFonts w:ascii="Arial" w:hAnsi="Arial" w:cs="Arial"/>
          <w:i/>
          <w:sz w:val="22"/>
          <w:szCs w:val="22"/>
        </w:rPr>
        <w:lastRenderedPageBreak/>
        <w:t xml:space="preserve">9.  </w:t>
      </w:r>
      <w:r w:rsidRPr="00A73083" w:rsidR="00D656EA">
        <w:rPr>
          <w:rFonts w:ascii="Arial" w:hAnsi="Arial" w:cs="Arial"/>
          <w:i/>
          <w:sz w:val="22"/>
          <w:szCs w:val="22"/>
        </w:rPr>
        <w:t xml:space="preserve">Was any payment or </w:t>
      </w:r>
      <w:r w:rsidRPr="00A73083" w:rsidR="00EC4FC3">
        <w:rPr>
          <w:rFonts w:ascii="Arial" w:hAnsi="Arial" w:cs="Arial"/>
          <w:i/>
          <w:sz w:val="22"/>
          <w:szCs w:val="22"/>
        </w:rPr>
        <w:t xml:space="preserve">gift </w:t>
      </w:r>
      <w:r w:rsidRPr="00A73083" w:rsidR="00D656EA">
        <w:rPr>
          <w:rFonts w:ascii="Arial" w:hAnsi="Arial" w:cs="Arial"/>
          <w:i/>
          <w:sz w:val="22"/>
          <w:szCs w:val="22"/>
        </w:rPr>
        <w:t xml:space="preserve">given </w:t>
      </w:r>
      <w:r w:rsidRPr="00A73083" w:rsidR="00EC4FC3">
        <w:rPr>
          <w:rFonts w:ascii="Arial" w:hAnsi="Arial" w:cs="Arial"/>
          <w:i/>
          <w:sz w:val="22"/>
          <w:szCs w:val="22"/>
        </w:rPr>
        <w:t>to respondents, other than re</w:t>
      </w:r>
      <w:r w:rsidRPr="00A73083" w:rsidR="00101DE7">
        <w:rPr>
          <w:rFonts w:ascii="Arial" w:hAnsi="Arial" w:cs="Arial"/>
          <w:i/>
          <w:sz w:val="22"/>
          <w:szCs w:val="22"/>
        </w:rPr>
        <w:t>mun</w:t>
      </w:r>
      <w:r w:rsidRPr="00A73083" w:rsidR="00EC4FC3">
        <w:rPr>
          <w:rFonts w:ascii="Arial" w:hAnsi="Arial" w:cs="Arial"/>
          <w:i/>
          <w:sz w:val="22"/>
          <w:szCs w:val="22"/>
        </w:rPr>
        <w:t>eration of contractors or grantees?</w:t>
      </w:r>
      <w:r w:rsidRPr="00A73083" w:rsidR="00D656EA">
        <w:rPr>
          <w:rFonts w:ascii="Arial" w:hAnsi="Arial" w:cs="Arial"/>
          <w:i/>
          <w:sz w:val="22"/>
          <w:szCs w:val="22"/>
        </w:rPr>
        <w:t xml:space="preserve">  If so, why? </w:t>
      </w:r>
    </w:p>
    <w:p w:rsidRPr="00A73083" w:rsidR="00EC4FC3" w:rsidP="00D73D2D" w:rsidRDefault="00EC4FC3" w14:paraId="3F63D32C" w14:textId="77777777">
      <w:pPr>
        <w:suppressAutoHyphens/>
        <w:rPr>
          <w:rFonts w:ascii="Arial" w:hAnsi="Arial" w:cs="Arial"/>
          <w:sz w:val="22"/>
          <w:szCs w:val="22"/>
        </w:rPr>
      </w:pPr>
    </w:p>
    <w:p w:rsidRPr="00A73083" w:rsidR="00EC4FC3" w:rsidP="004D086A" w:rsidRDefault="00EC4FC3" w14:paraId="73A927F5" w14:textId="06A8C071">
      <w:pPr>
        <w:suppressAutoHyphens/>
        <w:ind w:left="360"/>
        <w:rPr>
          <w:rFonts w:ascii="Arial" w:hAnsi="Arial" w:cs="Arial"/>
          <w:sz w:val="22"/>
          <w:szCs w:val="22"/>
        </w:rPr>
      </w:pPr>
      <w:r w:rsidRPr="00A73083">
        <w:rPr>
          <w:rFonts w:ascii="Arial" w:hAnsi="Arial" w:cs="Arial"/>
          <w:sz w:val="22"/>
          <w:szCs w:val="22"/>
        </w:rPr>
        <w:t xml:space="preserve">No payment or gift is associated with this </w:t>
      </w:r>
      <w:r w:rsidRPr="00A73083" w:rsidR="00CF4BCB">
        <w:rPr>
          <w:rFonts w:ascii="Arial" w:hAnsi="Arial" w:cs="Arial"/>
          <w:sz w:val="22"/>
          <w:szCs w:val="22"/>
        </w:rPr>
        <w:t xml:space="preserve">information </w:t>
      </w:r>
      <w:r w:rsidRPr="00A73083">
        <w:rPr>
          <w:rFonts w:ascii="Arial" w:hAnsi="Arial" w:cs="Arial"/>
          <w:sz w:val="22"/>
          <w:szCs w:val="22"/>
        </w:rPr>
        <w:t>collection.</w:t>
      </w:r>
      <w:r w:rsidRPr="00A73083" w:rsidR="00D656EA">
        <w:rPr>
          <w:rFonts w:ascii="Arial" w:hAnsi="Arial" w:cs="Arial"/>
          <w:sz w:val="22"/>
          <w:szCs w:val="22"/>
        </w:rPr>
        <w:t xml:space="preserve"> </w:t>
      </w:r>
    </w:p>
    <w:p w:rsidRPr="00A02040" w:rsidR="0064516B" w:rsidP="0064516B" w:rsidRDefault="0064516B" w14:paraId="12EB6155" w14:textId="77777777">
      <w:pPr>
        <w:suppressAutoHyphens/>
        <w:rPr>
          <w:rFonts w:ascii="Arial" w:hAnsi="Arial" w:cs="Arial"/>
          <w:sz w:val="28"/>
          <w:szCs w:val="28"/>
        </w:rPr>
      </w:pPr>
    </w:p>
    <w:p w:rsidRPr="00A73083" w:rsidR="00EC4FC3" w:rsidP="00D73D2D" w:rsidRDefault="00D656EA" w14:paraId="24E95F75" w14:textId="77777777">
      <w:pPr>
        <w:suppressAutoHyphens/>
        <w:rPr>
          <w:rFonts w:ascii="Arial" w:hAnsi="Arial" w:cs="Arial"/>
          <w:i/>
          <w:sz w:val="22"/>
          <w:szCs w:val="22"/>
        </w:rPr>
      </w:pPr>
      <w:r w:rsidRPr="00A73083">
        <w:rPr>
          <w:rFonts w:ascii="Arial" w:hAnsi="Arial" w:cs="Arial"/>
          <w:i/>
          <w:sz w:val="22"/>
          <w:szCs w:val="22"/>
        </w:rPr>
        <w:t>10.</w:t>
      </w:r>
      <w:r w:rsidRPr="00A73083" w:rsidR="00EC4FC3">
        <w:rPr>
          <w:rFonts w:ascii="Arial" w:hAnsi="Arial" w:cs="Arial"/>
          <w:i/>
          <w:sz w:val="22"/>
          <w:szCs w:val="22"/>
        </w:rPr>
        <w:t xml:space="preserve">  What assurance of confidentiality was provided to respondents</w:t>
      </w:r>
      <w:r w:rsidRPr="00A73083">
        <w:rPr>
          <w:rFonts w:ascii="Arial" w:hAnsi="Arial" w:cs="Arial"/>
          <w:i/>
          <w:sz w:val="22"/>
          <w:szCs w:val="22"/>
        </w:rPr>
        <w:t>,</w:t>
      </w:r>
      <w:r w:rsidRPr="00A73083" w:rsidR="00EC4FC3">
        <w:rPr>
          <w:rFonts w:ascii="Arial" w:hAnsi="Arial" w:cs="Arial"/>
          <w:i/>
          <w:sz w:val="22"/>
          <w:szCs w:val="22"/>
        </w:rPr>
        <w:t xml:space="preserve"> and what was the basis for the assurance in statute, regulations,</w:t>
      </w:r>
      <w:r w:rsidRPr="00A73083" w:rsidR="00734B25">
        <w:rPr>
          <w:rFonts w:ascii="Arial" w:hAnsi="Arial" w:cs="Arial"/>
          <w:i/>
          <w:sz w:val="22"/>
          <w:szCs w:val="22"/>
        </w:rPr>
        <w:t xml:space="preserve"> </w:t>
      </w:r>
      <w:r w:rsidRPr="00A73083" w:rsidR="00EC4FC3">
        <w:rPr>
          <w:rFonts w:ascii="Arial" w:hAnsi="Arial" w:cs="Arial"/>
          <w:i/>
          <w:sz w:val="22"/>
          <w:szCs w:val="22"/>
        </w:rPr>
        <w:t>or agency policy?</w:t>
      </w:r>
      <w:r w:rsidRPr="00A73083">
        <w:rPr>
          <w:rFonts w:ascii="Arial" w:hAnsi="Arial" w:cs="Arial"/>
          <w:i/>
          <w:sz w:val="22"/>
          <w:szCs w:val="22"/>
        </w:rPr>
        <w:t xml:space="preserve"> </w:t>
      </w:r>
    </w:p>
    <w:p w:rsidRPr="00A73083" w:rsidR="00EC4FC3" w:rsidP="005568F5" w:rsidRDefault="00EC4FC3" w14:paraId="27FFD8AF" w14:textId="77777777">
      <w:pPr>
        <w:ind w:left="360"/>
        <w:rPr>
          <w:rFonts w:ascii="Arial" w:hAnsi="Arial" w:cs="Arial"/>
          <w:sz w:val="22"/>
          <w:szCs w:val="22"/>
        </w:rPr>
      </w:pPr>
    </w:p>
    <w:p w:rsidRPr="00A73083" w:rsidR="0084640C" w:rsidP="005568F5" w:rsidRDefault="00CF4BCB" w14:paraId="1D286880" w14:textId="4EB42A80">
      <w:pPr>
        <w:ind w:left="360"/>
        <w:rPr>
          <w:rFonts w:ascii="Arial" w:hAnsi="Arial" w:cs="Arial"/>
          <w:sz w:val="22"/>
          <w:szCs w:val="22"/>
        </w:rPr>
      </w:pPr>
      <w:r w:rsidRPr="00A73083">
        <w:rPr>
          <w:rFonts w:ascii="Arial" w:hAnsi="Arial" w:cs="Arial"/>
          <w:sz w:val="22"/>
          <w:szCs w:val="22"/>
        </w:rPr>
        <w:t>TTB provides n</w:t>
      </w:r>
      <w:r w:rsidRPr="00A73083" w:rsidR="00E51AD7">
        <w:rPr>
          <w:rFonts w:ascii="Arial" w:hAnsi="Arial" w:cs="Arial"/>
          <w:sz w:val="22"/>
          <w:szCs w:val="22"/>
        </w:rPr>
        <w:t xml:space="preserve">o specific assurance of confidentiality </w:t>
      </w:r>
      <w:r w:rsidRPr="00A73083">
        <w:rPr>
          <w:rFonts w:ascii="Arial" w:hAnsi="Arial" w:cs="Arial"/>
          <w:sz w:val="22"/>
          <w:szCs w:val="22"/>
        </w:rPr>
        <w:t xml:space="preserve">for this collection.  </w:t>
      </w:r>
      <w:r w:rsidRPr="00A73083" w:rsidR="00E51AD7">
        <w:rPr>
          <w:rFonts w:ascii="Arial" w:hAnsi="Arial" w:cs="Arial"/>
          <w:sz w:val="22"/>
          <w:szCs w:val="22"/>
        </w:rPr>
        <w:t>However, Federal law at 5</w:t>
      </w:r>
      <w:r w:rsidRPr="00A73083" w:rsidR="006665B1">
        <w:rPr>
          <w:rFonts w:ascii="Arial" w:hAnsi="Arial" w:cs="Arial"/>
          <w:sz w:val="22"/>
          <w:szCs w:val="22"/>
        </w:rPr>
        <w:t> </w:t>
      </w:r>
      <w:r w:rsidRPr="00A73083" w:rsidR="00E51AD7">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w:t>
      </w:r>
      <w:r w:rsidRPr="00A73083" w:rsidR="005568F5">
        <w:rPr>
          <w:rFonts w:ascii="Arial" w:hAnsi="Arial" w:cs="Arial"/>
          <w:sz w:val="22"/>
          <w:szCs w:val="22"/>
        </w:rPr>
        <w:t xml:space="preserve"> </w:t>
      </w:r>
      <w:r w:rsidRPr="00A73083">
        <w:rPr>
          <w:rFonts w:ascii="Arial" w:hAnsi="Arial" w:cs="Arial"/>
          <w:sz w:val="22"/>
          <w:szCs w:val="22"/>
        </w:rPr>
        <w:t xml:space="preserve">TTB maintains the collected information in secure computer systems and file rooms with controlled access. </w:t>
      </w:r>
    </w:p>
    <w:p w:rsidRPr="00A02040" w:rsidR="00AF1157" w:rsidP="00D73D2D" w:rsidRDefault="00AF1157" w14:paraId="323DAF72" w14:textId="77777777">
      <w:pPr>
        <w:suppressAutoHyphens/>
        <w:rPr>
          <w:rFonts w:ascii="Arial" w:hAnsi="Arial" w:cs="Arial"/>
          <w:sz w:val="28"/>
          <w:szCs w:val="28"/>
        </w:rPr>
      </w:pPr>
    </w:p>
    <w:p w:rsidRPr="00A73083" w:rsidR="00A201BF" w:rsidP="00A201BF" w:rsidRDefault="00A201BF" w14:paraId="0380840E" w14:textId="77777777">
      <w:pPr>
        <w:rPr>
          <w:rFonts w:ascii="Arial" w:hAnsi="Arial" w:cs="Arial"/>
          <w:i/>
          <w:sz w:val="22"/>
          <w:szCs w:val="22"/>
        </w:rPr>
      </w:pPr>
      <w:r w:rsidRPr="00A73083">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A73083" w:rsidR="00A201BF" w:rsidP="00A201BF" w:rsidRDefault="00A201BF" w14:paraId="7456C62E" w14:textId="77777777">
      <w:pPr>
        <w:rPr>
          <w:rFonts w:ascii="Arial" w:hAnsi="Arial" w:cs="Arial"/>
          <w:i/>
          <w:sz w:val="22"/>
          <w:szCs w:val="22"/>
        </w:rPr>
      </w:pPr>
    </w:p>
    <w:p w:rsidRPr="00A73083" w:rsidR="00627C95" w:rsidP="00627C95" w:rsidRDefault="00627C95" w14:paraId="41D39F6A" w14:textId="2F6BCE05">
      <w:pPr>
        <w:widowControl w:val="0"/>
        <w:suppressAutoHyphens/>
        <w:autoSpaceDE w:val="0"/>
        <w:autoSpaceDN w:val="0"/>
        <w:adjustRightInd w:val="0"/>
        <w:ind w:left="360"/>
        <w:rPr>
          <w:rFonts w:ascii="Arial" w:hAnsi="Arial" w:cs="Arial"/>
          <w:sz w:val="22"/>
          <w:szCs w:val="22"/>
        </w:rPr>
      </w:pPr>
      <w:r w:rsidRPr="00A73083">
        <w:rPr>
          <w:rFonts w:ascii="Arial" w:hAnsi="Arial" w:cs="Arial"/>
          <w:sz w:val="22"/>
          <w:szCs w:val="22"/>
        </w:rPr>
        <w:t>This information collection contains no questions of a sensitive nature</w:t>
      </w:r>
      <w:r w:rsidR="00E5284D">
        <w:rPr>
          <w:rFonts w:ascii="Arial" w:hAnsi="Arial" w:cs="Arial"/>
          <w:sz w:val="22"/>
          <w:szCs w:val="22"/>
        </w:rPr>
        <w:t xml:space="preserve">, and it </w:t>
      </w:r>
      <w:r w:rsidRPr="00A73083">
        <w:rPr>
          <w:rFonts w:ascii="Arial" w:hAnsi="Arial" w:cs="Arial"/>
          <w:sz w:val="22"/>
          <w:szCs w:val="22"/>
        </w:rPr>
        <w:t>does not collect personally identifiable information (PII)</w:t>
      </w:r>
      <w:r w:rsidRPr="00A73083" w:rsidR="0039034A">
        <w:rPr>
          <w:rFonts w:ascii="Arial" w:hAnsi="Arial" w:cs="Arial"/>
          <w:sz w:val="22"/>
          <w:szCs w:val="22"/>
        </w:rPr>
        <w:t xml:space="preserve">.  </w:t>
      </w:r>
      <w:r w:rsidRPr="00A73083">
        <w:rPr>
          <w:rFonts w:ascii="Arial" w:hAnsi="Arial" w:cs="Arial"/>
          <w:sz w:val="22"/>
          <w:szCs w:val="22"/>
        </w:rPr>
        <w:t xml:space="preserve">Therefore, no Privacy Impact Assessment (PIA) or System of Records Notice (SORN) is required for this collection. </w:t>
      </w:r>
    </w:p>
    <w:p w:rsidRPr="00A02040" w:rsidR="00AF1157" w:rsidP="00D73D2D" w:rsidRDefault="00AF1157" w14:paraId="4B7251D9" w14:textId="77777777">
      <w:pPr>
        <w:suppressAutoHyphens/>
        <w:rPr>
          <w:rFonts w:ascii="Arial" w:hAnsi="Arial" w:cs="Arial"/>
          <w:sz w:val="28"/>
          <w:szCs w:val="28"/>
        </w:rPr>
      </w:pPr>
    </w:p>
    <w:p w:rsidRPr="00A73083" w:rsidR="00AF1157" w:rsidP="00D73D2D" w:rsidRDefault="00AF060A" w14:paraId="7BBAD974" w14:textId="4496768A">
      <w:pPr>
        <w:suppressAutoHyphens/>
        <w:rPr>
          <w:rFonts w:ascii="Arial" w:hAnsi="Arial" w:cs="Arial"/>
          <w:i/>
          <w:sz w:val="22"/>
          <w:szCs w:val="22"/>
        </w:rPr>
      </w:pPr>
      <w:r w:rsidRPr="00A73083">
        <w:rPr>
          <w:rFonts w:ascii="Arial" w:hAnsi="Arial" w:cs="Arial"/>
          <w:i/>
          <w:sz w:val="22"/>
          <w:szCs w:val="22"/>
        </w:rPr>
        <w:t xml:space="preserve">12.  </w:t>
      </w:r>
      <w:r w:rsidRPr="00A73083" w:rsidR="00AF1157">
        <w:rPr>
          <w:rFonts w:ascii="Arial" w:hAnsi="Arial" w:cs="Arial"/>
          <w:i/>
          <w:sz w:val="22"/>
          <w:szCs w:val="22"/>
        </w:rPr>
        <w:t>What is the estimated hour burden of this collection of information?</w:t>
      </w:r>
      <w:r w:rsidRPr="00A73083">
        <w:rPr>
          <w:rFonts w:ascii="Arial" w:hAnsi="Arial" w:cs="Arial"/>
          <w:i/>
          <w:sz w:val="22"/>
          <w:szCs w:val="22"/>
        </w:rPr>
        <w:t xml:space="preserve"> </w:t>
      </w:r>
    </w:p>
    <w:p w:rsidRPr="00A73083" w:rsidR="00AF1157" w:rsidP="00D73D2D" w:rsidRDefault="00AF1157" w14:paraId="4A353F5C" w14:textId="77777777">
      <w:pPr>
        <w:suppressAutoHyphens/>
        <w:rPr>
          <w:rFonts w:ascii="Arial" w:hAnsi="Arial" w:cs="Arial"/>
          <w:sz w:val="22"/>
          <w:szCs w:val="22"/>
        </w:rPr>
      </w:pPr>
    </w:p>
    <w:p w:rsidRPr="00A73083" w:rsidR="00627C95" w:rsidP="00E56E11" w:rsidRDefault="00CF4BCB" w14:paraId="4018C537" w14:textId="3D3900F6">
      <w:pPr>
        <w:ind w:left="360"/>
        <w:rPr>
          <w:rFonts w:ascii="Arial" w:hAnsi="Arial" w:cs="Arial"/>
          <w:sz w:val="22"/>
          <w:szCs w:val="22"/>
        </w:rPr>
      </w:pPr>
      <w:r w:rsidRPr="00A73083">
        <w:rPr>
          <w:rFonts w:ascii="Arial" w:hAnsi="Arial" w:cs="Arial"/>
          <w:sz w:val="22"/>
          <w:szCs w:val="22"/>
          <w:u w:val="single"/>
        </w:rPr>
        <w:t>Estimated Annual Burden:</w:t>
      </w:r>
      <w:r w:rsidRPr="00A73083">
        <w:rPr>
          <w:rFonts w:ascii="Arial" w:hAnsi="Arial" w:cs="Arial"/>
          <w:sz w:val="22"/>
          <w:szCs w:val="22"/>
        </w:rPr>
        <w:t xml:space="preserve">  </w:t>
      </w:r>
      <w:r w:rsidRPr="00A73083" w:rsidR="00A82851">
        <w:rPr>
          <w:rFonts w:ascii="Arial" w:hAnsi="Arial" w:cs="Arial"/>
          <w:sz w:val="22"/>
          <w:szCs w:val="22"/>
        </w:rPr>
        <w:t xml:space="preserve">Based on </w:t>
      </w:r>
      <w:r w:rsidRPr="00A73083" w:rsidR="00576CD5">
        <w:rPr>
          <w:rFonts w:ascii="Arial" w:hAnsi="Arial" w:cs="Arial"/>
          <w:sz w:val="22"/>
          <w:szCs w:val="22"/>
        </w:rPr>
        <w:t xml:space="preserve">recent </w:t>
      </w:r>
      <w:r w:rsidRPr="00A73083" w:rsidR="00A82851">
        <w:rPr>
          <w:rFonts w:ascii="Arial" w:hAnsi="Arial" w:cs="Arial"/>
          <w:sz w:val="22"/>
          <w:szCs w:val="22"/>
        </w:rPr>
        <w:t>data</w:t>
      </w:r>
      <w:r w:rsidRPr="00A73083" w:rsidR="00576CD5">
        <w:rPr>
          <w:rFonts w:ascii="Arial" w:hAnsi="Arial" w:cs="Arial"/>
          <w:sz w:val="22"/>
          <w:szCs w:val="22"/>
        </w:rPr>
        <w:t xml:space="preserve">, TTB estimates that </w:t>
      </w:r>
      <w:r w:rsidRPr="00A73083" w:rsidR="00627C95">
        <w:rPr>
          <w:rFonts w:ascii="Arial" w:hAnsi="Arial" w:cs="Arial"/>
          <w:sz w:val="22"/>
          <w:szCs w:val="22"/>
        </w:rPr>
        <w:t xml:space="preserve">150 respondents complete </w:t>
      </w:r>
      <w:r w:rsidRPr="00A73083" w:rsidR="00292BAD">
        <w:rPr>
          <w:rFonts w:ascii="Arial" w:hAnsi="Arial" w:cs="Arial"/>
          <w:sz w:val="22"/>
          <w:szCs w:val="22"/>
        </w:rPr>
        <w:t xml:space="preserve">an average of </w:t>
      </w:r>
      <w:r w:rsidRPr="00A73083" w:rsidR="00627C95">
        <w:rPr>
          <w:rFonts w:ascii="Arial" w:hAnsi="Arial" w:cs="Arial"/>
          <w:sz w:val="22"/>
          <w:szCs w:val="22"/>
        </w:rPr>
        <w:t xml:space="preserve">20 responses per year, for a total of 3,000 annual responses.  </w:t>
      </w:r>
      <w:r w:rsidRPr="00A73083" w:rsidR="00725B57">
        <w:rPr>
          <w:rFonts w:ascii="Arial" w:hAnsi="Arial" w:cs="Arial"/>
          <w:sz w:val="22"/>
          <w:szCs w:val="22"/>
        </w:rPr>
        <w:t xml:space="preserve">TTB </w:t>
      </w:r>
      <w:r w:rsidRPr="00A73083" w:rsidR="00FA51DA">
        <w:rPr>
          <w:rFonts w:ascii="Arial" w:hAnsi="Arial" w:cs="Arial"/>
          <w:sz w:val="22"/>
          <w:szCs w:val="22"/>
        </w:rPr>
        <w:t xml:space="preserve">further </w:t>
      </w:r>
      <w:r w:rsidRPr="00A73083" w:rsidR="00725B57">
        <w:rPr>
          <w:rFonts w:ascii="Arial" w:hAnsi="Arial" w:cs="Arial"/>
          <w:sz w:val="22"/>
          <w:szCs w:val="22"/>
        </w:rPr>
        <w:t xml:space="preserve">estimates that respondents require 0.5 hour (30 minutes) to complete </w:t>
      </w:r>
      <w:r w:rsidRPr="00A73083" w:rsidR="00B8588D">
        <w:rPr>
          <w:rFonts w:ascii="Arial" w:hAnsi="Arial" w:cs="Arial"/>
          <w:sz w:val="22"/>
          <w:szCs w:val="22"/>
        </w:rPr>
        <w:t xml:space="preserve">each </w:t>
      </w:r>
      <w:r w:rsidRPr="00A73083" w:rsidR="00725B57">
        <w:rPr>
          <w:rFonts w:ascii="Arial" w:hAnsi="Arial" w:cs="Arial"/>
          <w:sz w:val="22"/>
          <w:szCs w:val="22"/>
        </w:rPr>
        <w:t>response</w:t>
      </w:r>
      <w:r w:rsidRPr="00A73083" w:rsidR="00FA51DA">
        <w:rPr>
          <w:rFonts w:ascii="Arial" w:hAnsi="Arial" w:cs="Arial"/>
          <w:sz w:val="22"/>
          <w:szCs w:val="22"/>
        </w:rPr>
        <w:t xml:space="preserve">.  This results </w:t>
      </w:r>
      <w:r w:rsidRPr="00A73083" w:rsidR="00B8588D">
        <w:rPr>
          <w:rFonts w:ascii="Arial" w:hAnsi="Arial" w:cs="Arial"/>
          <w:sz w:val="22"/>
          <w:szCs w:val="22"/>
        </w:rPr>
        <w:t xml:space="preserve">in an estimated </w:t>
      </w:r>
      <w:r w:rsidRPr="00A73083" w:rsidR="00FA51DA">
        <w:rPr>
          <w:rFonts w:ascii="Arial" w:hAnsi="Arial" w:cs="Arial"/>
          <w:sz w:val="22"/>
          <w:szCs w:val="22"/>
        </w:rPr>
        <w:t xml:space="preserve">annual burden of 10 hours per respondent and an estimated </w:t>
      </w:r>
      <w:r w:rsidRPr="00A73083" w:rsidR="00B8588D">
        <w:rPr>
          <w:rFonts w:ascii="Arial" w:hAnsi="Arial" w:cs="Arial"/>
          <w:sz w:val="22"/>
          <w:szCs w:val="22"/>
        </w:rPr>
        <w:t>total ann</w:t>
      </w:r>
      <w:r w:rsidRPr="00A73083" w:rsidR="00627C95">
        <w:rPr>
          <w:rFonts w:ascii="Arial" w:hAnsi="Arial" w:cs="Arial"/>
          <w:sz w:val="22"/>
          <w:szCs w:val="22"/>
        </w:rPr>
        <w:t xml:space="preserve">ual burden </w:t>
      </w:r>
      <w:r w:rsidRPr="00A73083" w:rsidR="00725B57">
        <w:rPr>
          <w:rFonts w:ascii="Arial" w:hAnsi="Arial" w:cs="Arial"/>
          <w:sz w:val="22"/>
          <w:szCs w:val="22"/>
        </w:rPr>
        <w:t>of</w:t>
      </w:r>
      <w:r w:rsidRPr="00A73083" w:rsidR="00627C95">
        <w:rPr>
          <w:rFonts w:ascii="Arial" w:hAnsi="Arial" w:cs="Arial"/>
          <w:sz w:val="22"/>
          <w:szCs w:val="22"/>
        </w:rPr>
        <w:t xml:space="preserve"> 1,500 hours</w:t>
      </w:r>
      <w:r w:rsidRPr="00A73083" w:rsidR="00FA51DA">
        <w:rPr>
          <w:rFonts w:ascii="Arial" w:hAnsi="Arial" w:cs="Arial"/>
          <w:sz w:val="22"/>
          <w:szCs w:val="22"/>
        </w:rPr>
        <w:t xml:space="preserve"> for this information collection</w:t>
      </w:r>
      <w:r w:rsidRPr="00A73083" w:rsidR="00627C95">
        <w:rPr>
          <w:rFonts w:ascii="Arial" w:hAnsi="Arial" w:cs="Arial"/>
          <w:sz w:val="22"/>
          <w:szCs w:val="22"/>
        </w:rPr>
        <w:t>.</w:t>
      </w:r>
      <w:r w:rsidRPr="00A73083">
        <w:rPr>
          <w:rFonts w:ascii="Arial" w:hAnsi="Arial" w:cs="Arial"/>
          <w:sz w:val="22"/>
          <w:szCs w:val="22"/>
        </w:rPr>
        <w:t xml:space="preserve"> </w:t>
      </w:r>
    </w:p>
    <w:p w:rsidRPr="00A73083" w:rsidR="00CF4BCB" w:rsidP="00E56E11" w:rsidRDefault="00CF4BCB" w14:paraId="3791EC7A" w14:textId="79B3AFF5">
      <w:pPr>
        <w:ind w:left="360"/>
        <w:rPr>
          <w:rFonts w:ascii="Arial" w:hAnsi="Arial" w:cs="Arial"/>
          <w:sz w:val="22"/>
          <w:szCs w:val="22"/>
        </w:rPr>
      </w:pPr>
    </w:p>
    <w:p w:rsidR="00576CD5" w:rsidP="007E1705" w:rsidRDefault="00CF4BCB" w14:paraId="687F5198" w14:textId="469756B1">
      <w:pPr>
        <w:ind w:left="360"/>
        <w:rPr>
          <w:rFonts w:ascii="Arial" w:hAnsi="Arial" w:cs="Arial"/>
          <w:sz w:val="22"/>
          <w:szCs w:val="22"/>
        </w:rPr>
      </w:pPr>
      <w:r w:rsidRPr="00A73083">
        <w:rPr>
          <w:rFonts w:ascii="Arial" w:hAnsi="Arial" w:cs="Arial"/>
          <w:sz w:val="22"/>
          <w:szCs w:val="22"/>
          <w:u w:val="single"/>
        </w:rPr>
        <w:t>Estimated Respondent Labor Costs:</w:t>
      </w:r>
      <w:r w:rsidRPr="00A73083">
        <w:rPr>
          <w:rFonts w:ascii="Arial" w:hAnsi="Arial" w:cs="Arial"/>
          <w:sz w:val="22"/>
          <w:szCs w:val="22"/>
        </w:rPr>
        <w:t xml:space="preserve">  </w:t>
      </w:r>
      <w:r w:rsidRPr="00A73083" w:rsidR="00E07D0C">
        <w:rPr>
          <w:rFonts w:ascii="Arial" w:hAnsi="Arial" w:cs="Arial"/>
          <w:sz w:val="22"/>
          <w:szCs w:val="22"/>
        </w:rPr>
        <w:t xml:space="preserve">TTB estimates the </w:t>
      </w:r>
      <w:r w:rsidRPr="00A73083" w:rsidR="00C54B8F">
        <w:rPr>
          <w:rFonts w:ascii="Arial" w:hAnsi="Arial" w:cs="Arial"/>
          <w:sz w:val="22"/>
          <w:szCs w:val="22"/>
        </w:rPr>
        <w:t xml:space="preserve">annual </w:t>
      </w:r>
      <w:r w:rsidRPr="00A73083" w:rsidR="00E07D0C">
        <w:rPr>
          <w:rFonts w:ascii="Arial" w:hAnsi="Arial" w:cs="Arial"/>
          <w:sz w:val="22"/>
          <w:szCs w:val="22"/>
        </w:rPr>
        <w:t xml:space="preserve">per-respondent and total respondent labor costs for this information collection as follows: </w:t>
      </w:r>
    </w:p>
    <w:p w:rsidR="007E1705" w:rsidP="007E1705" w:rsidRDefault="007E1705" w14:paraId="36E58CD5" w14:textId="2F0F4591">
      <w:pPr>
        <w:ind w:left="360"/>
        <w:rPr>
          <w:rFonts w:ascii="Arial" w:hAnsi="Arial" w:cs="Arial"/>
          <w:sz w:val="22"/>
          <w:szCs w:val="22"/>
        </w:rPr>
      </w:pPr>
    </w:p>
    <w:tbl>
      <w:tblPr>
        <w:tblStyle w:val="TableGrid1"/>
        <w:tblW w:w="8928" w:type="dxa"/>
        <w:jc w:val="center"/>
        <w:tblLayout w:type="fixed"/>
        <w:tblCellMar>
          <w:left w:w="29" w:type="dxa"/>
          <w:right w:w="29" w:type="dxa"/>
        </w:tblCellMar>
        <w:tblLook w:val="04A0" w:firstRow="1" w:lastRow="0" w:firstColumn="1" w:lastColumn="0" w:noHBand="0" w:noVBand="1"/>
      </w:tblPr>
      <w:tblGrid>
        <w:gridCol w:w="2335"/>
        <w:gridCol w:w="1080"/>
        <w:gridCol w:w="1080"/>
        <w:gridCol w:w="1080"/>
        <w:gridCol w:w="1170"/>
        <w:gridCol w:w="1080"/>
        <w:gridCol w:w="1103"/>
      </w:tblGrid>
      <w:tr w:rsidRPr="0002704F" w:rsidR="00A73083" w:rsidTr="00A02040" w14:paraId="75F7C325" w14:textId="77777777">
        <w:trPr>
          <w:trHeight w:val="576"/>
          <w:jc w:val="center"/>
        </w:trPr>
        <w:tc>
          <w:tcPr>
            <w:tcW w:w="8928" w:type="dxa"/>
            <w:gridSpan w:val="7"/>
            <w:vAlign w:val="center"/>
          </w:tcPr>
          <w:p w:rsidRPr="0002704F" w:rsidR="00576CD5" w:rsidP="000562C4" w:rsidRDefault="00576CD5" w14:paraId="1482B8C9" w14:textId="5843FC3A">
            <w:pPr>
              <w:suppressAutoHyphens/>
              <w:jc w:val="center"/>
              <w:rPr>
                <w:rFonts w:ascii="Arial" w:hAnsi="Arial" w:cs="Arial"/>
                <w:b/>
                <w:sz w:val="18"/>
                <w:szCs w:val="18"/>
              </w:rPr>
            </w:pPr>
            <w:r w:rsidRPr="0002704F">
              <w:rPr>
                <w:rFonts w:ascii="Arial" w:hAnsi="Arial" w:cs="Arial"/>
                <w:b/>
                <w:sz w:val="18"/>
                <w:szCs w:val="18"/>
              </w:rPr>
              <w:t xml:space="preserve">NAICS 312000 - Beverage &amp; Tobacco Product Manufacturing – Office &amp; Administrative Support Occupations </w:t>
            </w:r>
            <w:r w:rsidRPr="0002704F" w:rsidR="00FA51DA">
              <w:rPr>
                <w:rFonts w:ascii="Arial" w:hAnsi="Arial" w:cs="Arial"/>
                <w:b/>
                <w:sz w:val="18"/>
                <w:szCs w:val="18"/>
              </w:rPr>
              <w:t xml:space="preserve">– </w:t>
            </w:r>
            <w:r w:rsidRPr="0002704F">
              <w:rPr>
                <w:rFonts w:ascii="Arial" w:hAnsi="Arial" w:cs="Arial"/>
                <w:b/>
                <w:sz w:val="18"/>
                <w:szCs w:val="18"/>
              </w:rPr>
              <w:t>Fully-loaded Labor Rate/Hour</w:t>
            </w:r>
            <w:r w:rsidRPr="0002704F">
              <w:rPr>
                <w:rFonts w:ascii="Arial" w:hAnsi="Arial" w:cs="Arial"/>
                <w:b/>
                <w:sz w:val="18"/>
                <w:szCs w:val="18"/>
                <w:vertAlign w:val="superscript"/>
              </w:rPr>
              <w:footnoteReference w:id="3"/>
            </w:r>
            <w:r w:rsidRPr="0002704F">
              <w:rPr>
                <w:rFonts w:ascii="Arial" w:hAnsi="Arial" w:cs="Arial"/>
                <w:b/>
                <w:sz w:val="18"/>
                <w:szCs w:val="18"/>
              </w:rPr>
              <w:t xml:space="preserve"> = $</w:t>
            </w:r>
            <w:r w:rsidRPr="0002704F" w:rsidR="000562C4">
              <w:rPr>
                <w:rFonts w:ascii="Arial" w:hAnsi="Arial" w:cs="Arial"/>
                <w:b/>
                <w:sz w:val="18"/>
                <w:szCs w:val="18"/>
              </w:rPr>
              <w:t>29.65</w:t>
            </w:r>
          </w:p>
        </w:tc>
      </w:tr>
      <w:tr w:rsidRPr="0002704F" w:rsidR="00A73083" w:rsidTr="00A02040" w14:paraId="2F867206" w14:textId="77777777">
        <w:trPr>
          <w:trHeight w:val="710"/>
          <w:jc w:val="center"/>
        </w:trPr>
        <w:tc>
          <w:tcPr>
            <w:tcW w:w="2335" w:type="dxa"/>
            <w:tcMar>
              <w:left w:w="29" w:type="dxa"/>
              <w:right w:w="29" w:type="dxa"/>
            </w:tcMar>
            <w:vAlign w:val="center"/>
          </w:tcPr>
          <w:p w:rsidRPr="0002704F" w:rsidR="00576CD5" w:rsidP="006428C9" w:rsidRDefault="00576CD5" w14:paraId="3D065143" w14:textId="77777777">
            <w:pPr>
              <w:suppressAutoHyphens/>
              <w:jc w:val="center"/>
              <w:rPr>
                <w:rFonts w:ascii="Arial" w:hAnsi="Arial" w:cs="Arial"/>
                <w:sz w:val="18"/>
                <w:szCs w:val="18"/>
              </w:rPr>
            </w:pPr>
            <w:r w:rsidRPr="0002704F">
              <w:rPr>
                <w:rFonts w:ascii="Arial" w:hAnsi="Arial" w:cs="Arial"/>
                <w:sz w:val="18"/>
                <w:szCs w:val="18"/>
              </w:rPr>
              <w:t xml:space="preserve">Information </w:t>
            </w:r>
          </w:p>
          <w:p w:rsidRPr="0002704F" w:rsidR="00576CD5" w:rsidP="006428C9" w:rsidRDefault="00576CD5" w14:paraId="366843B1" w14:textId="77777777">
            <w:pPr>
              <w:suppressAutoHyphens/>
              <w:jc w:val="center"/>
              <w:rPr>
                <w:rFonts w:ascii="Arial" w:hAnsi="Arial" w:cs="Arial"/>
                <w:sz w:val="18"/>
                <w:szCs w:val="18"/>
              </w:rPr>
            </w:pPr>
            <w:r w:rsidRPr="0002704F">
              <w:rPr>
                <w:rFonts w:ascii="Arial" w:hAnsi="Arial" w:cs="Arial"/>
                <w:sz w:val="18"/>
                <w:szCs w:val="18"/>
              </w:rPr>
              <w:t>Collection</w:t>
            </w:r>
          </w:p>
        </w:tc>
        <w:tc>
          <w:tcPr>
            <w:tcW w:w="1080" w:type="dxa"/>
            <w:tcMar>
              <w:left w:w="29" w:type="dxa"/>
              <w:right w:w="29" w:type="dxa"/>
            </w:tcMar>
            <w:vAlign w:val="center"/>
          </w:tcPr>
          <w:p w:rsidRPr="0002704F" w:rsidR="00576CD5" w:rsidP="006428C9" w:rsidRDefault="00576CD5" w14:paraId="58F9BAA9" w14:textId="77777777">
            <w:pPr>
              <w:suppressAutoHyphens/>
              <w:jc w:val="center"/>
              <w:rPr>
                <w:rFonts w:ascii="Arial" w:hAnsi="Arial" w:cs="Arial"/>
                <w:sz w:val="18"/>
                <w:szCs w:val="18"/>
              </w:rPr>
            </w:pPr>
            <w:r w:rsidRPr="0002704F">
              <w:rPr>
                <w:rFonts w:ascii="Arial" w:hAnsi="Arial" w:cs="Arial"/>
                <w:sz w:val="18"/>
                <w:szCs w:val="18"/>
              </w:rPr>
              <w:t xml:space="preserve">Avg. Time / Response (Hours) </w:t>
            </w:r>
          </w:p>
        </w:tc>
        <w:tc>
          <w:tcPr>
            <w:tcW w:w="1080" w:type="dxa"/>
            <w:tcMar>
              <w:left w:w="29" w:type="dxa"/>
              <w:right w:w="29" w:type="dxa"/>
            </w:tcMar>
            <w:vAlign w:val="center"/>
          </w:tcPr>
          <w:p w:rsidRPr="0002704F" w:rsidR="00576CD5" w:rsidP="00E5284D" w:rsidRDefault="00576CD5" w14:paraId="7F7ACBAB" w14:textId="4DEC28B8">
            <w:pPr>
              <w:suppressAutoHyphens/>
              <w:jc w:val="center"/>
              <w:rPr>
                <w:rFonts w:ascii="Arial" w:hAnsi="Arial" w:cs="Arial"/>
                <w:sz w:val="18"/>
                <w:szCs w:val="18"/>
              </w:rPr>
            </w:pPr>
            <w:r w:rsidRPr="0002704F">
              <w:rPr>
                <w:rFonts w:ascii="Arial" w:hAnsi="Arial" w:cs="Arial"/>
                <w:sz w:val="18"/>
                <w:szCs w:val="18"/>
              </w:rPr>
              <w:t>Labor Cost / Response</w:t>
            </w:r>
          </w:p>
        </w:tc>
        <w:tc>
          <w:tcPr>
            <w:tcW w:w="1080" w:type="dxa"/>
            <w:vAlign w:val="center"/>
          </w:tcPr>
          <w:p w:rsidRPr="0002704F" w:rsidR="00576CD5" w:rsidP="006428C9" w:rsidRDefault="00576CD5" w14:paraId="24E45D01" w14:textId="77777777">
            <w:pPr>
              <w:suppressAutoHyphens/>
              <w:jc w:val="center"/>
              <w:rPr>
                <w:rFonts w:ascii="Arial" w:hAnsi="Arial" w:cs="Arial"/>
                <w:sz w:val="18"/>
                <w:szCs w:val="18"/>
              </w:rPr>
            </w:pPr>
            <w:r w:rsidRPr="0002704F">
              <w:rPr>
                <w:rFonts w:ascii="Arial" w:hAnsi="Arial" w:cs="Arial"/>
                <w:sz w:val="18"/>
                <w:szCs w:val="18"/>
              </w:rPr>
              <w:t>Responses / Respondent</w:t>
            </w:r>
          </w:p>
        </w:tc>
        <w:tc>
          <w:tcPr>
            <w:tcW w:w="1170" w:type="dxa"/>
            <w:tcBorders>
              <w:right w:val="single" w:color="auto" w:sz="12" w:space="0"/>
            </w:tcBorders>
            <w:vAlign w:val="center"/>
          </w:tcPr>
          <w:p w:rsidRPr="0002704F" w:rsidR="00576CD5" w:rsidP="0064516B" w:rsidRDefault="00576CD5" w14:paraId="67D0A8D5" w14:textId="3F0947F1">
            <w:pPr>
              <w:suppressAutoHyphens/>
              <w:jc w:val="center"/>
              <w:rPr>
                <w:rFonts w:ascii="Arial" w:hAnsi="Arial" w:cs="Arial"/>
                <w:sz w:val="18"/>
                <w:szCs w:val="18"/>
              </w:rPr>
            </w:pPr>
            <w:r w:rsidRPr="0002704F">
              <w:rPr>
                <w:rFonts w:ascii="Arial" w:hAnsi="Arial" w:cs="Arial"/>
                <w:sz w:val="18"/>
                <w:szCs w:val="18"/>
              </w:rPr>
              <w:t xml:space="preserve">Labor Costs / Respondent </w:t>
            </w:r>
          </w:p>
        </w:tc>
        <w:tc>
          <w:tcPr>
            <w:tcW w:w="1080" w:type="dxa"/>
            <w:tcBorders>
              <w:left w:val="single" w:color="auto" w:sz="12" w:space="0"/>
            </w:tcBorders>
            <w:tcMar>
              <w:left w:w="29" w:type="dxa"/>
              <w:right w:w="29" w:type="dxa"/>
            </w:tcMar>
            <w:vAlign w:val="center"/>
          </w:tcPr>
          <w:p w:rsidRPr="0002704F" w:rsidR="00576CD5" w:rsidP="006428C9" w:rsidRDefault="00576CD5" w14:paraId="4AE9D96E" w14:textId="77777777">
            <w:pPr>
              <w:suppressAutoHyphens/>
              <w:jc w:val="center"/>
              <w:rPr>
                <w:rFonts w:ascii="Arial" w:hAnsi="Arial" w:cs="Arial"/>
                <w:sz w:val="18"/>
                <w:szCs w:val="18"/>
              </w:rPr>
            </w:pPr>
            <w:r w:rsidRPr="0002704F">
              <w:rPr>
                <w:rFonts w:ascii="Arial" w:hAnsi="Arial" w:cs="Arial"/>
                <w:sz w:val="18"/>
                <w:szCs w:val="18"/>
              </w:rPr>
              <w:t>Total Responses</w:t>
            </w:r>
          </w:p>
        </w:tc>
        <w:tc>
          <w:tcPr>
            <w:tcW w:w="1103" w:type="dxa"/>
            <w:tcMar>
              <w:left w:w="29" w:type="dxa"/>
              <w:right w:w="29" w:type="dxa"/>
            </w:tcMar>
            <w:vAlign w:val="center"/>
          </w:tcPr>
          <w:p w:rsidRPr="0002704F" w:rsidR="00576CD5" w:rsidP="0001558D" w:rsidRDefault="00576CD5" w14:paraId="084739F0" w14:textId="562430A7">
            <w:pPr>
              <w:suppressAutoHyphens/>
              <w:jc w:val="center"/>
              <w:rPr>
                <w:rFonts w:ascii="Arial" w:hAnsi="Arial" w:cs="Arial"/>
                <w:sz w:val="18"/>
                <w:szCs w:val="18"/>
              </w:rPr>
            </w:pPr>
            <w:r w:rsidRPr="0002704F">
              <w:rPr>
                <w:rFonts w:ascii="Arial" w:hAnsi="Arial" w:cs="Arial"/>
                <w:sz w:val="18"/>
                <w:szCs w:val="18"/>
              </w:rPr>
              <w:t>Total Labor Costs</w:t>
            </w:r>
            <w:r w:rsidRPr="0002704F" w:rsidR="0001558D">
              <w:rPr>
                <w:rFonts w:ascii="Arial" w:hAnsi="Arial" w:cs="Arial"/>
                <w:sz w:val="18"/>
                <w:szCs w:val="18"/>
              </w:rPr>
              <w:t xml:space="preserve"> </w:t>
            </w:r>
          </w:p>
        </w:tc>
      </w:tr>
      <w:tr w:rsidRPr="0002704F" w:rsidR="00A73083" w:rsidTr="00A02040" w14:paraId="5B464AE1" w14:textId="77777777">
        <w:trPr>
          <w:trHeight w:val="800"/>
          <w:jc w:val="center"/>
        </w:trPr>
        <w:tc>
          <w:tcPr>
            <w:tcW w:w="2335" w:type="dxa"/>
            <w:tcMar>
              <w:left w:w="29" w:type="dxa"/>
              <w:right w:w="29" w:type="dxa"/>
            </w:tcMar>
            <w:vAlign w:val="center"/>
          </w:tcPr>
          <w:p w:rsidRPr="0002704F" w:rsidR="00576CD5" w:rsidP="0002704F" w:rsidRDefault="00FA51DA" w14:paraId="53D10EBE" w14:textId="4452644B">
            <w:pPr>
              <w:suppressAutoHyphens/>
              <w:jc w:val="center"/>
              <w:rPr>
                <w:rFonts w:ascii="Arial" w:hAnsi="Arial" w:cs="Arial"/>
                <w:sz w:val="18"/>
                <w:szCs w:val="18"/>
              </w:rPr>
            </w:pPr>
            <w:r w:rsidRPr="0002704F">
              <w:rPr>
                <w:rFonts w:ascii="Arial" w:hAnsi="Arial" w:cs="Arial"/>
                <w:sz w:val="18"/>
                <w:szCs w:val="18"/>
              </w:rPr>
              <w:t>Withdrawal of Spirits, Specially Denatured Spirits, or Wines for Exportation</w:t>
            </w:r>
          </w:p>
        </w:tc>
        <w:tc>
          <w:tcPr>
            <w:tcW w:w="1080" w:type="dxa"/>
            <w:tcMar>
              <w:left w:w="29" w:type="dxa"/>
              <w:right w:w="29" w:type="dxa"/>
            </w:tcMar>
            <w:vAlign w:val="center"/>
          </w:tcPr>
          <w:p w:rsidRPr="0002704F" w:rsidR="00576CD5" w:rsidP="006428C9" w:rsidRDefault="0064516B" w14:paraId="162F8291" w14:textId="4B391D20">
            <w:pPr>
              <w:suppressAutoHyphens/>
              <w:jc w:val="center"/>
              <w:rPr>
                <w:rFonts w:ascii="Arial" w:hAnsi="Arial" w:cs="Arial"/>
                <w:sz w:val="18"/>
                <w:szCs w:val="18"/>
              </w:rPr>
            </w:pPr>
            <w:r w:rsidRPr="0002704F">
              <w:rPr>
                <w:rFonts w:ascii="Arial" w:hAnsi="Arial" w:cs="Arial"/>
                <w:sz w:val="18"/>
                <w:szCs w:val="18"/>
              </w:rPr>
              <w:t>0.5</w:t>
            </w:r>
          </w:p>
        </w:tc>
        <w:tc>
          <w:tcPr>
            <w:tcW w:w="1080" w:type="dxa"/>
            <w:tcMar>
              <w:left w:w="29" w:type="dxa"/>
              <w:right w:w="29" w:type="dxa"/>
            </w:tcMar>
            <w:vAlign w:val="center"/>
          </w:tcPr>
          <w:p w:rsidRPr="0002704F" w:rsidR="00576CD5" w:rsidP="000562C4" w:rsidRDefault="0064516B" w14:paraId="37B0AB99" w14:textId="4EE48F3C">
            <w:pPr>
              <w:suppressAutoHyphens/>
              <w:jc w:val="center"/>
              <w:rPr>
                <w:rFonts w:ascii="Arial" w:hAnsi="Arial" w:cs="Arial"/>
                <w:sz w:val="18"/>
                <w:szCs w:val="18"/>
              </w:rPr>
            </w:pPr>
            <w:r w:rsidRPr="0002704F">
              <w:rPr>
                <w:rFonts w:ascii="Arial" w:hAnsi="Arial" w:cs="Arial"/>
                <w:sz w:val="18"/>
                <w:szCs w:val="18"/>
              </w:rPr>
              <w:t>$</w:t>
            </w:r>
            <w:r w:rsidRPr="0002704F" w:rsidR="000562C4">
              <w:rPr>
                <w:rFonts w:ascii="Arial" w:hAnsi="Arial" w:cs="Arial"/>
                <w:sz w:val="18"/>
                <w:szCs w:val="18"/>
              </w:rPr>
              <w:t>14.83</w:t>
            </w:r>
          </w:p>
        </w:tc>
        <w:tc>
          <w:tcPr>
            <w:tcW w:w="1080" w:type="dxa"/>
            <w:vAlign w:val="center"/>
          </w:tcPr>
          <w:p w:rsidRPr="0002704F" w:rsidR="00576CD5" w:rsidP="006428C9" w:rsidRDefault="0064516B" w14:paraId="0FB3EBE5" w14:textId="7D24FAE5">
            <w:pPr>
              <w:suppressAutoHyphens/>
              <w:jc w:val="center"/>
              <w:rPr>
                <w:rFonts w:ascii="Arial" w:hAnsi="Arial" w:cs="Arial"/>
                <w:sz w:val="18"/>
                <w:szCs w:val="18"/>
              </w:rPr>
            </w:pPr>
            <w:r w:rsidRPr="0002704F">
              <w:rPr>
                <w:rFonts w:ascii="Arial" w:hAnsi="Arial" w:cs="Arial"/>
                <w:sz w:val="18"/>
                <w:szCs w:val="18"/>
              </w:rPr>
              <w:t>20</w:t>
            </w:r>
          </w:p>
        </w:tc>
        <w:tc>
          <w:tcPr>
            <w:tcW w:w="1170" w:type="dxa"/>
            <w:tcBorders>
              <w:right w:val="single" w:color="auto" w:sz="12" w:space="0"/>
            </w:tcBorders>
            <w:vAlign w:val="center"/>
          </w:tcPr>
          <w:p w:rsidRPr="0002704F" w:rsidR="00576CD5" w:rsidP="000562C4" w:rsidRDefault="0064516B" w14:paraId="046D6578" w14:textId="6B11FA37">
            <w:pPr>
              <w:suppressAutoHyphens/>
              <w:jc w:val="center"/>
              <w:rPr>
                <w:rFonts w:ascii="Arial" w:hAnsi="Arial" w:cs="Arial"/>
                <w:sz w:val="18"/>
                <w:szCs w:val="18"/>
              </w:rPr>
            </w:pPr>
            <w:r w:rsidRPr="0002704F">
              <w:rPr>
                <w:rFonts w:ascii="Arial" w:hAnsi="Arial" w:cs="Arial"/>
                <w:sz w:val="18"/>
                <w:szCs w:val="18"/>
              </w:rPr>
              <w:t>$</w:t>
            </w:r>
            <w:r w:rsidRPr="0002704F" w:rsidR="000562C4">
              <w:rPr>
                <w:rFonts w:ascii="Arial" w:hAnsi="Arial" w:cs="Arial"/>
                <w:sz w:val="18"/>
                <w:szCs w:val="18"/>
              </w:rPr>
              <w:t>296.60</w:t>
            </w:r>
          </w:p>
        </w:tc>
        <w:tc>
          <w:tcPr>
            <w:tcW w:w="1080" w:type="dxa"/>
            <w:tcBorders>
              <w:left w:val="single" w:color="auto" w:sz="12" w:space="0"/>
            </w:tcBorders>
            <w:tcMar>
              <w:left w:w="29" w:type="dxa"/>
              <w:right w:w="29" w:type="dxa"/>
            </w:tcMar>
            <w:vAlign w:val="center"/>
          </w:tcPr>
          <w:p w:rsidRPr="0002704F" w:rsidR="00576CD5" w:rsidP="006428C9" w:rsidRDefault="0064516B" w14:paraId="73DA65B0" w14:textId="24A5C65D">
            <w:pPr>
              <w:suppressAutoHyphens/>
              <w:jc w:val="center"/>
              <w:rPr>
                <w:rFonts w:ascii="Arial" w:hAnsi="Arial" w:cs="Arial"/>
                <w:sz w:val="18"/>
                <w:szCs w:val="18"/>
              </w:rPr>
            </w:pPr>
            <w:r w:rsidRPr="0002704F">
              <w:rPr>
                <w:rFonts w:ascii="Arial" w:hAnsi="Arial" w:cs="Arial"/>
                <w:sz w:val="18"/>
                <w:szCs w:val="18"/>
              </w:rPr>
              <w:t>3,000</w:t>
            </w:r>
          </w:p>
        </w:tc>
        <w:tc>
          <w:tcPr>
            <w:tcW w:w="1103" w:type="dxa"/>
            <w:tcMar>
              <w:left w:w="29" w:type="dxa"/>
              <w:right w:w="29" w:type="dxa"/>
            </w:tcMar>
            <w:vAlign w:val="center"/>
          </w:tcPr>
          <w:p w:rsidRPr="0002704F" w:rsidR="00576CD5" w:rsidP="000562C4" w:rsidRDefault="0064516B" w14:paraId="1C7BFA84" w14:textId="2BB3A0FE">
            <w:pPr>
              <w:suppressAutoHyphens/>
              <w:jc w:val="center"/>
              <w:rPr>
                <w:rFonts w:ascii="Arial" w:hAnsi="Arial" w:cs="Arial"/>
                <w:sz w:val="18"/>
                <w:szCs w:val="18"/>
              </w:rPr>
            </w:pPr>
            <w:r w:rsidRPr="0002704F">
              <w:rPr>
                <w:rFonts w:ascii="Arial" w:hAnsi="Arial" w:cs="Arial"/>
                <w:sz w:val="18"/>
                <w:szCs w:val="18"/>
              </w:rPr>
              <w:t>$</w:t>
            </w:r>
            <w:r w:rsidRPr="0002704F" w:rsidR="000562C4">
              <w:rPr>
                <w:rFonts w:ascii="Arial" w:hAnsi="Arial" w:cs="Arial"/>
                <w:sz w:val="18"/>
                <w:szCs w:val="18"/>
              </w:rPr>
              <w:t>44,490.00</w:t>
            </w:r>
          </w:p>
        </w:tc>
      </w:tr>
    </w:tbl>
    <w:p w:rsidRPr="00A73083" w:rsidR="00B8588D" w:rsidP="00B8588D" w:rsidRDefault="00B8588D" w14:paraId="2EC6A88E" w14:textId="58ED879D">
      <w:pPr>
        <w:ind w:left="360"/>
        <w:rPr>
          <w:rFonts w:ascii="Arial" w:hAnsi="Arial" w:cs="Arial"/>
          <w:sz w:val="22"/>
          <w:szCs w:val="22"/>
        </w:rPr>
      </w:pPr>
      <w:r w:rsidRPr="00A73083">
        <w:rPr>
          <w:rFonts w:ascii="Arial" w:hAnsi="Arial" w:cs="Arial"/>
          <w:sz w:val="22"/>
          <w:szCs w:val="22"/>
          <w:u w:val="single"/>
        </w:rPr>
        <w:lastRenderedPageBreak/>
        <w:t>Respondent Record Retention:</w:t>
      </w:r>
      <w:r w:rsidRPr="00A73083">
        <w:rPr>
          <w:rFonts w:ascii="Arial" w:hAnsi="Arial" w:cs="Arial"/>
          <w:sz w:val="22"/>
          <w:szCs w:val="22"/>
        </w:rPr>
        <w:t xml:space="preserve">  Under 27 CFR 28.45, respondents must maintain file copies of any forms and records required under that part for a period of at least 2 years, </w:t>
      </w:r>
      <w:r w:rsidRPr="00A73083" w:rsidR="0064516B">
        <w:rPr>
          <w:rFonts w:ascii="Arial" w:hAnsi="Arial" w:cs="Arial"/>
          <w:sz w:val="22"/>
          <w:szCs w:val="22"/>
        </w:rPr>
        <w:t xml:space="preserve">and, </w:t>
      </w:r>
      <w:r w:rsidRPr="00A73083">
        <w:rPr>
          <w:rFonts w:ascii="Arial" w:hAnsi="Arial" w:cs="Arial"/>
          <w:sz w:val="22"/>
          <w:szCs w:val="22"/>
        </w:rPr>
        <w:t xml:space="preserve">during </w:t>
      </w:r>
      <w:r w:rsidRPr="00A73083" w:rsidR="0064516B">
        <w:rPr>
          <w:rFonts w:ascii="Arial" w:hAnsi="Arial" w:cs="Arial"/>
          <w:sz w:val="22"/>
          <w:szCs w:val="22"/>
        </w:rPr>
        <w:t xml:space="preserve">that period, </w:t>
      </w:r>
      <w:r w:rsidRPr="00A73083">
        <w:rPr>
          <w:rFonts w:ascii="Arial" w:hAnsi="Arial" w:cs="Arial"/>
          <w:sz w:val="22"/>
          <w:szCs w:val="22"/>
        </w:rPr>
        <w:t xml:space="preserve">such copies and records must be made available for inspection by appropriate TTB officers during normal business hours. </w:t>
      </w:r>
    </w:p>
    <w:p w:rsidRPr="00A02040" w:rsidR="00AF060A" w:rsidP="00D73D2D" w:rsidRDefault="00AF060A" w14:paraId="7D94FB02" w14:textId="6C30567C">
      <w:pPr>
        <w:rPr>
          <w:rFonts w:ascii="Arial" w:hAnsi="Arial" w:cs="Arial"/>
          <w:sz w:val="28"/>
          <w:szCs w:val="28"/>
        </w:rPr>
      </w:pPr>
    </w:p>
    <w:p w:rsidRPr="00A73083" w:rsidR="00101DE7" w:rsidP="00D73D2D" w:rsidRDefault="00AF060A" w14:paraId="576E69F2" w14:textId="77777777">
      <w:pPr>
        <w:suppressAutoHyphens/>
        <w:rPr>
          <w:rFonts w:ascii="Arial" w:hAnsi="Arial" w:cs="Arial"/>
          <w:i/>
          <w:sz w:val="22"/>
          <w:szCs w:val="22"/>
        </w:rPr>
      </w:pPr>
      <w:r w:rsidRPr="00A73083">
        <w:rPr>
          <w:rFonts w:ascii="Arial" w:hAnsi="Arial" w:cs="Arial"/>
          <w:i/>
          <w:sz w:val="22"/>
          <w:szCs w:val="22"/>
        </w:rPr>
        <w:t xml:space="preserve">13.  </w:t>
      </w:r>
      <w:r w:rsidRPr="00A73083" w:rsidR="00101DE7">
        <w:rPr>
          <w:rFonts w:ascii="Arial" w:hAnsi="Arial" w:cs="Arial"/>
          <w:i/>
          <w:sz w:val="22"/>
          <w:szCs w:val="22"/>
        </w:rPr>
        <w:t>What is the estimated annual cost burden to respondents or record keepers resulting from this information collection request (excluding the value of the hour burden</w:t>
      </w:r>
      <w:r w:rsidRPr="00A73083" w:rsidR="0033260C">
        <w:rPr>
          <w:rFonts w:ascii="Arial" w:hAnsi="Arial" w:cs="Arial"/>
          <w:i/>
          <w:sz w:val="22"/>
          <w:szCs w:val="22"/>
        </w:rPr>
        <w:t xml:space="preserve"> </w:t>
      </w:r>
      <w:r w:rsidRPr="00A73083" w:rsidR="00101DE7">
        <w:rPr>
          <w:rFonts w:ascii="Arial" w:hAnsi="Arial" w:cs="Arial"/>
          <w:i/>
          <w:sz w:val="22"/>
          <w:szCs w:val="22"/>
        </w:rPr>
        <w:t>in Question 12 above)?</w:t>
      </w:r>
      <w:r w:rsidRPr="00A73083">
        <w:rPr>
          <w:rFonts w:ascii="Arial" w:hAnsi="Arial" w:cs="Arial"/>
          <w:i/>
          <w:sz w:val="22"/>
          <w:szCs w:val="22"/>
        </w:rPr>
        <w:t xml:space="preserve"> </w:t>
      </w:r>
    </w:p>
    <w:p w:rsidRPr="00A73083" w:rsidR="00101DE7" w:rsidP="00D73D2D" w:rsidRDefault="00101DE7" w14:paraId="41E34A3F" w14:textId="77777777">
      <w:pPr>
        <w:suppressAutoHyphens/>
        <w:ind w:left="480" w:hanging="480"/>
        <w:rPr>
          <w:rFonts w:ascii="Arial" w:hAnsi="Arial" w:cs="Arial"/>
          <w:sz w:val="22"/>
          <w:szCs w:val="22"/>
        </w:rPr>
      </w:pPr>
    </w:p>
    <w:p w:rsidRPr="00A73083" w:rsidR="00F45A1B" w:rsidP="004D086A" w:rsidRDefault="007A37F2" w14:paraId="69707ADF" w14:textId="2767561D">
      <w:pPr>
        <w:suppressAutoHyphens/>
        <w:ind w:left="360"/>
        <w:rPr>
          <w:rFonts w:ascii="Arial" w:hAnsi="Arial" w:cs="Arial"/>
          <w:sz w:val="22"/>
          <w:szCs w:val="22"/>
        </w:rPr>
      </w:pPr>
      <w:r w:rsidRPr="00A73083">
        <w:rPr>
          <w:rFonts w:ascii="Arial" w:hAnsi="Arial" w:cs="Arial"/>
          <w:sz w:val="22"/>
          <w:szCs w:val="22"/>
        </w:rPr>
        <w:t xml:space="preserve">TTB believes that there are no annualized start-up or maintenance costs to respondents associated with this occasional information collection.  As for mailing costs, TTB estimates that the estimated 150 respondents file an average of 20 responses each, with each response resulting in $5.00 in postage and mailing supplies, resulting in $100.00 per respondent per year in mailing costs and $15,000.00 in total annual mailing costs for this information collection. </w:t>
      </w:r>
    </w:p>
    <w:p w:rsidRPr="00A02040" w:rsidR="00AF1157" w:rsidP="00D73D2D" w:rsidRDefault="00AF1157" w14:paraId="000CD07B" w14:textId="77777777">
      <w:pPr>
        <w:suppressAutoHyphens/>
        <w:rPr>
          <w:rFonts w:ascii="Arial" w:hAnsi="Arial" w:cs="Arial"/>
          <w:sz w:val="28"/>
          <w:szCs w:val="28"/>
        </w:rPr>
      </w:pPr>
    </w:p>
    <w:p w:rsidRPr="00A73083" w:rsidR="00AF1157" w:rsidP="00D73D2D" w:rsidRDefault="00AF060A" w14:paraId="06A6A5A6" w14:textId="74959F47">
      <w:pPr>
        <w:suppressAutoHyphens/>
        <w:ind w:left="480" w:hanging="480"/>
        <w:rPr>
          <w:rFonts w:ascii="Arial" w:hAnsi="Arial" w:cs="Arial"/>
          <w:i/>
          <w:sz w:val="22"/>
          <w:szCs w:val="22"/>
        </w:rPr>
      </w:pPr>
      <w:r w:rsidRPr="00A73083">
        <w:rPr>
          <w:rFonts w:ascii="Arial" w:hAnsi="Arial" w:cs="Arial"/>
          <w:i/>
          <w:sz w:val="22"/>
          <w:szCs w:val="22"/>
        </w:rPr>
        <w:t xml:space="preserve">14.  </w:t>
      </w:r>
      <w:r w:rsidRPr="00A73083" w:rsidR="00AF1157">
        <w:rPr>
          <w:rFonts w:ascii="Arial" w:hAnsi="Arial" w:cs="Arial"/>
          <w:i/>
          <w:sz w:val="22"/>
          <w:szCs w:val="22"/>
        </w:rPr>
        <w:t>What is the annualized cost to the Federal Government?</w:t>
      </w:r>
      <w:r w:rsidRPr="00A73083">
        <w:rPr>
          <w:rFonts w:ascii="Arial" w:hAnsi="Arial" w:cs="Arial"/>
          <w:i/>
          <w:sz w:val="22"/>
          <w:szCs w:val="22"/>
        </w:rPr>
        <w:t xml:space="preserve"> </w:t>
      </w:r>
    </w:p>
    <w:p w:rsidRPr="00A73083" w:rsidR="00AF1157" w:rsidP="00D73D2D" w:rsidRDefault="00AF1157" w14:paraId="422D962A" w14:textId="77777777">
      <w:pPr>
        <w:suppressAutoHyphens/>
        <w:ind w:left="480" w:hanging="480"/>
        <w:rPr>
          <w:rFonts w:ascii="Arial" w:hAnsi="Arial" w:cs="Arial"/>
          <w:sz w:val="22"/>
          <w:szCs w:val="22"/>
        </w:rPr>
      </w:pPr>
    </w:p>
    <w:p w:rsidRPr="00A73083" w:rsidR="007A37F2" w:rsidP="007A37F2" w:rsidRDefault="007A37F2" w14:paraId="4C7D5C0C" w14:textId="5AC605B3">
      <w:pPr>
        <w:ind w:left="360"/>
        <w:rPr>
          <w:rFonts w:ascii="Arial" w:hAnsi="Arial" w:cs="Arial"/>
          <w:sz w:val="22"/>
          <w:szCs w:val="22"/>
        </w:rPr>
      </w:pPr>
      <w:r w:rsidRPr="00A73083">
        <w:rPr>
          <w:rFonts w:ascii="Arial" w:hAnsi="Arial" w:cs="Arial"/>
          <w:sz w:val="22"/>
          <w:szCs w:val="22"/>
        </w:rPr>
        <w:t xml:space="preserve">TTB has determined that there are no annual non-labor costs to the Federal Government associated with this information collection.  </w:t>
      </w:r>
      <w:r w:rsidRPr="00A73083" w:rsidR="0001558D">
        <w:rPr>
          <w:rFonts w:ascii="Arial" w:hAnsi="Arial" w:cs="Arial"/>
          <w:sz w:val="22"/>
          <w:szCs w:val="22"/>
        </w:rPr>
        <w:t xml:space="preserve">In addition, </w:t>
      </w:r>
      <w:r w:rsidRPr="00A73083">
        <w:rPr>
          <w:rFonts w:ascii="Arial" w:hAnsi="Arial" w:cs="Arial"/>
          <w:sz w:val="22"/>
          <w:szCs w:val="22"/>
        </w:rPr>
        <w:t xml:space="preserve">Federal Government printing and distribution costs for this collection have decreased to $0.00 in due to the public availability of TTB forms on its website forms page at </w:t>
      </w:r>
      <w:r w:rsidRPr="00A73083">
        <w:rPr>
          <w:rFonts w:ascii="Arial" w:hAnsi="Arial" w:cs="Arial"/>
          <w:i/>
          <w:sz w:val="22"/>
          <w:szCs w:val="22"/>
        </w:rPr>
        <w:t>https://www.ttb.gov/forms</w:t>
      </w:r>
      <w:r w:rsidRPr="00A73083">
        <w:rPr>
          <w:rFonts w:ascii="Arial" w:hAnsi="Arial" w:cs="Arial"/>
          <w:sz w:val="22"/>
          <w:szCs w:val="22"/>
        </w:rPr>
        <w:t xml:space="preserve">. </w:t>
      </w:r>
    </w:p>
    <w:p w:rsidRPr="00A73083" w:rsidR="007A37F2" w:rsidP="007A37F2" w:rsidRDefault="007A37F2" w14:paraId="00412815" w14:textId="77777777">
      <w:pPr>
        <w:ind w:left="360"/>
        <w:rPr>
          <w:rFonts w:ascii="Arial" w:hAnsi="Arial" w:cs="Arial"/>
          <w:sz w:val="22"/>
          <w:szCs w:val="22"/>
        </w:rPr>
      </w:pPr>
    </w:p>
    <w:p w:rsidRPr="00A73083" w:rsidR="007A37F2" w:rsidP="007A37F2" w:rsidRDefault="007A37F2" w14:paraId="5EAB5A6F" w14:textId="26F9AEFC">
      <w:pPr>
        <w:ind w:left="360"/>
        <w:rPr>
          <w:rFonts w:ascii="Arial" w:hAnsi="Arial" w:cs="Arial"/>
          <w:sz w:val="22"/>
          <w:szCs w:val="22"/>
        </w:rPr>
      </w:pPr>
      <w:r w:rsidRPr="00A73083">
        <w:rPr>
          <w:rFonts w:ascii="Arial" w:hAnsi="Arial" w:cs="Arial"/>
          <w:sz w:val="22"/>
          <w:szCs w:val="22"/>
        </w:rPr>
        <w:t xml:space="preserve">TTB estimates the annual labor costs to the Federal Government for this information collection as follows: </w:t>
      </w:r>
    </w:p>
    <w:p w:rsidR="00E35974" w:rsidRDefault="00E35974" w14:paraId="6EB945FD" w14:textId="16E9F6A4">
      <w:pPr>
        <w:rPr>
          <w:rFonts w:ascii="Arial" w:hAnsi="Arial" w:cs="Arial"/>
          <w:sz w:val="22"/>
          <w:szCs w:val="22"/>
        </w:rPr>
      </w:pPr>
    </w:p>
    <w:tbl>
      <w:tblPr>
        <w:tblStyle w:val="TableGrid11"/>
        <w:tblW w:w="8640" w:type="dxa"/>
        <w:jc w:val="center"/>
        <w:tblLayout w:type="fixed"/>
        <w:tblLook w:val="04A0" w:firstRow="1" w:lastRow="0" w:firstColumn="1" w:lastColumn="0" w:noHBand="0" w:noVBand="1"/>
      </w:tblPr>
      <w:tblGrid>
        <w:gridCol w:w="2223"/>
        <w:gridCol w:w="1247"/>
        <w:gridCol w:w="1248"/>
        <w:gridCol w:w="1426"/>
        <w:gridCol w:w="1159"/>
        <w:gridCol w:w="1337"/>
      </w:tblGrid>
      <w:tr w:rsidRPr="0002704F" w:rsidR="00A73083" w:rsidTr="00A02040" w14:paraId="3D443E40" w14:textId="77777777">
        <w:trPr>
          <w:trHeight w:val="467"/>
          <w:jc w:val="center"/>
        </w:trPr>
        <w:tc>
          <w:tcPr>
            <w:tcW w:w="8640" w:type="dxa"/>
            <w:gridSpan w:val="6"/>
            <w:vAlign w:val="center"/>
          </w:tcPr>
          <w:p w:rsidRPr="0002704F" w:rsidR="007A37F2" w:rsidP="006428C9" w:rsidRDefault="007A37F2" w14:paraId="5F67F247" w14:textId="77777777">
            <w:pPr>
              <w:suppressAutoHyphens/>
              <w:jc w:val="center"/>
              <w:rPr>
                <w:rFonts w:ascii="Arial" w:hAnsi="Arial" w:cs="Arial"/>
                <w:b/>
                <w:sz w:val="18"/>
                <w:szCs w:val="18"/>
              </w:rPr>
            </w:pPr>
            <w:r w:rsidRPr="0002704F">
              <w:rPr>
                <w:rFonts w:ascii="Arial" w:hAnsi="Arial" w:cs="Arial"/>
                <w:b/>
                <w:sz w:val="18"/>
                <w:szCs w:val="18"/>
              </w:rPr>
              <w:t>Labor Costs for Personnel at TTB’s National Revenue Center in Cincinnati, Ohio</w:t>
            </w:r>
          </w:p>
          <w:p w:rsidRPr="0002704F" w:rsidR="00B77AB9" w:rsidP="006428C9" w:rsidRDefault="00B77AB9" w14:paraId="54BEF830" w14:textId="77BEEC03">
            <w:pPr>
              <w:suppressAutoHyphens/>
              <w:jc w:val="center"/>
              <w:rPr>
                <w:rFonts w:ascii="Arial" w:hAnsi="Arial" w:cs="Arial"/>
                <w:b/>
                <w:sz w:val="18"/>
                <w:szCs w:val="18"/>
              </w:rPr>
            </w:pPr>
            <w:r w:rsidRPr="0002704F">
              <w:rPr>
                <w:rFonts w:ascii="Arial" w:hAnsi="Arial" w:cs="Arial"/>
                <w:b/>
                <w:sz w:val="18"/>
                <w:szCs w:val="18"/>
              </w:rPr>
              <w:t xml:space="preserve">Processing and Review of TTB F 5100.11 </w:t>
            </w:r>
          </w:p>
        </w:tc>
      </w:tr>
      <w:tr w:rsidRPr="0002704F" w:rsidR="00A73083" w:rsidTr="00A02040" w14:paraId="7E95FEEA" w14:textId="77777777">
        <w:trPr>
          <w:trHeight w:val="710"/>
          <w:jc w:val="center"/>
        </w:trPr>
        <w:tc>
          <w:tcPr>
            <w:tcW w:w="2223" w:type="dxa"/>
            <w:vAlign w:val="center"/>
          </w:tcPr>
          <w:p w:rsidRPr="0002704F" w:rsidR="007A37F2" w:rsidP="006428C9" w:rsidRDefault="007A37F2" w14:paraId="7E14FDE7" w14:textId="77777777">
            <w:pPr>
              <w:suppressAutoHyphens/>
              <w:jc w:val="center"/>
              <w:rPr>
                <w:rFonts w:ascii="Arial" w:hAnsi="Arial" w:cs="Arial"/>
                <w:sz w:val="18"/>
                <w:szCs w:val="18"/>
              </w:rPr>
            </w:pPr>
            <w:r w:rsidRPr="0002704F">
              <w:rPr>
                <w:rFonts w:ascii="Arial" w:hAnsi="Arial" w:cs="Arial"/>
                <w:sz w:val="18"/>
                <w:szCs w:val="18"/>
              </w:rPr>
              <w:t xml:space="preserve">Position </w:t>
            </w:r>
          </w:p>
        </w:tc>
        <w:tc>
          <w:tcPr>
            <w:tcW w:w="1247" w:type="dxa"/>
            <w:tcMar>
              <w:left w:w="29" w:type="dxa"/>
              <w:right w:w="29" w:type="dxa"/>
            </w:tcMar>
            <w:vAlign w:val="center"/>
          </w:tcPr>
          <w:p w:rsidRPr="0002704F" w:rsidR="007A37F2" w:rsidP="006428C9" w:rsidRDefault="007A37F2" w14:paraId="065D9343" w14:textId="77777777">
            <w:pPr>
              <w:suppressAutoHyphens/>
              <w:jc w:val="center"/>
              <w:rPr>
                <w:rFonts w:ascii="Arial" w:hAnsi="Arial" w:cs="Arial"/>
                <w:sz w:val="18"/>
                <w:szCs w:val="18"/>
              </w:rPr>
            </w:pPr>
            <w:r w:rsidRPr="0002704F">
              <w:rPr>
                <w:rFonts w:ascii="Arial" w:hAnsi="Arial" w:cs="Arial"/>
                <w:sz w:val="18"/>
                <w:szCs w:val="18"/>
              </w:rPr>
              <w:t>Fully-loaded Labor Rate/Hour</w:t>
            </w:r>
            <w:r w:rsidRPr="0002704F">
              <w:rPr>
                <w:rFonts w:ascii="Arial" w:hAnsi="Arial" w:cs="Arial"/>
                <w:sz w:val="18"/>
                <w:szCs w:val="18"/>
                <w:vertAlign w:val="superscript"/>
              </w:rPr>
              <w:footnoteReference w:id="4"/>
            </w:r>
          </w:p>
        </w:tc>
        <w:tc>
          <w:tcPr>
            <w:tcW w:w="1248" w:type="dxa"/>
            <w:tcMar>
              <w:left w:w="29" w:type="dxa"/>
              <w:right w:w="29" w:type="dxa"/>
            </w:tcMar>
            <w:vAlign w:val="center"/>
          </w:tcPr>
          <w:p w:rsidRPr="0002704F" w:rsidR="007A37F2" w:rsidP="006428C9" w:rsidRDefault="007A37F2" w14:paraId="4EE72D0F" w14:textId="77777777">
            <w:pPr>
              <w:suppressAutoHyphens/>
              <w:jc w:val="center"/>
              <w:rPr>
                <w:rFonts w:ascii="Arial" w:hAnsi="Arial" w:cs="Arial"/>
                <w:sz w:val="18"/>
                <w:szCs w:val="18"/>
              </w:rPr>
            </w:pPr>
            <w:r w:rsidRPr="0002704F">
              <w:rPr>
                <w:rFonts w:ascii="Arial" w:hAnsi="Arial" w:cs="Arial"/>
                <w:sz w:val="18"/>
                <w:szCs w:val="18"/>
              </w:rPr>
              <w:t>Processing Time per Response</w:t>
            </w:r>
          </w:p>
        </w:tc>
        <w:tc>
          <w:tcPr>
            <w:tcW w:w="1426" w:type="dxa"/>
            <w:tcMar>
              <w:left w:w="29" w:type="dxa"/>
              <w:right w:w="29" w:type="dxa"/>
            </w:tcMar>
            <w:vAlign w:val="center"/>
          </w:tcPr>
          <w:p w:rsidRPr="0002704F" w:rsidR="007A37F2" w:rsidP="006428C9" w:rsidRDefault="007A37F2" w14:paraId="15B86960" w14:textId="7339215F">
            <w:pPr>
              <w:suppressAutoHyphens/>
              <w:jc w:val="center"/>
              <w:rPr>
                <w:rFonts w:ascii="Arial" w:hAnsi="Arial" w:cs="Arial"/>
                <w:sz w:val="18"/>
                <w:szCs w:val="18"/>
              </w:rPr>
            </w:pPr>
            <w:r w:rsidRPr="0002704F">
              <w:rPr>
                <w:rFonts w:ascii="Arial" w:hAnsi="Arial" w:cs="Arial"/>
                <w:sz w:val="18"/>
                <w:szCs w:val="18"/>
              </w:rPr>
              <w:t>Labor Costs per Response</w:t>
            </w:r>
            <w:r w:rsidRPr="0002704F" w:rsidR="009E0169">
              <w:rPr>
                <w:rFonts w:ascii="Arial" w:hAnsi="Arial" w:cs="Arial"/>
                <w:sz w:val="18"/>
                <w:szCs w:val="18"/>
              </w:rPr>
              <w:t>*</w:t>
            </w:r>
          </w:p>
        </w:tc>
        <w:tc>
          <w:tcPr>
            <w:tcW w:w="1159" w:type="dxa"/>
            <w:tcMar>
              <w:left w:w="29" w:type="dxa"/>
              <w:right w:w="29" w:type="dxa"/>
            </w:tcMar>
            <w:vAlign w:val="center"/>
          </w:tcPr>
          <w:p w:rsidRPr="0002704F" w:rsidR="007A37F2" w:rsidP="006428C9" w:rsidRDefault="007A37F2" w14:paraId="5EAF41F1" w14:textId="77777777">
            <w:pPr>
              <w:suppressAutoHyphens/>
              <w:jc w:val="center"/>
              <w:rPr>
                <w:rFonts w:ascii="Arial" w:hAnsi="Arial" w:cs="Arial"/>
                <w:sz w:val="18"/>
                <w:szCs w:val="18"/>
              </w:rPr>
            </w:pPr>
            <w:r w:rsidRPr="0002704F">
              <w:rPr>
                <w:rFonts w:ascii="Arial" w:hAnsi="Arial" w:cs="Arial"/>
                <w:sz w:val="18"/>
                <w:szCs w:val="18"/>
              </w:rPr>
              <w:t>Total Responses</w:t>
            </w:r>
          </w:p>
        </w:tc>
        <w:tc>
          <w:tcPr>
            <w:tcW w:w="1337" w:type="dxa"/>
            <w:tcMar>
              <w:left w:w="29" w:type="dxa"/>
              <w:right w:w="29" w:type="dxa"/>
            </w:tcMar>
            <w:vAlign w:val="center"/>
          </w:tcPr>
          <w:p w:rsidRPr="0002704F" w:rsidR="007A37F2" w:rsidP="006428C9" w:rsidRDefault="007A37F2" w14:paraId="0481B1FE" w14:textId="3A985CA9">
            <w:pPr>
              <w:suppressAutoHyphens/>
              <w:jc w:val="center"/>
              <w:rPr>
                <w:rFonts w:ascii="Arial" w:hAnsi="Arial" w:cs="Arial"/>
                <w:sz w:val="18"/>
                <w:szCs w:val="18"/>
              </w:rPr>
            </w:pPr>
            <w:r w:rsidRPr="0002704F">
              <w:rPr>
                <w:rFonts w:ascii="Arial" w:hAnsi="Arial" w:cs="Arial"/>
                <w:sz w:val="18"/>
                <w:szCs w:val="18"/>
              </w:rPr>
              <w:t>Total TTB Labor Costs</w:t>
            </w:r>
            <w:r w:rsidRPr="0002704F" w:rsidR="009E0169">
              <w:rPr>
                <w:rFonts w:ascii="Arial" w:hAnsi="Arial" w:cs="Arial"/>
                <w:sz w:val="18"/>
                <w:szCs w:val="18"/>
              </w:rPr>
              <w:t>*</w:t>
            </w:r>
            <w:r w:rsidRPr="0002704F" w:rsidR="00B32A60">
              <w:rPr>
                <w:rFonts w:ascii="Arial" w:hAnsi="Arial" w:cs="Arial"/>
                <w:sz w:val="18"/>
                <w:szCs w:val="18"/>
              </w:rPr>
              <w:t>*</w:t>
            </w:r>
          </w:p>
        </w:tc>
      </w:tr>
      <w:tr w:rsidRPr="0002704F" w:rsidR="00A73083" w:rsidTr="00A02040" w14:paraId="14EFA94B" w14:textId="77777777">
        <w:trPr>
          <w:trHeight w:val="432"/>
          <w:jc w:val="center"/>
        </w:trPr>
        <w:tc>
          <w:tcPr>
            <w:tcW w:w="2223" w:type="dxa"/>
            <w:tcBorders>
              <w:top w:val="single" w:color="auto" w:sz="4" w:space="0"/>
            </w:tcBorders>
            <w:vAlign w:val="center"/>
          </w:tcPr>
          <w:p w:rsidRPr="0002704F" w:rsidR="007A37F2" w:rsidP="006428C9" w:rsidRDefault="007A37F2" w14:paraId="5B614633" w14:textId="77777777">
            <w:pPr>
              <w:suppressAutoHyphens/>
              <w:jc w:val="center"/>
              <w:rPr>
                <w:rFonts w:ascii="Arial" w:hAnsi="Arial" w:cs="Arial"/>
                <w:sz w:val="18"/>
                <w:szCs w:val="18"/>
              </w:rPr>
            </w:pPr>
            <w:r w:rsidRPr="0002704F">
              <w:rPr>
                <w:rFonts w:ascii="Arial" w:hAnsi="Arial" w:cs="Arial"/>
                <w:sz w:val="18"/>
                <w:szCs w:val="18"/>
              </w:rPr>
              <w:t xml:space="preserve">GS–5, Step 5, </w:t>
            </w:r>
          </w:p>
          <w:p w:rsidRPr="0002704F" w:rsidR="007A37F2" w:rsidP="006428C9" w:rsidRDefault="007A37F2" w14:paraId="3DCF01A5" w14:textId="77777777">
            <w:pPr>
              <w:suppressAutoHyphens/>
              <w:jc w:val="center"/>
              <w:rPr>
                <w:rFonts w:ascii="Arial" w:hAnsi="Arial" w:cs="Arial"/>
                <w:sz w:val="18"/>
                <w:szCs w:val="18"/>
              </w:rPr>
            </w:pPr>
            <w:r w:rsidRPr="0002704F">
              <w:rPr>
                <w:rFonts w:ascii="Arial" w:hAnsi="Arial" w:cs="Arial"/>
                <w:sz w:val="18"/>
                <w:szCs w:val="18"/>
              </w:rPr>
              <w:t xml:space="preserve">Clerk </w:t>
            </w:r>
          </w:p>
        </w:tc>
        <w:tc>
          <w:tcPr>
            <w:tcW w:w="1247" w:type="dxa"/>
            <w:tcBorders>
              <w:top w:val="single" w:color="auto" w:sz="4" w:space="0"/>
              <w:bottom w:val="single" w:color="auto" w:sz="4" w:space="0"/>
            </w:tcBorders>
            <w:tcMar>
              <w:left w:w="29" w:type="dxa"/>
              <w:right w:w="29" w:type="dxa"/>
            </w:tcMar>
            <w:vAlign w:val="center"/>
          </w:tcPr>
          <w:p w:rsidRPr="0002704F" w:rsidR="007A37F2" w:rsidP="006428C9" w:rsidRDefault="007A37F2" w14:paraId="497EFF17" w14:textId="77777777">
            <w:pPr>
              <w:suppressAutoHyphens/>
              <w:jc w:val="center"/>
              <w:rPr>
                <w:rFonts w:ascii="Arial" w:hAnsi="Arial" w:cs="Arial"/>
                <w:sz w:val="18"/>
                <w:szCs w:val="18"/>
              </w:rPr>
            </w:pPr>
            <w:r w:rsidRPr="0002704F">
              <w:rPr>
                <w:rFonts w:ascii="Arial" w:hAnsi="Arial" w:cs="Arial"/>
                <w:sz w:val="18"/>
                <w:szCs w:val="18"/>
              </w:rPr>
              <w:t>$32.13</w:t>
            </w:r>
          </w:p>
        </w:tc>
        <w:tc>
          <w:tcPr>
            <w:tcW w:w="1248" w:type="dxa"/>
            <w:tcBorders>
              <w:top w:val="single" w:color="auto" w:sz="4" w:space="0"/>
              <w:bottom w:val="single" w:color="auto" w:sz="4" w:space="0"/>
            </w:tcBorders>
            <w:tcMar>
              <w:left w:w="29" w:type="dxa"/>
              <w:right w:w="29" w:type="dxa"/>
            </w:tcMar>
            <w:vAlign w:val="center"/>
          </w:tcPr>
          <w:p w:rsidRPr="0002704F" w:rsidR="007A37F2" w:rsidP="006428C9" w:rsidRDefault="007A37F2" w14:paraId="280D01A1" w14:textId="77777777">
            <w:pPr>
              <w:suppressAutoHyphens/>
              <w:jc w:val="center"/>
              <w:rPr>
                <w:rFonts w:ascii="Arial" w:hAnsi="Arial" w:cs="Arial"/>
                <w:sz w:val="18"/>
                <w:szCs w:val="18"/>
              </w:rPr>
            </w:pPr>
            <w:r w:rsidRPr="0002704F">
              <w:rPr>
                <w:rFonts w:ascii="Arial" w:hAnsi="Arial" w:cs="Arial"/>
                <w:sz w:val="18"/>
                <w:szCs w:val="18"/>
              </w:rPr>
              <w:t>0.1 hour</w:t>
            </w:r>
          </w:p>
        </w:tc>
        <w:tc>
          <w:tcPr>
            <w:tcW w:w="1426" w:type="dxa"/>
            <w:tcBorders>
              <w:top w:val="single" w:color="auto" w:sz="4" w:space="0"/>
              <w:bottom w:val="single" w:color="auto" w:sz="4" w:space="0"/>
            </w:tcBorders>
            <w:tcMar>
              <w:left w:w="29" w:type="dxa"/>
              <w:right w:w="29" w:type="dxa"/>
            </w:tcMar>
            <w:vAlign w:val="center"/>
          </w:tcPr>
          <w:p w:rsidRPr="0002704F" w:rsidR="007A37F2" w:rsidP="006428C9" w:rsidRDefault="007A37F2" w14:paraId="16044306" w14:textId="77777777">
            <w:pPr>
              <w:suppressAutoHyphens/>
              <w:jc w:val="center"/>
              <w:rPr>
                <w:rFonts w:ascii="Arial" w:hAnsi="Arial" w:cs="Arial"/>
                <w:sz w:val="18"/>
                <w:szCs w:val="18"/>
              </w:rPr>
            </w:pPr>
            <w:r w:rsidRPr="0002704F">
              <w:rPr>
                <w:rFonts w:ascii="Arial" w:hAnsi="Arial" w:cs="Arial"/>
                <w:sz w:val="18"/>
                <w:szCs w:val="18"/>
              </w:rPr>
              <w:t>$3.21</w:t>
            </w:r>
          </w:p>
        </w:tc>
        <w:tc>
          <w:tcPr>
            <w:tcW w:w="1159" w:type="dxa"/>
            <w:vMerge w:val="restart"/>
            <w:tcBorders>
              <w:top w:val="single" w:color="auto" w:sz="4" w:space="0"/>
            </w:tcBorders>
            <w:tcMar>
              <w:left w:w="29" w:type="dxa"/>
              <w:right w:w="29" w:type="dxa"/>
            </w:tcMar>
            <w:vAlign w:val="center"/>
          </w:tcPr>
          <w:p w:rsidRPr="0002704F" w:rsidR="007A37F2" w:rsidP="006428C9" w:rsidRDefault="009E0169" w14:paraId="3C8C063C" w14:textId="47EBFFCC">
            <w:pPr>
              <w:suppressAutoHyphens/>
              <w:jc w:val="center"/>
              <w:rPr>
                <w:rFonts w:ascii="Arial" w:hAnsi="Arial" w:cs="Arial"/>
                <w:sz w:val="18"/>
                <w:szCs w:val="18"/>
              </w:rPr>
            </w:pPr>
            <w:r w:rsidRPr="0002704F">
              <w:rPr>
                <w:rFonts w:ascii="Arial" w:hAnsi="Arial" w:cs="Arial"/>
                <w:sz w:val="18"/>
                <w:szCs w:val="18"/>
              </w:rPr>
              <w:t>3,000</w:t>
            </w:r>
          </w:p>
        </w:tc>
        <w:tc>
          <w:tcPr>
            <w:tcW w:w="1337" w:type="dxa"/>
            <w:tcBorders>
              <w:top w:val="single" w:color="auto" w:sz="4" w:space="0"/>
              <w:bottom w:val="single" w:color="auto" w:sz="4" w:space="0"/>
            </w:tcBorders>
            <w:tcMar>
              <w:left w:w="29" w:type="dxa"/>
              <w:right w:w="29" w:type="dxa"/>
            </w:tcMar>
            <w:vAlign w:val="center"/>
          </w:tcPr>
          <w:p w:rsidRPr="0002704F" w:rsidR="007A37F2" w:rsidP="009E0169" w:rsidRDefault="009E0169" w14:paraId="62D80975" w14:textId="2A4E0F05">
            <w:pPr>
              <w:suppressAutoHyphens/>
              <w:jc w:val="center"/>
              <w:rPr>
                <w:rFonts w:ascii="Arial" w:hAnsi="Arial" w:cs="Arial"/>
                <w:sz w:val="18"/>
                <w:szCs w:val="18"/>
              </w:rPr>
            </w:pPr>
            <w:r w:rsidRPr="0002704F">
              <w:rPr>
                <w:rFonts w:ascii="Arial" w:hAnsi="Arial" w:cs="Arial"/>
                <w:sz w:val="18"/>
                <w:szCs w:val="18"/>
              </w:rPr>
              <w:t>$9,630.00</w:t>
            </w:r>
          </w:p>
        </w:tc>
      </w:tr>
      <w:tr w:rsidRPr="0002704F" w:rsidR="00A73083" w:rsidTr="00A02040" w14:paraId="706D4007" w14:textId="77777777">
        <w:trPr>
          <w:trHeight w:val="432"/>
          <w:jc w:val="center"/>
        </w:trPr>
        <w:tc>
          <w:tcPr>
            <w:tcW w:w="2223" w:type="dxa"/>
            <w:tcBorders>
              <w:bottom w:val="single" w:color="auto" w:sz="4" w:space="0"/>
            </w:tcBorders>
            <w:vAlign w:val="center"/>
          </w:tcPr>
          <w:p w:rsidRPr="0002704F" w:rsidR="007A37F2" w:rsidP="006428C9" w:rsidRDefault="007A37F2" w14:paraId="493E6947" w14:textId="77777777">
            <w:pPr>
              <w:suppressAutoHyphens/>
              <w:jc w:val="center"/>
              <w:rPr>
                <w:rFonts w:ascii="Arial" w:hAnsi="Arial" w:cs="Arial"/>
                <w:sz w:val="18"/>
                <w:szCs w:val="18"/>
              </w:rPr>
            </w:pPr>
            <w:r w:rsidRPr="0002704F">
              <w:rPr>
                <w:rFonts w:ascii="Arial" w:hAnsi="Arial" w:cs="Arial"/>
                <w:sz w:val="18"/>
                <w:szCs w:val="18"/>
              </w:rPr>
              <w:t>GS–11, Step 5, Specialist</w:t>
            </w:r>
          </w:p>
        </w:tc>
        <w:tc>
          <w:tcPr>
            <w:tcW w:w="1247" w:type="dxa"/>
            <w:tcBorders>
              <w:top w:val="single" w:color="auto" w:sz="4" w:space="0"/>
              <w:bottom w:val="single" w:color="auto" w:sz="4" w:space="0"/>
            </w:tcBorders>
            <w:tcMar>
              <w:left w:w="29" w:type="dxa"/>
              <w:right w:w="29" w:type="dxa"/>
            </w:tcMar>
            <w:vAlign w:val="center"/>
          </w:tcPr>
          <w:p w:rsidRPr="0002704F" w:rsidR="007A37F2" w:rsidP="006428C9" w:rsidRDefault="007A37F2" w14:paraId="7A59AA1F" w14:textId="77777777">
            <w:pPr>
              <w:suppressAutoHyphens/>
              <w:jc w:val="center"/>
              <w:rPr>
                <w:rFonts w:ascii="Arial" w:hAnsi="Arial" w:cs="Arial"/>
                <w:sz w:val="18"/>
                <w:szCs w:val="18"/>
              </w:rPr>
            </w:pPr>
            <w:r w:rsidRPr="0002704F">
              <w:rPr>
                <w:rFonts w:ascii="Arial" w:hAnsi="Arial" w:cs="Arial"/>
                <w:sz w:val="18"/>
                <w:szCs w:val="18"/>
              </w:rPr>
              <w:t>$58.91</w:t>
            </w:r>
          </w:p>
        </w:tc>
        <w:tc>
          <w:tcPr>
            <w:tcW w:w="1248" w:type="dxa"/>
            <w:tcBorders>
              <w:top w:val="single" w:color="auto" w:sz="4" w:space="0"/>
              <w:bottom w:val="single" w:color="auto" w:sz="4" w:space="0"/>
            </w:tcBorders>
            <w:tcMar>
              <w:left w:w="29" w:type="dxa"/>
              <w:right w:w="29" w:type="dxa"/>
            </w:tcMar>
            <w:vAlign w:val="center"/>
          </w:tcPr>
          <w:p w:rsidRPr="0002704F" w:rsidR="007A37F2" w:rsidP="009E0169" w:rsidRDefault="007A37F2" w14:paraId="5CE06597" w14:textId="6D366641">
            <w:pPr>
              <w:suppressAutoHyphens/>
              <w:jc w:val="center"/>
              <w:rPr>
                <w:rFonts w:ascii="Arial" w:hAnsi="Arial" w:cs="Arial"/>
                <w:sz w:val="18"/>
                <w:szCs w:val="18"/>
              </w:rPr>
            </w:pPr>
            <w:r w:rsidRPr="0002704F">
              <w:rPr>
                <w:rFonts w:ascii="Arial" w:hAnsi="Arial" w:cs="Arial"/>
                <w:sz w:val="18"/>
                <w:szCs w:val="18"/>
              </w:rPr>
              <w:t>0.2 hour</w:t>
            </w:r>
          </w:p>
        </w:tc>
        <w:tc>
          <w:tcPr>
            <w:tcW w:w="1426" w:type="dxa"/>
            <w:tcBorders>
              <w:top w:val="single" w:color="auto" w:sz="4" w:space="0"/>
              <w:bottom w:val="single" w:color="auto" w:sz="4" w:space="0"/>
            </w:tcBorders>
            <w:tcMar>
              <w:left w:w="29" w:type="dxa"/>
              <w:right w:w="29" w:type="dxa"/>
            </w:tcMar>
            <w:vAlign w:val="center"/>
          </w:tcPr>
          <w:p w:rsidRPr="0002704F" w:rsidR="007A37F2" w:rsidP="009E0169" w:rsidRDefault="007A37F2" w14:paraId="27A6354A" w14:textId="103528FF">
            <w:pPr>
              <w:suppressAutoHyphens/>
              <w:jc w:val="center"/>
              <w:rPr>
                <w:rFonts w:ascii="Arial" w:hAnsi="Arial" w:cs="Arial"/>
                <w:sz w:val="18"/>
                <w:szCs w:val="18"/>
              </w:rPr>
            </w:pPr>
            <w:r w:rsidRPr="0002704F">
              <w:rPr>
                <w:rFonts w:ascii="Arial" w:hAnsi="Arial" w:cs="Arial"/>
                <w:sz w:val="18"/>
                <w:szCs w:val="18"/>
              </w:rPr>
              <w:t>$</w:t>
            </w:r>
            <w:r w:rsidRPr="0002704F" w:rsidR="009E0169">
              <w:rPr>
                <w:rFonts w:ascii="Arial" w:hAnsi="Arial" w:cs="Arial"/>
                <w:sz w:val="18"/>
                <w:szCs w:val="18"/>
              </w:rPr>
              <w:t>11.78</w:t>
            </w:r>
          </w:p>
        </w:tc>
        <w:tc>
          <w:tcPr>
            <w:tcW w:w="1159" w:type="dxa"/>
            <w:vMerge/>
            <w:tcBorders>
              <w:bottom w:val="single" w:color="auto" w:sz="4" w:space="0"/>
            </w:tcBorders>
            <w:tcMar>
              <w:left w:w="29" w:type="dxa"/>
              <w:right w:w="29" w:type="dxa"/>
            </w:tcMar>
            <w:vAlign w:val="center"/>
          </w:tcPr>
          <w:p w:rsidRPr="0002704F" w:rsidR="007A37F2" w:rsidP="006428C9" w:rsidRDefault="007A37F2" w14:paraId="2E570CC9" w14:textId="77777777">
            <w:pPr>
              <w:suppressAutoHyphens/>
              <w:jc w:val="center"/>
              <w:rPr>
                <w:rFonts w:ascii="Arial" w:hAnsi="Arial" w:cs="Arial"/>
                <w:sz w:val="18"/>
                <w:szCs w:val="18"/>
              </w:rPr>
            </w:pPr>
          </w:p>
        </w:tc>
        <w:tc>
          <w:tcPr>
            <w:tcW w:w="1337" w:type="dxa"/>
            <w:tcBorders>
              <w:top w:val="single" w:color="auto" w:sz="4" w:space="0"/>
              <w:bottom w:val="single" w:color="auto" w:sz="4" w:space="0"/>
            </w:tcBorders>
            <w:tcMar>
              <w:left w:w="29" w:type="dxa"/>
              <w:right w:w="29" w:type="dxa"/>
            </w:tcMar>
            <w:vAlign w:val="center"/>
          </w:tcPr>
          <w:p w:rsidRPr="0002704F" w:rsidR="007A37F2" w:rsidP="006428C9" w:rsidRDefault="009E0169" w14:paraId="5C9237A3" w14:textId="6E555646">
            <w:pPr>
              <w:suppressAutoHyphens/>
              <w:jc w:val="center"/>
              <w:rPr>
                <w:rFonts w:ascii="Arial" w:hAnsi="Arial" w:cs="Arial"/>
                <w:sz w:val="18"/>
                <w:szCs w:val="18"/>
              </w:rPr>
            </w:pPr>
            <w:r w:rsidRPr="0002704F">
              <w:rPr>
                <w:rFonts w:ascii="Arial" w:hAnsi="Arial" w:cs="Arial"/>
                <w:sz w:val="18"/>
                <w:szCs w:val="18"/>
              </w:rPr>
              <w:t>$35,340.00</w:t>
            </w:r>
          </w:p>
        </w:tc>
      </w:tr>
      <w:tr w:rsidRPr="0002704F" w:rsidR="00A73083" w:rsidTr="00A02040" w14:paraId="6D07F089" w14:textId="77777777">
        <w:trPr>
          <w:trHeight w:val="432"/>
          <w:jc w:val="center"/>
        </w:trPr>
        <w:tc>
          <w:tcPr>
            <w:tcW w:w="2223" w:type="dxa"/>
            <w:tcBorders>
              <w:bottom w:val="single" w:color="auto" w:sz="4" w:space="0"/>
            </w:tcBorders>
            <w:vAlign w:val="center"/>
          </w:tcPr>
          <w:p w:rsidRPr="0002704F" w:rsidR="007A37F2" w:rsidP="006428C9" w:rsidRDefault="007A37F2" w14:paraId="2A3E4840" w14:textId="77777777">
            <w:pPr>
              <w:suppressAutoHyphens/>
              <w:jc w:val="center"/>
              <w:rPr>
                <w:rFonts w:ascii="Arial" w:hAnsi="Arial" w:cs="Arial"/>
                <w:b/>
                <w:sz w:val="18"/>
                <w:szCs w:val="18"/>
              </w:rPr>
            </w:pPr>
            <w:r w:rsidRPr="0002704F">
              <w:rPr>
                <w:rFonts w:ascii="Arial" w:hAnsi="Arial" w:cs="Arial"/>
                <w:b/>
                <w:sz w:val="18"/>
                <w:szCs w:val="18"/>
              </w:rPr>
              <w:t xml:space="preserve">TOTALS </w:t>
            </w:r>
          </w:p>
        </w:tc>
        <w:tc>
          <w:tcPr>
            <w:tcW w:w="1247" w:type="dxa"/>
            <w:tcBorders>
              <w:top w:val="single" w:color="auto" w:sz="4" w:space="0"/>
              <w:bottom w:val="single" w:color="auto" w:sz="4" w:space="0"/>
            </w:tcBorders>
            <w:tcMar>
              <w:left w:w="29" w:type="dxa"/>
              <w:right w:w="29" w:type="dxa"/>
            </w:tcMar>
            <w:vAlign w:val="center"/>
          </w:tcPr>
          <w:p w:rsidRPr="0002704F" w:rsidR="007A37F2" w:rsidP="00B32A60" w:rsidRDefault="00B32A60" w14:paraId="326694E5" w14:textId="27E68AB1">
            <w:pPr>
              <w:suppressAutoHyphens/>
              <w:jc w:val="center"/>
              <w:rPr>
                <w:rFonts w:ascii="Arial" w:hAnsi="Arial" w:cs="Arial"/>
                <w:b/>
                <w:sz w:val="18"/>
                <w:szCs w:val="18"/>
              </w:rPr>
            </w:pPr>
            <w:r w:rsidRPr="0002704F">
              <w:rPr>
                <w:rFonts w:ascii="Arial" w:hAnsi="Arial" w:cs="Arial"/>
                <w:b/>
                <w:sz w:val="18"/>
                <w:szCs w:val="18"/>
              </w:rPr>
              <w:t>($49.966)</w:t>
            </w:r>
          </w:p>
        </w:tc>
        <w:tc>
          <w:tcPr>
            <w:tcW w:w="1248" w:type="dxa"/>
            <w:tcBorders>
              <w:top w:val="single" w:color="auto" w:sz="4" w:space="0"/>
              <w:bottom w:val="single" w:color="auto" w:sz="4" w:space="0"/>
            </w:tcBorders>
            <w:tcMar>
              <w:left w:w="29" w:type="dxa"/>
              <w:right w:w="29" w:type="dxa"/>
            </w:tcMar>
            <w:vAlign w:val="center"/>
          </w:tcPr>
          <w:p w:rsidRPr="0002704F" w:rsidR="007A37F2" w:rsidP="009E0169" w:rsidRDefault="007A37F2" w14:paraId="246AE046" w14:textId="12837784">
            <w:pPr>
              <w:suppressAutoHyphens/>
              <w:jc w:val="center"/>
              <w:rPr>
                <w:rFonts w:ascii="Arial" w:hAnsi="Arial" w:cs="Arial"/>
                <w:b/>
                <w:sz w:val="18"/>
                <w:szCs w:val="18"/>
              </w:rPr>
            </w:pPr>
            <w:r w:rsidRPr="0002704F">
              <w:rPr>
                <w:rFonts w:ascii="Arial" w:hAnsi="Arial" w:cs="Arial"/>
                <w:b/>
                <w:sz w:val="18"/>
                <w:szCs w:val="18"/>
              </w:rPr>
              <w:t>0.3 hour</w:t>
            </w:r>
          </w:p>
        </w:tc>
        <w:tc>
          <w:tcPr>
            <w:tcW w:w="1426" w:type="dxa"/>
            <w:tcBorders>
              <w:top w:val="single" w:color="auto" w:sz="4" w:space="0"/>
              <w:bottom w:val="single" w:color="auto" w:sz="4" w:space="0"/>
            </w:tcBorders>
            <w:tcMar>
              <w:left w:w="29" w:type="dxa"/>
              <w:right w:w="29" w:type="dxa"/>
            </w:tcMar>
            <w:vAlign w:val="center"/>
          </w:tcPr>
          <w:p w:rsidRPr="0002704F" w:rsidR="007A37F2" w:rsidP="006428C9" w:rsidRDefault="00B32A60" w14:paraId="332A910E" w14:textId="51454EAC">
            <w:pPr>
              <w:suppressAutoHyphens/>
              <w:jc w:val="center"/>
              <w:rPr>
                <w:rFonts w:ascii="Arial" w:hAnsi="Arial" w:cs="Arial"/>
                <w:b/>
                <w:sz w:val="18"/>
                <w:szCs w:val="18"/>
              </w:rPr>
            </w:pPr>
            <w:r w:rsidRPr="0002704F">
              <w:rPr>
                <w:rFonts w:ascii="Arial" w:hAnsi="Arial" w:cs="Arial"/>
                <w:b/>
                <w:sz w:val="18"/>
                <w:szCs w:val="18"/>
              </w:rPr>
              <w:t>$14.99</w:t>
            </w:r>
          </w:p>
        </w:tc>
        <w:tc>
          <w:tcPr>
            <w:tcW w:w="1159" w:type="dxa"/>
            <w:tcBorders>
              <w:top w:val="single" w:color="auto" w:sz="4" w:space="0"/>
              <w:bottom w:val="single" w:color="auto" w:sz="4" w:space="0"/>
            </w:tcBorders>
            <w:tcMar>
              <w:left w:w="29" w:type="dxa"/>
              <w:right w:w="29" w:type="dxa"/>
            </w:tcMar>
            <w:vAlign w:val="center"/>
          </w:tcPr>
          <w:p w:rsidRPr="0002704F" w:rsidR="007A37F2" w:rsidP="006428C9" w:rsidRDefault="009E0169" w14:paraId="030BA5B3" w14:textId="70692E34">
            <w:pPr>
              <w:suppressAutoHyphens/>
              <w:jc w:val="center"/>
              <w:rPr>
                <w:rFonts w:ascii="Arial" w:hAnsi="Arial" w:cs="Arial"/>
                <w:b/>
                <w:sz w:val="18"/>
                <w:szCs w:val="18"/>
              </w:rPr>
            </w:pPr>
            <w:r w:rsidRPr="0002704F">
              <w:rPr>
                <w:rFonts w:ascii="Arial" w:hAnsi="Arial" w:cs="Arial"/>
                <w:b/>
                <w:sz w:val="18"/>
                <w:szCs w:val="18"/>
              </w:rPr>
              <w:t>3,000</w:t>
            </w:r>
          </w:p>
        </w:tc>
        <w:tc>
          <w:tcPr>
            <w:tcW w:w="1337" w:type="dxa"/>
            <w:tcBorders>
              <w:top w:val="single" w:color="auto" w:sz="4" w:space="0"/>
              <w:bottom w:val="single" w:color="auto" w:sz="4" w:space="0"/>
            </w:tcBorders>
            <w:tcMar>
              <w:left w:w="29" w:type="dxa"/>
              <w:right w:w="29" w:type="dxa"/>
            </w:tcMar>
            <w:vAlign w:val="center"/>
          </w:tcPr>
          <w:p w:rsidRPr="0002704F" w:rsidR="007A37F2" w:rsidP="006428C9" w:rsidRDefault="00B32A60" w14:paraId="70E06ECF" w14:textId="2893EC5E">
            <w:pPr>
              <w:suppressAutoHyphens/>
              <w:jc w:val="center"/>
              <w:rPr>
                <w:rFonts w:ascii="Arial" w:hAnsi="Arial" w:cs="Arial"/>
                <w:b/>
                <w:sz w:val="18"/>
                <w:szCs w:val="18"/>
              </w:rPr>
            </w:pPr>
            <w:r w:rsidRPr="0002704F">
              <w:rPr>
                <w:rFonts w:ascii="Arial" w:hAnsi="Arial" w:cs="Arial"/>
                <w:b/>
                <w:sz w:val="18"/>
                <w:szCs w:val="18"/>
              </w:rPr>
              <w:t>$44,970.00</w:t>
            </w:r>
          </w:p>
        </w:tc>
      </w:tr>
    </w:tbl>
    <w:p w:rsidRPr="00A73083" w:rsidR="009E0169" w:rsidP="009E0169" w:rsidRDefault="009E0169" w14:paraId="7104BD2D" w14:textId="04ED911C">
      <w:pPr>
        <w:spacing w:before="40"/>
        <w:ind w:left="360"/>
        <w:rPr>
          <w:rFonts w:ascii="Arial" w:hAnsi="Arial" w:cs="Arial"/>
          <w:sz w:val="17"/>
          <w:szCs w:val="17"/>
        </w:rPr>
      </w:pPr>
      <w:r w:rsidRPr="00A73083">
        <w:rPr>
          <w:rFonts w:ascii="Arial" w:hAnsi="Arial" w:cs="Arial"/>
          <w:sz w:val="20"/>
          <w:szCs w:val="20"/>
        </w:rPr>
        <w:t xml:space="preserve">* </w:t>
      </w:r>
      <w:r w:rsidRPr="00A73083">
        <w:rPr>
          <w:rFonts w:ascii="Arial" w:hAnsi="Arial" w:cs="Arial"/>
          <w:sz w:val="17"/>
          <w:szCs w:val="17"/>
        </w:rPr>
        <w:t xml:space="preserve">Rounded to nearest whole cent. </w:t>
      </w:r>
      <w:r w:rsidRPr="00A73083" w:rsidR="0001558D">
        <w:rPr>
          <w:rFonts w:ascii="Arial" w:hAnsi="Arial" w:cs="Arial"/>
          <w:sz w:val="17"/>
          <w:szCs w:val="17"/>
        </w:rPr>
        <w:t xml:space="preserve">    </w:t>
      </w:r>
      <w:r w:rsidRPr="00A73083" w:rsidR="0001558D">
        <w:rPr>
          <w:rFonts w:ascii="Arial" w:hAnsi="Arial" w:cs="Arial"/>
          <w:sz w:val="20"/>
          <w:szCs w:val="20"/>
        </w:rPr>
        <w:t xml:space="preserve">** </w:t>
      </w:r>
      <w:r w:rsidRPr="00A73083" w:rsidR="0001558D">
        <w:rPr>
          <w:rFonts w:ascii="Arial" w:hAnsi="Arial" w:cs="Arial"/>
          <w:sz w:val="17"/>
          <w:szCs w:val="17"/>
        </w:rPr>
        <w:t xml:space="preserve">Rounded to the nearest whole dollar. </w:t>
      </w:r>
    </w:p>
    <w:p w:rsidRPr="00A02040" w:rsidR="009E0169" w:rsidP="007A37F2" w:rsidRDefault="009E0169" w14:paraId="58EEC495" w14:textId="77777777">
      <w:pPr>
        <w:rPr>
          <w:rFonts w:ascii="Arial" w:hAnsi="Arial" w:cs="Arial"/>
          <w:sz w:val="28"/>
          <w:szCs w:val="28"/>
        </w:rPr>
      </w:pPr>
    </w:p>
    <w:p w:rsidRPr="00A73083" w:rsidR="00AF1157" w:rsidP="00D73D2D" w:rsidRDefault="00AF060A" w14:paraId="283ACF78" w14:textId="30B2C0BA">
      <w:pPr>
        <w:suppressAutoHyphens/>
        <w:rPr>
          <w:rFonts w:ascii="Arial" w:hAnsi="Arial" w:cs="Arial"/>
          <w:i/>
          <w:sz w:val="22"/>
          <w:szCs w:val="22"/>
        </w:rPr>
      </w:pPr>
      <w:r w:rsidRPr="00A73083">
        <w:rPr>
          <w:rFonts w:ascii="Arial" w:hAnsi="Arial" w:cs="Arial"/>
          <w:i/>
          <w:sz w:val="22"/>
          <w:szCs w:val="22"/>
        </w:rPr>
        <w:t xml:space="preserve">15.  </w:t>
      </w:r>
      <w:r w:rsidRPr="00A73083" w:rsidR="00AF1157">
        <w:rPr>
          <w:rFonts w:ascii="Arial" w:hAnsi="Arial" w:cs="Arial"/>
          <w:i/>
          <w:sz w:val="22"/>
          <w:szCs w:val="22"/>
        </w:rPr>
        <w:t>What is the reason for any program changes or adjustments reported?</w:t>
      </w:r>
      <w:r w:rsidRPr="00A73083">
        <w:rPr>
          <w:rFonts w:ascii="Arial" w:hAnsi="Arial" w:cs="Arial"/>
          <w:i/>
          <w:sz w:val="22"/>
          <w:szCs w:val="22"/>
        </w:rPr>
        <w:t xml:space="preserve"> </w:t>
      </w:r>
    </w:p>
    <w:p w:rsidRPr="00A73083" w:rsidR="00AF1157" w:rsidP="00D73D2D" w:rsidRDefault="00AF1157" w14:paraId="733601FC" w14:textId="77777777">
      <w:pPr>
        <w:suppressAutoHyphens/>
        <w:rPr>
          <w:rFonts w:ascii="Arial" w:hAnsi="Arial" w:cs="Arial"/>
          <w:sz w:val="22"/>
          <w:szCs w:val="22"/>
        </w:rPr>
      </w:pPr>
    </w:p>
    <w:p w:rsidRPr="00A73083" w:rsidR="0039034A" w:rsidP="0069718A" w:rsidRDefault="0001558D" w14:paraId="3ABD05B5" w14:textId="0C00C04B">
      <w:pPr>
        <w:ind w:left="360"/>
        <w:rPr>
          <w:rFonts w:ascii="Arial" w:hAnsi="Arial" w:cs="Arial"/>
          <w:sz w:val="22"/>
          <w:szCs w:val="22"/>
        </w:rPr>
      </w:pPr>
      <w:r w:rsidRPr="00A73083">
        <w:rPr>
          <w:rFonts w:ascii="Arial" w:hAnsi="Arial" w:cs="Arial"/>
          <w:sz w:val="22"/>
          <w:szCs w:val="22"/>
        </w:rPr>
        <w:t>At this time, t</w:t>
      </w:r>
      <w:r w:rsidRPr="00A73083" w:rsidR="0039034A">
        <w:rPr>
          <w:rFonts w:ascii="Arial" w:hAnsi="Arial" w:cs="Arial"/>
          <w:sz w:val="22"/>
          <w:szCs w:val="22"/>
        </w:rPr>
        <w:t xml:space="preserve">here are no program changes or adjustments </w:t>
      </w:r>
      <w:r w:rsidRPr="00A73083">
        <w:rPr>
          <w:rFonts w:ascii="Arial" w:hAnsi="Arial" w:cs="Arial"/>
          <w:sz w:val="22"/>
          <w:szCs w:val="22"/>
        </w:rPr>
        <w:t>associated with t</w:t>
      </w:r>
      <w:r w:rsidRPr="00A73083" w:rsidR="0039034A">
        <w:rPr>
          <w:rFonts w:ascii="Arial" w:hAnsi="Arial" w:cs="Arial"/>
          <w:sz w:val="22"/>
          <w:szCs w:val="22"/>
        </w:rPr>
        <w:t xml:space="preserve">his information collection. </w:t>
      </w:r>
    </w:p>
    <w:p w:rsidRPr="00A02040" w:rsidR="00AF060A" w:rsidP="00AF060A" w:rsidRDefault="00AF060A" w14:paraId="19A48C6F" w14:textId="77777777">
      <w:pPr>
        <w:suppressAutoHyphens/>
        <w:rPr>
          <w:rFonts w:ascii="Arial" w:hAnsi="Arial" w:cs="Arial"/>
          <w:sz w:val="28"/>
          <w:szCs w:val="28"/>
        </w:rPr>
      </w:pPr>
    </w:p>
    <w:p w:rsidRPr="00A73083" w:rsidR="00AF1157" w:rsidP="00D73D2D" w:rsidRDefault="00AF060A" w14:paraId="58AC2C67" w14:textId="77777777">
      <w:pPr>
        <w:suppressAutoHyphens/>
        <w:rPr>
          <w:rFonts w:ascii="Arial" w:hAnsi="Arial" w:cs="Arial"/>
          <w:i/>
          <w:sz w:val="22"/>
          <w:szCs w:val="22"/>
        </w:rPr>
      </w:pPr>
      <w:r w:rsidRPr="00A73083">
        <w:rPr>
          <w:rFonts w:ascii="Arial" w:hAnsi="Arial" w:cs="Arial"/>
          <w:i/>
          <w:sz w:val="22"/>
          <w:szCs w:val="22"/>
        </w:rPr>
        <w:lastRenderedPageBreak/>
        <w:t xml:space="preserve">16.  </w:t>
      </w:r>
      <w:r w:rsidRPr="00A73083" w:rsidR="00AF1157">
        <w:rPr>
          <w:rFonts w:ascii="Arial" w:hAnsi="Arial" w:cs="Arial"/>
          <w:i/>
          <w:sz w:val="22"/>
          <w:szCs w:val="22"/>
        </w:rPr>
        <w:t>Outline plans for tabulation and publication for collections of information whose results will be published.</w:t>
      </w:r>
      <w:r w:rsidRPr="00A73083">
        <w:rPr>
          <w:rFonts w:ascii="Arial" w:hAnsi="Arial" w:cs="Arial"/>
          <w:i/>
          <w:sz w:val="22"/>
          <w:szCs w:val="22"/>
        </w:rPr>
        <w:t xml:space="preserve"> </w:t>
      </w:r>
    </w:p>
    <w:p w:rsidRPr="00A73083" w:rsidR="00AF1157" w:rsidP="00D73D2D" w:rsidRDefault="00AF1157" w14:paraId="60306074" w14:textId="77777777">
      <w:pPr>
        <w:suppressAutoHyphens/>
        <w:ind w:left="480" w:hanging="480"/>
        <w:rPr>
          <w:rFonts w:ascii="Arial" w:hAnsi="Arial" w:cs="Arial"/>
          <w:sz w:val="22"/>
          <w:szCs w:val="22"/>
        </w:rPr>
      </w:pPr>
    </w:p>
    <w:p w:rsidRPr="00A73083" w:rsidR="00AF1157" w:rsidP="004D086A" w:rsidRDefault="00276081" w14:paraId="3AF137B4" w14:textId="61319452">
      <w:pPr>
        <w:suppressAutoHyphens/>
        <w:ind w:left="360"/>
        <w:rPr>
          <w:rFonts w:ascii="Arial" w:hAnsi="Arial" w:cs="Arial"/>
          <w:sz w:val="22"/>
          <w:szCs w:val="22"/>
        </w:rPr>
      </w:pPr>
      <w:r w:rsidRPr="00A73083">
        <w:rPr>
          <w:rFonts w:ascii="Arial" w:hAnsi="Arial" w:cs="Arial"/>
          <w:sz w:val="22"/>
          <w:szCs w:val="22"/>
        </w:rPr>
        <w:t>TTB will not publish t</w:t>
      </w:r>
      <w:r w:rsidRPr="00A73083" w:rsidR="00AF1157">
        <w:rPr>
          <w:rFonts w:ascii="Arial" w:hAnsi="Arial" w:cs="Arial"/>
          <w:sz w:val="22"/>
          <w:szCs w:val="22"/>
        </w:rPr>
        <w:t xml:space="preserve">he </w:t>
      </w:r>
      <w:r w:rsidRPr="00A73083">
        <w:rPr>
          <w:rFonts w:ascii="Arial" w:hAnsi="Arial" w:cs="Arial"/>
          <w:sz w:val="22"/>
          <w:szCs w:val="22"/>
        </w:rPr>
        <w:t>result</w:t>
      </w:r>
      <w:r w:rsidRPr="00A73083" w:rsidR="00AF1157">
        <w:rPr>
          <w:rFonts w:ascii="Arial" w:hAnsi="Arial" w:cs="Arial"/>
          <w:sz w:val="22"/>
          <w:szCs w:val="22"/>
        </w:rPr>
        <w:t xml:space="preserve">s of this </w:t>
      </w:r>
      <w:r w:rsidRPr="00A73083" w:rsidR="0001558D">
        <w:rPr>
          <w:rFonts w:ascii="Arial" w:hAnsi="Arial" w:cs="Arial"/>
          <w:sz w:val="22"/>
          <w:szCs w:val="22"/>
        </w:rPr>
        <w:t xml:space="preserve">information </w:t>
      </w:r>
      <w:r w:rsidRPr="00A73083" w:rsidR="00AF1157">
        <w:rPr>
          <w:rFonts w:ascii="Arial" w:hAnsi="Arial" w:cs="Arial"/>
          <w:sz w:val="22"/>
          <w:szCs w:val="22"/>
        </w:rPr>
        <w:t>collection.</w:t>
      </w:r>
      <w:r w:rsidRPr="00A73083" w:rsidR="00AF060A">
        <w:rPr>
          <w:rFonts w:ascii="Arial" w:hAnsi="Arial" w:cs="Arial"/>
          <w:sz w:val="22"/>
          <w:szCs w:val="22"/>
        </w:rPr>
        <w:t xml:space="preserve"> </w:t>
      </w:r>
    </w:p>
    <w:p w:rsidRPr="00A02040" w:rsidR="00AF1157" w:rsidP="00D73D2D" w:rsidRDefault="00AF1157" w14:paraId="52F2CE01" w14:textId="77777777">
      <w:pPr>
        <w:suppressAutoHyphens/>
        <w:rPr>
          <w:rFonts w:ascii="Arial" w:hAnsi="Arial" w:cs="Arial"/>
          <w:sz w:val="28"/>
          <w:szCs w:val="28"/>
        </w:rPr>
      </w:pPr>
    </w:p>
    <w:p w:rsidRPr="00A73083" w:rsidR="00AF1157" w:rsidP="00D73D2D" w:rsidRDefault="00AF060A" w14:paraId="47D5DF7E" w14:textId="268506C4">
      <w:pPr>
        <w:suppressAutoHyphens/>
        <w:rPr>
          <w:rFonts w:ascii="Arial" w:hAnsi="Arial" w:cs="Arial"/>
          <w:sz w:val="22"/>
          <w:szCs w:val="22"/>
        </w:rPr>
      </w:pPr>
      <w:r w:rsidRPr="00A73083">
        <w:rPr>
          <w:rFonts w:ascii="Arial" w:hAnsi="Arial" w:cs="Arial"/>
          <w:sz w:val="22"/>
          <w:szCs w:val="22"/>
        </w:rPr>
        <w:t xml:space="preserve">17.  </w:t>
      </w:r>
      <w:r w:rsidRPr="00A73083" w:rsidR="00AF1157">
        <w:rPr>
          <w:rFonts w:ascii="Arial" w:hAnsi="Arial" w:cs="Arial"/>
          <w:sz w:val="22"/>
          <w:szCs w:val="22"/>
        </w:rPr>
        <w:t>If seeking approval to not display the expiration date for OMB approval of this information collection, what are the reasons that the display would be inappropriate?</w:t>
      </w:r>
      <w:r w:rsidRPr="00A73083" w:rsidR="004D086A">
        <w:rPr>
          <w:rFonts w:ascii="Arial" w:hAnsi="Arial" w:cs="Arial"/>
          <w:sz w:val="22"/>
          <w:szCs w:val="22"/>
        </w:rPr>
        <w:t xml:space="preserve"> </w:t>
      </w:r>
    </w:p>
    <w:p w:rsidRPr="00A73083" w:rsidR="00AF1157" w:rsidP="00D73D2D" w:rsidRDefault="00AF1157" w14:paraId="72EBCA86" w14:textId="77777777">
      <w:pPr>
        <w:suppressAutoHyphens/>
        <w:rPr>
          <w:rFonts w:ascii="Arial" w:hAnsi="Arial" w:cs="Arial"/>
          <w:sz w:val="22"/>
          <w:szCs w:val="22"/>
        </w:rPr>
      </w:pPr>
    </w:p>
    <w:p w:rsidRPr="00A73083" w:rsidR="00B77AB9" w:rsidP="00014CEB" w:rsidRDefault="00B77AB9" w14:paraId="10EF876A" w14:textId="5E54C4A3">
      <w:pPr>
        <w:autoSpaceDE w:val="0"/>
        <w:autoSpaceDN w:val="0"/>
        <w:ind w:left="360"/>
        <w:rPr>
          <w:rFonts w:ascii="Arial" w:hAnsi="Arial" w:cs="Arial"/>
          <w:sz w:val="22"/>
          <w:szCs w:val="22"/>
        </w:rPr>
      </w:pPr>
      <w:r w:rsidRPr="00A73083">
        <w:rPr>
          <w:rFonts w:ascii="Arial" w:hAnsi="Arial" w:cs="Arial"/>
          <w:sz w:val="22"/>
          <w:szCs w:val="22"/>
        </w:rPr>
        <w:t xml:space="preserve">As a cost saving measure for both TTB and the public, TTB is seeking approval not to display the expiration date for OMB approval of this information collection on its related form, TTB F 5100.6.  By not displaying that date on the form, TTB will not have to update the form on its website each time OMB reapproves this information collection.  Similarly, respondents and other businesses will not have to update stocks of the paper form, self-produced electronic copies of the form, or versions of the form made for sale to other businesses.  Additionally, not displaying the information collection’s OMB approval expiration date on the form will avoid confusion among members of the public who may have copies of the form with different expiration dates in their possession.  </w:t>
      </w:r>
    </w:p>
    <w:p w:rsidRPr="00A02040" w:rsidR="00014CEB" w:rsidP="0039034A" w:rsidRDefault="00014CEB" w14:paraId="32C84570" w14:textId="77777777">
      <w:pPr>
        <w:autoSpaceDE w:val="0"/>
        <w:autoSpaceDN w:val="0"/>
        <w:rPr>
          <w:rFonts w:ascii="Arial" w:hAnsi="Arial" w:cs="Arial"/>
          <w:sz w:val="28"/>
          <w:szCs w:val="28"/>
        </w:rPr>
      </w:pPr>
    </w:p>
    <w:p w:rsidRPr="00A73083" w:rsidR="00AF1157" w:rsidP="00D73D2D" w:rsidRDefault="00BA1A21" w14:paraId="481C96AE" w14:textId="77777777">
      <w:pPr>
        <w:suppressAutoHyphens/>
        <w:rPr>
          <w:rFonts w:ascii="Arial" w:hAnsi="Arial" w:cs="Arial"/>
          <w:i/>
          <w:sz w:val="22"/>
          <w:szCs w:val="22"/>
        </w:rPr>
      </w:pPr>
      <w:r w:rsidRPr="00A73083">
        <w:rPr>
          <w:rFonts w:ascii="Arial" w:hAnsi="Arial" w:cs="Arial"/>
          <w:i/>
          <w:sz w:val="22"/>
          <w:szCs w:val="22"/>
        </w:rPr>
        <w:t xml:space="preserve">18.  </w:t>
      </w:r>
      <w:r w:rsidRPr="00A73083" w:rsidR="00AF1157">
        <w:rPr>
          <w:rFonts w:ascii="Arial" w:hAnsi="Arial" w:cs="Arial"/>
          <w:i/>
          <w:sz w:val="22"/>
          <w:szCs w:val="22"/>
        </w:rPr>
        <w:t>What are the exceptions to the certification statement?</w:t>
      </w:r>
      <w:r w:rsidRPr="00A73083" w:rsidR="00D56B01">
        <w:rPr>
          <w:rFonts w:ascii="Arial" w:hAnsi="Arial" w:cs="Arial"/>
          <w:i/>
          <w:sz w:val="22"/>
          <w:szCs w:val="22"/>
        </w:rPr>
        <w:t xml:space="preserve"> </w:t>
      </w:r>
    </w:p>
    <w:p w:rsidRPr="00A73083" w:rsidR="00D414AB" w:rsidP="00BA1A21" w:rsidRDefault="00D414AB" w14:paraId="017E972D" w14:textId="77777777">
      <w:pPr>
        <w:ind w:left="360"/>
        <w:rPr>
          <w:rFonts w:ascii="Arial" w:hAnsi="Arial" w:cs="Arial"/>
          <w:sz w:val="22"/>
          <w:szCs w:val="22"/>
        </w:rPr>
      </w:pPr>
    </w:p>
    <w:p w:rsidRPr="00A73083" w:rsidR="00734B25" w:rsidP="00F11F74" w:rsidRDefault="00F11F74" w14:paraId="707A4BD9" w14:textId="264BFC5C">
      <w:pPr>
        <w:tabs>
          <w:tab w:val="left" w:pos="720"/>
        </w:tabs>
        <w:spacing w:after="120"/>
        <w:ind w:left="360"/>
        <w:rPr>
          <w:rFonts w:ascii="Arial" w:hAnsi="Arial" w:cs="Arial"/>
          <w:sz w:val="22"/>
          <w:szCs w:val="22"/>
        </w:rPr>
      </w:pPr>
      <w:r w:rsidRPr="00A73083">
        <w:rPr>
          <w:rFonts w:ascii="Arial" w:hAnsi="Arial" w:cs="Arial"/>
          <w:sz w:val="22"/>
          <w:szCs w:val="22"/>
        </w:rPr>
        <w:t>(c)</w:t>
      </w:r>
      <w:r w:rsidRPr="00A73083">
        <w:rPr>
          <w:rFonts w:ascii="Arial" w:hAnsi="Arial" w:cs="Arial"/>
          <w:sz w:val="22"/>
          <w:szCs w:val="22"/>
        </w:rPr>
        <w:tab/>
        <w:t>S</w:t>
      </w:r>
      <w:r w:rsidRPr="00A73083" w:rsidR="00734B25">
        <w:rPr>
          <w:rFonts w:ascii="Arial" w:hAnsi="Arial" w:cs="Arial"/>
          <w:sz w:val="22"/>
          <w:szCs w:val="22"/>
        </w:rPr>
        <w:t>e</w:t>
      </w:r>
      <w:r w:rsidRPr="00A73083" w:rsidR="007A37F2">
        <w:rPr>
          <w:rFonts w:ascii="Arial" w:hAnsi="Arial" w:cs="Arial"/>
          <w:sz w:val="22"/>
          <w:szCs w:val="22"/>
        </w:rPr>
        <w:t>e</w:t>
      </w:r>
      <w:r w:rsidRPr="00A73083" w:rsidR="00734B25">
        <w:rPr>
          <w:rFonts w:ascii="Arial" w:hAnsi="Arial" w:cs="Arial"/>
          <w:sz w:val="22"/>
          <w:szCs w:val="22"/>
        </w:rPr>
        <w:t xml:space="preserve"> item 5 above</w:t>
      </w:r>
      <w:r w:rsidRPr="00A73083" w:rsidR="00E115FD">
        <w:rPr>
          <w:rFonts w:ascii="Arial" w:hAnsi="Arial" w:cs="Arial"/>
          <w:sz w:val="22"/>
          <w:szCs w:val="22"/>
        </w:rPr>
        <w:t>.</w:t>
      </w:r>
      <w:r w:rsidRPr="00A73083" w:rsidR="00BA1A21">
        <w:rPr>
          <w:rFonts w:ascii="Arial" w:hAnsi="Arial" w:cs="Arial"/>
          <w:sz w:val="22"/>
          <w:szCs w:val="22"/>
        </w:rPr>
        <w:t xml:space="preserve"> </w:t>
      </w:r>
    </w:p>
    <w:p w:rsidR="00362B4F" w:rsidP="00F11F74" w:rsidRDefault="00F11F74" w14:paraId="1EBCAE02" w14:textId="1EE17036">
      <w:pPr>
        <w:tabs>
          <w:tab w:val="left" w:pos="720"/>
        </w:tabs>
        <w:spacing w:after="120"/>
        <w:ind w:left="360"/>
        <w:rPr>
          <w:rFonts w:ascii="Arial" w:hAnsi="Arial" w:cs="Arial"/>
          <w:sz w:val="22"/>
          <w:szCs w:val="22"/>
        </w:rPr>
      </w:pPr>
      <w:r w:rsidRPr="00A73083">
        <w:rPr>
          <w:rFonts w:ascii="Arial" w:hAnsi="Arial" w:cs="Arial"/>
          <w:sz w:val="22"/>
          <w:szCs w:val="22"/>
        </w:rPr>
        <w:t>(f)</w:t>
      </w:r>
      <w:r w:rsidRPr="00A73083">
        <w:rPr>
          <w:rFonts w:ascii="Arial" w:hAnsi="Arial" w:cs="Arial"/>
          <w:sz w:val="22"/>
          <w:szCs w:val="22"/>
        </w:rPr>
        <w:tab/>
      </w:r>
      <w:r w:rsidRPr="00A73083" w:rsidR="00362B4F">
        <w:rPr>
          <w:rFonts w:ascii="Arial" w:hAnsi="Arial" w:cs="Arial"/>
          <w:sz w:val="22"/>
          <w:szCs w:val="22"/>
        </w:rPr>
        <w:t xml:space="preserve">This is not a recordkeeping requirement. </w:t>
      </w:r>
    </w:p>
    <w:p w:rsidRPr="00A73083" w:rsidR="00734B25" w:rsidP="00F11F74" w:rsidRDefault="00F11F74" w14:paraId="476C5094" w14:textId="0CD5B94F">
      <w:pPr>
        <w:tabs>
          <w:tab w:val="left" w:pos="720"/>
        </w:tabs>
        <w:spacing w:after="120"/>
        <w:ind w:left="360"/>
        <w:rPr>
          <w:rFonts w:ascii="Arial" w:hAnsi="Arial" w:cs="Arial"/>
          <w:sz w:val="22"/>
          <w:szCs w:val="22"/>
        </w:rPr>
      </w:pPr>
      <w:r w:rsidRPr="00A73083">
        <w:rPr>
          <w:rFonts w:ascii="Arial" w:hAnsi="Arial" w:cs="Arial"/>
          <w:sz w:val="22"/>
          <w:szCs w:val="22"/>
        </w:rPr>
        <w:t>(i)</w:t>
      </w:r>
      <w:r w:rsidRPr="00A73083">
        <w:rPr>
          <w:rFonts w:ascii="Arial" w:hAnsi="Arial" w:cs="Arial"/>
          <w:sz w:val="22"/>
          <w:szCs w:val="22"/>
        </w:rPr>
        <w:tab/>
      </w:r>
      <w:r w:rsidRPr="00A73083" w:rsidR="00734B25">
        <w:rPr>
          <w:rFonts w:ascii="Arial" w:hAnsi="Arial" w:cs="Arial"/>
          <w:sz w:val="22"/>
          <w:szCs w:val="22"/>
        </w:rPr>
        <w:t>No statistics are involved</w:t>
      </w:r>
      <w:r w:rsidRPr="00A73083" w:rsidR="00E115FD">
        <w:rPr>
          <w:rFonts w:ascii="Arial" w:hAnsi="Arial" w:cs="Arial"/>
          <w:sz w:val="22"/>
          <w:szCs w:val="22"/>
        </w:rPr>
        <w:t>.</w:t>
      </w:r>
      <w:r w:rsidRPr="00A73083" w:rsidR="00BA1A21">
        <w:rPr>
          <w:rFonts w:ascii="Arial" w:hAnsi="Arial" w:cs="Arial"/>
          <w:sz w:val="22"/>
          <w:szCs w:val="22"/>
        </w:rPr>
        <w:t xml:space="preserve"> </w:t>
      </w:r>
    </w:p>
    <w:p w:rsidRPr="00A73083" w:rsidR="00734B25" w:rsidP="00F11F74" w:rsidRDefault="00F11F74" w14:paraId="215C0D0B" w14:textId="25C25B85">
      <w:pPr>
        <w:tabs>
          <w:tab w:val="left" w:pos="720"/>
        </w:tabs>
        <w:spacing w:after="120"/>
        <w:ind w:left="360"/>
        <w:rPr>
          <w:rFonts w:ascii="Arial" w:hAnsi="Arial" w:cs="Arial"/>
          <w:sz w:val="22"/>
          <w:szCs w:val="22"/>
        </w:rPr>
      </w:pPr>
      <w:r w:rsidRPr="00A73083">
        <w:rPr>
          <w:rFonts w:ascii="Arial" w:hAnsi="Arial" w:cs="Arial"/>
          <w:sz w:val="22"/>
          <w:szCs w:val="22"/>
        </w:rPr>
        <w:t>(j)</w:t>
      </w:r>
      <w:r w:rsidRPr="00A73083">
        <w:rPr>
          <w:rFonts w:ascii="Arial" w:hAnsi="Arial" w:cs="Arial"/>
          <w:sz w:val="22"/>
          <w:szCs w:val="22"/>
        </w:rPr>
        <w:tab/>
      </w:r>
      <w:r w:rsidRPr="00A73083" w:rsidR="00734B25">
        <w:rPr>
          <w:rFonts w:ascii="Arial" w:hAnsi="Arial" w:cs="Arial"/>
          <w:sz w:val="22"/>
          <w:szCs w:val="22"/>
        </w:rPr>
        <w:t>See item 3 above</w:t>
      </w:r>
      <w:r w:rsidRPr="00A73083" w:rsidR="00E115FD">
        <w:rPr>
          <w:rFonts w:ascii="Arial" w:hAnsi="Arial" w:cs="Arial"/>
          <w:sz w:val="22"/>
          <w:szCs w:val="22"/>
        </w:rPr>
        <w:t>.</w:t>
      </w:r>
      <w:r w:rsidRPr="00A73083" w:rsidR="00BA1A21">
        <w:rPr>
          <w:rFonts w:ascii="Arial" w:hAnsi="Arial" w:cs="Arial"/>
          <w:sz w:val="22"/>
          <w:szCs w:val="22"/>
        </w:rPr>
        <w:t xml:space="preserve"> </w:t>
      </w:r>
    </w:p>
    <w:p w:rsidRPr="00A02040" w:rsidR="00E115FD" w:rsidP="00D73D2D" w:rsidRDefault="00E115FD" w14:paraId="6B6D31FD" w14:textId="77777777">
      <w:pPr>
        <w:rPr>
          <w:rFonts w:ascii="Arial" w:hAnsi="Arial" w:cs="Arial"/>
          <w:sz w:val="28"/>
          <w:szCs w:val="28"/>
        </w:rPr>
      </w:pPr>
    </w:p>
    <w:p w:rsidRPr="00A02040" w:rsidR="00FB5BE5" w:rsidP="00D73D2D" w:rsidRDefault="00FB5BE5" w14:paraId="5630D62C" w14:textId="77777777">
      <w:pPr>
        <w:rPr>
          <w:rFonts w:ascii="Arial" w:hAnsi="Arial" w:cs="Arial"/>
          <w:sz w:val="28"/>
          <w:szCs w:val="28"/>
        </w:rPr>
      </w:pPr>
    </w:p>
    <w:p w:rsidRPr="00A73083" w:rsidR="00BD3333" w:rsidP="00D73D2D" w:rsidRDefault="00BD3333" w14:paraId="57239D09" w14:textId="26C7DC22">
      <w:pPr>
        <w:rPr>
          <w:rFonts w:ascii="Arial" w:hAnsi="Arial" w:cs="Arial"/>
          <w:b/>
          <w:bCs/>
          <w:sz w:val="22"/>
          <w:szCs w:val="22"/>
        </w:rPr>
      </w:pPr>
      <w:r w:rsidRPr="00A73083">
        <w:rPr>
          <w:rFonts w:ascii="Arial" w:hAnsi="Arial" w:cs="Arial"/>
          <w:b/>
          <w:bCs/>
          <w:sz w:val="22"/>
          <w:szCs w:val="22"/>
        </w:rPr>
        <w:t xml:space="preserve">B. </w:t>
      </w:r>
      <w:r w:rsidRPr="00A73083" w:rsidR="00BA1A21">
        <w:rPr>
          <w:rFonts w:ascii="Arial" w:hAnsi="Arial" w:cs="Arial"/>
          <w:b/>
          <w:bCs/>
          <w:sz w:val="22"/>
          <w:szCs w:val="22"/>
        </w:rPr>
        <w:t xml:space="preserve"> </w:t>
      </w:r>
      <w:r w:rsidRPr="00A73083">
        <w:rPr>
          <w:rFonts w:ascii="Arial" w:hAnsi="Arial" w:cs="Arial"/>
          <w:b/>
          <w:bCs/>
          <w:sz w:val="22"/>
          <w:szCs w:val="22"/>
          <w:u w:val="single"/>
        </w:rPr>
        <w:t>Collections of Information Employing Statistical Methods</w:t>
      </w:r>
      <w:r w:rsidRPr="00A73083">
        <w:rPr>
          <w:rFonts w:ascii="Arial" w:hAnsi="Arial" w:cs="Arial"/>
          <w:b/>
          <w:bCs/>
          <w:sz w:val="22"/>
          <w:szCs w:val="22"/>
        </w:rPr>
        <w:t>.</w:t>
      </w:r>
      <w:r w:rsidR="00A02040">
        <w:rPr>
          <w:rFonts w:ascii="Arial" w:hAnsi="Arial" w:cs="Arial"/>
          <w:b/>
          <w:bCs/>
          <w:sz w:val="22"/>
          <w:szCs w:val="22"/>
        </w:rPr>
        <w:t xml:space="preserve"> </w:t>
      </w:r>
    </w:p>
    <w:p w:rsidRPr="00A73083" w:rsidR="00BD3333" w:rsidP="00D73D2D" w:rsidRDefault="00BD3333" w14:paraId="0C4C524A" w14:textId="77777777">
      <w:pPr>
        <w:pStyle w:val="Header"/>
        <w:tabs>
          <w:tab w:val="clear" w:pos="4320"/>
          <w:tab w:val="clear" w:pos="8640"/>
        </w:tabs>
        <w:rPr>
          <w:rFonts w:ascii="Arial" w:hAnsi="Arial" w:cs="Arial"/>
          <w:sz w:val="22"/>
          <w:szCs w:val="22"/>
        </w:rPr>
      </w:pPr>
    </w:p>
    <w:p w:rsidRPr="00A73083" w:rsidR="00BA1A21" w:rsidP="00D73D2D" w:rsidRDefault="00A926FE" w14:paraId="4DF1042A" w14:textId="20BB55BE">
      <w:pPr>
        <w:suppressAutoHyphens/>
        <w:rPr>
          <w:rFonts w:ascii="Arial" w:hAnsi="Arial" w:cs="Arial"/>
          <w:sz w:val="22"/>
          <w:szCs w:val="22"/>
        </w:rPr>
      </w:pPr>
      <w:r>
        <w:rPr>
          <w:rFonts w:ascii="Arial" w:hAnsi="Arial" w:cs="Arial"/>
          <w:sz w:val="22"/>
          <w:szCs w:val="22"/>
        </w:rPr>
        <w:t>T</w:t>
      </w:r>
      <w:r w:rsidRPr="00A73083" w:rsidR="00BD3333">
        <w:rPr>
          <w:rFonts w:ascii="Arial" w:hAnsi="Arial" w:cs="Arial"/>
          <w:sz w:val="22"/>
          <w:szCs w:val="22"/>
        </w:rPr>
        <w:t xml:space="preserve">his </w:t>
      </w:r>
      <w:r w:rsidRPr="00A73083" w:rsidR="00B77AB9">
        <w:rPr>
          <w:rFonts w:ascii="Arial" w:hAnsi="Arial" w:cs="Arial"/>
          <w:sz w:val="22"/>
          <w:szCs w:val="22"/>
        </w:rPr>
        <w:t xml:space="preserve">information </w:t>
      </w:r>
      <w:r w:rsidRPr="00A73083" w:rsidR="00BD3333">
        <w:rPr>
          <w:rFonts w:ascii="Arial" w:hAnsi="Arial" w:cs="Arial"/>
          <w:sz w:val="22"/>
          <w:szCs w:val="22"/>
        </w:rPr>
        <w:t>collection does not employ statistical methods.</w:t>
      </w:r>
      <w:r w:rsidRPr="00A73083" w:rsidR="00BA1A21">
        <w:rPr>
          <w:rFonts w:ascii="Arial" w:hAnsi="Arial" w:cs="Arial"/>
          <w:sz w:val="22"/>
          <w:szCs w:val="22"/>
        </w:rPr>
        <w:t xml:space="preserve"> </w:t>
      </w:r>
    </w:p>
    <w:p w:rsidRPr="00A73083" w:rsidR="009A60DE" w:rsidP="00D73D2D" w:rsidRDefault="009A60DE" w14:paraId="08D91CAC" w14:textId="77777777">
      <w:pPr>
        <w:suppressAutoHyphens/>
        <w:rPr>
          <w:rFonts w:ascii="Arial" w:hAnsi="Arial" w:cs="Arial"/>
          <w:sz w:val="22"/>
          <w:szCs w:val="22"/>
        </w:rPr>
      </w:pPr>
    </w:p>
    <w:sectPr w:rsidRPr="00A73083" w:rsidR="009A60DE"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ABAD4" w14:textId="77777777" w:rsidR="0039034A" w:rsidRDefault="0039034A">
      <w:r>
        <w:separator/>
      </w:r>
    </w:p>
  </w:endnote>
  <w:endnote w:type="continuationSeparator" w:id="0">
    <w:p w14:paraId="224620CC" w14:textId="77777777" w:rsidR="0039034A" w:rsidRDefault="0039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13F04" w14:textId="77777777" w:rsidR="005055C8" w:rsidRDefault="00505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9B114" w14:textId="495AF226" w:rsidR="0039034A" w:rsidRPr="007A5D4B" w:rsidRDefault="0039034A" w:rsidP="009A60DE">
    <w:pPr>
      <w:pStyle w:val="Footer"/>
      <w:tabs>
        <w:tab w:val="clear" w:pos="4320"/>
        <w:tab w:val="clear" w:pos="8640"/>
        <w:tab w:val="right" w:pos="9360"/>
      </w:tabs>
      <w:spacing w:before="240"/>
      <w:rPr>
        <w:rFonts w:ascii="Arial" w:hAnsi="Arial" w:cs="Arial"/>
        <w:sz w:val="20"/>
        <w:szCs w:val="20"/>
      </w:rPr>
    </w:pPr>
    <w:r>
      <w:rPr>
        <w:rFonts w:ascii="Arial" w:hAnsi="Arial" w:cs="Arial"/>
        <w:sz w:val="20"/>
        <w:szCs w:val="20"/>
      </w:rPr>
      <w:tab/>
    </w:r>
    <w:r w:rsidR="007B1A41">
      <w:rPr>
        <w:rFonts w:ascii="Arial" w:hAnsi="Arial" w:cs="Arial"/>
        <w:sz w:val="20"/>
        <w:szCs w:val="20"/>
      </w:rPr>
      <w:t xml:space="preserve">OMB No. 1513–0037 Supporting Statement (11–2020)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A6667" w14:textId="088F8C1A" w:rsidR="0039034A" w:rsidRPr="007A5D4B" w:rsidRDefault="0039034A" w:rsidP="009A60DE">
    <w:pPr>
      <w:pStyle w:val="Footer"/>
      <w:tabs>
        <w:tab w:val="clear" w:pos="4320"/>
        <w:tab w:val="clear" w:pos="8640"/>
        <w:tab w:val="right" w:pos="9360"/>
      </w:tabs>
      <w:spacing w:before="240"/>
      <w:rPr>
        <w:rFonts w:ascii="Arial" w:hAnsi="Arial" w:cs="Arial"/>
        <w:sz w:val="20"/>
        <w:szCs w:val="20"/>
      </w:rPr>
    </w:pPr>
    <w:r>
      <w:rPr>
        <w:rFonts w:ascii="Arial" w:hAnsi="Arial" w:cs="Arial"/>
        <w:sz w:val="20"/>
        <w:szCs w:val="20"/>
      </w:rPr>
      <w:tab/>
    </w:r>
    <w:r w:rsidR="007B1A41">
      <w:rPr>
        <w:rFonts w:ascii="Arial" w:hAnsi="Arial" w:cs="Arial"/>
        <w:sz w:val="20"/>
        <w:szCs w:val="20"/>
      </w:rPr>
      <w:t xml:space="preserve">OMB No. </w:t>
    </w:r>
    <w:r>
      <w:rPr>
        <w:rFonts w:ascii="Arial" w:hAnsi="Arial" w:cs="Arial"/>
        <w:sz w:val="20"/>
        <w:szCs w:val="20"/>
      </w:rPr>
      <w:t>1513–0037 Supporting Statement (</w:t>
    </w:r>
    <w:r w:rsidR="00CF4BCB">
      <w:rPr>
        <w:rFonts w:ascii="Arial" w:hAnsi="Arial" w:cs="Arial"/>
        <w:sz w:val="20"/>
        <w:szCs w:val="20"/>
      </w:rPr>
      <w:t>11</w:t>
    </w:r>
    <w:r>
      <w:rPr>
        <w:rFonts w:ascii="Arial" w:hAnsi="Arial" w:cs="Arial"/>
        <w:sz w:val="20"/>
        <w:szCs w:val="20"/>
      </w:rPr>
      <w:t>–20</w:t>
    </w:r>
    <w:r w:rsidR="00CF4BCB">
      <w:rPr>
        <w:rFonts w:ascii="Arial" w:hAnsi="Arial" w:cs="Arial"/>
        <w:sz w:val="20"/>
        <w:szCs w:val="20"/>
      </w:rPr>
      <w:t>20</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75CFF" w14:textId="77777777" w:rsidR="0039034A" w:rsidRDefault="0039034A">
      <w:r>
        <w:separator/>
      </w:r>
    </w:p>
  </w:footnote>
  <w:footnote w:type="continuationSeparator" w:id="0">
    <w:p w14:paraId="3200D10B" w14:textId="77777777" w:rsidR="0039034A" w:rsidRDefault="0039034A">
      <w:r>
        <w:continuationSeparator/>
      </w:r>
    </w:p>
  </w:footnote>
  <w:footnote w:id="1">
    <w:p w14:paraId="69BBE99D" w14:textId="5DE71F17" w:rsidR="00A50027" w:rsidRPr="00E5284D" w:rsidRDefault="00A50027" w:rsidP="00A50027">
      <w:pPr>
        <w:pStyle w:val="FootnoteText"/>
        <w:rPr>
          <w:rFonts w:ascii="Arial" w:hAnsi="Arial" w:cs="Arial"/>
          <w:sz w:val="17"/>
          <w:szCs w:val="17"/>
        </w:rPr>
      </w:pPr>
      <w:r w:rsidRPr="0064516B">
        <w:rPr>
          <w:rStyle w:val="FootnoteReference"/>
          <w:rFonts w:ascii="Arial" w:hAnsi="Arial" w:cs="Arial"/>
          <w:sz w:val="22"/>
          <w:szCs w:val="22"/>
        </w:rPr>
        <w:footnoteRef/>
      </w:r>
      <w:r w:rsidRPr="0064516B">
        <w:rPr>
          <w:rFonts w:ascii="Arial" w:hAnsi="Arial" w:cs="Arial"/>
          <w:sz w:val="22"/>
          <w:szCs w:val="22"/>
        </w:rPr>
        <w:t xml:space="preserve"> </w:t>
      </w:r>
      <w:r w:rsidRPr="00E35974">
        <w:rPr>
          <w:rFonts w:ascii="Arial" w:hAnsi="Arial" w:cs="Arial"/>
          <w:sz w:val="18"/>
          <w:szCs w:val="18"/>
        </w:rPr>
        <w:t>The IRC at 26 U.S.C. 5053(a) allows beer to be withdrawn without payment of tax for export in a similar manner as distilled spirits and wines.  Under 27 CFR 28.142, such withdraws of beer are reported on form TTB F 5130.12, which is approved under OMB Control No. 1513–0114.</w:t>
      </w:r>
      <w:r w:rsidRPr="00E5284D">
        <w:rPr>
          <w:rFonts w:ascii="Arial" w:hAnsi="Arial" w:cs="Arial"/>
          <w:sz w:val="17"/>
          <w:szCs w:val="17"/>
        </w:rPr>
        <w:t xml:space="preserve"> </w:t>
      </w:r>
    </w:p>
  </w:footnote>
  <w:footnote w:id="2">
    <w:p w14:paraId="7E021B66" w14:textId="77777777" w:rsidR="000B164C" w:rsidRPr="000B164C" w:rsidRDefault="000B164C" w:rsidP="000B164C">
      <w:pPr>
        <w:pStyle w:val="FootnoteText"/>
        <w:rPr>
          <w:rFonts w:ascii="Arial" w:hAnsi="Arial" w:cs="Arial"/>
          <w:sz w:val="18"/>
          <w:szCs w:val="18"/>
        </w:rPr>
      </w:pPr>
      <w:r w:rsidRPr="000B164C">
        <w:rPr>
          <w:rStyle w:val="FootnoteReference"/>
          <w:rFonts w:ascii="Arial" w:hAnsi="Arial" w:cs="Arial"/>
          <w:sz w:val="22"/>
          <w:szCs w:val="22"/>
        </w:rPr>
        <w:footnoteRef/>
      </w:r>
      <w:r w:rsidRPr="000B164C">
        <w:rPr>
          <w:rFonts w:ascii="Arial" w:hAnsi="Arial" w:cs="Arial"/>
          <w:sz w:val="22"/>
          <w:szCs w:val="22"/>
        </w:rPr>
        <w:t xml:space="preserve"> </w:t>
      </w:r>
      <w:r w:rsidRPr="00E35974">
        <w:rPr>
          <w:rFonts w:ascii="Arial" w:hAnsi="Arial" w:cs="Arial"/>
          <w:sz w:val="18"/>
          <w:szCs w:val="18"/>
        </w:rPr>
        <w:t>In general, the IRC at 26 U.S.C. 5175 and 5362(c) requires distilled spirits and wine premises proprietors and exporters to provide a bond to protect the revenue.  However, under 26 U.S.C. 5551(d), certain small entities are exempt from the bond requirement.</w:t>
      </w:r>
      <w:r w:rsidRPr="000B164C">
        <w:rPr>
          <w:rFonts w:ascii="Arial" w:hAnsi="Arial" w:cs="Arial"/>
          <w:sz w:val="18"/>
          <w:szCs w:val="18"/>
        </w:rPr>
        <w:t xml:space="preserve"> </w:t>
      </w:r>
    </w:p>
  </w:footnote>
  <w:footnote w:id="3">
    <w:p w14:paraId="34250D7A" w14:textId="02556DA6" w:rsidR="00576CD5" w:rsidRPr="00E5284D" w:rsidRDefault="00576CD5" w:rsidP="00E5284D">
      <w:pPr>
        <w:suppressAutoHyphens/>
        <w:rPr>
          <w:rFonts w:ascii="Arial" w:hAnsi="Arial" w:cs="Arial"/>
          <w:sz w:val="17"/>
          <w:szCs w:val="17"/>
        </w:rPr>
      </w:pPr>
      <w:r w:rsidRPr="00FA51DA">
        <w:rPr>
          <w:rStyle w:val="FootnoteReference"/>
          <w:rFonts w:ascii="Arial" w:hAnsi="Arial" w:cs="Arial"/>
          <w:sz w:val="22"/>
          <w:szCs w:val="22"/>
        </w:rPr>
        <w:footnoteRef/>
      </w:r>
      <w:r w:rsidRPr="00E5284D">
        <w:rPr>
          <w:rFonts w:ascii="Arial" w:hAnsi="Arial" w:cs="Arial"/>
          <w:sz w:val="17"/>
          <w:szCs w:val="17"/>
        </w:rPr>
        <w:t xml:space="preserve"> </w:t>
      </w:r>
      <w:r w:rsidR="00E35974" w:rsidRPr="00E35974">
        <w:rPr>
          <w:rFonts w:ascii="Arial" w:hAnsi="Arial" w:cs="Arial"/>
          <w:sz w:val="18"/>
          <w:szCs w:val="18"/>
        </w:rPr>
        <w:t xml:space="preserve">Private Sector Fully-loaded Labor Rate = Hourly wage rate x a factor of 1.44 to account for benefit costs.  Per the most recent U.S. Department of Labor, Bureau of Labor Statistics (BLS), data for National Industry-Specific Occupational Employment and Wage Estimates for NAICS 312000—Beverage and Tobacco Product Manufacturing, the average fully-loaded labor rate per hour for Office and Administrative Support Occupations is $29.65 ($20.59 in wages plus $9.06 in benefit costs).  See the BLS website at </w:t>
      </w:r>
      <w:r w:rsidR="00E35974" w:rsidRPr="00E35974">
        <w:rPr>
          <w:rFonts w:ascii="Arial" w:hAnsi="Arial" w:cs="Arial"/>
          <w:i/>
          <w:sz w:val="18"/>
          <w:szCs w:val="18"/>
        </w:rPr>
        <w:t>https://www.bls.gov/oes/current/naics3_312000.htm</w:t>
      </w:r>
      <w:r w:rsidR="00E35974" w:rsidRPr="00E35974">
        <w:rPr>
          <w:rFonts w:ascii="Arial" w:hAnsi="Arial" w:cs="Arial"/>
          <w:sz w:val="18"/>
          <w:szCs w:val="18"/>
        </w:rPr>
        <w:t>.</w:t>
      </w:r>
      <w:r w:rsidR="00E35974" w:rsidRPr="00E35974">
        <w:rPr>
          <w:rFonts w:ascii="Arial" w:hAnsi="Arial" w:cs="Arial"/>
          <w:sz w:val="17"/>
          <w:szCs w:val="17"/>
        </w:rPr>
        <w:t xml:space="preserve"> </w:t>
      </w:r>
    </w:p>
  </w:footnote>
  <w:footnote w:id="4">
    <w:p w14:paraId="782059D7" w14:textId="63030C01" w:rsidR="007A37F2" w:rsidRPr="00E5284D" w:rsidRDefault="007A37F2" w:rsidP="00E5284D">
      <w:pPr>
        <w:suppressAutoHyphens/>
        <w:rPr>
          <w:rFonts w:ascii="Arial" w:hAnsi="Arial" w:cs="Arial"/>
          <w:sz w:val="17"/>
          <w:szCs w:val="17"/>
        </w:rPr>
      </w:pPr>
      <w:r w:rsidRPr="009E0169">
        <w:rPr>
          <w:rStyle w:val="FootnoteReference"/>
          <w:rFonts w:ascii="Arial" w:hAnsi="Arial" w:cs="Arial"/>
          <w:sz w:val="22"/>
          <w:szCs w:val="22"/>
        </w:rPr>
        <w:footnoteRef/>
      </w:r>
      <w:r w:rsidRPr="00E5284D">
        <w:rPr>
          <w:rFonts w:ascii="Arial" w:hAnsi="Arial" w:cs="Arial"/>
          <w:sz w:val="17"/>
          <w:szCs w:val="17"/>
        </w:rPr>
        <w:t xml:space="preserve"> </w:t>
      </w:r>
      <w:r w:rsidR="00E35974" w:rsidRPr="00E35974">
        <w:rPr>
          <w:rFonts w:ascii="Arial" w:hAnsi="Arial" w:cs="Arial"/>
          <w:sz w:val="18"/>
          <w:szCs w:val="18"/>
        </w:rPr>
        <w:t>Federal Government Fully-loaded Labor Rate = Hourly wage rate x a factor of 1.63 to account for benefit costs.  Per the most recent Office of Personnel Management (OPM) wage data, the fully-loaded labor rates for the Cincinnati, Ohio, wage area are:  (1) GS–5, step 5, employee = $32.13 ($19.71 in wages plus $12.42 in benefit costs); and (2) GS–11, step 5, employee = $58.91 ($36.14 in wages plus $</w:t>
      </w:r>
      <w:r w:rsidR="00877B1B">
        <w:rPr>
          <w:rFonts w:ascii="Arial" w:hAnsi="Arial" w:cs="Arial"/>
          <w:sz w:val="18"/>
          <w:szCs w:val="18"/>
        </w:rPr>
        <w:t>22</w:t>
      </w:r>
      <w:r w:rsidR="00E35974" w:rsidRPr="00E35974">
        <w:rPr>
          <w:rFonts w:ascii="Arial" w:hAnsi="Arial" w:cs="Arial"/>
          <w:sz w:val="18"/>
          <w:szCs w:val="18"/>
        </w:rPr>
        <w:t xml:space="preserve">.77 in benefit costs).  See the OPM website at </w:t>
      </w:r>
      <w:r w:rsidR="00E35974" w:rsidRPr="00E35974">
        <w:rPr>
          <w:rFonts w:ascii="Arial" w:hAnsi="Arial" w:cs="Arial"/>
          <w:i/>
          <w:sz w:val="18"/>
          <w:szCs w:val="18"/>
        </w:rPr>
        <w:t>https://www.opm.gov/policy-data-oversight/pay-leave/salaries-wages/salary-tables/pdf/2020/ CIN_h.pdf</w:t>
      </w:r>
      <w:r w:rsidR="00E35974" w:rsidRPr="00E35974">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2AACD" w14:textId="77777777" w:rsidR="005055C8" w:rsidRDefault="00505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276F4" w14:textId="549FB1A8" w:rsidR="0039034A" w:rsidRPr="007A5D4B" w:rsidRDefault="0039034A"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6F0494">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11E8D" w14:textId="77777777" w:rsidR="0039034A" w:rsidRPr="007A5D4B" w:rsidRDefault="0039034A"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276"/>
    <w:rsid w:val="00014CEB"/>
    <w:rsid w:val="0001558D"/>
    <w:rsid w:val="0002704F"/>
    <w:rsid w:val="0003032C"/>
    <w:rsid w:val="000329F4"/>
    <w:rsid w:val="0003650C"/>
    <w:rsid w:val="00036B08"/>
    <w:rsid w:val="0004708F"/>
    <w:rsid w:val="000473AC"/>
    <w:rsid w:val="0004764C"/>
    <w:rsid w:val="000562C4"/>
    <w:rsid w:val="00074898"/>
    <w:rsid w:val="00084620"/>
    <w:rsid w:val="00095F53"/>
    <w:rsid w:val="000A24A2"/>
    <w:rsid w:val="000A2E33"/>
    <w:rsid w:val="000A4E1A"/>
    <w:rsid w:val="000A633C"/>
    <w:rsid w:val="000B164C"/>
    <w:rsid w:val="000B3E08"/>
    <w:rsid w:val="000C151B"/>
    <w:rsid w:val="000D6313"/>
    <w:rsid w:val="000F2821"/>
    <w:rsid w:val="00101DE7"/>
    <w:rsid w:val="00107E72"/>
    <w:rsid w:val="00154678"/>
    <w:rsid w:val="001608E4"/>
    <w:rsid w:val="001E0FA5"/>
    <w:rsid w:val="001E7BDE"/>
    <w:rsid w:val="001F2913"/>
    <w:rsid w:val="001F5B5D"/>
    <w:rsid w:val="0022156B"/>
    <w:rsid w:val="00250066"/>
    <w:rsid w:val="00267B2D"/>
    <w:rsid w:val="00270A19"/>
    <w:rsid w:val="00273CEE"/>
    <w:rsid w:val="00276081"/>
    <w:rsid w:val="00280ECD"/>
    <w:rsid w:val="00287976"/>
    <w:rsid w:val="00292BAD"/>
    <w:rsid w:val="0029577D"/>
    <w:rsid w:val="00296F40"/>
    <w:rsid w:val="002A555B"/>
    <w:rsid w:val="002A5D83"/>
    <w:rsid w:val="002B47FB"/>
    <w:rsid w:val="002D0B21"/>
    <w:rsid w:val="002D1324"/>
    <w:rsid w:val="002D463F"/>
    <w:rsid w:val="002E6145"/>
    <w:rsid w:val="002F1F16"/>
    <w:rsid w:val="003244EB"/>
    <w:rsid w:val="00325321"/>
    <w:rsid w:val="003301DA"/>
    <w:rsid w:val="0033260C"/>
    <w:rsid w:val="00362B4F"/>
    <w:rsid w:val="00374361"/>
    <w:rsid w:val="00381FFC"/>
    <w:rsid w:val="0038747C"/>
    <w:rsid w:val="0039034A"/>
    <w:rsid w:val="003B011E"/>
    <w:rsid w:val="003C1674"/>
    <w:rsid w:val="003C1FD2"/>
    <w:rsid w:val="003E21EA"/>
    <w:rsid w:val="00400532"/>
    <w:rsid w:val="004046C0"/>
    <w:rsid w:val="004340F7"/>
    <w:rsid w:val="0044522E"/>
    <w:rsid w:val="00447B6B"/>
    <w:rsid w:val="00453A67"/>
    <w:rsid w:val="004569E0"/>
    <w:rsid w:val="004A3DE5"/>
    <w:rsid w:val="004B407C"/>
    <w:rsid w:val="004D086A"/>
    <w:rsid w:val="004D1808"/>
    <w:rsid w:val="004D3468"/>
    <w:rsid w:val="004D4299"/>
    <w:rsid w:val="004D66FF"/>
    <w:rsid w:val="004E2C89"/>
    <w:rsid w:val="004E701D"/>
    <w:rsid w:val="004F0E58"/>
    <w:rsid w:val="004F62C7"/>
    <w:rsid w:val="0050368E"/>
    <w:rsid w:val="005055C8"/>
    <w:rsid w:val="0052077E"/>
    <w:rsid w:val="005278E4"/>
    <w:rsid w:val="00536D29"/>
    <w:rsid w:val="005432C1"/>
    <w:rsid w:val="005568F5"/>
    <w:rsid w:val="00560EB5"/>
    <w:rsid w:val="00576CD5"/>
    <w:rsid w:val="005872F0"/>
    <w:rsid w:val="005A6AF2"/>
    <w:rsid w:val="005C282B"/>
    <w:rsid w:val="005E4F99"/>
    <w:rsid w:val="005E4F9B"/>
    <w:rsid w:val="006244FF"/>
    <w:rsid w:val="00627C95"/>
    <w:rsid w:val="00631780"/>
    <w:rsid w:val="0064516B"/>
    <w:rsid w:val="00663972"/>
    <w:rsid w:val="006665B1"/>
    <w:rsid w:val="00673C82"/>
    <w:rsid w:val="00684856"/>
    <w:rsid w:val="0069718A"/>
    <w:rsid w:val="006A2DB9"/>
    <w:rsid w:val="006A35C6"/>
    <w:rsid w:val="006B0788"/>
    <w:rsid w:val="006F0494"/>
    <w:rsid w:val="006F2142"/>
    <w:rsid w:val="00721C76"/>
    <w:rsid w:val="00725B57"/>
    <w:rsid w:val="00726D80"/>
    <w:rsid w:val="00726DD7"/>
    <w:rsid w:val="00734B25"/>
    <w:rsid w:val="00736886"/>
    <w:rsid w:val="00736DD6"/>
    <w:rsid w:val="00741DC9"/>
    <w:rsid w:val="00754C15"/>
    <w:rsid w:val="00770641"/>
    <w:rsid w:val="00784368"/>
    <w:rsid w:val="007A1F89"/>
    <w:rsid w:val="007A37F2"/>
    <w:rsid w:val="007A5D4B"/>
    <w:rsid w:val="007B1A41"/>
    <w:rsid w:val="007B4E08"/>
    <w:rsid w:val="007B5592"/>
    <w:rsid w:val="007D3E36"/>
    <w:rsid w:val="007D5727"/>
    <w:rsid w:val="007E1705"/>
    <w:rsid w:val="007E2467"/>
    <w:rsid w:val="007E57D5"/>
    <w:rsid w:val="007F3179"/>
    <w:rsid w:val="007F40E3"/>
    <w:rsid w:val="007F61A9"/>
    <w:rsid w:val="00804B0C"/>
    <w:rsid w:val="00811A04"/>
    <w:rsid w:val="00812FFC"/>
    <w:rsid w:val="00827956"/>
    <w:rsid w:val="008449C4"/>
    <w:rsid w:val="0084640C"/>
    <w:rsid w:val="0085302D"/>
    <w:rsid w:val="008603B9"/>
    <w:rsid w:val="00877B1B"/>
    <w:rsid w:val="00895757"/>
    <w:rsid w:val="008B146B"/>
    <w:rsid w:val="008B1495"/>
    <w:rsid w:val="008C399F"/>
    <w:rsid w:val="00914AEC"/>
    <w:rsid w:val="0092091A"/>
    <w:rsid w:val="00943AF3"/>
    <w:rsid w:val="00952C0E"/>
    <w:rsid w:val="00953F33"/>
    <w:rsid w:val="0096457D"/>
    <w:rsid w:val="00965E7F"/>
    <w:rsid w:val="009941BA"/>
    <w:rsid w:val="009A1CD5"/>
    <w:rsid w:val="009A60DE"/>
    <w:rsid w:val="009A6532"/>
    <w:rsid w:val="009B5709"/>
    <w:rsid w:val="009C1610"/>
    <w:rsid w:val="009E0169"/>
    <w:rsid w:val="009E4E4C"/>
    <w:rsid w:val="00A0147C"/>
    <w:rsid w:val="00A02040"/>
    <w:rsid w:val="00A12648"/>
    <w:rsid w:val="00A17E04"/>
    <w:rsid w:val="00A201BF"/>
    <w:rsid w:val="00A50027"/>
    <w:rsid w:val="00A73083"/>
    <w:rsid w:val="00A812F7"/>
    <w:rsid w:val="00A82851"/>
    <w:rsid w:val="00A877DA"/>
    <w:rsid w:val="00A9218E"/>
    <w:rsid w:val="00A926FE"/>
    <w:rsid w:val="00A969B1"/>
    <w:rsid w:val="00AA3F8F"/>
    <w:rsid w:val="00AA6881"/>
    <w:rsid w:val="00AC2838"/>
    <w:rsid w:val="00AC686F"/>
    <w:rsid w:val="00AF060A"/>
    <w:rsid w:val="00AF1157"/>
    <w:rsid w:val="00B06EE5"/>
    <w:rsid w:val="00B1047F"/>
    <w:rsid w:val="00B23FF6"/>
    <w:rsid w:val="00B31E02"/>
    <w:rsid w:val="00B32A60"/>
    <w:rsid w:val="00B5011A"/>
    <w:rsid w:val="00B60CE4"/>
    <w:rsid w:val="00B71815"/>
    <w:rsid w:val="00B72AC4"/>
    <w:rsid w:val="00B77AB9"/>
    <w:rsid w:val="00B8588D"/>
    <w:rsid w:val="00B95061"/>
    <w:rsid w:val="00B95758"/>
    <w:rsid w:val="00BA1A21"/>
    <w:rsid w:val="00BB232B"/>
    <w:rsid w:val="00BB67E5"/>
    <w:rsid w:val="00BC1D1F"/>
    <w:rsid w:val="00BD03C8"/>
    <w:rsid w:val="00BD0D39"/>
    <w:rsid w:val="00BD3333"/>
    <w:rsid w:val="00BE0A61"/>
    <w:rsid w:val="00BE3C19"/>
    <w:rsid w:val="00C02260"/>
    <w:rsid w:val="00C1362D"/>
    <w:rsid w:val="00C16083"/>
    <w:rsid w:val="00C265E5"/>
    <w:rsid w:val="00C271EA"/>
    <w:rsid w:val="00C3741F"/>
    <w:rsid w:val="00C47946"/>
    <w:rsid w:val="00C54B8F"/>
    <w:rsid w:val="00C70D17"/>
    <w:rsid w:val="00C71838"/>
    <w:rsid w:val="00C86314"/>
    <w:rsid w:val="00CA07BF"/>
    <w:rsid w:val="00CA09FB"/>
    <w:rsid w:val="00CA4B17"/>
    <w:rsid w:val="00CA7E3C"/>
    <w:rsid w:val="00CC2DE7"/>
    <w:rsid w:val="00CD21EC"/>
    <w:rsid w:val="00CE6FA1"/>
    <w:rsid w:val="00CF1C87"/>
    <w:rsid w:val="00CF4BCB"/>
    <w:rsid w:val="00D004D6"/>
    <w:rsid w:val="00D01AA2"/>
    <w:rsid w:val="00D03A61"/>
    <w:rsid w:val="00D059BB"/>
    <w:rsid w:val="00D3221A"/>
    <w:rsid w:val="00D336F7"/>
    <w:rsid w:val="00D414AB"/>
    <w:rsid w:val="00D50640"/>
    <w:rsid w:val="00D56B01"/>
    <w:rsid w:val="00D6325C"/>
    <w:rsid w:val="00D656EA"/>
    <w:rsid w:val="00D73D2D"/>
    <w:rsid w:val="00D742EE"/>
    <w:rsid w:val="00D74D87"/>
    <w:rsid w:val="00D76DF0"/>
    <w:rsid w:val="00DA29D8"/>
    <w:rsid w:val="00DE3051"/>
    <w:rsid w:val="00DF5775"/>
    <w:rsid w:val="00DF5F98"/>
    <w:rsid w:val="00E07D0C"/>
    <w:rsid w:val="00E115FD"/>
    <w:rsid w:val="00E141DA"/>
    <w:rsid w:val="00E323CD"/>
    <w:rsid w:val="00E35974"/>
    <w:rsid w:val="00E35D0B"/>
    <w:rsid w:val="00E414F9"/>
    <w:rsid w:val="00E41ED9"/>
    <w:rsid w:val="00E45CBA"/>
    <w:rsid w:val="00E51AD7"/>
    <w:rsid w:val="00E5284D"/>
    <w:rsid w:val="00E52F4D"/>
    <w:rsid w:val="00E56E11"/>
    <w:rsid w:val="00E8037C"/>
    <w:rsid w:val="00E86B1B"/>
    <w:rsid w:val="00E92B8E"/>
    <w:rsid w:val="00EB1406"/>
    <w:rsid w:val="00EB50DD"/>
    <w:rsid w:val="00EB7714"/>
    <w:rsid w:val="00EC4FC3"/>
    <w:rsid w:val="00ED4A03"/>
    <w:rsid w:val="00ED7233"/>
    <w:rsid w:val="00EE4237"/>
    <w:rsid w:val="00EF1003"/>
    <w:rsid w:val="00F03208"/>
    <w:rsid w:val="00F058FA"/>
    <w:rsid w:val="00F11F74"/>
    <w:rsid w:val="00F20D52"/>
    <w:rsid w:val="00F33956"/>
    <w:rsid w:val="00F45A1B"/>
    <w:rsid w:val="00F618E0"/>
    <w:rsid w:val="00F67129"/>
    <w:rsid w:val="00F819B6"/>
    <w:rsid w:val="00F830A5"/>
    <w:rsid w:val="00F95A6D"/>
    <w:rsid w:val="00FA228E"/>
    <w:rsid w:val="00FA51DA"/>
    <w:rsid w:val="00FB5BE5"/>
    <w:rsid w:val="00FD18EE"/>
    <w:rsid w:val="00FE29D6"/>
    <w:rsid w:val="00FE3DF1"/>
    <w:rsid w:val="00FF0C74"/>
    <w:rsid w:val="00FF5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6AC1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FootnoteText">
    <w:name w:val="footnote text"/>
    <w:basedOn w:val="Normal"/>
    <w:link w:val="FootnoteTextChar"/>
    <w:rsid w:val="007B5592"/>
    <w:rPr>
      <w:sz w:val="20"/>
      <w:szCs w:val="20"/>
    </w:rPr>
  </w:style>
  <w:style w:type="character" w:customStyle="1" w:styleId="FootnoteTextChar">
    <w:name w:val="Footnote Text Char"/>
    <w:basedOn w:val="DefaultParagraphFont"/>
    <w:link w:val="FootnoteText"/>
    <w:rsid w:val="007B5592"/>
  </w:style>
  <w:style w:type="character" w:styleId="FootnoteReference">
    <w:name w:val="footnote reference"/>
    <w:basedOn w:val="DefaultParagraphFont"/>
    <w:uiPriority w:val="99"/>
    <w:rsid w:val="007B5592"/>
    <w:rPr>
      <w:vertAlign w:val="superscript"/>
    </w:rPr>
  </w:style>
  <w:style w:type="table" w:customStyle="1" w:styleId="TableGrid1">
    <w:name w:val="Table Grid1"/>
    <w:basedOn w:val="TableNormal"/>
    <w:next w:val="TableGrid"/>
    <w:uiPriority w:val="39"/>
    <w:rsid w:val="00E07D0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A37F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A83EA-1CFB-461E-B917-E6F7D0968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2349</Words>
  <Characters>13033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15352</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2020-10-15T22:06:00Z</dcterms:created>
  <dcterms:modified xsi:type="dcterms:W3CDTF">2020-11-09T21:56:00Z</dcterms:modified>
</cp:coreProperties>
</file>