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6810" w:rsidR="00C573C8" w:rsidP="00695940" w:rsidRDefault="00C573C8">
      <w:pPr>
        <w:ind w:left="-90"/>
        <w:jc w:val="center"/>
        <w:rPr>
          <w:b/>
          <w:bCs/>
          <w:color w:val="000000"/>
        </w:rPr>
      </w:pPr>
      <w:r w:rsidRPr="00EA6810">
        <w:rPr>
          <w:b/>
          <w:bCs/>
          <w:color w:val="000000"/>
        </w:rPr>
        <w:t>SUPPORTING STATEMENT</w:t>
      </w:r>
    </w:p>
    <w:p w:rsidRPr="00EA6810" w:rsidR="00BE5210" w:rsidP="00695940" w:rsidRDefault="00BE5210">
      <w:pPr>
        <w:ind w:left="-90"/>
        <w:jc w:val="center"/>
        <w:rPr>
          <w:bCs/>
          <w:color w:val="000000"/>
        </w:rPr>
      </w:pPr>
      <w:r w:rsidRPr="00EA6810">
        <w:rPr>
          <w:bCs/>
          <w:color w:val="000000"/>
        </w:rPr>
        <w:t>Internal Revenue Service</w:t>
      </w:r>
    </w:p>
    <w:p w:rsidRPr="00EA6810" w:rsidR="00007D7B" w:rsidP="00695940" w:rsidRDefault="00610B0A">
      <w:pPr>
        <w:ind w:left="-90"/>
        <w:jc w:val="center"/>
        <w:rPr>
          <w:color w:val="000000"/>
        </w:rPr>
      </w:pPr>
      <w:r w:rsidRPr="00EA6810">
        <w:rPr>
          <w:color w:val="000000"/>
        </w:rPr>
        <w:t>Transitional Guidance Under Sections 162(f) and 6050X with Respect</w:t>
      </w:r>
    </w:p>
    <w:p w:rsidR="00610B0A" w:rsidP="00695940" w:rsidRDefault="00610B0A">
      <w:pPr>
        <w:ind w:left="-90"/>
        <w:jc w:val="center"/>
        <w:rPr>
          <w:bCs/>
          <w:color w:val="000000"/>
        </w:rPr>
      </w:pPr>
      <w:r w:rsidRPr="00EA6810">
        <w:rPr>
          <w:bCs/>
          <w:color w:val="000000"/>
        </w:rPr>
        <w:t>To Certain Fines, Penalties, and Other Amounts</w:t>
      </w:r>
    </w:p>
    <w:p w:rsidRPr="00EA6810" w:rsidR="00E03C9F" w:rsidP="00695940" w:rsidRDefault="00E03C9F">
      <w:pPr>
        <w:ind w:left="-90"/>
        <w:jc w:val="center"/>
        <w:rPr>
          <w:bCs/>
          <w:color w:val="000000"/>
        </w:rPr>
      </w:pPr>
      <w:r w:rsidRPr="00E03C9F">
        <w:rPr>
          <w:bCs/>
          <w:color w:val="000000"/>
        </w:rPr>
        <w:t>REG–104591–18</w:t>
      </w:r>
    </w:p>
    <w:p w:rsidRPr="00EA6810" w:rsidR="00636B94" w:rsidP="00695940" w:rsidRDefault="00636B94">
      <w:pPr>
        <w:ind w:left="-90"/>
        <w:jc w:val="center"/>
        <w:rPr>
          <w:color w:val="000000"/>
        </w:rPr>
      </w:pPr>
      <w:r w:rsidRPr="00EA6810">
        <w:rPr>
          <w:bCs/>
          <w:color w:val="000000"/>
        </w:rPr>
        <w:t xml:space="preserve">OMB </w:t>
      </w:r>
      <w:r w:rsidRPr="00EA6810" w:rsidR="00BE5210">
        <w:rPr>
          <w:bCs/>
          <w:color w:val="000000"/>
        </w:rPr>
        <w:t>#</w:t>
      </w:r>
      <w:r w:rsidRPr="00EA6810">
        <w:rPr>
          <w:bCs/>
          <w:color w:val="000000"/>
        </w:rPr>
        <w:t xml:space="preserve"> </w:t>
      </w:r>
      <w:r w:rsidRPr="00EA6810">
        <w:rPr>
          <w:b/>
          <w:bCs/>
          <w:color w:val="000000"/>
        </w:rPr>
        <w:t>1545-</w:t>
      </w:r>
      <w:r w:rsidR="004A5223">
        <w:rPr>
          <w:b/>
          <w:bCs/>
          <w:color w:val="000000"/>
        </w:rPr>
        <w:t>2284</w:t>
      </w:r>
    </w:p>
    <w:p w:rsidRPr="00EA6810" w:rsidR="00C573C8" w:rsidP="00BE5210" w:rsidRDefault="00C573C8">
      <w:pPr>
        <w:ind w:left="-90"/>
        <w:rPr>
          <w:color w:val="000000"/>
        </w:rPr>
      </w:pPr>
      <w:r w:rsidRPr="00EA6810">
        <w:rPr>
          <w:color w:val="000000"/>
        </w:rPr>
        <w:t xml:space="preserve">                           </w:t>
      </w:r>
    </w:p>
    <w:p w:rsidRPr="00EA6810" w:rsidR="00C573C8" w:rsidP="00AA539A" w:rsidRDefault="00C573C8">
      <w:pPr>
        <w:ind w:right="-72"/>
        <w:rPr>
          <w:bCs/>
          <w:color w:val="000000"/>
        </w:rPr>
      </w:pPr>
      <w:r w:rsidRPr="00EA6810">
        <w:rPr>
          <w:bCs/>
          <w:color w:val="000000"/>
        </w:rPr>
        <w:t xml:space="preserve">1.   </w:t>
      </w:r>
      <w:r w:rsidRPr="00EA6810">
        <w:rPr>
          <w:bCs/>
          <w:color w:val="000000"/>
          <w:u w:val="single"/>
        </w:rPr>
        <w:t>CIRCUMSTANCES NECESSITATING COLLECTION OF INFORMATION</w:t>
      </w:r>
    </w:p>
    <w:p w:rsidRPr="00EA6810" w:rsidR="00C573C8" w:rsidRDefault="00C573C8">
      <w:pPr>
        <w:ind w:left="-72" w:right="-72"/>
        <w:rPr>
          <w:color w:val="000000"/>
        </w:rPr>
      </w:pPr>
    </w:p>
    <w:p w:rsidRPr="00EA6810" w:rsidR="00DE6B07" w:rsidP="00AE4DB0" w:rsidRDefault="00DE6B07">
      <w:pPr>
        <w:widowControl/>
        <w:autoSpaceDE/>
        <w:autoSpaceDN/>
        <w:adjustRightInd/>
        <w:spacing w:after="150"/>
        <w:ind w:left="360"/>
        <w:rPr>
          <w:color w:val="000000"/>
          <w:lang w:val="en"/>
        </w:rPr>
      </w:pPr>
      <w:r w:rsidRPr="00EA6810">
        <w:rPr>
          <w:color w:val="000000"/>
          <w:lang w:val="en"/>
        </w:rPr>
        <w:t xml:space="preserve">The collection covers the new information reporting requirements under IRC </w:t>
      </w:r>
      <w:r w:rsidRPr="00EA6810" w:rsidR="006403B1">
        <w:rPr>
          <w:color w:val="000000"/>
          <w:lang w:val="en"/>
        </w:rPr>
        <w:t xml:space="preserve">162(f) and new </w:t>
      </w:r>
      <w:r w:rsidRPr="00EA6810">
        <w:rPr>
          <w:color w:val="000000"/>
          <w:lang w:val="en"/>
        </w:rPr>
        <w:t>6050</w:t>
      </w:r>
      <w:r w:rsidRPr="00EA6810" w:rsidR="00E20BA8">
        <w:rPr>
          <w:color w:val="000000"/>
          <w:lang w:val="en"/>
        </w:rPr>
        <w:t>X</w:t>
      </w:r>
      <w:r w:rsidRPr="00EA6810">
        <w:rPr>
          <w:color w:val="000000"/>
          <w:lang w:val="en"/>
        </w:rPr>
        <w:t>, which was added by the Tax Cuts and Jobs Act (TCJA).</w:t>
      </w:r>
    </w:p>
    <w:p w:rsidRPr="00EA6810" w:rsidR="001E7461" w:rsidP="005C4638" w:rsidRDefault="001E7461">
      <w:pPr>
        <w:widowControl/>
        <w:autoSpaceDE/>
        <w:autoSpaceDN/>
        <w:adjustRightInd/>
        <w:spacing w:after="150"/>
        <w:ind w:left="360"/>
        <w:rPr>
          <w:color w:val="000000"/>
        </w:rPr>
      </w:pPr>
      <w:r w:rsidRPr="00EA6810">
        <w:rPr>
          <w:color w:val="000000"/>
        </w:rPr>
        <w:t xml:space="preserve">Generally, no deduction is allowed for any amount paid to, or at the direction of, a government or specified nongovernmental entity for the violation of any law. The general rule does not apply to the following exceptions:  </w:t>
      </w:r>
    </w:p>
    <w:p w:rsidRPr="00EA6810" w:rsidR="001E7461" w:rsidP="005C4638" w:rsidRDefault="001E7461">
      <w:pPr>
        <w:widowControl/>
        <w:numPr>
          <w:ilvl w:val="0"/>
          <w:numId w:val="5"/>
        </w:numPr>
        <w:autoSpaceDE/>
        <w:autoSpaceDN/>
        <w:adjustRightInd/>
        <w:spacing w:before="100" w:beforeAutospacing="1" w:after="100" w:afterAutospacing="1"/>
        <w:ind w:hanging="450"/>
        <w:rPr>
          <w:color w:val="000000"/>
        </w:rPr>
      </w:pPr>
      <w:r w:rsidRPr="00EA6810">
        <w:rPr>
          <w:color w:val="000000"/>
        </w:rPr>
        <w:t>Amounts that constitute restitution (including remediation of property);</w:t>
      </w:r>
    </w:p>
    <w:p w:rsidRPr="00EA6810" w:rsidR="001E7461" w:rsidP="005C4638" w:rsidRDefault="001E7461">
      <w:pPr>
        <w:widowControl/>
        <w:numPr>
          <w:ilvl w:val="0"/>
          <w:numId w:val="5"/>
        </w:numPr>
        <w:autoSpaceDE/>
        <w:autoSpaceDN/>
        <w:adjustRightInd/>
        <w:spacing w:before="100" w:beforeAutospacing="1" w:after="100" w:afterAutospacing="1"/>
        <w:ind w:hanging="450"/>
        <w:rPr>
          <w:color w:val="000000"/>
        </w:rPr>
      </w:pPr>
      <w:r w:rsidRPr="00EA6810">
        <w:rPr>
          <w:color w:val="000000"/>
        </w:rPr>
        <w:t>Amounts paid to come into compliance with the law;</w:t>
      </w:r>
    </w:p>
    <w:p w:rsidRPr="00EA6810" w:rsidR="001E7461" w:rsidP="005C4638" w:rsidRDefault="001E7461">
      <w:pPr>
        <w:widowControl/>
        <w:numPr>
          <w:ilvl w:val="0"/>
          <w:numId w:val="5"/>
        </w:numPr>
        <w:autoSpaceDE/>
        <w:autoSpaceDN/>
        <w:adjustRightInd/>
        <w:spacing w:before="100" w:beforeAutospacing="1" w:after="100" w:afterAutospacing="1"/>
        <w:ind w:hanging="450"/>
        <w:rPr>
          <w:color w:val="000000"/>
        </w:rPr>
      </w:pPr>
      <w:r w:rsidRPr="00EA6810">
        <w:rPr>
          <w:color w:val="000000"/>
        </w:rPr>
        <w:t>Amounts paid or incurred as the result of certain court orders in which no government or specified nongovernmental agency is a party; and</w:t>
      </w:r>
    </w:p>
    <w:p w:rsidRPr="00EA6810" w:rsidR="001E7461" w:rsidP="005C4638" w:rsidRDefault="001E7461">
      <w:pPr>
        <w:widowControl/>
        <w:numPr>
          <w:ilvl w:val="0"/>
          <w:numId w:val="5"/>
        </w:numPr>
        <w:autoSpaceDE/>
        <w:autoSpaceDN/>
        <w:adjustRightInd/>
        <w:spacing w:before="100" w:beforeAutospacing="1" w:after="100" w:afterAutospacing="1"/>
        <w:ind w:hanging="450"/>
        <w:rPr>
          <w:color w:val="000000"/>
        </w:rPr>
      </w:pPr>
      <w:r w:rsidRPr="00EA6810">
        <w:rPr>
          <w:color w:val="000000"/>
        </w:rPr>
        <w:t>Amounts paid or incurred for taxes due.</w:t>
      </w:r>
    </w:p>
    <w:p w:rsidRPr="00EA6810" w:rsidR="001E7461" w:rsidP="005C4638" w:rsidRDefault="001E7461">
      <w:pPr>
        <w:widowControl/>
        <w:autoSpaceDE/>
        <w:autoSpaceDN/>
        <w:adjustRightInd/>
        <w:spacing w:after="150"/>
        <w:ind w:left="360"/>
        <w:rPr>
          <w:color w:val="000000"/>
        </w:rPr>
      </w:pPr>
      <w:r w:rsidRPr="00EA6810">
        <w:rPr>
          <w:color w:val="000000"/>
        </w:rPr>
        <w:t xml:space="preserve">To be deductible under an exception, the Taxpayer must </w:t>
      </w:r>
      <w:r w:rsidRPr="00EA6810">
        <w:rPr>
          <w:b/>
          <w:bCs/>
          <w:color w:val="000000"/>
        </w:rPr>
        <w:t>establish</w:t>
      </w:r>
      <w:r w:rsidRPr="00EA6810">
        <w:rPr>
          <w:color w:val="000000"/>
        </w:rPr>
        <w:t xml:space="preserve"> that an amount required to be paid is for restitution, remediation or to come into compliance with the law, AND the amount must be specifically identified in the settlement agreement or court order as restitution, remediation or to come into compliance with the law. </w:t>
      </w:r>
    </w:p>
    <w:p w:rsidRPr="00EA6810" w:rsidR="001E7461" w:rsidP="005C4638" w:rsidRDefault="001E7461">
      <w:pPr>
        <w:widowControl/>
        <w:autoSpaceDE/>
        <w:autoSpaceDN/>
        <w:adjustRightInd/>
        <w:spacing w:after="150"/>
        <w:ind w:left="360"/>
        <w:rPr>
          <w:color w:val="000000"/>
        </w:rPr>
      </w:pPr>
      <w:r w:rsidRPr="00EA6810">
        <w:rPr>
          <w:color w:val="000000"/>
        </w:rPr>
        <w:t>Any amount paid or incurred as reimbursement to the Government for the costs of any investigation or litigation are not deductible under one of the exceptions (under prior law, these amounts were often considered compensatory and deductible).</w:t>
      </w:r>
    </w:p>
    <w:p w:rsidRPr="00EA6810" w:rsidR="001E7461" w:rsidP="005C4638" w:rsidRDefault="001E7461">
      <w:pPr>
        <w:widowControl/>
        <w:autoSpaceDE/>
        <w:autoSpaceDN/>
        <w:adjustRightInd/>
        <w:spacing w:after="150"/>
        <w:ind w:left="360"/>
        <w:rPr>
          <w:color w:val="000000"/>
        </w:rPr>
      </w:pPr>
      <w:r w:rsidRPr="00EA6810">
        <w:rPr>
          <w:color w:val="000000"/>
        </w:rPr>
        <w:t>The 2017 Tax Cuts and Jobs Act also enacted IRC section 6050X, which requires government agencies or specified nongovernmental regulatory entities to file an information return which identifies:</w:t>
      </w:r>
    </w:p>
    <w:p w:rsidRPr="00EA6810" w:rsidR="001E7461" w:rsidP="005C4638" w:rsidRDefault="001E7461">
      <w:pPr>
        <w:widowControl/>
        <w:numPr>
          <w:ilvl w:val="0"/>
          <w:numId w:val="6"/>
        </w:numPr>
        <w:autoSpaceDE/>
        <w:autoSpaceDN/>
        <w:adjustRightInd/>
        <w:spacing w:after="150"/>
        <w:rPr>
          <w:color w:val="000000"/>
        </w:rPr>
      </w:pPr>
      <w:r w:rsidRPr="00EA6810">
        <w:rPr>
          <w:color w:val="000000"/>
        </w:rPr>
        <w:t xml:space="preserve">The amount required to be paid as a result of the suit or agreement to which IRC section 162(f)(1) applies; </w:t>
      </w:r>
    </w:p>
    <w:p w:rsidRPr="00EA6810" w:rsidR="001E7461" w:rsidP="005C4638" w:rsidRDefault="001E7461">
      <w:pPr>
        <w:widowControl/>
        <w:numPr>
          <w:ilvl w:val="0"/>
          <w:numId w:val="6"/>
        </w:numPr>
        <w:autoSpaceDE/>
        <w:autoSpaceDN/>
        <w:adjustRightInd/>
        <w:spacing w:after="150"/>
        <w:rPr>
          <w:color w:val="000000"/>
        </w:rPr>
      </w:pPr>
      <w:r w:rsidRPr="00EA6810">
        <w:rPr>
          <w:color w:val="000000"/>
        </w:rPr>
        <w:t xml:space="preserve">Any amount required to be paid as a result of the suit or agreement that constitutes restitution or remediation of property; and </w:t>
      </w:r>
    </w:p>
    <w:p w:rsidR="001E7461" w:rsidP="005C4638" w:rsidRDefault="001E7461">
      <w:pPr>
        <w:widowControl/>
        <w:numPr>
          <w:ilvl w:val="0"/>
          <w:numId w:val="6"/>
        </w:numPr>
        <w:autoSpaceDE/>
        <w:autoSpaceDN/>
        <w:adjustRightInd/>
        <w:spacing w:after="150"/>
        <w:rPr>
          <w:color w:val="000000"/>
        </w:rPr>
      </w:pPr>
      <w:r w:rsidRPr="00EA6810">
        <w:rPr>
          <w:color w:val="000000"/>
        </w:rPr>
        <w:t xml:space="preserve">Any amount required to be paid as a result of the suit or agreement for the purpose of coming into compliance with any law that was violated or involved in the investigation or inquiry. </w:t>
      </w:r>
    </w:p>
    <w:p w:rsidRPr="00C230B6" w:rsidR="00C230B6" w:rsidP="00C230B6" w:rsidRDefault="00C230B6">
      <w:pPr>
        <w:widowControl/>
        <w:autoSpaceDE/>
        <w:autoSpaceDN/>
        <w:adjustRightInd/>
        <w:spacing w:after="150"/>
        <w:rPr>
          <w:color w:val="000000"/>
        </w:rPr>
      </w:pPr>
      <w:r w:rsidRPr="00C230B6">
        <w:rPr>
          <w:color w:val="000000"/>
        </w:rPr>
        <w:t>Th</w:t>
      </w:r>
      <w:r>
        <w:rPr>
          <w:color w:val="000000"/>
        </w:rPr>
        <w:t>ese</w:t>
      </w:r>
      <w:r w:rsidRPr="00C230B6">
        <w:rPr>
          <w:color w:val="000000"/>
        </w:rPr>
        <w:t xml:space="preserve"> proposed regulations</w:t>
      </w:r>
      <w:r>
        <w:rPr>
          <w:color w:val="000000"/>
        </w:rPr>
        <w:t xml:space="preserve">, </w:t>
      </w:r>
      <w:bookmarkStart w:name="_Hlk54166786" w:id="0"/>
      <w:r w:rsidRPr="00C230B6">
        <w:rPr>
          <w:color w:val="000000"/>
        </w:rPr>
        <w:t>REG–104591–18</w:t>
      </w:r>
      <w:bookmarkEnd w:id="0"/>
      <w:r>
        <w:rPr>
          <w:color w:val="000000"/>
        </w:rPr>
        <w:t xml:space="preserve"> (85 FR </w:t>
      </w:r>
      <w:r w:rsidRPr="00C230B6">
        <w:rPr>
          <w:color w:val="000000"/>
        </w:rPr>
        <w:t>28524</w:t>
      </w:r>
      <w:r>
        <w:rPr>
          <w:color w:val="000000"/>
        </w:rPr>
        <w:t xml:space="preserve">), dated May 13, 2020, </w:t>
      </w:r>
      <w:r w:rsidRPr="00C230B6">
        <w:rPr>
          <w:color w:val="000000"/>
        </w:rPr>
        <w:t>provide</w:t>
      </w:r>
      <w:r>
        <w:rPr>
          <w:color w:val="000000"/>
        </w:rPr>
        <w:t>s</w:t>
      </w:r>
      <w:r w:rsidR="00E03C9F">
        <w:rPr>
          <w:color w:val="000000"/>
        </w:rPr>
        <w:t xml:space="preserve"> </w:t>
      </w:r>
      <w:r w:rsidRPr="00C230B6">
        <w:rPr>
          <w:color w:val="000000"/>
        </w:rPr>
        <w:t>guidance on section 162(f) of the</w:t>
      </w:r>
      <w:r>
        <w:rPr>
          <w:color w:val="000000"/>
        </w:rPr>
        <w:t xml:space="preserve"> </w:t>
      </w:r>
      <w:r w:rsidRPr="00C230B6">
        <w:rPr>
          <w:color w:val="000000"/>
        </w:rPr>
        <w:t>Internal Revenue Code (Code), as</w:t>
      </w:r>
      <w:r>
        <w:rPr>
          <w:color w:val="000000"/>
        </w:rPr>
        <w:t xml:space="preserve"> </w:t>
      </w:r>
      <w:r w:rsidRPr="00C230B6">
        <w:rPr>
          <w:color w:val="000000"/>
        </w:rPr>
        <w:t xml:space="preserve">amended by legislation </w:t>
      </w:r>
      <w:r w:rsidRPr="00C230B6">
        <w:rPr>
          <w:color w:val="000000"/>
        </w:rPr>
        <w:lastRenderedPageBreak/>
        <w:t>enacted in 2017,</w:t>
      </w:r>
      <w:r>
        <w:rPr>
          <w:color w:val="000000"/>
        </w:rPr>
        <w:t xml:space="preserve"> </w:t>
      </w:r>
      <w:r w:rsidRPr="00C230B6">
        <w:rPr>
          <w:color w:val="000000"/>
        </w:rPr>
        <w:t>concerning the deduction of certain</w:t>
      </w:r>
      <w:r>
        <w:rPr>
          <w:color w:val="000000"/>
        </w:rPr>
        <w:t xml:space="preserve"> </w:t>
      </w:r>
      <w:r w:rsidRPr="00C230B6">
        <w:rPr>
          <w:color w:val="000000"/>
        </w:rPr>
        <w:t>fines, penalties, and other amounts.</w:t>
      </w:r>
      <w:r>
        <w:rPr>
          <w:color w:val="000000"/>
        </w:rPr>
        <w:t xml:space="preserve">  </w:t>
      </w:r>
      <w:r w:rsidRPr="00C230B6">
        <w:rPr>
          <w:color w:val="000000"/>
        </w:rPr>
        <w:t>This document also contains proposed</w:t>
      </w:r>
      <w:r>
        <w:rPr>
          <w:color w:val="000000"/>
        </w:rPr>
        <w:t xml:space="preserve"> </w:t>
      </w:r>
      <w:r w:rsidRPr="00C230B6">
        <w:rPr>
          <w:color w:val="000000"/>
        </w:rPr>
        <w:t>regulations that provide guidance</w:t>
      </w:r>
      <w:r>
        <w:rPr>
          <w:color w:val="000000"/>
        </w:rPr>
        <w:t xml:space="preserve"> </w:t>
      </w:r>
      <w:r w:rsidRPr="00C230B6">
        <w:rPr>
          <w:color w:val="000000"/>
        </w:rPr>
        <w:t>relating to the information reporting</w:t>
      </w:r>
      <w:r>
        <w:rPr>
          <w:color w:val="000000"/>
        </w:rPr>
        <w:t xml:space="preserve"> </w:t>
      </w:r>
      <w:r w:rsidRPr="00C230B6">
        <w:rPr>
          <w:color w:val="000000"/>
        </w:rPr>
        <w:t>requirements under new section 6050X</w:t>
      </w:r>
      <w:r>
        <w:rPr>
          <w:color w:val="000000"/>
        </w:rPr>
        <w:t xml:space="preserve"> </w:t>
      </w:r>
      <w:r w:rsidRPr="00C230B6">
        <w:rPr>
          <w:color w:val="000000"/>
        </w:rPr>
        <w:t>of the Code with respect to those fines,</w:t>
      </w:r>
      <w:r w:rsidR="00E03C9F">
        <w:rPr>
          <w:color w:val="000000"/>
        </w:rPr>
        <w:t xml:space="preserve"> </w:t>
      </w:r>
      <w:r w:rsidRPr="00C230B6">
        <w:rPr>
          <w:color w:val="000000"/>
        </w:rPr>
        <w:t>penalties, and other amounts. The</w:t>
      </w:r>
      <w:r>
        <w:rPr>
          <w:color w:val="000000"/>
        </w:rPr>
        <w:t xml:space="preserve"> </w:t>
      </w:r>
      <w:r w:rsidRPr="00C230B6">
        <w:rPr>
          <w:color w:val="000000"/>
        </w:rPr>
        <w:t>proposed regulations affect taxpayers</w:t>
      </w:r>
      <w:r>
        <w:rPr>
          <w:color w:val="000000"/>
        </w:rPr>
        <w:t xml:space="preserve"> </w:t>
      </w:r>
      <w:r w:rsidRPr="00C230B6">
        <w:rPr>
          <w:color w:val="000000"/>
        </w:rPr>
        <w:t>that pay or incur amounts to, or at the</w:t>
      </w:r>
      <w:r>
        <w:rPr>
          <w:color w:val="000000"/>
        </w:rPr>
        <w:t xml:space="preserve"> </w:t>
      </w:r>
      <w:r w:rsidRPr="00C230B6">
        <w:rPr>
          <w:color w:val="000000"/>
        </w:rPr>
        <w:t>direction of, governments, governmental</w:t>
      </w:r>
      <w:r>
        <w:rPr>
          <w:color w:val="000000"/>
        </w:rPr>
        <w:t xml:space="preserve"> </w:t>
      </w:r>
      <w:r w:rsidRPr="00C230B6">
        <w:rPr>
          <w:color w:val="000000"/>
        </w:rPr>
        <w:t xml:space="preserve">entities or certain </w:t>
      </w:r>
      <w:r>
        <w:rPr>
          <w:color w:val="000000"/>
        </w:rPr>
        <w:t xml:space="preserve"> </w:t>
      </w:r>
      <w:r w:rsidRPr="00C230B6">
        <w:rPr>
          <w:color w:val="000000"/>
        </w:rPr>
        <w:t>nongovernmental</w:t>
      </w:r>
      <w:r>
        <w:rPr>
          <w:color w:val="000000"/>
        </w:rPr>
        <w:t xml:space="preserve"> </w:t>
      </w:r>
      <w:r w:rsidRPr="00C230B6">
        <w:rPr>
          <w:color w:val="000000"/>
        </w:rPr>
        <w:t>entities treated as governmental entities</w:t>
      </w:r>
      <w:r>
        <w:rPr>
          <w:color w:val="000000"/>
        </w:rPr>
        <w:t xml:space="preserve"> </w:t>
      </w:r>
      <w:r w:rsidRPr="00C230B6">
        <w:rPr>
          <w:color w:val="000000"/>
        </w:rPr>
        <w:t>(nongovernmental entities) in relation to</w:t>
      </w:r>
      <w:r>
        <w:rPr>
          <w:color w:val="000000"/>
        </w:rPr>
        <w:t xml:space="preserve"> </w:t>
      </w:r>
      <w:r w:rsidRPr="00C230B6">
        <w:rPr>
          <w:color w:val="000000"/>
        </w:rPr>
        <w:t>the violation of a law or investigations</w:t>
      </w:r>
      <w:r>
        <w:rPr>
          <w:color w:val="000000"/>
        </w:rPr>
        <w:t xml:space="preserve"> </w:t>
      </w:r>
      <w:r w:rsidRPr="00C230B6">
        <w:rPr>
          <w:color w:val="000000"/>
        </w:rPr>
        <w:t>or inquiries by such governments,</w:t>
      </w:r>
      <w:r>
        <w:rPr>
          <w:color w:val="000000"/>
        </w:rPr>
        <w:t xml:space="preserve"> </w:t>
      </w:r>
      <w:r w:rsidRPr="00C230B6">
        <w:rPr>
          <w:color w:val="000000"/>
        </w:rPr>
        <w:t>governmental entities, or</w:t>
      </w:r>
      <w:r>
        <w:rPr>
          <w:color w:val="000000"/>
        </w:rPr>
        <w:t xml:space="preserve"> </w:t>
      </w:r>
      <w:r w:rsidRPr="00C230B6">
        <w:rPr>
          <w:color w:val="000000"/>
        </w:rPr>
        <w:t>nongovernmental entities into the</w:t>
      </w:r>
      <w:r>
        <w:rPr>
          <w:color w:val="000000"/>
        </w:rPr>
        <w:t xml:space="preserve"> </w:t>
      </w:r>
      <w:r w:rsidRPr="00C230B6">
        <w:rPr>
          <w:color w:val="000000"/>
        </w:rPr>
        <w:t>potential violation of a law. The</w:t>
      </w:r>
      <w:r>
        <w:rPr>
          <w:color w:val="000000"/>
        </w:rPr>
        <w:t xml:space="preserve"> </w:t>
      </w:r>
      <w:r w:rsidRPr="00C230B6">
        <w:rPr>
          <w:color w:val="000000"/>
        </w:rPr>
        <w:t>proposed regulations also affect</w:t>
      </w:r>
      <w:r>
        <w:rPr>
          <w:color w:val="000000"/>
        </w:rPr>
        <w:t xml:space="preserve"> </w:t>
      </w:r>
      <w:r w:rsidRPr="00C230B6">
        <w:rPr>
          <w:color w:val="000000"/>
        </w:rPr>
        <w:t>governments, governmental entities, and</w:t>
      </w:r>
      <w:r>
        <w:rPr>
          <w:color w:val="000000"/>
        </w:rPr>
        <w:t xml:space="preserve"> </w:t>
      </w:r>
      <w:r w:rsidRPr="00C230B6">
        <w:rPr>
          <w:color w:val="000000"/>
        </w:rPr>
        <w:t>nongovernmental entities subject to the</w:t>
      </w:r>
      <w:r>
        <w:rPr>
          <w:color w:val="000000"/>
        </w:rPr>
        <w:t xml:space="preserve"> </w:t>
      </w:r>
      <w:r w:rsidRPr="00C230B6">
        <w:rPr>
          <w:color w:val="000000"/>
        </w:rPr>
        <w:t>related reporting requirement.</w:t>
      </w:r>
    </w:p>
    <w:p w:rsidRPr="00EA6810" w:rsidR="001E7461" w:rsidP="00E03C9F" w:rsidRDefault="00207891">
      <w:pPr>
        <w:widowControl/>
        <w:autoSpaceDE/>
        <w:autoSpaceDN/>
        <w:adjustRightInd/>
        <w:spacing w:after="150"/>
        <w:rPr>
          <w:color w:val="000000"/>
        </w:rPr>
      </w:pPr>
      <w:hyperlink w:history="1" r:id="rId5">
        <w:r w:rsidRPr="00EA6810" w:rsidR="001E7461">
          <w:rPr>
            <w:color w:val="000000"/>
            <w:u w:val="single"/>
          </w:rPr>
          <w:t>Notice 2018-23</w:t>
        </w:r>
      </w:hyperlink>
      <w:r w:rsidRPr="00EA6810" w:rsidR="001E7461">
        <w:rPr>
          <w:color w:val="000000"/>
        </w:rPr>
        <w:t xml:space="preserve"> provides information for section 6050X and transitional guidance under IRC § 162(f). </w:t>
      </w:r>
    </w:p>
    <w:p w:rsidRPr="00EA6810" w:rsidR="00C573C8" w:rsidP="004E06B1" w:rsidRDefault="00C573C8">
      <w:pPr>
        <w:ind w:left="720" w:right="-72"/>
        <w:rPr>
          <w:color w:val="000000"/>
        </w:rPr>
      </w:pPr>
    </w:p>
    <w:p w:rsidRPr="00EA6810" w:rsidR="00C573C8" w:rsidP="00AA539A" w:rsidRDefault="00C573C8">
      <w:pPr>
        <w:ind w:right="-72"/>
        <w:rPr>
          <w:color w:val="000000"/>
        </w:rPr>
      </w:pPr>
      <w:r w:rsidRPr="00EA6810">
        <w:rPr>
          <w:bCs/>
          <w:color w:val="000000"/>
        </w:rPr>
        <w:t xml:space="preserve">2.   </w:t>
      </w:r>
      <w:r w:rsidRPr="00EA6810">
        <w:rPr>
          <w:bCs/>
          <w:color w:val="000000"/>
          <w:u w:val="single"/>
        </w:rPr>
        <w:t>USE OF DATA</w:t>
      </w:r>
      <w:r w:rsidRPr="00EA6810">
        <w:rPr>
          <w:bCs/>
          <w:color w:val="000000"/>
        </w:rPr>
        <w:t xml:space="preserve">              </w:t>
      </w:r>
    </w:p>
    <w:p w:rsidRPr="00EA6810" w:rsidR="00C573C8" w:rsidP="00702B07" w:rsidRDefault="00C573C8">
      <w:pPr>
        <w:rPr>
          <w:color w:val="000000"/>
        </w:rPr>
      </w:pPr>
    </w:p>
    <w:p w:rsidRPr="00EA6810" w:rsidR="006403B1" w:rsidP="006403B1" w:rsidRDefault="006403B1">
      <w:pPr>
        <w:widowControl/>
        <w:autoSpaceDE/>
        <w:autoSpaceDN/>
        <w:adjustRightInd/>
        <w:spacing w:after="150"/>
        <w:ind w:left="360"/>
        <w:rPr>
          <w:color w:val="000000"/>
          <w:lang w:val="en"/>
        </w:rPr>
      </w:pPr>
      <w:r w:rsidRPr="00EA6810">
        <w:rPr>
          <w:color w:val="000000"/>
          <w:lang w:val="en"/>
        </w:rPr>
        <w:t xml:space="preserve">Section 13306 of “An Act to provide for reconciliation pursuant to titles II and V of the concurrent resolution on the budget for fiscal year 2018,” Pub. L. 115–97 (the “Act”), which was signed into law on December 22, 2017, amended section 162(f) of the Internal Revenue Code (“Code”) and added new section 6050X to the Code. The Department of the Treasury (“Treasury Department”) and the Internal Revenue Service (“IRS”) intend to publish proposed regulations under sections 162(f) and 6050X. </w:t>
      </w:r>
    </w:p>
    <w:p w:rsidRPr="00EA7753" w:rsidR="00EA7753" w:rsidP="00EA7753" w:rsidRDefault="0037627E">
      <w:pPr>
        <w:ind w:left="360" w:right="-72"/>
        <w:rPr>
          <w:color w:val="000000"/>
        </w:rPr>
      </w:pPr>
      <w:r w:rsidRPr="00EA6810">
        <w:rPr>
          <w:color w:val="000000"/>
        </w:rPr>
        <w:t xml:space="preserve"> </w:t>
      </w:r>
      <w:r w:rsidRPr="00EA7753" w:rsidR="00EA7753">
        <w:rPr>
          <w:color w:val="000000"/>
        </w:rPr>
        <w:t>Following the enactment of the Act,</w:t>
      </w:r>
      <w:r w:rsidR="00EA7753">
        <w:rPr>
          <w:color w:val="000000"/>
        </w:rPr>
        <w:t xml:space="preserve"> </w:t>
      </w:r>
      <w:r w:rsidRPr="00EA7753" w:rsidR="00EA7753">
        <w:rPr>
          <w:color w:val="000000"/>
        </w:rPr>
        <w:t>officials of a number of governments and</w:t>
      </w:r>
      <w:r w:rsidR="00EA7753">
        <w:rPr>
          <w:color w:val="000000"/>
        </w:rPr>
        <w:t xml:space="preserve"> </w:t>
      </w:r>
      <w:r w:rsidRPr="00EA7753" w:rsidR="00EA7753">
        <w:rPr>
          <w:color w:val="000000"/>
        </w:rPr>
        <w:t>governmental entities contacted the Treasury</w:t>
      </w:r>
      <w:r w:rsidR="00EA7753">
        <w:rPr>
          <w:color w:val="000000"/>
        </w:rPr>
        <w:t xml:space="preserve"> </w:t>
      </w:r>
      <w:r w:rsidRPr="00EA7753" w:rsidR="00EA7753">
        <w:rPr>
          <w:color w:val="000000"/>
        </w:rPr>
        <w:t>Department and the IRS requesting</w:t>
      </w:r>
      <w:r w:rsidR="00EA7753">
        <w:rPr>
          <w:color w:val="000000"/>
        </w:rPr>
        <w:t xml:space="preserve"> </w:t>
      </w:r>
      <w:r w:rsidRPr="00EA7753" w:rsidR="00EA7753">
        <w:rPr>
          <w:color w:val="000000"/>
        </w:rPr>
        <w:t>additional time to make the necessary</w:t>
      </w:r>
      <w:r w:rsidR="00EA7753">
        <w:rPr>
          <w:color w:val="000000"/>
        </w:rPr>
        <w:t xml:space="preserve"> </w:t>
      </w:r>
      <w:r w:rsidRPr="00EA7753" w:rsidR="00EA7753">
        <w:rPr>
          <w:color w:val="000000"/>
        </w:rPr>
        <w:t>changes to their systems to comply with</w:t>
      </w:r>
      <w:r w:rsidR="00EA7753">
        <w:rPr>
          <w:color w:val="000000"/>
        </w:rPr>
        <w:t xml:space="preserve"> </w:t>
      </w:r>
      <w:r w:rsidRPr="00EA7753" w:rsidR="00EA7753">
        <w:rPr>
          <w:color w:val="000000"/>
        </w:rPr>
        <w:t>their new reporting responsibilities under</w:t>
      </w:r>
    </w:p>
    <w:p w:rsidRPr="00EA7753" w:rsidR="00EA7753" w:rsidP="00EA7753" w:rsidRDefault="00EA7753">
      <w:pPr>
        <w:ind w:left="360" w:right="-72"/>
        <w:rPr>
          <w:color w:val="000000"/>
        </w:rPr>
      </w:pPr>
      <w:r>
        <w:rPr>
          <w:color w:val="000000"/>
        </w:rPr>
        <w:t>section</w:t>
      </w:r>
      <w:r w:rsidRPr="00EA7753">
        <w:rPr>
          <w:color w:val="000000"/>
        </w:rPr>
        <w:t xml:space="preserve"> 6050X. In addition, the IRS needs additional</w:t>
      </w:r>
      <w:r>
        <w:rPr>
          <w:color w:val="000000"/>
        </w:rPr>
        <w:t xml:space="preserve"> </w:t>
      </w:r>
      <w:r w:rsidRPr="00EA7753">
        <w:rPr>
          <w:color w:val="000000"/>
        </w:rPr>
        <w:t>time to make necessary programming</w:t>
      </w:r>
    </w:p>
    <w:p w:rsidR="008B1730" w:rsidP="008B1730" w:rsidRDefault="00EA7753">
      <w:pPr>
        <w:ind w:left="360" w:right="-72"/>
        <w:rPr>
          <w:color w:val="000000"/>
        </w:rPr>
      </w:pPr>
      <w:r w:rsidRPr="00EA7753">
        <w:rPr>
          <w:color w:val="000000"/>
        </w:rPr>
        <w:t>and form changes to implement</w:t>
      </w:r>
      <w:r>
        <w:rPr>
          <w:color w:val="000000"/>
        </w:rPr>
        <w:t xml:space="preserve"> </w:t>
      </w:r>
      <w:r w:rsidR="008B1730">
        <w:rPr>
          <w:color w:val="000000"/>
        </w:rPr>
        <w:t>section</w:t>
      </w:r>
      <w:r w:rsidRPr="00EA7753">
        <w:rPr>
          <w:color w:val="000000"/>
        </w:rPr>
        <w:t xml:space="preserve"> 6050X. Accordingly, the Treasury Department</w:t>
      </w:r>
      <w:r w:rsidR="008B1730">
        <w:rPr>
          <w:color w:val="000000"/>
        </w:rPr>
        <w:t xml:space="preserve"> </w:t>
      </w:r>
      <w:r w:rsidRPr="00EA7753">
        <w:rPr>
          <w:color w:val="000000"/>
        </w:rPr>
        <w:t>and the IRS are providing transitional</w:t>
      </w:r>
      <w:r w:rsidR="008B1730">
        <w:rPr>
          <w:color w:val="000000"/>
        </w:rPr>
        <w:t xml:space="preserve"> </w:t>
      </w:r>
      <w:r w:rsidRPr="00EA7753">
        <w:rPr>
          <w:color w:val="000000"/>
        </w:rPr>
        <w:t>guidance with respect to reporting</w:t>
      </w:r>
      <w:r w:rsidR="008B1730">
        <w:rPr>
          <w:color w:val="000000"/>
        </w:rPr>
        <w:t xml:space="preserve"> </w:t>
      </w:r>
      <w:r w:rsidRPr="008B1730" w:rsidR="008B1730">
        <w:rPr>
          <w:color w:val="000000"/>
        </w:rPr>
        <w:t xml:space="preserve">obligations under § 6050X. </w:t>
      </w:r>
    </w:p>
    <w:p w:rsidR="008B1730" w:rsidP="008B1730" w:rsidRDefault="008B1730">
      <w:pPr>
        <w:ind w:left="360" w:right="-72"/>
        <w:rPr>
          <w:color w:val="000000"/>
        </w:rPr>
      </w:pPr>
    </w:p>
    <w:p w:rsidRPr="008B1730" w:rsidR="008B1730" w:rsidP="008B1730" w:rsidRDefault="008B1730">
      <w:pPr>
        <w:ind w:left="360" w:right="-72"/>
        <w:rPr>
          <w:color w:val="000000"/>
        </w:rPr>
      </w:pPr>
      <w:r w:rsidRPr="008B1730">
        <w:rPr>
          <w:color w:val="000000"/>
        </w:rPr>
        <w:t>Under this</w:t>
      </w:r>
      <w:r>
        <w:rPr>
          <w:color w:val="000000"/>
        </w:rPr>
        <w:t xml:space="preserve"> </w:t>
      </w:r>
      <w:r w:rsidRPr="008B1730">
        <w:rPr>
          <w:color w:val="000000"/>
        </w:rPr>
        <w:t>transitional guidance, to ensure efficient</w:t>
      </w:r>
      <w:r>
        <w:rPr>
          <w:color w:val="000000"/>
        </w:rPr>
        <w:t xml:space="preserve"> </w:t>
      </w:r>
      <w:r w:rsidRPr="008B1730">
        <w:rPr>
          <w:color w:val="000000"/>
        </w:rPr>
        <w:t>administration of this new provision,</w:t>
      </w:r>
    </w:p>
    <w:p w:rsidR="008B1730" w:rsidP="008B1730" w:rsidRDefault="008B1730">
      <w:pPr>
        <w:ind w:left="360" w:right="-72"/>
        <w:rPr>
          <w:color w:val="000000"/>
        </w:rPr>
      </w:pPr>
      <w:r w:rsidRPr="008B1730">
        <w:rPr>
          <w:color w:val="000000"/>
        </w:rPr>
        <w:t>reporting will not be required under</w:t>
      </w:r>
      <w:r>
        <w:rPr>
          <w:color w:val="000000"/>
        </w:rPr>
        <w:t xml:space="preserve"> section</w:t>
      </w:r>
      <w:r w:rsidRPr="008B1730">
        <w:rPr>
          <w:color w:val="000000"/>
        </w:rPr>
        <w:t xml:space="preserve"> 6050X until the date specified in the</w:t>
      </w:r>
      <w:r>
        <w:rPr>
          <w:color w:val="000000"/>
        </w:rPr>
        <w:t xml:space="preserve"> </w:t>
      </w:r>
      <w:r w:rsidRPr="008B1730">
        <w:rPr>
          <w:color w:val="000000"/>
        </w:rPr>
        <w:t>proposed regulations. The specified date</w:t>
      </w:r>
      <w:r>
        <w:rPr>
          <w:color w:val="000000"/>
        </w:rPr>
        <w:t xml:space="preserve"> </w:t>
      </w:r>
      <w:r w:rsidRPr="008B1730">
        <w:rPr>
          <w:color w:val="000000"/>
        </w:rPr>
        <w:t xml:space="preserve">will not be earlier than </w:t>
      </w:r>
      <w:r w:rsidRPr="008B1730" w:rsidR="00FA357D">
        <w:rPr>
          <w:color w:val="000000"/>
        </w:rPr>
        <w:t>January 1, 2019 and</w:t>
      </w:r>
      <w:r w:rsidRPr="008B1730">
        <w:rPr>
          <w:color w:val="000000"/>
        </w:rPr>
        <w:t xml:space="preserve"> will not be earlier than the date of</w:t>
      </w:r>
      <w:r>
        <w:rPr>
          <w:color w:val="000000"/>
        </w:rPr>
        <w:t xml:space="preserve"> </w:t>
      </w:r>
      <w:r w:rsidRPr="008B1730">
        <w:rPr>
          <w:color w:val="000000"/>
        </w:rPr>
        <w:t>publication of the proposed regulations.</w:t>
      </w:r>
      <w:r>
        <w:rPr>
          <w:color w:val="000000"/>
        </w:rPr>
        <w:t xml:space="preserve">  </w:t>
      </w:r>
      <w:r w:rsidRPr="008B1730">
        <w:rPr>
          <w:color w:val="000000"/>
        </w:rPr>
        <w:t>Reporting will not be required with respect</w:t>
      </w:r>
      <w:r>
        <w:rPr>
          <w:color w:val="000000"/>
        </w:rPr>
        <w:t xml:space="preserve"> </w:t>
      </w:r>
      <w:r w:rsidRPr="008B1730">
        <w:rPr>
          <w:color w:val="000000"/>
        </w:rPr>
        <w:t>to any amounts required to be paid</w:t>
      </w:r>
      <w:r>
        <w:rPr>
          <w:color w:val="000000"/>
        </w:rPr>
        <w:t xml:space="preserve"> </w:t>
      </w:r>
      <w:r w:rsidRPr="008B1730">
        <w:rPr>
          <w:color w:val="000000"/>
        </w:rPr>
        <w:t>or incurred under a binding court order or</w:t>
      </w:r>
      <w:r>
        <w:rPr>
          <w:color w:val="000000"/>
        </w:rPr>
        <w:t xml:space="preserve"> </w:t>
      </w:r>
      <w:r w:rsidRPr="008B1730">
        <w:rPr>
          <w:color w:val="000000"/>
        </w:rPr>
        <w:t>settlement agreement entered into before</w:t>
      </w:r>
      <w:r>
        <w:rPr>
          <w:color w:val="000000"/>
        </w:rPr>
        <w:t xml:space="preserve"> </w:t>
      </w:r>
      <w:r w:rsidRPr="008B1730">
        <w:rPr>
          <w:color w:val="000000"/>
        </w:rPr>
        <w:t>the specified date. For purposes of this</w:t>
      </w:r>
      <w:r>
        <w:rPr>
          <w:color w:val="000000"/>
        </w:rPr>
        <w:t xml:space="preserve"> </w:t>
      </w:r>
      <w:r w:rsidRPr="008B1730">
        <w:rPr>
          <w:color w:val="000000"/>
        </w:rPr>
        <w:t>notice, an agreement that requires court</w:t>
      </w:r>
      <w:r>
        <w:rPr>
          <w:color w:val="000000"/>
        </w:rPr>
        <w:t xml:space="preserve"> </w:t>
      </w:r>
      <w:r w:rsidRPr="008B1730">
        <w:rPr>
          <w:color w:val="000000"/>
        </w:rPr>
        <w:t>approval is binding when court approval</w:t>
      </w:r>
      <w:r>
        <w:rPr>
          <w:color w:val="000000"/>
        </w:rPr>
        <w:t xml:space="preserve"> </w:t>
      </w:r>
      <w:r w:rsidRPr="008B1730">
        <w:rPr>
          <w:color w:val="000000"/>
        </w:rPr>
        <w:t>is obtained. This transitional guidance will</w:t>
      </w:r>
      <w:r>
        <w:rPr>
          <w:color w:val="000000"/>
        </w:rPr>
        <w:t xml:space="preserve"> </w:t>
      </w:r>
      <w:r w:rsidRPr="008B1730">
        <w:rPr>
          <w:color w:val="000000"/>
        </w:rPr>
        <w:t>provide additional time for dialogue with</w:t>
      </w:r>
      <w:r>
        <w:rPr>
          <w:color w:val="000000"/>
        </w:rPr>
        <w:t xml:space="preserve"> </w:t>
      </w:r>
      <w:r w:rsidRPr="008B1730">
        <w:rPr>
          <w:color w:val="000000"/>
        </w:rPr>
        <w:t>stakeholders in an effort to clarify the reporting</w:t>
      </w:r>
      <w:r>
        <w:rPr>
          <w:color w:val="000000"/>
        </w:rPr>
        <w:t xml:space="preserve"> </w:t>
      </w:r>
      <w:r w:rsidRPr="008B1730">
        <w:rPr>
          <w:color w:val="000000"/>
        </w:rPr>
        <w:t>requirements consistent with effective</w:t>
      </w:r>
      <w:r>
        <w:rPr>
          <w:color w:val="000000"/>
        </w:rPr>
        <w:t xml:space="preserve"> </w:t>
      </w:r>
      <w:r w:rsidRPr="008B1730">
        <w:rPr>
          <w:color w:val="000000"/>
        </w:rPr>
        <w:t xml:space="preserve">implementation of the law. </w:t>
      </w:r>
    </w:p>
    <w:p w:rsidR="008B1730" w:rsidP="008B1730" w:rsidRDefault="008B1730">
      <w:pPr>
        <w:ind w:left="360" w:right="-72"/>
        <w:rPr>
          <w:color w:val="000000"/>
        </w:rPr>
      </w:pPr>
    </w:p>
    <w:p w:rsidRPr="00EA6810" w:rsidR="008B1730" w:rsidP="00EA7753" w:rsidRDefault="008B1730">
      <w:pPr>
        <w:ind w:left="360" w:right="-72"/>
        <w:rPr>
          <w:color w:val="000000"/>
        </w:rPr>
      </w:pPr>
      <w:r w:rsidRPr="008B1730">
        <w:rPr>
          <w:color w:val="000000"/>
        </w:rPr>
        <w:t>Transitional</w:t>
      </w:r>
      <w:r>
        <w:rPr>
          <w:color w:val="000000"/>
        </w:rPr>
        <w:t xml:space="preserve"> </w:t>
      </w:r>
      <w:r w:rsidRPr="008B1730">
        <w:rPr>
          <w:color w:val="000000"/>
        </w:rPr>
        <w:t>guidance will also provide governmental</w:t>
      </w:r>
      <w:r>
        <w:rPr>
          <w:color w:val="000000"/>
        </w:rPr>
        <w:t xml:space="preserve"> </w:t>
      </w:r>
      <w:r w:rsidRPr="008B1730">
        <w:rPr>
          <w:color w:val="000000"/>
        </w:rPr>
        <w:t>and nongovernmental regulatory entities additional</w:t>
      </w:r>
      <w:r>
        <w:rPr>
          <w:color w:val="000000"/>
        </w:rPr>
        <w:t xml:space="preserve"> </w:t>
      </w:r>
      <w:r w:rsidRPr="008B1730">
        <w:rPr>
          <w:color w:val="000000"/>
        </w:rPr>
        <w:t>time to develop their systems for</w:t>
      </w:r>
      <w:r>
        <w:rPr>
          <w:color w:val="000000"/>
        </w:rPr>
        <w:t xml:space="preserve"> </w:t>
      </w:r>
      <w:r w:rsidRPr="008B1730">
        <w:rPr>
          <w:color w:val="000000"/>
        </w:rPr>
        <w:t>collecting and reporting the required information.</w:t>
      </w:r>
    </w:p>
    <w:p w:rsidRPr="00EA6810" w:rsidR="00E86291" w:rsidP="00D1770E" w:rsidRDefault="00E86291">
      <w:pPr>
        <w:ind w:right="-72"/>
        <w:rPr>
          <w:color w:val="000000"/>
        </w:rPr>
      </w:pPr>
    </w:p>
    <w:p w:rsidRPr="00EA6810" w:rsidR="00C573C8" w:rsidP="00AA539A" w:rsidRDefault="00C573C8">
      <w:pPr>
        <w:ind w:right="-72"/>
        <w:rPr>
          <w:color w:val="000000"/>
        </w:rPr>
      </w:pPr>
      <w:r w:rsidRPr="00EA6810">
        <w:rPr>
          <w:bCs/>
          <w:color w:val="000000"/>
        </w:rPr>
        <w:t xml:space="preserve">3.   </w:t>
      </w:r>
      <w:r w:rsidRPr="00EA6810">
        <w:rPr>
          <w:bCs/>
          <w:color w:val="000000"/>
          <w:u w:val="single"/>
        </w:rPr>
        <w:t>USE OF IMPROVED INFORMATION TECHNOLOGY TO REDUCE BURDEN</w:t>
      </w:r>
    </w:p>
    <w:p w:rsidRPr="00EA6810" w:rsidR="00C573C8" w:rsidRDefault="00C573C8">
      <w:pPr>
        <w:ind w:left="-72" w:right="-72"/>
        <w:rPr>
          <w:color w:val="000000"/>
        </w:rPr>
      </w:pPr>
    </w:p>
    <w:p w:rsidRPr="00EA6810" w:rsidR="006C11B8" w:rsidP="006C11B8" w:rsidRDefault="00AE4DB0">
      <w:pPr>
        <w:ind w:left="360" w:right="-72"/>
        <w:rPr>
          <w:color w:val="000000"/>
        </w:rPr>
      </w:pPr>
      <w:r w:rsidRPr="00EA6810">
        <w:rPr>
          <w:color w:val="000000"/>
        </w:rPr>
        <w:t xml:space="preserve">The Internal Revenue Service (IRS) will accept electronic reporting of this information.  </w:t>
      </w:r>
      <w:r w:rsidRPr="00EA6810" w:rsidR="006C11B8">
        <w:rPr>
          <w:color w:val="000000"/>
        </w:rPr>
        <w:t xml:space="preserve">Filers transmitting these forms electronically would process through the Filing Information Returns Electronically (FIRE) System.   </w:t>
      </w:r>
    </w:p>
    <w:p w:rsidRPr="00EA6810" w:rsidR="00C573C8" w:rsidRDefault="00C573C8">
      <w:pPr>
        <w:ind w:left="-72" w:right="-72"/>
        <w:rPr>
          <w:color w:val="000000"/>
        </w:rPr>
      </w:pPr>
    </w:p>
    <w:p w:rsidRPr="00EA6810" w:rsidR="00C573C8" w:rsidP="00AA539A" w:rsidRDefault="00C573C8">
      <w:pPr>
        <w:ind w:right="-72"/>
        <w:rPr>
          <w:bCs/>
          <w:color w:val="000000"/>
        </w:rPr>
      </w:pPr>
      <w:r w:rsidRPr="00EA6810">
        <w:rPr>
          <w:bCs/>
          <w:color w:val="000000"/>
        </w:rPr>
        <w:t xml:space="preserve">4.   </w:t>
      </w:r>
      <w:r w:rsidRPr="00EA6810">
        <w:rPr>
          <w:bCs/>
          <w:color w:val="000000"/>
          <w:u w:val="single"/>
        </w:rPr>
        <w:t>EFFORTS TO IDENTIFY DUPLICATION</w:t>
      </w:r>
    </w:p>
    <w:p w:rsidRPr="00EA6810" w:rsidR="00C573C8" w:rsidRDefault="00C573C8">
      <w:pPr>
        <w:ind w:left="-72" w:right="-72"/>
        <w:rPr>
          <w:color w:val="000000"/>
        </w:rPr>
      </w:pPr>
    </w:p>
    <w:p w:rsidRPr="00EA6810" w:rsidR="00C573C8" w:rsidP="0033329E" w:rsidRDefault="00AC5E20">
      <w:pPr>
        <w:ind w:left="360" w:right="-72"/>
        <w:rPr>
          <w:color w:val="000000"/>
        </w:rPr>
      </w:pPr>
      <w:r w:rsidRPr="00EA6810">
        <w:rPr>
          <w:color w:val="000000"/>
        </w:rPr>
        <w:t>The information obtained through this collection is unique and is not already available for use or adaptation from another source</w:t>
      </w:r>
      <w:r w:rsidRPr="00EA6810" w:rsidR="00C573C8">
        <w:rPr>
          <w:color w:val="000000"/>
        </w:rPr>
        <w:t xml:space="preserve">.  </w:t>
      </w:r>
    </w:p>
    <w:p w:rsidRPr="00EA6810" w:rsidR="00C573C8" w:rsidRDefault="00C573C8">
      <w:pPr>
        <w:ind w:left="-72" w:right="-72"/>
        <w:rPr>
          <w:color w:val="000000"/>
        </w:rPr>
      </w:pPr>
    </w:p>
    <w:p w:rsidRPr="00EA6810" w:rsidR="00C573C8" w:rsidP="00AA539A" w:rsidRDefault="00C573C8">
      <w:pPr>
        <w:ind w:left="360" w:right="-72" w:hanging="360"/>
        <w:rPr>
          <w:color w:val="000000"/>
        </w:rPr>
      </w:pPr>
      <w:r w:rsidRPr="00EA6810">
        <w:rPr>
          <w:bCs/>
          <w:color w:val="000000"/>
        </w:rPr>
        <w:t xml:space="preserve">5.   </w:t>
      </w:r>
      <w:r w:rsidRPr="00EA6810">
        <w:rPr>
          <w:bCs/>
          <w:color w:val="000000"/>
          <w:u w:val="single"/>
        </w:rPr>
        <w:t>METHODS TO MINIMIZE BURDEN ON SMALL BUSINESSES OR OTHER</w:t>
      </w:r>
      <w:r w:rsidRPr="00EA6810" w:rsidR="00CC6C32">
        <w:rPr>
          <w:bCs/>
          <w:color w:val="000000"/>
          <w:u w:val="single"/>
        </w:rPr>
        <w:t xml:space="preserve"> </w:t>
      </w:r>
      <w:r w:rsidRPr="00EA6810">
        <w:rPr>
          <w:bCs/>
          <w:color w:val="000000"/>
          <w:u w:val="single"/>
        </w:rPr>
        <w:t>SMALL</w:t>
      </w:r>
      <w:r w:rsidRPr="00EA6810" w:rsidR="00AA539A">
        <w:rPr>
          <w:bCs/>
          <w:color w:val="000000"/>
          <w:u w:val="single"/>
        </w:rPr>
        <w:t xml:space="preserve"> </w:t>
      </w:r>
      <w:r w:rsidRPr="00EA6810">
        <w:rPr>
          <w:bCs/>
          <w:color w:val="000000"/>
          <w:u w:val="single"/>
        </w:rPr>
        <w:t>ENTITIES</w:t>
      </w:r>
    </w:p>
    <w:p w:rsidRPr="00EA6810" w:rsidR="00C573C8" w:rsidRDefault="00C573C8">
      <w:pPr>
        <w:ind w:left="-72" w:right="-72"/>
        <w:rPr>
          <w:color w:val="000000"/>
        </w:rPr>
      </w:pPr>
    </w:p>
    <w:p w:rsidRPr="00EA6810" w:rsidR="00D05E8B" w:rsidP="0033329E" w:rsidRDefault="00695D49">
      <w:pPr>
        <w:ind w:left="360" w:right="-72"/>
        <w:rPr>
          <w:color w:val="000000"/>
        </w:rPr>
      </w:pPr>
      <w:r w:rsidRPr="00EA6810">
        <w:rPr>
          <w:color w:val="000000"/>
        </w:rPr>
        <w:t>There are no small entities affected by this collection.</w:t>
      </w:r>
    </w:p>
    <w:p w:rsidRPr="00EA6810" w:rsidR="00695D49" w:rsidP="0033329E" w:rsidRDefault="00695D49">
      <w:pPr>
        <w:ind w:left="360" w:right="-72"/>
        <w:rPr>
          <w:color w:val="000000"/>
        </w:rPr>
      </w:pPr>
    </w:p>
    <w:p w:rsidRPr="00EA6810" w:rsidR="00C573C8" w:rsidP="00AA539A" w:rsidRDefault="00C573C8">
      <w:pPr>
        <w:ind w:left="360" w:right="-72" w:hanging="360"/>
        <w:rPr>
          <w:color w:val="000000"/>
        </w:rPr>
      </w:pPr>
      <w:r w:rsidRPr="00EA6810">
        <w:rPr>
          <w:bCs/>
          <w:color w:val="000000"/>
        </w:rPr>
        <w:t xml:space="preserve">6.   </w:t>
      </w:r>
      <w:r w:rsidRPr="00EA6810">
        <w:rPr>
          <w:bCs/>
          <w:color w:val="000000"/>
          <w:u w:val="single"/>
        </w:rPr>
        <w:t>CONSEQUENCES OF LESS FREQUENT COLLECTION ON FEDERAL</w:t>
      </w:r>
      <w:r w:rsidRPr="00EA6810" w:rsidR="000A2988">
        <w:rPr>
          <w:bCs/>
          <w:color w:val="000000"/>
          <w:u w:val="single"/>
        </w:rPr>
        <w:t xml:space="preserve"> </w:t>
      </w:r>
      <w:r w:rsidRPr="00EA6810">
        <w:rPr>
          <w:bCs/>
          <w:color w:val="000000"/>
          <w:u w:val="single"/>
        </w:rPr>
        <w:t>PROGRAMS</w:t>
      </w:r>
      <w:r w:rsidRPr="00EA6810" w:rsidR="000A2988">
        <w:rPr>
          <w:bCs/>
          <w:color w:val="000000"/>
          <w:u w:val="single"/>
        </w:rPr>
        <w:t xml:space="preserve"> </w:t>
      </w:r>
      <w:r w:rsidRPr="00EA6810">
        <w:rPr>
          <w:bCs/>
          <w:color w:val="000000"/>
          <w:u w:val="single"/>
        </w:rPr>
        <w:t>OR POLICY ACTIVITIES</w:t>
      </w:r>
    </w:p>
    <w:p w:rsidRPr="00EA6810" w:rsidR="00C573C8" w:rsidRDefault="00C573C8">
      <w:pPr>
        <w:ind w:left="-72" w:right="-72"/>
        <w:rPr>
          <w:color w:val="000000"/>
        </w:rPr>
      </w:pPr>
    </w:p>
    <w:p w:rsidRPr="00EA6810" w:rsidR="006C11B8" w:rsidP="001A5F9F" w:rsidRDefault="00C21314">
      <w:pPr>
        <w:ind w:left="360" w:right="-72"/>
        <w:rPr>
          <w:color w:val="000000"/>
        </w:rPr>
      </w:pPr>
      <w:r w:rsidRPr="00EA6810">
        <w:rPr>
          <w:color w:val="000000"/>
        </w:rPr>
        <w:t xml:space="preserve">If the Internal Revenue Service (IRS) did not collect this information, the IRS will not be able to verify compliance with the reporting rules and to verify that the recipient has included the proper amount of taxable income on </w:t>
      </w:r>
      <w:r w:rsidRPr="00EA6810" w:rsidR="008B1730">
        <w:rPr>
          <w:color w:val="000000"/>
        </w:rPr>
        <w:t>the</w:t>
      </w:r>
      <w:r w:rsidRPr="00EA6810">
        <w:rPr>
          <w:color w:val="000000"/>
        </w:rPr>
        <w:t xml:space="preserve"> income tax return.</w:t>
      </w:r>
    </w:p>
    <w:p w:rsidRPr="00EA6810" w:rsidR="00C21314" w:rsidP="001A5F9F" w:rsidRDefault="00C21314">
      <w:pPr>
        <w:ind w:left="360" w:right="-72"/>
        <w:rPr>
          <w:strike/>
          <w:color w:val="000000"/>
        </w:rPr>
      </w:pPr>
    </w:p>
    <w:p w:rsidRPr="00EA6810" w:rsidR="003F2C5D" w:rsidP="008B1730" w:rsidRDefault="007453AC">
      <w:pPr>
        <w:ind w:left="360" w:right="-72"/>
        <w:rPr>
          <w:color w:val="000000"/>
        </w:rPr>
      </w:pPr>
      <w:r w:rsidRPr="00EA6810">
        <w:rPr>
          <w:color w:val="000000"/>
        </w:rPr>
        <w:t>F</w:t>
      </w:r>
      <w:r w:rsidRPr="00EA6810" w:rsidR="00895AED">
        <w:rPr>
          <w:color w:val="000000"/>
        </w:rPr>
        <w:t xml:space="preserve">ailure to </w:t>
      </w:r>
      <w:r w:rsidRPr="00EA6810">
        <w:rPr>
          <w:color w:val="000000"/>
        </w:rPr>
        <w:t xml:space="preserve">collect and retain the information outlined in the regulations will complicate the taxpayer’s ability to receive the proper tax credit and the IRS’s ability to verify its’ accuracy.  </w:t>
      </w:r>
      <w:r w:rsidRPr="00EA6810" w:rsidR="00895AED">
        <w:rPr>
          <w:color w:val="000000"/>
        </w:rPr>
        <w:t xml:space="preserve"> </w:t>
      </w:r>
    </w:p>
    <w:p w:rsidRPr="00EA6810" w:rsidR="006C11B8" w:rsidP="00D85B57" w:rsidRDefault="006C11B8">
      <w:pPr>
        <w:ind w:left="720" w:right="-72"/>
        <w:rPr>
          <w:color w:val="000000"/>
        </w:rPr>
      </w:pPr>
    </w:p>
    <w:p w:rsidRPr="00EA6810" w:rsidR="00C573C8" w:rsidP="00AA539A" w:rsidRDefault="00AA539A">
      <w:pPr>
        <w:ind w:left="360" w:right="-72" w:hanging="360"/>
        <w:rPr>
          <w:bCs/>
          <w:color w:val="000000"/>
        </w:rPr>
      </w:pPr>
      <w:r w:rsidRPr="00EA6810">
        <w:rPr>
          <w:bCs/>
          <w:color w:val="000000"/>
        </w:rPr>
        <w:t xml:space="preserve">7.   </w:t>
      </w:r>
      <w:r w:rsidRPr="00EA6810" w:rsidR="00C573C8">
        <w:rPr>
          <w:bCs/>
          <w:color w:val="000000"/>
          <w:u w:val="single"/>
        </w:rPr>
        <w:t>SPECIAL CIRCUMSTANCES REQUIRING DATA COLLECTION TO BE</w:t>
      </w:r>
      <w:r w:rsidRPr="00EA6810">
        <w:rPr>
          <w:bCs/>
          <w:color w:val="000000"/>
          <w:u w:val="single"/>
        </w:rPr>
        <w:t xml:space="preserve"> </w:t>
      </w:r>
      <w:r w:rsidRPr="00EA6810" w:rsidR="00C573C8">
        <w:rPr>
          <w:bCs/>
          <w:color w:val="000000"/>
          <w:u w:val="single"/>
        </w:rPr>
        <w:t>INCONSISTENT WITH GUIDELINES IN 5 CFR 1320.5(d)(2)</w:t>
      </w:r>
    </w:p>
    <w:p w:rsidRPr="00EA6810" w:rsidR="00C573C8" w:rsidRDefault="00C573C8">
      <w:pPr>
        <w:ind w:left="-72" w:right="-72" w:firstLine="7920"/>
        <w:rPr>
          <w:color w:val="000000"/>
        </w:rPr>
      </w:pPr>
    </w:p>
    <w:p w:rsidRPr="00EA6810" w:rsidR="00C573C8" w:rsidP="00E47B4F" w:rsidRDefault="00E47B4F">
      <w:pPr>
        <w:ind w:left="360" w:right="-72" w:hanging="18"/>
        <w:rPr>
          <w:color w:val="000000"/>
        </w:rPr>
      </w:pPr>
      <w:r w:rsidRPr="00EA6810">
        <w:rPr>
          <w:color w:val="000000"/>
        </w:rPr>
        <w:t>There are no special circumstances requiring data collection to be inconsistent with Guidelines in 5 CFR 1320.5(d)(2).</w:t>
      </w:r>
    </w:p>
    <w:p w:rsidRPr="00EA6810" w:rsidR="00E47B4F" w:rsidP="00E47B4F" w:rsidRDefault="00E47B4F">
      <w:pPr>
        <w:ind w:left="360" w:right="-72" w:hanging="18"/>
        <w:rPr>
          <w:color w:val="000000"/>
        </w:rPr>
      </w:pPr>
    </w:p>
    <w:p w:rsidRPr="00EA6810" w:rsidR="00C573C8" w:rsidP="00AA539A" w:rsidRDefault="00C573C8">
      <w:pPr>
        <w:ind w:left="360" w:right="-72" w:hanging="360"/>
        <w:rPr>
          <w:bCs/>
          <w:color w:val="000000"/>
        </w:rPr>
      </w:pPr>
      <w:r w:rsidRPr="00EA6810">
        <w:rPr>
          <w:bCs/>
          <w:color w:val="000000"/>
        </w:rPr>
        <w:t xml:space="preserve">8.   </w:t>
      </w:r>
      <w:r w:rsidRPr="00EA6810">
        <w:rPr>
          <w:bCs/>
          <w:color w:val="000000"/>
          <w:u w:val="single"/>
        </w:rPr>
        <w:t>CONSULTATION WITH INDIVIDUALS OUTSIDE OF THE AGENCY ON</w:t>
      </w:r>
      <w:r w:rsidRPr="00EA6810">
        <w:rPr>
          <w:bCs/>
          <w:color w:val="000000"/>
        </w:rPr>
        <w:t xml:space="preserve">    </w:t>
      </w:r>
      <w:r w:rsidRPr="00EA6810">
        <w:rPr>
          <w:bCs/>
          <w:color w:val="000000"/>
          <w:u w:val="single"/>
        </w:rPr>
        <w:t>AVAILABILITY OF DATA, FREQUENCY OF COLLECTION, CLARITY</w:t>
      </w:r>
      <w:r w:rsidRPr="00EA6810" w:rsidR="00AA539A">
        <w:rPr>
          <w:bCs/>
          <w:color w:val="000000"/>
          <w:u w:val="single"/>
        </w:rPr>
        <w:t xml:space="preserve"> </w:t>
      </w:r>
      <w:r w:rsidRPr="00EA6810">
        <w:rPr>
          <w:bCs/>
          <w:color w:val="000000"/>
          <w:u w:val="single"/>
        </w:rPr>
        <w:t>OF INSTRUCTIONS AND FORMS, AND DATA ELEMENTS</w:t>
      </w:r>
    </w:p>
    <w:p w:rsidRPr="00EA6810" w:rsidR="00C573C8" w:rsidRDefault="00C573C8">
      <w:pPr>
        <w:ind w:left="-72" w:right="-72"/>
        <w:rPr>
          <w:color w:val="000000"/>
        </w:rPr>
      </w:pPr>
    </w:p>
    <w:p w:rsidRPr="00EA6810" w:rsidR="00C573C8" w:rsidRDefault="00C573C8">
      <w:pPr>
        <w:ind w:left="-72" w:right="-72"/>
        <w:rPr>
          <w:color w:val="000000"/>
        </w:rPr>
        <w:sectPr w:rsidRPr="00EA6810" w:rsidR="00C573C8" w:rsidSect="001560A0">
          <w:pgSz w:w="12240" w:h="15840"/>
          <w:pgMar w:top="1368" w:right="1440" w:bottom="1710" w:left="1440" w:header="1368" w:footer="1368" w:gutter="0"/>
          <w:cols w:space="720"/>
          <w:noEndnote/>
        </w:sectPr>
      </w:pPr>
    </w:p>
    <w:p w:rsidRPr="00EA6810" w:rsidR="007338E5" w:rsidP="00D33035" w:rsidRDefault="004005AB">
      <w:pPr>
        <w:ind w:left="450"/>
        <w:rPr>
          <w:color w:val="000000"/>
        </w:rPr>
      </w:pPr>
      <w:r w:rsidRPr="00EA6810">
        <w:rPr>
          <w:color w:val="000000"/>
        </w:rPr>
        <w:t xml:space="preserve">On April </w:t>
      </w:r>
      <w:r w:rsidRPr="00EA6810" w:rsidR="008B1730">
        <w:rPr>
          <w:color w:val="000000"/>
        </w:rPr>
        <w:t>9</w:t>
      </w:r>
      <w:r w:rsidRPr="00EA6810">
        <w:rPr>
          <w:color w:val="000000"/>
        </w:rPr>
        <w:t>, 201</w:t>
      </w:r>
      <w:r w:rsidR="0098084B">
        <w:rPr>
          <w:color w:val="000000"/>
        </w:rPr>
        <w:t>8</w:t>
      </w:r>
      <w:r w:rsidRPr="00EA6810">
        <w:rPr>
          <w:color w:val="000000"/>
        </w:rPr>
        <w:t xml:space="preserve">, </w:t>
      </w:r>
      <w:r w:rsidRPr="00EA6810" w:rsidR="007338E5">
        <w:rPr>
          <w:color w:val="000000"/>
        </w:rPr>
        <w:t>the</w:t>
      </w:r>
      <w:r w:rsidRPr="00EA6810">
        <w:rPr>
          <w:color w:val="000000"/>
          <w:lang w:val="en"/>
        </w:rPr>
        <w:t xml:space="preserve"> Internal Revenue Service reque</w:t>
      </w:r>
      <w:r w:rsidRPr="00EA6810" w:rsidR="007338E5">
        <w:rPr>
          <w:color w:val="000000"/>
          <w:lang w:val="en"/>
        </w:rPr>
        <w:t xml:space="preserve">sted public comment on intended </w:t>
      </w:r>
      <w:r w:rsidRPr="00EA6810">
        <w:rPr>
          <w:color w:val="000000"/>
          <w:lang w:val="en"/>
        </w:rPr>
        <w:t xml:space="preserve">proposed regulations related to </w:t>
      </w:r>
      <w:r w:rsidRPr="00EA6810">
        <w:rPr>
          <w:color w:val="000000"/>
        </w:rPr>
        <w:t xml:space="preserve">the new information reporting requirements under </w:t>
      </w:r>
      <w:r w:rsidRPr="00EA6810" w:rsidR="00A92AE0">
        <w:rPr>
          <w:color w:val="000000"/>
        </w:rPr>
        <w:t xml:space="preserve">IRC 162(f) </w:t>
      </w:r>
      <w:r w:rsidRPr="00EA6810">
        <w:rPr>
          <w:color w:val="000000"/>
        </w:rPr>
        <w:t>new IRC 6050</w:t>
      </w:r>
      <w:r w:rsidRPr="00EA6810" w:rsidR="00A92AE0">
        <w:rPr>
          <w:color w:val="000000"/>
        </w:rPr>
        <w:t>X</w:t>
      </w:r>
      <w:r w:rsidRPr="00EA6810">
        <w:rPr>
          <w:color w:val="000000"/>
        </w:rPr>
        <w:t xml:space="preserve"> </w:t>
      </w:r>
      <w:r w:rsidRPr="00EA6810" w:rsidR="00A92AE0">
        <w:rPr>
          <w:color w:val="000000"/>
        </w:rPr>
        <w:t xml:space="preserve">(Notice 2018-23), </w:t>
      </w:r>
      <w:r w:rsidRPr="00EA6810">
        <w:rPr>
          <w:color w:val="000000"/>
        </w:rPr>
        <w:t xml:space="preserve">which was added by the Tax Cuts and Jobs Act. </w:t>
      </w:r>
    </w:p>
    <w:p w:rsidRPr="00EA6810" w:rsidR="00A92AE0" w:rsidP="00D33035" w:rsidRDefault="00A92AE0">
      <w:pPr>
        <w:ind w:left="450"/>
        <w:rPr>
          <w:color w:val="000000"/>
        </w:rPr>
      </w:pPr>
    </w:p>
    <w:p w:rsidRPr="00EA6810" w:rsidR="00C573C8" w:rsidP="00D33035" w:rsidRDefault="00C573C8">
      <w:pPr>
        <w:ind w:left="450"/>
        <w:rPr>
          <w:color w:val="000000"/>
        </w:rPr>
      </w:pPr>
      <w:r w:rsidRPr="00EA6810">
        <w:rPr>
          <w:color w:val="000000"/>
        </w:rPr>
        <w:t>Periodic meetings are held between IRS personnel and representatives of the American</w:t>
      </w:r>
      <w:r w:rsidRPr="00EA6810" w:rsidR="00CC6C32">
        <w:rPr>
          <w:color w:val="000000"/>
        </w:rPr>
        <w:t xml:space="preserve"> </w:t>
      </w:r>
      <w:r w:rsidRPr="00EA6810">
        <w:rPr>
          <w:color w:val="000000"/>
        </w:rPr>
        <w:t xml:space="preserve">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rsidRPr="00EA6810" w:rsidR="00A92AE0">
        <w:rPr>
          <w:color w:val="000000"/>
        </w:rPr>
        <w:t>1098-F</w:t>
      </w:r>
      <w:r w:rsidRPr="00EA6810">
        <w:rPr>
          <w:color w:val="000000"/>
        </w:rPr>
        <w:t xml:space="preserve">.   </w:t>
      </w:r>
    </w:p>
    <w:p w:rsidRPr="00EA6810" w:rsidR="00C573C8" w:rsidP="00D33035" w:rsidRDefault="00C573C8">
      <w:pPr>
        <w:ind w:left="450"/>
        <w:rPr>
          <w:color w:val="000000"/>
        </w:rPr>
      </w:pPr>
    </w:p>
    <w:p w:rsidRPr="00EA6810" w:rsidR="004A5223" w:rsidP="004A5223" w:rsidRDefault="00C573C8">
      <w:pPr>
        <w:ind w:left="450"/>
        <w:rPr>
          <w:color w:val="000000"/>
        </w:rPr>
      </w:pPr>
      <w:r w:rsidRPr="00EA6810">
        <w:rPr>
          <w:color w:val="000000"/>
        </w:rPr>
        <w:lastRenderedPageBreak/>
        <w:t xml:space="preserve">In response to the </w:t>
      </w:r>
      <w:r w:rsidRPr="00EA6810">
        <w:rPr>
          <w:bCs/>
          <w:i/>
          <w:color w:val="000000"/>
        </w:rPr>
        <w:t>Federal Register</w:t>
      </w:r>
      <w:r w:rsidRPr="00EA6810">
        <w:rPr>
          <w:bCs/>
          <w:color w:val="000000"/>
        </w:rPr>
        <w:t xml:space="preserve"> </w:t>
      </w:r>
      <w:r w:rsidRPr="00EA6810" w:rsidR="00427EF7">
        <w:rPr>
          <w:bCs/>
          <w:color w:val="000000"/>
        </w:rPr>
        <w:t>n</w:t>
      </w:r>
      <w:r w:rsidRPr="00EA6810">
        <w:rPr>
          <w:bCs/>
          <w:color w:val="000000"/>
        </w:rPr>
        <w:t>otice</w:t>
      </w:r>
      <w:r w:rsidRPr="00EA6810">
        <w:rPr>
          <w:color w:val="000000"/>
        </w:rPr>
        <w:t xml:space="preserve"> dated </w:t>
      </w:r>
      <w:r w:rsidR="00436479">
        <w:rPr>
          <w:color w:val="000000"/>
        </w:rPr>
        <w:t>May 13,</w:t>
      </w:r>
      <w:r w:rsidR="004A5223">
        <w:rPr>
          <w:color w:val="000000"/>
        </w:rPr>
        <w:t xml:space="preserve"> </w:t>
      </w:r>
      <w:r w:rsidRPr="00EA6810" w:rsidR="006C11B8">
        <w:rPr>
          <w:color w:val="000000"/>
        </w:rPr>
        <w:t>20</w:t>
      </w:r>
      <w:r w:rsidR="00436479">
        <w:rPr>
          <w:color w:val="000000"/>
        </w:rPr>
        <w:t>20</w:t>
      </w:r>
      <w:r w:rsidRPr="00EA6810" w:rsidR="006C11B8">
        <w:rPr>
          <w:color w:val="000000"/>
        </w:rPr>
        <w:t>,</w:t>
      </w:r>
      <w:r w:rsidRPr="00EA6810" w:rsidR="00A84CA1">
        <w:rPr>
          <w:color w:val="000000"/>
        </w:rPr>
        <w:t xml:space="preserve"> (</w:t>
      </w:r>
      <w:r w:rsidRPr="00EA6810" w:rsidR="003F2C5D">
        <w:rPr>
          <w:color w:val="000000"/>
        </w:rPr>
        <w:t>8</w:t>
      </w:r>
      <w:r w:rsidR="00436479">
        <w:rPr>
          <w:color w:val="000000"/>
        </w:rPr>
        <w:t>5</w:t>
      </w:r>
      <w:r w:rsidRPr="00EA6810" w:rsidR="00A84CA1">
        <w:rPr>
          <w:color w:val="000000"/>
        </w:rPr>
        <w:t xml:space="preserve"> FR </w:t>
      </w:r>
      <w:r w:rsidR="00436479">
        <w:rPr>
          <w:color w:val="000000"/>
        </w:rPr>
        <w:t>28524</w:t>
      </w:r>
      <w:r w:rsidRPr="00EA6810" w:rsidR="00A84CA1">
        <w:rPr>
          <w:color w:val="000000"/>
        </w:rPr>
        <w:t>)</w:t>
      </w:r>
      <w:r w:rsidRPr="00EA6810">
        <w:rPr>
          <w:bCs/>
          <w:color w:val="000000"/>
        </w:rPr>
        <w:t>,</w:t>
      </w:r>
      <w:r w:rsidRPr="00EA6810">
        <w:rPr>
          <w:color w:val="000000"/>
        </w:rPr>
        <w:t xml:space="preserve"> we received </w:t>
      </w:r>
      <w:r w:rsidR="00436479">
        <w:rPr>
          <w:color w:val="000000"/>
        </w:rPr>
        <w:t xml:space="preserve">several </w:t>
      </w:r>
      <w:r w:rsidRPr="00EA6810">
        <w:rPr>
          <w:color w:val="000000"/>
        </w:rPr>
        <w:t>comment</w:t>
      </w:r>
      <w:r w:rsidR="00FA357D">
        <w:rPr>
          <w:color w:val="000000"/>
        </w:rPr>
        <w:t xml:space="preserve"> letter</w:t>
      </w:r>
      <w:r w:rsidR="003D5C25">
        <w:rPr>
          <w:color w:val="000000"/>
        </w:rPr>
        <w:t>/email</w:t>
      </w:r>
      <w:r w:rsidR="00436479">
        <w:rPr>
          <w:color w:val="000000"/>
        </w:rPr>
        <w:t>s</w:t>
      </w:r>
      <w:r w:rsidR="00FA357D">
        <w:rPr>
          <w:color w:val="000000"/>
        </w:rPr>
        <w:t xml:space="preserve"> </w:t>
      </w:r>
      <w:r w:rsidRPr="00EA6810">
        <w:rPr>
          <w:color w:val="000000"/>
        </w:rPr>
        <w:t xml:space="preserve">during the comment period </w:t>
      </w:r>
      <w:r w:rsidR="003D5C25">
        <w:rPr>
          <w:color w:val="000000"/>
        </w:rPr>
        <w:t xml:space="preserve">inquiring about the release of final regulations.  </w:t>
      </w:r>
      <w:r w:rsidR="00AF7A4D">
        <w:rPr>
          <w:color w:val="000000"/>
        </w:rPr>
        <w:t xml:space="preserve">These regulations are currently under development and review </w:t>
      </w:r>
      <w:r w:rsidR="007875C3">
        <w:rPr>
          <w:color w:val="000000"/>
        </w:rPr>
        <w:t xml:space="preserve"> and comment letter/emails will be addressed upon release of the Treasury Decision</w:t>
      </w:r>
      <w:r w:rsidR="00AF7A4D">
        <w:rPr>
          <w:color w:val="000000"/>
        </w:rPr>
        <w:t xml:space="preserve">.  </w:t>
      </w:r>
    </w:p>
    <w:p w:rsidRPr="00EA6810" w:rsidR="00C573C8" w:rsidP="00D33035" w:rsidRDefault="00C573C8">
      <w:pPr>
        <w:ind w:left="450"/>
        <w:rPr>
          <w:color w:val="000000"/>
        </w:rPr>
      </w:pPr>
      <w:r w:rsidRPr="00EA6810">
        <w:rPr>
          <w:color w:val="000000"/>
        </w:rPr>
        <w:t xml:space="preserve">  </w:t>
      </w:r>
    </w:p>
    <w:p w:rsidRPr="00EA6810" w:rsidR="00C573C8" w:rsidP="00AA539A" w:rsidRDefault="00C573C8">
      <w:pPr>
        <w:ind w:left="360" w:hanging="360"/>
        <w:rPr>
          <w:color w:val="000000"/>
        </w:rPr>
      </w:pPr>
      <w:r w:rsidRPr="00EA6810">
        <w:rPr>
          <w:bCs/>
          <w:color w:val="000000"/>
        </w:rPr>
        <w:t xml:space="preserve">9.   </w:t>
      </w:r>
      <w:r w:rsidRPr="00EA6810">
        <w:rPr>
          <w:bCs/>
          <w:color w:val="000000"/>
          <w:u w:val="single"/>
        </w:rPr>
        <w:t>EXPLANATION OF DECISION TO PROVIDE ANY PAYMENT OR GIFT TO</w:t>
      </w:r>
      <w:r w:rsidRPr="00EA6810">
        <w:rPr>
          <w:color w:val="000000"/>
        </w:rPr>
        <w:t xml:space="preserve">   </w:t>
      </w:r>
      <w:r w:rsidRPr="00EA6810">
        <w:rPr>
          <w:bCs/>
          <w:color w:val="000000"/>
          <w:u w:val="single"/>
        </w:rPr>
        <w:t>RESPONDENTS</w:t>
      </w:r>
    </w:p>
    <w:p w:rsidRPr="00EA6810" w:rsidR="00C573C8" w:rsidRDefault="00C573C8">
      <w:pPr>
        <w:rPr>
          <w:color w:val="000000"/>
        </w:rPr>
      </w:pPr>
    </w:p>
    <w:p w:rsidRPr="00EA6810" w:rsidR="00A92AE0" w:rsidP="00E1792C" w:rsidRDefault="00E1792C">
      <w:pPr>
        <w:ind w:firstLine="360"/>
        <w:rPr>
          <w:color w:val="000000"/>
        </w:rPr>
      </w:pPr>
      <w:r w:rsidRPr="00EA6810">
        <w:rPr>
          <w:color w:val="000000"/>
        </w:rPr>
        <w:t>No payment or gift has been provided to any respondents.</w:t>
      </w:r>
    </w:p>
    <w:p w:rsidRPr="00EA6810" w:rsidR="00E1792C" w:rsidRDefault="00E1792C">
      <w:pPr>
        <w:rPr>
          <w:color w:val="000000"/>
        </w:rPr>
      </w:pPr>
    </w:p>
    <w:p w:rsidRPr="00EA6810" w:rsidR="00C573C8" w:rsidRDefault="00C573C8">
      <w:pPr>
        <w:rPr>
          <w:bCs/>
          <w:color w:val="000000"/>
        </w:rPr>
      </w:pPr>
      <w:r w:rsidRPr="00EA6810">
        <w:rPr>
          <w:bCs/>
          <w:color w:val="000000"/>
        </w:rPr>
        <w:t xml:space="preserve">10.  </w:t>
      </w:r>
      <w:r w:rsidRPr="00EA6810">
        <w:rPr>
          <w:bCs/>
          <w:color w:val="000000"/>
          <w:u w:val="single"/>
        </w:rPr>
        <w:t>ASSURANCE OF CONFIDENTIALITY OF RESPONSES</w:t>
      </w:r>
    </w:p>
    <w:p w:rsidRPr="00EA6810" w:rsidR="00C573C8" w:rsidRDefault="00C573C8">
      <w:pPr>
        <w:rPr>
          <w:color w:val="000000"/>
        </w:rPr>
      </w:pPr>
    </w:p>
    <w:p w:rsidRPr="00EA6810" w:rsidR="00C573C8" w:rsidP="00D33035" w:rsidRDefault="00C573C8">
      <w:pPr>
        <w:ind w:left="450"/>
        <w:rPr>
          <w:color w:val="000000"/>
        </w:rPr>
      </w:pPr>
      <w:r w:rsidRPr="00EA6810">
        <w:rPr>
          <w:color w:val="000000"/>
        </w:rPr>
        <w:t>Generally, tax returns and tax return information are confidential as required by 26 USC 6103.</w:t>
      </w:r>
    </w:p>
    <w:p w:rsidRPr="00EA6810" w:rsidR="00C573C8" w:rsidRDefault="00C573C8">
      <w:pPr>
        <w:rPr>
          <w:color w:val="000000"/>
        </w:rPr>
      </w:pPr>
      <w:r w:rsidRPr="00EA6810">
        <w:rPr>
          <w:color w:val="000000"/>
        </w:rPr>
        <w:t xml:space="preserve">     </w:t>
      </w:r>
    </w:p>
    <w:p w:rsidRPr="00EA6810" w:rsidR="00C573C8" w:rsidRDefault="00C573C8">
      <w:pPr>
        <w:rPr>
          <w:bCs/>
          <w:color w:val="000000"/>
          <w:u w:val="single"/>
        </w:rPr>
      </w:pPr>
      <w:r w:rsidRPr="00EA6810">
        <w:rPr>
          <w:bCs/>
          <w:color w:val="000000"/>
        </w:rPr>
        <w:t xml:space="preserve">11.  </w:t>
      </w:r>
      <w:r w:rsidRPr="00EA6810">
        <w:rPr>
          <w:bCs/>
          <w:color w:val="000000"/>
          <w:u w:val="single"/>
        </w:rPr>
        <w:t>JUSTIFICATION OF SENSITIVE QUESTIONS</w:t>
      </w:r>
    </w:p>
    <w:p w:rsidRPr="00EA6810" w:rsidR="00C573C8" w:rsidRDefault="00C573C8">
      <w:pPr>
        <w:rPr>
          <w:color w:val="000000"/>
          <w:u w:val="single"/>
        </w:rPr>
      </w:pPr>
    </w:p>
    <w:p w:rsidRPr="00EA6810" w:rsidR="00C85FC1" w:rsidP="00C85FC1" w:rsidRDefault="00C85FC1">
      <w:pPr>
        <w:ind w:left="450"/>
        <w:rPr>
          <w:color w:val="000000"/>
        </w:rPr>
      </w:pPr>
      <w:r w:rsidRPr="00EA6810">
        <w:rPr>
          <w:color w:val="000000"/>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6">
        <w:r w:rsidRPr="00EA6810">
          <w:rPr>
            <w:rStyle w:val="Hyperlink"/>
            <w:color w:val="000000"/>
          </w:rPr>
          <w:t>http://www.irs.gov/uac/Privacy-Impact-Assessments-PIA</w:t>
        </w:r>
      </w:hyperlink>
      <w:r w:rsidRPr="00EA6810">
        <w:rPr>
          <w:color w:val="000000"/>
        </w:rPr>
        <w:t xml:space="preserve">.  </w:t>
      </w:r>
    </w:p>
    <w:p w:rsidRPr="00EA6810" w:rsidR="00C85FC1" w:rsidP="00C85FC1" w:rsidRDefault="00C85FC1">
      <w:pPr>
        <w:ind w:left="450"/>
        <w:rPr>
          <w:color w:val="000000"/>
        </w:rPr>
      </w:pPr>
    </w:p>
    <w:p w:rsidRPr="00EA6810" w:rsidR="006C11B8" w:rsidP="009A35C8" w:rsidRDefault="00C85FC1">
      <w:pPr>
        <w:ind w:left="450"/>
        <w:rPr>
          <w:color w:val="000000"/>
        </w:rPr>
      </w:pPr>
      <w:r w:rsidRPr="00EA6810">
        <w:rPr>
          <w:color w:val="000000"/>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EA6810" w:rsidR="006C11B8" w:rsidRDefault="006C11B8">
      <w:pPr>
        <w:rPr>
          <w:color w:val="000000"/>
        </w:rPr>
      </w:pPr>
    </w:p>
    <w:p w:rsidRPr="00EA6810" w:rsidR="00C573C8" w:rsidRDefault="00C573C8">
      <w:pPr>
        <w:rPr>
          <w:bCs/>
          <w:color w:val="000000"/>
          <w:u w:val="single"/>
        </w:rPr>
      </w:pPr>
      <w:r w:rsidRPr="00EA6810">
        <w:rPr>
          <w:bCs/>
          <w:color w:val="000000"/>
        </w:rPr>
        <w:t xml:space="preserve">12.  </w:t>
      </w:r>
      <w:r w:rsidRPr="00EA6810">
        <w:rPr>
          <w:bCs/>
          <w:color w:val="000000"/>
          <w:u w:val="single"/>
        </w:rPr>
        <w:t>ESTIMATED BURDEN OF INFORMATION COLLECTION</w:t>
      </w:r>
    </w:p>
    <w:p w:rsidR="00C573C8" w:rsidRDefault="00C573C8">
      <w:pPr>
        <w:rPr>
          <w:color w:val="000000"/>
          <w:u w:val="single"/>
        </w:rPr>
      </w:pPr>
    </w:p>
    <w:p w:rsidRPr="00B80642" w:rsidR="00500398" w:rsidP="00500398" w:rsidRDefault="00B80642">
      <w:pPr>
        <w:ind w:left="450"/>
        <w:rPr>
          <w:color w:val="000000"/>
        </w:rPr>
      </w:pPr>
      <w:r>
        <w:rPr>
          <w:color w:val="000000"/>
        </w:rPr>
        <w:t>S</w:t>
      </w:r>
      <w:r w:rsidRPr="00B80642">
        <w:rPr>
          <w:color w:val="000000"/>
        </w:rPr>
        <w:t xml:space="preserve">everal federal websites </w:t>
      </w:r>
      <w:r>
        <w:rPr>
          <w:color w:val="000000"/>
        </w:rPr>
        <w:t xml:space="preserve">were used </w:t>
      </w:r>
      <w:r w:rsidRPr="00B80642">
        <w:rPr>
          <w:color w:val="000000"/>
        </w:rPr>
        <w:t xml:space="preserve">to </w:t>
      </w:r>
      <w:r>
        <w:rPr>
          <w:color w:val="000000"/>
        </w:rPr>
        <w:t xml:space="preserve">review </w:t>
      </w:r>
      <w:r w:rsidRPr="00B80642">
        <w:rPr>
          <w:color w:val="000000"/>
        </w:rPr>
        <w:t xml:space="preserve">to determine whether there was a chance the agency could be involved with a settlement or case resulting in a penalty or fine. </w:t>
      </w:r>
      <w:r>
        <w:rPr>
          <w:color w:val="000000"/>
        </w:rPr>
        <w:t xml:space="preserve">  </w:t>
      </w:r>
      <w:r w:rsidRPr="00B80642">
        <w:rPr>
          <w:color w:val="000000"/>
        </w:rPr>
        <w:t>This analysis resulted in 139 government entities with potential filing requirements.</w:t>
      </w:r>
      <w:r>
        <w:rPr>
          <w:color w:val="000000"/>
        </w:rPr>
        <w:t xml:space="preserve">  </w:t>
      </w:r>
      <w:r w:rsidRPr="00B80642">
        <w:rPr>
          <w:color w:val="000000"/>
        </w:rPr>
        <w:t xml:space="preserve">Under IRC </w:t>
      </w:r>
      <w:r>
        <w:rPr>
          <w:color w:val="000000"/>
        </w:rPr>
        <w:t>Section</w:t>
      </w:r>
      <w:r w:rsidRPr="00B80642">
        <w:rPr>
          <w:color w:val="000000"/>
        </w:rPr>
        <w:t xml:space="preserve"> 162(f)(5), any nongovernmental which exercises self-regulatory powers in connections with a board or exchange is treated as a government entity. </w:t>
      </w:r>
      <w:r>
        <w:rPr>
          <w:color w:val="000000"/>
        </w:rPr>
        <w:t xml:space="preserve">IRS </w:t>
      </w:r>
      <w:r w:rsidRPr="00B80642">
        <w:rPr>
          <w:color w:val="000000"/>
        </w:rPr>
        <w:t>also reviewed the SEC website to determine what self-regulatory agencies there were. There were 41 self-regulatory agencies listed on the SEC website.</w:t>
      </w:r>
      <w:r>
        <w:rPr>
          <w:color w:val="000000"/>
        </w:rPr>
        <w:t xml:space="preserve">  IRS</w:t>
      </w:r>
      <w:r w:rsidRPr="00B80642" w:rsidR="00335019">
        <w:rPr>
          <w:color w:val="000000"/>
        </w:rPr>
        <w:t xml:space="preserve"> estimates that approximately 180</w:t>
      </w:r>
      <w:r>
        <w:rPr>
          <w:color w:val="000000"/>
        </w:rPr>
        <w:t>-200</w:t>
      </w:r>
      <w:r w:rsidRPr="00B80642" w:rsidR="00335019">
        <w:rPr>
          <w:color w:val="000000"/>
        </w:rPr>
        <w:t xml:space="preserve"> government entities would be subject to reporting under 6050X.</w:t>
      </w:r>
    </w:p>
    <w:p w:rsidRPr="00EA6810" w:rsidR="00500398" w:rsidRDefault="00500398">
      <w:pPr>
        <w:rPr>
          <w:color w:val="000000"/>
          <w:u w:val="single"/>
        </w:rPr>
      </w:pPr>
    </w:p>
    <w:p w:rsidRPr="00EA6810" w:rsidR="00C573C8" w:rsidRDefault="00C573C8">
      <w:pPr>
        <w:rPr>
          <w:color w:val="000000"/>
        </w:rPr>
      </w:pPr>
      <w:r w:rsidRPr="00EA6810">
        <w:rPr>
          <w:color w:val="000000"/>
        </w:rPr>
        <w:t xml:space="preserve">  </w:t>
      </w:r>
    </w:p>
    <w:p w:rsidR="007875C3" w:rsidP="00500398" w:rsidRDefault="007875C3">
      <w:pPr>
        <w:pStyle w:val="SupportingStatementSTANDARD"/>
        <w:tabs>
          <w:tab w:val="clear" w:pos="720"/>
        </w:tabs>
        <w:ind w:left="450" w:firstLine="0"/>
        <w:rPr>
          <w:color w:val="000000"/>
        </w:rPr>
      </w:pPr>
    </w:p>
    <w:tbl>
      <w:tblPr>
        <w:tblW w:w="8832"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4"/>
        <w:gridCol w:w="1336"/>
        <w:gridCol w:w="1523"/>
        <w:gridCol w:w="954"/>
        <w:gridCol w:w="1348"/>
        <w:gridCol w:w="1208"/>
        <w:gridCol w:w="1159"/>
      </w:tblGrid>
      <w:tr w:rsidRPr="00EA6810" w:rsidR="007875C3" w:rsidTr="00196249">
        <w:tc>
          <w:tcPr>
            <w:tcW w:w="1350"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sidRPr="00EA6810">
              <w:rPr>
                <w:b/>
                <w:color w:val="000000"/>
              </w:rPr>
              <w:lastRenderedPageBreak/>
              <w:t>OMB Collection</w:t>
            </w:r>
          </w:p>
        </w:tc>
        <w:tc>
          <w:tcPr>
            <w:tcW w:w="1434"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sidRPr="00EA6810">
              <w:rPr>
                <w:b/>
                <w:color w:val="000000"/>
              </w:rPr>
              <w:t>Authority</w:t>
            </w:r>
          </w:p>
        </w:tc>
        <w:tc>
          <w:tcPr>
            <w:tcW w:w="972" w:type="dxa"/>
            <w:tcBorders>
              <w:top w:val="single" w:color="auto" w:sz="4" w:space="0"/>
              <w:left w:val="single" w:color="auto" w:sz="4" w:space="0"/>
              <w:bottom w:val="single" w:color="auto" w:sz="4" w:space="0"/>
              <w:right w:val="single" w:color="auto" w:sz="4" w:space="0"/>
            </w:tcBorders>
          </w:tcPr>
          <w:p w:rsidR="007875C3" w:rsidP="00196249" w:rsidRDefault="007875C3">
            <w:pPr>
              <w:keepNext/>
              <w:keepLines/>
              <w:numPr>
                <w:ilvl w:val="12"/>
                <w:numId w:val="0"/>
              </w:numPr>
              <w:jc w:val="center"/>
              <w:rPr>
                <w:b/>
                <w:color w:val="000000"/>
              </w:rPr>
            </w:pPr>
          </w:p>
          <w:p w:rsidRPr="00EA6810" w:rsidR="007875C3" w:rsidP="00196249" w:rsidRDefault="007875C3">
            <w:pPr>
              <w:keepNext/>
              <w:keepLines/>
              <w:numPr>
                <w:ilvl w:val="12"/>
                <w:numId w:val="0"/>
              </w:numPr>
              <w:jc w:val="center"/>
              <w:rPr>
                <w:b/>
                <w:color w:val="000000"/>
              </w:rPr>
            </w:pPr>
            <w:r>
              <w:rPr>
                <w:b/>
                <w:color w:val="000000"/>
              </w:rPr>
              <w:t xml:space="preserve">Annual </w:t>
            </w:r>
            <w:r w:rsidRPr="00AF7A4D">
              <w:rPr>
                <w:b/>
                <w:color w:val="000000"/>
              </w:rPr>
              <w:t>Respon</w:t>
            </w:r>
            <w:r>
              <w:rPr>
                <w:b/>
                <w:color w:val="000000"/>
              </w:rPr>
              <w:t>dents</w:t>
            </w:r>
          </w:p>
        </w:tc>
        <w:tc>
          <w:tcPr>
            <w:tcW w:w="1105"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sidRPr="00EA6810">
              <w:rPr>
                <w:b/>
                <w:color w:val="000000"/>
              </w:rPr>
              <w:t>Form</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sidRPr="00EA6810">
              <w:rPr>
                <w:b/>
                <w:color w:val="000000"/>
              </w:rPr>
              <w:t>Annual Responses</w:t>
            </w:r>
          </w:p>
        </w:tc>
        <w:tc>
          <w:tcPr>
            <w:tcW w:w="1236"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sidRPr="00EA6810">
              <w:rPr>
                <w:b/>
                <w:color w:val="000000"/>
              </w:rPr>
              <w:t>Hours per Response</w:t>
            </w:r>
          </w:p>
        </w:tc>
        <w:tc>
          <w:tcPr>
            <w:tcW w:w="1315"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sidRPr="00EA6810">
              <w:rPr>
                <w:b/>
                <w:color w:val="000000"/>
              </w:rPr>
              <w:t>Total Burden</w:t>
            </w:r>
          </w:p>
        </w:tc>
      </w:tr>
      <w:tr w:rsidRPr="00EA6810" w:rsidR="007875C3" w:rsidTr="00196249">
        <w:tc>
          <w:tcPr>
            <w:tcW w:w="1350" w:type="dxa"/>
            <w:tcBorders>
              <w:top w:val="single" w:color="auto" w:sz="4" w:space="0"/>
              <w:left w:val="single" w:color="auto" w:sz="4" w:space="0"/>
              <w:bottom w:val="single" w:color="auto" w:sz="4" w:space="0"/>
              <w:right w:val="single" w:color="auto" w:sz="4" w:space="0"/>
            </w:tcBorders>
            <w:hideMark/>
          </w:tcPr>
          <w:p w:rsidRPr="00EA6810" w:rsidR="007875C3" w:rsidP="00196249" w:rsidRDefault="007875C3">
            <w:pPr>
              <w:keepNext/>
              <w:keepLines/>
              <w:numPr>
                <w:ilvl w:val="12"/>
                <w:numId w:val="0"/>
              </w:numPr>
              <w:jc w:val="center"/>
              <w:rPr>
                <w:color w:val="000000"/>
              </w:rPr>
            </w:pPr>
            <w:r w:rsidRPr="00EA6810">
              <w:rPr>
                <w:color w:val="000000"/>
              </w:rPr>
              <w:t>IRS</w:t>
            </w:r>
          </w:p>
          <w:p w:rsidRPr="00EA6810" w:rsidR="007875C3" w:rsidP="00196249" w:rsidRDefault="007875C3">
            <w:pPr>
              <w:keepNext/>
              <w:keepLines/>
              <w:numPr>
                <w:ilvl w:val="12"/>
                <w:numId w:val="0"/>
              </w:numPr>
              <w:jc w:val="center"/>
              <w:rPr>
                <w:color w:val="000000"/>
              </w:rPr>
            </w:pPr>
            <w:r w:rsidRPr="00EA6810">
              <w:rPr>
                <w:color w:val="000000"/>
              </w:rPr>
              <w:t>1545-</w:t>
            </w:r>
            <w:r>
              <w:rPr>
                <w:color w:val="000000"/>
              </w:rPr>
              <w:t>2284</w:t>
            </w:r>
          </w:p>
        </w:tc>
        <w:tc>
          <w:tcPr>
            <w:tcW w:w="1434"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color w:val="000000"/>
              </w:rPr>
            </w:pPr>
            <w:r w:rsidRPr="00EA6810">
              <w:rPr>
                <w:color w:val="000000"/>
              </w:rPr>
              <w:t>IRC</w:t>
            </w:r>
          </w:p>
          <w:p w:rsidRPr="00EA6810" w:rsidR="007875C3" w:rsidP="00196249" w:rsidRDefault="007875C3">
            <w:pPr>
              <w:keepNext/>
              <w:keepLines/>
              <w:numPr>
                <w:ilvl w:val="12"/>
                <w:numId w:val="0"/>
              </w:numPr>
              <w:jc w:val="center"/>
              <w:rPr>
                <w:color w:val="000000"/>
              </w:rPr>
            </w:pPr>
            <w:r w:rsidRPr="00EA6810">
              <w:rPr>
                <w:color w:val="000000"/>
                <w:lang w:val="en"/>
              </w:rPr>
              <w:t>6050X</w:t>
            </w:r>
          </w:p>
        </w:tc>
        <w:tc>
          <w:tcPr>
            <w:tcW w:w="972" w:type="dxa"/>
            <w:tcBorders>
              <w:top w:val="single" w:color="auto" w:sz="4" w:space="0"/>
              <w:left w:val="single" w:color="auto" w:sz="4" w:space="0"/>
              <w:bottom w:val="single" w:color="auto" w:sz="4" w:space="0"/>
              <w:right w:val="single" w:color="auto" w:sz="4" w:space="0"/>
            </w:tcBorders>
          </w:tcPr>
          <w:p w:rsidR="007875C3" w:rsidP="00196249" w:rsidRDefault="007875C3">
            <w:pPr>
              <w:keepNext/>
              <w:keepLines/>
              <w:numPr>
                <w:ilvl w:val="12"/>
                <w:numId w:val="0"/>
              </w:numPr>
              <w:jc w:val="center"/>
              <w:rPr>
                <w:color w:val="000000"/>
              </w:rPr>
            </w:pPr>
          </w:p>
          <w:p w:rsidRPr="00EA6810" w:rsidR="007875C3" w:rsidP="00196249" w:rsidRDefault="007875C3">
            <w:pPr>
              <w:keepNext/>
              <w:keepLines/>
              <w:numPr>
                <w:ilvl w:val="12"/>
                <w:numId w:val="0"/>
              </w:numPr>
              <w:jc w:val="center"/>
              <w:rPr>
                <w:color w:val="000000"/>
              </w:rPr>
            </w:pPr>
            <w:r>
              <w:rPr>
                <w:color w:val="000000"/>
              </w:rPr>
              <w:t>90,100</w:t>
            </w:r>
          </w:p>
        </w:tc>
        <w:tc>
          <w:tcPr>
            <w:tcW w:w="1105"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color w:val="000000"/>
              </w:rPr>
            </w:pPr>
            <w:r w:rsidRPr="00EA6810">
              <w:rPr>
                <w:color w:val="000000"/>
              </w:rPr>
              <w:t>1098-F</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color w:val="000000"/>
              </w:rPr>
            </w:pPr>
            <w:r>
              <w:rPr>
                <w:color w:val="000000"/>
              </w:rPr>
              <w:t>1</w:t>
            </w:r>
          </w:p>
        </w:tc>
        <w:tc>
          <w:tcPr>
            <w:tcW w:w="1236"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color w:val="000000"/>
              </w:rPr>
            </w:pPr>
            <w:r>
              <w:rPr>
                <w:color w:val="000000"/>
              </w:rPr>
              <w:t>.537</w:t>
            </w:r>
          </w:p>
        </w:tc>
        <w:tc>
          <w:tcPr>
            <w:tcW w:w="1315"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color w:val="000000"/>
              </w:rPr>
            </w:pPr>
            <w:r>
              <w:rPr>
                <w:color w:val="000000"/>
              </w:rPr>
              <w:t>48,384</w:t>
            </w:r>
          </w:p>
        </w:tc>
      </w:tr>
      <w:tr w:rsidRPr="00EA6810" w:rsidR="007875C3" w:rsidTr="00196249">
        <w:tc>
          <w:tcPr>
            <w:tcW w:w="1350" w:type="dxa"/>
            <w:tcBorders>
              <w:top w:val="single" w:color="auto" w:sz="4" w:space="0"/>
              <w:left w:val="single" w:color="auto" w:sz="4" w:space="0"/>
              <w:bottom w:val="single" w:color="auto" w:sz="4" w:space="0"/>
              <w:right w:val="single" w:color="auto" w:sz="4" w:space="0"/>
            </w:tcBorders>
          </w:tcPr>
          <w:p w:rsidRPr="00EA6810" w:rsidR="007875C3" w:rsidP="00196249" w:rsidRDefault="007875C3">
            <w:pPr>
              <w:keepNext/>
              <w:keepLines/>
              <w:numPr>
                <w:ilvl w:val="12"/>
                <w:numId w:val="0"/>
              </w:numPr>
              <w:jc w:val="center"/>
              <w:rPr>
                <w:b/>
                <w:color w:val="000000"/>
              </w:rPr>
            </w:pPr>
          </w:p>
        </w:tc>
        <w:tc>
          <w:tcPr>
            <w:tcW w:w="1434"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sidRPr="00EA6810">
              <w:rPr>
                <w:b/>
                <w:color w:val="000000"/>
              </w:rPr>
              <w:t>IRS TOTAL</w:t>
            </w:r>
          </w:p>
        </w:tc>
        <w:tc>
          <w:tcPr>
            <w:tcW w:w="972" w:type="dxa"/>
            <w:tcBorders>
              <w:top w:val="single" w:color="auto" w:sz="4" w:space="0"/>
              <w:left w:val="single" w:color="auto" w:sz="4" w:space="0"/>
              <w:bottom w:val="single" w:color="auto" w:sz="4" w:space="0"/>
              <w:right w:val="single" w:color="auto" w:sz="4" w:space="0"/>
            </w:tcBorders>
          </w:tcPr>
          <w:p w:rsidRPr="00EA6810" w:rsidR="007875C3" w:rsidP="00196249" w:rsidRDefault="007875C3">
            <w:pPr>
              <w:keepNext/>
              <w:keepLines/>
              <w:numPr>
                <w:ilvl w:val="12"/>
                <w:numId w:val="0"/>
              </w:numPr>
              <w:jc w:val="center"/>
              <w:rPr>
                <w:b/>
                <w:color w:val="000000"/>
              </w:rPr>
            </w:pPr>
          </w:p>
        </w:tc>
        <w:tc>
          <w:tcPr>
            <w:tcW w:w="1105" w:type="dxa"/>
            <w:tcBorders>
              <w:top w:val="single" w:color="auto" w:sz="4" w:space="0"/>
              <w:left w:val="single" w:color="auto" w:sz="4" w:space="0"/>
              <w:bottom w:val="single" w:color="auto" w:sz="4" w:space="0"/>
              <w:right w:val="single" w:color="auto" w:sz="4" w:space="0"/>
            </w:tcBorders>
            <w:vAlign w:val="bottom"/>
          </w:tcPr>
          <w:p w:rsidRPr="00EA6810" w:rsidR="007875C3" w:rsidP="00196249" w:rsidRDefault="007875C3">
            <w:pPr>
              <w:keepNext/>
              <w:keepLines/>
              <w:numPr>
                <w:ilvl w:val="12"/>
                <w:numId w:val="0"/>
              </w:numPr>
              <w:jc w:val="center"/>
              <w:rPr>
                <w:b/>
                <w:color w:val="000000"/>
              </w:rPr>
            </w:pPr>
          </w:p>
        </w:tc>
        <w:tc>
          <w:tcPr>
            <w:tcW w:w="1420"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Pr>
                <w:b/>
                <w:color w:val="000000"/>
              </w:rPr>
              <w:t>1</w:t>
            </w:r>
          </w:p>
        </w:tc>
        <w:tc>
          <w:tcPr>
            <w:tcW w:w="1236"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p>
        </w:tc>
        <w:tc>
          <w:tcPr>
            <w:tcW w:w="1315" w:type="dxa"/>
            <w:tcBorders>
              <w:top w:val="single" w:color="auto" w:sz="4" w:space="0"/>
              <w:left w:val="single" w:color="auto" w:sz="4" w:space="0"/>
              <w:bottom w:val="single" w:color="auto" w:sz="4" w:space="0"/>
              <w:right w:val="single" w:color="auto" w:sz="4" w:space="0"/>
            </w:tcBorders>
            <w:vAlign w:val="bottom"/>
            <w:hideMark/>
          </w:tcPr>
          <w:p w:rsidRPr="00EA6810" w:rsidR="007875C3" w:rsidP="00196249" w:rsidRDefault="007875C3">
            <w:pPr>
              <w:keepNext/>
              <w:keepLines/>
              <w:numPr>
                <w:ilvl w:val="12"/>
                <w:numId w:val="0"/>
              </w:numPr>
              <w:jc w:val="center"/>
              <w:rPr>
                <w:b/>
                <w:color w:val="000000"/>
              </w:rPr>
            </w:pPr>
            <w:r>
              <w:rPr>
                <w:b/>
                <w:color w:val="000000"/>
              </w:rPr>
              <w:t>48,384</w:t>
            </w:r>
          </w:p>
        </w:tc>
      </w:tr>
    </w:tbl>
    <w:p w:rsidR="007875C3" w:rsidP="00500398" w:rsidRDefault="007875C3">
      <w:pPr>
        <w:pStyle w:val="SupportingStatementSTANDARD"/>
        <w:tabs>
          <w:tab w:val="clear" w:pos="720"/>
        </w:tabs>
        <w:ind w:left="450" w:firstLine="0"/>
        <w:rPr>
          <w:color w:val="000000"/>
        </w:rPr>
      </w:pPr>
    </w:p>
    <w:p w:rsidR="007875C3" w:rsidP="00500398" w:rsidRDefault="007875C3">
      <w:pPr>
        <w:pStyle w:val="SupportingStatementSTANDARD"/>
        <w:tabs>
          <w:tab w:val="clear" w:pos="720"/>
        </w:tabs>
        <w:ind w:left="450" w:firstLine="0"/>
        <w:rPr>
          <w:color w:val="000000"/>
        </w:rPr>
      </w:pPr>
    </w:p>
    <w:p w:rsidR="007875C3" w:rsidP="00500398" w:rsidRDefault="007875C3">
      <w:pPr>
        <w:pStyle w:val="SupportingStatementSTANDARD"/>
        <w:tabs>
          <w:tab w:val="clear" w:pos="720"/>
        </w:tabs>
        <w:ind w:left="450" w:firstLine="0"/>
        <w:rPr>
          <w:color w:val="000000"/>
        </w:rPr>
      </w:pPr>
    </w:p>
    <w:p w:rsidRPr="00EA6810" w:rsidR="00DD4327" w:rsidP="00500398" w:rsidRDefault="00DD4327">
      <w:pPr>
        <w:pStyle w:val="SupportingStatementSTANDARD"/>
        <w:tabs>
          <w:tab w:val="clear" w:pos="720"/>
        </w:tabs>
        <w:ind w:left="450" w:firstLine="0"/>
        <w:rPr>
          <w:color w:val="000000"/>
        </w:rPr>
      </w:pPr>
      <w:r w:rsidRPr="00EA6810">
        <w:rPr>
          <w:color w:val="000000"/>
        </w:rPr>
        <w:t>Please continue to assign OMB number 1545-</w:t>
      </w:r>
      <w:r w:rsidR="004A5223">
        <w:rPr>
          <w:color w:val="000000"/>
        </w:rPr>
        <w:t>2284</w:t>
      </w:r>
      <w:r w:rsidRPr="00EA6810">
        <w:rPr>
          <w:color w:val="000000"/>
        </w:rPr>
        <w:t xml:space="preserve"> to these regulations.</w:t>
      </w:r>
    </w:p>
    <w:p w:rsidRPr="00EA6810" w:rsidR="00DD4327" w:rsidP="00DD4327" w:rsidRDefault="00DD4327">
      <w:pPr>
        <w:pStyle w:val="SupportingStatementSTANDARD"/>
        <w:ind w:firstLine="0"/>
        <w:rPr>
          <w:color w:val="000000"/>
        </w:rPr>
      </w:pPr>
    </w:p>
    <w:p w:rsidRPr="00EA6810" w:rsidR="00DD4327" w:rsidP="00007D7B" w:rsidRDefault="007F4CD2">
      <w:pPr>
        <w:ind w:left="720"/>
        <w:rPr>
          <w:color w:val="000000"/>
        </w:rPr>
      </w:pPr>
      <w:r>
        <w:rPr>
          <w:color w:val="000000"/>
        </w:rPr>
        <w:t xml:space="preserve">1.162-21 </w:t>
      </w:r>
      <w:r>
        <w:rPr>
          <w:color w:val="000000"/>
        </w:rPr>
        <w:tab/>
      </w:r>
      <w:r>
        <w:rPr>
          <w:color w:val="000000"/>
        </w:rPr>
        <w:tab/>
      </w:r>
      <w:r w:rsidRPr="00EA6810" w:rsidR="00847AA9">
        <w:rPr>
          <w:color w:val="000000"/>
        </w:rPr>
        <w:t>1.</w:t>
      </w:r>
      <w:r w:rsidRPr="00EA6810" w:rsidR="007338E5">
        <w:rPr>
          <w:color w:val="000000"/>
        </w:rPr>
        <w:t>6050</w:t>
      </w:r>
      <w:r w:rsidRPr="00EA6810" w:rsidR="00A92AE0">
        <w:rPr>
          <w:color w:val="000000"/>
        </w:rPr>
        <w:t>X</w:t>
      </w:r>
      <w:r w:rsidRPr="00EA6810" w:rsidR="007338E5">
        <w:rPr>
          <w:color w:val="000000"/>
        </w:rPr>
        <w:t xml:space="preserve"> -x</w:t>
      </w:r>
    </w:p>
    <w:p w:rsidRPr="00EA6810" w:rsidR="00007D7B" w:rsidRDefault="00007D7B">
      <w:pPr>
        <w:rPr>
          <w:color w:val="000000"/>
        </w:rPr>
      </w:pPr>
    </w:p>
    <w:p w:rsidRPr="00EA6810" w:rsidR="00C573C8" w:rsidRDefault="00C573C8">
      <w:pPr>
        <w:rPr>
          <w:bCs/>
          <w:color w:val="000000"/>
        </w:rPr>
      </w:pPr>
      <w:r w:rsidRPr="00EA6810">
        <w:rPr>
          <w:bCs/>
          <w:color w:val="000000"/>
        </w:rPr>
        <w:t xml:space="preserve">13.  </w:t>
      </w:r>
      <w:r w:rsidRPr="00EA6810">
        <w:rPr>
          <w:bCs/>
          <w:color w:val="000000"/>
          <w:u w:val="single"/>
        </w:rPr>
        <w:t>ESTIMATED TOTAL ANNUAL COST BURDEN TO RESPONDENTS</w:t>
      </w:r>
    </w:p>
    <w:p w:rsidRPr="00EA6810" w:rsidR="00C573C8" w:rsidRDefault="00C573C8">
      <w:pPr>
        <w:rPr>
          <w:color w:val="000000"/>
        </w:rPr>
      </w:pPr>
    </w:p>
    <w:p w:rsidRPr="00EA6810" w:rsidR="00C573C8" w:rsidP="00145362" w:rsidRDefault="00C573C8">
      <w:pPr>
        <w:tabs>
          <w:tab w:val="left" w:pos="-1440"/>
        </w:tabs>
        <w:ind w:left="450"/>
        <w:rPr>
          <w:color w:val="000000"/>
        </w:rPr>
      </w:pPr>
      <w:r w:rsidRPr="00EA6810">
        <w:rPr>
          <w:color w:val="000000"/>
        </w:rPr>
        <w:t xml:space="preserve">As suggested by OMB, our </w:t>
      </w:r>
      <w:r w:rsidRPr="00EA6810">
        <w:rPr>
          <w:bCs/>
          <w:i/>
          <w:color w:val="000000"/>
        </w:rPr>
        <w:t>Federal Register</w:t>
      </w:r>
      <w:r w:rsidRPr="00EA6810">
        <w:rPr>
          <w:bCs/>
          <w:color w:val="000000"/>
        </w:rPr>
        <w:t xml:space="preserve"> </w:t>
      </w:r>
      <w:r w:rsidRPr="00EA6810" w:rsidR="00427EF7">
        <w:rPr>
          <w:bCs/>
          <w:color w:val="000000"/>
        </w:rPr>
        <w:t>n</w:t>
      </w:r>
      <w:r w:rsidRPr="00EA6810">
        <w:rPr>
          <w:bCs/>
          <w:color w:val="000000"/>
        </w:rPr>
        <w:t>otice</w:t>
      </w:r>
      <w:r w:rsidRPr="00EA6810">
        <w:rPr>
          <w:color w:val="000000"/>
        </w:rPr>
        <w:t xml:space="preserve"> dated </w:t>
      </w:r>
      <w:r w:rsidR="007875C3">
        <w:rPr>
          <w:color w:val="000000"/>
        </w:rPr>
        <w:t>May 13, 2020</w:t>
      </w:r>
      <w:r w:rsidRPr="00EA6810" w:rsidR="00A84CA1">
        <w:rPr>
          <w:color w:val="000000"/>
        </w:rPr>
        <w:t>,</w:t>
      </w:r>
      <w:r w:rsidRPr="00EA6810" w:rsidR="002F69D6">
        <w:rPr>
          <w:bCs/>
          <w:color w:val="000000"/>
        </w:rPr>
        <w:t xml:space="preserve"> r</w:t>
      </w:r>
      <w:r w:rsidRPr="00EA6810">
        <w:rPr>
          <w:color w:val="000000"/>
        </w:rPr>
        <w:t xml:space="preserve">equested public comments on estimates of cost burden that are not captured in the estimates of burden hours, i.e., estimates of capital or start-up costs and costs of operation, maintenance, and purchase of services to provide information.  However, </w:t>
      </w:r>
      <w:r w:rsidRPr="00EA6810" w:rsidR="00AC5E20">
        <w:rPr>
          <w:color w:val="00000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EA6810">
        <w:rPr>
          <w:color w:val="000000"/>
        </w:rPr>
        <w:t>.</w:t>
      </w:r>
    </w:p>
    <w:p w:rsidRPr="00EA6810" w:rsidR="00D33035" w:rsidRDefault="00D33035">
      <w:pPr>
        <w:rPr>
          <w:color w:val="000000"/>
        </w:rPr>
      </w:pPr>
    </w:p>
    <w:p w:rsidRPr="00EA6810" w:rsidR="00C573C8" w:rsidRDefault="00C573C8">
      <w:pPr>
        <w:rPr>
          <w:bCs/>
          <w:color w:val="000000"/>
        </w:rPr>
      </w:pPr>
      <w:r w:rsidRPr="00EA6810">
        <w:rPr>
          <w:bCs/>
          <w:color w:val="000000"/>
        </w:rPr>
        <w:t xml:space="preserve">14.  </w:t>
      </w:r>
      <w:r w:rsidRPr="00EA6810">
        <w:rPr>
          <w:bCs/>
          <w:color w:val="000000"/>
          <w:u w:val="single"/>
        </w:rPr>
        <w:t>ESTIMATED ANNUALIZED COST TO THE FEDERAL GOVERNMENT</w:t>
      </w:r>
    </w:p>
    <w:p w:rsidRPr="00EA6810" w:rsidR="00C573C8" w:rsidRDefault="00C573C8">
      <w:pPr>
        <w:rPr>
          <w:color w:val="000000"/>
        </w:rPr>
      </w:pPr>
    </w:p>
    <w:p w:rsidRPr="001E7461" w:rsidR="001E7461" w:rsidP="001E7461" w:rsidRDefault="001E7461">
      <w:pPr>
        <w:ind w:left="450"/>
        <w:rPr>
          <w:color w:val="000000"/>
        </w:rPr>
      </w:pPr>
      <w:bookmarkStart w:name="_Hlk523834409" w:id="1"/>
      <w:r w:rsidRPr="001E7461">
        <w:rPr>
          <w:color w:val="000000"/>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1E7461" w:rsidR="001E7461" w:rsidP="001E7461" w:rsidRDefault="001E7461">
      <w:pPr>
        <w:ind w:left="450"/>
        <w:rPr>
          <w:color w:val="000000"/>
        </w:rPr>
      </w:pPr>
    </w:p>
    <w:p w:rsidRPr="001E7461" w:rsidR="001E7461" w:rsidP="001E7461" w:rsidRDefault="001E7461">
      <w:pPr>
        <w:ind w:left="450"/>
        <w:rPr>
          <w:color w:val="000000"/>
        </w:rPr>
      </w:pPr>
      <w:r w:rsidRPr="001E7461">
        <w:rPr>
          <w:color w:val="000000"/>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1E7461" w:rsidR="001E7461" w:rsidP="001E7461" w:rsidRDefault="001E7461">
      <w:pPr>
        <w:ind w:left="450"/>
        <w:rPr>
          <w:color w:val="000000"/>
        </w:rPr>
      </w:pPr>
    </w:p>
    <w:p w:rsidRPr="001E7461" w:rsidR="001E7461" w:rsidP="001E7461" w:rsidRDefault="001E7461">
      <w:pPr>
        <w:ind w:left="450"/>
        <w:rPr>
          <w:color w:val="000000"/>
        </w:rPr>
      </w:pPr>
      <w:r w:rsidRPr="001E7461">
        <w:rPr>
          <w:color w:val="000000"/>
        </w:rPr>
        <w:t>The government cost estimate for this collection is summarized in the table below.</w:t>
      </w:r>
    </w:p>
    <w:p w:rsidRPr="001E7461" w:rsidR="001E7461" w:rsidP="001E7461" w:rsidRDefault="001E7461">
      <w:pPr>
        <w:ind w:left="450"/>
        <w:rPr>
          <w:color w:val="000000"/>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1E7461" w:rsidR="001E7461" w:rsidTr="001E7461">
        <w:tc>
          <w:tcPr>
            <w:tcW w:w="2358" w:type="dxa"/>
            <w:shd w:val="clear" w:color="auto" w:fill="auto"/>
            <w:vAlign w:val="bottom"/>
          </w:tcPr>
          <w:p w:rsidRPr="001E7461" w:rsidR="001E7461" w:rsidP="001E7461" w:rsidRDefault="001E7461">
            <w:pPr>
              <w:ind w:left="450"/>
              <w:rPr>
                <w:rFonts w:ascii="Arial Narrow" w:hAnsi="Arial Narrow"/>
                <w:b/>
                <w:color w:val="000000"/>
                <w:sz w:val="18"/>
                <w:szCs w:val="18"/>
                <w:u w:val="single"/>
              </w:rPr>
            </w:pPr>
            <w:r w:rsidRPr="001E7461">
              <w:rPr>
                <w:rFonts w:ascii="Arial Narrow" w:hAnsi="Arial Narrow"/>
                <w:b/>
                <w:color w:val="000000"/>
                <w:sz w:val="18"/>
                <w:szCs w:val="18"/>
                <w:u w:val="single"/>
              </w:rPr>
              <w:t>Product</w:t>
            </w:r>
          </w:p>
        </w:tc>
        <w:tc>
          <w:tcPr>
            <w:tcW w:w="1980" w:type="dxa"/>
            <w:shd w:val="clear" w:color="auto" w:fill="auto"/>
            <w:vAlign w:val="bottom"/>
          </w:tcPr>
          <w:p w:rsidRPr="001E7461" w:rsidR="001E7461" w:rsidP="001E7461" w:rsidRDefault="001E7461">
            <w:pPr>
              <w:ind w:left="450"/>
              <w:rPr>
                <w:rFonts w:ascii="Arial Narrow" w:hAnsi="Arial Narrow"/>
                <w:b/>
                <w:color w:val="000000"/>
                <w:sz w:val="18"/>
                <w:szCs w:val="18"/>
                <w:u w:val="single"/>
              </w:rPr>
            </w:pPr>
            <w:r w:rsidRPr="001E7461">
              <w:rPr>
                <w:rFonts w:ascii="Arial Narrow" w:hAnsi="Arial Narrow"/>
                <w:b/>
                <w:color w:val="000000"/>
                <w:sz w:val="18"/>
                <w:szCs w:val="18"/>
                <w:u w:val="single"/>
              </w:rPr>
              <w:t>Aggregate Cost per Product (factor applied)</w:t>
            </w:r>
          </w:p>
        </w:tc>
        <w:tc>
          <w:tcPr>
            <w:tcW w:w="303" w:type="dxa"/>
            <w:shd w:val="clear" w:color="auto" w:fill="auto"/>
          </w:tcPr>
          <w:p w:rsidRPr="001E7461" w:rsidR="001E7461" w:rsidP="001E7461" w:rsidRDefault="001E7461">
            <w:pPr>
              <w:ind w:left="450"/>
              <w:rPr>
                <w:rFonts w:ascii="Arial Narrow" w:hAnsi="Arial Narrow"/>
                <w:b/>
                <w:color w:val="000000"/>
                <w:sz w:val="18"/>
                <w:szCs w:val="18"/>
                <w:u w:val="single"/>
              </w:rPr>
            </w:pPr>
          </w:p>
        </w:tc>
        <w:tc>
          <w:tcPr>
            <w:tcW w:w="1745" w:type="dxa"/>
            <w:shd w:val="clear" w:color="auto" w:fill="auto"/>
            <w:vAlign w:val="bottom"/>
          </w:tcPr>
          <w:p w:rsidRPr="001E7461" w:rsidR="001E7461" w:rsidP="001E7461" w:rsidRDefault="001E7461">
            <w:pPr>
              <w:ind w:left="450"/>
              <w:rPr>
                <w:rFonts w:ascii="Arial Narrow" w:hAnsi="Arial Narrow"/>
                <w:b/>
                <w:color w:val="000000"/>
                <w:sz w:val="18"/>
                <w:szCs w:val="18"/>
                <w:u w:val="single"/>
              </w:rPr>
            </w:pPr>
            <w:r w:rsidRPr="001E7461">
              <w:rPr>
                <w:rFonts w:ascii="Arial Narrow" w:hAnsi="Arial Narrow"/>
                <w:b/>
                <w:color w:val="000000"/>
                <w:sz w:val="18"/>
                <w:szCs w:val="18"/>
                <w:u w:val="single"/>
              </w:rPr>
              <w:t>Printing and Distribution</w:t>
            </w:r>
          </w:p>
        </w:tc>
        <w:tc>
          <w:tcPr>
            <w:tcW w:w="387" w:type="dxa"/>
            <w:shd w:val="clear" w:color="auto" w:fill="auto"/>
          </w:tcPr>
          <w:p w:rsidRPr="001E7461" w:rsidR="001E7461" w:rsidP="001E7461" w:rsidRDefault="001E7461">
            <w:pPr>
              <w:ind w:left="450"/>
              <w:rPr>
                <w:rFonts w:ascii="Arial Narrow" w:hAnsi="Arial Narrow"/>
                <w:b/>
                <w:color w:val="000000"/>
                <w:sz w:val="18"/>
                <w:szCs w:val="18"/>
                <w:u w:val="single"/>
              </w:rPr>
            </w:pPr>
          </w:p>
        </w:tc>
        <w:tc>
          <w:tcPr>
            <w:tcW w:w="1582" w:type="dxa"/>
            <w:shd w:val="clear" w:color="auto" w:fill="auto"/>
            <w:vAlign w:val="bottom"/>
          </w:tcPr>
          <w:p w:rsidRPr="001E7461" w:rsidR="001E7461" w:rsidP="001E7461" w:rsidRDefault="001E7461">
            <w:pPr>
              <w:ind w:left="450"/>
              <w:rPr>
                <w:rFonts w:ascii="Arial Narrow" w:hAnsi="Arial Narrow"/>
                <w:b/>
                <w:color w:val="000000"/>
                <w:sz w:val="18"/>
                <w:szCs w:val="18"/>
                <w:u w:val="single"/>
              </w:rPr>
            </w:pPr>
            <w:r w:rsidRPr="001E7461">
              <w:rPr>
                <w:rFonts w:ascii="Arial Narrow" w:hAnsi="Arial Narrow"/>
                <w:b/>
                <w:color w:val="000000"/>
                <w:sz w:val="18"/>
                <w:szCs w:val="18"/>
                <w:u w:val="single"/>
              </w:rPr>
              <w:t>Government Cost Estimate per Product</w:t>
            </w:r>
          </w:p>
        </w:tc>
      </w:tr>
      <w:tr w:rsidRPr="001E7461" w:rsidR="001E7461" w:rsidTr="001E7461">
        <w:tc>
          <w:tcPr>
            <w:tcW w:w="2358" w:type="dxa"/>
            <w:shd w:val="clear" w:color="auto" w:fill="auto"/>
            <w:vAlign w:val="bottom"/>
          </w:tcPr>
          <w:p w:rsidRPr="001E7461" w:rsidR="001E7461" w:rsidP="001E7461" w:rsidRDefault="001E7461">
            <w:pPr>
              <w:ind w:left="450"/>
              <w:rPr>
                <w:rFonts w:ascii="Arial Narrow" w:hAnsi="Arial Narrow"/>
                <w:color w:val="000000"/>
                <w:sz w:val="18"/>
                <w:szCs w:val="18"/>
              </w:rPr>
            </w:pPr>
            <w:r w:rsidRPr="001E7461">
              <w:rPr>
                <w:rFonts w:ascii="Arial Narrow" w:hAnsi="Arial Narrow"/>
                <w:color w:val="000000"/>
                <w:sz w:val="18"/>
                <w:szCs w:val="18"/>
              </w:rPr>
              <w:lastRenderedPageBreak/>
              <w:t xml:space="preserve">Form </w:t>
            </w:r>
          </w:p>
        </w:tc>
        <w:tc>
          <w:tcPr>
            <w:tcW w:w="1980" w:type="dxa"/>
            <w:shd w:val="clear" w:color="auto" w:fill="auto"/>
            <w:vAlign w:val="bottom"/>
          </w:tcPr>
          <w:p w:rsidR="001E7461" w:rsidP="001E7461" w:rsidRDefault="001E7461">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 $      75,866 </w:t>
            </w:r>
          </w:p>
        </w:tc>
        <w:tc>
          <w:tcPr>
            <w:tcW w:w="303" w:type="dxa"/>
            <w:shd w:val="clear" w:color="auto" w:fill="auto"/>
            <w:vAlign w:val="bottom"/>
          </w:tcPr>
          <w:p w:rsidR="001E7461" w:rsidP="001E7461" w:rsidRDefault="001E7461">
            <w:pPr>
              <w:jc w:val="right"/>
              <w:rPr>
                <w:rFonts w:ascii="Calibri" w:hAnsi="Calibri" w:cs="Calibri"/>
                <w:color w:val="000000"/>
                <w:sz w:val="22"/>
                <w:szCs w:val="22"/>
              </w:rPr>
            </w:pPr>
          </w:p>
        </w:tc>
        <w:tc>
          <w:tcPr>
            <w:tcW w:w="1745" w:type="dxa"/>
            <w:shd w:val="clear" w:color="auto" w:fill="auto"/>
            <w:vAlign w:val="bottom"/>
          </w:tcPr>
          <w:p w:rsidR="001E7461" w:rsidP="001E7461" w:rsidRDefault="001E7461">
            <w:pPr>
              <w:jc w:val="right"/>
              <w:rPr>
                <w:rFonts w:ascii="Calibri" w:hAnsi="Calibri" w:cs="Calibri"/>
                <w:color w:val="000000"/>
                <w:sz w:val="22"/>
                <w:szCs w:val="22"/>
              </w:rPr>
            </w:pPr>
            <w:r>
              <w:rPr>
                <w:rFonts w:ascii="Calibri" w:hAnsi="Calibri" w:cs="Calibri"/>
                <w:color w:val="FF0000"/>
                <w:sz w:val="22"/>
                <w:szCs w:val="22"/>
              </w:rPr>
              <w:t>($0)</w:t>
            </w:r>
          </w:p>
        </w:tc>
        <w:tc>
          <w:tcPr>
            <w:tcW w:w="387" w:type="dxa"/>
            <w:shd w:val="clear" w:color="auto" w:fill="auto"/>
            <w:vAlign w:val="bottom"/>
          </w:tcPr>
          <w:p w:rsidR="001E7461" w:rsidP="001E7461" w:rsidRDefault="001E7461">
            <w:pPr>
              <w:rPr>
                <w:rFonts w:ascii="Calibri" w:hAnsi="Calibri" w:cs="Calibri"/>
                <w:color w:val="000000"/>
                <w:sz w:val="22"/>
                <w:szCs w:val="22"/>
              </w:rPr>
            </w:pPr>
          </w:p>
        </w:tc>
        <w:tc>
          <w:tcPr>
            <w:tcW w:w="1582" w:type="dxa"/>
            <w:shd w:val="clear" w:color="auto" w:fill="auto"/>
            <w:vAlign w:val="bottom"/>
          </w:tcPr>
          <w:p w:rsidR="001E7461" w:rsidP="001E7461" w:rsidRDefault="001E7461">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 $      75,866 </w:t>
            </w:r>
          </w:p>
        </w:tc>
      </w:tr>
      <w:tr w:rsidRPr="001E7461" w:rsidR="001E7461" w:rsidTr="001E7461">
        <w:tc>
          <w:tcPr>
            <w:tcW w:w="2358" w:type="dxa"/>
            <w:shd w:val="clear" w:color="auto" w:fill="auto"/>
            <w:vAlign w:val="bottom"/>
          </w:tcPr>
          <w:p w:rsidRPr="001E7461" w:rsidR="001E7461" w:rsidP="001E7461" w:rsidRDefault="001E7461">
            <w:pPr>
              <w:ind w:left="450"/>
              <w:rPr>
                <w:rFonts w:ascii="Arial Narrow" w:hAnsi="Arial Narrow"/>
                <w:color w:val="000000"/>
                <w:sz w:val="18"/>
                <w:szCs w:val="18"/>
              </w:rPr>
            </w:pPr>
          </w:p>
        </w:tc>
        <w:tc>
          <w:tcPr>
            <w:tcW w:w="1980" w:type="dxa"/>
            <w:shd w:val="clear" w:color="auto" w:fill="auto"/>
          </w:tcPr>
          <w:p w:rsidRPr="001E7461" w:rsidR="001E7461" w:rsidP="001E7461" w:rsidRDefault="001E7461">
            <w:pPr>
              <w:ind w:left="450"/>
              <w:rPr>
                <w:rFonts w:ascii="Arial Narrow" w:hAnsi="Arial Narrow"/>
                <w:color w:val="000000"/>
                <w:sz w:val="18"/>
                <w:szCs w:val="18"/>
              </w:rPr>
            </w:pPr>
          </w:p>
        </w:tc>
        <w:tc>
          <w:tcPr>
            <w:tcW w:w="303" w:type="dxa"/>
            <w:shd w:val="clear" w:color="auto" w:fill="auto"/>
          </w:tcPr>
          <w:p w:rsidRPr="001E7461" w:rsidR="001E7461" w:rsidP="001E7461" w:rsidRDefault="001E7461">
            <w:pPr>
              <w:ind w:left="450"/>
              <w:rPr>
                <w:rFonts w:ascii="Arial Narrow" w:hAnsi="Arial Narrow"/>
                <w:color w:val="000000"/>
                <w:sz w:val="18"/>
                <w:szCs w:val="18"/>
              </w:rPr>
            </w:pPr>
          </w:p>
        </w:tc>
        <w:tc>
          <w:tcPr>
            <w:tcW w:w="1745" w:type="dxa"/>
            <w:shd w:val="clear" w:color="auto" w:fill="auto"/>
          </w:tcPr>
          <w:p w:rsidRPr="001E7461" w:rsidR="001E7461" w:rsidP="001E7461" w:rsidRDefault="001E7461">
            <w:pPr>
              <w:ind w:left="450"/>
              <w:rPr>
                <w:rFonts w:ascii="Arial Narrow" w:hAnsi="Arial Narrow"/>
                <w:color w:val="000000"/>
                <w:sz w:val="18"/>
                <w:szCs w:val="18"/>
              </w:rPr>
            </w:pPr>
          </w:p>
        </w:tc>
        <w:tc>
          <w:tcPr>
            <w:tcW w:w="387" w:type="dxa"/>
            <w:shd w:val="clear" w:color="auto" w:fill="auto"/>
          </w:tcPr>
          <w:p w:rsidRPr="001E7461" w:rsidR="001E7461" w:rsidP="001E7461" w:rsidRDefault="001E7461">
            <w:pPr>
              <w:ind w:left="450"/>
              <w:rPr>
                <w:rFonts w:ascii="Arial Narrow" w:hAnsi="Arial Narrow"/>
                <w:color w:val="000000"/>
                <w:sz w:val="18"/>
                <w:szCs w:val="18"/>
              </w:rPr>
            </w:pPr>
          </w:p>
        </w:tc>
        <w:tc>
          <w:tcPr>
            <w:tcW w:w="1582" w:type="dxa"/>
            <w:shd w:val="clear" w:color="auto" w:fill="auto"/>
          </w:tcPr>
          <w:p w:rsidRPr="001E7461" w:rsidR="001E7461" w:rsidP="001E7461" w:rsidRDefault="001E7461">
            <w:pPr>
              <w:ind w:left="450"/>
              <w:rPr>
                <w:rFonts w:ascii="Arial Narrow" w:hAnsi="Arial Narrow"/>
                <w:color w:val="000000"/>
                <w:sz w:val="18"/>
                <w:szCs w:val="18"/>
              </w:rPr>
            </w:pPr>
          </w:p>
        </w:tc>
      </w:tr>
      <w:tr w:rsidRPr="001E7461" w:rsidR="001E7461" w:rsidTr="001E7461">
        <w:tc>
          <w:tcPr>
            <w:tcW w:w="2358" w:type="dxa"/>
            <w:shd w:val="clear" w:color="auto" w:fill="auto"/>
          </w:tcPr>
          <w:p w:rsidRPr="001E7461" w:rsidR="001E7461" w:rsidP="001E7461" w:rsidRDefault="001E7461">
            <w:pPr>
              <w:ind w:left="450"/>
              <w:rPr>
                <w:rFonts w:ascii="Arial Narrow" w:hAnsi="Arial Narrow"/>
                <w:b/>
                <w:color w:val="000000"/>
                <w:sz w:val="18"/>
                <w:szCs w:val="18"/>
              </w:rPr>
            </w:pPr>
            <w:r w:rsidRPr="001E7461">
              <w:rPr>
                <w:rFonts w:ascii="Arial Narrow" w:hAnsi="Arial Narrow"/>
                <w:b/>
                <w:color w:val="000000"/>
                <w:sz w:val="18"/>
                <w:szCs w:val="18"/>
              </w:rPr>
              <w:t>Grand Total</w:t>
            </w:r>
          </w:p>
        </w:tc>
        <w:tc>
          <w:tcPr>
            <w:tcW w:w="1980" w:type="dxa"/>
            <w:shd w:val="clear" w:color="auto" w:fill="auto"/>
            <w:vAlign w:val="bottom"/>
          </w:tcPr>
          <w:p w:rsidR="001E7461" w:rsidP="001E7461" w:rsidRDefault="001E7461">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 $      75,866 </w:t>
            </w:r>
          </w:p>
        </w:tc>
        <w:tc>
          <w:tcPr>
            <w:tcW w:w="303" w:type="dxa"/>
            <w:shd w:val="clear" w:color="auto" w:fill="auto"/>
            <w:vAlign w:val="bottom"/>
          </w:tcPr>
          <w:p w:rsidR="001E7461" w:rsidP="001E7461" w:rsidRDefault="001E7461">
            <w:pPr>
              <w:jc w:val="right"/>
              <w:rPr>
                <w:rFonts w:ascii="Calibri" w:hAnsi="Calibri" w:cs="Calibri"/>
                <w:color w:val="000000"/>
                <w:sz w:val="22"/>
                <w:szCs w:val="22"/>
              </w:rPr>
            </w:pPr>
          </w:p>
        </w:tc>
        <w:tc>
          <w:tcPr>
            <w:tcW w:w="1745" w:type="dxa"/>
            <w:shd w:val="clear" w:color="auto" w:fill="auto"/>
            <w:vAlign w:val="bottom"/>
          </w:tcPr>
          <w:p w:rsidR="001E7461" w:rsidP="001E7461" w:rsidRDefault="001E7461">
            <w:pPr>
              <w:jc w:val="right"/>
              <w:rPr>
                <w:rFonts w:ascii="Calibri" w:hAnsi="Calibri" w:cs="Calibri"/>
                <w:color w:val="000000"/>
                <w:sz w:val="22"/>
                <w:szCs w:val="22"/>
              </w:rPr>
            </w:pPr>
            <w:r>
              <w:rPr>
                <w:rFonts w:ascii="Calibri" w:hAnsi="Calibri" w:cs="Calibri"/>
                <w:color w:val="FF0000"/>
                <w:sz w:val="22"/>
                <w:szCs w:val="22"/>
              </w:rPr>
              <w:t>($0)</w:t>
            </w:r>
          </w:p>
        </w:tc>
        <w:tc>
          <w:tcPr>
            <w:tcW w:w="387" w:type="dxa"/>
            <w:shd w:val="clear" w:color="auto" w:fill="auto"/>
            <w:vAlign w:val="bottom"/>
          </w:tcPr>
          <w:p w:rsidR="001E7461" w:rsidP="001E7461" w:rsidRDefault="001E7461">
            <w:pPr>
              <w:rPr>
                <w:rFonts w:ascii="Calibri" w:hAnsi="Calibri" w:cs="Calibri"/>
                <w:color w:val="000000"/>
                <w:sz w:val="22"/>
                <w:szCs w:val="22"/>
              </w:rPr>
            </w:pPr>
          </w:p>
        </w:tc>
        <w:tc>
          <w:tcPr>
            <w:tcW w:w="1582" w:type="dxa"/>
            <w:shd w:val="clear" w:color="auto" w:fill="auto"/>
            <w:vAlign w:val="bottom"/>
          </w:tcPr>
          <w:p w:rsidR="001E7461" w:rsidP="001E7461" w:rsidRDefault="001E7461">
            <w:pPr>
              <w:widowControl/>
              <w:autoSpaceDE/>
              <w:autoSpaceDN/>
              <w:adjustRightInd/>
              <w:rPr>
                <w:rFonts w:ascii="Calibri" w:hAnsi="Calibri" w:cs="Calibri"/>
                <w:color w:val="000000"/>
                <w:sz w:val="22"/>
                <w:szCs w:val="22"/>
              </w:rPr>
            </w:pPr>
            <w:r>
              <w:rPr>
                <w:rFonts w:ascii="Calibri" w:hAnsi="Calibri" w:cs="Calibri"/>
                <w:color w:val="000000"/>
                <w:sz w:val="22"/>
                <w:szCs w:val="22"/>
              </w:rPr>
              <w:t xml:space="preserve"> $      75,866 </w:t>
            </w:r>
          </w:p>
        </w:tc>
      </w:tr>
      <w:tr w:rsidRPr="001E7461" w:rsidR="001E7461" w:rsidTr="001E7461">
        <w:tc>
          <w:tcPr>
            <w:tcW w:w="8355" w:type="dxa"/>
            <w:gridSpan w:val="6"/>
            <w:shd w:val="clear" w:color="auto" w:fill="auto"/>
          </w:tcPr>
          <w:p w:rsidRPr="001E7461" w:rsidR="001E7461" w:rsidP="001E7461" w:rsidRDefault="001E7461">
            <w:pPr>
              <w:ind w:left="450"/>
              <w:rPr>
                <w:rFonts w:ascii="Arial Narrow" w:hAnsi="Arial Narrow"/>
                <w:color w:val="000000"/>
                <w:sz w:val="18"/>
                <w:szCs w:val="18"/>
              </w:rPr>
            </w:pPr>
            <w:r w:rsidRPr="001E7461">
              <w:rPr>
                <w:rFonts w:ascii="Arial Narrow" w:hAnsi="Arial Narrow"/>
                <w:color w:val="000000"/>
                <w:sz w:val="18"/>
                <w:szCs w:val="18"/>
              </w:rPr>
              <w:t>Table costs are based on 2018 actuals obtained from IRS Chief Financial Office and Media and Publications</w:t>
            </w:r>
          </w:p>
        </w:tc>
      </w:tr>
      <w:tr w:rsidRPr="001E7461" w:rsidR="001E7461" w:rsidTr="001E7461">
        <w:tc>
          <w:tcPr>
            <w:tcW w:w="8355" w:type="dxa"/>
            <w:gridSpan w:val="6"/>
            <w:shd w:val="clear" w:color="auto" w:fill="auto"/>
          </w:tcPr>
          <w:p w:rsidRPr="001E7461" w:rsidR="001E7461" w:rsidP="001E7461" w:rsidRDefault="001E7461">
            <w:pPr>
              <w:ind w:left="450"/>
              <w:rPr>
                <w:rFonts w:ascii="Arial Narrow" w:hAnsi="Arial Narrow"/>
                <w:color w:val="000000"/>
                <w:sz w:val="18"/>
                <w:szCs w:val="18"/>
              </w:rPr>
            </w:pPr>
            <w:r w:rsidRPr="001E7461">
              <w:rPr>
                <w:rFonts w:ascii="Arial Narrow" w:hAnsi="Arial Narrow"/>
                <w:color w:val="000000"/>
                <w:sz w:val="18"/>
                <w:szCs w:val="18"/>
              </w:rPr>
              <w:t xml:space="preserve">* New product costs will be included in the next collection update. </w:t>
            </w:r>
          </w:p>
        </w:tc>
      </w:tr>
      <w:bookmarkEnd w:id="1"/>
    </w:tbl>
    <w:p w:rsidRPr="00EA6810" w:rsidR="00C573C8" w:rsidP="00D33035" w:rsidRDefault="00C573C8">
      <w:pPr>
        <w:ind w:left="450"/>
        <w:rPr>
          <w:color w:val="000000"/>
        </w:rPr>
      </w:pPr>
    </w:p>
    <w:p w:rsidRPr="00EA6810" w:rsidR="00C573C8" w:rsidRDefault="00C573C8">
      <w:pPr>
        <w:rPr>
          <w:color w:val="000000"/>
        </w:rPr>
      </w:pPr>
    </w:p>
    <w:p w:rsidRPr="00EA6810" w:rsidR="00C573C8" w:rsidRDefault="00C573C8">
      <w:pPr>
        <w:rPr>
          <w:color w:val="000000"/>
        </w:rPr>
      </w:pPr>
      <w:r w:rsidRPr="00EA6810">
        <w:rPr>
          <w:bCs/>
          <w:color w:val="000000"/>
        </w:rPr>
        <w:t xml:space="preserve">15.  </w:t>
      </w:r>
      <w:r w:rsidRPr="00EA6810">
        <w:rPr>
          <w:bCs/>
          <w:color w:val="000000"/>
          <w:u w:val="single"/>
        </w:rPr>
        <w:t>REASONS FOR CHANGE IN BURDEN</w:t>
      </w:r>
    </w:p>
    <w:p w:rsidRPr="00EA6810" w:rsidR="00C573C8" w:rsidRDefault="00C573C8">
      <w:pPr>
        <w:ind w:left="720" w:hanging="720"/>
        <w:rPr>
          <w:bCs/>
          <w:color w:val="000000"/>
        </w:rPr>
      </w:pPr>
      <w:r w:rsidRPr="00EA6810">
        <w:rPr>
          <w:color w:val="000000"/>
        </w:rPr>
        <w:t xml:space="preserve">    </w:t>
      </w:r>
    </w:p>
    <w:p w:rsidR="00A12BB6" w:rsidP="00A92AE0" w:rsidRDefault="00A92AE0">
      <w:pPr>
        <w:ind w:left="450"/>
        <w:rPr>
          <w:color w:val="000000"/>
        </w:rPr>
      </w:pPr>
      <w:r w:rsidRPr="00A92AE0">
        <w:rPr>
          <w:color w:val="000000"/>
        </w:rPr>
        <w:t>The Treasury Department and the IRS</w:t>
      </w:r>
      <w:r>
        <w:rPr>
          <w:color w:val="000000"/>
        </w:rPr>
        <w:t xml:space="preserve"> </w:t>
      </w:r>
      <w:r w:rsidR="007875C3">
        <w:rPr>
          <w:color w:val="000000"/>
        </w:rPr>
        <w:t>issued</w:t>
      </w:r>
      <w:r w:rsidRPr="00A92AE0">
        <w:rPr>
          <w:color w:val="000000"/>
        </w:rPr>
        <w:t xml:space="preserve"> </w:t>
      </w:r>
      <w:r w:rsidR="002B250D">
        <w:rPr>
          <w:color w:val="000000"/>
        </w:rPr>
        <w:t xml:space="preserve">proposed </w:t>
      </w:r>
      <w:r w:rsidRPr="00A92AE0">
        <w:rPr>
          <w:color w:val="000000"/>
        </w:rPr>
        <w:t>regulations</w:t>
      </w:r>
      <w:r>
        <w:rPr>
          <w:color w:val="000000"/>
        </w:rPr>
        <w:t xml:space="preserve"> </w:t>
      </w:r>
      <w:r w:rsidR="00CC7478">
        <w:rPr>
          <w:color w:val="000000"/>
        </w:rPr>
        <w:t xml:space="preserve">(1545-BO67), </w:t>
      </w:r>
      <w:r w:rsidRPr="00A92AE0">
        <w:rPr>
          <w:color w:val="000000"/>
        </w:rPr>
        <w:t>amending and adding sections to the Income</w:t>
      </w:r>
      <w:r>
        <w:rPr>
          <w:color w:val="000000"/>
        </w:rPr>
        <w:t xml:space="preserve"> </w:t>
      </w:r>
      <w:r w:rsidRPr="00A92AE0">
        <w:rPr>
          <w:color w:val="000000"/>
        </w:rPr>
        <w:t>Tax Regulations with respect to</w:t>
      </w:r>
      <w:r>
        <w:rPr>
          <w:color w:val="000000"/>
        </w:rPr>
        <w:t xml:space="preserve"> sections</w:t>
      </w:r>
      <w:r w:rsidRPr="00A92AE0">
        <w:rPr>
          <w:color w:val="000000"/>
        </w:rPr>
        <w:t xml:space="preserve"> 162(f) and 6050X. </w:t>
      </w:r>
      <w:r w:rsidRPr="00A12BB6" w:rsidR="00A12BB6">
        <w:rPr>
          <w:color w:val="000000"/>
        </w:rPr>
        <w:t>The estimate of 90,100 is based on the estimated number of governments, governmental entities, and non-governmental entities that are treated as governmental entities under the reporting requirements set forth in the proposed regulations.</w:t>
      </w:r>
    </w:p>
    <w:p w:rsidRPr="00EA6810" w:rsidR="00A92AE0" w:rsidP="00A92AE0" w:rsidRDefault="00A92AE0">
      <w:pPr>
        <w:ind w:left="450"/>
        <w:rPr>
          <w:color w:val="000000"/>
        </w:rPr>
      </w:pPr>
    </w:p>
    <w:p w:rsidR="001E7461" w:rsidP="00D33035" w:rsidRDefault="0008113F">
      <w:pPr>
        <w:ind w:left="450"/>
        <w:rPr>
          <w:color w:val="000000"/>
        </w:rPr>
      </w:pPr>
      <w:r w:rsidRPr="0008113F">
        <w:rPr>
          <w:color w:val="000000"/>
        </w:rPr>
        <w:t>Updated filing figures indicate an increase in the estimated annual responses by 41,716.  This increase will result in a total estimated annual burden increase of 42,720 hours.  This submission is being made to revise and extend the current approval as required in the Paperwork Reduction Act.</w:t>
      </w:r>
    </w:p>
    <w:p w:rsidR="0008113F" w:rsidP="00D33035" w:rsidRDefault="0008113F">
      <w:pPr>
        <w:ind w:left="450"/>
        <w:rPr>
          <w:color w:val="000000"/>
        </w:rPr>
      </w:pPr>
    </w:p>
    <w:p w:rsidR="0008113F" w:rsidP="00D33035" w:rsidRDefault="0008113F">
      <w:pPr>
        <w:ind w:left="450"/>
        <w:rPr>
          <w:color w:val="000000"/>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31"/>
        <w:gridCol w:w="1430"/>
        <w:gridCol w:w="1430"/>
        <w:gridCol w:w="1430"/>
        <w:gridCol w:w="1430"/>
        <w:gridCol w:w="953"/>
        <w:gridCol w:w="1430"/>
      </w:tblGrid>
      <w:tr w:rsidRPr="001E7461" w:rsidR="0008113F" w:rsidTr="00196249">
        <w:tc>
          <w:tcPr>
            <w:tcW w:w="750" w:type="pct"/>
            <w:tcBorders>
              <w:top w:val="outset" w:color="auto" w:sz="6" w:space="0"/>
              <w:left w:val="outset" w:color="auto" w:sz="6" w:space="0"/>
              <w:bottom w:val="outset" w:color="auto" w:sz="6" w:space="0"/>
              <w:right w:val="outset" w:color="auto" w:sz="6" w:space="0"/>
            </w:tcBorders>
            <w:vAlign w:val="center"/>
            <w:hideMark/>
          </w:tcPr>
          <w:p w:rsidRPr="001E7461" w:rsidR="0008113F" w:rsidP="00196249" w:rsidRDefault="0008113F">
            <w:pPr>
              <w:widowControl/>
              <w:autoSpaceDE/>
              <w:autoSpaceDN/>
              <w:adjustRightInd/>
              <w:jc w:val="center"/>
              <w:rPr>
                <w:rFonts w:ascii="Arial Narrow" w:hAnsi="Arial Narrow" w:cs="Arial"/>
                <w:b/>
                <w:bCs/>
                <w:color w:val="000000"/>
                <w:sz w:val="18"/>
                <w:szCs w:val="18"/>
              </w:rPr>
            </w:pPr>
            <w:r w:rsidRPr="001E7461">
              <w:rPr>
                <w:rFonts w:ascii="Arial Narrow" w:hAnsi="Arial Narrow" w:cs="Arial"/>
                <w:b/>
                <w:bCs/>
                <w:color w:val="000000"/>
                <w:sz w:val="18"/>
                <w:szCs w:val="18"/>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E7461" w:rsidR="0008113F" w:rsidP="00196249" w:rsidRDefault="0008113F">
            <w:pPr>
              <w:widowControl/>
              <w:autoSpaceDE/>
              <w:autoSpaceDN/>
              <w:adjustRightInd/>
              <w:jc w:val="center"/>
              <w:rPr>
                <w:rFonts w:ascii="Arial Narrow" w:hAnsi="Arial Narrow" w:cs="Arial"/>
                <w:b/>
                <w:bCs/>
                <w:color w:val="000000"/>
                <w:sz w:val="18"/>
                <w:szCs w:val="18"/>
              </w:rPr>
            </w:pPr>
            <w:r w:rsidRPr="001E7461">
              <w:rPr>
                <w:rFonts w:ascii="Arial Narrow" w:hAnsi="Arial Narrow" w:cs="Arial"/>
                <w:b/>
                <w:bCs/>
                <w:color w:val="000000"/>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E7461" w:rsidR="0008113F" w:rsidP="00196249" w:rsidRDefault="0008113F">
            <w:pPr>
              <w:widowControl/>
              <w:autoSpaceDE/>
              <w:autoSpaceDN/>
              <w:adjustRightInd/>
              <w:jc w:val="center"/>
              <w:rPr>
                <w:rFonts w:ascii="Arial Narrow" w:hAnsi="Arial Narrow" w:cs="Arial"/>
                <w:b/>
                <w:bCs/>
                <w:color w:val="000000"/>
                <w:sz w:val="18"/>
                <w:szCs w:val="18"/>
              </w:rPr>
            </w:pPr>
            <w:r w:rsidRPr="001E7461">
              <w:rPr>
                <w:rFonts w:ascii="Arial Narrow" w:hAnsi="Arial Narrow" w:cs="Arial"/>
                <w:b/>
                <w:bCs/>
                <w:color w:val="000000"/>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E7461" w:rsidR="0008113F" w:rsidP="00196249" w:rsidRDefault="0008113F">
            <w:pPr>
              <w:widowControl/>
              <w:autoSpaceDE/>
              <w:autoSpaceDN/>
              <w:adjustRightInd/>
              <w:jc w:val="center"/>
              <w:rPr>
                <w:rFonts w:ascii="Arial Narrow" w:hAnsi="Arial Narrow" w:cs="Arial"/>
                <w:b/>
                <w:bCs/>
                <w:color w:val="000000"/>
                <w:sz w:val="18"/>
                <w:szCs w:val="18"/>
              </w:rPr>
            </w:pPr>
            <w:r w:rsidRPr="001E7461">
              <w:rPr>
                <w:rFonts w:ascii="Arial Narrow" w:hAnsi="Arial Narrow" w:cs="Arial"/>
                <w:b/>
                <w:bCs/>
                <w:color w:val="000000"/>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E7461" w:rsidR="0008113F" w:rsidP="00196249" w:rsidRDefault="0008113F">
            <w:pPr>
              <w:widowControl/>
              <w:autoSpaceDE/>
              <w:autoSpaceDN/>
              <w:adjustRightInd/>
              <w:jc w:val="center"/>
              <w:rPr>
                <w:rFonts w:ascii="Arial Narrow" w:hAnsi="Arial Narrow" w:cs="Arial"/>
                <w:b/>
                <w:bCs/>
                <w:color w:val="000000"/>
                <w:sz w:val="18"/>
                <w:szCs w:val="18"/>
              </w:rPr>
            </w:pPr>
            <w:r w:rsidRPr="001E7461">
              <w:rPr>
                <w:rFonts w:ascii="Arial Narrow" w:hAnsi="Arial Narrow" w:cs="Arial"/>
                <w:b/>
                <w:bCs/>
                <w:color w:val="000000"/>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1E7461" w:rsidR="0008113F" w:rsidP="00196249" w:rsidRDefault="0008113F">
            <w:pPr>
              <w:widowControl/>
              <w:autoSpaceDE/>
              <w:autoSpaceDN/>
              <w:adjustRightInd/>
              <w:jc w:val="center"/>
              <w:rPr>
                <w:rFonts w:ascii="Arial Narrow" w:hAnsi="Arial Narrow" w:cs="Arial"/>
                <w:b/>
                <w:bCs/>
                <w:color w:val="000000"/>
                <w:sz w:val="18"/>
                <w:szCs w:val="18"/>
              </w:rPr>
            </w:pPr>
            <w:r w:rsidRPr="001E7461">
              <w:rPr>
                <w:rFonts w:ascii="Arial Narrow" w:hAnsi="Arial Narrow" w:cs="Arial"/>
                <w:b/>
                <w:bCs/>
                <w:color w:val="000000"/>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1E7461" w:rsidR="0008113F" w:rsidP="00196249" w:rsidRDefault="0008113F">
            <w:pPr>
              <w:widowControl/>
              <w:autoSpaceDE/>
              <w:autoSpaceDN/>
              <w:adjustRightInd/>
              <w:jc w:val="center"/>
              <w:rPr>
                <w:rFonts w:ascii="Arial Narrow" w:hAnsi="Arial Narrow" w:cs="Arial"/>
                <w:b/>
                <w:bCs/>
                <w:color w:val="000000"/>
                <w:sz w:val="18"/>
                <w:szCs w:val="18"/>
              </w:rPr>
            </w:pPr>
            <w:r w:rsidRPr="001E7461">
              <w:rPr>
                <w:rFonts w:ascii="Arial Narrow" w:hAnsi="Arial Narrow" w:cs="Arial"/>
                <w:b/>
                <w:bCs/>
                <w:color w:val="000000"/>
                <w:sz w:val="18"/>
                <w:szCs w:val="18"/>
              </w:rPr>
              <w:t>Previously Approved</w:t>
            </w:r>
          </w:p>
        </w:tc>
      </w:tr>
      <w:tr w:rsidRPr="001E7461" w:rsidR="0008113F" w:rsidTr="00196249">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sidRPr="001E7461">
              <w:rPr>
                <w:rFonts w:ascii="Arial Narrow" w:hAnsi="Arial Narrow" w:cs="Arial"/>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90,100</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sidRPr="001E7461">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207891">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42,900</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207891">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bookmarkStart w:name="_GoBack" w:id="2"/>
            <w:bookmarkEnd w:id="2"/>
          </w:p>
        </w:tc>
        <w:tc>
          <w:tcPr>
            <w:tcW w:w="50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sidRPr="001E7461">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47,200</w:t>
            </w:r>
          </w:p>
        </w:tc>
      </w:tr>
      <w:tr w:rsidRPr="001E7461" w:rsidR="0008113F" w:rsidTr="00196249">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sidRPr="001E7461">
              <w:rPr>
                <w:rFonts w:ascii="Arial Narrow" w:hAnsi="Arial Narrow" w:cs="Arial"/>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48,384</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sidRPr="001E7461">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207891">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42,720</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207891">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0</w:t>
            </w:r>
          </w:p>
        </w:tc>
        <w:tc>
          <w:tcPr>
            <w:tcW w:w="50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sidRPr="001E7461">
              <w:rPr>
                <w:rFonts w:ascii="Arial Narrow" w:hAnsi="Arial Narrow" w:cs="Arial"/>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hideMark/>
          </w:tcPr>
          <w:p w:rsidRPr="001E7461" w:rsidR="0008113F" w:rsidP="00196249" w:rsidRDefault="0008113F">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5,664</w:t>
            </w:r>
          </w:p>
        </w:tc>
      </w:tr>
    </w:tbl>
    <w:p w:rsidR="0008113F" w:rsidP="00D33035" w:rsidRDefault="0008113F">
      <w:pPr>
        <w:ind w:left="450"/>
        <w:rPr>
          <w:color w:val="000000"/>
        </w:rPr>
      </w:pPr>
    </w:p>
    <w:p w:rsidR="0008113F" w:rsidP="00D33035" w:rsidRDefault="0008113F">
      <w:pPr>
        <w:ind w:left="450"/>
        <w:rPr>
          <w:color w:val="000000"/>
        </w:rPr>
      </w:pPr>
    </w:p>
    <w:p w:rsidRPr="00EA6810" w:rsidR="00C573C8" w:rsidRDefault="00C573C8">
      <w:pPr>
        <w:rPr>
          <w:color w:val="000000"/>
        </w:rPr>
      </w:pPr>
      <w:r w:rsidRPr="00EA6810">
        <w:rPr>
          <w:bCs/>
          <w:color w:val="000000"/>
        </w:rPr>
        <w:t xml:space="preserve">16.  </w:t>
      </w:r>
      <w:r w:rsidRPr="00EA6810">
        <w:rPr>
          <w:bCs/>
          <w:color w:val="000000"/>
          <w:u w:val="single"/>
        </w:rPr>
        <w:t>PLANS FOR TABULATION, STATISTICAL ANALYSIS AND PUBLICATION</w:t>
      </w:r>
    </w:p>
    <w:p w:rsidRPr="00EA6810" w:rsidR="00C573C8" w:rsidRDefault="00C573C8">
      <w:pPr>
        <w:rPr>
          <w:color w:val="000000"/>
        </w:rPr>
      </w:pPr>
    </w:p>
    <w:p w:rsidRPr="00EA6810" w:rsidR="00C573C8" w:rsidP="00952502" w:rsidRDefault="003F2C5D">
      <w:pPr>
        <w:ind w:left="450"/>
        <w:rPr>
          <w:bCs/>
          <w:color w:val="000000"/>
        </w:rPr>
      </w:pPr>
      <w:r w:rsidRPr="00EA6810">
        <w:rPr>
          <w:color w:val="000000"/>
        </w:rPr>
        <w:t>There are no plans for tabulation, statistical analysis and publication</w:t>
      </w:r>
      <w:r w:rsidRPr="00EA6810" w:rsidR="00C573C8">
        <w:rPr>
          <w:color w:val="000000"/>
        </w:rPr>
        <w:t>.</w:t>
      </w:r>
    </w:p>
    <w:p w:rsidRPr="00EA6810" w:rsidR="001560A0" w:rsidRDefault="001560A0">
      <w:pPr>
        <w:rPr>
          <w:bCs/>
          <w:color w:val="000000"/>
        </w:rPr>
      </w:pPr>
    </w:p>
    <w:p w:rsidRPr="00EA6810" w:rsidR="00C573C8" w:rsidP="00AA539A" w:rsidRDefault="00C573C8">
      <w:pPr>
        <w:ind w:left="450" w:hanging="450"/>
        <w:rPr>
          <w:bCs/>
          <w:color w:val="000000"/>
        </w:rPr>
      </w:pPr>
      <w:r w:rsidRPr="00EA6810">
        <w:rPr>
          <w:bCs/>
          <w:color w:val="000000"/>
        </w:rPr>
        <w:t xml:space="preserve">17.  </w:t>
      </w:r>
      <w:r w:rsidRPr="00EA6810">
        <w:rPr>
          <w:bCs/>
          <w:color w:val="000000"/>
          <w:u w:val="single"/>
        </w:rPr>
        <w:t>REASONS WHY DISPLAYING THE OMB EXPIRATION DATE IS</w:t>
      </w:r>
      <w:r w:rsidRPr="00EA6810" w:rsidR="00AA539A">
        <w:rPr>
          <w:bCs/>
          <w:color w:val="000000"/>
          <w:u w:val="single"/>
        </w:rPr>
        <w:t xml:space="preserve"> </w:t>
      </w:r>
      <w:r w:rsidRPr="00EA6810">
        <w:rPr>
          <w:bCs/>
          <w:color w:val="000000"/>
          <w:u w:val="single"/>
        </w:rPr>
        <w:t>INAPPROPRIATE</w:t>
      </w:r>
    </w:p>
    <w:p w:rsidRPr="00EA6810" w:rsidR="00D33035" w:rsidP="00D33035" w:rsidRDefault="00D33035">
      <w:pPr>
        <w:rPr>
          <w:color w:val="000000"/>
        </w:rPr>
      </w:pPr>
    </w:p>
    <w:p w:rsidRPr="00EA6810" w:rsidR="00952502" w:rsidP="00C82CD8" w:rsidRDefault="00952502">
      <w:pPr>
        <w:ind w:left="450"/>
        <w:rPr>
          <w:bCs/>
          <w:color w:val="000000"/>
        </w:rPr>
      </w:pPr>
      <w:r w:rsidRPr="00EA6810">
        <w:rPr>
          <w:color w:val="000000"/>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Pr="00EA6810" w:rsidR="00952502" w:rsidRDefault="00952502">
      <w:pPr>
        <w:rPr>
          <w:bCs/>
          <w:color w:val="000000"/>
        </w:rPr>
      </w:pPr>
    </w:p>
    <w:p w:rsidRPr="00EA6810" w:rsidR="00C573C8" w:rsidRDefault="00C573C8">
      <w:pPr>
        <w:rPr>
          <w:bCs/>
          <w:color w:val="000000"/>
          <w:u w:val="single"/>
        </w:rPr>
      </w:pPr>
      <w:r w:rsidRPr="00EA6810">
        <w:rPr>
          <w:bCs/>
          <w:color w:val="000000"/>
        </w:rPr>
        <w:t xml:space="preserve">18.  </w:t>
      </w:r>
      <w:r w:rsidRPr="00EA6810">
        <w:rPr>
          <w:bCs/>
          <w:color w:val="000000"/>
          <w:u w:val="single"/>
        </w:rPr>
        <w:t xml:space="preserve">EXCEPTIONS TO THE CERTIFICATION STATEMENT </w:t>
      </w:r>
    </w:p>
    <w:p w:rsidRPr="00EA6810" w:rsidR="00AA539A" w:rsidRDefault="00AA539A">
      <w:pPr>
        <w:rPr>
          <w:color w:val="000000"/>
        </w:rPr>
      </w:pPr>
    </w:p>
    <w:p w:rsidRPr="00EA6810" w:rsidR="00C573C8" w:rsidP="006642C2" w:rsidRDefault="006642C2">
      <w:pPr>
        <w:ind w:left="360"/>
        <w:rPr>
          <w:color w:val="000000"/>
        </w:rPr>
      </w:pPr>
      <w:r w:rsidRPr="00EA6810">
        <w:rPr>
          <w:color w:val="000000"/>
        </w:rPr>
        <w:t xml:space="preserve"> </w:t>
      </w:r>
      <w:r w:rsidRPr="00EA6810" w:rsidR="003F2C5D">
        <w:rPr>
          <w:color w:val="000000"/>
        </w:rPr>
        <w:t>There are no exceptions to the certification statement</w:t>
      </w:r>
      <w:r w:rsidRPr="00EA6810" w:rsidR="00C573C8">
        <w:rPr>
          <w:color w:val="000000"/>
        </w:rPr>
        <w:t xml:space="preserve">. </w:t>
      </w:r>
    </w:p>
    <w:p w:rsidRPr="00EA6810" w:rsidR="00C573C8" w:rsidRDefault="00C573C8">
      <w:pPr>
        <w:rPr>
          <w:color w:val="000000"/>
        </w:rPr>
      </w:pPr>
    </w:p>
    <w:p w:rsidRPr="00EA6810" w:rsidR="00C573C8" w:rsidP="006642C2" w:rsidRDefault="00C573C8">
      <w:pPr>
        <w:ind w:left="360"/>
        <w:rPr>
          <w:color w:val="000000"/>
        </w:rPr>
      </w:pPr>
      <w:r w:rsidRPr="00EA6810">
        <w:rPr>
          <w:b/>
          <w:bCs/>
          <w:color w:val="000000"/>
          <w:u w:val="single"/>
        </w:rPr>
        <w:t>Note</w:t>
      </w:r>
      <w:r w:rsidRPr="00EA6810">
        <w:rPr>
          <w:bCs/>
          <w:color w:val="000000"/>
          <w:u w:val="single"/>
        </w:rPr>
        <w:t>:</w:t>
      </w:r>
      <w:r w:rsidRPr="00EA6810">
        <w:rPr>
          <w:color w:val="000000"/>
        </w:rPr>
        <w:t xml:space="preserve">  The following paragraph applies to </w:t>
      </w:r>
      <w:r w:rsidRPr="00EA6810" w:rsidR="00CE5344">
        <w:rPr>
          <w:color w:val="000000"/>
        </w:rPr>
        <w:t>all</w:t>
      </w:r>
      <w:r w:rsidRPr="00EA6810">
        <w:rPr>
          <w:color w:val="000000"/>
        </w:rPr>
        <w:t xml:space="preserve"> the collections</w:t>
      </w:r>
      <w:r w:rsidRPr="00EA6810" w:rsidR="00CC6C32">
        <w:rPr>
          <w:color w:val="000000"/>
        </w:rPr>
        <w:t xml:space="preserve"> </w:t>
      </w:r>
      <w:r w:rsidRPr="00EA6810">
        <w:rPr>
          <w:color w:val="000000"/>
        </w:rPr>
        <w:t>of information in this submission:</w:t>
      </w:r>
    </w:p>
    <w:p w:rsidRPr="00EA6810" w:rsidR="00C573C8" w:rsidRDefault="00C573C8">
      <w:pPr>
        <w:rPr>
          <w:color w:val="000000"/>
        </w:rPr>
      </w:pPr>
    </w:p>
    <w:p w:rsidRPr="00EA6810" w:rsidR="00576081" w:rsidP="0004052D" w:rsidRDefault="00C573C8">
      <w:pPr>
        <w:ind w:left="360"/>
        <w:rPr>
          <w:color w:val="000000"/>
        </w:rPr>
      </w:pPr>
      <w:r w:rsidRPr="00EA6810">
        <w:rPr>
          <w:color w:val="000000"/>
        </w:rPr>
        <w:lastRenderedPageBreak/>
        <w:t>An agency may not conduct or sponsor, and a person is not required to respond to, a collection of information unless</w:t>
      </w:r>
      <w:r w:rsidRPr="00EA6810" w:rsidR="00CC6C32">
        <w:rPr>
          <w:color w:val="000000"/>
        </w:rPr>
        <w:t xml:space="preserve"> </w:t>
      </w:r>
      <w:r w:rsidRPr="00EA6810">
        <w:rPr>
          <w:color w:val="000000"/>
        </w:rPr>
        <w:t>the collection of information displays a valid OMB control</w:t>
      </w:r>
      <w:r w:rsidRPr="00EA6810" w:rsidR="003F2C5D">
        <w:rPr>
          <w:color w:val="000000"/>
        </w:rPr>
        <w:t xml:space="preserve"> </w:t>
      </w:r>
      <w:r w:rsidRPr="00EA6810">
        <w:rPr>
          <w:color w:val="000000"/>
        </w:rPr>
        <w:t xml:space="preserve">number.  Books or records relating to a collection of information must be retained </w:t>
      </w:r>
      <w:r w:rsidRPr="00EA6810" w:rsidR="00C85FC1">
        <w:rPr>
          <w:color w:val="000000"/>
        </w:rPr>
        <w:t>if</w:t>
      </w:r>
      <w:r w:rsidRPr="00EA6810">
        <w:rPr>
          <w:color w:val="000000"/>
        </w:rPr>
        <w:t xml:space="preserve"> their contents may</w:t>
      </w:r>
      <w:r w:rsidRPr="00EA6810" w:rsidR="00CC6C32">
        <w:rPr>
          <w:color w:val="000000"/>
        </w:rPr>
        <w:t xml:space="preserve"> </w:t>
      </w:r>
      <w:r w:rsidRPr="00EA6810">
        <w:rPr>
          <w:color w:val="000000"/>
        </w:rPr>
        <w:t>become material in the administration of any internal</w:t>
      </w:r>
      <w:r w:rsidRPr="00EA6810" w:rsidR="00CC6C32">
        <w:rPr>
          <w:color w:val="000000"/>
        </w:rPr>
        <w:t xml:space="preserve"> </w:t>
      </w:r>
      <w:r w:rsidRPr="00EA6810">
        <w:rPr>
          <w:color w:val="000000"/>
        </w:rPr>
        <w:t>revenue law.  Generally, tax returns and tax return</w:t>
      </w:r>
      <w:r w:rsidRPr="00EA6810" w:rsidR="00CC6C32">
        <w:rPr>
          <w:color w:val="000000"/>
        </w:rPr>
        <w:t xml:space="preserve"> </w:t>
      </w:r>
      <w:r w:rsidRPr="00EA6810">
        <w:rPr>
          <w:color w:val="000000"/>
        </w:rPr>
        <w:t>information are confidential, as required by 26 U.S.C.</w:t>
      </w:r>
      <w:r w:rsidRPr="00EA6810" w:rsidR="00CC6C32">
        <w:rPr>
          <w:color w:val="000000"/>
        </w:rPr>
        <w:t xml:space="preserve"> </w:t>
      </w:r>
      <w:r w:rsidRPr="00EA6810">
        <w:rPr>
          <w:color w:val="000000"/>
        </w:rPr>
        <w:t>6103.</w:t>
      </w:r>
      <w:r w:rsidRPr="00EA6810">
        <w:rPr>
          <w:color w:val="000000"/>
        </w:rPr>
        <w:tab/>
        <w:t xml:space="preserve">  </w:t>
      </w:r>
    </w:p>
    <w:sectPr w:rsidRPr="00EA6810"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777D"/>
    <w:multiLevelType w:val="multilevel"/>
    <w:tmpl w:val="744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E27E2"/>
    <w:multiLevelType w:val="multilevel"/>
    <w:tmpl w:val="7B5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D3E25"/>
    <w:multiLevelType w:val="multilevel"/>
    <w:tmpl w:val="8010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3C8"/>
    <w:rsid w:val="00007D7B"/>
    <w:rsid w:val="0004052D"/>
    <w:rsid w:val="0008113F"/>
    <w:rsid w:val="0009423B"/>
    <w:rsid w:val="000A1B91"/>
    <w:rsid w:val="000A2988"/>
    <w:rsid w:val="00145362"/>
    <w:rsid w:val="001560A0"/>
    <w:rsid w:val="001A5F9F"/>
    <w:rsid w:val="001E7461"/>
    <w:rsid w:val="001F0B31"/>
    <w:rsid w:val="00204931"/>
    <w:rsid w:val="00207891"/>
    <w:rsid w:val="0028041B"/>
    <w:rsid w:val="002B250D"/>
    <w:rsid w:val="002F69D6"/>
    <w:rsid w:val="0033329E"/>
    <w:rsid w:val="00335019"/>
    <w:rsid w:val="0037627E"/>
    <w:rsid w:val="003B5334"/>
    <w:rsid w:val="003B5891"/>
    <w:rsid w:val="003B7275"/>
    <w:rsid w:val="003D5C25"/>
    <w:rsid w:val="003F2C5D"/>
    <w:rsid w:val="004005AB"/>
    <w:rsid w:val="0042353A"/>
    <w:rsid w:val="00427EF7"/>
    <w:rsid w:val="00436479"/>
    <w:rsid w:val="0044561C"/>
    <w:rsid w:val="004A5223"/>
    <w:rsid w:val="004E06B1"/>
    <w:rsid w:val="004E4007"/>
    <w:rsid w:val="004F53E1"/>
    <w:rsid w:val="00500398"/>
    <w:rsid w:val="005238E8"/>
    <w:rsid w:val="0057446C"/>
    <w:rsid w:val="00576081"/>
    <w:rsid w:val="00583558"/>
    <w:rsid w:val="005853BC"/>
    <w:rsid w:val="00591B4A"/>
    <w:rsid w:val="005C4638"/>
    <w:rsid w:val="005E46BF"/>
    <w:rsid w:val="00610B0A"/>
    <w:rsid w:val="0062791B"/>
    <w:rsid w:val="00636B94"/>
    <w:rsid w:val="006403B1"/>
    <w:rsid w:val="006642C2"/>
    <w:rsid w:val="00695940"/>
    <w:rsid w:val="006959A0"/>
    <w:rsid w:val="00695D49"/>
    <w:rsid w:val="006C11B8"/>
    <w:rsid w:val="006D1DE2"/>
    <w:rsid w:val="00702B07"/>
    <w:rsid w:val="00711C76"/>
    <w:rsid w:val="00730245"/>
    <w:rsid w:val="007338E5"/>
    <w:rsid w:val="007453AC"/>
    <w:rsid w:val="007875C3"/>
    <w:rsid w:val="007A1D67"/>
    <w:rsid w:val="007C0E12"/>
    <w:rsid w:val="007C3E0A"/>
    <w:rsid w:val="007F4CD2"/>
    <w:rsid w:val="00847AA9"/>
    <w:rsid w:val="008708F6"/>
    <w:rsid w:val="00895AED"/>
    <w:rsid w:val="008B1730"/>
    <w:rsid w:val="008C0A30"/>
    <w:rsid w:val="00910116"/>
    <w:rsid w:val="00923919"/>
    <w:rsid w:val="00952502"/>
    <w:rsid w:val="0096082C"/>
    <w:rsid w:val="0096268D"/>
    <w:rsid w:val="0098084B"/>
    <w:rsid w:val="009A35C8"/>
    <w:rsid w:val="009A4702"/>
    <w:rsid w:val="009A5BC8"/>
    <w:rsid w:val="009B0037"/>
    <w:rsid w:val="00A009E0"/>
    <w:rsid w:val="00A12BB6"/>
    <w:rsid w:val="00A34C7C"/>
    <w:rsid w:val="00A82749"/>
    <w:rsid w:val="00A84CA1"/>
    <w:rsid w:val="00A863E3"/>
    <w:rsid w:val="00A91E00"/>
    <w:rsid w:val="00A92AE0"/>
    <w:rsid w:val="00AA539A"/>
    <w:rsid w:val="00AC5E20"/>
    <w:rsid w:val="00AE4DB0"/>
    <w:rsid w:val="00AF7A4D"/>
    <w:rsid w:val="00B03E6E"/>
    <w:rsid w:val="00B664FA"/>
    <w:rsid w:val="00B66AE7"/>
    <w:rsid w:val="00B77265"/>
    <w:rsid w:val="00B80642"/>
    <w:rsid w:val="00B81690"/>
    <w:rsid w:val="00BC2563"/>
    <w:rsid w:val="00BE2174"/>
    <w:rsid w:val="00BE5210"/>
    <w:rsid w:val="00BF3A51"/>
    <w:rsid w:val="00C035BD"/>
    <w:rsid w:val="00C21314"/>
    <w:rsid w:val="00C230B6"/>
    <w:rsid w:val="00C358CE"/>
    <w:rsid w:val="00C573C8"/>
    <w:rsid w:val="00C82CD8"/>
    <w:rsid w:val="00C8357C"/>
    <w:rsid w:val="00C85FC1"/>
    <w:rsid w:val="00C96C2D"/>
    <w:rsid w:val="00CC6C32"/>
    <w:rsid w:val="00CC7478"/>
    <w:rsid w:val="00CE5344"/>
    <w:rsid w:val="00CF4707"/>
    <w:rsid w:val="00D05E8B"/>
    <w:rsid w:val="00D1770E"/>
    <w:rsid w:val="00D20D10"/>
    <w:rsid w:val="00D33035"/>
    <w:rsid w:val="00D84A35"/>
    <w:rsid w:val="00D85B57"/>
    <w:rsid w:val="00DD4327"/>
    <w:rsid w:val="00DE21AC"/>
    <w:rsid w:val="00DE6B07"/>
    <w:rsid w:val="00E00E3C"/>
    <w:rsid w:val="00E03C9F"/>
    <w:rsid w:val="00E1792C"/>
    <w:rsid w:val="00E20BA8"/>
    <w:rsid w:val="00E3396B"/>
    <w:rsid w:val="00E47B4F"/>
    <w:rsid w:val="00E8076B"/>
    <w:rsid w:val="00E86291"/>
    <w:rsid w:val="00E86D28"/>
    <w:rsid w:val="00EA028C"/>
    <w:rsid w:val="00EA6810"/>
    <w:rsid w:val="00EA7753"/>
    <w:rsid w:val="00F2351F"/>
    <w:rsid w:val="00F66C68"/>
    <w:rsid w:val="00FA357D"/>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246661"/>
  <w15:chartTrackingRefBased/>
  <w15:docId w15:val="{7432B69D-7179-494E-9A61-5C8B653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DE6B0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customStyle="1" w:styleId="Heading2Char">
    <w:name w:val="Heading 2 Char"/>
    <w:link w:val="Heading2"/>
    <w:semiHidden/>
    <w:rsid w:val="00DE6B07"/>
    <w:rPr>
      <w:rFonts w:ascii="Calibri Light" w:eastAsia="Times New Roman" w:hAnsi="Calibri Light" w:cs="Times New Roman"/>
      <w:b/>
      <w:bCs/>
      <w:i/>
      <w:iCs/>
      <w:sz w:val="28"/>
      <w:szCs w:val="28"/>
    </w:rPr>
  </w:style>
  <w:style w:type="paragraph" w:styleId="BalloonText">
    <w:name w:val="Balloon Text"/>
    <w:basedOn w:val="Normal"/>
    <w:link w:val="BalloonTextChar"/>
    <w:rsid w:val="001E7461"/>
    <w:rPr>
      <w:rFonts w:ascii="Segoe UI" w:hAnsi="Segoe UI" w:cs="Segoe UI"/>
      <w:sz w:val="18"/>
      <w:szCs w:val="18"/>
    </w:rPr>
  </w:style>
  <w:style w:type="character" w:customStyle="1" w:styleId="BalloonTextChar">
    <w:name w:val="Balloon Text Char"/>
    <w:link w:val="BalloonText"/>
    <w:rsid w:val="001E7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915479694">
      <w:bodyDiv w:val="1"/>
      <w:marLeft w:val="0"/>
      <w:marRight w:val="0"/>
      <w:marTop w:val="0"/>
      <w:marBottom w:val="0"/>
      <w:divBdr>
        <w:top w:val="none" w:sz="0" w:space="0" w:color="auto"/>
        <w:left w:val="none" w:sz="0" w:space="0" w:color="auto"/>
        <w:bottom w:val="none" w:sz="0" w:space="0" w:color="auto"/>
        <w:right w:val="none" w:sz="0" w:space="0" w:color="auto"/>
      </w:divBdr>
      <w:divsChild>
        <w:div w:id="163477857">
          <w:marLeft w:val="0"/>
          <w:marRight w:val="0"/>
          <w:marTop w:val="0"/>
          <w:marBottom w:val="450"/>
          <w:divBdr>
            <w:top w:val="none" w:sz="0" w:space="0" w:color="auto"/>
            <w:left w:val="none" w:sz="0" w:space="0" w:color="auto"/>
            <w:bottom w:val="none" w:sz="0" w:space="0" w:color="auto"/>
            <w:right w:val="none" w:sz="0" w:space="0" w:color="auto"/>
          </w:divBdr>
          <w:divsChild>
            <w:div w:id="1068572915">
              <w:marLeft w:val="-225"/>
              <w:marRight w:val="-225"/>
              <w:marTop w:val="0"/>
              <w:marBottom w:val="0"/>
              <w:divBdr>
                <w:top w:val="none" w:sz="0" w:space="0" w:color="auto"/>
                <w:left w:val="none" w:sz="0" w:space="0" w:color="auto"/>
                <w:bottom w:val="none" w:sz="0" w:space="0" w:color="auto"/>
                <w:right w:val="none" w:sz="0" w:space="0" w:color="auto"/>
              </w:divBdr>
              <w:divsChild>
                <w:div w:id="1416780431">
                  <w:marLeft w:val="0"/>
                  <w:marRight w:val="0"/>
                  <w:marTop w:val="0"/>
                  <w:marBottom w:val="0"/>
                  <w:divBdr>
                    <w:top w:val="none" w:sz="0" w:space="0" w:color="auto"/>
                    <w:left w:val="none" w:sz="0" w:space="0" w:color="auto"/>
                    <w:bottom w:val="none" w:sz="0" w:space="0" w:color="auto"/>
                    <w:right w:val="none" w:sz="0" w:space="0" w:color="auto"/>
                  </w:divBdr>
                  <w:divsChild>
                    <w:div w:id="1562910401">
                      <w:marLeft w:val="0"/>
                      <w:marRight w:val="0"/>
                      <w:marTop w:val="0"/>
                      <w:marBottom w:val="0"/>
                      <w:divBdr>
                        <w:top w:val="none" w:sz="0" w:space="0" w:color="auto"/>
                        <w:left w:val="none" w:sz="0" w:space="0" w:color="auto"/>
                        <w:bottom w:val="none" w:sz="0" w:space="0" w:color="auto"/>
                        <w:right w:val="none" w:sz="0" w:space="0" w:color="auto"/>
                      </w:divBdr>
                      <w:divsChild>
                        <w:div w:id="808130003">
                          <w:marLeft w:val="0"/>
                          <w:marRight w:val="0"/>
                          <w:marTop w:val="0"/>
                          <w:marBottom w:val="0"/>
                          <w:divBdr>
                            <w:top w:val="none" w:sz="0" w:space="0" w:color="auto"/>
                            <w:left w:val="none" w:sz="0" w:space="0" w:color="auto"/>
                            <w:bottom w:val="none" w:sz="0" w:space="0" w:color="auto"/>
                            <w:right w:val="none" w:sz="0" w:space="0" w:color="auto"/>
                          </w:divBdr>
                          <w:divsChild>
                            <w:div w:id="5972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uac/Privacy-Impact-Assessments-PIA" TargetMode="External"/><Relationship Id="rId5" Type="http://schemas.openxmlformats.org/officeDocument/2006/relationships/hyperlink" Target="https://www.irs.gov/pub/irs-drop/n-18-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14714</CharactersWithSpaces>
  <SharedDoc>false</SharedDoc>
  <HLinks>
    <vt:vector size="12" baseType="variant">
      <vt:variant>
        <vt:i4>5242961</vt:i4>
      </vt:variant>
      <vt:variant>
        <vt:i4>3</vt:i4>
      </vt:variant>
      <vt:variant>
        <vt:i4>0</vt:i4>
      </vt:variant>
      <vt:variant>
        <vt:i4>5</vt:i4>
      </vt:variant>
      <vt:variant>
        <vt:lpwstr>http://www.irs.gov/uac/Privacy-Impact-Assessments-PIA</vt:lpwstr>
      </vt:variant>
      <vt:variant>
        <vt:lpwstr/>
      </vt:variant>
      <vt:variant>
        <vt:i4>262154</vt:i4>
      </vt:variant>
      <vt:variant>
        <vt:i4>0</vt:i4>
      </vt:variant>
      <vt:variant>
        <vt:i4>0</vt:i4>
      </vt:variant>
      <vt:variant>
        <vt:i4>5</vt:i4>
      </vt:variant>
      <vt:variant>
        <vt:lpwstr>https://www.irs.gov/pub/irs-drop/n-18-23.pdf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Stasko, Molly</cp:lastModifiedBy>
  <cp:revision>4</cp:revision>
  <cp:lastPrinted>2005-05-18T14:13:00Z</cp:lastPrinted>
  <dcterms:created xsi:type="dcterms:W3CDTF">2020-10-21T14:04:00Z</dcterms:created>
  <dcterms:modified xsi:type="dcterms:W3CDTF">2020-10-23T19:49:00Z</dcterms:modified>
</cp:coreProperties>
</file>