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4C7E" w:rsidR="00851C5A" w:rsidP="00BF7DAE" w:rsidRDefault="00851C5A" w14:paraId="188555A7" w14:textId="77777777">
      <w:pPr>
        <w:jc w:val="center"/>
        <w:rPr>
          <w:rFonts w:ascii="Times New Roman" w:hAnsi="Times New Roman"/>
          <w:b/>
          <w:bCs/>
          <w:szCs w:val="24"/>
        </w:rPr>
      </w:pPr>
      <w:r w:rsidRPr="00B44C7E">
        <w:rPr>
          <w:rFonts w:ascii="Times New Roman" w:hAnsi="Times New Roman"/>
          <w:b/>
          <w:bCs/>
          <w:szCs w:val="24"/>
        </w:rPr>
        <w:t>Office of the Comptroller of the Currency</w:t>
      </w:r>
    </w:p>
    <w:p w:rsidRPr="00B44C7E" w:rsidR="00851C5A" w:rsidP="00BF7DAE" w:rsidRDefault="00851C5A" w14:paraId="4E3393BA" w14:textId="77777777">
      <w:pPr>
        <w:jc w:val="center"/>
        <w:rPr>
          <w:rFonts w:ascii="Times New Roman" w:hAnsi="Times New Roman"/>
          <w:b/>
          <w:bCs/>
          <w:szCs w:val="24"/>
        </w:rPr>
      </w:pPr>
      <w:r w:rsidRPr="00B44C7E">
        <w:rPr>
          <w:rFonts w:ascii="Times New Roman" w:hAnsi="Times New Roman"/>
          <w:b/>
          <w:bCs/>
          <w:szCs w:val="24"/>
        </w:rPr>
        <w:t>Supporting Statement</w:t>
      </w:r>
    </w:p>
    <w:p w:rsidRPr="00B44C7E" w:rsidR="002721B9" w:rsidP="00BF7DAE" w:rsidRDefault="00BF7DAE" w14:paraId="2BB718EB" w14:textId="77777777">
      <w:pPr>
        <w:jc w:val="center"/>
        <w:outlineLvl w:val="0"/>
        <w:rPr>
          <w:rFonts w:ascii="Times New Roman" w:hAnsi="Times New Roman"/>
          <w:b/>
          <w:szCs w:val="24"/>
        </w:rPr>
      </w:pPr>
      <w:r w:rsidRPr="00B44C7E">
        <w:rPr>
          <w:rFonts w:ascii="Times New Roman" w:hAnsi="Times New Roman"/>
          <w:b/>
          <w:szCs w:val="24"/>
        </w:rPr>
        <w:t xml:space="preserve">Reporting and Recordkeeping Requirements Associated with </w:t>
      </w:r>
    </w:p>
    <w:p w:rsidRPr="00B44C7E" w:rsidR="002721B9" w:rsidP="00BF7DAE" w:rsidRDefault="00A548F5" w14:paraId="2A43BAC0" w14:textId="77777777">
      <w:pPr>
        <w:jc w:val="center"/>
        <w:outlineLvl w:val="0"/>
        <w:rPr>
          <w:rFonts w:ascii="Times New Roman" w:hAnsi="Times New Roman"/>
          <w:b/>
          <w:szCs w:val="24"/>
        </w:rPr>
      </w:pPr>
      <w:r w:rsidRPr="00B44C7E">
        <w:rPr>
          <w:rFonts w:ascii="Times New Roman" w:hAnsi="Times New Roman"/>
          <w:b/>
          <w:szCs w:val="24"/>
        </w:rPr>
        <w:t xml:space="preserve">Liquidity Coverage Ratio: </w:t>
      </w:r>
      <w:r w:rsidRPr="00B44C7E" w:rsidR="00BF7DAE">
        <w:rPr>
          <w:rFonts w:ascii="Times New Roman" w:hAnsi="Times New Roman"/>
          <w:b/>
          <w:szCs w:val="24"/>
        </w:rPr>
        <w:t>Liquidity Risk Measurement, Standards, and Monitoring</w:t>
      </w:r>
      <w:r w:rsidRPr="00B44C7E" w:rsidR="00BF7DAE">
        <w:rPr>
          <w:rFonts w:ascii="Times New Roman" w:hAnsi="Times New Roman"/>
          <w:b/>
          <w:bCs/>
          <w:szCs w:val="24"/>
        </w:rPr>
        <w:t xml:space="preserve"> </w:t>
      </w:r>
    </w:p>
    <w:p w:rsidRPr="00B44C7E" w:rsidR="00851C5A" w:rsidP="00BF7DAE" w:rsidRDefault="008D0670" w14:paraId="03602741" w14:textId="77777777">
      <w:pPr>
        <w:jc w:val="center"/>
        <w:outlineLvl w:val="0"/>
        <w:rPr>
          <w:rFonts w:ascii="Times New Roman" w:hAnsi="Times New Roman"/>
          <w:b/>
          <w:bCs/>
          <w:szCs w:val="24"/>
        </w:rPr>
      </w:pPr>
      <w:r w:rsidRPr="00B44C7E">
        <w:rPr>
          <w:rFonts w:ascii="Times New Roman" w:hAnsi="Times New Roman"/>
          <w:b/>
          <w:bCs/>
          <w:szCs w:val="24"/>
        </w:rPr>
        <w:t>OMB Control No. 1557-</w:t>
      </w:r>
      <w:r w:rsidRPr="00B44C7E" w:rsidR="00114301">
        <w:rPr>
          <w:rFonts w:ascii="Times New Roman" w:hAnsi="Times New Roman"/>
          <w:b/>
          <w:bCs/>
          <w:szCs w:val="24"/>
        </w:rPr>
        <w:t>0323</w:t>
      </w:r>
    </w:p>
    <w:p w:rsidRPr="00B44C7E" w:rsidR="00851C5A" w:rsidP="00BF7DAE" w:rsidRDefault="00851C5A" w14:paraId="1ACE9160" w14:textId="77777777">
      <w:pPr>
        <w:jc w:val="center"/>
        <w:outlineLvl w:val="0"/>
        <w:rPr>
          <w:rFonts w:ascii="Times New Roman" w:hAnsi="Times New Roman"/>
          <w:b/>
          <w:bCs/>
          <w:szCs w:val="24"/>
        </w:rPr>
      </w:pPr>
    </w:p>
    <w:p w:rsidRPr="00B44C7E" w:rsidR="00811EF2" w:rsidP="00BF7DAE" w:rsidRDefault="00811EF2" w14:paraId="01ABE286" w14:textId="77777777">
      <w:pPr>
        <w:rPr>
          <w:rFonts w:ascii="Times New Roman" w:hAnsi="Times New Roman"/>
          <w:szCs w:val="24"/>
        </w:rPr>
      </w:pPr>
    </w:p>
    <w:p w:rsidRPr="00B44C7E" w:rsidR="00811EF2" w:rsidP="00BF7DAE" w:rsidRDefault="00811EF2" w14:paraId="3A1DEF91" w14:textId="77777777">
      <w:pPr>
        <w:tabs>
          <w:tab w:val="left" w:pos="-1440"/>
        </w:tabs>
        <w:outlineLvl w:val="0"/>
        <w:rPr>
          <w:rFonts w:ascii="Times New Roman" w:hAnsi="Times New Roman"/>
          <w:b/>
          <w:szCs w:val="24"/>
        </w:rPr>
      </w:pPr>
      <w:r w:rsidRPr="00B44C7E">
        <w:rPr>
          <w:rFonts w:ascii="Times New Roman" w:hAnsi="Times New Roman"/>
          <w:b/>
          <w:szCs w:val="24"/>
        </w:rPr>
        <w:t>A. Justification.</w:t>
      </w:r>
    </w:p>
    <w:p w:rsidRPr="00B44C7E" w:rsidR="000D5EF0" w:rsidP="00BF7DAE" w:rsidRDefault="000D5EF0" w14:paraId="297C730F" w14:textId="77777777">
      <w:pPr>
        <w:tabs>
          <w:tab w:val="left" w:pos="-1440"/>
        </w:tabs>
        <w:outlineLvl w:val="0"/>
        <w:rPr>
          <w:rFonts w:ascii="Times New Roman" w:hAnsi="Times New Roman"/>
          <w:b/>
          <w:szCs w:val="24"/>
        </w:rPr>
      </w:pPr>
    </w:p>
    <w:p w:rsidRPr="00B44C7E" w:rsidR="005E2B1A" w:rsidP="005E2B1A" w:rsidRDefault="004A32B0" w14:paraId="2656C7B7" w14:textId="77777777">
      <w:pPr>
        <w:rPr>
          <w:rFonts w:ascii="Times New Roman" w:hAnsi="Times New Roman"/>
          <w:szCs w:val="24"/>
        </w:rPr>
      </w:pPr>
      <w:r w:rsidRPr="00B44C7E">
        <w:rPr>
          <w:rFonts w:ascii="Times New Roman" w:hAnsi="Times New Roman"/>
          <w:szCs w:val="24"/>
        </w:rPr>
        <w:t xml:space="preserve">            </w:t>
      </w:r>
      <w:r w:rsidRPr="00B44C7E" w:rsidR="005E2B1A">
        <w:rPr>
          <w:rFonts w:ascii="Times New Roman" w:hAnsi="Times New Roman"/>
          <w:szCs w:val="24"/>
        </w:rPr>
        <w:t xml:space="preserve">The OCC, the Board, and the FDIC adopted a final rule that implements a stable funding requirement, known as the net stable funding ratio (NSFR), for certain large banking organizations.  The final rule establishes a quantitative metric, the NSFR, to measure the stability of the funding profile of certain large banking organizations and requires these banking organizations to maintain minimum amounts of stable funding to support their assets, commitments, and derivatives exposures over a one-year time horizon.  </w:t>
      </w:r>
    </w:p>
    <w:p w:rsidRPr="00B44C7E" w:rsidR="005E2B1A" w:rsidP="005E2B1A" w:rsidRDefault="005E2B1A" w14:paraId="6A3872F9" w14:textId="77777777">
      <w:pPr>
        <w:rPr>
          <w:rFonts w:ascii="Times New Roman" w:hAnsi="Times New Roman"/>
          <w:szCs w:val="24"/>
        </w:rPr>
      </w:pPr>
    </w:p>
    <w:p w:rsidRPr="00B44C7E" w:rsidR="005E2B1A" w:rsidP="005E2B1A" w:rsidRDefault="005E2B1A" w14:paraId="129F9CD7" w14:textId="77777777">
      <w:pPr>
        <w:rPr>
          <w:rFonts w:ascii="Times New Roman" w:hAnsi="Times New Roman"/>
          <w:szCs w:val="24"/>
        </w:rPr>
      </w:pPr>
      <w:r w:rsidRPr="00B44C7E">
        <w:rPr>
          <w:rFonts w:ascii="Times New Roman" w:hAnsi="Times New Roman"/>
          <w:szCs w:val="24"/>
        </w:rPr>
        <w:tab/>
        <w:t xml:space="preserve">The NSFR is designed to reduce the likelihood that disruptions to a banking organization’s regular sources of funding will compromise its liquidity position, promote effective liquidity risk management, and support the ability of banking organizations to provide financial intermediation to businesses and households across a range of market conditions.  The NSFR supports financial stability by requiring banking organizations to fund their activities with stable sources of funding on an ongoing basis, reducing the possibility that funding shocks would substantially increase distress at individual banking organizations. </w:t>
      </w:r>
    </w:p>
    <w:p w:rsidRPr="00B44C7E" w:rsidR="005E2B1A" w:rsidP="005E2B1A" w:rsidRDefault="005E2B1A" w14:paraId="1050AA8B" w14:textId="77777777">
      <w:pPr>
        <w:rPr>
          <w:rFonts w:ascii="Times New Roman" w:hAnsi="Times New Roman"/>
          <w:szCs w:val="24"/>
        </w:rPr>
      </w:pPr>
    </w:p>
    <w:p w:rsidRPr="00B44C7E" w:rsidR="005E2B1A" w:rsidP="005E2B1A" w:rsidRDefault="005E2B1A" w14:paraId="01AB4016" w14:textId="77777777">
      <w:pPr>
        <w:pStyle w:val="CommentText"/>
        <w:rPr>
          <w:rFonts w:ascii="Times New Roman" w:hAnsi="Times New Roman"/>
          <w:sz w:val="24"/>
          <w:szCs w:val="24"/>
        </w:rPr>
      </w:pPr>
      <w:r w:rsidRPr="00B44C7E">
        <w:rPr>
          <w:rFonts w:ascii="Times New Roman" w:hAnsi="Times New Roman"/>
          <w:sz w:val="24"/>
          <w:szCs w:val="24"/>
        </w:rPr>
        <w:tab/>
        <w:t xml:space="preserve">The final rule applies to certain large U.S. depository institution holding companies, depository institutions, and U.S. intermediate holding companies of foreign banking organizations, each with total consolidated assets of $100 billion or more, together with certain depository institution subsidiaries.  Under the final rule, the NSFR requirement increases in stringency based on risk-based measures of the top-tier covered company.   </w:t>
      </w:r>
    </w:p>
    <w:p w:rsidRPr="00B44C7E" w:rsidR="005E2B1A" w:rsidP="005E2B1A" w:rsidRDefault="005E2B1A" w14:paraId="21C63834" w14:textId="77777777">
      <w:pPr>
        <w:pStyle w:val="CommentText"/>
        <w:rPr>
          <w:rFonts w:ascii="Times New Roman" w:hAnsi="Times New Roman"/>
          <w:sz w:val="24"/>
          <w:szCs w:val="24"/>
        </w:rPr>
      </w:pPr>
    </w:p>
    <w:p w:rsidRPr="00B44C7E" w:rsidR="005E2B1A" w:rsidP="005E2B1A" w:rsidRDefault="005E2B1A" w14:paraId="4C66DCD0" w14:textId="77777777">
      <w:pPr>
        <w:rPr>
          <w:rFonts w:ascii="Times New Roman" w:hAnsi="Times New Roman"/>
          <w:szCs w:val="24"/>
        </w:rPr>
      </w:pPr>
      <w:r w:rsidRPr="00B44C7E">
        <w:rPr>
          <w:rFonts w:ascii="Times New Roman" w:hAnsi="Times New Roman"/>
          <w:szCs w:val="24"/>
        </w:rPr>
        <w:tab/>
        <w:t>U.S. depository institution holding companies</w:t>
      </w:r>
      <w:r w:rsidRPr="00B44C7E" w:rsidDel="00254281">
        <w:rPr>
          <w:rFonts w:ascii="Times New Roman" w:hAnsi="Times New Roman"/>
          <w:szCs w:val="24"/>
        </w:rPr>
        <w:t xml:space="preserve"> </w:t>
      </w:r>
      <w:r w:rsidRPr="00B44C7E">
        <w:rPr>
          <w:rFonts w:ascii="Times New Roman" w:hAnsi="Times New Roman"/>
          <w:szCs w:val="24"/>
        </w:rPr>
        <w:t>and U.S. intermediate holding companies</w:t>
      </w:r>
      <w:r w:rsidRPr="00B44C7E" w:rsidDel="00254281">
        <w:rPr>
          <w:rFonts w:ascii="Times New Roman" w:hAnsi="Times New Roman"/>
          <w:szCs w:val="24"/>
        </w:rPr>
        <w:t xml:space="preserve"> </w:t>
      </w:r>
      <w:r w:rsidRPr="00B44C7E">
        <w:rPr>
          <w:rFonts w:ascii="Times New Roman" w:hAnsi="Times New Roman"/>
          <w:szCs w:val="24"/>
        </w:rPr>
        <w:t xml:space="preserve">subject to the final rule are required to publicly disclose their NSFR and certain components of their NSFR every second and fourth calendar quarter for each of the two immediately preceding calendar quarters.  </w:t>
      </w:r>
    </w:p>
    <w:p w:rsidRPr="00B44C7E" w:rsidR="005E2B1A" w:rsidP="005E2B1A" w:rsidRDefault="005E2B1A" w14:paraId="2131F1B4" w14:textId="77777777">
      <w:pPr>
        <w:rPr>
          <w:rFonts w:ascii="Times New Roman" w:hAnsi="Times New Roman"/>
          <w:szCs w:val="24"/>
        </w:rPr>
      </w:pPr>
    </w:p>
    <w:p w:rsidRPr="00B44C7E" w:rsidR="005E2B1A" w:rsidP="005E2B1A" w:rsidRDefault="005E2B1A" w14:paraId="14124D93" w14:textId="77777777">
      <w:pPr>
        <w:rPr>
          <w:rFonts w:ascii="Times New Roman" w:hAnsi="Times New Roman"/>
          <w:szCs w:val="24"/>
        </w:rPr>
      </w:pPr>
      <w:r w:rsidRPr="00B44C7E">
        <w:rPr>
          <w:rFonts w:ascii="Times New Roman" w:hAnsi="Times New Roman"/>
          <w:szCs w:val="24"/>
        </w:rPr>
        <w:tab/>
        <w:t xml:space="preserve">The final rule also amends certain definitions in the agencies’ liquidity coverage ratio rule that are also applicable to the NSFR.  </w:t>
      </w:r>
    </w:p>
    <w:p w:rsidRPr="00B44C7E" w:rsidR="00811EF2" w:rsidP="00BF7DAE" w:rsidRDefault="00811EF2" w14:paraId="1D36C94F" w14:textId="77777777">
      <w:pPr>
        <w:rPr>
          <w:rFonts w:ascii="Times New Roman" w:hAnsi="Times New Roman"/>
          <w:b/>
          <w:szCs w:val="24"/>
        </w:rPr>
      </w:pPr>
    </w:p>
    <w:p w:rsidRPr="00B44C7E" w:rsidR="00811EF2" w:rsidP="00BF7DAE" w:rsidRDefault="00811EF2" w14:paraId="59D5AB6C" w14:textId="77777777">
      <w:pPr>
        <w:tabs>
          <w:tab w:val="left" w:pos="-1440"/>
        </w:tabs>
        <w:outlineLvl w:val="0"/>
        <w:rPr>
          <w:rFonts w:ascii="Times New Roman" w:hAnsi="Times New Roman"/>
          <w:b/>
          <w:i/>
          <w:szCs w:val="24"/>
        </w:rPr>
      </w:pPr>
      <w:r w:rsidRPr="00B44C7E">
        <w:rPr>
          <w:rFonts w:ascii="Times New Roman" w:hAnsi="Times New Roman"/>
          <w:b/>
          <w:i/>
          <w:szCs w:val="24"/>
        </w:rPr>
        <w:t>1. Circumstances that make the collection necessary:</w:t>
      </w:r>
    </w:p>
    <w:p w:rsidRPr="00B44C7E" w:rsidR="00115206" w:rsidP="00115206" w:rsidRDefault="00115206" w14:paraId="751E3243" w14:textId="77777777">
      <w:pPr>
        <w:rPr>
          <w:rFonts w:ascii="Times New Roman" w:hAnsi="Times New Roman"/>
          <w:b/>
          <w:szCs w:val="24"/>
        </w:rPr>
      </w:pPr>
    </w:p>
    <w:p w:rsidRPr="00B44C7E" w:rsidR="00050A96" w:rsidP="00115206" w:rsidRDefault="00115206" w14:paraId="227B20FD" w14:textId="77777777">
      <w:pPr>
        <w:rPr>
          <w:rFonts w:ascii="Times New Roman" w:hAnsi="Times New Roman"/>
          <w:szCs w:val="24"/>
        </w:rPr>
      </w:pPr>
      <w:r w:rsidRPr="00B44C7E">
        <w:rPr>
          <w:rFonts w:ascii="Times New Roman" w:hAnsi="Times New Roman"/>
          <w:szCs w:val="24"/>
        </w:rPr>
        <w:tab/>
        <w:t>The quantitative liquidity requirement</w:t>
      </w:r>
      <w:r w:rsidRPr="00B44C7E" w:rsidR="00A4249E">
        <w:rPr>
          <w:rFonts w:ascii="Times New Roman" w:hAnsi="Times New Roman"/>
          <w:szCs w:val="24"/>
        </w:rPr>
        <w:t xml:space="preserve"> (12 CFR part 50) is</w:t>
      </w:r>
      <w:r w:rsidRPr="00B44C7E">
        <w:rPr>
          <w:rFonts w:ascii="Times New Roman" w:hAnsi="Times New Roman"/>
          <w:szCs w:val="24"/>
        </w:rPr>
        <w:t xml:space="preserve"> designed </w:t>
      </w:r>
      <w:r w:rsidRPr="00B44C7E" w:rsidR="00A548F5">
        <w:rPr>
          <w:rFonts w:ascii="Times New Roman" w:hAnsi="Times New Roman"/>
          <w:szCs w:val="24"/>
        </w:rPr>
        <w:t xml:space="preserve">to </w:t>
      </w:r>
      <w:r w:rsidRPr="00B44C7E">
        <w:rPr>
          <w:rFonts w:ascii="Times New Roman" w:hAnsi="Times New Roman"/>
          <w:szCs w:val="24"/>
        </w:rPr>
        <w:t xml:space="preserve">promote improvements in the measurement and management of liquidity risk.  </w:t>
      </w:r>
    </w:p>
    <w:p w:rsidRPr="00B44C7E" w:rsidR="00050A96" w:rsidP="00115206" w:rsidRDefault="00050A96" w14:paraId="68AD4C12" w14:textId="77777777">
      <w:pPr>
        <w:rPr>
          <w:rFonts w:ascii="Times New Roman" w:hAnsi="Times New Roman"/>
          <w:szCs w:val="24"/>
        </w:rPr>
      </w:pPr>
    </w:p>
    <w:p w:rsidRPr="00B44C7E" w:rsidR="0003014D" w:rsidP="00115206" w:rsidRDefault="00050A96" w14:paraId="5B4C374A" w14:textId="77777777">
      <w:pPr>
        <w:rPr>
          <w:rFonts w:ascii="Times New Roman" w:hAnsi="Times New Roman"/>
          <w:snapToGrid/>
          <w:szCs w:val="24"/>
        </w:rPr>
      </w:pPr>
      <w:r w:rsidRPr="00B44C7E">
        <w:rPr>
          <w:rFonts w:ascii="Times New Roman" w:hAnsi="Times New Roman"/>
          <w:szCs w:val="24"/>
        </w:rPr>
        <w:tab/>
      </w:r>
      <w:r w:rsidRPr="00B44C7E" w:rsidR="00D23AA9">
        <w:rPr>
          <w:rFonts w:ascii="Times New Roman" w:hAnsi="Times New Roman"/>
          <w:snapToGrid/>
          <w:szCs w:val="24"/>
        </w:rPr>
        <w:t>Part 50</w:t>
      </w:r>
      <w:r w:rsidRPr="00B44C7E" w:rsidR="00E90579">
        <w:rPr>
          <w:rFonts w:ascii="Times New Roman" w:hAnsi="Times New Roman"/>
          <w:snapToGrid/>
          <w:szCs w:val="24"/>
        </w:rPr>
        <w:t xml:space="preserve"> applies to large and internationally active banking organizations—generally, bank holding companies, certain savings and loan holding companies, and depository institutions with </w:t>
      </w:r>
      <w:r w:rsidRPr="00B44C7E" w:rsidR="00E90579">
        <w:rPr>
          <w:rFonts w:ascii="Times New Roman" w:hAnsi="Times New Roman"/>
          <w:snapToGrid/>
          <w:szCs w:val="24"/>
        </w:rPr>
        <w:lastRenderedPageBreak/>
        <w:t>$250 billion or more in total assets or $10 billion or more in on-balance sheet foreign exposure—and to their consolidated subsidiaries that are depository institutions with $10 billion or more in total consolidated assets.</w:t>
      </w:r>
    </w:p>
    <w:p w:rsidRPr="00B44C7E" w:rsidR="00E90579" w:rsidP="00115206" w:rsidRDefault="00E90579" w14:paraId="15F1E92D" w14:textId="77777777">
      <w:pPr>
        <w:rPr>
          <w:rFonts w:ascii="Times New Roman" w:hAnsi="Times New Roman"/>
          <w:szCs w:val="24"/>
        </w:rPr>
      </w:pPr>
    </w:p>
    <w:p w:rsidRPr="00B44C7E" w:rsidR="00811EF2" w:rsidP="00BF7DAE" w:rsidRDefault="00811EF2" w14:paraId="7C8B2E46" w14:textId="77777777">
      <w:pPr>
        <w:tabs>
          <w:tab w:val="left" w:pos="-1440"/>
        </w:tabs>
        <w:outlineLvl w:val="0"/>
        <w:rPr>
          <w:rFonts w:ascii="Times New Roman" w:hAnsi="Times New Roman"/>
          <w:b/>
          <w:i/>
          <w:szCs w:val="24"/>
        </w:rPr>
      </w:pPr>
      <w:r w:rsidRPr="00B44C7E">
        <w:rPr>
          <w:rFonts w:ascii="Times New Roman" w:hAnsi="Times New Roman"/>
          <w:b/>
          <w:i/>
          <w:szCs w:val="24"/>
        </w:rPr>
        <w:t>2. Use of the information:</w:t>
      </w:r>
      <w:r w:rsidRPr="00B44C7E">
        <w:rPr>
          <w:rFonts w:ascii="Times New Roman" w:hAnsi="Times New Roman"/>
          <w:b/>
          <w:i/>
          <w:szCs w:val="24"/>
        </w:rPr>
        <w:tab/>
      </w:r>
      <w:r w:rsidRPr="00B44C7E">
        <w:rPr>
          <w:rFonts w:ascii="Times New Roman" w:hAnsi="Times New Roman"/>
          <w:b/>
          <w:i/>
          <w:szCs w:val="24"/>
        </w:rPr>
        <w:tab/>
      </w:r>
    </w:p>
    <w:p w:rsidRPr="00B44C7E" w:rsidR="00966745" w:rsidP="005F7CF0" w:rsidRDefault="00966745" w14:paraId="027B25D9" w14:textId="77777777">
      <w:pPr>
        <w:rPr>
          <w:rFonts w:ascii="Times New Roman" w:hAnsi="Times New Roman"/>
          <w:szCs w:val="24"/>
        </w:rPr>
      </w:pPr>
    </w:p>
    <w:p w:rsidR="00B44C7E" w:rsidP="00B44C7E" w:rsidRDefault="00B44C7E" w14:paraId="4967B765" w14:textId="77777777">
      <w:pPr>
        <w:contextualSpacing/>
        <w:rPr>
          <w:rFonts w:ascii="Times New Roman" w:hAnsi="Times New Roman"/>
          <w:szCs w:val="24"/>
        </w:rPr>
      </w:pPr>
      <w:r>
        <w:rPr>
          <w:rFonts w:ascii="Times New Roman" w:hAnsi="Times New Roman"/>
          <w:szCs w:val="24"/>
        </w:rPr>
        <w:tab/>
      </w:r>
      <w:r w:rsidRPr="00B44C7E">
        <w:rPr>
          <w:rFonts w:ascii="Times New Roman" w:hAnsi="Times New Roman"/>
          <w:szCs w:val="24"/>
        </w:rPr>
        <w:t xml:space="preserve">The reporting requirements in the final rule are found in </w:t>
      </w:r>
      <w:r>
        <w:rPr>
          <w:rFonts w:ascii="Times New Roman" w:hAnsi="Times New Roman"/>
          <w:szCs w:val="24"/>
        </w:rPr>
        <w:t>§</w:t>
      </w:r>
      <w:r w:rsidRPr="00B44C7E">
        <w:rPr>
          <w:rFonts w:ascii="Times New Roman" w:hAnsi="Times New Roman"/>
          <w:szCs w:val="24"/>
        </w:rPr>
        <w:t xml:space="preserve"> </w:t>
      </w:r>
      <w:r>
        <w:rPr>
          <w:rFonts w:ascii="Times New Roman" w:hAnsi="Times New Roman"/>
          <w:szCs w:val="24"/>
        </w:rPr>
        <w:t>50</w:t>
      </w:r>
      <w:r w:rsidRPr="00B44C7E">
        <w:rPr>
          <w:rFonts w:ascii="Times New Roman" w:hAnsi="Times New Roman"/>
          <w:szCs w:val="24"/>
        </w:rPr>
        <w:t xml:space="preserve">.110, the recordkeeping requirements are found in </w:t>
      </w:r>
      <w:r>
        <w:rPr>
          <w:rFonts w:ascii="Times New Roman" w:hAnsi="Times New Roman"/>
          <w:szCs w:val="24"/>
        </w:rPr>
        <w:t>§§ 50</w:t>
      </w:r>
      <w:r w:rsidRPr="00B44C7E">
        <w:rPr>
          <w:rFonts w:ascii="Times New Roman" w:hAnsi="Times New Roman"/>
          <w:szCs w:val="24"/>
        </w:rPr>
        <w:t xml:space="preserve">.108(b) and </w:t>
      </w:r>
      <w:r>
        <w:rPr>
          <w:rFonts w:ascii="Times New Roman" w:hAnsi="Times New Roman"/>
          <w:szCs w:val="24"/>
        </w:rPr>
        <w:t>50</w:t>
      </w:r>
      <w:r w:rsidRPr="00B44C7E">
        <w:rPr>
          <w:rFonts w:ascii="Times New Roman" w:hAnsi="Times New Roman"/>
          <w:szCs w:val="24"/>
        </w:rPr>
        <w:t xml:space="preserve">.110(b), and the disclosure requirements are found in </w:t>
      </w:r>
      <w:r>
        <w:rPr>
          <w:rFonts w:ascii="Times New Roman" w:hAnsi="Times New Roman"/>
          <w:szCs w:val="24"/>
        </w:rPr>
        <w:t>§§</w:t>
      </w:r>
      <w:r w:rsidRPr="00B44C7E">
        <w:rPr>
          <w:rFonts w:ascii="Times New Roman" w:hAnsi="Times New Roman"/>
          <w:szCs w:val="24"/>
        </w:rPr>
        <w:t xml:space="preserve"> </w:t>
      </w:r>
      <w:r>
        <w:rPr>
          <w:rFonts w:ascii="Times New Roman" w:hAnsi="Times New Roman"/>
          <w:szCs w:val="24"/>
        </w:rPr>
        <w:t>50</w:t>
      </w:r>
      <w:r w:rsidRPr="00B44C7E">
        <w:rPr>
          <w:rFonts w:ascii="Times New Roman" w:hAnsi="Times New Roman"/>
          <w:szCs w:val="24"/>
        </w:rPr>
        <w:t xml:space="preserve">.130 and </w:t>
      </w:r>
      <w:r w:rsidR="00866BB6">
        <w:rPr>
          <w:rFonts w:ascii="Times New Roman" w:hAnsi="Times New Roman"/>
          <w:szCs w:val="24"/>
        </w:rPr>
        <w:t>50</w:t>
      </w:r>
      <w:r w:rsidRPr="00B44C7E">
        <w:rPr>
          <w:rFonts w:ascii="Times New Roman" w:hAnsi="Times New Roman"/>
          <w:szCs w:val="24"/>
        </w:rPr>
        <w:t xml:space="preserve">.131. </w:t>
      </w:r>
    </w:p>
    <w:p w:rsidRPr="00B44C7E" w:rsidR="00B44C7E" w:rsidP="00B44C7E" w:rsidRDefault="00B44C7E" w14:paraId="2AF37510" w14:textId="77777777">
      <w:pPr>
        <w:contextualSpacing/>
        <w:rPr>
          <w:rFonts w:ascii="Times New Roman" w:hAnsi="Times New Roman"/>
          <w:szCs w:val="24"/>
        </w:rPr>
      </w:pPr>
    </w:p>
    <w:p w:rsidRPr="00B44C7E" w:rsidR="00B44C7E" w:rsidP="00B44C7E" w:rsidRDefault="00B44C7E" w14:paraId="58DEA959" w14:textId="77777777">
      <w:pPr>
        <w:contextualSpacing/>
        <w:rPr>
          <w:rFonts w:ascii="Times New Roman" w:hAnsi="Times New Roman"/>
          <w:szCs w:val="24"/>
        </w:rPr>
      </w:pPr>
      <w:r>
        <w:rPr>
          <w:rFonts w:ascii="Times New Roman" w:hAnsi="Times New Roman"/>
          <w:szCs w:val="24"/>
        </w:rPr>
        <w:tab/>
      </w:r>
      <w:r w:rsidRPr="00B44C7E">
        <w:rPr>
          <w:rFonts w:ascii="Times New Roman" w:hAnsi="Times New Roman"/>
          <w:szCs w:val="24"/>
        </w:rPr>
        <w:t xml:space="preserve">Section </w:t>
      </w:r>
      <w:r w:rsidR="00866BB6">
        <w:rPr>
          <w:rFonts w:ascii="Times New Roman" w:hAnsi="Times New Roman"/>
          <w:szCs w:val="24"/>
        </w:rPr>
        <w:t>50</w:t>
      </w:r>
      <w:r w:rsidRPr="00B44C7E">
        <w:rPr>
          <w:rFonts w:ascii="Times New Roman" w:hAnsi="Times New Roman"/>
          <w:szCs w:val="24"/>
        </w:rPr>
        <w:t xml:space="preserve">.110 requires a covered company to take certain actions following any NSFR shortfall. A covered company would be required to notify its appropriate </w:t>
      </w:r>
      <w:r w:rsidRPr="00B44C7E" w:rsidDel="00DC2E5D">
        <w:rPr>
          <w:rFonts w:ascii="Times New Roman" w:hAnsi="Times New Roman"/>
          <w:szCs w:val="24"/>
        </w:rPr>
        <w:t>F</w:t>
      </w:r>
      <w:r w:rsidRPr="00B44C7E">
        <w:rPr>
          <w:rFonts w:ascii="Times New Roman" w:hAnsi="Times New Roman"/>
          <w:szCs w:val="24"/>
        </w:rPr>
        <w:t xml:space="preserve">ederal banking agency of the shortfall no later than 10 business days (or such other period as the appropriate </w:t>
      </w:r>
      <w:r w:rsidRPr="00B44C7E" w:rsidDel="00DC2E5D">
        <w:rPr>
          <w:rFonts w:ascii="Times New Roman" w:hAnsi="Times New Roman"/>
          <w:szCs w:val="24"/>
        </w:rPr>
        <w:t>F</w:t>
      </w:r>
      <w:r w:rsidRPr="00B44C7E">
        <w:rPr>
          <w:rFonts w:ascii="Times New Roman" w:hAnsi="Times New Roman"/>
          <w:szCs w:val="24"/>
        </w:rPr>
        <w:t xml:space="preserve">ederal banking agency may otherwise require by written notice) following the date that any event has occurred that would cause or has caused the covered company's NSFR to be less than 1.0. It must also submit to its appropriate </w:t>
      </w:r>
      <w:r w:rsidRPr="00B44C7E" w:rsidDel="00DC2E5D">
        <w:rPr>
          <w:rFonts w:ascii="Times New Roman" w:hAnsi="Times New Roman"/>
          <w:szCs w:val="24"/>
        </w:rPr>
        <w:t>F</w:t>
      </w:r>
      <w:r w:rsidRPr="00B44C7E">
        <w:rPr>
          <w:rFonts w:ascii="Times New Roman" w:hAnsi="Times New Roman"/>
          <w:szCs w:val="24"/>
        </w:rPr>
        <w:t>ederal banking agency its plan for remediation of its NSFR to at least 1.0 and submit at least monthly reports on its progress to achieve compliance.</w:t>
      </w:r>
    </w:p>
    <w:p w:rsidR="00866BB6" w:rsidP="00B44C7E" w:rsidRDefault="00866BB6" w14:paraId="7113A08F" w14:textId="77777777">
      <w:pPr>
        <w:contextualSpacing/>
        <w:rPr>
          <w:rFonts w:ascii="Times New Roman" w:hAnsi="Times New Roman"/>
          <w:szCs w:val="24"/>
        </w:rPr>
      </w:pPr>
    </w:p>
    <w:p w:rsidR="00B44C7E" w:rsidP="00B44C7E" w:rsidRDefault="00866BB6" w14:paraId="19037700" w14:textId="77777777">
      <w:pPr>
        <w:contextualSpacing/>
        <w:rPr>
          <w:rFonts w:ascii="Times New Roman" w:hAnsi="Times New Roman"/>
          <w:szCs w:val="24"/>
        </w:rPr>
      </w:pPr>
      <w:r>
        <w:rPr>
          <w:rFonts w:ascii="Times New Roman" w:hAnsi="Times New Roman"/>
          <w:szCs w:val="24"/>
        </w:rPr>
        <w:tab/>
      </w:r>
      <w:r w:rsidRPr="00B44C7E" w:rsidR="00B44C7E">
        <w:rPr>
          <w:rFonts w:ascii="Times New Roman" w:hAnsi="Times New Roman"/>
          <w:szCs w:val="24"/>
        </w:rPr>
        <w:t xml:space="preserve">Section </w:t>
      </w:r>
      <w:r>
        <w:rPr>
          <w:rFonts w:ascii="Times New Roman" w:hAnsi="Times New Roman"/>
          <w:szCs w:val="24"/>
        </w:rPr>
        <w:t>50</w:t>
      </w:r>
      <w:r w:rsidRPr="00B44C7E" w:rsidR="00B44C7E">
        <w:rPr>
          <w:rFonts w:ascii="Times New Roman" w:hAnsi="Times New Roman"/>
          <w:szCs w:val="24"/>
        </w:rPr>
        <w:t xml:space="preserve">.108(b) provides that if an institution includes an ASF amount in excess of the RSF amount of the consolidated subsidiary, it must implement and maintain written procedures to identify and monitor applicable statutory, regulatory, contractual, supervisory, or other restrictions on transferring assets from the consolidated subsidiaries.  These procedures must document which types of transactions the institution could use to transfer assets from a consolidated subsidiary to the institution and how these types of transactions comply with applicable statutory, regulatory, contractual, supervisory, or other restrictions.  Section </w:t>
      </w:r>
      <w:r>
        <w:rPr>
          <w:rFonts w:ascii="Times New Roman" w:hAnsi="Times New Roman"/>
          <w:szCs w:val="24"/>
        </w:rPr>
        <w:t>50</w:t>
      </w:r>
      <w:r w:rsidRPr="00B44C7E" w:rsidR="00B44C7E">
        <w:rPr>
          <w:rFonts w:ascii="Times New Roman" w:hAnsi="Times New Roman"/>
          <w:szCs w:val="24"/>
        </w:rPr>
        <w:t>.110(b) requires preparation of a plan for remediation to achieve an NSFR of at least equal to 1.0, as required under § </w:t>
      </w:r>
      <w:r>
        <w:rPr>
          <w:rFonts w:ascii="Times New Roman" w:hAnsi="Times New Roman"/>
          <w:szCs w:val="24"/>
        </w:rPr>
        <w:t>50</w:t>
      </w:r>
      <w:r w:rsidRPr="00B44C7E" w:rsidR="00B44C7E">
        <w:rPr>
          <w:rFonts w:ascii="Times New Roman" w:hAnsi="Times New Roman"/>
          <w:szCs w:val="24"/>
        </w:rPr>
        <w:t>.100.</w:t>
      </w:r>
    </w:p>
    <w:p w:rsidRPr="00B44C7E" w:rsidR="00866BB6" w:rsidP="00B44C7E" w:rsidRDefault="00866BB6" w14:paraId="34F907F4" w14:textId="77777777">
      <w:pPr>
        <w:contextualSpacing/>
        <w:rPr>
          <w:rFonts w:ascii="Times New Roman" w:hAnsi="Times New Roman"/>
          <w:szCs w:val="24"/>
        </w:rPr>
      </w:pPr>
    </w:p>
    <w:p w:rsidRPr="00B44C7E" w:rsidR="00B44C7E" w:rsidP="00B44C7E" w:rsidRDefault="00866BB6" w14:paraId="50B2E405" w14:textId="77777777">
      <w:pPr>
        <w:contextualSpacing/>
        <w:rPr>
          <w:rFonts w:ascii="Times New Roman" w:hAnsi="Times New Roman"/>
          <w:szCs w:val="24"/>
        </w:rPr>
      </w:pPr>
      <w:r>
        <w:rPr>
          <w:rFonts w:ascii="Times New Roman" w:hAnsi="Times New Roman"/>
          <w:szCs w:val="24"/>
        </w:rPr>
        <w:tab/>
      </w:r>
      <w:r w:rsidRPr="00B44C7E" w:rsidR="00B44C7E">
        <w:rPr>
          <w:rFonts w:ascii="Times New Roman" w:hAnsi="Times New Roman"/>
          <w:szCs w:val="24"/>
        </w:rPr>
        <w:t xml:space="preserve">Section </w:t>
      </w:r>
      <w:r>
        <w:rPr>
          <w:rFonts w:ascii="Times New Roman" w:hAnsi="Times New Roman"/>
          <w:szCs w:val="24"/>
        </w:rPr>
        <w:t>50</w:t>
      </w:r>
      <w:r w:rsidRPr="00B44C7E" w:rsidR="00B44C7E">
        <w:rPr>
          <w:rFonts w:ascii="Times New Roman" w:hAnsi="Times New Roman"/>
          <w:szCs w:val="24"/>
        </w:rPr>
        <w:t xml:space="preserve">.130 requires that a depository institution holding company subject to the NSFR publicly disclose on a biannual basis its NSFR calculated for each of the two immediately preceding calendar quarters, in a direct and prominent manner on its public internet site or in its public financial or other public regulatory reports.  These disclosures must remain publicly available for at least five years after the date of disclosure.  Section </w:t>
      </w:r>
      <w:r>
        <w:rPr>
          <w:rFonts w:ascii="Times New Roman" w:hAnsi="Times New Roman"/>
          <w:szCs w:val="24"/>
        </w:rPr>
        <w:t>50</w:t>
      </w:r>
      <w:r w:rsidRPr="00B44C7E" w:rsidR="00B44C7E">
        <w:rPr>
          <w:rFonts w:ascii="Times New Roman" w:hAnsi="Times New Roman"/>
          <w:szCs w:val="24"/>
        </w:rPr>
        <w:t>.131 specifies the quantitative and qualitative disclosures required and provides the disclosure template to be used.</w:t>
      </w:r>
    </w:p>
    <w:p w:rsidRPr="00B44C7E" w:rsidR="00112D16" w:rsidP="00C55A1E" w:rsidRDefault="00112D16" w14:paraId="79E27F7C" w14:textId="77777777">
      <w:pPr>
        <w:rPr>
          <w:rFonts w:ascii="Times New Roman" w:hAnsi="Times New Roman"/>
          <w:szCs w:val="24"/>
        </w:rPr>
      </w:pPr>
    </w:p>
    <w:p w:rsidRPr="00B44C7E" w:rsidR="00811EF2" w:rsidP="00C55A1E" w:rsidRDefault="00811EF2" w14:paraId="0141B8ED" w14:textId="77777777">
      <w:pPr>
        <w:rPr>
          <w:rFonts w:ascii="Times New Roman" w:hAnsi="Times New Roman"/>
          <w:b/>
          <w:i/>
          <w:szCs w:val="24"/>
        </w:rPr>
      </w:pPr>
      <w:r w:rsidRPr="00B44C7E">
        <w:rPr>
          <w:rFonts w:ascii="Times New Roman" w:hAnsi="Times New Roman"/>
          <w:b/>
          <w:i/>
          <w:szCs w:val="24"/>
        </w:rPr>
        <w:t xml:space="preserve">3. Consideration of the use of </w:t>
      </w:r>
      <w:r w:rsidRPr="00B44C7E" w:rsidR="00A71D81">
        <w:rPr>
          <w:rFonts w:ascii="Times New Roman" w:hAnsi="Times New Roman"/>
          <w:b/>
          <w:i/>
          <w:szCs w:val="24"/>
        </w:rPr>
        <w:t xml:space="preserve">improved </w:t>
      </w:r>
      <w:r w:rsidRPr="00B44C7E">
        <w:rPr>
          <w:rFonts w:ascii="Times New Roman" w:hAnsi="Times New Roman"/>
          <w:b/>
          <w:i/>
          <w:szCs w:val="24"/>
        </w:rPr>
        <w:t>information technology:</w:t>
      </w:r>
    </w:p>
    <w:p w:rsidRPr="00B44C7E" w:rsidR="00E1030E" w:rsidP="00BF7DAE" w:rsidRDefault="00E1030E" w14:paraId="51601FC2" w14:textId="77777777">
      <w:pPr>
        <w:autoSpaceDE w:val="0"/>
        <w:autoSpaceDN w:val="0"/>
        <w:adjustRightInd w:val="0"/>
        <w:rPr>
          <w:rFonts w:ascii="Times New Roman" w:hAnsi="Times New Roman"/>
          <w:szCs w:val="24"/>
        </w:rPr>
      </w:pPr>
    </w:p>
    <w:p w:rsidRPr="00B44C7E" w:rsidR="00E1030E" w:rsidP="00BF7DAE" w:rsidRDefault="00060031" w14:paraId="6FAF3023" w14:textId="77777777">
      <w:pPr>
        <w:autoSpaceDE w:val="0"/>
        <w:autoSpaceDN w:val="0"/>
        <w:adjustRightInd w:val="0"/>
        <w:rPr>
          <w:rFonts w:ascii="Times New Roman" w:hAnsi="Times New Roman"/>
          <w:color w:val="000000"/>
          <w:szCs w:val="24"/>
        </w:rPr>
      </w:pPr>
      <w:r w:rsidRPr="00B44C7E">
        <w:rPr>
          <w:rFonts w:ascii="Times New Roman" w:hAnsi="Times New Roman"/>
          <w:szCs w:val="24"/>
        </w:rPr>
        <w:tab/>
      </w:r>
      <w:r w:rsidRPr="00B44C7E" w:rsidR="00F43210">
        <w:rPr>
          <w:rFonts w:ascii="Times New Roman" w:hAnsi="Times New Roman"/>
          <w:szCs w:val="24"/>
        </w:rPr>
        <w:t>The use of improved technology is permitted to meet the requirements of the information collection.</w:t>
      </w:r>
    </w:p>
    <w:p w:rsidRPr="00B44C7E" w:rsidR="00331855" w:rsidP="00BF7DAE" w:rsidRDefault="00331855" w14:paraId="2ED6B224" w14:textId="77777777">
      <w:pPr>
        <w:tabs>
          <w:tab w:val="left" w:pos="-1440"/>
        </w:tabs>
        <w:rPr>
          <w:rFonts w:ascii="Times New Roman" w:hAnsi="Times New Roman"/>
          <w:szCs w:val="24"/>
        </w:rPr>
      </w:pPr>
    </w:p>
    <w:p w:rsidRPr="00B44C7E" w:rsidR="00811EF2" w:rsidP="00BF7DAE" w:rsidRDefault="00811EF2" w14:paraId="7D7CD9A1" w14:textId="77777777">
      <w:pPr>
        <w:tabs>
          <w:tab w:val="left" w:pos="-1440"/>
        </w:tabs>
        <w:outlineLvl w:val="0"/>
        <w:rPr>
          <w:rFonts w:ascii="Times New Roman" w:hAnsi="Times New Roman"/>
          <w:b/>
          <w:i/>
          <w:szCs w:val="24"/>
        </w:rPr>
      </w:pPr>
      <w:r w:rsidRPr="00B44C7E">
        <w:rPr>
          <w:rFonts w:ascii="Times New Roman" w:hAnsi="Times New Roman"/>
          <w:b/>
          <w:i/>
          <w:szCs w:val="24"/>
        </w:rPr>
        <w:t>4.  Efforts to identify duplication:</w:t>
      </w:r>
    </w:p>
    <w:p w:rsidRPr="00B44C7E" w:rsidR="00811EF2" w:rsidP="00BF7DAE" w:rsidRDefault="00811EF2" w14:paraId="39B5EB6D" w14:textId="77777777">
      <w:pPr>
        <w:rPr>
          <w:rFonts w:ascii="Times New Roman" w:hAnsi="Times New Roman"/>
          <w:szCs w:val="24"/>
        </w:rPr>
      </w:pPr>
    </w:p>
    <w:p w:rsidRPr="00B44C7E" w:rsidR="00811EF2" w:rsidP="00BF7DAE" w:rsidRDefault="00060031" w14:paraId="13158AD8" w14:textId="77777777">
      <w:pPr>
        <w:rPr>
          <w:rFonts w:ascii="Times New Roman" w:hAnsi="Times New Roman"/>
          <w:szCs w:val="24"/>
        </w:rPr>
      </w:pPr>
      <w:r w:rsidRPr="00B44C7E">
        <w:rPr>
          <w:rFonts w:ascii="Times New Roman" w:hAnsi="Times New Roman"/>
          <w:szCs w:val="24"/>
        </w:rPr>
        <w:tab/>
      </w:r>
      <w:r w:rsidRPr="00B44C7E" w:rsidR="00811EF2">
        <w:rPr>
          <w:rFonts w:ascii="Times New Roman" w:hAnsi="Times New Roman"/>
          <w:szCs w:val="24"/>
        </w:rPr>
        <w:t xml:space="preserve">The information </w:t>
      </w:r>
      <w:r w:rsidRPr="00B44C7E" w:rsidR="00F43210">
        <w:rPr>
          <w:rFonts w:ascii="Times New Roman" w:hAnsi="Times New Roman"/>
          <w:szCs w:val="24"/>
        </w:rPr>
        <w:t xml:space="preserve">collected is </w:t>
      </w:r>
      <w:r w:rsidRPr="00B44C7E" w:rsidR="00811EF2">
        <w:rPr>
          <w:rFonts w:ascii="Times New Roman" w:hAnsi="Times New Roman"/>
          <w:szCs w:val="24"/>
        </w:rPr>
        <w:t>not duplicated elsewhere.</w:t>
      </w:r>
    </w:p>
    <w:p w:rsidRPr="00B44C7E" w:rsidR="00811EF2" w:rsidP="00BF7DAE" w:rsidRDefault="00811EF2" w14:paraId="3C7C3691" w14:textId="77777777">
      <w:pPr>
        <w:rPr>
          <w:rFonts w:ascii="Times New Roman" w:hAnsi="Times New Roman"/>
          <w:szCs w:val="24"/>
        </w:rPr>
      </w:pPr>
    </w:p>
    <w:p w:rsidR="006F025E" w:rsidP="00190C5F" w:rsidRDefault="006F025E" w14:paraId="04463810" w14:textId="77777777">
      <w:pPr>
        <w:pStyle w:val="BodyText"/>
        <w:widowControl w:val="0"/>
        <w:ind w:left="100" w:right="861"/>
        <w:rPr>
          <w:rFonts w:ascii="Times New Roman" w:hAnsi="Times New Roman"/>
          <w:b/>
          <w:bCs/>
          <w:i/>
          <w:iCs/>
          <w:szCs w:val="24"/>
          <w:u w:val="none"/>
        </w:rPr>
      </w:pPr>
    </w:p>
    <w:p w:rsidRPr="00B44C7E" w:rsidR="00190C5F" w:rsidP="00190C5F" w:rsidRDefault="00190C5F" w14:paraId="14E17A0F" w14:textId="77777777">
      <w:pPr>
        <w:pStyle w:val="BodyText"/>
        <w:widowControl w:val="0"/>
        <w:ind w:left="100" w:right="861"/>
        <w:rPr>
          <w:rFonts w:ascii="Times New Roman" w:hAnsi="Times New Roman"/>
          <w:b/>
          <w:i/>
          <w:szCs w:val="24"/>
          <w:u w:val="none"/>
        </w:rPr>
      </w:pPr>
      <w:r w:rsidRPr="00B44C7E">
        <w:rPr>
          <w:rFonts w:ascii="Times New Roman" w:hAnsi="Times New Roman"/>
          <w:b/>
          <w:bCs/>
          <w:i/>
          <w:iCs/>
          <w:szCs w:val="24"/>
          <w:u w:val="none"/>
        </w:rPr>
        <w:lastRenderedPageBreak/>
        <w:t>5.</w:t>
      </w:r>
      <w:r w:rsidRPr="00B44C7E" w:rsidR="00F51B9E">
        <w:rPr>
          <w:rFonts w:ascii="Times New Roman" w:hAnsi="Times New Roman"/>
          <w:b/>
          <w:bCs/>
          <w:i/>
          <w:iCs/>
          <w:szCs w:val="24"/>
          <w:u w:val="none"/>
        </w:rPr>
        <w:t xml:space="preserve"> </w:t>
      </w:r>
      <w:r w:rsidRPr="00B44C7E">
        <w:rPr>
          <w:rFonts w:ascii="Times New Roman" w:hAnsi="Times New Roman"/>
          <w:b/>
          <w:i/>
          <w:spacing w:val="-2"/>
          <w:szCs w:val="24"/>
          <w:u w:val="none"/>
        </w:rPr>
        <w:t>If</w:t>
      </w:r>
      <w:r w:rsidRPr="00B44C7E">
        <w:rPr>
          <w:rFonts w:ascii="Times New Roman" w:hAnsi="Times New Roman"/>
          <w:b/>
          <w:i/>
          <w:spacing w:val="-8"/>
          <w:szCs w:val="24"/>
          <w:u w:val="none"/>
        </w:rPr>
        <w:t xml:space="preserve"> </w:t>
      </w:r>
      <w:r w:rsidRPr="00B44C7E">
        <w:rPr>
          <w:rFonts w:ascii="Times New Roman" w:hAnsi="Times New Roman"/>
          <w:b/>
          <w:i/>
          <w:szCs w:val="24"/>
          <w:u w:val="none"/>
        </w:rPr>
        <w:t>the</w:t>
      </w:r>
      <w:r w:rsidRPr="00B44C7E">
        <w:rPr>
          <w:rFonts w:ascii="Times New Roman" w:hAnsi="Times New Roman"/>
          <w:b/>
          <w:i/>
          <w:spacing w:val="-7"/>
          <w:szCs w:val="24"/>
          <w:u w:val="none"/>
        </w:rPr>
        <w:t xml:space="preserve"> </w:t>
      </w:r>
      <w:r w:rsidRPr="00B44C7E">
        <w:rPr>
          <w:rFonts w:ascii="Times New Roman" w:hAnsi="Times New Roman"/>
          <w:b/>
          <w:i/>
          <w:spacing w:val="-1"/>
          <w:szCs w:val="24"/>
          <w:u w:val="none"/>
        </w:rPr>
        <w:t>collection</w:t>
      </w:r>
      <w:r w:rsidRPr="00B44C7E">
        <w:rPr>
          <w:rFonts w:ascii="Times New Roman" w:hAnsi="Times New Roman"/>
          <w:b/>
          <w:i/>
          <w:spacing w:val="-7"/>
          <w:szCs w:val="24"/>
          <w:u w:val="none"/>
        </w:rPr>
        <w:t xml:space="preserve"> </w:t>
      </w:r>
      <w:r w:rsidRPr="00B44C7E">
        <w:rPr>
          <w:rFonts w:ascii="Times New Roman" w:hAnsi="Times New Roman"/>
          <w:b/>
          <w:i/>
          <w:szCs w:val="24"/>
          <w:u w:val="none"/>
        </w:rPr>
        <w:t>of</w:t>
      </w:r>
      <w:r w:rsidRPr="00B44C7E">
        <w:rPr>
          <w:rFonts w:ascii="Times New Roman" w:hAnsi="Times New Roman"/>
          <w:b/>
          <w:i/>
          <w:spacing w:val="-8"/>
          <w:szCs w:val="24"/>
          <w:u w:val="none"/>
        </w:rPr>
        <w:t xml:space="preserve"> </w:t>
      </w:r>
      <w:r w:rsidRPr="00B44C7E">
        <w:rPr>
          <w:rFonts w:ascii="Times New Roman" w:hAnsi="Times New Roman"/>
          <w:b/>
          <w:i/>
          <w:spacing w:val="-1"/>
          <w:szCs w:val="24"/>
          <w:u w:val="none"/>
        </w:rPr>
        <w:t>information</w:t>
      </w:r>
      <w:r w:rsidRPr="00B44C7E">
        <w:rPr>
          <w:rFonts w:ascii="Times New Roman" w:hAnsi="Times New Roman"/>
          <w:b/>
          <w:i/>
          <w:spacing w:val="-7"/>
          <w:szCs w:val="24"/>
          <w:u w:val="none"/>
        </w:rPr>
        <w:t xml:space="preserve"> </w:t>
      </w:r>
      <w:r w:rsidRPr="00B44C7E">
        <w:rPr>
          <w:rFonts w:ascii="Times New Roman" w:hAnsi="Times New Roman"/>
          <w:b/>
          <w:i/>
          <w:spacing w:val="-1"/>
          <w:szCs w:val="24"/>
          <w:u w:val="none"/>
        </w:rPr>
        <w:t>impacts</w:t>
      </w:r>
      <w:r w:rsidRPr="00B44C7E">
        <w:rPr>
          <w:rFonts w:ascii="Times New Roman" w:hAnsi="Times New Roman"/>
          <w:b/>
          <w:i/>
          <w:spacing w:val="-6"/>
          <w:szCs w:val="24"/>
          <w:u w:val="none"/>
        </w:rPr>
        <w:t xml:space="preserve"> </w:t>
      </w:r>
      <w:r w:rsidRPr="00B44C7E">
        <w:rPr>
          <w:rFonts w:ascii="Times New Roman" w:hAnsi="Times New Roman"/>
          <w:b/>
          <w:i/>
          <w:spacing w:val="-1"/>
          <w:szCs w:val="24"/>
          <w:u w:val="none"/>
        </w:rPr>
        <w:t>small</w:t>
      </w:r>
      <w:r w:rsidRPr="00B44C7E">
        <w:rPr>
          <w:rFonts w:ascii="Times New Roman" w:hAnsi="Times New Roman"/>
          <w:b/>
          <w:i/>
          <w:spacing w:val="-7"/>
          <w:szCs w:val="24"/>
          <w:u w:val="none"/>
        </w:rPr>
        <w:t xml:space="preserve"> </w:t>
      </w:r>
      <w:r w:rsidRPr="00B44C7E">
        <w:rPr>
          <w:rFonts w:ascii="Times New Roman" w:hAnsi="Times New Roman"/>
          <w:b/>
          <w:i/>
          <w:spacing w:val="-1"/>
          <w:szCs w:val="24"/>
          <w:u w:val="none"/>
        </w:rPr>
        <w:t>businesses</w:t>
      </w:r>
      <w:r w:rsidRPr="00B44C7E">
        <w:rPr>
          <w:rFonts w:ascii="Times New Roman" w:hAnsi="Times New Roman"/>
          <w:b/>
          <w:i/>
          <w:spacing w:val="-6"/>
          <w:szCs w:val="24"/>
          <w:u w:val="none"/>
        </w:rPr>
        <w:t xml:space="preserve"> </w:t>
      </w:r>
      <w:r w:rsidRPr="00B44C7E">
        <w:rPr>
          <w:rFonts w:ascii="Times New Roman" w:hAnsi="Times New Roman"/>
          <w:b/>
          <w:i/>
          <w:szCs w:val="24"/>
          <w:u w:val="none"/>
        </w:rPr>
        <w:t>or</w:t>
      </w:r>
      <w:r w:rsidRPr="00B44C7E">
        <w:rPr>
          <w:rFonts w:ascii="Times New Roman" w:hAnsi="Times New Roman"/>
          <w:b/>
          <w:i/>
          <w:spacing w:val="-8"/>
          <w:szCs w:val="24"/>
          <w:u w:val="none"/>
        </w:rPr>
        <w:t xml:space="preserve"> </w:t>
      </w:r>
      <w:r w:rsidRPr="00B44C7E">
        <w:rPr>
          <w:rFonts w:ascii="Times New Roman" w:hAnsi="Times New Roman"/>
          <w:b/>
          <w:i/>
          <w:spacing w:val="1"/>
          <w:szCs w:val="24"/>
          <w:u w:val="none"/>
        </w:rPr>
        <w:t>other</w:t>
      </w:r>
      <w:r w:rsidRPr="00B44C7E">
        <w:rPr>
          <w:rFonts w:ascii="Times New Roman" w:hAnsi="Times New Roman"/>
          <w:b/>
          <w:i/>
          <w:spacing w:val="-7"/>
          <w:szCs w:val="24"/>
          <w:u w:val="none"/>
        </w:rPr>
        <w:t xml:space="preserve"> </w:t>
      </w:r>
      <w:r w:rsidRPr="00B44C7E">
        <w:rPr>
          <w:rFonts w:ascii="Times New Roman" w:hAnsi="Times New Roman"/>
          <w:b/>
          <w:i/>
          <w:spacing w:val="-1"/>
          <w:szCs w:val="24"/>
          <w:u w:val="none"/>
        </w:rPr>
        <w:t>small</w:t>
      </w:r>
      <w:r w:rsidRPr="00B44C7E">
        <w:rPr>
          <w:rFonts w:ascii="Times New Roman" w:hAnsi="Times New Roman"/>
          <w:b/>
          <w:i/>
          <w:spacing w:val="-6"/>
          <w:szCs w:val="24"/>
          <w:u w:val="none"/>
        </w:rPr>
        <w:t xml:space="preserve"> </w:t>
      </w:r>
      <w:r w:rsidRPr="00B44C7E">
        <w:rPr>
          <w:rFonts w:ascii="Times New Roman" w:hAnsi="Times New Roman"/>
          <w:b/>
          <w:i/>
          <w:szCs w:val="24"/>
          <w:u w:val="none"/>
        </w:rPr>
        <w:t>entities, describe</w:t>
      </w:r>
      <w:r w:rsidRPr="00B44C7E">
        <w:rPr>
          <w:rFonts w:ascii="Times New Roman" w:hAnsi="Times New Roman"/>
          <w:b/>
          <w:i/>
          <w:spacing w:val="-7"/>
          <w:szCs w:val="24"/>
          <w:u w:val="none"/>
        </w:rPr>
        <w:t xml:space="preserve"> </w:t>
      </w:r>
      <w:r w:rsidRPr="00B44C7E">
        <w:rPr>
          <w:rFonts w:ascii="Times New Roman" w:hAnsi="Times New Roman"/>
          <w:b/>
          <w:i/>
          <w:spacing w:val="1"/>
          <w:szCs w:val="24"/>
          <w:u w:val="none"/>
        </w:rPr>
        <w:t>any</w:t>
      </w:r>
      <w:r w:rsidRPr="00B44C7E">
        <w:rPr>
          <w:rFonts w:ascii="Times New Roman" w:hAnsi="Times New Roman"/>
          <w:b/>
          <w:i/>
          <w:spacing w:val="-11"/>
          <w:szCs w:val="24"/>
          <w:u w:val="none"/>
        </w:rPr>
        <w:t xml:space="preserve"> </w:t>
      </w:r>
      <w:r w:rsidRPr="00B44C7E">
        <w:rPr>
          <w:rFonts w:ascii="Times New Roman" w:hAnsi="Times New Roman"/>
          <w:b/>
          <w:i/>
          <w:spacing w:val="-1"/>
          <w:szCs w:val="24"/>
          <w:u w:val="none"/>
        </w:rPr>
        <w:t>methods</w:t>
      </w:r>
      <w:r w:rsidRPr="00B44C7E">
        <w:rPr>
          <w:rFonts w:ascii="Times New Roman" w:hAnsi="Times New Roman"/>
          <w:b/>
          <w:i/>
          <w:spacing w:val="-8"/>
          <w:szCs w:val="24"/>
          <w:u w:val="none"/>
        </w:rPr>
        <w:t xml:space="preserve"> </w:t>
      </w:r>
      <w:r w:rsidRPr="00B44C7E">
        <w:rPr>
          <w:rFonts w:ascii="Times New Roman" w:hAnsi="Times New Roman"/>
          <w:b/>
          <w:i/>
          <w:spacing w:val="-1"/>
          <w:szCs w:val="24"/>
          <w:u w:val="none"/>
        </w:rPr>
        <w:t>used</w:t>
      </w:r>
      <w:r w:rsidRPr="00B44C7E">
        <w:rPr>
          <w:rFonts w:ascii="Times New Roman" w:hAnsi="Times New Roman"/>
          <w:b/>
          <w:i/>
          <w:spacing w:val="-8"/>
          <w:szCs w:val="24"/>
          <w:u w:val="none"/>
        </w:rPr>
        <w:t xml:space="preserve"> </w:t>
      </w:r>
      <w:r w:rsidRPr="00B44C7E">
        <w:rPr>
          <w:rFonts w:ascii="Times New Roman" w:hAnsi="Times New Roman"/>
          <w:b/>
          <w:i/>
          <w:szCs w:val="24"/>
          <w:u w:val="none"/>
        </w:rPr>
        <w:t>to</w:t>
      </w:r>
      <w:r w:rsidRPr="00B44C7E">
        <w:rPr>
          <w:rFonts w:ascii="Times New Roman" w:hAnsi="Times New Roman"/>
          <w:b/>
          <w:i/>
          <w:spacing w:val="-8"/>
          <w:szCs w:val="24"/>
          <w:u w:val="none"/>
        </w:rPr>
        <w:t xml:space="preserve"> </w:t>
      </w:r>
      <w:r w:rsidRPr="00B44C7E">
        <w:rPr>
          <w:rFonts w:ascii="Times New Roman" w:hAnsi="Times New Roman"/>
          <w:b/>
          <w:i/>
          <w:szCs w:val="24"/>
          <w:u w:val="none"/>
        </w:rPr>
        <w:t>minimize</w:t>
      </w:r>
      <w:r w:rsidRPr="00B44C7E">
        <w:rPr>
          <w:rFonts w:ascii="Times New Roman" w:hAnsi="Times New Roman"/>
          <w:b/>
          <w:i/>
          <w:spacing w:val="-8"/>
          <w:szCs w:val="24"/>
          <w:u w:val="none"/>
        </w:rPr>
        <w:t xml:space="preserve"> </w:t>
      </w:r>
      <w:r w:rsidRPr="00B44C7E">
        <w:rPr>
          <w:rFonts w:ascii="Times New Roman" w:hAnsi="Times New Roman"/>
          <w:b/>
          <w:i/>
          <w:spacing w:val="-1"/>
          <w:szCs w:val="24"/>
          <w:u w:val="none"/>
        </w:rPr>
        <w:t>burden.</w:t>
      </w:r>
    </w:p>
    <w:p w:rsidRPr="00B44C7E" w:rsidR="00190C5F" w:rsidP="00190C5F" w:rsidRDefault="00190C5F" w14:paraId="2914466D" w14:textId="77777777">
      <w:pPr>
        <w:rPr>
          <w:rFonts w:ascii="Times New Roman" w:hAnsi="Times New Roman"/>
          <w:szCs w:val="24"/>
        </w:rPr>
      </w:pPr>
    </w:p>
    <w:p w:rsidRPr="00B44C7E" w:rsidR="00190C5F" w:rsidP="00190C5F" w:rsidRDefault="00190C5F" w14:paraId="09DE8730" w14:textId="77777777">
      <w:pPr>
        <w:ind w:firstLine="720"/>
        <w:rPr>
          <w:rFonts w:ascii="Times New Roman" w:hAnsi="Times New Roman"/>
          <w:color w:val="000000"/>
          <w:szCs w:val="24"/>
        </w:rPr>
      </w:pPr>
      <w:r w:rsidRPr="00B44C7E">
        <w:rPr>
          <w:rFonts w:ascii="Times New Roman" w:hAnsi="Times New Roman"/>
          <w:color w:val="000000"/>
          <w:szCs w:val="24"/>
        </w:rPr>
        <w:t>There are no alternatives that would result in lowering the burden on small institutions while still accomplishing the purpose of the rule.</w:t>
      </w:r>
    </w:p>
    <w:p w:rsidRPr="00B44C7E" w:rsidR="00B05073" w:rsidP="00BF7DAE" w:rsidRDefault="00B05073" w14:paraId="38F4E9C5" w14:textId="77777777">
      <w:pPr>
        <w:tabs>
          <w:tab w:val="left" w:pos="-1440"/>
        </w:tabs>
        <w:outlineLvl w:val="0"/>
        <w:rPr>
          <w:rFonts w:ascii="Times New Roman" w:hAnsi="Times New Roman"/>
          <w:szCs w:val="24"/>
        </w:rPr>
      </w:pPr>
    </w:p>
    <w:p w:rsidRPr="00B44C7E" w:rsidR="00811EF2" w:rsidP="00BF7DAE" w:rsidRDefault="00811EF2" w14:paraId="26B90049" w14:textId="77777777">
      <w:pPr>
        <w:tabs>
          <w:tab w:val="left" w:pos="-1440"/>
        </w:tabs>
        <w:outlineLvl w:val="0"/>
        <w:rPr>
          <w:rFonts w:ascii="Times New Roman" w:hAnsi="Times New Roman"/>
          <w:b/>
          <w:i/>
          <w:szCs w:val="24"/>
        </w:rPr>
      </w:pPr>
      <w:r w:rsidRPr="00B44C7E">
        <w:rPr>
          <w:rFonts w:ascii="Times New Roman" w:hAnsi="Times New Roman"/>
          <w:b/>
          <w:i/>
          <w:szCs w:val="24"/>
        </w:rPr>
        <w:t xml:space="preserve">6. Consequences to the </w:t>
      </w:r>
      <w:r w:rsidRPr="00B44C7E" w:rsidR="000408F0">
        <w:rPr>
          <w:rFonts w:ascii="Times New Roman" w:hAnsi="Times New Roman"/>
          <w:b/>
          <w:i/>
          <w:szCs w:val="24"/>
        </w:rPr>
        <w:t>f</w:t>
      </w:r>
      <w:r w:rsidRPr="00B44C7E">
        <w:rPr>
          <w:rFonts w:ascii="Times New Roman" w:hAnsi="Times New Roman"/>
          <w:b/>
          <w:i/>
          <w:szCs w:val="24"/>
        </w:rPr>
        <w:t>ederal program if the collection were conducted less frequently:</w:t>
      </w:r>
    </w:p>
    <w:p w:rsidRPr="00B44C7E" w:rsidR="00811EF2" w:rsidP="00BF7DAE" w:rsidRDefault="00811EF2" w14:paraId="224CC291" w14:textId="77777777">
      <w:pPr>
        <w:rPr>
          <w:rFonts w:ascii="Times New Roman" w:hAnsi="Times New Roman"/>
          <w:szCs w:val="24"/>
        </w:rPr>
      </w:pPr>
    </w:p>
    <w:p w:rsidRPr="00B44C7E" w:rsidR="00811EF2" w:rsidP="00BF7DAE" w:rsidRDefault="00060031" w14:paraId="75D10A8A" w14:textId="77777777">
      <w:pPr>
        <w:rPr>
          <w:rFonts w:ascii="Times New Roman" w:hAnsi="Times New Roman"/>
          <w:szCs w:val="24"/>
        </w:rPr>
      </w:pPr>
      <w:r w:rsidRPr="00B44C7E">
        <w:rPr>
          <w:rFonts w:ascii="Times New Roman" w:hAnsi="Times New Roman"/>
          <w:szCs w:val="24"/>
        </w:rPr>
        <w:tab/>
      </w:r>
      <w:r w:rsidRPr="00B44C7E" w:rsidR="00427F1B">
        <w:rPr>
          <w:rFonts w:ascii="Times New Roman" w:hAnsi="Times New Roman"/>
          <w:szCs w:val="24"/>
        </w:rPr>
        <w:t xml:space="preserve">Less frequent collection would </w:t>
      </w:r>
      <w:r w:rsidRPr="00B44C7E">
        <w:rPr>
          <w:rFonts w:ascii="Times New Roman" w:hAnsi="Times New Roman"/>
          <w:szCs w:val="24"/>
        </w:rPr>
        <w:t>present</w:t>
      </w:r>
      <w:r w:rsidRPr="00B44C7E" w:rsidR="00427F1B">
        <w:rPr>
          <w:rFonts w:ascii="Times New Roman" w:hAnsi="Times New Roman"/>
          <w:szCs w:val="24"/>
        </w:rPr>
        <w:t xml:space="preserve"> safety and soundness concerns.</w:t>
      </w:r>
    </w:p>
    <w:p w:rsidRPr="00B44C7E" w:rsidR="00811EF2" w:rsidP="00BF7DAE" w:rsidRDefault="00811EF2" w14:paraId="6F8E567A" w14:textId="77777777">
      <w:pPr>
        <w:rPr>
          <w:rFonts w:ascii="Times New Roman" w:hAnsi="Times New Roman"/>
          <w:szCs w:val="24"/>
        </w:rPr>
      </w:pPr>
    </w:p>
    <w:p w:rsidRPr="00B44C7E" w:rsidR="00811EF2" w:rsidP="00BF7DAE" w:rsidRDefault="00811EF2" w14:paraId="42987A62" w14:textId="77777777">
      <w:pPr>
        <w:tabs>
          <w:tab w:val="left" w:pos="-1440"/>
        </w:tabs>
        <w:outlineLvl w:val="0"/>
        <w:rPr>
          <w:rFonts w:ascii="Times New Roman" w:hAnsi="Times New Roman"/>
          <w:b/>
          <w:i/>
          <w:szCs w:val="24"/>
        </w:rPr>
      </w:pPr>
      <w:r w:rsidRPr="00B44C7E">
        <w:rPr>
          <w:rFonts w:ascii="Times New Roman" w:hAnsi="Times New Roman"/>
          <w:b/>
          <w:i/>
          <w:szCs w:val="24"/>
        </w:rPr>
        <w:t>7. Special circumstances necessitating coll</w:t>
      </w:r>
      <w:r w:rsidRPr="00B44C7E" w:rsidR="001331EA">
        <w:rPr>
          <w:rFonts w:ascii="Times New Roman" w:hAnsi="Times New Roman"/>
          <w:b/>
          <w:i/>
          <w:szCs w:val="24"/>
        </w:rPr>
        <w:t>ection inconsistent with 5 CFR p</w:t>
      </w:r>
      <w:r w:rsidRPr="00B44C7E">
        <w:rPr>
          <w:rFonts w:ascii="Times New Roman" w:hAnsi="Times New Roman"/>
          <w:b/>
          <w:i/>
          <w:szCs w:val="24"/>
        </w:rPr>
        <w:t>art 1320:</w:t>
      </w:r>
    </w:p>
    <w:p w:rsidRPr="00B44C7E" w:rsidR="00811EF2" w:rsidP="00BF7DAE" w:rsidRDefault="00811EF2" w14:paraId="6E9BE960" w14:textId="77777777">
      <w:pPr>
        <w:rPr>
          <w:rFonts w:ascii="Times New Roman" w:hAnsi="Times New Roman"/>
          <w:szCs w:val="24"/>
        </w:rPr>
      </w:pPr>
    </w:p>
    <w:p w:rsidRPr="00B44C7E" w:rsidR="00811EF2" w:rsidP="00BF7DAE" w:rsidRDefault="00060031" w14:paraId="6E54F7AA" w14:textId="77777777">
      <w:pPr>
        <w:rPr>
          <w:rFonts w:ascii="Times New Roman" w:hAnsi="Times New Roman"/>
          <w:szCs w:val="24"/>
        </w:rPr>
      </w:pPr>
      <w:r w:rsidRPr="00B44C7E">
        <w:rPr>
          <w:rFonts w:ascii="Times New Roman" w:hAnsi="Times New Roman"/>
          <w:szCs w:val="24"/>
        </w:rPr>
        <w:tab/>
      </w:r>
      <w:r w:rsidRPr="00B44C7E" w:rsidR="00811EF2">
        <w:rPr>
          <w:rFonts w:ascii="Times New Roman" w:hAnsi="Times New Roman"/>
          <w:szCs w:val="24"/>
        </w:rPr>
        <w:t xml:space="preserve">The information collection is conducted in accordance with OMB guidelines in 5 CFR part 1320.  </w:t>
      </w:r>
    </w:p>
    <w:p w:rsidRPr="00B44C7E" w:rsidR="00452142" w:rsidP="00BF7DAE" w:rsidRDefault="00452142" w14:paraId="4CAE3542" w14:textId="77777777">
      <w:pPr>
        <w:tabs>
          <w:tab w:val="left" w:pos="-1440"/>
        </w:tabs>
        <w:outlineLvl w:val="0"/>
        <w:rPr>
          <w:rFonts w:ascii="Times New Roman" w:hAnsi="Times New Roman"/>
          <w:b/>
          <w:i/>
          <w:szCs w:val="24"/>
        </w:rPr>
      </w:pPr>
    </w:p>
    <w:p w:rsidRPr="00B44C7E" w:rsidR="00811EF2" w:rsidP="00BF7DAE" w:rsidRDefault="00811EF2" w14:paraId="523E1299" w14:textId="77777777">
      <w:pPr>
        <w:tabs>
          <w:tab w:val="left" w:pos="-1440"/>
        </w:tabs>
        <w:outlineLvl w:val="0"/>
        <w:rPr>
          <w:rFonts w:ascii="Times New Roman" w:hAnsi="Times New Roman"/>
          <w:b/>
          <w:i/>
          <w:szCs w:val="24"/>
        </w:rPr>
      </w:pPr>
      <w:r w:rsidRPr="00B44C7E">
        <w:rPr>
          <w:rFonts w:ascii="Times New Roman" w:hAnsi="Times New Roman"/>
          <w:b/>
          <w:i/>
          <w:szCs w:val="24"/>
        </w:rPr>
        <w:t>8. Efforts to consult with persons outside the agency:</w:t>
      </w:r>
    </w:p>
    <w:p w:rsidRPr="00B44C7E" w:rsidR="00811EF2" w:rsidP="00BF7DAE" w:rsidRDefault="00811EF2" w14:paraId="325C4775" w14:textId="77777777">
      <w:pPr>
        <w:rPr>
          <w:rFonts w:ascii="Times New Roman" w:hAnsi="Times New Roman"/>
          <w:szCs w:val="24"/>
        </w:rPr>
      </w:pPr>
    </w:p>
    <w:p w:rsidRPr="00F75A2A" w:rsidR="00F75A2A" w:rsidP="00F75A2A" w:rsidRDefault="00060031" w14:paraId="192E1F1C" w14:textId="77777777">
      <w:pPr>
        <w:pStyle w:val="FootnoteText"/>
        <w:rPr>
          <w:rFonts w:ascii="Times New Roman" w:hAnsi="Times New Roman"/>
          <w:sz w:val="24"/>
          <w:szCs w:val="24"/>
        </w:rPr>
      </w:pPr>
      <w:r w:rsidRPr="00B44C7E">
        <w:rPr>
          <w:rFonts w:ascii="Times New Roman" w:hAnsi="Times New Roman"/>
          <w:sz w:val="24"/>
          <w:szCs w:val="24"/>
        </w:rPr>
        <w:tab/>
      </w:r>
      <w:r w:rsidRPr="00F75A2A" w:rsidR="00F75A2A">
        <w:rPr>
          <w:rFonts w:ascii="Times New Roman" w:hAnsi="Times New Roman"/>
          <w:sz w:val="24"/>
          <w:szCs w:val="24"/>
          <w:u w:val="single"/>
        </w:rPr>
        <w:t>See</w:t>
      </w:r>
      <w:r w:rsidRPr="00F75A2A" w:rsidR="00F75A2A">
        <w:rPr>
          <w:rFonts w:ascii="Times New Roman" w:hAnsi="Times New Roman"/>
          <w:sz w:val="24"/>
          <w:szCs w:val="24"/>
        </w:rPr>
        <w:t xml:space="preserve"> Net Stable Funding Ratio: Liquidity Risk Measurement Standards and Disclosure Requirements, 81 FR 35124 (June 1, 2016)</w:t>
      </w:r>
      <w:r w:rsidR="00F75A2A">
        <w:rPr>
          <w:rFonts w:ascii="Times New Roman" w:hAnsi="Times New Roman"/>
          <w:sz w:val="24"/>
          <w:szCs w:val="24"/>
        </w:rPr>
        <w:t xml:space="preserve">, </w:t>
      </w:r>
      <w:r w:rsidRPr="00F75A2A" w:rsidR="00F75A2A">
        <w:rPr>
          <w:rFonts w:ascii="Times New Roman" w:hAnsi="Times New Roman"/>
          <w:sz w:val="24"/>
          <w:szCs w:val="24"/>
        </w:rPr>
        <w:t>Proposed Changes to Applicability Thresholds for Regulatory Capital and Liquidity Requirements, 83 FR 66024 (December 21, 2018)</w:t>
      </w:r>
      <w:r w:rsidR="00F75A2A">
        <w:rPr>
          <w:rFonts w:ascii="Times New Roman" w:hAnsi="Times New Roman"/>
          <w:sz w:val="24"/>
          <w:szCs w:val="24"/>
        </w:rPr>
        <w:t>, and</w:t>
      </w:r>
      <w:r w:rsidRPr="00F75A2A" w:rsidR="00F75A2A">
        <w:rPr>
          <w:rFonts w:ascii="Times New Roman" w:hAnsi="Times New Roman"/>
          <w:sz w:val="24"/>
          <w:szCs w:val="24"/>
        </w:rPr>
        <w:t xml:space="preserve"> Changes to Applicability Thresholds for Regulatory Capital Requirements for Certain U.S. Subsidiaries of Foreign Banking Organizations and Application of Liquidity Requirements to Foreign Banking Organizations, Certain U.S. Depository Institution Holding Companies, and Certain Depository Institution Subsidiaries, 84 FR 24296 (May 24, 2019).</w:t>
      </w:r>
    </w:p>
    <w:p w:rsidRPr="00B44C7E" w:rsidR="00937599" w:rsidP="00BF7DAE" w:rsidRDefault="00937599" w14:paraId="196C3337" w14:textId="77777777">
      <w:pPr>
        <w:rPr>
          <w:rFonts w:ascii="Times New Roman" w:hAnsi="Times New Roman"/>
          <w:szCs w:val="24"/>
        </w:rPr>
      </w:pPr>
    </w:p>
    <w:p w:rsidRPr="00B44C7E" w:rsidR="00811EF2" w:rsidP="00BF7DAE" w:rsidRDefault="00811EF2" w14:paraId="66F587BD" w14:textId="77777777">
      <w:pPr>
        <w:outlineLvl w:val="0"/>
        <w:rPr>
          <w:rFonts w:ascii="Times New Roman" w:hAnsi="Times New Roman"/>
          <w:b/>
          <w:i/>
          <w:szCs w:val="24"/>
        </w:rPr>
      </w:pPr>
      <w:r w:rsidRPr="00B44C7E">
        <w:rPr>
          <w:rFonts w:ascii="Times New Roman" w:hAnsi="Times New Roman"/>
          <w:b/>
          <w:i/>
          <w:szCs w:val="24"/>
        </w:rPr>
        <w:t>9. Payment to respondents:</w:t>
      </w:r>
    </w:p>
    <w:p w:rsidRPr="00B44C7E" w:rsidR="00811EF2" w:rsidP="00BF7DAE" w:rsidRDefault="00811EF2" w14:paraId="746557CA" w14:textId="77777777">
      <w:pPr>
        <w:rPr>
          <w:rFonts w:ascii="Times New Roman" w:hAnsi="Times New Roman"/>
          <w:szCs w:val="24"/>
        </w:rPr>
      </w:pPr>
    </w:p>
    <w:p w:rsidRPr="00B44C7E" w:rsidR="00811EF2" w:rsidP="00BF7DAE" w:rsidRDefault="00060031" w14:paraId="6EE5E36E" w14:textId="77777777">
      <w:pPr>
        <w:outlineLvl w:val="0"/>
        <w:rPr>
          <w:rFonts w:ascii="Times New Roman" w:hAnsi="Times New Roman"/>
          <w:szCs w:val="24"/>
        </w:rPr>
      </w:pPr>
      <w:r w:rsidRPr="00B44C7E">
        <w:rPr>
          <w:rFonts w:ascii="Times New Roman" w:hAnsi="Times New Roman"/>
          <w:szCs w:val="24"/>
        </w:rPr>
        <w:tab/>
      </w:r>
      <w:r w:rsidRPr="00B44C7E" w:rsidR="00811EF2">
        <w:rPr>
          <w:rFonts w:ascii="Times New Roman" w:hAnsi="Times New Roman"/>
          <w:szCs w:val="24"/>
        </w:rPr>
        <w:t>None.</w:t>
      </w:r>
    </w:p>
    <w:p w:rsidRPr="00B44C7E" w:rsidR="00F51B9E" w:rsidP="00BF7DAE" w:rsidRDefault="00F51B9E" w14:paraId="0452E754" w14:textId="77777777">
      <w:pPr>
        <w:tabs>
          <w:tab w:val="left" w:pos="-1440"/>
        </w:tabs>
        <w:outlineLvl w:val="0"/>
        <w:rPr>
          <w:rFonts w:ascii="Times New Roman" w:hAnsi="Times New Roman"/>
          <w:b/>
          <w:i/>
          <w:szCs w:val="24"/>
        </w:rPr>
      </w:pPr>
    </w:p>
    <w:p w:rsidRPr="00B44C7E" w:rsidR="00811EF2" w:rsidP="00AF0188" w:rsidRDefault="00811EF2" w14:paraId="7B81386F" w14:textId="77777777">
      <w:pPr>
        <w:keepNext/>
        <w:tabs>
          <w:tab w:val="left" w:pos="-1440"/>
        </w:tabs>
        <w:outlineLvl w:val="0"/>
        <w:rPr>
          <w:rFonts w:ascii="Times New Roman" w:hAnsi="Times New Roman"/>
          <w:b/>
          <w:i/>
          <w:szCs w:val="24"/>
        </w:rPr>
      </w:pPr>
      <w:r w:rsidRPr="00B44C7E">
        <w:rPr>
          <w:rFonts w:ascii="Times New Roman" w:hAnsi="Times New Roman"/>
          <w:b/>
          <w:i/>
          <w:szCs w:val="24"/>
        </w:rPr>
        <w:t>10. Any assurance of confidentiality:</w:t>
      </w:r>
    </w:p>
    <w:p w:rsidRPr="00B44C7E" w:rsidR="00811EF2" w:rsidP="00AF0188" w:rsidRDefault="00811EF2" w14:paraId="275F0000" w14:textId="77777777">
      <w:pPr>
        <w:keepNext/>
        <w:rPr>
          <w:rFonts w:ascii="Times New Roman" w:hAnsi="Times New Roman"/>
          <w:szCs w:val="24"/>
        </w:rPr>
      </w:pPr>
    </w:p>
    <w:p w:rsidRPr="00B44C7E" w:rsidR="00811EF2" w:rsidP="00BF7DAE" w:rsidRDefault="00060031" w14:paraId="028FB547" w14:textId="77777777">
      <w:pPr>
        <w:outlineLvl w:val="0"/>
        <w:rPr>
          <w:rFonts w:ascii="Times New Roman" w:hAnsi="Times New Roman"/>
          <w:szCs w:val="24"/>
        </w:rPr>
      </w:pPr>
      <w:r w:rsidRPr="00B44C7E">
        <w:rPr>
          <w:rFonts w:ascii="Times New Roman" w:hAnsi="Times New Roman"/>
          <w:szCs w:val="24"/>
        </w:rPr>
        <w:tab/>
      </w:r>
      <w:r w:rsidRPr="00B44C7E" w:rsidR="00811EF2">
        <w:rPr>
          <w:rFonts w:ascii="Times New Roman" w:hAnsi="Times New Roman"/>
          <w:szCs w:val="24"/>
        </w:rPr>
        <w:t>The</w:t>
      </w:r>
      <w:r w:rsidRPr="00B44C7E" w:rsidR="001331EA">
        <w:rPr>
          <w:rFonts w:ascii="Times New Roman" w:hAnsi="Times New Roman"/>
          <w:szCs w:val="24"/>
        </w:rPr>
        <w:t xml:space="preserve"> information will be kept private to the extent permitted by law.</w:t>
      </w:r>
    </w:p>
    <w:p w:rsidRPr="00B44C7E" w:rsidR="00811EF2" w:rsidP="00BF7DAE" w:rsidRDefault="00811EF2" w14:paraId="5E2A1DE3" w14:textId="77777777">
      <w:pPr>
        <w:rPr>
          <w:rFonts w:ascii="Times New Roman" w:hAnsi="Times New Roman"/>
          <w:szCs w:val="24"/>
        </w:rPr>
      </w:pPr>
    </w:p>
    <w:p w:rsidRPr="00B44C7E" w:rsidR="00811EF2" w:rsidP="00BF7DAE" w:rsidRDefault="00811EF2" w14:paraId="10C9770B" w14:textId="77777777">
      <w:pPr>
        <w:tabs>
          <w:tab w:val="left" w:pos="-1440"/>
        </w:tabs>
        <w:outlineLvl w:val="0"/>
        <w:rPr>
          <w:rFonts w:ascii="Times New Roman" w:hAnsi="Times New Roman"/>
          <w:b/>
          <w:i/>
          <w:szCs w:val="24"/>
        </w:rPr>
      </w:pPr>
      <w:r w:rsidRPr="00B44C7E">
        <w:rPr>
          <w:rFonts w:ascii="Times New Roman" w:hAnsi="Times New Roman"/>
          <w:b/>
          <w:i/>
          <w:szCs w:val="24"/>
        </w:rPr>
        <w:t>11. Justification for questions of a sensitive nature:</w:t>
      </w:r>
    </w:p>
    <w:p w:rsidRPr="00B44C7E" w:rsidR="00811EF2" w:rsidP="00BF7DAE" w:rsidRDefault="00811EF2" w14:paraId="1BE8A8DB" w14:textId="77777777">
      <w:pPr>
        <w:rPr>
          <w:rFonts w:ascii="Times New Roman" w:hAnsi="Times New Roman"/>
          <w:szCs w:val="24"/>
        </w:rPr>
      </w:pPr>
    </w:p>
    <w:p w:rsidR="0036435F" w:rsidP="0065571F" w:rsidRDefault="00060031" w14:paraId="47A29474" w14:textId="77777777">
      <w:pPr>
        <w:outlineLvl w:val="0"/>
        <w:rPr>
          <w:rFonts w:ascii="Times New Roman" w:hAnsi="Times New Roman"/>
          <w:szCs w:val="24"/>
        </w:rPr>
      </w:pPr>
      <w:r w:rsidRPr="00B44C7E">
        <w:rPr>
          <w:rFonts w:ascii="Times New Roman" w:hAnsi="Times New Roman"/>
          <w:szCs w:val="24"/>
        </w:rPr>
        <w:tab/>
      </w:r>
      <w:r w:rsidRPr="00B44C7E" w:rsidR="00811EF2">
        <w:rPr>
          <w:rFonts w:ascii="Times New Roman" w:hAnsi="Times New Roman"/>
          <w:szCs w:val="24"/>
        </w:rPr>
        <w:t>There are no questions of a sensitive nature.</w:t>
      </w:r>
      <w:r w:rsidR="0036435F">
        <w:rPr>
          <w:rFonts w:ascii="Times New Roman" w:hAnsi="Times New Roman"/>
          <w:szCs w:val="24"/>
        </w:rPr>
        <w:br/>
      </w:r>
    </w:p>
    <w:p w:rsidRPr="00B44C7E" w:rsidR="0065571F" w:rsidP="0065571F" w:rsidRDefault="0036435F" w14:paraId="4325F723" w14:textId="77777777">
      <w:pPr>
        <w:outlineLvl w:val="0"/>
        <w:rPr>
          <w:rFonts w:ascii="Times New Roman" w:hAnsi="Times New Roman"/>
          <w:szCs w:val="24"/>
        </w:rPr>
      </w:pPr>
      <w:r>
        <w:rPr>
          <w:rFonts w:ascii="Times New Roman" w:hAnsi="Times New Roman"/>
          <w:szCs w:val="24"/>
        </w:rPr>
        <w:br w:type="page"/>
      </w:r>
    </w:p>
    <w:p w:rsidRPr="00B44C7E" w:rsidR="0065571F" w:rsidP="0065571F" w:rsidRDefault="0065571F" w14:paraId="2286E11E" w14:textId="77777777">
      <w:pPr>
        <w:outlineLvl w:val="0"/>
        <w:rPr>
          <w:rFonts w:ascii="Times New Roman" w:hAnsi="Times New Roman"/>
          <w:szCs w:val="24"/>
        </w:rPr>
      </w:pPr>
    </w:p>
    <w:p w:rsidRPr="00B44C7E" w:rsidR="00811EF2" w:rsidP="0065571F" w:rsidRDefault="00811EF2" w14:paraId="2B7708DA" w14:textId="77777777">
      <w:pPr>
        <w:outlineLvl w:val="0"/>
        <w:rPr>
          <w:rFonts w:ascii="Times New Roman" w:hAnsi="Times New Roman"/>
          <w:b/>
          <w:i/>
          <w:szCs w:val="24"/>
        </w:rPr>
      </w:pPr>
      <w:r w:rsidRPr="00B44C7E">
        <w:rPr>
          <w:rFonts w:ascii="Times New Roman" w:hAnsi="Times New Roman"/>
          <w:b/>
          <w:i/>
          <w:szCs w:val="24"/>
        </w:rPr>
        <w:t>12. Burden estimate:</w:t>
      </w:r>
    </w:p>
    <w:p w:rsidRPr="00B44C7E" w:rsidR="00B70616" w:rsidP="00B70616" w:rsidRDefault="00B70616" w14:paraId="109B5B94" w14:textId="77777777">
      <w:pPr>
        <w:jc w:val="center"/>
        <w:rPr>
          <w:rFonts w:ascii="Times New Roman" w:hAnsi="Times New Roman"/>
          <w:szCs w:val="24"/>
        </w:rPr>
      </w:pPr>
    </w:p>
    <w:tbl>
      <w:tblPr>
        <w:tblW w:w="1044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2610"/>
        <w:gridCol w:w="1440"/>
        <w:gridCol w:w="1350"/>
        <w:gridCol w:w="1080"/>
        <w:gridCol w:w="1260"/>
        <w:gridCol w:w="990"/>
      </w:tblGrid>
      <w:tr w:rsidRPr="00B44C7E" w:rsidR="00B70616" w:rsidTr="00BB6A89" w14:paraId="18D16DBB" w14:textId="77777777">
        <w:tc>
          <w:tcPr>
            <w:tcW w:w="1710" w:type="dxa"/>
            <w:tcBorders>
              <w:top w:val="single" w:color="auto" w:sz="4" w:space="0"/>
              <w:left w:val="single" w:color="auto" w:sz="4" w:space="0"/>
              <w:bottom w:val="single" w:color="auto" w:sz="4" w:space="0"/>
              <w:right w:val="single" w:color="auto" w:sz="4" w:space="0"/>
            </w:tcBorders>
            <w:hideMark/>
          </w:tcPr>
          <w:p w:rsidRPr="006A638A" w:rsidR="00B70616" w:rsidRDefault="00B70616" w14:paraId="33150213" w14:textId="77777777">
            <w:pPr>
              <w:jc w:val="center"/>
              <w:rPr>
                <w:rFonts w:ascii="Times New Roman" w:hAnsi="Times New Roman"/>
                <w:b/>
                <w:sz w:val="20"/>
              </w:rPr>
            </w:pPr>
            <w:r w:rsidRPr="006A638A">
              <w:rPr>
                <w:rFonts w:ascii="Times New Roman" w:hAnsi="Times New Roman"/>
                <w:b/>
                <w:sz w:val="20"/>
              </w:rPr>
              <w:t>Section</w:t>
            </w:r>
          </w:p>
        </w:tc>
        <w:tc>
          <w:tcPr>
            <w:tcW w:w="2610" w:type="dxa"/>
            <w:tcBorders>
              <w:top w:val="single" w:color="auto" w:sz="4" w:space="0"/>
              <w:left w:val="single" w:color="auto" w:sz="4" w:space="0"/>
              <w:bottom w:val="single" w:color="auto" w:sz="4" w:space="0"/>
              <w:right w:val="single" w:color="auto" w:sz="4" w:space="0"/>
            </w:tcBorders>
            <w:hideMark/>
          </w:tcPr>
          <w:p w:rsidRPr="006A638A" w:rsidR="00B70616" w:rsidRDefault="00B70616" w14:paraId="47FD6D6A" w14:textId="77777777">
            <w:pPr>
              <w:jc w:val="center"/>
              <w:rPr>
                <w:rFonts w:ascii="Times New Roman" w:hAnsi="Times New Roman"/>
                <w:b/>
                <w:sz w:val="20"/>
              </w:rPr>
            </w:pPr>
            <w:r w:rsidRPr="006A638A">
              <w:rPr>
                <w:rFonts w:ascii="Times New Roman" w:hAnsi="Times New Roman"/>
                <w:b/>
                <w:sz w:val="20"/>
              </w:rPr>
              <w:t>Requirement</w:t>
            </w:r>
          </w:p>
        </w:tc>
        <w:tc>
          <w:tcPr>
            <w:tcW w:w="1440" w:type="dxa"/>
            <w:tcBorders>
              <w:top w:val="single" w:color="auto" w:sz="4" w:space="0"/>
              <w:left w:val="single" w:color="auto" w:sz="4" w:space="0"/>
              <w:bottom w:val="single" w:color="auto" w:sz="4" w:space="0"/>
              <w:right w:val="single" w:color="auto" w:sz="4" w:space="0"/>
            </w:tcBorders>
            <w:hideMark/>
          </w:tcPr>
          <w:p w:rsidRPr="006A638A" w:rsidR="00B70616" w:rsidRDefault="00B70616" w14:paraId="605B6588" w14:textId="77777777">
            <w:pPr>
              <w:jc w:val="center"/>
              <w:rPr>
                <w:rFonts w:ascii="Times New Roman" w:hAnsi="Times New Roman"/>
                <w:b/>
                <w:sz w:val="20"/>
              </w:rPr>
            </w:pPr>
            <w:r w:rsidRPr="006A638A">
              <w:rPr>
                <w:rFonts w:ascii="Times New Roman" w:hAnsi="Times New Roman"/>
                <w:b/>
                <w:sz w:val="20"/>
              </w:rPr>
              <w:t>Type of</w:t>
            </w:r>
          </w:p>
          <w:p w:rsidRPr="006A638A" w:rsidR="00B70616" w:rsidRDefault="00B70616" w14:paraId="2D52ED12" w14:textId="77777777">
            <w:pPr>
              <w:jc w:val="center"/>
              <w:rPr>
                <w:rFonts w:ascii="Times New Roman" w:hAnsi="Times New Roman"/>
                <w:b/>
                <w:sz w:val="20"/>
              </w:rPr>
            </w:pPr>
            <w:r w:rsidRPr="006A638A">
              <w:rPr>
                <w:rFonts w:ascii="Times New Roman" w:hAnsi="Times New Roman"/>
                <w:b/>
                <w:sz w:val="20"/>
              </w:rPr>
              <w:t>Burden</w:t>
            </w:r>
          </w:p>
        </w:tc>
        <w:tc>
          <w:tcPr>
            <w:tcW w:w="1350" w:type="dxa"/>
            <w:tcBorders>
              <w:top w:val="single" w:color="auto" w:sz="4" w:space="0"/>
              <w:left w:val="single" w:color="auto" w:sz="4" w:space="0"/>
              <w:bottom w:val="single" w:color="auto" w:sz="4" w:space="0"/>
              <w:right w:val="single" w:color="auto" w:sz="4" w:space="0"/>
            </w:tcBorders>
            <w:hideMark/>
          </w:tcPr>
          <w:p w:rsidRPr="006A638A" w:rsidR="00B70616" w:rsidRDefault="00B70616" w14:paraId="615D9D22" w14:textId="77777777">
            <w:pPr>
              <w:jc w:val="center"/>
              <w:rPr>
                <w:rFonts w:ascii="Times New Roman" w:hAnsi="Times New Roman"/>
                <w:b/>
                <w:sz w:val="20"/>
              </w:rPr>
            </w:pPr>
            <w:r w:rsidRPr="006A638A">
              <w:rPr>
                <w:rFonts w:ascii="Times New Roman" w:hAnsi="Times New Roman"/>
                <w:b/>
                <w:sz w:val="20"/>
              </w:rPr>
              <w:t>Respondents</w:t>
            </w:r>
          </w:p>
        </w:tc>
        <w:tc>
          <w:tcPr>
            <w:tcW w:w="1080" w:type="dxa"/>
            <w:tcBorders>
              <w:top w:val="single" w:color="auto" w:sz="4" w:space="0"/>
              <w:left w:val="single" w:color="auto" w:sz="4" w:space="0"/>
              <w:bottom w:val="single" w:color="auto" w:sz="4" w:space="0"/>
              <w:right w:val="single" w:color="auto" w:sz="4" w:space="0"/>
            </w:tcBorders>
            <w:hideMark/>
          </w:tcPr>
          <w:p w:rsidRPr="006A638A" w:rsidR="00B70616" w:rsidRDefault="00B70616" w14:paraId="5F621A22" w14:textId="77777777">
            <w:pPr>
              <w:jc w:val="center"/>
              <w:rPr>
                <w:rFonts w:ascii="Times New Roman" w:hAnsi="Times New Roman"/>
                <w:b/>
                <w:sz w:val="20"/>
              </w:rPr>
            </w:pPr>
            <w:r w:rsidRPr="006A638A">
              <w:rPr>
                <w:rFonts w:ascii="Times New Roman" w:hAnsi="Times New Roman"/>
                <w:b/>
                <w:sz w:val="20"/>
              </w:rPr>
              <w:t>Burden per</w:t>
            </w:r>
          </w:p>
          <w:p w:rsidRPr="006A638A" w:rsidR="00B70616" w:rsidRDefault="00B70616" w14:paraId="5191830F" w14:textId="77777777">
            <w:pPr>
              <w:jc w:val="center"/>
              <w:rPr>
                <w:rFonts w:ascii="Times New Roman" w:hAnsi="Times New Roman"/>
                <w:b/>
                <w:sz w:val="20"/>
              </w:rPr>
            </w:pPr>
            <w:r w:rsidRPr="006A638A">
              <w:rPr>
                <w:rFonts w:ascii="Times New Roman" w:hAnsi="Times New Roman"/>
                <w:b/>
                <w:sz w:val="20"/>
              </w:rPr>
              <w:t>Response</w:t>
            </w:r>
          </w:p>
        </w:tc>
        <w:tc>
          <w:tcPr>
            <w:tcW w:w="1260" w:type="dxa"/>
            <w:tcBorders>
              <w:top w:val="single" w:color="auto" w:sz="4" w:space="0"/>
              <w:left w:val="single" w:color="auto" w:sz="4" w:space="0"/>
              <w:bottom w:val="single" w:color="auto" w:sz="4" w:space="0"/>
              <w:right w:val="single" w:color="auto" w:sz="4" w:space="0"/>
            </w:tcBorders>
            <w:hideMark/>
          </w:tcPr>
          <w:p w:rsidRPr="006A638A" w:rsidR="00B70616" w:rsidRDefault="00B70616" w14:paraId="565DC830" w14:textId="77777777">
            <w:pPr>
              <w:jc w:val="center"/>
              <w:rPr>
                <w:rFonts w:ascii="Times New Roman" w:hAnsi="Times New Roman"/>
                <w:b/>
                <w:sz w:val="20"/>
              </w:rPr>
            </w:pPr>
            <w:r w:rsidRPr="006A638A">
              <w:rPr>
                <w:rFonts w:ascii="Times New Roman" w:hAnsi="Times New Roman"/>
                <w:b/>
                <w:sz w:val="20"/>
              </w:rPr>
              <w:t>Number of</w:t>
            </w:r>
          </w:p>
          <w:p w:rsidRPr="006A638A" w:rsidR="00B70616" w:rsidRDefault="00B70616" w14:paraId="66D5CF4C" w14:textId="77777777">
            <w:pPr>
              <w:jc w:val="center"/>
              <w:rPr>
                <w:rFonts w:ascii="Times New Roman" w:hAnsi="Times New Roman"/>
                <w:b/>
                <w:sz w:val="20"/>
              </w:rPr>
            </w:pPr>
            <w:r w:rsidRPr="006A638A">
              <w:rPr>
                <w:rFonts w:ascii="Times New Roman" w:hAnsi="Times New Roman"/>
                <w:b/>
                <w:sz w:val="20"/>
              </w:rPr>
              <w:t>Responses</w:t>
            </w:r>
          </w:p>
        </w:tc>
        <w:tc>
          <w:tcPr>
            <w:tcW w:w="990" w:type="dxa"/>
            <w:tcBorders>
              <w:top w:val="single" w:color="auto" w:sz="4" w:space="0"/>
              <w:left w:val="single" w:color="auto" w:sz="4" w:space="0"/>
              <w:bottom w:val="single" w:color="auto" w:sz="4" w:space="0"/>
              <w:right w:val="single" w:color="auto" w:sz="4" w:space="0"/>
            </w:tcBorders>
            <w:hideMark/>
          </w:tcPr>
          <w:p w:rsidRPr="006A638A" w:rsidR="00B70616" w:rsidRDefault="00B70616" w14:paraId="337E8C19" w14:textId="77777777">
            <w:pPr>
              <w:jc w:val="center"/>
              <w:rPr>
                <w:rFonts w:ascii="Times New Roman" w:hAnsi="Times New Roman"/>
                <w:b/>
                <w:sz w:val="20"/>
              </w:rPr>
            </w:pPr>
            <w:r w:rsidRPr="006A638A">
              <w:rPr>
                <w:rFonts w:ascii="Times New Roman" w:hAnsi="Times New Roman"/>
                <w:b/>
                <w:sz w:val="20"/>
              </w:rPr>
              <w:t>Total</w:t>
            </w:r>
          </w:p>
        </w:tc>
      </w:tr>
      <w:tr w:rsidRPr="00B44C7E" w:rsidR="002E7E4D" w:rsidTr="00BB6A89" w14:paraId="4966E30B" w14:textId="77777777">
        <w:tc>
          <w:tcPr>
            <w:tcW w:w="1710" w:type="dxa"/>
            <w:tcBorders>
              <w:top w:val="single" w:color="auto" w:sz="4" w:space="0"/>
              <w:left w:val="single" w:color="auto" w:sz="4" w:space="0"/>
              <w:bottom w:val="single" w:color="auto" w:sz="4" w:space="0"/>
              <w:right w:val="single" w:color="auto" w:sz="4" w:space="0"/>
            </w:tcBorders>
          </w:tcPr>
          <w:p w:rsidRPr="006A638A" w:rsidR="002E7E4D" w:rsidRDefault="002E7E4D" w14:paraId="356B5FD3" w14:textId="77777777">
            <w:pPr>
              <w:rPr>
                <w:rFonts w:ascii="Times New Roman" w:hAnsi="Times New Roman"/>
                <w:sz w:val="20"/>
              </w:rPr>
            </w:pPr>
            <w:r w:rsidRPr="006A638A">
              <w:rPr>
                <w:rFonts w:ascii="Times New Roman" w:hAnsi="Times New Roman"/>
                <w:sz w:val="20"/>
              </w:rPr>
              <w:t>§ 50.22(a)(2), (5)</w:t>
            </w:r>
          </w:p>
          <w:p w:rsidRPr="006A638A" w:rsidR="002E7E4D" w:rsidRDefault="002E7E4D" w14:paraId="7347E0AA" w14:textId="77777777">
            <w:pPr>
              <w:rPr>
                <w:rFonts w:ascii="Times New Roman" w:hAnsi="Times New Roman"/>
                <w:sz w:val="20"/>
              </w:rPr>
            </w:pPr>
            <w:r w:rsidRPr="006A638A">
              <w:rPr>
                <w:rFonts w:ascii="Times New Roman" w:hAnsi="Times New Roman"/>
                <w:sz w:val="20"/>
              </w:rPr>
              <w:t>§ 50.108(b)</w:t>
            </w:r>
          </w:p>
        </w:tc>
        <w:tc>
          <w:tcPr>
            <w:tcW w:w="2610" w:type="dxa"/>
            <w:tcBorders>
              <w:top w:val="single" w:color="auto" w:sz="4" w:space="0"/>
              <w:left w:val="single" w:color="auto" w:sz="4" w:space="0"/>
              <w:bottom w:val="single" w:color="auto" w:sz="4" w:space="0"/>
              <w:right w:val="single" w:color="auto" w:sz="4" w:space="0"/>
            </w:tcBorders>
          </w:tcPr>
          <w:p w:rsidRPr="006A638A" w:rsidR="002E7E4D" w:rsidRDefault="00B22D29" w14:paraId="2782D0BF" w14:textId="77777777">
            <w:pPr>
              <w:rPr>
                <w:rFonts w:ascii="Times New Roman" w:hAnsi="Times New Roman"/>
                <w:sz w:val="20"/>
              </w:rPr>
            </w:pPr>
            <w:r w:rsidRPr="006A638A">
              <w:rPr>
                <w:rFonts w:ascii="Times New Roman" w:hAnsi="Times New Roman"/>
                <w:sz w:val="20"/>
              </w:rPr>
              <w:t>Written procedures to identify/monitor restrictions on transferring assets.  Document types of transactions that could be used</w:t>
            </w:r>
            <w:r w:rsidRPr="006A638A" w:rsidR="00771E90">
              <w:rPr>
                <w:rFonts w:ascii="Times New Roman" w:hAnsi="Times New Roman"/>
                <w:sz w:val="20"/>
              </w:rPr>
              <w:t xml:space="preserve"> to transfer assets and how they comply.</w:t>
            </w:r>
          </w:p>
        </w:tc>
        <w:tc>
          <w:tcPr>
            <w:tcW w:w="1440" w:type="dxa"/>
            <w:tcBorders>
              <w:top w:val="single" w:color="auto" w:sz="4" w:space="0"/>
              <w:left w:val="single" w:color="auto" w:sz="4" w:space="0"/>
              <w:bottom w:val="single" w:color="auto" w:sz="4" w:space="0"/>
              <w:right w:val="single" w:color="auto" w:sz="4" w:space="0"/>
            </w:tcBorders>
          </w:tcPr>
          <w:p w:rsidRPr="006A638A" w:rsidR="002E7E4D" w:rsidRDefault="002E7E4D" w14:paraId="608EF3F2" w14:textId="77777777">
            <w:pPr>
              <w:rPr>
                <w:rFonts w:ascii="Times New Roman" w:hAnsi="Times New Roman"/>
                <w:sz w:val="20"/>
              </w:rPr>
            </w:pPr>
            <w:r w:rsidRPr="006A638A">
              <w:rPr>
                <w:rFonts w:ascii="Times New Roman" w:hAnsi="Times New Roman"/>
                <w:sz w:val="20"/>
              </w:rPr>
              <w:t>Ongoing</w:t>
            </w:r>
          </w:p>
          <w:p w:rsidRPr="006A638A" w:rsidR="002E7E4D" w:rsidRDefault="002E7E4D" w14:paraId="67316C78" w14:textId="77777777">
            <w:pPr>
              <w:rPr>
                <w:rFonts w:ascii="Times New Roman" w:hAnsi="Times New Roman"/>
                <w:sz w:val="20"/>
              </w:rPr>
            </w:pPr>
            <w:r w:rsidRPr="006A638A">
              <w:rPr>
                <w:rFonts w:ascii="Times New Roman" w:hAnsi="Times New Roman"/>
                <w:sz w:val="20"/>
              </w:rPr>
              <w:t>Recordkeeping</w:t>
            </w:r>
          </w:p>
        </w:tc>
        <w:tc>
          <w:tcPr>
            <w:tcW w:w="1350" w:type="dxa"/>
            <w:tcBorders>
              <w:top w:val="single" w:color="auto" w:sz="4" w:space="0"/>
              <w:left w:val="single" w:color="auto" w:sz="4" w:space="0"/>
              <w:bottom w:val="single" w:color="auto" w:sz="4" w:space="0"/>
              <w:right w:val="single" w:color="auto" w:sz="4" w:space="0"/>
            </w:tcBorders>
          </w:tcPr>
          <w:p w:rsidRPr="006A638A" w:rsidR="002E7E4D" w:rsidRDefault="00C1114D" w14:paraId="6E1B2476" w14:textId="77777777">
            <w:pPr>
              <w:jc w:val="center"/>
              <w:rPr>
                <w:rFonts w:ascii="Times New Roman" w:hAnsi="Times New Roman"/>
                <w:sz w:val="20"/>
              </w:rPr>
            </w:pPr>
            <w:r>
              <w:rPr>
                <w:rFonts w:ascii="Times New Roman" w:hAnsi="Times New Roman"/>
                <w:sz w:val="20"/>
              </w:rPr>
              <w:t>13</w:t>
            </w:r>
          </w:p>
        </w:tc>
        <w:tc>
          <w:tcPr>
            <w:tcW w:w="1080" w:type="dxa"/>
            <w:tcBorders>
              <w:top w:val="single" w:color="auto" w:sz="4" w:space="0"/>
              <w:left w:val="single" w:color="auto" w:sz="4" w:space="0"/>
              <w:bottom w:val="single" w:color="auto" w:sz="4" w:space="0"/>
              <w:right w:val="single" w:color="auto" w:sz="4" w:space="0"/>
            </w:tcBorders>
          </w:tcPr>
          <w:p w:rsidRPr="006A638A" w:rsidR="002E7E4D" w:rsidRDefault="00F8285A" w14:paraId="2252C026" w14:textId="7E1465FA">
            <w:pPr>
              <w:jc w:val="center"/>
              <w:rPr>
                <w:rFonts w:ascii="Times New Roman" w:hAnsi="Times New Roman"/>
                <w:sz w:val="20"/>
              </w:rPr>
            </w:pPr>
            <w:r>
              <w:rPr>
                <w:rFonts w:ascii="Times New Roman" w:hAnsi="Times New Roman"/>
                <w:sz w:val="20"/>
              </w:rPr>
              <w:t>20</w:t>
            </w:r>
          </w:p>
        </w:tc>
        <w:tc>
          <w:tcPr>
            <w:tcW w:w="1260" w:type="dxa"/>
            <w:tcBorders>
              <w:top w:val="single" w:color="auto" w:sz="4" w:space="0"/>
              <w:left w:val="single" w:color="auto" w:sz="4" w:space="0"/>
              <w:bottom w:val="single" w:color="auto" w:sz="4" w:space="0"/>
              <w:right w:val="single" w:color="auto" w:sz="4" w:space="0"/>
            </w:tcBorders>
          </w:tcPr>
          <w:p w:rsidRPr="006A638A" w:rsidR="002E7E4D" w:rsidRDefault="00885990" w14:paraId="5BA24041" w14:textId="77777777">
            <w:pPr>
              <w:jc w:val="center"/>
              <w:rPr>
                <w:rFonts w:ascii="Times New Roman" w:hAnsi="Times New Roman"/>
                <w:sz w:val="20"/>
              </w:rPr>
            </w:pPr>
            <w:r w:rsidRPr="006A638A">
              <w:rPr>
                <w:rFonts w:ascii="Times New Roman" w:hAnsi="Times New Roman"/>
                <w:sz w:val="20"/>
              </w:rPr>
              <w:t>1</w:t>
            </w:r>
          </w:p>
        </w:tc>
        <w:tc>
          <w:tcPr>
            <w:tcW w:w="990" w:type="dxa"/>
            <w:tcBorders>
              <w:top w:val="single" w:color="auto" w:sz="4" w:space="0"/>
              <w:left w:val="single" w:color="auto" w:sz="4" w:space="0"/>
              <w:bottom w:val="single" w:color="auto" w:sz="4" w:space="0"/>
              <w:right w:val="single" w:color="auto" w:sz="4" w:space="0"/>
            </w:tcBorders>
          </w:tcPr>
          <w:p w:rsidRPr="006A638A" w:rsidR="002E7E4D" w:rsidRDefault="00650196" w14:paraId="7A87DE44" w14:textId="65E84F76">
            <w:pPr>
              <w:jc w:val="center"/>
              <w:rPr>
                <w:rFonts w:ascii="Times New Roman" w:hAnsi="Times New Roman"/>
                <w:sz w:val="20"/>
              </w:rPr>
            </w:pPr>
            <w:r>
              <w:rPr>
                <w:rFonts w:ascii="Times New Roman" w:hAnsi="Times New Roman"/>
                <w:sz w:val="20"/>
              </w:rPr>
              <w:t>260</w:t>
            </w:r>
          </w:p>
        </w:tc>
      </w:tr>
      <w:tr w:rsidRPr="00B44C7E" w:rsidR="005E2B1A" w:rsidTr="00BB6A89" w14:paraId="618CC480" w14:textId="77777777">
        <w:tc>
          <w:tcPr>
            <w:tcW w:w="1710" w:type="dxa"/>
            <w:tcBorders>
              <w:top w:val="single" w:color="auto" w:sz="4" w:space="0"/>
              <w:left w:val="single" w:color="auto" w:sz="4" w:space="0"/>
              <w:bottom w:val="single" w:color="auto" w:sz="4" w:space="0"/>
              <w:right w:val="single" w:color="auto" w:sz="4" w:space="0"/>
            </w:tcBorders>
            <w:hideMark/>
          </w:tcPr>
          <w:p w:rsidRPr="006A638A" w:rsidR="00BB6A89" w:rsidRDefault="00BB6A89" w14:paraId="0B20FF15" w14:textId="77777777">
            <w:pPr>
              <w:rPr>
                <w:rFonts w:ascii="Times New Roman" w:hAnsi="Times New Roman"/>
                <w:snapToGrid/>
                <w:sz w:val="20"/>
              </w:rPr>
            </w:pPr>
            <w:r w:rsidRPr="006A638A">
              <w:rPr>
                <w:rFonts w:ascii="Times New Roman" w:hAnsi="Times New Roman"/>
                <w:sz w:val="20"/>
              </w:rPr>
              <w:t>§ 50.22(a)(5)</w:t>
            </w:r>
          </w:p>
        </w:tc>
        <w:tc>
          <w:tcPr>
            <w:tcW w:w="2610" w:type="dxa"/>
            <w:tcBorders>
              <w:top w:val="single" w:color="auto" w:sz="4" w:space="0"/>
              <w:left w:val="single" w:color="auto" w:sz="4" w:space="0"/>
              <w:bottom w:val="single" w:color="auto" w:sz="4" w:space="0"/>
              <w:right w:val="single" w:color="auto" w:sz="4" w:space="0"/>
            </w:tcBorders>
            <w:hideMark/>
          </w:tcPr>
          <w:p w:rsidRPr="006A638A" w:rsidR="00BB6A89" w:rsidRDefault="00BB6A89" w14:paraId="0BE67331" w14:textId="77777777">
            <w:pPr>
              <w:rPr>
                <w:rFonts w:ascii="Times New Roman" w:hAnsi="Times New Roman"/>
                <w:sz w:val="20"/>
              </w:rPr>
            </w:pPr>
            <w:r w:rsidRPr="006A638A">
              <w:rPr>
                <w:rFonts w:ascii="Times New Roman" w:hAnsi="Times New Roman"/>
                <w:sz w:val="20"/>
              </w:rPr>
              <w:t>Documented methodology providing consistent treatment for determining whether eligible HQLA meets operational requirements.</w:t>
            </w:r>
          </w:p>
        </w:tc>
        <w:tc>
          <w:tcPr>
            <w:tcW w:w="1440" w:type="dxa"/>
            <w:tcBorders>
              <w:top w:val="single" w:color="auto" w:sz="4" w:space="0"/>
              <w:left w:val="single" w:color="auto" w:sz="4" w:space="0"/>
              <w:bottom w:val="single" w:color="auto" w:sz="4" w:space="0"/>
              <w:right w:val="single" w:color="auto" w:sz="4" w:space="0"/>
            </w:tcBorders>
            <w:hideMark/>
          </w:tcPr>
          <w:p w:rsidRPr="006A638A" w:rsidR="00BB6A89" w:rsidRDefault="00BB6A89" w14:paraId="22DDD8DF" w14:textId="77777777">
            <w:pPr>
              <w:rPr>
                <w:rFonts w:ascii="Times New Roman" w:hAnsi="Times New Roman"/>
                <w:sz w:val="20"/>
              </w:rPr>
            </w:pPr>
            <w:r w:rsidRPr="006A638A">
              <w:rPr>
                <w:rFonts w:ascii="Times New Roman" w:hAnsi="Times New Roman"/>
                <w:sz w:val="20"/>
              </w:rPr>
              <w:t>Recordkeeping</w:t>
            </w:r>
          </w:p>
        </w:tc>
        <w:tc>
          <w:tcPr>
            <w:tcW w:w="1350" w:type="dxa"/>
            <w:tcBorders>
              <w:top w:val="single" w:color="auto" w:sz="4" w:space="0"/>
              <w:left w:val="single" w:color="auto" w:sz="4" w:space="0"/>
              <w:bottom w:val="single" w:color="auto" w:sz="4" w:space="0"/>
              <w:right w:val="single" w:color="auto" w:sz="4" w:space="0"/>
            </w:tcBorders>
            <w:hideMark/>
          </w:tcPr>
          <w:p w:rsidRPr="006A638A" w:rsidR="00BB6A89" w:rsidRDefault="00C1114D" w14:paraId="33D5B416" w14:textId="77777777">
            <w:pPr>
              <w:jc w:val="center"/>
              <w:rPr>
                <w:rFonts w:ascii="Times New Roman" w:hAnsi="Times New Roman"/>
                <w:sz w:val="20"/>
              </w:rPr>
            </w:pPr>
            <w:r>
              <w:rPr>
                <w:rFonts w:ascii="Times New Roman" w:hAnsi="Times New Roman"/>
                <w:sz w:val="20"/>
              </w:rPr>
              <w:t>13</w:t>
            </w:r>
          </w:p>
        </w:tc>
        <w:tc>
          <w:tcPr>
            <w:tcW w:w="1080" w:type="dxa"/>
            <w:tcBorders>
              <w:top w:val="single" w:color="auto" w:sz="4" w:space="0"/>
              <w:left w:val="single" w:color="auto" w:sz="4" w:space="0"/>
              <w:bottom w:val="single" w:color="auto" w:sz="4" w:space="0"/>
              <w:right w:val="single" w:color="auto" w:sz="4" w:space="0"/>
            </w:tcBorders>
            <w:hideMark/>
          </w:tcPr>
          <w:p w:rsidRPr="006A638A" w:rsidR="00BB6A89" w:rsidRDefault="00F8285A" w14:paraId="286A7800" w14:textId="2D943413">
            <w:pPr>
              <w:jc w:val="center"/>
              <w:rPr>
                <w:rFonts w:ascii="Times New Roman" w:hAnsi="Times New Roman"/>
                <w:sz w:val="20"/>
              </w:rPr>
            </w:pPr>
            <w:r>
              <w:rPr>
                <w:rFonts w:ascii="Times New Roman" w:hAnsi="Times New Roman"/>
                <w:sz w:val="20"/>
              </w:rPr>
              <w:t>20</w:t>
            </w:r>
          </w:p>
        </w:tc>
        <w:tc>
          <w:tcPr>
            <w:tcW w:w="1260" w:type="dxa"/>
            <w:tcBorders>
              <w:top w:val="single" w:color="auto" w:sz="4" w:space="0"/>
              <w:left w:val="single" w:color="auto" w:sz="4" w:space="0"/>
              <w:bottom w:val="single" w:color="auto" w:sz="4" w:space="0"/>
              <w:right w:val="single" w:color="auto" w:sz="4" w:space="0"/>
            </w:tcBorders>
            <w:hideMark/>
          </w:tcPr>
          <w:p w:rsidRPr="006A638A" w:rsidR="00BB6A89" w:rsidRDefault="00BB6A89" w14:paraId="178A60D5" w14:textId="77777777">
            <w:pPr>
              <w:jc w:val="center"/>
              <w:rPr>
                <w:rFonts w:ascii="Times New Roman" w:hAnsi="Times New Roman"/>
                <w:sz w:val="20"/>
              </w:rPr>
            </w:pPr>
            <w:r w:rsidRPr="006A638A">
              <w:rPr>
                <w:rFonts w:ascii="Times New Roman" w:hAnsi="Times New Roman"/>
                <w:sz w:val="20"/>
              </w:rPr>
              <w:t>1</w:t>
            </w:r>
          </w:p>
        </w:tc>
        <w:tc>
          <w:tcPr>
            <w:tcW w:w="990" w:type="dxa"/>
            <w:tcBorders>
              <w:top w:val="single" w:color="auto" w:sz="4" w:space="0"/>
              <w:left w:val="single" w:color="auto" w:sz="4" w:space="0"/>
              <w:bottom w:val="single" w:color="auto" w:sz="4" w:space="0"/>
              <w:right w:val="single" w:color="auto" w:sz="4" w:space="0"/>
            </w:tcBorders>
            <w:hideMark/>
          </w:tcPr>
          <w:p w:rsidRPr="006A638A" w:rsidR="00BB6A89" w:rsidRDefault="00650196" w14:paraId="32B19423" w14:textId="41E9132B">
            <w:pPr>
              <w:jc w:val="center"/>
              <w:rPr>
                <w:rFonts w:ascii="Times New Roman" w:hAnsi="Times New Roman"/>
                <w:sz w:val="20"/>
              </w:rPr>
            </w:pPr>
            <w:r>
              <w:rPr>
                <w:rFonts w:ascii="Times New Roman" w:hAnsi="Times New Roman"/>
                <w:sz w:val="20"/>
              </w:rPr>
              <w:t>260</w:t>
            </w:r>
          </w:p>
        </w:tc>
      </w:tr>
      <w:tr w:rsidRPr="00B44C7E" w:rsidR="002911C7" w:rsidTr="00BB6A89" w14:paraId="473F3450" w14:textId="77777777">
        <w:tc>
          <w:tcPr>
            <w:tcW w:w="1710" w:type="dxa"/>
            <w:tcBorders>
              <w:top w:val="single" w:color="auto" w:sz="4" w:space="0"/>
              <w:left w:val="single" w:color="auto" w:sz="4" w:space="0"/>
              <w:bottom w:val="single" w:color="auto" w:sz="4" w:space="0"/>
              <w:right w:val="single" w:color="auto" w:sz="4" w:space="0"/>
            </w:tcBorders>
          </w:tcPr>
          <w:p w:rsidRPr="006A638A" w:rsidR="002911C7" w:rsidRDefault="002911C7" w14:paraId="705B4EC5" w14:textId="77777777">
            <w:pPr>
              <w:rPr>
                <w:rFonts w:ascii="Times New Roman" w:hAnsi="Times New Roman"/>
                <w:sz w:val="20"/>
              </w:rPr>
            </w:pPr>
            <w:r w:rsidRPr="006A638A">
              <w:rPr>
                <w:rFonts w:ascii="Times New Roman" w:hAnsi="Times New Roman"/>
                <w:sz w:val="20"/>
              </w:rPr>
              <w:t>§ 50.40(a)</w:t>
            </w:r>
          </w:p>
          <w:p w:rsidRPr="006A638A" w:rsidR="002911C7" w:rsidRDefault="002911C7" w14:paraId="79E9C776" w14:textId="77777777">
            <w:pPr>
              <w:rPr>
                <w:rFonts w:ascii="Times New Roman" w:hAnsi="Times New Roman"/>
                <w:sz w:val="20"/>
              </w:rPr>
            </w:pPr>
            <w:r w:rsidRPr="006A638A">
              <w:rPr>
                <w:rFonts w:ascii="Times New Roman" w:hAnsi="Times New Roman"/>
                <w:sz w:val="20"/>
              </w:rPr>
              <w:t>§ 50.110(a)</w:t>
            </w:r>
          </w:p>
        </w:tc>
        <w:tc>
          <w:tcPr>
            <w:tcW w:w="2610" w:type="dxa"/>
            <w:tcBorders>
              <w:top w:val="single" w:color="auto" w:sz="4" w:space="0"/>
              <w:left w:val="single" w:color="auto" w:sz="4" w:space="0"/>
              <w:bottom w:val="single" w:color="auto" w:sz="4" w:space="0"/>
              <w:right w:val="single" w:color="auto" w:sz="4" w:space="0"/>
            </w:tcBorders>
          </w:tcPr>
          <w:p w:rsidRPr="006A638A" w:rsidR="002911C7" w:rsidRDefault="00AE4144" w14:paraId="1895E94A" w14:textId="77777777">
            <w:pPr>
              <w:rPr>
                <w:rFonts w:ascii="Times New Roman" w:hAnsi="Times New Roman"/>
                <w:sz w:val="20"/>
              </w:rPr>
            </w:pPr>
            <w:r w:rsidRPr="006A638A">
              <w:rPr>
                <w:rFonts w:ascii="Times New Roman" w:hAnsi="Times New Roman"/>
                <w:sz w:val="20"/>
              </w:rPr>
              <w:t>Notification of shortfall.</w:t>
            </w:r>
          </w:p>
        </w:tc>
        <w:tc>
          <w:tcPr>
            <w:tcW w:w="1440" w:type="dxa"/>
            <w:tcBorders>
              <w:top w:val="single" w:color="auto" w:sz="4" w:space="0"/>
              <w:left w:val="single" w:color="auto" w:sz="4" w:space="0"/>
              <w:bottom w:val="single" w:color="auto" w:sz="4" w:space="0"/>
              <w:right w:val="single" w:color="auto" w:sz="4" w:space="0"/>
            </w:tcBorders>
          </w:tcPr>
          <w:p w:rsidRPr="006A638A" w:rsidR="002911C7" w:rsidRDefault="001910A8" w14:paraId="4A237341" w14:textId="77777777">
            <w:pPr>
              <w:rPr>
                <w:rFonts w:ascii="Times New Roman" w:hAnsi="Times New Roman"/>
                <w:sz w:val="20"/>
              </w:rPr>
            </w:pPr>
            <w:r w:rsidRPr="006A638A">
              <w:rPr>
                <w:rFonts w:ascii="Times New Roman" w:hAnsi="Times New Roman"/>
                <w:sz w:val="20"/>
              </w:rPr>
              <w:t>Reporting</w:t>
            </w:r>
          </w:p>
        </w:tc>
        <w:tc>
          <w:tcPr>
            <w:tcW w:w="1350" w:type="dxa"/>
            <w:tcBorders>
              <w:top w:val="single" w:color="auto" w:sz="4" w:space="0"/>
              <w:left w:val="single" w:color="auto" w:sz="4" w:space="0"/>
              <w:bottom w:val="single" w:color="auto" w:sz="4" w:space="0"/>
              <w:right w:val="single" w:color="auto" w:sz="4" w:space="0"/>
            </w:tcBorders>
          </w:tcPr>
          <w:p w:rsidRPr="006A638A" w:rsidR="002911C7" w:rsidRDefault="00C1114D" w14:paraId="4D09675E" w14:textId="77777777">
            <w:pPr>
              <w:jc w:val="center"/>
              <w:rPr>
                <w:rFonts w:ascii="Times New Roman" w:hAnsi="Times New Roman"/>
                <w:sz w:val="20"/>
              </w:rPr>
            </w:pPr>
            <w:r>
              <w:rPr>
                <w:rFonts w:ascii="Times New Roman" w:hAnsi="Times New Roman"/>
                <w:sz w:val="20"/>
              </w:rPr>
              <w:t>13</w:t>
            </w:r>
          </w:p>
        </w:tc>
        <w:tc>
          <w:tcPr>
            <w:tcW w:w="1080" w:type="dxa"/>
            <w:tcBorders>
              <w:top w:val="single" w:color="auto" w:sz="4" w:space="0"/>
              <w:left w:val="single" w:color="auto" w:sz="4" w:space="0"/>
              <w:bottom w:val="single" w:color="auto" w:sz="4" w:space="0"/>
              <w:right w:val="single" w:color="auto" w:sz="4" w:space="0"/>
            </w:tcBorders>
          </w:tcPr>
          <w:p w:rsidRPr="006A638A" w:rsidR="002911C7" w:rsidRDefault="00F8285A" w14:paraId="7CCF6A6B" w14:textId="01AC1B66">
            <w:pPr>
              <w:jc w:val="center"/>
              <w:rPr>
                <w:rFonts w:ascii="Times New Roman" w:hAnsi="Times New Roman"/>
                <w:sz w:val="20"/>
              </w:rPr>
            </w:pPr>
            <w:r>
              <w:rPr>
                <w:rFonts w:ascii="Times New Roman" w:hAnsi="Times New Roman"/>
                <w:sz w:val="20"/>
              </w:rPr>
              <w:t>0</w:t>
            </w:r>
            <w:r w:rsidRPr="006A638A" w:rsidR="001910A8">
              <w:rPr>
                <w:rFonts w:ascii="Times New Roman" w:hAnsi="Times New Roman"/>
                <w:sz w:val="20"/>
              </w:rPr>
              <w:t>.</w:t>
            </w:r>
            <w:r w:rsidR="00C1114D">
              <w:rPr>
                <w:rFonts w:ascii="Times New Roman" w:hAnsi="Times New Roman"/>
                <w:sz w:val="20"/>
              </w:rPr>
              <w:t>5</w:t>
            </w:r>
          </w:p>
        </w:tc>
        <w:tc>
          <w:tcPr>
            <w:tcW w:w="1260" w:type="dxa"/>
            <w:tcBorders>
              <w:top w:val="single" w:color="auto" w:sz="4" w:space="0"/>
              <w:left w:val="single" w:color="auto" w:sz="4" w:space="0"/>
              <w:bottom w:val="single" w:color="auto" w:sz="4" w:space="0"/>
              <w:right w:val="single" w:color="auto" w:sz="4" w:space="0"/>
            </w:tcBorders>
          </w:tcPr>
          <w:p w:rsidRPr="006A638A" w:rsidR="002911C7" w:rsidRDefault="001910A8" w14:paraId="3C3292F1" w14:textId="77777777">
            <w:pPr>
              <w:jc w:val="center"/>
              <w:rPr>
                <w:rFonts w:ascii="Times New Roman" w:hAnsi="Times New Roman"/>
                <w:sz w:val="20"/>
              </w:rPr>
            </w:pPr>
            <w:r w:rsidRPr="006A638A">
              <w:rPr>
                <w:rFonts w:ascii="Times New Roman" w:hAnsi="Times New Roman"/>
                <w:sz w:val="20"/>
              </w:rPr>
              <w:t>12</w:t>
            </w:r>
          </w:p>
        </w:tc>
        <w:tc>
          <w:tcPr>
            <w:tcW w:w="990" w:type="dxa"/>
            <w:tcBorders>
              <w:top w:val="single" w:color="auto" w:sz="4" w:space="0"/>
              <w:left w:val="single" w:color="auto" w:sz="4" w:space="0"/>
              <w:bottom w:val="single" w:color="auto" w:sz="4" w:space="0"/>
              <w:right w:val="single" w:color="auto" w:sz="4" w:space="0"/>
            </w:tcBorders>
          </w:tcPr>
          <w:p w:rsidRPr="006A638A" w:rsidR="002911C7" w:rsidRDefault="00F8285A" w14:paraId="7B3BFBFE" w14:textId="6439CB86">
            <w:pPr>
              <w:jc w:val="center"/>
              <w:rPr>
                <w:rFonts w:ascii="Times New Roman" w:hAnsi="Times New Roman"/>
                <w:sz w:val="20"/>
              </w:rPr>
            </w:pPr>
            <w:r>
              <w:rPr>
                <w:rFonts w:ascii="Times New Roman" w:hAnsi="Times New Roman"/>
                <w:sz w:val="20"/>
              </w:rPr>
              <w:t>78</w:t>
            </w:r>
          </w:p>
        </w:tc>
      </w:tr>
      <w:tr w:rsidRPr="00B44C7E" w:rsidR="00771E90" w:rsidTr="00BB6A89" w14:paraId="7C19ECE8" w14:textId="77777777">
        <w:tc>
          <w:tcPr>
            <w:tcW w:w="1710" w:type="dxa"/>
            <w:tcBorders>
              <w:top w:val="single" w:color="auto" w:sz="4" w:space="0"/>
              <w:left w:val="single" w:color="auto" w:sz="4" w:space="0"/>
              <w:bottom w:val="single" w:color="auto" w:sz="4" w:space="0"/>
              <w:right w:val="single" w:color="auto" w:sz="4" w:space="0"/>
            </w:tcBorders>
          </w:tcPr>
          <w:p w:rsidRPr="006A638A" w:rsidR="00771E90" w:rsidP="00771E90" w:rsidRDefault="00771E90" w14:paraId="5EC6B069" w14:textId="77777777">
            <w:pPr>
              <w:rPr>
                <w:rFonts w:ascii="Times New Roman" w:hAnsi="Times New Roman"/>
                <w:sz w:val="20"/>
              </w:rPr>
            </w:pPr>
            <w:r w:rsidRPr="006A638A">
              <w:rPr>
                <w:rFonts w:ascii="Times New Roman" w:hAnsi="Times New Roman"/>
                <w:sz w:val="20"/>
              </w:rPr>
              <w:t>§ 50.40(b)</w:t>
            </w:r>
          </w:p>
          <w:p w:rsidRPr="006A638A" w:rsidR="00771E90" w:rsidP="00771E90" w:rsidRDefault="00771E90" w14:paraId="076A93B3" w14:textId="77777777">
            <w:pPr>
              <w:rPr>
                <w:rFonts w:ascii="Times New Roman" w:hAnsi="Times New Roman"/>
                <w:sz w:val="20"/>
              </w:rPr>
            </w:pPr>
            <w:r w:rsidRPr="006A638A">
              <w:rPr>
                <w:rFonts w:ascii="Times New Roman" w:hAnsi="Times New Roman"/>
                <w:sz w:val="20"/>
              </w:rPr>
              <w:t>§ 50.110(b)</w:t>
            </w:r>
          </w:p>
        </w:tc>
        <w:tc>
          <w:tcPr>
            <w:tcW w:w="2610" w:type="dxa"/>
            <w:tcBorders>
              <w:top w:val="single" w:color="auto" w:sz="4" w:space="0"/>
              <w:left w:val="single" w:color="auto" w:sz="4" w:space="0"/>
              <w:bottom w:val="single" w:color="auto" w:sz="4" w:space="0"/>
              <w:right w:val="single" w:color="auto" w:sz="4" w:space="0"/>
            </w:tcBorders>
          </w:tcPr>
          <w:p w:rsidRPr="006A638A" w:rsidR="00771E90" w:rsidP="00714E1F" w:rsidRDefault="00D14575" w14:paraId="1EB0EE8E" w14:textId="77777777">
            <w:pPr>
              <w:rPr>
                <w:rFonts w:ascii="Times New Roman" w:hAnsi="Times New Roman"/>
                <w:sz w:val="20"/>
              </w:rPr>
            </w:pPr>
            <w:r w:rsidRPr="006A638A">
              <w:rPr>
                <w:rFonts w:ascii="Times New Roman" w:hAnsi="Times New Roman"/>
                <w:sz w:val="20"/>
              </w:rPr>
              <w:t xml:space="preserve">Prepare </w:t>
            </w:r>
            <w:r w:rsidRPr="006A638A" w:rsidR="00714E1F">
              <w:rPr>
                <w:rFonts w:ascii="Times New Roman" w:hAnsi="Times New Roman"/>
                <w:sz w:val="20"/>
              </w:rPr>
              <w:t>liquidity</w:t>
            </w:r>
            <w:r w:rsidRPr="006A638A">
              <w:rPr>
                <w:rFonts w:ascii="Times New Roman" w:hAnsi="Times New Roman"/>
                <w:sz w:val="20"/>
              </w:rPr>
              <w:t xml:space="preserve"> plan.</w:t>
            </w:r>
          </w:p>
        </w:tc>
        <w:tc>
          <w:tcPr>
            <w:tcW w:w="1440" w:type="dxa"/>
            <w:tcBorders>
              <w:top w:val="single" w:color="auto" w:sz="4" w:space="0"/>
              <w:left w:val="single" w:color="auto" w:sz="4" w:space="0"/>
              <w:bottom w:val="single" w:color="auto" w:sz="4" w:space="0"/>
              <w:right w:val="single" w:color="auto" w:sz="4" w:space="0"/>
            </w:tcBorders>
          </w:tcPr>
          <w:p w:rsidRPr="006A638A" w:rsidR="00771E90" w:rsidP="00771E90" w:rsidRDefault="00771E90" w14:paraId="04BC7DBA" w14:textId="77777777">
            <w:pPr>
              <w:rPr>
                <w:rFonts w:ascii="Times New Roman" w:hAnsi="Times New Roman"/>
                <w:sz w:val="20"/>
              </w:rPr>
            </w:pPr>
            <w:r w:rsidRPr="006A638A">
              <w:rPr>
                <w:rFonts w:ascii="Times New Roman" w:hAnsi="Times New Roman"/>
                <w:sz w:val="20"/>
              </w:rPr>
              <w:t>Ongoing</w:t>
            </w:r>
          </w:p>
          <w:p w:rsidRPr="006A638A" w:rsidR="00771E90" w:rsidP="00771E90" w:rsidRDefault="00771E90" w14:paraId="4E300EA1" w14:textId="77777777">
            <w:pPr>
              <w:rPr>
                <w:rFonts w:ascii="Times New Roman" w:hAnsi="Times New Roman"/>
                <w:sz w:val="20"/>
              </w:rPr>
            </w:pPr>
            <w:r w:rsidRPr="006A638A">
              <w:rPr>
                <w:rFonts w:ascii="Times New Roman" w:hAnsi="Times New Roman"/>
                <w:sz w:val="20"/>
              </w:rPr>
              <w:t>Recordkeeping</w:t>
            </w:r>
          </w:p>
        </w:tc>
        <w:tc>
          <w:tcPr>
            <w:tcW w:w="1350" w:type="dxa"/>
            <w:tcBorders>
              <w:top w:val="single" w:color="auto" w:sz="4" w:space="0"/>
              <w:left w:val="single" w:color="auto" w:sz="4" w:space="0"/>
              <w:bottom w:val="single" w:color="auto" w:sz="4" w:space="0"/>
              <w:right w:val="single" w:color="auto" w:sz="4" w:space="0"/>
            </w:tcBorders>
          </w:tcPr>
          <w:p w:rsidRPr="006A638A" w:rsidR="00771E90" w:rsidP="00771E90" w:rsidRDefault="00C1114D" w14:paraId="24AE09F6" w14:textId="77777777">
            <w:pPr>
              <w:jc w:val="center"/>
              <w:rPr>
                <w:rFonts w:ascii="Times New Roman" w:hAnsi="Times New Roman"/>
                <w:sz w:val="20"/>
              </w:rPr>
            </w:pPr>
            <w:r>
              <w:rPr>
                <w:rFonts w:ascii="Times New Roman" w:hAnsi="Times New Roman"/>
                <w:sz w:val="20"/>
              </w:rPr>
              <w:t>13</w:t>
            </w:r>
          </w:p>
        </w:tc>
        <w:tc>
          <w:tcPr>
            <w:tcW w:w="1080" w:type="dxa"/>
            <w:tcBorders>
              <w:top w:val="single" w:color="auto" w:sz="4" w:space="0"/>
              <w:left w:val="single" w:color="auto" w:sz="4" w:space="0"/>
              <w:bottom w:val="single" w:color="auto" w:sz="4" w:space="0"/>
              <w:right w:val="single" w:color="auto" w:sz="4" w:space="0"/>
            </w:tcBorders>
          </w:tcPr>
          <w:p w:rsidRPr="006A638A" w:rsidR="00771E90" w:rsidP="00771E90" w:rsidRDefault="00F8285A" w14:paraId="43C0E32E" w14:textId="6810E2AC">
            <w:pPr>
              <w:jc w:val="center"/>
              <w:rPr>
                <w:rFonts w:ascii="Times New Roman" w:hAnsi="Times New Roman"/>
                <w:sz w:val="20"/>
              </w:rPr>
            </w:pPr>
            <w:r>
              <w:rPr>
                <w:rFonts w:ascii="Times New Roman" w:hAnsi="Times New Roman"/>
                <w:sz w:val="20"/>
              </w:rPr>
              <w:t>2</w:t>
            </w:r>
            <w:r w:rsidRPr="006A638A" w:rsidR="00771E90">
              <w:rPr>
                <w:rFonts w:ascii="Times New Roman" w:hAnsi="Times New Roman"/>
                <w:sz w:val="20"/>
              </w:rPr>
              <w:t>00</w:t>
            </w:r>
          </w:p>
        </w:tc>
        <w:tc>
          <w:tcPr>
            <w:tcW w:w="1260" w:type="dxa"/>
            <w:tcBorders>
              <w:top w:val="single" w:color="auto" w:sz="4" w:space="0"/>
              <w:left w:val="single" w:color="auto" w:sz="4" w:space="0"/>
              <w:bottom w:val="single" w:color="auto" w:sz="4" w:space="0"/>
              <w:right w:val="single" w:color="auto" w:sz="4" w:space="0"/>
            </w:tcBorders>
          </w:tcPr>
          <w:p w:rsidRPr="006A638A" w:rsidR="00771E90" w:rsidP="00771E90" w:rsidRDefault="00771E90" w14:paraId="59D83A1F" w14:textId="77777777">
            <w:pPr>
              <w:jc w:val="center"/>
              <w:rPr>
                <w:rFonts w:ascii="Times New Roman" w:hAnsi="Times New Roman"/>
                <w:sz w:val="20"/>
              </w:rPr>
            </w:pPr>
            <w:r w:rsidRPr="006A638A">
              <w:rPr>
                <w:rFonts w:ascii="Times New Roman" w:hAnsi="Times New Roman"/>
                <w:sz w:val="20"/>
              </w:rPr>
              <w:t>1</w:t>
            </w:r>
          </w:p>
        </w:tc>
        <w:tc>
          <w:tcPr>
            <w:tcW w:w="990" w:type="dxa"/>
            <w:tcBorders>
              <w:top w:val="single" w:color="auto" w:sz="4" w:space="0"/>
              <w:left w:val="single" w:color="auto" w:sz="4" w:space="0"/>
              <w:bottom w:val="single" w:color="auto" w:sz="4" w:space="0"/>
              <w:right w:val="single" w:color="auto" w:sz="4" w:space="0"/>
            </w:tcBorders>
          </w:tcPr>
          <w:p w:rsidRPr="006A638A" w:rsidR="00771E90" w:rsidP="00771E90" w:rsidRDefault="00F8285A" w14:paraId="573A8C01" w14:textId="41AB8A67">
            <w:pPr>
              <w:jc w:val="center"/>
              <w:rPr>
                <w:rFonts w:ascii="Times New Roman" w:hAnsi="Times New Roman"/>
                <w:sz w:val="20"/>
              </w:rPr>
            </w:pPr>
            <w:r>
              <w:rPr>
                <w:rFonts w:ascii="Times New Roman" w:hAnsi="Times New Roman"/>
                <w:sz w:val="20"/>
              </w:rPr>
              <w:t>2,600</w:t>
            </w:r>
          </w:p>
        </w:tc>
      </w:tr>
      <w:tr w:rsidRPr="00B44C7E" w:rsidR="008A6293" w:rsidTr="00F8285A" w14:paraId="783B6654" w14:textId="77777777">
        <w:trPr>
          <w:trHeight w:val="539"/>
        </w:trPr>
        <w:tc>
          <w:tcPr>
            <w:tcW w:w="1710" w:type="dxa"/>
            <w:tcBorders>
              <w:top w:val="single" w:color="auto" w:sz="4" w:space="0"/>
              <w:left w:val="single" w:color="auto" w:sz="4" w:space="0"/>
              <w:bottom w:val="single" w:color="auto" w:sz="4" w:space="0"/>
              <w:right w:val="single" w:color="auto" w:sz="4" w:space="0"/>
            </w:tcBorders>
          </w:tcPr>
          <w:p w:rsidRPr="006A638A" w:rsidR="008A6293" w:rsidRDefault="008A6293" w14:paraId="09A28BBA" w14:textId="77777777">
            <w:pPr>
              <w:rPr>
                <w:rFonts w:ascii="Times New Roman" w:hAnsi="Times New Roman"/>
                <w:sz w:val="20"/>
              </w:rPr>
            </w:pPr>
            <w:r w:rsidRPr="006A638A">
              <w:rPr>
                <w:rFonts w:ascii="Times New Roman" w:hAnsi="Times New Roman"/>
                <w:sz w:val="20"/>
              </w:rPr>
              <w:t>§ 50.40(b)</w:t>
            </w:r>
          </w:p>
          <w:p w:rsidRPr="006A638A" w:rsidR="008A6293" w:rsidRDefault="008A6293" w14:paraId="3BD71365" w14:textId="77777777">
            <w:pPr>
              <w:rPr>
                <w:rFonts w:ascii="Times New Roman" w:hAnsi="Times New Roman"/>
                <w:sz w:val="20"/>
              </w:rPr>
            </w:pPr>
            <w:r w:rsidRPr="006A638A">
              <w:rPr>
                <w:rFonts w:ascii="Times New Roman" w:hAnsi="Times New Roman"/>
                <w:sz w:val="20"/>
              </w:rPr>
              <w:t>§ 50.110(b)</w:t>
            </w:r>
          </w:p>
        </w:tc>
        <w:tc>
          <w:tcPr>
            <w:tcW w:w="2610" w:type="dxa"/>
            <w:tcBorders>
              <w:top w:val="single" w:color="auto" w:sz="4" w:space="0"/>
              <w:left w:val="single" w:color="auto" w:sz="4" w:space="0"/>
              <w:bottom w:val="single" w:color="auto" w:sz="4" w:space="0"/>
              <w:right w:val="single" w:color="auto" w:sz="4" w:space="0"/>
            </w:tcBorders>
          </w:tcPr>
          <w:p w:rsidRPr="006A638A" w:rsidR="008A6293" w:rsidP="00714E1F" w:rsidRDefault="00D14575" w14:paraId="450FE5B4" w14:textId="77777777">
            <w:pPr>
              <w:rPr>
                <w:rFonts w:ascii="Times New Roman" w:hAnsi="Times New Roman"/>
                <w:sz w:val="20"/>
              </w:rPr>
            </w:pPr>
            <w:r w:rsidRPr="006A638A">
              <w:rPr>
                <w:rFonts w:ascii="Times New Roman" w:hAnsi="Times New Roman"/>
                <w:sz w:val="20"/>
              </w:rPr>
              <w:t xml:space="preserve">Submit </w:t>
            </w:r>
            <w:r w:rsidRPr="006A638A" w:rsidR="00714E1F">
              <w:rPr>
                <w:rFonts w:ascii="Times New Roman" w:hAnsi="Times New Roman"/>
                <w:sz w:val="20"/>
              </w:rPr>
              <w:t>liquidity</w:t>
            </w:r>
            <w:r w:rsidRPr="006A638A">
              <w:rPr>
                <w:rFonts w:ascii="Times New Roman" w:hAnsi="Times New Roman"/>
                <w:sz w:val="20"/>
              </w:rPr>
              <w:t xml:space="preserve"> plan and progress reports.</w:t>
            </w:r>
          </w:p>
        </w:tc>
        <w:tc>
          <w:tcPr>
            <w:tcW w:w="1440" w:type="dxa"/>
            <w:tcBorders>
              <w:top w:val="single" w:color="auto" w:sz="4" w:space="0"/>
              <w:left w:val="single" w:color="auto" w:sz="4" w:space="0"/>
              <w:bottom w:val="single" w:color="auto" w:sz="4" w:space="0"/>
              <w:right w:val="single" w:color="auto" w:sz="4" w:space="0"/>
            </w:tcBorders>
          </w:tcPr>
          <w:p w:rsidRPr="006A638A" w:rsidR="008A6293" w:rsidRDefault="00C71524" w14:paraId="0DEC0655" w14:textId="77777777">
            <w:pPr>
              <w:rPr>
                <w:rFonts w:ascii="Times New Roman" w:hAnsi="Times New Roman"/>
                <w:sz w:val="20"/>
              </w:rPr>
            </w:pPr>
            <w:r w:rsidRPr="006A638A">
              <w:rPr>
                <w:rFonts w:ascii="Times New Roman" w:hAnsi="Times New Roman"/>
                <w:sz w:val="20"/>
              </w:rPr>
              <w:t>Ongoing</w:t>
            </w:r>
          </w:p>
          <w:p w:rsidRPr="006A638A" w:rsidR="00C71524" w:rsidRDefault="00C71524" w14:paraId="32BB997C" w14:textId="77777777">
            <w:pPr>
              <w:rPr>
                <w:rFonts w:ascii="Times New Roman" w:hAnsi="Times New Roman"/>
                <w:sz w:val="20"/>
              </w:rPr>
            </w:pPr>
            <w:r w:rsidRPr="006A638A">
              <w:rPr>
                <w:rFonts w:ascii="Times New Roman" w:hAnsi="Times New Roman"/>
                <w:sz w:val="20"/>
              </w:rPr>
              <w:t>Reporting</w:t>
            </w:r>
          </w:p>
        </w:tc>
        <w:tc>
          <w:tcPr>
            <w:tcW w:w="1350" w:type="dxa"/>
            <w:tcBorders>
              <w:top w:val="single" w:color="auto" w:sz="4" w:space="0"/>
              <w:left w:val="single" w:color="auto" w:sz="4" w:space="0"/>
              <w:bottom w:val="single" w:color="auto" w:sz="4" w:space="0"/>
              <w:right w:val="single" w:color="auto" w:sz="4" w:space="0"/>
            </w:tcBorders>
          </w:tcPr>
          <w:p w:rsidRPr="006A638A" w:rsidR="008A6293" w:rsidRDefault="00C1114D" w14:paraId="61FC0323" w14:textId="77777777">
            <w:pPr>
              <w:jc w:val="center"/>
              <w:rPr>
                <w:rFonts w:ascii="Times New Roman" w:hAnsi="Times New Roman"/>
                <w:sz w:val="20"/>
              </w:rPr>
            </w:pPr>
            <w:r>
              <w:rPr>
                <w:rFonts w:ascii="Times New Roman" w:hAnsi="Times New Roman"/>
                <w:sz w:val="20"/>
              </w:rPr>
              <w:t>13</w:t>
            </w:r>
          </w:p>
        </w:tc>
        <w:tc>
          <w:tcPr>
            <w:tcW w:w="1080" w:type="dxa"/>
            <w:tcBorders>
              <w:top w:val="single" w:color="auto" w:sz="4" w:space="0"/>
              <w:left w:val="single" w:color="auto" w:sz="4" w:space="0"/>
              <w:bottom w:val="single" w:color="auto" w:sz="4" w:space="0"/>
              <w:right w:val="single" w:color="auto" w:sz="4" w:space="0"/>
            </w:tcBorders>
          </w:tcPr>
          <w:p w:rsidRPr="006A638A" w:rsidR="008A6293" w:rsidRDefault="00F8285A" w14:paraId="1C112E6F" w14:textId="494C42F8">
            <w:pPr>
              <w:jc w:val="center"/>
              <w:rPr>
                <w:rFonts w:ascii="Times New Roman" w:hAnsi="Times New Roman"/>
                <w:sz w:val="20"/>
              </w:rPr>
            </w:pPr>
            <w:r>
              <w:rPr>
                <w:rFonts w:ascii="Times New Roman" w:hAnsi="Times New Roman"/>
                <w:sz w:val="20"/>
              </w:rPr>
              <w:t>0.5</w:t>
            </w:r>
          </w:p>
        </w:tc>
        <w:tc>
          <w:tcPr>
            <w:tcW w:w="1260" w:type="dxa"/>
            <w:tcBorders>
              <w:top w:val="single" w:color="auto" w:sz="4" w:space="0"/>
              <w:left w:val="single" w:color="auto" w:sz="4" w:space="0"/>
              <w:bottom w:val="single" w:color="auto" w:sz="4" w:space="0"/>
              <w:right w:val="single" w:color="auto" w:sz="4" w:space="0"/>
            </w:tcBorders>
          </w:tcPr>
          <w:p w:rsidRPr="006A638A" w:rsidR="008A6293" w:rsidRDefault="007C0628" w14:paraId="5A2F0E32" w14:textId="77777777">
            <w:pPr>
              <w:jc w:val="center"/>
              <w:rPr>
                <w:rFonts w:ascii="Times New Roman" w:hAnsi="Times New Roman"/>
                <w:sz w:val="20"/>
              </w:rPr>
            </w:pPr>
            <w:r w:rsidRPr="006A638A">
              <w:rPr>
                <w:rFonts w:ascii="Times New Roman" w:hAnsi="Times New Roman"/>
                <w:sz w:val="20"/>
              </w:rPr>
              <w:t>1</w:t>
            </w:r>
          </w:p>
        </w:tc>
        <w:tc>
          <w:tcPr>
            <w:tcW w:w="990" w:type="dxa"/>
            <w:tcBorders>
              <w:top w:val="single" w:color="auto" w:sz="4" w:space="0"/>
              <w:left w:val="single" w:color="auto" w:sz="4" w:space="0"/>
              <w:bottom w:val="single" w:color="auto" w:sz="4" w:space="0"/>
              <w:right w:val="single" w:color="auto" w:sz="4" w:space="0"/>
            </w:tcBorders>
          </w:tcPr>
          <w:p w:rsidRPr="006A638A" w:rsidR="008A6293" w:rsidRDefault="00F8285A" w14:paraId="5A408501" w14:textId="4C4FB760">
            <w:pPr>
              <w:jc w:val="center"/>
              <w:rPr>
                <w:rFonts w:ascii="Times New Roman" w:hAnsi="Times New Roman"/>
                <w:sz w:val="20"/>
              </w:rPr>
            </w:pPr>
            <w:r>
              <w:rPr>
                <w:rFonts w:ascii="Times New Roman" w:hAnsi="Times New Roman"/>
                <w:sz w:val="20"/>
              </w:rPr>
              <w:t>6.5</w:t>
            </w:r>
          </w:p>
        </w:tc>
      </w:tr>
      <w:tr w:rsidRPr="00B44C7E" w:rsidR="00AA2826" w:rsidTr="00BB6A89" w14:paraId="13A71923" w14:textId="77777777">
        <w:tc>
          <w:tcPr>
            <w:tcW w:w="1710" w:type="dxa"/>
            <w:tcBorders>
              <w:top w:val="single" w:color="auto" w:sz="4" w:space="0"/>
              <w:left w:val="single" w:color="auto" w:sz="4" w:space="0"/>
              <w:bottom w:val="single" w:color="auto" w:sz="4" w:space="0"/>
              <w:right w:val="single" w:color="auto" w:sz="4" w:space="0"/>
            </w:tcBorders>
          </w:tcPr>
          <w:p w:rsidRPr="006A638A" w:rsidR="00AA2826" w:rsidRDefault="00AA2826" w14:paraId="19D1A518" w14:textId="77777777">
            <w:pPr>
              <w:rPr>
                <w:rFonts w:ascii="Times New Roman" w:hAnsi="Times New Roman"/>
                <w:sz w:val="20"/>
              </w:rPr>
            </w:pPr>
            <w:r w:rsidRPr="006A638A">
              <w:rPr>
                <w:rFonts w:ascii="Times New Roman" w:hAnsi="Times New Roman"/>
                <w:sz w:val="20"/>
              </w:rPr>
              <w:t>§ 50.40(b)(3)(iv)</w:t>
            </w:r>
          </w:p>
          <w:p w:rsidRPr="006A638A" w:rsidR="00AA2826" w:rsidRDefault="00AA2826" w14:paraId="1AB757DF" w14:textId="77777777">
            <w:pPr>
              <w:rPr>
                <w:rFonts w:ascii="Times New Roman" w:hAnsi="Times New Roman"/>
                <w:sz w:val="20"/>
              </w:rPr>
            </w:pPr>
            <w:r w:rsidRPr="006A638A">
              <w:rPr>
                <w:rFonts w:ascii="Times New Roman" w:hAnsi="Times New Roman"/>
                <w:sz w:val="20"/>
              </w:rPr>
              <w:t>§ 50.110(b)(3)</w:t>
            </w:r>
          </w:p>
        </w:tc>
        <w:tc>
          <w:tcPr>
            <w:tcW w:w="2610" w:type="dxa"/>
            <w:tcBorders>
              <w:top w:val="single" w:color="auto" w:sz="4" w:space="0"/>
              <w:left w:val="single" w:color="auto" w:sz="4" w:space="0"/>
              <w:bottom w:val="single" w:color="auto" w:sz="4" w:space="0"/>
              <w:right w:val="single" w:color="auto" w:sz="4" w:space="0"/>
            </w:tcBorders>
          </w:tcPr>
          <w:p w:rsidRPr="006A638A" w:rsidR="00AA2826" w:rsidRDefault="001D4BFD" w14:paraId="06B2CACD" w14:textId="77777777">
            <w:pPr>
              <w:rPr>
                <w:rFonts w:ascii="Times New Roman" w:hAnsi="Times New Roman"/>
                <w:sz w:val="20"/>
              </w:rPr>
            </w:pPr>
            <w:r w:rsidRPr="006A638A">
              <w:rPr>
                <w:rFonts w:ascii="Times New Roman" w:hAnsi="Times New Roman"/>
                <w:sz w:val="20"/>
              </w:rPr>
              <w:t>Submit progress reports.</w:t>
            </w:r>
          </w:p>
        </w:tc>
        <w:tc>
          <w:tcPr>
            <w:tcW w:w="1440" w:type="dxa"/>
            <w:tcBorders>
              <w:top w:val="single" w:color="auto" w:sz="4" w:space="0"/>
              <w:left w:val="single" w:color="auto" w:sz="4" w:space="0"/>
              <w:bottom w:val="single" w:color="auto" w:sz="4" w:space="0"/>
              <w:right w:val="single" w:color="auto" w:sz="4" w:space="0"/>
            </w:tcBorders>
          </w:tcPr>
          <w:p w:rsidRPr="006A638A" w:rsidR="00AA2826" w:rsidRDefault="00CA2470" w14:paraId="141AC436" w14:textId="77777777">
            <w:pPr>
              <w:rPr>
                <w:rFonts w:ascii="Times New Roman" w:hAnsi="Times New Roman"/>
                <w:sz w:val="20"/>
              </w:rPr>
            </w:pPr>
            <w:r w:rsidRPr="006A638A">
              <w:rPr>
                <w:rFonts w:ascii="Times New Roman" w:hAnsi="Times New Roman"/>
                <w:sz w:val="20"/>
              </w:rPr>
              <w:t>Reporting</w:t>
            </w:r>
          </w:p>
        </w:tc>
        <w:tc>
          <w:tcPr>
            <w:tcW w:w="1350" w:type="dxa"/>
            <w:tcBorders>
              <w:top w:val="single" w:color="auto" w:sz="4" w:space="0"/>
              <w:left w:val="single" w:color="auto" w:sz="4" w:space="0"/>
              <w:bottom w:val="single" w:color="auto" w:sz="4" w:space="0"/>
              <w:right w:val="single" w:color="auto" w:sz="4" w:space="0"/>
            </w:tcBorders>
          </w:tcPr>
          <w:p w:rsidRPr="006A638A" w:rsidR="00AA2826" w:rsidRDefault="00C1114D" w14:paraId="61E605C3" w14:textId="77777777">
            <w:pPr>
              <w:jc w:val="center"/>
              <w:rPr>
                <w:rFonts w:ascii="Times New Roman" w:hAnsi="Times New Roman"/>
                <w:sz w:val="20"/>
              </w:rPr>
            </w:pPr>
            <w:r>
              <w:rPr>
                <w:rFonts w:ascii="Times New Roman" w:hAnsi="Times New Roman"/>
                <w:sz w:val="20"/>
              </w:rPr>
              <w:t>13</w:t>
            </w:r>
          </w:p>
        </w:tc>
        <w:tc>
          <w:tcPr>
            <w:tcW w:w="1080" w:type="dxa"/>
            <w:tcBorders>
              <w:top w:val="single" w:color="auto" w:sz="4" w:space="0"/>
              <w:left w:val="single" w:color="auto" w:sz="4" w:space="0"/>
              <w:bottom w:val="single" w:color="auto" w:sz="4" w:space="0"/>
              <w:right w:val="single" w:color="auto" w:sz="4" w:space="0"/>
            </w:tcBorders>
          </w:tcPr>
          <w:p w:rsidRPr="006A638A" w:rsidR="00AA2826" w:rsidRDefault="00F8285A" w14:paraId="5077E1E1" w14:textId="38C350AE">
            <w:pPr>
              <w:jc w:val="center"/>
              <w:rPr>
                <w:rFonts w:ascii="Times New Roman" w:hAnsi="Times New Roman"/>
                <w:sz w:val="20"/>
              </w:rPr>
            </w:pPr>
            <w:r>
              <w:rPr>
                <w:rFonts w:ascii="Times New Roman" w:hAnsi="Times New Roman"/>
                <w:sz w:val="20"/>
              </w:rPr>
              <w:t>0.5</w:t>
            </w:r>
          </w:p>
        </w:tc>
        <w:tc>
          <w:tcPr>
            <w:tcW w:w="1260" w:type="dxa"/>
            <w:tcBorders>
              <w:top w:val="single" w:color="auto" w:sz="4" w:space="0"/>
              <w:left w:val="single" w:color="auto" w:sz="4" w:space="0"/>
              <w:bottom w:val="single" w:color="auto" w:sz="4" w:space="0"/>
              <w:right w:val="single" w:color="auto" w:sz="4" w:space="0"/>
            </w:tcBorders>
          </w:tcPr>
          <w:p w:rsidRPr="006A638A" w:rsidR="00AA2826" w:rsidRDefault="00CA2470" w14:paraId="22215EFD" w14:textId="77777777">
            <w:pPr>
              <w:jc w:val="center"/>
              <w:rPr>
                <w:rFonts w:ascii="Times New Roman" w:hAnsi="Times New Roman"/>
                <w:sz w:val="20"/>
              </w:rPr>
            </w:pPr>
            <w:r w:rsidRPr="006A638A">
              <w:rPr>
                <w:rFonts w:ascii="Times New Roman" w:hAnsi="Times New Roman"/>
                <w:sz w:val="20"/>
              </w:rPr>
              <w:t>4</w:t>
            </w:r>
          </w:p>
        </w:tc>
        <w:tc>
          <w:tcPr>
            <w:tcW w:w="990" w:type="dxa"/>
            <w:tcBorders>
              <w:top w:val="single" w:color="auto" w:sz="4" w:space="0"/>
              <w:left w:val="single" w:color="auto" w:sz="4" w:space="0"/>
              <w:bottom w:val="single" w:color="auto" w:sz="4" w:space="0"/>
              <w:right w:val="single" w:color="auto" w:sz="4" w:space="0"/>
            </w:tcBorders>
          </w:tcPr>
          <w:p w:rsidRPr="006A638A" w:rsidR="00AA2826" w:rsidRDefault="00F8285A" w14:paraId="7545D91D" w14:textId="026E5A5D">
            <w:pPr>
              <w:jc w:val="center"/>
              <w:rPr>
                <w:rFonts w:ascii="Times New Roman" w:hAnsi="Times New Roman"/>
                <w:sz w:val="20"/>
              </w:rPr>
            </w:pPr>
            <w:r>
              <w:rPr>
                <w:rFonts w:ascii="Times New Roman" w:hAnsi="Times New Roman"/>
                <w:sz w:val="20"/>
              </w:rPr>
              <w:t>26</w:t>
            </w:r>
          </w:p>
        </w:tc>
      </w:tr>
      <w:tr w:rsidRPr="00B44C7E" w:rsidR="00B70616" w:rsidTr="00BB6A89" w14:paraId="76B025E2" w14:textId="77777777">
        <w:tc>
          <w:tcPr>
            <w:tcW w:w="1710" w:type="dxa"/>
            <w:tcBorders>
              <w:top w:val="single" w:color="auto" w:sz="4" w:space="0"/>
              <w:left w:val="single" w:color="auto" w:sz="4" w:space="0"/>
              <w:bottom w:val="single" w:color="auto" w:sz="4" w:space="0"/>
              <w:right w:val="single" w:color="auto" w:sz="4" w:space="0"/>
            </w:tcBorders>
          </w:tcPr>
          <w:p w:rsidRPr="006A638A" w:rsidR="00B70616" w:rsidRDefault="00B70616" w14:paraId="0C7C00E6" w14:textId="77777777">
            <w:pPr>
              <w:rPr>
                <w:rFonts w:ascii="Times New Roman" w:hAnsi="Times New Roman"/>
                <w:sz w:val="20"/>
              </w:rPr>
            </w:pPr>
          </w:p>
        </w:tc>
        <w:tc>
          <w:tcPr>
            <w:tcW w:w="2610" w:type="dxa"/>
            <w:tcBorders>
              <w:top w:val="single" w:color="auto" w:sz="4" w:space="0"/>
              <w:left w:val="single" w:color="auto" w:sz="4" w:space="0"/>
              <w:bottom w:val="single" w:color="auto" w:sz="4" w:space="0"/>
              <w:right w:val="single" w:color="auto" w:sz="4" w:space="0"/>
            </w:tcBorders>
          </w:tcPr>
          <w:p w:rsidRPr="006A638A" w:rsidR="00B70616" w:rsidRDefault="00B70616" w14:paraId="0C3B3F57" w14:textId="77777777">
            <w:pPr>
              <w:rPr>
                <w:rFonts w:ascii="Times New Roman" w:hAnsi="Times New Roman"/>
                <w:sz w:val="20"/>
              </w:rPr>
            </w:pPr>
          </w:p>
        </w:tc>
        <w:tc>
          <w:tcPr>
            <w:tcW w:w="1440" w:type="dxa"/>
            <w:tcBorders>
              <w:top w:val="single" w:color="auto" w:sz="4" w:space="0"/>
              <w:left w:val="single" w:color="auto" w:sz="4" w:space="0"/>
              <w:bottom w:val="single" w:color="auto" w:sz="4" w:space="0"/>
              <w:right w:val="single" w:color="auto" w:sz="4" w:space="0"/>
            </w:tcBorders>
          </w:tcPr>
          <w:p w:rsidRPr="006A638A" w:rsidR="00B70616" w:rsidRDefault="00B70616" w14:paraId="57F9A088" w14:textId="77777777">
            <w:pPr>
              <w:rPr>
                <w:rFonts w:ascii="Times New Roman" w:hAnsi="Times New Roman"/>
                <w:sz w:val="20"/>
              </w:rPr>
            </w:pPr>
          </w:p>
        </w:tc>
        <w:tc>
          <w:tcPr>
            <w:tcW w:w="1350" w:type="dxa"/>
            <w:tcBorders>
              <w:top w:val="single" w:color="auto" w:sz="4" w:space="0"/>
              <w:left w:val="single" w:color="auto" w:sz="4" w:space="0"/>
              <w:bottom w:val="single" w:color="auto" w:sz="4" w:space="0"/>
              <w:right w:val="single" w:color="auto" w:sz="4" w:space="0"/>
            </w:tcBorders>
          </w:tcPr>
          <w:p w:rsidRPr="006A638A" w:rsidR="00B70616" w:rsidRDefault="00B70616" w14:paraId="1E905687" w14:textId="77777777">
            <w:pPr>
              <w:jc w:val="center"/>
              <w:rPr>
                <w:rFonts w:ascii="Times New Roman" w:hAnsi="Times New Roman"/>
                <w:sz w:val="20"/>
              </w:rPr>
            </w:pPr>
          </w:p>
        </w:tc>
        <w:tc>
          <w:tcPr>
            <w:tcW w:w="1080" w:type="dxa"/>
            <w:tcBorders>
              <w:top w:val="single" w:color="auto" w:sz="4" w:space="0"/>
              <w:left w:val="single" w:color="auto" w:sz="4" w:space="0"/>
              <w:bottom w:val="single" w:color="auto" w:sz="4" w:space="0"/>
              <w:right w:val="single" w:color="auto" w:sz="4" w:space="0"/>
            </w:tcBorders>
          </w:tcPr>
          <w:p w:rsidRPr="006A638A" w:rsidR="00B70616" w:rsidRDefault="00B70616" w14:paraId="225439B5" w14:textId="77777777">
            <w:pPr>
              <w:jc w:val="center"/>
              <w:rPr>
                <w:rFonts w:ascii="Times New Roman" w:hAnsi="Times New Roman"/>
                <w:sz w:val="20"/>
              </w:rPr>
            </w:pPr>
          </w:p>
        </w:tc>
        <w:tc>
          <w:tcPr>
            <w:tcW w:w="1260" w:type="dxa"/>
            <w:tcBorders>
              <w:top w:val="single" w:color="auto" w:sz="4" w:space="0"/>
              <w:left w:val="single" w:color="auto" w:sz="4" w:space="0"/>
              <w:bottom w:val="single" w:color="auto" w:sz="4" w:space="0"/>
              <w:right w:val="single" w:color="auto" w:sz="4" w:space="0"/>
            </w:tcBorders>
          </w:tcPr>
          <w:p w:rsidRPr="006A638A" w:rsidR="00B70616" w:rsidRDefault="00B70616" w14:paraId="1436A53B" w14:textId="77777777">
            <w:pPr>
              <w:jc w:val="center"/>
              <w:rPr>
                <w:rFonts w:ascii="Times New Roman" w:hAnsi="Times New Roman"/>
                <w:sz w:val="20"/>
              </w:rPr>
            </w:pPr>
          </w:p>
        </w:tc>
        <w:tc>
          <w:tcPr>
            <w:tcW w:w="990" w:type="dxa"/>
            <w:tcBorders>
              <w:top w:val="single" w:color="auto" w:sz="4" w:space="0"/>
              <w:left w:val="single" w:color="auto" w:sz="4" w:space="0"/>
              <w:bottom w:val="single" w:color="auto" w:sz="4" w:space="0"/>
              <w:right w:val="single" w:color="auto" w:sz="4" w:space="0"/>
            </w:tcBorders>
          </w:tcPr>
          <w:p w:rsidRPr="006A638A" w:rsidR="00B70616" w:rsidRDefault="00B70616" w14:paraId="0F6D7F0F" w14:textId="77777777">
            <w:pPr>
              <w:jc w:val="center"/>
              <w:rPr>
                <w:rFonts w:ascii="Times New Roman" w:hAnsi="Times New Roman"/>
                <w:sz w:val="20"/>
              </w:rPr>
            </w:pPr>
          </w:p>
        </w:tc>
      </w:tr>
      <w:tr w:rsidRPr="00B44C7E" w:rsidR="00B70616" w:rsidTr="00BB6A89" w14:paraId="77FD8F95" w14:textId="77777777">
        <w:tc>
          <w:tcPr>
            <w:tcW w:w="1710" w:type="dxa"/>
            <w:tcBorders>
              <w:top w:val="single" w:color="auto" w:sz="4" w:space="0"/>
              <w:left w:val="single" w:color="auto" w:sz="4" w:space="0"/>
              <w:bottom w:val="single" w:color="auto" w:sz="4" w:space="0"/>
              <w:right w:val="single" w:color="auto" w:sz="4" w:space="0"/>
            </w:tcBorders>
            <w:hideMark/>
          </w:tcPr>
          <w:p w:rsidR="00B70616" w:rsidRDefault="00B70616" w14:paraId="5EAA3B39" w14:textId="77777777">
            <w:pPr>
              <w:rPr>
                <w:rFonts w:ascii="Times New Roman" w:hAnsi="Times New Roman"/>
                <w:b/>
                <w:sz w:val="20"/>
              </w:rPr>
            </w:pPr>
            <w:r w:rsidRPr="006A638A">
              <w:rPr>
                <w:rFonts w:ascii="Times New Roman" w:hAnsi="Times New Roman"/>
                <w:b/>
                <w:sz w:val="20"/>
              </w:rPr>
              <w:t>Totals</w:t>
            </w:r>
          </w:p>
          <w:p w:rsidRPr="006A638A" w:rsidR="001B35CC" w:rsidRDefault="001B35CC" w14:paraId="43AED7BE" w14:textId="77777777">
            <w:pPr>
              <w:rPr>
                <w:rFonts w:ascii="Times New Roman" w:hAnsi="Times New Roman"/>
                <w:b/>
                <w:sz w:val="20"/>
              </w:rPr>
            </w:pPr>
          </w:p>
        </w:tc>
        <w:tc>
          <w:tcPr>
            <w:tcW w:w="2610" w:type="dxa"/>
            <w:tcBorders>
              <w:top w:val="single" w:color="auto" w:sz="4" w:space="0"/>
              <w:left w:val="single" w:color="auto" w:sz="4" w:space="0"/>
              <w:bottom w:val="single" w:color="auto" w:sz="4" w:space="0"/>
              <w:right w:val="single" w:color="auto" w:sz="4" w:space="0"/>
            </w:tcBorders>
          </w:tcPr>
          <w:p w:rsidRPr="006A638A" w:rsidR="00B70616" w:rsidRDefault="00B70616" w14:paraId="25976C4A" w14:textId="77777777">
            <w:pPr>
              <w:rPr>
                <w:rFonts w:ascii="Times New Roman" w:hAnsi="Times New Roman"/>
                <w:sz w:val="20"/>
              </w:rPr>
            </w:pPr>
          </w:p>
        </w:tc>
        <w:tc>
          <w:tcPr>
            <w:tcW w:w="1440" w:type="dxa"/>
            <w:tcBorders>
              <w:top w:val="single" w:color="auto" w:sz="4" w:space="0"/>
              <w:left w:val="single" w:color="auto" w:sz="4" w:space="0"/>
              <w:bottom w:val="single" w:color="auto" w:sz="4" w:space="0"/>
              <w:right w:val="single" w:color="auto" w:sz="4" w:space="0"/>
            </w:tcBorders>
          </w:tcPr>
          <w:p w:rsidRPr="006A638A" w:rsidR="00B70616" w:rsidRDefault="00B70616" w14:paraId="3D222BAC" w14:textId="77777777">
            <w:pPr>
              <w:rPr>
                <w:rFonts w:ascii="Times New Roman" w:hAnsi="Times New Roman"/>
                <w:sz w:val="20"/>
              </w:rPr>
            </w:pPr>
          </w:p>
        </w:tc>
        <w:tc>
          <w:tcPr>
            <w:tcW w:w="1350" w:type="dxa"/>
            <w:tcBorders>
              <w:top w:val="single" w:color="auto" w:sz="4" w:space="0"/>
              <w:left w:val="single" w:color="auto" w:sz="4" w:space="0"/>
              <w:bottom w:val="single" w:color="auto" w:sz="4" w:space="0"/>
              <w:right w:val="single" w:color="auto" w:sz="4" w:space="0"/>
            </w:tcBorders>
            <w:hideMark/>
          </w:tcPr>
          <w:p w:rsidRPr="006A638A" w:rsidR="00B70616" w:rsidRDefault="00C1114D" w14:paraId="62F248B0" w14:textId="77777777">
            <w:pPr>
              <w:jc w:val="center"/>
              <w:rPr>
                <w:rFonts w:ascii="Times New Roman" w:hAnsi="Times New Roman"/>
                <w:b/>
                <w:sz w:val="20"/>
              </w:rPr>
            </w:pPr>
            <w:r>
              <w:rPr>
                <w:rFonts w:ascii="Times New Roman" w:hAnsi="Times New Roman"/>
                <w:b/>
                <w:sz w:val="20"/>
              </w:rPr>
              <w:t>13</w:t>
            </w:r>
          </w:p>
        </w:tc>
        <w:tc>
          <w:tcPr>
            <w:tcW w:w="1080" w:type="dxa"/>
            <w:tcBorders>
              <w:top w:val="single" w:color="auto" w:sz="4" w:space="0"/>
              <w:left w:val="single" w:color="auto" w:sz="4" w:space="0"/>
              <w:bottom w:val="single" w:color="auto" w:sz="4" w:space="0"/>
              <w:right w:val="single" w:color="auto" w:sz="4" w:space="0"/>
            </w:tcBorders>
          </w:tcPr>
          <w:p w:rsidRPr="006A638A" w:rsidR="00B70616" w:rsidRDefault="00B70616" w14:paraId="03DB74AA" w14:textId="77777777">
            <w:pPr>
              <w:jc w:val="center"/>
              <w:rPr>
                <w:rFonts w:ascii="Times New Roman" w:hAnsi="Times New Roman"/>
                <w:b/>
                <w:sz w:val="20"/>
              </w:rPr>
            </w:pPr>
          </w:p>
        </w:tc>
        <w:tc>
          <w:tcPr>
            <w:tcW w:w="1260" w:type="dxa"/>
            <w:tcBorders>
              <w:top w:val="single" w:color="auto" w:sz="4" w:space="0"/>
              <w:left w:val="single" w:color="auto" w:sz="4" w:space="0"/>
              <w:bottom w:val="single" w:color="auto" w:sz="4" w:space="0"/>
              <w:right w:val="single" w:color="auto" w:sz="4" w:space="0"/>
            </w:tcBorders>
          </w:tcPr>
          <w:p w:rsidRPr="006A638A" w:rsidR="00B70616" w:rsidRDefault="00B70616" w14:paraId="15174061" w14:textId="77777777">
            <w:pPr>
              <w:jc w:val="center"/>
              <w:rPr>
                <w:rFonts w:ascii="Times New Roman" w:hAnsi="Times New Roman"/>
                <w:b/>
                <w:sz w:val="20"/>
              </w:rPr>
            </w:pPr>
          </w:p>
        </w:tc>
        <w:tc>
          <w:tcPr>
            <w:tcW w:w="990" w:type="dxa"/>
            <w:tcBorders>
              <w:top w:val="single" w:color="auto" w:sz="4" w:space="0"/>
              <w:left w:val="single" w:color="auto" w:sz="4" w:space="0"/>
              <w:bottom w:val="single" w:color="auto" w:sz="4" w:space="0"/>
              <w:right w:val="single" w:color="auto" w:sz="4" w:space="0"/>
            </w:tcBorders>
          </w:tcPr>
          <w:p w:rsidRPr="006A638A" w:rsidR="00B70616" w:rsidRDefault="00650196" w14:paraId="380D7991" w14:textId="0DD95C52">
            <w:pPr>
              <w:jc w:val="center"/>
              <w:rPr>
                <w:rFonts w:ascii="Times New Roman" w:hAnsi="Times New Roman"/>
                <w:b/>
                <w:sz w:val="20"/>
              </w:rPr>
            </w:pPr>
            <w:r>
              <w:rPr>
                <w:rFonts w:ascii="Times New Roman" w:hAnsi="Times New Roman"/>
                <w:b/>
                <w:sz w:val="20"/>
              </w:rPr>
              <w:t>3,230.5</w:t>
            </w:r>
          </w:p>
        </w:tc>
      </w:tr>
    </w:tbl>
    <w:p w:rsidRPr="00B44C7E" w:rsidR="00B70616" w:rsidP="00B70616" w:rsidRDefault="00B70616" w14:paraId="557A3426" w14:textId="77777777">
      <w:pPr>
        <w:rPr>
          <w:rFonts w:ascii="Times New Roman" w:hAnsi="Times New Roman"/>
          <w:szCs w:val="24"/>
        </w:rPr>
      </w:pPr>
    </w:p>
    <w:p w:rsidRPr="00B44C7E" w:rsidR="00B54451" w:rsidP="00FE64CB" w:rsidRDefault="00B54451" w14:paraId="4C2F7ABC" w14:textId="77777777">
      <w:pPr>
        <w:rPr>
          <w:rFonts w:ascii="Times New Roman" w:hAnsi="Times New Roman"/>
          <w:b/>
          <w:szCs w:val="24"/>
        </w:rPr>
      </w:pPr>
    </w:p>
    <w:p w:rsidRPr="00B44C7E" w:rsidR="00B54451" w:rsidP="00FE64CB" w:rsidRDefault="00B54451" w14:paraId="54844B79" w14:textId="77777777">
      <w:pPr>
        <w:rPr>
          <w:rFonts w:ascii="Times New Roman" w:hAnsi="Times New Roman"/>
          <w:b/>
          <w:szCs w:val="24"/>
        </w:rPr>
      </w:pPr>
    </w:p>
    <w:p w:rsidRPr="00B44C7E" w:rsidR="00943509" w:rsidP="00FE64CB" w:rsidRDefault="00943509" w14:paraId="72503E3D" w14:textId="77777777">
      <w:pPr>
        <w:rPr>
          <w:rFonts w:ascii="Times New Roman" w:hAnsi="Times New Roman"/>
          <w:b/>
          <w:szCs w:val="24"/>
        </w:rPr>
      </w:pPr>
      <w:r w:rsidRPr="00B44C7E">
        <w:rPr>
          <w:rFonts w:ascii="Times New Roman" w:hAnsi="Times New Roman"/>
          <w:b/>
          <w:szCs w:val="24"/>
        </w:rPr>
        <w:t>Cost of Hour Burden:</w:t>
      </w:r>
    </w:p>
    <w:p w:rsidRPr="00B44C7E" w:rsidR="00943509" w:rsidP="00FE64CB" w:rsidRDefault="00943509" w14:paraId="0B70AFD6" w14:textId="77777777">
      <w:pPr>
        <w:rPr>
          <w:rFonts w:ascii="Times New Roman" w:hAnsi="Times New Roman"/>
          <w:b/>
          <w:szCs w:val="24"/>
        </w:rPr>
      </w:pPr>
    </w:p>
    <w:p w:rsidRPr="00B44C7E" w:rsidR="00943509" w:rsidP="00FE64CB" w:rsidRDefault="00650196" w14:paraId="7D165A03" w14:textId="0506D96B">
      <w:pPr>
        <w:rPr>
          <w:rFonts w:ascii="Times New Roman" w:hAnsi="Times New Roman"/>
          <w:b/>
          <w:szCs w:val="24"/>
        </w:rPr>
      </w:pPr>
      <w:r>
        <w:rPr>
          <w:rFonts w:ascii="Times New Roman" w:hAnsi="Times New Roman"/>
          <w:b/>
          <w:szCs w:val="24"/>
        </w:rPr>
        <w:t>3,230.5</w:t>
      </w:r>
      <w:r w:rsidRPr="00B44C7E" w:rsidR="00525034">
        <w:rPr>
          <w:rFonts w:ascii="Times New Roman" w:hAnsi="Times New Roman"/>
          <w:b/>
          <w:szCs w:val="24"/>
        </w:rPr>
        <w:t xml:space="preserve"> hours x $</w:t>
      </w:r>
      <w:r w:rsidRPr="00B44C7E" w:rsidR="00045FD2">
        <w:rPr>
          <w:rFonts w:ascii="Times New Roman" w:hAnsi="Times New Roman"/>
          <w:b/>
          <w:szCs w:val="24"/>
        </w:rPr>
        <w:t>115.19</w:t>
      </w:r>
      <w:r w:rsidRPr="00B44C7E" w:rsidR="00943509">
        <w:rPr>
          <w:rFonts w:ascii="Times New Roman" w:hAnsi="Times New Roman"/>
          <w:b/>
          <w:szCs w:val="24"/>
        </w:rPr>
        <w:t xml:space="preserve"> = </w:t>
      </w:r>
      <w:r w:rsidRPr="00B44C7E" w:rsidR="001E7468">
        <w:rPr>
          <w:rFonts w:ascii="Times New Roman" w:hAnsi="Times New Roman"/>
          <w:b/>
          <w:szCs w:val="24"/>
        </w:rPr>
        <w:t>$</w:t>
      </w:r>
      <w:r>
        <w:rPr>
          <w:rFonts w:ascii="Times New Roman" w:hAnsi="Times New Roman"/>
          <w:b/>
          <w:szCs w:val="24"/>
        </w:rPr>
        <w:t>6,199.44</w:t>
      </w:r>
    </w:p>
    <w:p w:rsidRPr="00B44C7E" w:rsidR="00943509" w:rsidP="00FE64CB" w:rsidRDefault="00943509" w14:paraId="5D882AE9" w14:textId="77777777">
      <w:pPr>
        <w:rPr>
          <w:rFonts w:ascii="Times New Roman" w:hAnsi="Times New Roman"/>
          <w:szCs w:val="24"/>
        </w:rPr>
      </w:pPr>
    </w:p>
    <w:p w:rsidRPr="00B44C7E" w:rsidR="00045FD2" w:rsidP="00045FD2" w:rsidRDefault="00045FD2" w14:paraId="4BE3165E" w14:textId="77777777">
      <w:pPr>
        <w:rPr>
          <w:rFonts w:ascii="Times New Roman" w:hAnsi="Times New Roman"/>
          <w:szCs w:val="24"/>
        </w:rPr>
      </w:pPr>
      <w:r w:rsidRPr="00B44C7E">
        <w:rPr>
          <w:rFonts w:ascii="Times New Roman" w:hAnsi="Times New Roman"/>
          <w:color w:val="000000"/>
          <w:szCs w:val="24"/>
        </w:rPr>
        <w:t xml:space="preserve">To estimate wages the OCC reviewed May 2019 data for wages (by industry and occupation) from the U.S. Bureau of Labor Statistics (BLS) for credit intermediation and related activities excluding </w:t>
      </w:r>
      <w:proofErr w:type="spellStart"/>
      <w:r w:rsidRPr="00B44C7E">
        <w:rPr>
          <w:rFonts w:ascii="Times New Roman" w:hAnsi="Times New Roman"/>
          <w:color w:val="000000"/>
          <w:szCs w:val="24"/>
        </w:rPr>
        <w:t>nondepository</w:t>
      </w:r>
      <w:proofErr w:type="spellEnd"/>
      <w:r w:rsidRPr="00B44C7E">
        <w:rPr>
          <w:rFonts w:ascii="Times New Roman" w:hAnsi="Times New Roman"/>
          <w:color w:val="000000"/>
          <w:szCs w:val="24"/>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00FE64CB" w:rsidP="00405AA6" w:rsidRDefault="00FE64CB" w14:paraId="61DDF94D" w14:textId="72CF855B">
      <w:pPr>
        <w:tabs>
          <w:tab w:val="left" w:pos="-1440"/>
        </w:tabs>
        <w:outlineLvl w:val="0"/>
        <w:rPr>
          <w:rFonts w:ascii="Times New Roman" w:hAnsi="Times New Roman"/>
          <w:szCs w:val="24"/>
        </w:rPr>
      </w:pPr>
    </w:p>
    <w:p w:rsidR="00650196" w:rsidP="00405AA6" w:rsidRDefault="00650196" w14:paraId="1E3BE9B3" w14:textId="7B813265">
      <w:pPr>
        <w:tabs>
          <w:tab w:val="left" w:pos="-1440"/>
        </w:tabs>
        <w:outlineLvl w:val="0"/>
        <w:rPr>
          <w:rFonts w:ascii="Times New Roman" w:hAnsi="Times New Roman"/>
          <w:szCs w:val="24"/>
        </w:rPr>
      </w:pPr>
    </w:p>
    <w:p w:rsidRPr="00B44C7E" w:rsidR="00650196" w:rsidP="00405AA6" w:rsidRDefault="00650196" w14:paraId="267739A4" w14:textId="77777777">
      <w:pPr>
        <w:tabs>
          <w:tab w:val="left" w:pos="-1440"/>
        </w:tabs>
        <w:outlineLvl w:val="0"/>
        <w:rPr>
          <w:rFonts w:ascii="Times New Roman" w:hAnsi="Times New Roman"/>
          <w:szCs w:val="24"/>
        </w:rPr>
      </w:pPr>
    </w:p>
    <w:p w:rsidRPr="00B44C7E" w:rsidR="00811EF2" w:rsidP="00405AA6" w:rsidRDefault="00811EF2" w14:paraId="1BB1E10E" w14:textId="77777777">
      <w:pPr>
        <w:tabs>
          <w:tab w:val="left" w:pos="-1440"/>
        </w:tabs>
        <w:outlineLvl w:val="0"/>
        <w:rPr>
          <w:rFonts w:ascii="Times New Roman" w:hAnsi="Times New Roman"/>
          <w:b/>
          <w:i/>
          <w:szCs w:val="24"/>
        </w:rPr>
      </w:pPr>
      <w:r w:rsidRPr="00B44C7E">
        <w:rPr>
          <w:rFonts w:ascii="Times New Roman" w:hAnsi="Times New Roman"/>
          <w:b/>
          <w:i/>
          <w:szCs w:val="24"/>
        </w:rPr>
        <w:lastRenderedPageBreak/>
        <w:t>13. Estimate of annualized costs to respondents:</w:t>
      </w:r>
    </w:p>
    <w:p w:rsidRPr="00B44C7E" w:rsidR="00811EF2" w:rsidP="00405AA6" w:rsidRDefault="00811EF2" w14:paraId="1213A703" w14:textId="77777777">
      <w:pPr>
        <w:rPr>
          <w:rFonts w:ascii="Times New Roman" w:hAnsi="Times New Roman"/>
          <w:szCs w:val="24"/>
        </w:rPr>
      </w:pPr>
    </w:p>
    <w:p w:rsidRPr="00B44C7E" w:rsidR="00B05073" w:rsidP="00405AA6" w:rsidRDefault="00060031" w14:paraId="16FAD829" w14:textId="77777777">
      <w:pPr>
        <w:rPr>
          <w:rFonts w:ascii="Times New Roman" w:hAnsi="Times New Roman"/>
          <w:szCs w:val="24"/>
        </w:rPr>
      </w:pPr>
      <w:r w:rsidRPr="00B44C7E">
        <w:rPr>
          <w:rFonts w:ascii="Times New Roman" w:hAnsi="Times New Roman"/>
          <w:szCs w:val="24"/>
        </w:rPr>
        <w:tab/>
      </w:r>
      <w:r w:rsidRPr="00B44C7E" w:rsidR="00B05073">
        <w:rPr>
          <w:rFonts w:ascii="Times New Roman" w:hAnsi="Times New Roman"/>
          <w:szCs w:val="24"/>
        </w:rPr>
        <w:t>There are no capital or start-up costs associated with this collection.  In addition, there are no system and technology acquisition or operation and maintenance costs.</w:t>
      </w:r>
    </w:p>
    <w:p w:rsidRPr="00B44C7E" w:rsidR="00F1577C" w:rsidP="00405AA6" w:rsidRDefault="00F1577C" w14:paraId="30436DF8" w14:textId="77777777">
      <w:pPr>
        <w:rPr>
          <w:rFonts w:ascii="Times New Roman" w:hAnsi="Times New Roman"/>
          <w:szCs w:val="24"/>
        </w:rPr>
      </w:pPr>
    </w:p>
    <w:p w:rsidRPr="00B44C7E" w:rsidR="00811EF2" w:rsidP="00405AA6" w:rsidRDefault="00811EF2" w14:paraId="25DE8B1A" w14:textId="77777777">
      <w:pPr>
        <w:outlineLvl w:val="0"/>
        <w:rPr>
          <w:rFonts w:ascii="Times New Roman" w:hAnsi="Times New Roman"/>
          <w:b/>
          <w:i/>
          <w:szCs w:val="24"/>
        </w:rPr>
      </w:pPr>
      <w:r w:rsidRPr="00B44C7E">
        <w:rPr>
          <w:rFonts w:ascii="Times New Roman" w:hAnsi="Times New Roman"/>
          <w:b/>
          <w:i/>
          <w:szCs w:val="24"/>
        </w:rPr>
        <w:t>14. Estimate of annualized costs to the government:</w:t>
      </w:r>
    </w:p>
    <w:p w:rsidRPr="00B44C7E" w:rsidR="00811EF2" w:rsidP="00405AA6" w:rsidRDefault="00811EF2" w14:paraId="658B2D46" w14:textId="77777777">
      <w:pPr>
        <w:rPr>
          <w:rFonts w:ascii="Times New Roman" w:hAnsi="Times New Roman"/>
          <w:szCs w:val="24"/>
        </w:rPr>
      </w:pPr>
    </w:p>
    <w:p w:rsidRPr="00B44C7E" w:rsidR="00811EF2" w:rsidP="00405AA6" w:rsidRDefault="00060031" w14:paraId="2754C58D" w14:textId="77777777">
      <w:pPr>
        <w:outlineLvl w:val="0"/>
        <w:rPr>
          <w:rFonts w:ascii="Times New Roman" w:hAnsi="Times New Roman"/>
          <w:szCs w:val="24"/>
        </w:rPr>
      </w:pPr>
      <w:r w:rsidRPr="00B44C7E">
        <w:rPr>
          <w:rFonts w:ascii="Times New Roman" w:hAnsi="Times New Roman"/>
          <w:szCs w:val="24"/>
        </w:rPr>
        <w:tab/>
      </w:r>
      <w:r w:rsidRPr="00B44C7E" w:rsidR="00B05073">
        <w:rPr>
          <w:rFonts w:ascii="Times New Roman" w:hAnsi="Times New Roman"/>
          <w:szCs w:val="24"/>
        </w:rPr>
        <w:t>None.</w:t>
      </w:r>
    </w:p>
    <w:p w:rsidRPr="00B44C7E" w:rsidR="003116B5" w:rsidP="0065571F" w:rsidRDefault="00811EF2" w14:paraId="7A2B7402" w14:textId="77777777">
      <w:pPr>
        <w:rPr>
          <w:rFonts w:ascii="Times New Roman" w:hAnsi="Times New Roman"/>
          <w:b/>
          <w:i/>
          <w:szCs w:val="24"/>
        </w:rPr>
      </w:pPr>
      <w:r w:rsidRPr="00B44C7E">
        <w:rPr>
          <w:rFonts w:ascii="Times New Roman" w:hAnsi="Times New Roman"/>
          <w:szCs w:val="24"/>
        </w:rPr>
        <w:t xml:space="preserve"> </w:t>
      </w:r>
    </w:p>
    <w:p w:rsidRPr="00B44C7E" w:rsidR="00811EF2" w:rsidP="00405AA6" w:rsidRDefault="00811EF2" w14:paraId="700E5CFF" w14:textId="77777777">
      <w:pPr>
        <w:tabs>
          <w:tab w:val="left" w:pos="-1440"/>
        </w:tabs>
        <w:outlineLvl w:val="0"/>
        <w:rPr>
          <w:rFonts w:ascii="Times New Roman" w:hAnsi="Times New Roman"/>
          <w:b/>
          <w:i/>
          <w:szCs w:val="24"/>
        </w:rPr>
      </w:pPr>
      <w:r w:rsidRPr="00B44C7E">
        <w:rPr>
          <w:rFonts w:ascii="Times New Roman" w:hAnsi="Times New Roman"/>
          <w:b/>
          <w:i/>
          <w:szCs w:val="24"/>
        </w:rPr>
        <w:t>15. Changes in burden:</w:t>
      </w:r>
    </w:p>
    <w:p w:rsidRPr="00B44C7E" w:rsidR="00811EF2" w:rsidP="00405AA6" w:rsidRDefault="00811EF2" w14:paraId="72128E9B" w14:textId="77777777">
      <w:pPr>
        <w:rPr>
          <w:rFonts w:ascii="Times New Roman" w:hAnsi="Times New Roman"/>
          <w:szCs w:val="24"/>
        </w:rPr>
      </w:pPr>
    </w:p>
    <w:p w:rsidRPr="00B44C7E" w:rsidR="00811EF2" w:rsidP="00405AA6" w:rsidRDefault="00060031" w14:paraId="4CF5C6C5" w14:textId="77777777">
      <w:pPr>
        <w:rPr>
          <w:rFonts w:ascii="Times New Roman" w:hAnsi="Times New Roman"/>
          <w:szCs w:val="24"/>
        </w:rPr>
      </w:pPr>
      <w:r w:rsidRPr="00B44C7E">
        <w:rPr>
          <w:rFonts w:ascii="Times New Roman" w:hAnsi="Times New Roman"/>
          <w:szCs w:val="24"/>
        </w:rPr>
        <w:tab/>
      </w:r>
      <w:r w:rsidRPr="00B44C7E" w:rsidR="00D66887">
        <w:rPr>
          <w:rFonts w:ascii="Times New Roman" w:hAnsi="Times New Roman"/>
          <w:szCs w:val="24"/>
        </w:rPr>
        <w:t>Current Burden:</w:t>
      </w:r>
      <w:r w:rsidRPr="00B44C7E" w:rsidR="002C42FB">
        <w:rPr>
          <w:rFonts w:ascii="Times New Roman" w:hAnsi="Times New Roman"/>
          <w:szCs w:val="24"/>
        </w:rPr>
        <w:t xml:space="preserve">  </w:t>
      </w:r>
      <w:r w:rsidR="00E14269">
        <w:rPr>
          <w:rFonts w:ascii="Times New Roman" w:hAnsi="Times New Roman"/>
          <w:szCs w:val="24"/>
        </w:rPr>
        <w:t>4,911.5</w:t>
      </w:r>
      <w:r w:rsidRPr="00B44C7E" w:rsidR="003116B5">
        <w:rPr>
          <w:rFonts w:ascii="Times New Roman" w:hAnsi="Times New Roman"/>
          <w:szCs w:val="24"/>
        </w:rPr>
        <w:t xml:space="preserve"> hours.</w:t>
      </w:r>
    </w:p>
    <w:p w:rsidRPr="00B44C7E" w:rsidR="00D66887" w:rsidP="00405AA6" w:rsidRDefault="00D66887" w14:paraId="0BD75427" w14:textId="21B0D52B">
      <w:pPr>
        <w:rPr>
          <w:rFonts w:ascii="Times New Roman" w:hAnsi="Times New Roman"/>
          <w:szCs w:val="24"/>
        </w:rPr>
      </w:pPr>
      <w:r w:rsidRPr="00B44C7E">
        <w:rPr>
          <w:rFonts w:ascii="Times New Roman" w:hAnsi="Times New Roman"/>
          <w:szCs w:val="24"/>
        </w:rPr>
        <w:tab/>
        <w:t>Proposed Burden:</w:t>
      </w:r>
      <w:r w:rsidRPr="00B44C7E" w:rsidR="002C42FB">
        <w:rPr>
          <w:rFonts w:ascii="Times New Roman" w:hAnsi="Times New Roman"/>
          <w:szCs w:val="24"/>
        </w:rPr>
        <w:t xml:space="preserve"> </w:t>
      </w:r>
      <w:r w:rsidR="00650196">
        <w:rPr>
          <w:rFonts w:ascii="Times New Roman" w:hAnsi="Times New Roman"/>
          <w:szCs w:val="24"/>
        </w:rPr>
        <w:t>3,230.5</w:t>
      </w:r>
      <w:r w:rsidRPr="00B44C7E" w:rsidR="003116B5">
        <w:rPr>
          <w:rFonts w:ascii="Times New Roman" w:hAnsi="Times New Roman"/>
          <w:szCs w:val="24"/>
        </w:rPr>
        <w:t xml:space="preserve"> hours.</w:t>
      </w:r>
    </w:p>
    <w:p w:rsidR="00F10A8F" w:rsidP="00405AA6" w:rsidRDefault="00D66887" w14:paraId="5EC414D0" w14:textId="61D174FE">
      <w:pPr>
        <w:rPr>
          <w:rFonts w:ascii="Times New Roman" w:hAnsi="Times New Roman"/>
          <w:szCs w:val="24"/>
        </w:rPr>
      </w:pPr>
      <w:r w:rsidRPr="00B44C7E">
        <w:rPr>
          <w:rFonts w:ascii="Times New Roman" w:hAnsi="Times New Roman"/>
          <w:szCs w:val="24"/>
        </w:rPr>
        <w:tab/>
        <w:t>Difference:</w:t>
      </w:r>
      <w:r w:rsidRPr="00B44C7E" w:rsidR="003116B5">
        <w:rPr>
          <w:rFonts w:ascii="Times New Roman" w:hAnsi="Times New Roman"/>
          <w:szCs w:val="24"/>
        </w:rPr>
        <w:t xml:space="preserve"> </w:t>
      </w:r>
      <w:r w:rsidR="00650196">
        <w:rPr>
          <w:rFonts w:ascii="Times New Roman" w:hAnsi="Times New Roman"/>
          <w:szCs w:val="24"/>
        </w:rPr>
        <w:t>- 1,681</w:t>
      </w:r>
      <w:bookmarkStart w:name="_GoBack" w:id="0"/>
      <w:bookmarkEnd w:id="0"/>
      <w:r w:rsidRPr="00B44C7E" w:rsidR="003116B5">
        <w:rPr>
          <w:rFonts w:ascii="Times New Roman" w:hAnsi="Times New Roman"/>
          <w:szCs w:val="24"/>
        </w:rPr>
        <w:t xml:space="preserve"> hours.</w:t>
      </w:r>
      <w:r w:rsidRPr="00B44C7E" w:rsidR="002C42FB">
        <w:rPr>
          <w:rFonts w:ascii="Times New Roman" w:hAnsi="Times New Roman"/>
          <w:szCs w:val="24"/>
        </w:rPr>
        <w:t xml:space="preserve"> </w:t>
      </w:r>
    </w:p>
    <w:p w:rsidR="006C6043" w:rsidP="00405AA6" w:rsidRDefault="006C6043" w14:paraId="235F55B1" w14:textId="77777777">
      <w:pPr>
        <w:rPr>
          <w:rFonts w:ascii="Times New Roman" w:hAnsi="Times New Roman"/>
          <w:szCs w:val="24"/>
        </w:rPr>
      </w:pPr>
    </w:p>
    <w:p w:rsidRPr="00B44C7E" w:rsidR="006C6043" w:rsidP="00405AA6" w:rsidRDefault="006C6043" w14:paraId="1B6730E2" w14:textId="59D7A617">
      <w:pPr>
        <w:rPr>
          <w:rFonts w:ascii="Times New Roman" w:hAnsi="Times New Roman"/>
          <w:szCs w:val="24"/>
        </w:rPr>
      </w:pPr>
      <w:r>
        <w:rPr>
          <w:rFonts w:ascii="Times New Roman" w:hAnsi="Times New Roman"/>
          <w:szCs w:val="24"/>
        </w:rPr>
        <w:t xml:space="preserve">The </w:t>
      </w:r>
      <w:r w:rsidR="00A22017">
        <w:rPr>
          <w:rFonts w:ascii="Times New Roman" w:hAnsi="Times New Roman"/>
          <w:szCs w:val="24"/>
        </w:rPr>
        <w:t>in</w:t>
      </w:r>
      <w:r>
        <w:rPr>
          <w:rFonts w:ascii="Times New Roman" w:hAnsi="Times New Roman"/>
          <w:szCs w:val="24"/>
        </w:rPr>
        <w:t xml:space="preserve">crease in burden is due to the </w:t>
      </w:r>
      <w:r w:rsidR="00A22017">
        <w:rPr>
          <w:rFonts w:ascii="Times New Roman" w:hAnsi="Times New Roman"/>
          <w:szCs w:val="24"/>
        </w:rPr>
        <w:t>change in regulations</w:t>
      </w:r>
      <w:r>
        <w:rPr>
          <w:rFonts w:ascii="Times New Roman" w:hAnsi="Times New Roman"/>
          <w:szCs w:val="24"/>
        </w:rPr>
        <w:t>.</w:t>
      </w:r>
    </w:p>
    <w:p w:rsidRPr="00B44C7E" w:rsidR="003116B5" w:rsidP="00405AA6" w:rsidRDefault="003116B5" w14:paraId="60CB0FD0" w14:textId="77777777">
      <w:pPr>
        <w:rPr>
          <w:rFonts w:ascii="Times New Roman" w:hAnsi="Times New Roman"/>
          <w:szCs w:val="24"/>
        </w:rPr>
      </w:pPr>
    </w:p>
    <w:p w:rsidRPr="00B44C7E" w:rsidR="001C14C9" w:rsidP="00405AA6" w:rsidRDefault="00811EF2" w14:paraId="692A83DD" w14:textId="77777777">
      <w:pPr>
        <w:tabs>
          <w:tab w:val="left" w:pos="-1440"/>
        </w:tabs>
        <w:outlineLvl w:val="0"/>
        <w:rPr>
          <w:rFonts w:ascii="Times New Roman" w:hAnsi="Times New Roman"/>
          <w:b/>
          <w:i/>
          <w:szCs w:val="24"/>
        </w:rPr>
      </w:pPr>
      <w:r w:rsidRPr="00B44C7E">
        <w:rPr>
          <w:rFonts w:ascii="Times New Roman" w:hAnsi="Times New Roman"/>
          <w:b/>
          <w:i/>
          <w:szCs w:val="24"/>
        </w:rPr>
        <w:t xml:space="preserve">16. Information regarding collections whose results are planned to be published for statistical </w:t>
      </w:r>
    </w:p>
    <w:p w:rsidRPr="00B44C7E" w:rsidR="00811EF2" w:rsidP="00405AA6" w:rsidRDefault="00811EF2" w14:paraId="1F11A54E" w14:textId="77777777">
      <w:pPr>
        <w:tabs>
          <w:tab w:val="left" w:pos="-1440"/>
        </w:tabs>
        <w:rPr>
          <w:rFonts w:ascii="Times New Roman" w:hAnsi="Times New Roman"/>
          <w:b/>
          <w:i/>
          <w:szCs w:val="24"/>
        </w:rPr>
      </w:pPr>
      <w:r w:rsidRPr="00B44C7E">
        <w:rPr>
          <w:rFonts w:ascii="Times New Roman" w:hAnsi="Times New Roman"/>
          <w:b/>
          <w:i/>
          <w:szCs w:val="24"/>
        </w:rPr>
        <w:t>use:</w:t>
      </w:r>
    </w:p>
    <w:p w:rsidRPr="00B44C7E" w:rsidR="00811EF2" w:rsidP="00405AA6" w:rsidRDefault="00811EF2" w14:paraId="02FF6A05" w14:textId="77777777">
      <w:pPr>
        <w:rPr>
          <w:rFonts w:ascii="Times New Roman" w:hAnsi="Times New Roman"/>
          <w:szCs w:val="24"/>
        </w:rPr>
      </w:pPr>
    </w:p>
    <w:p w:rsidRPr="00B44C7E" w:rsidR="00811EF2" w:rsidP="00405AA6" w:rsidRDefault="00060031" w14:paraId="1B92FCA3" w14:textId="77777777">
      <w:pPr>
        <w:outlineLvl w:val="0"/>
        <w:rPr>
          <w:rFonts w:ascii="Times New Roman" w:hAnsi="Times New Roman"/>
          <w:szCs w:val="24"/>
        </w:rPr>
      </w:pPr>
      <w:r w:rsidRPr="00B44C7E">
        <w:rPr>
          <w:rFonts w:ascii="Times New Roman" w:hAnsi="Times New Roman"/>
          <w:szCs w:val="24"/>
        </w:rPr>
        <w:tab/>
      </w:r>
      <w:r w:rsidRPr="00B44C7E" w:rsidR="00811EF2">
        <w:rPr>
          <w:rFonts w:ascii="Times New Roman" w:hAnsi="Times New Roman"/>
          <w:szCs w:val="24"/>
        </w:rPr>
        <w:t>No publication for statistical use is contemplated.</w:t>
      </w:r>
    </w:p>
    <w:p w:rsidRPr="00B44C7E" w:rsidR="00060031" w:rsidP="00405AA6" w:rsidRDefault="00060031" w14:paraId="70F2C33E" w14:textId="77777777">
      <w:pPr>
        <w:outlineLvl w:val="0"/>
        <w:rPr>
          <w:rFonts w:ascii="Times New Roman" w:hAnsi="Times New Roman"/>
          <w:szCs w:val="24"/>
        </w:rPr>
      </w:pPr>
    </w:p>
    <w:p w:rsidRPr="00B44C7E" w:rsidR="00811EF2" w:rsidP="00405AA6" w:rsidRDefault="00811EF2" w14:paraId="2C39240D" w14:textId="77777777">
      <w:pPr>
        <w:outlineLvl w:val="0"/>
        <w:rPr>
          <w:rFonts w:ascii="Times New Roman" w:hAnsi="Times New Roman"/>
          <w:b/>
          <w:i/>
          <w:szCs w:val="24"/>
        </w:rPr>
      </w:pPr>
      <w:r w:rsidRPr="00B44C7E">
        <w:rPr>
          <w:rFonts w:ascii="Times New Roman" w:hAnsi="Times New Roman"/>
          <w:b/>
          <w:i/>
          <w:szCs w:val="24"/>
        </w:rPr>
        <w:t>17. Display of expiration date:</w:t>
      </w:r>
    </w:p>
    <w:p w:rsidRPr="00B44C7E" w:rsidR="00811EF2" w:rsidP="00405AA6" w:rsidRDefault="00811EF2" w14:paraId="2728CA62" w14:textId="77777777">
      <w:pPr>
        <w:rPr>
          <w:rFonts w:ascii="Times New Roman" w:hAnsi="Times New Roman"/>
          <w:szCs w:val="24"/>
        </w:rPr>
      </w:pPr>
    </w:p>
    <w:p w:rsidRPr="00B44C7E" w:rsidR="00811EF2" w:rsidP="00405AA6" w:rsidRDefault="00060031" w14:paraId="62E8EC43" w14:textId="77777777">
      <w:pPr>
        <w:outlineLvl w:val="0"/>
        <w:rPr>
          <w:rFonts w:ascii="Times New Roman" w:hAnsi="Times New Roman"/>
          <w:szCs w:val="24"/>
        </w:rPr>
      </w:pPr>
      <w:r w:rsidRPr="00B44C7E">
        <w:rPr>
          <w:rFonts w:ascii="Times New Roman" w:hAnsi="Times New Roman"/>
          <w:szCs w:val="24"/>
        </w:rPr>
        <w:tab/>
      </w:r>
      <w:r w:rsidRPr="00B44C7E" w:rsidR="00811EF2">
        <w:rPr>
          <w:rFonts w:ascii="Times New Roman" w:hAnsi="Times New Roman"/>
          <w:szCs w:val="24"/>
        </w:rPr>
        <w:t>Not applicable.</w:t>
      </w:r>
    </w:p>
    <w:p w:rsidRPr="00B44C7E" w:rsidR="00811EF2" w:rsidP="00405AA6" w:rsidRDefault="00811EF2" w14:paraId="1CBCBE4D" w14:textId="77777777">
      <w:pPr>
        <w:rPr>
          <w:rFonts w:ascii="Times New Roman" w:hAnsi="Times New Roman"/>
          <w:szCs w:val="24"/>
        </w:rPr>
      </w:pPr>
    </w:p>
    <w:p w:rsidRPr="00B44C7E" w:rsidR="00811EF2" w:rsidP="00405AA6" w:rsidRDefault="00811EF2" w14:paraId="0FDD6266" w14:textId="77777777">
      <w:pPr>
        <w:outlineLvl w:val="0"/>
        <w:rPr>
          <w:rFonts w:ascii="Times New Roman" w:hAnsi="Times New Roman"/>
          <w:b/>
          <w:i/>
          <w:szCs w:val="24"/>
        </w:rPr>
      </w:pPr>
      <w:r w:rsidRPr="00B44C7E">
        <w:rPr>
          <w:rFonts w:ascii="Times New Roman" w:hAnsi="Times New Roman"/>
          <w:b/>
          <w:i/>
          <w:szCs w:val="24"/>
        </w:rPr>
        <w:t>18. Exceptions to certification statement:</w:t>
      </w:r>
    </w:p>
    <w:p w:rsidRPr="00B44C7E" w:rsidR="00811EF2" w:rsidP="00405AA6" w:rsidRDefault="00811EF2" w14:paraId="3B148F0A" w14:textId="77777777">
      <w:pPr>
        <w:rPr>
          <w:rFonts w:ascii="Times New Roman" w:hAnsi="Times New Roman"/>
          <w:szCs w:val="24"/>
        </w:rPr>
      </w:pPr>
    </w:p>
    <w:p w:rsidRPr="00B44C7E" w:rsidR="00811EF2" w:rsidP="00405AA6" w:rsidRDefault="00060031" w14:paraId="1EC03E03" w14:textId="77777777">
      <w:pPr>
        <w:outlineLvl w:val="0"/>
        <w:rPr>
          <w:rFonts w:ascii="Times New Roman" w:hAnsi="Times New Roman"/>
          <w:szCs w:val="24"/>
        </w:rPr>
      </w:pPr>
      <w:r w:rsidRPr="00B44C7E">
        <w:rPr>
          <w:rFonts w:ascii="Times New Roman" w:hAnsi="Times New Roman"/>
          <w:szCs w:val="24"/>
        </w:rPr>
        <w:tab/>
      </w:r>
      <w:r w:rsidRPr="00B44C7E" w:rsidR="00811EF2">
        <w:rPr>
          <w:rFonts w:ascii="Times New Roman" w:hAnsi="Times New Roman"/>
          <w:szCs w:val="24"/>
        </w:rPr>
        <w:t>Not applicable.</w:t>
      </w:r>
    </w:p>
    <w:p w:rsidRPr="00B44C7E" w:rsidR="00421C8B" w:rsidP="00405AA6" w:rsidRDefault="00421C8B" w14:paraId="5017C897" w14:textId="77777777">
      <w:pPr>
        <w:outlineLvl w:val="0"/>
        <w:rPr>
          <w:rFonts w:ascii="Times New Roman" w:hAnsi="Times New Roman"/>
          <w:b/>
          <w:szCs w:val="24"/>
        </w:rPr>
      </w:pPr>
    </w:p>
    <w:p w:rsidRPr="00B44C7E" w:rsidR="00811EF2" w:rsidP="00405AA6" w:rsidRDefault="00811EF2" w14:paraId="3B7717FB" w14:textId="77777777">
      <w:pPr>
        <w:outlineLvl w:val="0"/>
        <w:rPr>
          <w:rFonts w:ascii="Times New Roman" w:hAnsi="Times New Roman"/>
          <w:b/>
          <w:szCs w:val="24"/>
        </w:rPr>
      </w:pPr>
      <w:r w:rsidRPr="00B44C7E">
        <w:rPr>
          <w:rFonts w:ascii="Times New Roman" w:hAnsi="Times New Roman"/>
          <w:b/>
          <w:szCs w:val="24"/>
        </w:rPr>
        <w:t>B. Collections of Information Employing Statistical Methods.</w:t>
      </w:r>
    </w:p>
    <w:p w:rsidRPr="00B44C7E" w:rsidR="00811EF2" w:rsidP="00405AA6" w:rsidRDefault="00811EF2" w14:paraId="62DFCAD4" w14:textId="77777777">
      <w:pPr>
        <w:rPr>
          <w:rFonts w:ascii="Times New Roman" w:hAnsi="Times New Roman"/>
          <w:szCs w:val="24"/>
        </w:rPr>
      </w:pPr>
    </w:p>
    <w:p w:rsidRPr="00B44C7E" w:rsidR="00811EF2" w:rsidP="00405AA6" w:rsidRDefault="00060031" w14:paraId="3E750E44" w14:textId="77777777">
      <w:pPr>
        <w:rPr>
          <w:rFonts w:ascii="Times New Roman" w:hAnsi="Times New Roman"/>
          <w:szCs w:val="24"/>
        </w:rPr>
      </w:pPr>
      <w:r w:rsidRPr="00B44C7E">
        <w:rPr>
          <w:rFonts w:ascii="Times New Roman" w:hAnsi="Times New Roman"/>
          <w:szCs w:val="24"/>
        </w:rPr>
        <w:tab/>
      </w:r>
      <w:r w:rsidRPr="00B44C7E" w:rsidR="00811EF2">
        <w:rPr>
          <w:rFonts w:ascii="Times New Roman" w:hAnsi="Times New Roman"/>
          <w:szCs w:val="24"/>
        </w:rPr>
        <w:t>Not applicable.</w:t>
      </w:r>
    </w:p>
    <w:sectPr w:rsidRPr="00B44C7E" w:rsidR="00811EF2">
      <w:footerReference w:type="even" r:id="rId7"/>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95C00" w14:textId="77777777" w:rsidR="008C2BF4" w:rsidRDefault="008C2BF4">
      <w:r>
        <w:separator/>
      </w:r>
    </w:p>
  </w:endnote>
  <w:endnote w:type="continuationSeparator" w:id="0">
    <w:p w14:paraId="1142BD9C" w14:textId="77777777" w:rsidR="008C2BF4" w:rsidRDefault="008C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C0B6" w14:textId="77777777" w:rsidR="001253B5" w:rsidRDefault="001253B5" w:rsidP="003C4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5FC1C4" w14:textId="77777777" w:rsidR="001253B5" w:rsidRDefault="00125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5934D" w14:textId="77777777" w:rsidR="001253B5" w:rsidRPr="00D44A17" w:rsidRDefault="001253B5" w:rsidP="003C4C6D">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2A3D3A">
      <w:rPr>
        <w:rStyle w:val="PageNumber"/>
        <w:rFonts w:ascii="Times New Roman" w:hAnsi="Times New Roman"/>
        <w:noProof/>
      </w:rPr>
      <w:t>1</w:t>
    </w:r>
    <w:r w:rsidRPr="00D44A17">
      <w:rPr>
        <w:rStyle w:val="PageNumber"/>
        <w:rFonts w:ascii="Times New Roman" w:hAnsi="Times New Roman"/>
      </w:rPr>
      <w:fldChar w:fldCharType="end"/>
    </w:r>
  </w:p>
  <w:p w14:paraId="2AD0D8AD" w14:textId="77777777" w:rsidR="001253B5" w:rsidRDefault="00125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12C15" w14:textId="77777777" w:rsidR="008C2BF4" w:rsidRDefault="008C2BF4">
      <w:r>
        <w:separator/>
      </w:r>
    </w:p>
  </w:footnote>
  <w:footnote w:type="continuationSeparator" w:id="0">
    <w:p w14:paraId="3DFE6C2C" w14:textId="77777777" w:rsidR="008C2BF4" w:rsidRDefault="008C2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5B25BC"/>
    <w:multiLevelType w:val="hybridMultilevel"/>
    <w:tmpl w:val="E390BCD6"/>
    <w:lvl w:ilvl="0" w:tplc="D884D8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FAF3849"/>
    <w:multiLevelType w:val="hybridMultilevel"/>
    <w:tmpl w:val="01A449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02353C"/>
    <w:multiLevelType w:val="hybridMultilevel"/>
    <w:tmpl w:val="E4680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B016260"/>
    <w:multiLevelType w:val="hybridMultilevel"/>
    <w:tmpl w:val="4F3E75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0E4292B"/>
    <w:multiLevelType w:val="hybridMultilevel"/>
    <w:tmpl w:val="39C6A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ABF3196"/>
    <w:multiLevelType w:val="hybridMultilevel"/>
    <w:tmpl w:val="E8909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3"/>
  </w:num>
  <w:num w:numId="3">
    <w:abstractNumId w:val="1"/>
  </w:num>
  <w:num w:numId="4">
    <w:abstractNumId w:val="18"/>
  </w:num>
  <w:num w:numId="5">
    <w:abstractNumId w:val="11"/>
  </w:num>
  <w:num w:numId="6">
    <w:abstractNumId w:val="4"/>
  </w:num>
  <w:num w:numId="7">
    <w:abstractNumId w:val="9"/>
  </w:num>
  <w:num w:numId="8">
    <w:abstractNumId w:val="2"/>
  </w:num>
  <w:num w:numId="9">
    <w:abstractNumId w:val="0"/>
  </w:num>
  <w:num w:numId="10">
    <w:abstractNumId w:val="16"/>
  </w:num>
  <w:num w:numId="11">
    <w:abstractNumId w:val="7"/>
  </w:num>
  <w:num w:numId="12">
    <w:abstractNumId w:val="15"/>
  </w:num>
  <w:num w:numId="13">
    <w:abstractNumId w:val="5"/>
  </w:num>
  <w:num w:numId="14">
    <w:abstractNumId w:val="12"/>
  </w:num>
  <w:num w:numId="15">
    <w:abstractNumId w:val="10"/>
  </w:num>
  <w:num w:numId="16">
    <w:abstractNumId w:val="6"/>
  </w:num>
  <w:num w:numId="17">
    <w:abstractNumId w:val="17"/>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554BF4E2-1B3D-48D5-8531-06F3D7F5C92F}"/>
    <w:docVar w:name="dgnword-eventsink" w:val="61889320"/>
  </w:docVars>
  <w:rsids>
    <w:rsidRoot w:val="00B059E2"/>
    <w:rsid w:val="000062E2"/>
    <w:rsid w:val="00012C9E"/>
    <w:rsid w:val="00027851"/>
    <w:rsid w:val="0003014D"/>
    <w:rsid w:val="000408F0"/>
    <w:rsid w:val="00045FD2"/>
    <w:rsid w:val="00050997"/>
    <w:rsid w:val="00050A96"/>
    <w:rsid w:val="00050DED"/>
    <w:rsid w:val="00060031"/>
    <w:rsid w:val="00063E22"/>
    <w:rsid w:val="0006543D"/>
    <w:rsid w:val="00071B62"/>
    <w:rsid w:val="0007336C"/>
    <w:rsid w:val="00084B31"/>
    <w:rsid w:val="000908DD"/>
    <w:rsid w:val="00092C84"/>
    <w:rsid w:val="000961B1"/>
    <w:rsid w:val="000A1C1B"/>
    <w:rsid w:val="000B132E"/>
    <w:rsid w:val="000C5772"/>
    <w:rsid w:val="000D5EF0"/>
    <w:rsid w:val="000D738E"/>
    <w:rsid w:val="000E1B22"/>
    <w:rsid w:val="000E6210"/>
    <w:rsid w:val="000E7E58"/>
    <w:rsid w:val="000F0A5F"/>
    <w:rsid w:val="000F411C"/>
    <w:rsid w:val="000F4F3C"/>
    <w:rsid w:val="00101132"/>
    <w:rsid w:val="00101851"/>
    <w:rsid w:val="00110A43"/>
    <w:rsid w:val="00112D16"/>
    <w:rsid w:val="00114301"/>
    <w:rsid w:val="00115206"/>
    <w:rsid w:val="00116256"/>
    <w:rsid w:val="00122425"/>
    <w:rsid w:val="00123011"/>
    <w:rsid w:val="001253B5"/>
    <w:rsid w:val="001331EA"/>
    <w:rsid w:val="00135B69"/>
    <w:rsid w:val="00135C7B"/>
    <w:rsid w:val="00136BAD"/>
    <w:rsid w:val="0014348D"/>
    <w:rsid w:val="001469C2"/>
    <w:rsid w:val="00151DDD"/>
    <w:rsid w:val="001539D2"/>
    <w:rsid w:val="00156590"/>
    <w:rsid w:val="00160BEC"/>
    <w:rsid w:val="00164626"/>
    <w:rsid w:val="00167D7B"/>
    <w:rsid w:val="00190C5F"/>
    <w:rsid w:val="001910A8"/>
    <w:rsid w:val="001A0EDE"/>
    <w:rsid w:val="001A2006"/>
    <w:rsid w:val="001A4444"/>
    <w:rsid w:val="001B35CC"/>
    <w:rsid w:val="001B52E9"/>
    <w:rsid w:val="001C14C9"/>
    <w:rsid w:val="001D492E"/>
    <w:rsid w:val="001D4BFD"/>
    <w:rsid w:val="001D6716"/>
    <w:rsid w:val="001E08CA"/>
    <w:rsid w:val="001E1781"/>
    <w:rsid w:val="001E2F6D"/>
    <w:rsid w:val="001E7468"/>
    <w:rsid w:val="001F32DD"/>
    <w:rsid w:val="001F5AEF"/>
    <w:rsid w:val="00205383"/>
    <w:rsid w:val="00222F9F"/>
    <w:rsid w:val="002256E0"/>
    <w:rsid w:val="00232387"/>
    <w:rsid w:val="00246EFB"/>
    <w:rsid w:val="0025798D"/>
    <w:rsid w:val="002664AD"/>
    <w:rsid w:val="002721B9"/>
    <w:rsid w:val="00277678"/>
    <w:rsid w:val="002911C7"/>
    <w:rsid w:val="00296710"/>
    <w:rsid w:val="002A3D3A"/>
    <w:rsid w:val="002C21B0"/>
    <w:rsid w:val="002C42FB"/>
    <w:rsid w:val="002C5EAE"/>
    <w:rsid w:val="002D450A"/>
    <w:rsid w:val="002D5478"/>
    <w:rsid w:val="002E7E4D"/>
    <w:rsid w:val="002F67E4"/>
    <w:rsid w:val="00302126"/>
    <w:rsid w:val="00311225"/>
    <w:rsid w:val="003116B5"/>
    <w:rsid w:val="0031368D"/>
    <w:rsid w:val="00316276"/>
    <w:rsid w:val="00316868"/>
    <w:rsid w:val="00317E47"/>
    <w:rsid w:val="00324707"/>
    <w:rsid w:val="003302E8"/>
    <w:rsid w:val="00331855"/>
    <w:rsid w:val="003338C6"/>
    <w:rsid w:val="0033449C"/>
    <w:rsid w:val="003367DB"/>
    <w:rsid w:val="0034424E"/>
    <w:rsid w:val="0036435F"/>
    <w:rsid w:val="003748FB"/>
    <w:rsid w:val="003749C6"/>
    <w:rsid w:val="00374F5A"/>
    <w:rsid w:val="003772DB"/>
    <w:rsid w:val="00385170"/>
    <w:rsid w:val="003859AD"/>
    <w:rsid w:val="003A2F8E"/>
    <w:rsid w:val="003C4C6D"/>
    <w:rsid w:val="003C525F"/>
    <w:rsid w:val="003D1996"/>
    <w:rsid w:val="003E3FB8"/>
    <w:rsid w:val="003F6A51"/>
    <w:rsid w:val="00405AA6"/>
    <w:rsid w:val="00406EA2"/>
    <w:rsid w:val="0041314F"/>
    <w:rsid w:val="00416AC8"/>
    <w:rsid w:val="00416FA0"/>
    <w:rsid w:val="00421C8B"/>
    <w:rsid w:val="00427DC4"/>
    <w:rsid w:val="00427F1B"/>
    <w:rsid w:val="00452142"/>
    <w:rsid w:val="0046169B"/>
    <w:rsid w:val="00467229"/>
    <w:rsid w:val="004709F5"/>
    <w:rsid w:val="00487470"/>
    <w:rsid w:val="004928FF"/>
    <w:rsid w:val="004A15F2"/>
    <w:rsid w:val="004A32B0"/>
    <w:rsid w:val="004B4793"/>
    <w:rsid w:val="004B6A9C"/>
    <w:rsid w:val="004E1545"/>
    <w:rsid w:val="004F266F"/>
    <w:rsid w:val="005074BF"/>
    <w:rsid w:val="00512C79"/>
    <w:rsid w:val="00521310"/>
    <w:rsid w:val="00525034"/>
    <w:rsid w:val="005347AA"/>
    <w:rsid w:val="0054156E"/>
    <w:rsid w:val="005722BD"/>
    <w:rsid w:val="00580B40"/>
    <w:rsid w:val="00581AE1"/>
    <w:rsid w:val="005A16A8"/>
    <w:rsid w:val="005A5F53"/>
    <w:rsid w:val="005B0327"/>
    <w:rsid w:val="005B137A"/>
    <w:rsid w:val="005B336C"/>
    <w:rsid w:val="005D0C62"/>
    <w:rsid w:val="005D4F39"/>
    <w:rsid w:val="005E2B1A"/>
    <w:rsid w:val="005F19F1"/>
    <w:rsid w:val="005F6D3E"/>
    <w:rsid w:val="005F7CF0"/>
    <w:rsid w:val="00601917"/>
    <w:rsid w:val="0060463A"/>
    <w:rsid w:val="00610D70"/>
    <w:rsid w:val="00613CE9"/>
    <w:rsid w:val="0062208C"/>
    <w:rsid w:val="00632DA0"/>
    <w:rsid w:val="00633651"/>
    <w:rsid w:val="00635DDC"/>
    <w:rsid w:val="00643285"/>
    <w:rsid w:val="00650196"/>
    <w:rsid w:val="0065571F"/>
    <w:rsid w:val="00664076"/>
    <w:rsid w:val="00665D20"/>
    <w:rsid w:val="006717D4"/>
    <w:rsid w:val="00671F0C"/>
    <w:rsid w:val="0067307E"/>
    <w:rsid w:val="0067717C"/>
    <w:rsid w:val="006775D9"/>
    <w:rsid w:val="00685D25"/>
    <w:rsid w:val="006A0ED3"/>
    <w:rsid w:val="006A549B"/>
    <w:rsid w:val="006A638A"/>
    <w:rsid w:val="006C1E94"/>
    <w:rsid w:val="006C6043"/>
    <w:rsid w:val="006C74BD"/>
    <w:rsid w:val="006F025E"/>
    <w:rsid w:val="006F5C83"/>
    <w:rsid w:val="00714E1F"/>
    <w:rsid w:val="00721161"/>
    <w:rsid w:val="0072634C"/>
    <w:rsid w:val="00735986"/>
    <w:rsid w:val="007376E1"/>
    <w:rsid w:val="0074717B"/>
    <w:rsid w:val="00747557"/>
    <w:rsid w:val="00763497"/>
    <w:rsid w:val="0076365F"/>
    <w:rsid w:val="007639A5"/>
    <w:rsid w:val="00771E90"/>
    <w:rsid w:val="00773682"/>
    <w:rsid w:val="007862CD"/>
    <w:rsid w:val="00790722"/>
    <w:rsid w:val="00792E83"/>
    <w:rsid w:val="007C0628"/>
    <w:rsid w:val="007C70C9"/>
    <w:rsid w:val="007D1118"/>
    <w:rsid w:val="007D1301"/>
    <w:rsid w:val="007D18FC"/>
    <w:rsid w:val="007D474D"/>
    <w:rsid w:val="007D72B8"/>
    <w:rsid w:val="007E20C6"/>
    <w:rsid w:val="007E731C"/>
    <w:rsid w:val="007F53C3"/>
    <w:rsid w:val="008072F1"/>
    <w:rsid w:val="00811EF2"/>
    <w:rsid w:val="00820949"/>
    <w:rsid w:val="00851C5A"/>
    <w:rsid w:val="00852BEA"/>
    <w:rsid w:val="00856EA7"/>
    <w:rsid w:val="00864420"/>
    <w:rsid w:val="00866877"/>
    <w:rsid w:val="00866BB6"/>
    <w:rsid w:val="00870EF1"/>
    <w:rsid w:val="0087394A"/>
    <w:rsid w:val="0088592C"/>
    <w:rsid w:val="00885990"/>
    <w:rsid w:val="008952D4"/>
    <w:rsid w:val="00897023"/>
    <w:rsid w:val="008A3E82"/>
    <w:rsid w:val="008A567E"/>
    <w:rsid w:val="008A6293"/>
    <w:rsid w:val="008C2BF4"/>
    <w:rsid w:val="008C3860"/>
    <w:rsid w:val="008D0670"/>
    <w:rsid w:val="008D7F1A"/>
    <w:rsid w:val="008F02F4"/>
    <w:rsid w:val="008F4D9B"/>
    <w:rsid w:val="008F69AD"/>
    <w:rsid w:val="008F6CE8"/>
    <w:rsid w:val="00920159"/>
    <w:rsid w:val="00920494"/>
    <w:rsid w:val="00926E87"/>
    <w:rsid w:val="00931D5F"/>
    <w:rsid w:val="00937599"/>
    <w:rsid w:val="00941322"/>
    <w:rsid w:val="00943509"/>
    <w:rsid w:val="00947D27"/>
    <w:rsid w:val="0095512A"/>
    <w:rsid w:val="00956C1D"/>
    <w:rsid w:val="00960EDB"/>
    <w:rsid w:val="00961E6F"/>
    <w:rsid w:val="00966745"/>
    <w:rsid w:val="00970F4D"/>
    <w:rsid w:val="0097120E"/>
    <w:rsid w:val="00984718"/>
    <w:rsid w:val="00985BCD"/>
    <w:rsid w:val="009936AB"/>
    <w:rsid w:val="00996FA7"/>
    <w:rsid w:val="009A19CB"/>
    <w:rsid w:val="009B061E"/>
    <w:rsid w:val="009B7307"/>
    <w:rsid w:val="009C01FB"/>
    <w:rsid w:val="009D1725"/>
    <w:rsid w:val="009D180E"/>
    <w:rsid w:val="009D431E"/>
    <w:rsid w:val="009E2EB5"/>
    <w:rsid w:val="009F30B4"/>
    <w:rsid w:val="00A178D8"/>
    <w:rsid w:val="00A22017"/>
    <w:rsid w:val="00A241F9"/>
    <w:rsid w:val="00A36136"/>
    <w:rsid w:val="00A4249E"/>
    <w:rsid w:val="00A548F5"/>
    <w:rsid w:val="00A632BF"/>
    <w:rsid w:val="00A71D81"/>
    <w:rsid w:val="00A8189E"/>
    <w:rsid w:val="00A85359"/>
    <w:rsid w:val="00A9587B"/>
    <w:rsid w:val="00AA2826"/>
    <w:rsid w:val="00AB7EA0"/>
    <w:rsid w:val="00AB7FC1"/>
    <w:rsid w:val="00AC2975"/>
    <w:rsid w:val="00AC58E0"/>
    <w:rsid w:val="00AD489E"/>
    <w:rsid w:val="00AE4144"/>
    <w:rsid w:val="00AE5F05"/>
    <w:rsid w:val="00AF0188"/>
    <w:rsid w:val="00AF2817"/>
    <w:rsid w:val="00B0015F"/>
    <w:rsid w:val="00B011DF"/>
    <w:rsid w:val="00B05073"/>
    <w:rsid w:val="00B059E2"/>
    <w:rsid w:val="00B05FF8"/>
    <w:rsid w:val="00B10BC0"/>
    <w:rsid w:val="00B22D29"/>
    <w:rsid w:val="00B24D66"/>
    <w:rsid w:val="00B27E52"/>
    <w:rsid w:val="00B40330"/>
    <w:rsid w:val="00B44C7E"/>
    <w:rsid w:val="00B452F5"/>
    <w:rsid w:val="00B54451"/>
    <w:rsid w:val="00B55D71"/>
    <w:rsid w:val="00B57F98"/>
    <w:rsid w:val="00B63D57"/>
    <w:rsid w:val="00B66082"/>
    <w:rsid w:val="00B70616"/>
    <w:rsid w:val="00B73F35"/>
    <w:rsid w:val="00B80DE1"/>
    <w:rsid w:val="00BA0E98"/>
    <w:rsid w:val="00BA1E30"/>
    <w:rsid w:val="00BA2D05"/>
    <w:rsid w:val="00BA777E"/>
    <w:rsid w:val="00BB0A99"/>
    <w:rsid w:val="00BB47BB"/>
    <w:rsid w:val="00BB6A89"/>
    <w:rsid w:val="00BF7DAE"/>
    <w:rsid w:val="00C0018A"/>
    <w:rsid w:val="00C02154"/>
    <w:rsid w:val="00C1114D"/>
    <w:rsid w:val="00C23BB7"/>
    <w:rsid w:val="00C31A47"/>
    <w:rsid w:val="00C423CA"/>
    <w:rsid w:val="00C55A1E"/>
    <w:rsid w:val="00C60C97"/>
    <w:rsid w:val="00C63DDC"/>
    <w:rsid w:val="00C71524"/>
    <w:rsid w:val="00C7715F"/>
    <w:rsid w:val="00C84833"/>
    <w:rsid w:val="00C90D1F"/>
    <w:rsid w:val="00C919EF"/>
    <w:rsid w:val="00C94A2E"/>
    <w:rsid w:val="00C95309"/>
    <w:rsid w:val="00CA0149"/>
    <w:rsid w:val="00CA2470"/>
    <w:rsid w:val="00CA67BD"/>
    <w:rsid w:val="00CC3F4A"/>
    <w:rsid w:val="00CC6273"/>
    <w:rsid w:val="00CC7CCF"/>
    <w:rsid w:val="00CD1FC4"/>
    <w:rsid w:val="00CD788D"/>
    <w:rsid w:val="00CF525A"/>
    <w:rsid w:val="00D00D55"/>
    <w:rsid w:val="00D047D1"/>
    <w:rsid w:val="00D1191F"/>
    <w:rsid w:val="00D13B64"/>
    <w:rsid w:val="00D14575"/>
    <w:rsid w:val="00D23AA9"/>
    <w:rsid w:val="00D44A17"/>
    <w:rsid w:val="00D5020D"/>
    <w:rsid w:val="00D54C7C"/>
    <w:rsid w:val="00D62274"/>
    <w:rsid w:val="00D66887"/>
    <w:rsid w:val="00D76ABE"/>
    <w:rsid w:val="00D9011E"/>
    <w:rsid w:val="00DB4E9E"/>
    <w:rsid w:val="00DC239B"/>
    <w:rsid w:val="00DC4B68"/>
    <w:rsid w:val="00DC7528"/>
    <w:rsid w:val="00DD6B95"/>
    <w:rsid w:val="00DF70AF"/>
    <w:rsid w:val="00E01D62"/>
    <w:rsid w:val="00E044E3"/>
    <w:rsid w:val="00E07569"/>
    <w:rsid w:val="00E1030E"/>
    <w:rsid w:val="00E137A1"/>
    <w:rsid w:val="00E14269"/>
    <w:rsid w:val="00E176E9"/>
    <w:rsid w:val="00E20A3B"/>
    <w:rsid w:val="00E320B5"/>
    <w:rsid w:val="00E41057"/>
    <w:rsid w:val="00E41581"/>
    <w:rsid w:val="00E45317"/>
    <w:rsid w:val="00E4676D"/>
    <w:rsid w:val="00E54A3A"/>
    <w:rsid w:val="00E621F7"/>
    <w:rsid w:val="00E666A1"/>
    <w:rsid w:val="00E6735F"/>
    <w:rsid w:val="00E73305"/>
    <w:rsid w:val="00E73DE1"/>
    <w:rsid w:val="00E75CFF"/>
    <w:rsid w:val="00E90579"/>
    <w:rsid w:val="00E95253"/>
    <w:rsid w:val="00E96E27"/>
    <w:rsid w:val="00EA283E"/>
    <w:rsid w:val="00EA4E11"/>
    <w:rsid w:val="00EB5EF5"/>
    <w:rsid w:val="00ED176A"/>
    <w:rsid w:val="00ED1A32"/>
    <w:rsid w:val="00ED2758"/>
    <w:rsid w:val="00ED5BA6"/>
    <w:rsid w:val="00EE7828"/>
    <w:rsid w:val="00F020A8"/>
    <w:rsid w:val="00F0425B"/>
    <w:rsid w:val="00F066AF"/>
    <w:rsid w:val="00F10A8F"/>
    <w:rsid w:val="00F1337C"/>
    <w:rsid w:val="00F13404"/>
    <w:rsid w:val="00F1577C"/>
    <w:rsid w:val="00F2725C"/>
    <w:rsid w:val="00F43210"/>
    <w:rsid w:val="00F447D4"/>
    <w:rsid w:val="00F45924"/>
    <w:rsid w:val="00F51B9E"/>
    <w:rsid w:val="00F71A83"/>
    <w:rsid w:val="00F720A6"/>
    <w:rsid w:val="00F75A2A"/>
    <w:rsid w:val="00F8285A"/>
    <w:rsid w:val="00F82AB4"/>
    <w:rsid w:val="00FA0958"/>
    <w:rsid w:val="00FA311F"/>
    <w:rsid w:val="00FA5CDC"/>
    <w:rsid w:val="00FB4F04"/>
    <w:rsid w:val="00FB508A"/>
    <w:rsid w:val="00FC4370"/>
    <w:rsid w:val="00FC4507"/>
    <w:rsid w:val="00FD5074"/>
    <w:rsid w:val="00FE64CB"/>
    <w:rsid w:val="00FF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F35C7"/>
  <w15:chartTrackingRefBased/>
  <w15:docId w15:val="{1DD94BA9-4E97-41A6-8F66-49DF75DE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2">
    <w:name w:val="heading 2"/>
    <w:basedOn w:val="Normal"/>
    <w:link w:val="Heading2Char"/>
    <w:uiPriority w:val="9"/>
    <w:qFormat/>
    <w:rsid w:val="009D1725"/>
    <w:pPr>
      <w:widowControl/>
      <w:spacing w:before="200" w:after="100"/>
      <w:jc w:val="center"/>
      <w:outlineLvl w:val="1"/>
    </w:pPr>
    <w:rPr>
      <w:rFonts w:ascii="Times New Roman" w:hAnsi="Times New Roman"/>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qFormat/>
    <w:rsid w:val="008C3860"/>
    <w:pPr>
      <w:autoSpaceDE w:val="0"/>
      <w:autoSpaceDN w:val="0"/>
      <w:adjustRightInd w:val="0"/>
    </w:pPr>
    <w:rPr>
      <w:rFonts w:ascii="CourierPS" w:hAnsi="CourierPS"/>
      <w:snapToGrid/>
      <w:sz w:val="20"/>
    </w:rPr>
  </w:style>
  <w:style w:type="paragraph" w:styleId="BalloonText">
    <w:name w:val="Balloon Text"/>
    <w:basedOn w:val="Normal"/>
    <w:semiHidden/>
    <w:rsid w:val="00F1577C"/>
    <w:rPr>
      <w:rFonts w:ascii="Tahoma" w:hAnsi="Tahoma" w:cs="Tahoma"/>
      <w:sz w:val="16"/>
      <w:szCs w:val="16"/>
    </w:rPr>
  </w:style>
  <w:style w:type="character" w:styleId="CommentReference">
    <w:name w:val="annotation reference"/>
    <w:semiHidden/>
    <w:rsid w:val="002F67E4"/>
    <w:rPr>
      <w:sz w:val="16"/>
      <w:szCs w:val="16"/>
    </w:rPr>
  </w:style>
  <w:style w:type="paragraph" w:styleId="CommentText">
    <w:name w:val="annotation text"/>
    <w:basedOn w:val="Normal"/>
    <w:link w:val="CommentTextChar"/>
    <w:uiPriority w:val="99"/>
    <w:rsid w:val="002F67E4"/>
    <w:rPr>
      <w:sz w:val="20"/>
    </w:rPr>
  </w:style>
  <w:style w:type="paragraph" w:styleId="CommentSubject">
    <w:name w:val="annotation subject"/>
    <w:basedOn w:val="CommentText"/>
    <w:next w:val="CommentText"/>
    <w:semiHidden/>
    <w:rsid w:val="002F67E4"/>
    <w:rPr>
      <w:b/>
      <w:bCs/>
    </w:rPr>
  </w:style>
  <w:style w:type="table" w:styleId="TableGrid">
    <w:name w:val="Table Grid"/>
    <w:basedOn w:val="TableNormal"/>
    <w:rsid w:val="00E1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190C5F"/>
    <w:pPr>
      <w:widowControl/>
    </w:pPr>
    <w:rPr>
      <w:rFonts w:ascii="Arial Narrow" w:hAnsi="Arial Narrow"/>
      <w:snapToGrid/>
      <w:u w:val="single"/>
    </w:rPr>
  </w:style>
  <w:style w:type="character" w:customStyle="1" w:styleId="BodyTextChar">
    <w:name w:val="Body Text Char"/>
    <w:link w:val="BodyText"/>
    <w:rsid w:val="00190C5F"/>
    <w:rPr>
      <w:rFonts w:ascii="Arial Narrow" w:hAnsi="Arial Narrow"/>
      <w:sz w:val="24"/>
      <w:u w:val="single"/>
    </w:rPr>
  </w:style>
  <w:style w:type="character" w:customStyle="1" w:styleId="Heading2Char">
    <w:name w:val="Heading 2 Char"/>
    <w:link w:val="Heading2"/>
    <w:uiPriority w:val="9"/>
    <w:rsid w:val="009D1725"/>
    <w:rPr>
      <w:b/>
      <w:bCs/>
    </w:rPr>
  </w:style>
  <w:style w:type="paragraph" w:styleId="NormalWeb">
    <w:name w:val="Normal (Web)"/>
    <w:basedOn w:val="Normal"/>
    <w:uiPriority w:val="99"/>
    <w:unhideWhenUsed/>
    <w:rsid w:val="009D1725"/>
    <w:pPr>
      <w:widowControl/>
      <w:spacing w:before="100" w:beforeAutospacing="1" w:after="100" w:afterAutospacing="1"/>
      <w:ind w:firstLine="480"/>
    </w:pPr>
    <w:rPr>
      <w:rFonts w:ascii="Times New Roman" w:hAnsi="Times New Roman"/>
      <w:snapToGrid/>
      <w:szCs w:val="24"/>
    </w:rPr>
  </w:style>
  <w:style w:type="character" w:customStyle="1" w:styleId="CommentTextChar">
    <w:name w:val="Comment Text Char"/>
    <w:link w:val="CommentText"/>
    <w:uiPriority w:val="99"/>
    <w:rsid w:val="005E2B1A"/>
    <w:rPr>
      <w:rFonts w:ascii="Courier" w:hAnsi="Courier"/>
      <w:snapToGrid w:val="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F75A2A"/>
    <w:rPr>
      <w:rFonts w:ascii="CourierPS" w:hAnsi="Courier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86812">
      <w:bodyDiv w:val="1"/>
      <w:marLeft w:val="0"/>
      <w:marRight w:val="0"/>
      <w:marTop w:val="30"/>
      <w:marBottom w:val="750"/>
      <w:divBdr>
        <w:top w:val="none" w:sz="0" w:space="0" w:color="auto"/>
        <w:left w:val="none" w:sz="0" w:space="0" w:color="auto"/>
        <w:bottom w:val="none" w:sz="0" w:space="0" w:color="auto"/>
        <w:right w:val="none" w:sz="0" w:space="0" w:color="auto"/>
      </w:divBdr>
      <w:divsChild>
        <w:div w:id="1541286113">
          <w:marLeft w:val="0"/>
          <w:marRight w:val="0"/>
          <w:marTop w:val="0"/>
          <w:marBottom w:val="0"/>
          <w:divBdr>
            <w:top w:val="none" w:sz="0" w:space="0" w:color="auto"/>
            <w:left w:val="none" w:sz="0" w:space="0" w:color="auto"/>
            <w:bottom w:val="none" w:sz="0" w:space="0" w:color="auto"/>
            <w:right w:val="none" w:sz="0" w:space="0" w:color="auto"/>
          </w:divBdr>
        </w:div>
      </w:divsChild>
    </w:div>
    <w:div w:id="642347712">
      <w:bodyDiv w:val="1"/>
      <w:marLeft w:val="0"/>
      <w:marRight w:val="0"/>
      <w:marTop w:val="0"/>
      <w:marBottom w:val="0"/>
      <w:divBdr>
        <w:top w:val="none" w:sz="0" w:space="0" w:color="auto"/>
        <w:left w:val="none" w:sz="0" w:space="0" w:color="auto"/>
        <w:bottom w:val="none" w:sz="0" w:space="0" w:color="auto"/>
        <w:right w:val="none" w:sz="0" w:space="0" w:color="auto"/>
      </w:divBdr>
    </w:div>
    <w:div w:id="748574430">
      <w:bodyDiv w:val="1"/>
      <w:marLeft w:val="0"/>
      <w:marRight w:val="0"/>
      <w:marTop w:val="0"/>
      <w:marBottom w:val="0"/>
      <w:divBdr>
        <w:top w:val="none" w:sz="0" w:space="0" w:color="auto"/>
        <w:left w:val="none" w:sz="0" w:space="0" w:color="auto"/>
        <w:bottom w:val="none" w:sz="0" w:space="0" w:color="auto"/>
        <w:right w:val="none" w:sz="0" w:space="0" w:color="auto"/>
      </w:divBdr>
    </w:div>
    <w:div w:id="977957764">
      <w:bodyDiv w:val="1"/>
      <w:marLeft w:val="0"/>
      <w:marRight w:val="0"/>
      <w:marTop w:val="0"/>
      <w:marBottom w:val="0"/>
      <w:divBdr>
        <w:top w:val="none" w:sz="0" w:space="0" w:color="auto"/>
        <w:left w:val="none" w:sz="0" w:space="0" w:color="auto"/>
        <w:bottom w:val="none" w:sz="0" w:space="0" w:color="auto"/>
        <w:right w:val="none" w:sz="0" w:space="0" w:color="auto"/>
      </w:divBdr>
    </w:div>
    <w:div w:id="1102383813">
      <w:bodyDiv w:val="1"/>
      <w:marLeft w:val="0"/>
      <w:marRight w:val="0"/>
      <w:marTop w:val="30"/>
      <w:marBottom w:val="750"/>
      <w:divBdr>
        <w:top w:val="none" w:sz="0" w:space="0" w:color="auto"/>
        <w:left w:val="none" w:sz="0" w:space="0" w:color="auto"/>
        <w:bottom w:val="none" w:sz="0" w:space="0" w:color="auto"/>
        <w:right w:val="none" w:sz="0" w:space="0" w:color="auto"/>
      </w:divBdr>
      <w:divsChild>
        <w:div w:id="1703897246">
          <w:marLeft w:val="0"/>
          <w:marRight w:val="0"/>
          <w:marTop w:val="0"/>
          <w:marBottom w:val="0"/>
          <w:divBdr>
            <w:top w:val="none" w:sz="0" w:space="0" w:color="auto"/>
            <w:left w:val="none" w:sz="0" w:space="0" w:color="auto"/>
            <w:bottom w:val="none" w:sz="0" w:space="0" w:color="auto"/>
            <w:right w:val="none" w:sz="0" w:space="0" w:color="auto"/>
          </w:divBdr>
        </w:div>
      </w:divsChild>
    </w:div>
    <w:div w:id="1132554173">
      <w:bodyDiv w:val="1"/>
      <w:marLeft w:val="0"/>
      <w:marRight w:val="0"/>
      <w:marTop w:val="0"/>
      <w:marBottom w:val="0"/>
      <w:divBdr>
        <w:top w:val="none" w:sz="0" w:space="0" w:color="auto"/>
        <w:left w:val="none" w:sz="0" w:space="0" w:color="auto"/>
        <w:bottom w:val="none" w:sz="0" w:space="0" w:color="auto"/>
        <w:right w:val="none" w:sz="0" w:space="0" w:color="auto"/>
      </w:divBdr>
    </w:div>
    <w:div w:id="1138307276">
      <w:bodyDiv w:val="1"/>
      <w:marLeft w:val="0"/>
      <w:marRight w:val="0"/>
      <w:marTop w:val="30"/>
      <w:marBottom w:val="750"/>
      <w:divBdr>
        <w:top w:val="none" w:sz="0" w:space="0" w:color="auto"/>
        <w:left w:val="none" w:sz="0" w:space="0" w:color="auto"/>
        <w:bottom w:val="none" w:sz="0" w:space="0" w:color="auto"/>
        <w:right w:val="none" w:sz="0" w:space="0" w:color="auto"/>
      </w:divBdr>
      <w:divsChild>
        <w:div w:id="1278878236">
          <w:marLeft w:val="0"/>
          <w:marRight w:val="0"/>
          <w:marTop w:val="0"/>
          <w:marBottom w:val="0"/>
          <w:divBdr>
            <w:top w:val="none" w:sz="0" w:space="0" w:color="auto"/>
            <w:left w:val="none" w:sz="0" w:space="0" w:color="auto"/>
            <w:bottom w:val="none" w:sz="0" w:space="0" w:color="auto"/>
            <w:right w:val="none" w:sz="0" w:space="0" w:color="auto"/>
          </w:divBdr>
        </w:div>
      </w:divsChild>
    </w:div>
    <w:div w:id="1596129675">
      <w:bodyDiv w:val="1"/>
      <w:marLeft w:val="0"/>
      <w:marRight w:val="0"/>
      <w:marTop w:val="0"/>
      <w:marBottom w:val="0"/>
      <w:divBdr>
        <w:top w:val="none" w:sz="0" w:space="0" w:color="auto"/>
        <w:left w:val="none" w:sz="0" w:space="0" w:color="auto"/>
        <w:bottom w:val="none" w:sz="0" w:space="0" w:color="auto"/>
        <w:right w:val="none" w:sz="0" w:space="0" w:color="auto"/>
      </w:divBdr>
    </w:div>
    <w:div w:id="1669283238">
      <w:bodyDiv w:val="1"/>
      <w:marLeft w:val="0"/>
      <w:marRight w:val="0"/>
      <w:marTop w:val="0"/>
      <w:marBottom w:val="0"/>
      <w:divBdr>
        <w:top w:val="none" w:sz="0" w:space="0" w:color="auto"/>
        <w:left w:val="none" w:sz="0" w:space="0" w:color="auto"/>
        <w:bottom w:val="none" w:sz="0" w:space="0" w:color="auto"/>
        <w:right w:val="none" w:sz="0" w:space="0" w:color="auto"/>
      </w:divBdr>
    </w:div>
    <w:div w:id="205727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1343</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Jean.Campbell</dc:creator>
  <cp:keywords/>
  <cp:lastModifiedBy>Gottlieb, Mary</cp:lastModifiedBy>
  <cp:revision>5</cp:revision>
  <cp:lastPrinted>2019-05-02T19:13:00Z</cp:lastPrinted>
  <dcterms:created xsi:type="dcterms:W3CDTF">2020-10-13T18:01:00Z</dcterms:created>
  <dcterms:modified xsi:type="dcterms:W3CDTF">2020-10-14T18:11:00Z</dcterms:modified>
</cp:coreProperties>
</file>