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body>
    <w:p w:rsidRPr="00CE1645" w:rsidR="00D70544" w:rsidP="00F758FA" w:rsidRDefault="00D70544" w14:paraId="3C8818F3" w14:textId="77777777">
      <w:pPr>
        <w:pStyle w:val="Title"/>
      </w:pPr>
      <w:r w:rsidRPr="00CE1645">
        <w:t>Supporting Statement</w:t>
      </w:r>
    </w:p>
    <w:p w:rsidRPr="00CE1645" w:rsidR="00D70544" w:rsidP="00F758FA" w:rsidRDefault="005D215A" w14:paraId="4C31FD8A" w14:textId="74B9EB24">
      <w:pPr>
        <w:jc w:val="center"/>
        <w:rPr>
          <w:b/>
          <w:bCs/>
        </w:rPr>
      </w:pPr>
      <w:r w:rsidRPr="00CE1645">
        <w:rPr>
          <w:b/>
          <w:bCs/>
        </w:rPr>
        <w:t xml:space="preserve"> </w:t>
      </w:r>
      <w:r w:rsidR="00D10722">
        <w:rPr>
          <w:b/>
          <w:bCs/>
        </w:rPr>
        <w:t>CRA Information Collection Survey</w:t>
      </w:r>
    </w:p>
    <w:p w:rsidRPr="00CE1645" w:rsidR="005D215A" w:rsidP="00F758FA" w:rsidRDefault="005D215A" w14:paraId="34D87A1D" w14:textId="7C7CF62E">
      <w:pPr>
        <w:jc w:val="center"/>
        <w:rPr>
          <w:b/>
          <w:bCs/>
        </w:rPr>
      </w:pPr>
      <w:r w:rsidRPr="00CE1645">
        <w:rPr>
          <w:b/>
          <w:bCs/>
        </w:rPr>
        <w:t>OMB Control No. 1557-</w:t>
      </w:r>
      <w:r w:rsidR="00D10722">
        <w:rPr>
          <w:b/>
          <w:bCs/>
        </w:rPr>
        <w:t>NEW</w:t>
      </w:r>
    </w:p>
    <w:p w:rsidRPr="00CE1645" w:rsidR="00D70544" w:rsidP="00F758FA" w:rsidRDefault="00D70544" w14:paraId="6FD18259" w14:textId="77777777">
      <w:pPr>
        <w:jc w:val="center"/>
        <w:rPr>
          <w:b/>
          <w:bCs/>
        </w:rPr>
      </w:pPr>
    </w:p>
    <w:p w:rsidR="00D70544" w:rsidP="00F758FA" w:rsidRDefault="00D70544" w14:paraId="53828C0A" w14:textId="77777777">
      <w:pPr>
        <w:pStyle w:val="BodyText"/>
      </w:pPr>
    </w:p>
    <w:p w:rsidRPr="00613EB1" w:rsidR="00613EB1" w:rsidP="00F758FA" w:rsidRDefault="00613EB1" w14:paraId="52433146" w14:textId="77777777">
      <w:pPr>
        <w:rPr>
          <w:b/>
        </w:rPr>
      </w:pPr>
      <w:r w:rsidRPr="00613EB1">
        <w:tab/>
      </w:r>
    </w:p>
    <w:p w:rsidRPr="00CE1645" w:rsidR="00D70544" w:rsidP="00F758FA" w:rsidRDefault="00D70544" w14:paraId="76C63BDE" w14:textId="77777777">
      <w:pPr>
        <w:rPr>
          <w:b/>
          <w:bCs/>
        </w:rPr>
      </w:pPr>
      <w:r w:rsidRPr="00CE1645">
        <w:rPr>
          <w:b/>
          <w:bCs/>
        </w:rPr>
        <w:t>A.  Justification</w:t>
      </w:r>
    </w:p>
    <w:p w:rsidRPr="00CE1645" w:rsidR="00D70544" w:rsidP="00F758FA" w:rsidRDefault="00D70544" w14:paraId="2DF3B401" w14:textId="77777777">
      <w:pPr>
        <w:rPr>
          <w:b/>
          <w:bCs/>
        </w:rPr>
      </w:pPr>
    </w:p>
    <w:p w:rsidR="00D70544" w:rsidP="00F758FA" w:rsidRDefault="00D70544" w14:paraId="794D43AE" w14:textId="760AE50E">
      <w:pPr>
        <w:pStyle w:val="BodyText"/>
        <w:rPr>
          <w:i/>
          <w:iCs/>
        </w:rPr>
      </w:pPr>
      <w:r w:rsidRPr="00CE1645">
        <w:t xml:space="preserve">1.  </w:t>
      </w:r>
      <w:r w:rsidRPr="00CE1645">
        <w:rPr>
          <w:i/>
          <w:iCs/>
        </w:rPr>
        <w:t>Circumstances that make the collection necessary:</w:t>
      </w:r>
    </w:p>
    <w:p w:rsidR="00B309A6" w:rsidP="00F758FA" w:rsidRDefault="00B309A6" w14:paraId="6FA64F71" w14:textId="77777777">
      <w:pPr>
        <w:ind w:firstLine="36pt"/>
        <w:rPr>
          <w:szCs w:val="24"/>
        </w:rPr>
      </w:pPr>
    </w:p>
    <w:p w:rsidR="00F758FA" w:rsidP="00F758FA" w:rsidRDefault="00F758FA" w14:paraId="55A3ED39" w14:textId="7D6514AE">
      <w:pPr>
        <w:keepNext/>
      </w:pPr>
      <w:r>
        <w:rPr>
          <w:rFonts w:eastAsia="Calibri"/>
        </w:rPr>
        <w:t xml:space="preserve">            </w:t>
      </w:r>
      <w:bookmarkStart w:name="_Hlk23836671" w:id="0"/>
      <w:r>
        <w:t>On June 5, 2020, the OCC published a final rule in the Federal Register that makes comprehensive changes to the Community Reinvestment Act (CRA) regulatory framework designed to ensure that the CRA remains a relevant and powerful tool for encouraging banks to serve the needs of their communities, particularly low- or moderate-income (LMI) neighborhoods, consistent with banks’ safe and sound operations.</w:t>
      </w:r>
      <w:bookmarkEnd w:id="0"/>
      <w:r w:rsidRPr="00ED30A5">
        <w:rPr>
          <w:rStyle w:val="FootnoteReference"/>
        </w:rPr>
        <w:footnoteReference w:id="1"/>
      </w:r>
      <w:r>
        <w:t xml:space="preserve">  As the final rule describes, the agency modernized and strengthened the CRA regulatory framework to better achieve the underlying statutory purpose of encouraging banks to help serve their communities by making the framework more objective, transparent, consistent, and easy to understand.  To accomplish these goals, the final rule strengthened the CRA regulations in four key areas by (1) clarifying which activities qualify for CRA credit; (2) updating where activities count for CRA credit; (3) creating a more consistent and objective method for measuring CRA performance; and (4) providing for more timely and transparent CRA-related data collection, recordkeeping, and reporting. </w:t>
      </w:r>
    </w:p>
    <w:p w:rsidR="00F758FA" w:rsidP="00B309A6" w:rsidRDefault="00F758FA" w14:paraId="61CAB9B0" w14:textId="77777777">
      <w:pPr>
        <w:ind w:firstLine="36pt"/>
      </w:pPr>
    </w:p>
    <w:p w:rsidR="00B309A6" w:rsidP="00F758FA" w:rsidRDefault="00F758FA" w14:paraId="7D42864B" w14:textId="73963129">
      <w:pPr>
        <w:rPr>
          <w:szCs w:val="24"/>
        </w:rPr>
      </w:pPr>
      <w:r>
        <w:tab/>
      </w:r>
      <w:r w:rsidR="00B309A6">
        <w:rPr>
          <w:szCs w:val="24"/>
        </w:rPr>
        <w:t xml:space="preserve">The CRA final rule did not set banks’ performance benchmarks, thresholds, and minimums that would incentivize banks to conduct more retail loans and community development loans, investments, and services because the OCC elected to collect and analyze bank-specific data and information and additional public comment through a notice of proposed rulemaking before finalizing the benchmarks, thresholds, and minimums.  </w:t>
      </w:r>
    </w:p>
    <w:p w:rsidR="00B309A6" w:rsidP="00B309A6" w:rsidRDefault="00B309A6" w14:paraId="7C26E90C" w14:textId="77777777">
      <w:pPr>
        <w:rPr>
          <w:szCs w:val="24"/>
        </w:rPr>
      </w:pPr>
    </w:p>
    <w:p w:rsidR="00B309A6" w:rsidP="00B309A6" w:rsidRDefault="00B309A6" w14:paraId="7BC770A9" w14:textId="77777777">
      <w:pPr>
        <w:ind w:firstLine="36pt"/>
        <w:rPr>
          <w:szCs w:val="24"/>
        </w:rPr>
      </w:pPr>
      <w:r>
        <w:rPr>
          <w:szCs w:val="24"/>
        </w:rPr>
        <w:t xml:space="preserve">The devastating health effects of COVID-19 and the local measures taken to control its spread have caused tremendous economic hardship in the United States at an unprecedented pace.  Since February 2020, millions of jobs have been lost, and the unemployment rate has precipitously increased.  The economic challenges experienced by communities across the United States, including LMI communities, as a result of the COVID-19 pandemic make it critical that implementation of the revised CRA framework, including the establishment of the benchmarks, thresholds, and minimums, not be delayed so that the full financial benefits of the new rule can reach these communities as soon as possible.  </w:t>
      </w:r>
    </w:p>
    <w:p w:rsidR="00B309A6" w:rsidP="00B309A6" w:rsidRDefault="00B309A6" w14:paraId="2D39F49D" w14:textId="77777777">
      <w:pPr>
        <w:rPr>
          <w:szCs w:val="24"/>
        </w:rPr>
      </w:pPr>
    </w:p>
    <w:p w:rsidR="00B309A6" w:rsidP="00B309A6" w:rsidRDefault="00B309A6" w14:paraId="2369F032" w14:textId="535636CE">
      <w:pPr>
        <w:ind w:firstLine="36pt"/>
        <w:rPr>
          <w:szCs w:val="24"/>
        </w:rPr>
      </w:pPr>
      <w:r>
        <w:rPr>
          <w:szCs w:val="24"/>
        </w:rPr>
        <w:t>To gather the necessary data and information to finalize the CRA regulatory framework, the OCC plans to issue an Information Collection Survey as expeditiously as possible, given the severe and ongoing financial effects of COVID-19 on communities.</w:t>
      </w:r>
      <w:r w:rsidR="001E3AAE">
        <w:rPr>
          <w:szCs w:val="24"/>
        </w:rPr>
        <w:t xml:space="preserve">  </w:t>
      </w:r>
      <w:r>
        <w:rPr>
          <w:szCs w:val="24"/>
        </w:rPr>
        <w:t xml:space="preserve">Implementation of the final CRA rule is essential to the OCC’s mission that includes providing fair access to financial services, and the agency notes that combatting the economic consequences of COVID-19 is an Administration priority.  The timeframes required by </w:t>
      </w:r>
      <w:r w:rsidRPr="00B44216">
        <w:rPr>
          <w:sz w:val="22"/>
          <w:szCs w:val="22"/>
        </w:rPr>
        <w:t xml:space="preserve">the ordinary clearance process is likely to delay </w:t>
      </w:r>
      <w:r w:rsidRPr="00B44216">
        <w:rPr>
          <w:sz w:val="22"/>
          <w:szCs w:val="22"/>
        </w:rPr>
        <w:lastRenderedPageBreak/>
        <w:t xml:space="preserve">the use of the Information Collection Survey to develop and finalize the revised CRA </w:t>
      </w:r>
      <w:r>
        <w:rPr>
          <w:szCs w:val="24"/>
        </w:rPr>
        <w:t xml:space="preserve">regulatory framework and would likely have a negative impact on the economic recovery of the country from the pandemic. </w:t>
      </w:r>
      <w:r w:rsidR="00B44216">
        <w:rPr>
          <w:szCs w:val="24"/>
        </w:rPr>
        <w:t>Therefore, the OCC is requesting emergency approval for this collection.</w:t>
      </w:r>
      <w:r>
        <w:rPr>
          <w:szCs w:val="24"/>
        </w:rPr>
        <w:t xml:space="preserve"> </w:t>
      </w:r>
    </w:p>
    <w:p w:rsidRPr="00613EB1" w:rsidR="00CA126A" w:rsidP="00B309A6" w:rsidRDefault="00CA126A" w14:paraId="1A74D89E" w14:textId="41C88B0C">
      <w:pPr>
        <w:keepNext/>
      </w:pPr>
    </w:p>
    <w:p w:rsidRPr="00CE1645" w:rsidR="00D70544" w:rsidP="00B309A6" w:rsidRDefault="00D70544" w14:paraId="0FA6EB03" w14:textId="77777777">
      <w:pPr>
        <w:pStyle w:val="BodyText"/>
        <w:rPr>
          <w:b w:val="0"/>
          <w:bCs w:val="0"/>
        </w:rPr>
      </w:pPr>
      <w:r w:rsidRPr="00CE1645">
        <w:rPr>
          <w:i/>
          <w:iCs/>
        </w:rPr>
        <w:t>2.  Use of the information:</w:t>
      </w:r>
    </w:p>
    <w:p w:rsidRPr="00CE1645" w:rsidR="00D70544" w:rsidP="00B309A6" w:rsidRDefault="00D70544" w14:paraId="11927BC1" w14:textId="77777777">
      <w:pPr>
        <w:pStyle w:val="BodyText"/>
        <w:rPr>
          <w:b w:val="0"/>
          <w:bCs w:val="0"/>
        </w:rPr>
      </w:pPr>
    </w:p>
    <w:p w:rsidR="00D10722" w:rsidP="00F758FA" w:rsidRDefault="00600D40" w14:paraId="0B279E55" w14:textId="5A428F38">
      <w:pPr>
        <w:ind w:firstLine="36pt"/>
      </w:pPr>
      <w:r w:rsidRPr="00600D40">
        <w:t>The OCC</w:t>
      </w:r>
      <w:r w:rsidRPr="00600D40" w:rsidR="00D10722">
        <w:rPr>
          <w:rFonts w:eastAsia="Calibri"/>
        </w:rPr>
        <w:t xml:space="preserve"> seeks</w:t>
      </w:r>
      <w:r w:rsidR="00D10722">
        <w:rPr>
          <w:rFonts w:eastAsia="Calibri"/>
        </w:rPr>
        <w:t xml:space="preserve"> </w:t>
      </w:r>
      <w:r w:rsidR="00D10722">
        <w:t xml:space="preserve">information to assist it in determining the CRA evaluation measure benchmarks, retail lending distribution test thresholds, and CD minimums under </w:t>
      </w:r>
      <w:r w:rsidR="00D10722">
        <w:rPr>
          <w:color w:val="000000" w:themeColor="text1"/>
        </w:rPr>
        <w:t>the final rule that will correspond to the presumptive ratings</w:t>
      </w:r>
      <w:r w:rsidR="00D10722">
        <w:t>.  As discussed in the preamble to the final rule, the OCC analyzed currently available data to estimate how banks would have performed under the proposed rule’s framework.</w:t>
      </w:r>
      <w:r w:rsidR="00D10722">
        <w:rPr>
          <w:rStyle w:val="FootnoteReference"/>
          <w:rFonts w:eastAsiaTheme="minorHAnsi"/>
        </w:rPr>
        <w:footnoteReference w:id="2"/>
      </w:r>
      <w:r w:rsidR="00D10722">
        <w:t xml:space="preserve">  The final rule did not finalize the benchmarks, thresholds, or minimums as proposed.  Instead, as explained in the preamble to the final rule, the OCC plans to issue a separate notice of proposed rulemaking to determine the benchmarks, thresholds, and minimums that will correspond to the presumptive ratings in the final rule.</w:t>
      </w:r>
    </w:p>
    <w:p w:rsidR="00B309A6" w:rsidP="00F758FA" w:rsidRDefault="00B309A6" w14:paraId="467D4A35" w14:textId="77777777">
      <w:pPr>
        <w:ind w:firstLine="36pt"/>
      </w:pPr>
    </w:p>
    <w:p w:rsidR="00F758FA" w:rsidP="00F758FA" w:rsidRDefault="00F758FA" w14:paraId="5D533BBB" w14:textId="5CF413D0">
      <w:pPr>
        <w:ind w:firstLine="36pt"/>
      </w:pPr>
      <w:r>
        <w:rPr>
          <w:rFonts w:eastAsia="Calibri"/>
        </w:rPr>
        <w:t xml:space="preserve">The OCC now </w:t>
      </w:r>
      <w:r>
        <w:rPr>
          <w:rFonts w:eastAsia="Calibri"/>
        </w:rPr>
        <w:t xml:space="preserve">seeks </w:t>
      </w:r>
      <w:r>
        <w:t xml:space="preserve">information to assist in determining the CRA evaluation measure benchmarks, retail lending distribution test thresholds, and CD minimums under </w:t>
      </w:r>
      <w:r>
        <w:rPr>
          <w:color w:val="000000" w:themeColor="text1"/>
        </w:rPr>
        <w:t>the final rule that will correspond to the presumptive ratings</w:t>
      </w:r>
      <w:r>
        <w:t xml:space="preserve">.  </w:t>
      </w:r>
      <w:r>
        <w:t>T</w:t>
      </w:r>
      <w:r>
        <w:t xml:space="preserve">he OCC analyzed currently available data to </w:t>
      </w:r>
      <w:r w:rsidRPr="000B033C">
        <w:t xml:space="preserve">estimate how banks would have performed under the </w:t>
      </w:r>
      <w:r>
        <w:t>proposed rule’s</w:t>
      </w:r>
      <w:r w:rsidRPr="000B033C">
        <w:t xml:space="preserve"> framewor</w:t>
      </w:r>
      <w:r>
        <w:t>k.</w:t>
      </w:r>
      <w:r w:rsidRPr="00ED30A5">
        <w:rPr>
          <w:rStyle w:val="FootnoteReference"/>
        </w:rPr>
        <w:footnoteReference w:id="3"/>
      </w:r>
      <w:r>
        <w:t xml:space="preserve">  The final rule did not finalize the benchmarks, thresholds, or minimums as proposed.  Instead, as explained in the preamble to the final rule, the OCC plans to issue a separate notice of proposed rulemaking to determine the benchmarks, thresholds, and minimums that will correspond to the presumptive ratings in the final rule.</w:t>
      </w:r>
    </w:p>
    <w:p w:rsidR="00F758FA" w:rsidP="00F758FA" w:rsidRDefault="00F758FA" w14:paraId="3E8D6959" w14:textId="77777777">
      <w:pPr>
        <w:ind w:firstLine="36pt"/>
      </w:pPr>
    </w:p>
    <w:p w:rsidR="00B309A6" w:rsidP="00F758FA" w:rsidRDefault="00F758FA" w14:paraId="185F0543" w14:textId="1AA8F027">
      <w:pPr>
        <w:ind w:firstLine="36pt"/>
      </w:pPr>
      <w:r>
        <w:t xml:space="preserve">This information collection seeks bank-specific data and information to supplement the agency’s analyses and currently available data.  Specifically, it requests four types of bank data or </w:t>
      </w:r>
      <w:r w:rsidRPr="00524471">
        <w:t xml:space="preserve">information: (1) retail domestic deposit and assessment area data; (2) qualifying </w:t>
      </w:r>
      <w:r>
        <w:t>activities</w:t>
      </w:r>
      <w:r w:rsidRPr="00524471">
        <w:t xml:space="preserve"> data; (3) branch information; and (4) retail loan application and origination data. </w:t>
      </w:r>
      <w:r>
        <w:t xml:space="preserve"> </w:t>
      </w:r>
      <w:r w:rsidRPr="00524471">
        <w:t xml:space="preserve">The data should contain information from </w:t>
      </w:r>
      <w:r w:rsidRPr="006F747C">
        <w:t>Jan</w:t>
      </w:r>
      <w:r>
        <w:t>uary</w:t>
      </w:r>
      <w:r w:rsidRPr="006F747C">
        <w:t xml:space="preserve"> 1,</w:t>
      </w:r>
      <w:r>
        <w:t xml:space="preserve"> </w:t>
      </w:r>
      <w:r w:rsidRPr="006F747C">
        <w:t>2017</w:t>
      </w:r>
      <w:r>
        <w:t>, to</w:t>
      </w:r>
      <w:r w:rsidRPr="006F747C">
        <w:t xml:space="preserve"> Dec</w:t>
      </w:r>
      <w:r>
        <w:t>ember</w:t>
      </w:r>
      <w:r w:rsidRPr="006F747C">
        <w:t xml:space="preserve"> 31, 2019</w:t>
      </w:r>
      <w:r w:rsidRPr="00524471">
        <w:t>.</w:t>
      </w:r>
    </w:p>
    <w:p w:rsidR="00F758FA" w:rsidP="00F758FA" w:rsidRDefault="00F758FA" w14:paraId="5E11B69F" w14:textId="6897E347">
      <w:pPr>
        <w:ind w:firstLine="36pt"/>
      </w:pPr>
    </w:p>
    <w:p w:rsidR="00F758FA" w:rsidP="00F758FA" w:rsidRDefault="00F758FA" w14:paraId="25F6FBC1" w14:textId="5A947FCF">
      <w:pPr>
        <w:ind w:firstLine="36pt"/>
      </w:pPr>
      <w:r>
        <w:t>The questions are appended as a supplementary document (instrument) under the IC titled “CRA Survey.”</w:t>
      </w:r>
    </w:p>
    <w:p w:rsidR="00F70113" w:rsidP="00B309A6" w:rsidRDefault="00F70113" w14:paraId="079C653F" w14:textId="77777777">
      <w:pPr>
        <w:pStyle w:val="BodyText"/>
        <w:rPr>
          <w:i/>
          <w:iCs/>
        </w:rPr>
      </w:pPr>
    </w:p>
    <w:p w:rsidRPr="00CE1645" w:rsidR="00D70544" w:rsidP="00B309A6" w:rsidRDefault="00D70544" w14:paraId="58D914DE" w14:textId="6AE25323">
      <w:pPr>
        <w:pStyle w:val="BodyText"/>
        <w:rPr>
          <w:b w:val="0"/>
          <w:bCs w:val="0"/>
        </w:rPr>
      </w:pPr>
      <w:r w:rsidRPr="00CE1645">
        <w:rPr>
          <w:i/>
          <w:iCs/>
        </w:rPr>
        <w:t>3.  Consideration of the use of improved information technology:</w:t>
      </w:r>
    </w:p>
    <w:p w:rsidRPr="00CE1645" w:rsidR="00D70544" w:rsidP="00B309A6" w:rsidRDefault="00D70544" w14:paraId="1B027BBE" w14:textId="77777777">
      <w:pPr>
        <w:pStyle w:val="BodyText"/>
        <w:rPr>
          <w:b w:val="0"/>
          <w:bCs w:val="0"/>
        </w:rPr>
      </w:pPr>
    </w:p>
    <w:p w:rsidRPr="00CE1645" w:rsidR="00D70544" w:rsidP="00B309A6" w:rsidRDefault="00046B0A" w14:paraId="4951DB80" w14:textId="505E0BC1">
      <w:pPr>
        <w:pStyle w:val="BodyText"/>
        <w:ind w:firstLine="36pt"/>
        <w:rPr>
          <w:b w:val="0"/>
          <w:bCs w:val="0"/>
        </w:rPr>
      </w:pPr>
      <w:r>
        <w:rPr>
          <w:b w:val="0"/>
          <w:bCs w:val="0"/>
        </w:rPr>
        <w:t xml:space="preserve">An institution </w:t>
      </w:r>
      <w:r w:rsidRPr="00CE1645" w:rsidR="00D70544">
        <w:rPr>
          <w:b w:val="0"/>
          <w:bCs w:val="0"/>
        </w:rPr>
        <w:t xml:space="preserve">may use any improved information technology </w:t>
      </w:r>
      <w:r w:rsidRPr="00CE1645" w:rsidR="006A4597">
        <w:rPr>
          <w:b w:val="0"/>
          <w:bCs w:val="0"/>
        </w:rPr>
        <w:t xml:space="preserve">that meets the requirements of </w:t>
      </w:r>
      <w:r w:rsidR="00A14AE7">
        <w:rPr>
          <w:b w:val="0"/>
          <w:bCs w:val="0"/>
        </w:rPr>
        <w:t xml:space="preserve">the </w:t>
      </w:r>
      <w:r w:rsidR="00401F8F">
        <w:rPr>
          <w:b w:val="0"/>
          <w:bCs w:val="0"/>
        </w:rPr>
        <w:t>survey</w:t>
      </w:r>
      <w:r w:rsidR="00A14AE7">
        <w:rPr>
          <w:b w:val="0"/>
          <w:bCs w:val="0"/>
        </w:rPr>
        <w:t>.</w:t>
      </w:r>
    </w:p>
    <w:p w:rsidRPr="00CE1645" w:rsidR="00D70544" w:rsidP="00B309A6" w:rsidRDefault="00D70544" w14:paraId="645E8F2C" w14:textId="77777777">
      <w:pPr>
        <w:pStyle w:val="BodyText"/>
        <w:rPr>
          <w:b w:val="0"/>
          <w:bCs w:val="0"/>
        </w:rPr>
      </w:pPr>
    </w:p>
    <w:p w:rsidRPr="00CE1645" w:rsidR="00D70544" w:rsidP="00B309A6" w:rsidRDefault="00D70544" w14:paraId="1AA76460" w14:textId="77777777">
      <w:pPr>
        <w:pStyle w:val="BodyText"/>
        <w:rPr>
          <w:b w:val="0"/>
          <w:bCs w:val="0"/>
        </w:rPr>
      </w:pPr>
      <w:r w:rsidRPr="00CE1645">
        <w:rPr>
          <w:i/>
          <w:iCs/>
        </w:rPr>
        <w:t>4.  Efforts to identify duplication:</w:t>
      </w:r>
    </w:p>
    <w:p w:rsidRPr="00CE1645" w:rsidR="00D70544" w:rsidP="00B309A6" w:rsidRDefault="00D70544" w14:paraId="22C2851A" w14:textId="77777777">
      <w:pPr>
        <w:pStyle w:val="BodyText"/>
        <w:rPr>
          <w:b w:val="0"/>
          <w:bCs w:val="0"/>
        </w:rPr>
      </w:pPr>
    </w:p>
    <w:p w:rsidR="00D70544" w:rsidP="00B309A6" w:rsidRDefault="00D70544" w14:paraId="1B790233" w14:textId="109BED9F">
      <w:pPr>
        <w:pStyle w:val="BodyText"/>
        <w:ind w:firstLine="36pt"/>
        <w:rPr>
          <w:b w:val="0"/>
          <w:bCs w:val="0"/>
        </w:rPr>
      </w:pPr>
      <w:r w:rsidRPr="00CE1645">
        <w:rPr>
          <w:b w:val="0"/>
          <w:bCs w:val="0"/>
        </w:rPr>
        <w:t xml:space="preserve">The information required </w:t>
      </w:r>
      <w:r w:rsidR="00A02861">
        <w:rPr>
          <w:b w:val="0"/>
          <w:bCs w:val="0"/>
        </w:rPr>
        <w:t xml:space="preserve">generally </w:t>
      </w:r>
      <w:r w:rsidRPr="00CE1645">
        <w:rPr>
          <w:b w:val="0"/>
          <w:bCs w:val="0"/>
        </w:rPr>
        <w:t>is not</w:t>
      </w:r>
      <w:r w:rsidRPr="00CE1645" w:rsidR="00D46E7E">
        <w:rPr>
          <w:b w:val="0"/>
          <w:bCs w:val="0"/>
        </w:rPr>
        <w:t xml:space="preserve"> </w:t>
      </w:r>
      <w:r w:rsidRPr="00CE1645">
        <w:rPr>
          <w:b w:val="0"/>
          <w:bCs w:val="0"/>
        </w:rPr>
        <w:t>other</w:t>
      </w:r>
      <w:r w:rsidR="00255EC4">
        <w:rPr>
          <w:b w:val="0"/>
          <w:bCs w:val="0"/>
        </w:rPr>
        <w:t>wise available to the public or</w:t>
      </w:r>
      <w:r w:rsidRPr="00CE1645">
        <w:rPr>
          <w:b w:val="0"/>
          <w:bCs w:val="0"/>
        </w:rPr>
        <w:t xml:space="preserve"> the OCC</w:t>
      </w:r>
      <w:r w:rsidRPr="00CE1645" w:rsidR="00D46E7E">
        <w:rPr>
          <w:b w:val="0"/>
          <w:bCs w:val="0"/>
        </w:rPr>
        <w:t xml:space="preserve">.  </w:t>
      </w:r>
    </w:p>
    <w:p w:rsidR="00651DE3" w:rsidP="00B309A6" w:rsidRDefault="00651DE3" w14:paraId="0C562A82" w14:textId="77777777">
      <w:pPr>
        <w:pStyle w:val="BodyText"/>
        <w:widowControl w:val="0"/>
        <w:ind w:start="5pt" w:end="43.05pt"/>
        <w:rPr>
          <w:bCs w:val="0"/>
          <w:i/>
          <w:iCs/>
        </w:rPr>
      </w:pPr>
    </w:p>
    <w:p w:rsidRPr="0043589A" w:rsidR="0043589A" w:rsidP="00B309A6" w:rsidRDefault="0043589A" w14:paraId="60A977BE" w14:textId="77777777">
      <w:pPr>
        <w:pStyle w:val="BodyText"/>
        <w:widowControl w:val="0"/>
        <w:ind w:start="5pt" w:end="43.05pt"/>
        <w:rPr>
          <w:i/>
        </w:rPr>
      </w:pPr>
      <w:r w:rsidRPr="0043589A">
        <w:rPr>
          <w:bCs w:val="0"/>
          <w:i/>
          <w:iCs/>
        </w:rPr>
        <w:t>5.</w:t>
      </w:r>
      <w:r w:rsidRPr="0043589A">
        <w:rPr>
          <w:bCs w:val="0"/>
          <w:i/>
          <w:iCs/>
        </w:rPr>
        <w:tab/>
      </w:r>
      <w:r w:rsidRPr="0043589A">
        <w:rPr>
          <w:i/>
          <w:spacing w:val="-2"/>
        </w:rPr>
        <w:t>If</w:t>
      </w:r>
      <w:r w:rsidRPr="0043589A">
        <w:rPr>
          <w:i/>
          <w:spacing w:val="-8"/>
        </w:rPr>
        <w:t xml:space="preserve"> </w:t>
      </w:r>
      <w:r w:rsidRPr="0043589A">
        <w:rPr>
          <w:i/>
        </w:rPr>
        <w:t>the</w:t>
      </w:r>
      <w:r w:rsidRPr="0043589A">
        <w:rPr>
          <w:i/>
          <w:spacing w:val="-7"/>
        </w:rPr>
        <w:t xml:space="preserve"> </w:t>
      </w:r>
      <w:r w:rsidRPr="0043589A">
        <w:rPr>
          <w:i/>
          <w:spacing w:val="-1"/>
        </w:rPr>
        <w:t>collection</w:t>
      </w:r>
      <w:r w:rsidRPr="0043589A">
        <w:rPr>
          <w:i/>
          <w:spacing w:val="-7"/>
        </w:rPr>
        <w:t xml:space="preserve"> </w:t>
      </w:r>
      <w:r w:rsidRPr="0043589A">
        <w:rPr>
          <w:i/>
        </w:rPr>
        <w:t>of</w:t>
      </w:r>
      <w:r w:rsidRPr="0043589A">
        <w:rPr>
          <w:i/>
          <w:spacing w:val="-8"/>
        </w:rPr>
        <w:t xml:space="preserve"> </w:t>
      </w:r>
      <w:r w:rsidRPr="0043589A">
        <w:rPr>
          <w:i/>
          <w:spacing w:val="-1"/>
        </w:rPr>
        <w:t>information</w:t>
      </w:r>
      <w:r w:rsidRPr="0043589A">
        <w:rPr>
          <w:i/>
          <w:spacing w:val="-7"/>
        </w:rPr>
        <w:t xml:space="preserve"> </w:t>
      </w:r>
      <w:r w:rsidRPr="0043589A">
        <w:rPr>
          <w:i/>
          <w:spacing w:val="-1"/>
        </w:rPr>
        <w:t>impacts</w:t>
      </w:r>
      <w:r w:rsidRPr="0043589A">
        <w:rPr>
          <w:i/>
          <w:spacing w:val="-6"/>
        </w:rPr>
        <w:t xml:space="preserve"> </w:t>
      </w:r>
      <w:r w:rsidRPr="0043589A">
        <w:rPr>
          <w:i/>
          <w:spacing w:val="-1"/>
        </w:rPr>
        <w:t>small</w:t>
      </w:r>
      <w:r w:rsidRPr="0043589A">
        <w:rPr>
          <w:i/>
          <w:spacing w:val="-7"/>
        </w:rPr>
        <w:t xml:space="preserve"> </w:t>
      </w:r>
      <w:r w:rsidRPr="0043589A">
        <w:rPr>
          <w:i/>
          <w:spacing w:val="-1"/>
        </w:rPr>
        <w:t>businesses</w:t>
      </w:r>
      <w:r w:rsidRPr="0043589A">
        <w:rPr>
          <w:i/>
          <w:spacing w:val="-6"/>
        </w:rPr>
        <w:t xml:space="preserve"> </w:t>
      </w:r>
      <w:r w:rsidRPr="0043589A">
        <w:rPr>
          <w:i/>
        </w:rPr>
        <w:t>or</w:t>
      </w:r>
      <w:r w:rsidRPr="0043589A">
        <w:rPr>
          <w:i/>
          <w:spacing w:val="-8"/>
        </w:rPr>
        <w:t xml:space="preserve"> </w:t>
      </w:r>
      <w:r w:rsidRPr="0043589A">
        <w:rPr>
          <w:i/>
          <w:spacing w:val="1"/>
        </w:rPr>
        <w:t>other</w:t>
      </w:r>
      <w:r w:rsidRPr="0043589A">
        <w:rPr>
          <w:i/>
          <w:spacing w:val="-7"/>
        </w:rPr>
        <w:t xml:space="preserve"> </w:t>
      </w:r>
      <w:r w:rsidRPr="0043589A">
        <w:rPr>
          <w:i/>
          <w:spacing w:val="-1"/>
        </w:rPr>
        <w:t>small</w:t>
      </w:r>
      <w:r w:rsidRPr="0043589A">
        <w:rPr>
          <w:i/>
          <w:spacing w:val="-6"/>
        </w:rPr>
        <w:t xml:space="preserve"> </w:t>
      </w:r>
      <w:r w:rsidRPr="0043589A">
        <w:rPr>
          <w:i/>
        </w:rPr>
        <w:t>entities, describe</w:t>
      </w:r>
      <w:r w:rsidRPr="0043589A">
        <w:rPr>
          <w:i/>
          <w:spacing w:val="-7"/>
        </w:rPr>
        <w:t xml:space="preserve"> </w:t>
      </w:r>
      <w:r w:rsidRPr="0043589A">
        <w:rPr>
          <w:i/>
          <w:spacing w:val="1"/>
        </w:rPr>
        <w:t>any</w:t>
      </w:r>
      <w:r w:rsidRPr="0043589A">
        <w:rPr>
          <w:i/>
          <w:spacing w:val="-11"/>
        </w:rPr>
        <w:t xml:space="preserve"> </w:t>
      </w:r>
      <w:r w:rsidRPr="0043589A">
        <w:rPr>
          <w:i/>
          <w:spacing w:val="-1"/>
        </w:rPr>
        <w:t>methods</w:t>
      </w:r>
      <w:r w:rsidRPr="0043589A">
        <w:rPr>
          <w:i/>
          <w:spacing w:val="-8"/>
        </w:rPr>
        <w:t xml:space="preserve"> </w:t>
      </w:r>
      <w:r w:rsidRPr="0043589A">
        <w:rPr>
          <w:i/>
          <w:spacing w:val="-1"/>
        </w:rPr>
        <w:t>used</w:t>
      </w:r>
      <w:r w:rsidRPr="0043589A">
        <w:rPr>
          <w:i/>
          <w:spacing w:val="-8"/>
        </w:rPr>
        <w:t xml:space="preserve"> </w:t>
      </w:r>
      <w:r w:rsidRPr="0043589A">
        <w:rPr>
          <w:i/>
        </w:rPr>
        <w:t>to</w:t>
      </w:r>
      <w:r w:rsidRPr="0043589A">
        <w:rPr>
          <w:i/>
          <w:spacing w:val="-8"/>
        </w:rPr>
        <w:t xml:space="preserve"> </w:t>
      </w:r>
      <w:r w:rsidRPr="0043589A">
        <w:rPr>
          <w:i/>
        </w:rPr>
        <w:t>minimize</w:t>
      </w:r>
      <w:r w:rsidRPr="0043589A">
        <w:rPr>
          <w:i/>
          <w:spacing w:val="-8"/>
        </w:rPr>
        <w:t xml:space="preserve"> </w:t>
      </w:r>
      <w:r w:rsidRPr="0043589A">
        <w:rPr>
          <w:i/>
          <w:spacing w:val="-1"/>
        </w:rPr>
        <w:t>burden.</w:t>
      </w:r>
    </w:p>
    <w:p w:rsidR="0043589A" w:rsidP="00B309A6" w:rsidRDefault="0043589A" w14:paraId="6063AEE7" w14:textId="77777777"/>
    <w:p w:rsidR="0043589A" w:rsidP="00B309A6" w:rsidRDefault="0043589A" w14:paraId="6B39CFEC" w14:textId="6FB63504">
      <w:pPr>
        <w:ind w:firstLine="36pt"/>
        <w:rPr>
          <w:color w:val="000000"/>
        </w:rPr>
      </w:pPr>
      <w:r>
        <w:rPr>
          <w:color w:val="000000"/>
        </w:rPr>
        <w:t xml:space="preserve">There are no alternatives that would result in further lowering the burden on small institutions while still accomplishing the purpose of the </w:t>
      </w:r>
      <w:r w:rsidR="00401F8F">
        <w:rPr>
          <w:color w:val="000000"/>
        </w:rPr>
        <w:t>survey.</w:t>
      </w:r>
    </w:p>
    <w:p w:rsidRPr="00CE1645" w:rsidR="00D70544" w:rsidP="00B309A6" w:rsidRDefault="00D70544" w14:paraId="23EA822E" w14:textId="77777777">
      <w:pPr>
        <w:pStyle w:val="BodyText"/>
        <w:rPr>
          <w:b w:val="0"/>
          <w:bCs w:val="0"/>
        </w:rPr>
      </w:pPr>
    </w:p>
    <w:p w:rsidRPr="00CE1645" w:rsidR="00D70544" w:rsidP="00B309A6" w:rsidRDefault="00D70544" w14:paraId="7690D27C" w14:textId="77777777">
      <w:pPr>
        <w:pStyle w:val="BodyText"/>
        <w:rPr>
          <w:b w:val="0"/>
          <w:bCs w:val="0"/>
        </w:rPr>
      </w:pPr>
      <w:r w:rsidRPr="00CE1645">
        <w:rPr>
          <w:i/>
          <w:iCs/>
        </w:rPr>
        <w:t>6.  Consequences to the Federal program if the collection were conducted less frequently:</w:t>
      </w:r>
    </w:p>
    <w:p w:rsidRPr="00CE1645" w:rsidR="00D70544" w:rsidP="00B309A6" w:rsidRDefault="00D70544" w14:paraId="2CE7CC98" w14:textId="77777777">
      <w:pPr>
        <w:pStyle w:val="BodyText"/>
        <w:rPr>
          <w:b w:val="0"/>
          <w:bCs w:val="0"/>
        </w:rPr>
      </w:pPr>
    </w:p>
    <w:p w:rsidR="00D70544" w:rsidP="00B309A6" w:rsidRDefault="00B309A6" w14:paraId="55FDD717" w14:textId="6DFED16E">
      <w:pPr>
        <w:pStyle w:val="BodyText"/>
        <w:rPr>
          <w:b w:val="0"/>
          <w:bCs w:val="0"/>
        </w:rPr>
      </w:pPr>
      <w:r>
        <w:rPr>
          <w:b w:val="0"/>
          <w:bCs w:val="0"/>
        </w:rPr>
        <w:tab/>
        <w:t>This is a one-time collection.</w:t>
      </w:r>
    </w:p>
    <w:p w:rsidRPr="00CE1645" w:rsidR="00B309A6" w:rsidP="00B309A6" w:rsidRDefault="00B309A6" w14:paraId="526C7A70" w14:textId="77777777">
      <w:pPr>
        <w:pStyle w:val="BodyText"/>
        <w:rPr>
          <w:b w:val="0"/>
          <w:bCs w:val="0"/>
        </w:rPr>
      </w:pPr>
    </w:p>
    <w:p w:rsidRPr="00CE1645" w:rsidR="00D70544" w:rsidP="00B309A6" w:rsidRDefault="00D70544" w14:paraId="06316925" w14:textId="77777777">
      <w:pPr>
        <w:pStyle w:val="BodyText"/>
        <w:rPr>
          <w:b w:val="0"/>
          <w:bCs w:val="0"/>
        </w:rPr>
      </w:pPr>
      <w:r w:rsidRPr="00CE1645">
        <w:rPr>
          <w:i/>
          <w:iCs/>
        </w:rPr>
        <w:t xml:space="preserve">7.  Special circumstances </w:t>
      </w:r>
      <w:r w:rsidR="0098195F">
        <w:rPr>
          <w:i/>
          <w:iCs/>
        </w:rPr>
        <w:t>that would cause an information collection to be conducted in a manner</w:t>
      </w:r>
      <w:r w:rsidRPr="00CE1645">
        <w:rPr>
          <w:i/>
          <w:iCs/>
        </w:rPr>
        <w:t xml:space="preserve"> inconsistent with 5 CFR </w:t>
      </w:r>
      <w:r w:rsidR="00FD64DD">
        <w:rPr>
          <w:i/>
          <w:iCs/>
        </w:rPr>
        <w:t>p</w:t>
      </w:r>
      <w:r w:rsidR="0098195F">
        <w:rPr>
          <w:i/>
          <w:iCs/>
        </w:rPr>
        <w:t xml:space="preserve">art </w:t>
      </w:r>
      <w:r w:rsidRPr="00CE1645">
        <w:rPr>
          <w:i/>
          <w:iCs/>
        </w:rPr>
        <w:t>1320:</w:t>
      </w:r>
    </w:p>
    <w:p w:rsidRPr="00CE1645" w:rsidR="00D70544" w:rsidP="00B309A6" w:rsidRDefault="00D70544" w14:paraId="309B777A" w14:textId="77777777">
      <w:pPr>
        <w:pStyle w:val="BodyText"/>
        <w:rPr>
          <w:b w:val="0"/>
          <w:bCs w:val="0"/>
        </w:rPr>
      </w:pPr>
    </w:p>
    <w:p w:rsidRPr="00CE1645" w:rsidR="00D70544" w:rsidP="00B309A6" w:rsidRDefault="00FF629F" w14:paraId="57433E4A" w14:textId="77777777">
      <w:pPr>
        <w:pStyle w:val="BodyText"/>
        <w:ind w:firstLine="36pt"/>
        <w:rPr>
          <w:b w:val="0"/>
          <w:bCs w:val="0"/>
        </w:rPr>
      </w:pPr>
      <w:r>
        <w:rPr>
          <w:b w:val="0"/>
          <w:bCs w:val="0"/>
        </w:rPr>
        <w:t>Not applicable.</w:t>
      </w:r>
    </w:p>
    <w:p w:rsidRPr="00CE1645" w:rsidR="00D70544" w:rsidP="00B309A6" w:rsidRDefault="00D70544" w14:paraId="49B974D9" w14:textId="77777777">
      <w:pPr>
        <w:pStyle w:val="BodyText"/>
        <w:rPr>
          <w:b w:val="0"/>
          <w:bCs w:val="0"/>
        </w:rPr>
      </w:pPr>
    </w:p>
    <w:p w:rsidRPr="00CE1645" w:rsidR="00D70544" w:rsidP="00B309A6" w:rsidRDefault="00D70544" w14:paraId="6AC48C1C" w14:textId="77777777">
      <w:pPr>
        <w:pStyle w:val="BodyText"/>
        <w:rPr>
          <w:b w:val="0"/>
          <w:bCs w:val="0"/>
        </w:rPr>
      </w:pPr>
      <w:r w:rsidRPr="00CE1645">
        <w:rPr>
          <w:i/>
          <w:iCs/>
        </w:rPr>
        <w:t>8.  Efforts to consult with persons outside the agency:</w:t>
      </w:r>
    </w:p>
    <w:p w:rsidRPr="00CE1645" w:rsidR="00D70544" w:rsidP="00B309A6" w:rsidRDefault="00D70544" w14:paraId="114001DD" w14:textId="77777777">
      <w:pPr>
        <w:pStyle w:val="BodyText"/>
        <w:rPr>
          <w:b w:val="0"/>
          <w:bCs w:val="0"/>
        </w:rPr>
      </w:pPr>
    </w:p>
    <w:p w:rsidR="00D70544" w:rsidP="00B309A6" w:rsidRDefault="00401F8F" w14:paraId="5F944025" w14:textId="5CDFB9F2">
      <w:pPr>
        <w:pStyle w:val="BodyText"/>
        <w:ind w:firstLine="36pt"/>
        <w:rPr>
          <w:b w:val="0"/>
        </w:rPr>
      </w:pPr>
      <w:r>
        <w:rPr>
          <w:b w:val="0"/>
        </w:rPr>
        <w:t>N/A.</w:t>
      </w:r>
    </w:p>
    <w:p w:rsidRPr="00CE1645" w:rsidR="005D69DC" w:rsidP="00B309A6" w:rsidRDefault="005D69DC" w14:paraId="556DA282" w14:textId="77777777">
      <w:pPr>
        <w:pStyle w:val="BodyText"/>
        <w:ind w:firstLine="36pt"/>
        <w:rPr>
          <w:b w:val="0"/>
          <w:bCs w:val="0"/>
        </w:rPr>
      </w:pPr>
    </w:p>
    <w:p w:rsidRPr="00CE1645" w:rsidR="00D70544" w:rsidP="00B309A6" w:rsidRDefault="00D70544" w14:paraId="6A00319C" w14:textId="77777777">
      <w:pPr>
        <w:pStyle w:val="BodyText"/>
        <w:rPr>
          <w:b w:val="0"/>
          <w:bCs w:val="0"/>
        </w:rPr>
      </w:pPr>
      <w:r w:rsidRPr="00CE1645">
        <w:rPr>
          <w:i/>
          <w:iCs/>
        </w:rPr>
        <w:t xml:space="preserve">9.  Payment </w:t>
      </w:r>
      <w:r w:rsidR="0098195F">
        <w:rPr>
          <w:i/>
          <w:iCs/>
        </w:rPr>
        <w:t xml:space="preserve">or gift </w:t>
      </w:r>
      <w:r w:rsidRPr="00CE1645">
        <w:rPr>
          <w:i/>
          <w:iCs/>
        </w:rPr>
        <w:t>to respondents:</w:t>
      </w:r>
    </w:p>
    <w:p w:rsidRPr="00CE1645" w:rsidR="00D70544" w:rsidP="00B309A6" w:rsidRDefault="00D70544" w14:paraId="247C2C74" w14:textId="77777777">
      <w:pPr>
        <w:pStyle w:val="BodyText"/>
        <w:rPr>
          <w:b w:val="0"/>
          <w:bCs w:val="0"/>
        </w:rPr>
      </w:pPr>
    </w:p>
    <w:p w:rsidRPr="00CE1645" w:rsidR="00D70544" w:rsidP="00B309A6" w:rsidRDefault="00D70544" w14:paraId="4AC21E81" w14:textId="77777777">
      <w:pPr>
        <w:pStyle w:val="BodyText"/>
        <w:ind w:firstLine="36pt"/>
        <w:rPr>
          <w:b w:val="0"/>
          <w:bCs w:val="0"/>
        </w:rPr>
      </w:pPr>
      <w:r w:rsidRPr="00CE1645">
        <w:rPr>
          <w:b w:val="0"/>
          <w:bCs w:val="0"/>
        </w:rPr>
        <w:t>None.</w:t>
      </w:r>
    </w:p>
    <w:p w:rsidRPr="00CE1645" w:rsidR="00D70544" w:rsidP="00B309A6" w:rsidRDefault="00D70544" w14:paraId="141915D4" w14:textId="77777777">
      <w:pPr>
        <w:pStyle w:val="BodyText"/>
        <w:rPr>
          <w:b w:val="0"/>
          <w:bCs w:val="0"/>
        </w:rPr>
      </w:pPr>
    </w:p>
    <w:p w:rsidRPr="00CE1645" w:rsidR="00D70544" w:rsidP="00B309A6" w:rsidRDefault="00D70544" w14:paraId="21672D20" w14:textId="77777777">
      <w:pPr>
        <w:pStyle w:val="BodyText"/>
        <w:rPr>
          <w:b w:val="0"/>
          <w:bCs w:val="0"/>
        </w:rPr>
      </w:pPr>
      <w:r w:rsidRPr="00CE1645">
        <w:rPr>
          <w:i/>
          <w:iCs/>
        </w:rPr>
        <w:t>10.  Any assurance of confidentiality:</w:t>
      </w:r>
    </w:p>
    <w:p w:rsidRPr="00CE1645" w:rsidR="00D70544" w:rsidP="00B309A6" w:rsidRDefault="00D70544" w14:paraId="0E3AE691" w14:textId="77777777">
      <w:pPr>
        <w:pStyle w:val="BodyText"/>
        <w:rPr>
          <w:b w:val="0"/>
          <w:bCs w:val="0"/>
        </w:rPr>
      </w:pPr>
    </w:p>
    <w:p w:rsidRPr="00CE1645" w:rsidR="00D70544" w:rsidP="00B309A6" w:rsidRDefault="0098195F" w14:paraId="04ABF629" w14:textId="77777777">
      <w:pPr>
        <w:pStyle w:val="BodyText"/>
        <w:ind w:firstLine="36pt"/>
        <w:rPr>
          <w:b w:val="0"/>
          <w:bCs w:val="0"/>
        </w:rPr>
      </w:pPr>
      <w:r>
        <w:rPr>
          <w:b w:val="0"/>
          <w:bCs w:val="0"/>
        </w:rPr>
        <w:t>The information is kept private to the extent permitted by law.</w:t>
      </w:r>
    </w:p>
    <w:p w:rsidRPr="00CE1645" w:rsidR="005D215A" w:rsidP="00B309A6" w:rsidRDefault="005D215A" w14:paraId="540F402F" w14:textId="77777777">
      <w:pPr>
        <w:pStyle w:val="BodyText"/>
        <w:rPr>
          <w:i/>
          <w:iCs/>
        </w:rPr>
      </w:pPr>
    </w:p>
    <w:p w:rsidRPr="00CE1645" w:rsidR="00D70544" w:rsidP="00B309A6" w:rsidRDefault="00D70544" w14:paraId="681E3B3D" w14:textId="77777777">
      <w:pPr>
        <w:pStyle w:val="BodyText"/>
        <w:rPr>
          <w:b w:val="0"/>
          <w:bCs w:val="0"/>
        </w:rPr>
      </w:pPr>
      <w:r w:rsidRPr="00CE1645">
        <w:rPr>
          <w:i/>
          <w:iCs/>
        </w:rPr>
        <w:t>11.  Justification for questions of a sensitive nature:</w:t>
      </w:r>
    </w:p>
    <w:p w:rsidRPr="00CE1645" w:rsidR="00D70544" w:rsidP="00B309A6" w:rsidRDefault="00D70544" w14:paraId="6AD39023" w14:textId="77777777">
      <w:pPr>
        <w:pStyle w:val="BodyText"/>
        <w:rPr>
          <w:b w:val="0"/>
          <w:bCs w:val="0"/>
        </w:rPr>
      </w:pPr>
    </w:p>
    <w:p w:rsidR="00D70544" w:rsidP="00B309A6" w:rsidRDefault="0098195F" w14:paraId="514D8E04" w14:textId="77777777">
      <w:pPr>
        <w:pStyle w:val="BodyText"/>
        <w:rPr>
          <w:b w:val="0"/>
          <w:bCs w:val="0"/>
        </w:rPr>
      </w:pPr>
      <w:r>
        <w:rPr>
          <w:b w:val="0"/>
          <w:bCs w:val="0"/>
        </w:rPr>
        <w:tab/>
        <w:t>Not applicable.</w:t>
      </w:r>
    </w:p>
    <w:p w:rsidRPr="00CE1645" w:rsidR="0098195F" w:rsidP="00B309A6" w:rsidRDefault="0098195F" w14:paraId="274E20AC" w14:textId="77777777">
      <w:pPr>
        <w:pStyle w:val="BodyText"/>
        <w:rPr>
          <w:b w:val="0"/>
          <w:bCs w:val="0"/>
        </w:rPr>
      </w:pPr>
    </w:p>
    <w:p w:rsidRPr="00CE1645" w:rsidR="00D70544" w:rsidP="00B309A6" w:rsidRDefault="00D70544" w14:paraId="7B482B91" w14:textId="77777777">
      <w:pPr>
        <w:pStyle w:val="BodyText2"/>
      </w:pPr>
      <w:r w:rsidRPr="00CE1645">
        <w:t>12.  Burden estimate:</w:t>
      </w:r>
    </w:p>
    <w:p w:rsidRPr="00CE1645" w:rsidR="00D70544" w:rsidP="00B309A6" w:rsidRDefault="00D70544" w14:paraId="1ABC45A6" w14:textId="77777777"/>
    <w:p w:rsidR="00D70544" w:rsidP="00B309A6" w:rsidRDefault="00FF629F" w14:paraId="43C8C167" w14:textId="24D75DC0">
      <w:r>
        <w:t>Estimated Number of Respondents:</w:t>
      </w:r>
      <w:r w:rsidR="007A79E0">
        <w:t xml:space="preserve">  </w:t>
      </w:r>
      <w:r w:rsidR="006E362D">
        <w:t>105</w:t>
      </w:r>
      <w:r w:rsidR="005360A3">
        <w:t>.</w:t>
      </w:r>
    </w:p>
    <w:p w:rsidR="00FF629F" w:rsidP="00B309A6" w:rsidRDefault="00FF629F" w14:paraId="07B06CEE" w14:textId="05A23D43">
      <w:r>
        <w:t>Estimated Burden Per Respondent:</w:t>
      </w:r>
      <w:r w:rsidR="007A79E0">
        <w:t xml:space="preserve">  </w:t>
      </w:r>
      <w:r w:rsidR="00F70113">
        <w:t>1,390.47</w:t>
      </w:r>
      <w:r w:rsidR="007A79E0">
        <w:t xml:space="preserve"> hours</w:t>
      </w:r>
      <w:r w:rsidR="00384329">
        <w:t>.</w:t>
      </w:r>
    </w:p>
    <w:p w:rsidR="00FF629F" w:rsidP="00B309A6" w:rsidRDefault="00FF629F" w14:paraId="164F9824" w14:textId="3F25BD75">
      <w:r>
        <w:t xml:space="preserve">Total Estimated Burden: </w:t>
      </w:r>
      <w:r w:rsidR="00F70113">
        <w:t>146</w:t>
      </w:r>
      <w:r w:rsidR="00135317">
        <w:t>,000</w:t>
      </w:r>
      <w:r>
        <w:t xml:space="preserve"> hours.</w:t>
      </w:r>
    </w:p>
    <w:p w:rsidRPr="00CE1645" w:rsidR="00FF629F" w:rsidP="00B309A6" w:rsidRDefault="00FF629F" w14:paraId="068C60F8" w14:textId="77777777"/>
    <w:p w:rsidRPr="00BE4CEC" w:rsidR="00D70544" w:rsidP="00B309A6" w:rsidRDefault="00D70544" w14:paraId="5270ACEF" w14:textId="77777777">
      <w:pPr>
        <w:rPr>
          <w:b/>
          <w:iCs/>
        </w:rPr>
      </w:pPr>
      <w:r w:rsidRPr="00BE4CEC">
        <w:rPr>
          <w:b/>
          <w:iCs/>
        </w:rPr>
        <w:t>Cost of Hour Burden to Respondents:</w:t>
      </w:r>
    </w:p>
    <w:p w:rsidR="000560C0" w:rsidP="00B309A6" w:rsidRDefault="000560C0" w14:paraId="47A7386C" w14:textId="77777777">
      <w:pPr>
        <w:rPr>
          <w:i/>
          <w:iCs/>
        </w:rPr>
      </w:pPr>
    </w:p>
    <w:p w:rsidRPr="000560C0" w:rsidR="000560C0" w:rsidP="00B309A6" w:rsidRDefault="00384329" w14:paraId="752C5AC7" w14:textId="77180490">
      <w:pPr>
        <w:rPr>
          <w:iCs/>
        </w:rPr>
      </w:pPr>
      <w:r>
        <w:rPr>
          <w:iCs/>
        </w:rPr>
        <w:t>146</w:t>
      </w:r>
      <w:r w:rsidR="00135317">
        <w:rPr>
          <w:iCs/>
        </w:rPr>
        <w:t>,000</w:t>
      </w:r>
      <w:r w:rsidR="00C14E6B">
        <w:rPr>
          <w:iCs/>
        </w:rPr>
        <w:t xml:space="preserve"> hours x $11</w:t>
      </w:r>
      <w:r w:rsidR="00401F8F">
        <w:rPr>
          <w:iCs/>
        </w:rPr>
        <w:t>5.19</w:t>
      </w:r>
      <w:r w:rsidR="000560C0">
        <w:rPr>
          <w:iCs/>
        </w:rPr>
        <w:t xml:space="preserve"> = $</w:t>
      </w:r>
      <w:r>
        <w:rPr>
          <w:iCs/>
        </w:rPr>
        <w:t>16,817,740.</w:t>
      </w:r>
    </w:p>
    <w:p w:rsidRPr="00CE1645" w:rsidR="00D70544" w:rsidP="00B309A6" w:rsidRDefault="00D70544" w14:paraId="41A37270" w14:textId="77777777">
      <w:pPr>
        <w:rPr>
          <w:b/>
          <w:bCs/>
        </w:rPr>
      </w:pPr>
    </w:p>
    <w:p w:rsidRPr="0064167F" w:rsidR="00401F8F" w:rsidP="00B309A6" w:rsidRDefault="00401F8F" w14:paraId="08172561" w14:textId="77777777">
      <w:pPr>
        <w:rPr>
          <w:szCs w:val="24"/>
        </w:rPr>
      </w:pPr>
      <w:r>
        <w:rPr>
          <w:color w:val="000000"/>
          <w:szCs w:val="24"/>
        </w:rPr>
        <w:t xml:space="preserve">To estimate wages the OCC reviewed May 2019 data for wages (by industry and occupation) from the U.S. Bureau of Labor Statistics (BLS) for credit intermediation and related activities excluding </w:t>
      </w:r>
      <w:proofErr w:type="spellStart"/>
      <w:r>
        <w:rPr>
          <w:color w:val="000000"/>
          <w:szCs w:val="24"/>
        </w:rPr>
        <w:t>nondepository</w:t>
      </w:r>
      <w:proofErr w:type="spellEnd"/>
      <w:r>
        <w:rPr>
          <w:color w:val="000000"/>
          <w:szCs w:val="24"/>
        </w:rPr>
        <w:t xml:space="preserve"> credit intermediaries (NAICS 5220A1).  To estimate compensation costs associated with the rule, the OCC uses $115.19 per hour, which is based on the average of the 90th percentile for six occupations adjusted for inflation (3.1 percent as of Q1 2020 according to the BLS), plus an additional 33.4 percent for benefits (based on the percent of total </w:t>
      </w:r>
      <w:r>
        <w:rPr>
          <w:color w:val="000000"/>
          <w:szCs w:val="24"/>
        </w:rPr>
        <w:lastRenderedPageBreak/>
        <w:t>compensation allocated to benefits as of Q4 2019 for NAICS 522: credit intermediation and related activities).</w:t>
      </w:r>
    </w:p>
    <w:p w:rsidRPr="00CE1645" w:rsidR="00D70544" w:rsidP="00B309A6" w:rsidRDefault="00D70544" w14:paraId="1D8667AF" w14:textId="77777777"/>
    <w:p w:rsidRPr="00CE1645" w:rsidR="00D70544" w:rsidP="00B309A6" w:rsidRDefault="00D70544" w14:paraId="48445CFF" w14:textId="77777777">
      <w:r w:rsidRPr="00CE1645">
        <w:rPr>
          <w:b/>
          <w:bCs/>
          <w:i/>
          <w:iCs/>
        </w:rPr>
        <w:t>13.  Estimate of annualized costs to respondents (excluding the cost of hour burden in Items 12 and 14):</w:t>
      </w:r>
    </w:p>
    <w:p w:rsidRPr="00CE1645" w:rsidR="00D70544" w:rsidP="00B309A6" w:rsidRDefault="00D70544" w14:paraId="01B073DD" w14:textId="77777777"/>
    <w:p w:rsidR="008C622C" w:rsidP="00B309A6" w:rsidRDefault="00A14AE7" w14:paraId="3DBCA3A6" w14:textId="3039D92E">
      <w:pPr>
        <w:ind w:firstLine="36pt"/>
      </w:pPr>
      <w:r>
        <w:t>None.</w:t>
      </w:r>
    </w:p>
    <w:p w:rsidR="007135A0" w:rsidP="00B309A6" w:rsidRDefault="007135A0" w14:paraId="2CB0C93E" w14:textId="77777777">
      <w:pPr>
        <w:rPr>
          <w:b/>
          <w:bCs/>
          <w:i/>
          <w:iCs/>
        </w:rPr>
      </w:pPr>
    </w:p>
    <w:p w:rsidRPr="00CE1645" w:rsidR="00D70544" w:rsidP="00B309A6" w:rsidRDefault="00D70544" w14:paraId="152509AC" w14:textId="77777777">
      <w:r w:rsidRPr="00CE1645">
        <w:rPr>
          <w:b/>
          <w:bCs/>
          <w:i/>
          <w:iCs/>
        </w:rPr>
        <w:t>14.  Estimate of annualized costs to the Federal government:</w:t>
      </w:r>
    </w:p>
    <w:p w:rsidRPr="00CE1645" w:rsidR="00D70544" w:rsidP="00B309A6" w:rsidRDefault="00D70544" w14:paraId="48F0BD29" w14:textId="77777777"/>
    <w:p w:rsidRPr="00CE1645" w:rsidR="00D70544" w:rsidP="00B309A6" w:rsidRDefault="0098195F" w14:paraId="5695B824" w14:textId="77777777">
      <w:pPr>
        <w:ind w:firstLine="36pt"/>
      </w:pPr>
      <w:r>
        <w:t>Not applicable.</w:t>
      </w:r>
    </w:p>
    <w:p w:rsidRPr="00CE1645" w:rsidR="00D70544" w:rsidP="00B309A6" w:rsidRDefault="00D70544" w14:paraId="48C62CA5" w14:textId="77777777"/>
    <w:p w:rsidR="00D70544" w:rsidP="00B309A6" w:rsidRDefault="00A14AE7" w14:paraId="75ABA189" w14:textId="78761D2B">
      <w:pPr>
        <w:rPr>
          <w:b/>
          <w:bCs/>
          <w:i/>
          <w:iCs/>
        </w:rPr>
      </w:pPr>
      <w:r>
        <w:rPr>
          <w:b/>
          <w:bCs/>
          <w:i/>
          <w:iCs/>
        </w:rPr>
        <w:t>15.  Change</w:t>
      </w:r>
      <w:r w:rsidRPr="00CE1645" w:rsidR="00D70544">
        <w:rPr>
          <w:b/>
          <w:bCs/>
          <w:i/>
          <w:iCs/>
        </w:rPr>
        <w:t xml:space="preserve"> in burden:</w:t>
      </w:r>
    </w:p>
    <w:p w:rsidR="00FE562E" w:rsidP="00B309A6" w:rsidRDefault="00FE562E" w14:paraId="6649E278" w14:textId="3B820C81">
      <w:pPr>
        <w:rPr>
          <w:b/>
          <w:bCs/>
          <w:i/>
          <w:iCs/>
        </w:rPr>
      </w:pPr>
    </w:p>
    <w:p w:rsidRPr="00FE562E" w:rsidR="00FE562E" w:rsidP="00B309A6" w:rsidRDefault="00FE562E" w14:paraId="072694D2" w14:textId="4266E2FD">
      <w:r>
        <w:rPr>
          <w:b/>
          <w:bCs/>
          <w:i/>
          <w:iCs/>
        </w:rPr>
        <w:tab/>
      </w:r>
      <w:r>
        <w:t xml:space="preserve">+ </w:t>
      </w:r>
      <w:r w:rsidR="007351CD">
        <w:t>146</w:t>
      </w:r>
      <w:r>
        <w:t>,000 hours.</w:t>
      </w:r>
    </w:p>
    <w:p w:rsidRPr="00CE1645" w:rsidR="00D70544" w:rsidP="00B309A6" w:rsidRDefault="00D70544" w14:paraId="5460FEAD" w14:textId="77777777"/>
    <w:p w:rsidR="008C622C" w:rsidP="00B309A6" w:rsidRDefault="00401F8F" w14:paraId="4414CEBD" w14:textId="625DAD02">
      <w:pPr>
        <w:ind w:firstLine="36pt"/>
      </w:pPr>
      <w:r>
        <w:t xml:space="preserve">The increase in burden is </w:t>
      </w:r>
      <w:proofErr w:type="gramStart"/>
      <w:r>
        <w:t>due to the fact that</w:t>
      </w:r>
      <w:proofErr w:type="gramEnd"/>
      <w:r>
        <w:t xml:space="preserve"> this is a new collection.</w:t>
      </w:r>
    </w:p>
    <w:p w:rsidRPr="00CE1645" w:rsidR="00D70544" w:rsidP="00B309A6" w:rsidRDefault="00D70544" w14:paraId="56AF3230" w14:textId="77777777"/>
    <w:p w:rsidRPr="00CE1645" w:rsidR="00D70544" w:rsidP="00B309A6" w:rsidRDefault="00D70544" w14:paraId="1A254EC1" w14:textId="77777777">
      <w:pPr>
        <w:pStyle w:val="BodyText2"/>
      </w:pPr>
      <w:r w:rsidRPr="00CE1645">
        <w:t>16.  Information regarding collections whose results are to be published for statistical use:</w:t>
      </w:r>
    </w:p>
    <w:p w:rsidRPr="00CE1645" w:rsidR="00D70544" w:rsidP="00B309A6" w:rsidRDefault="00D70544" w14:paraId="244B0A7F" w14:textId="77777777"/>
    <w:p w:rsidRPr="00CE1645" w:rsidR="00D70544" w:rsidP="00B309A6" w:rsidRDefault="00D70544" w14:paraId="6DDE6F71" w14:textId="77777777">
      <w:pPr>
        <w:ind w:firstLine="36pt"/>
      </w:pPr>
      <w:r w:rsidRPr="00CE1645">
        <w:t>Not applicable.</w:t>
      </w:r>
    </w:p>
    <w:p w:rsidRPr="00CE1645" w:rsidR="00D70544" w:rsidP="00B309A6" w:rsidRDefault="00D70544" w14:paraId="096642EE" w14:textId="77777777"/>
    <w:p w:rsidRPr="00CE1645" w:rsidR="00D70544" w:rsidP="00B309A6" w:rsidRDefault="00D70544" w14:paraId="3322681F" w14:textId="77777777">
      <w:pPr>
        <w:pStyle w:val="BodyText2"/>
      </w:pPr>
      <w:r w:rsidRPr="00CE1645">
        <w:t>17.  Display of expiration date:</w:t>
      </w:r>
    </w:p>
    <w:p w:rsidRPr="00CE1645" w:rsidR="00D70544" w:rsidP="00B309A6" w:rsidRDefault="00D70544" w14:paraId="4A0147ED" w14:textId="77777777">
      <w:pPr>
        <w:rPr>
          <w:b/>
          <w:bCs/>
          <w:i/>
          <w:iCs/>
        </w:rPr>
      </w:pPr>
    </w:p>
    <w:p w:rsidRPr="00CE1645" w:rsidR="00D70544" w:rsidP="00B309A6" w:rsidRDefault="00D70544" w14:paraId="2E3120B2" w14:textId="77777777">
      <w:pPr>
        <w:ind w:firstLine="36pt"/>
      </w:pPr>
      <w:r w:rsidRPr="00CE1645">
        <w:t>Not applicable.</w:t>
      </w:r>
    </w:p>
    <w:p w:rsidRPr="00CE1645" w:rsidR="00D70544" w:rsidP="00B309A6" w:rsidRDefault="00D70544" w14:paraId="2DC01F16" w14:textId="77777777"/>
    <w:p w:rsidRPr="00CE1645" w:rsidR="00D70544" w:rsidP="00B309A6" w:rsidRDefault="00D70544" w14:paraId="3E756157" w14:textId="77777777">
      <w:pPr>
        <w:pStyle w:val="BodyText2"/>
      </w:pPr>
      <w:r w:rsidRPr="00CE1645">
        <w:t>18.  Exceptions to certification statement:</w:t>
      </w:r>
    </w:p>
    <w:p w:rsidRPr="00CE1645" w:rsidR="00D70544" w:rsidP="00B309A6" w:rsidRDefault="00D70544" w14:paraId="382411FC" w14:textId="77777777"/>
    <w:p w:rsidRPr="00CE1645" w:rsidR="00D70544" w:rsidP="00B309A6" w:rsidRDefault="00D70544" w14:paraId="5AD2C00B" w14:textId="77777777">
      <w:pPr>
        <w:ind w:firstLine="36pt"/>
      </w:pPr>
      <w:r w:rsidRPr="00CE1645">
        <w:t>None.</w:t>
      </w:r>
    </w:p>
    <w:p w:rsidRPr="00CE1645" w:rsidR="00D70544" w:rsidP="00B309A6" w:rsidRDefault="00D70544" w14:paraId="621E5B7B" w14:textId="77777777"/>
    <w:p w:rsidRPr="00CE1645" w:rsidR="00D70544" w:rsidP="00B309A6" w:rsidRDefault="00D70544" w14:paraId="41A876B1" w14:textId="77777777">
      <w:pPr>
        <w:pStyle w:val="BodyText"/>
      </w:pPr>
      <w:r w:rsidRPr="00CE1645">
        <w:t>B.  Collections of Information Employing Statistical Methods</w:t>
      </w:r>
      <w:r w:rsidR="0098195F">
        <w:t>.</w:t>
      </w:r>
    </w:p>
    <w:p w:rsidRPr="00CE1645" w:rsidR="00D70544" w:rsidP="00B309A6" w:rsidRDefault="00D70544" w14:paraId="76DE4B8D" w14:textId="77777777">
      <w:pPr>
        <w:rPr>
          <w:b/>
          <w:bCs/>
          <w:i/>
          <w:iCs/>
        </w:rPr>
      </w:pPr>
    </w:p>
    <w:p w:rsidRPr="00CE1645" w:rsidR="00D70544" w:rsidP="00B309A6" w:rsidRDefault="00D70544" w14:paraId="4905459A" w14:textId="77777777">
      <w:pPr>
        <w:ind w:firstLine="36pt"/>
        <w:rPr>
          <w:b/>
          <w:bCs/>
          <w:i/>
          <w:iCs/>
        </w:rPr>
      </w:pPr>
      <w:r w:rsidRPr="00CE1645">
        <w:t>Not applicable.</w:t>
      </w:r>
    </w:p>
    <w:sectPr w:rsidRPr="00CE1645" w:rsidR="00D70544">
      <w:footerReference w:type="even" r:id="rId7"/>
      <w:footerReference w:type="default" r:id="rId8"/>
      <w:pgSz w:w="612pt" w:h="792pt" w:code="1"/>
      <w:pgMar w:top="72pt" w:right="72pt" w:bottom="72pt" w:left="72pt" w:header="36pt" w:footer="36pt" w:gutter="0pt"/>
      <w:cols w:space="36pt"/>
      <w:titlePg/>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401F8F" w:rsidRDefault="00401F8F" w14:paraId="6ABB1391" w14:textId="77777777">
      <w:r>
        <w:separator/>
      </w:r>
    </w:p>
  </w:endnote>
  <w:endnote w:type="continuationSeparator" w:id="0">
    <w:p w:rsidR="00401F8F" w:rsidRDefault="00401F8F" w14:paraId="353447B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Courier New">
    <w:panose1 w:val="02070309020205020404"/>
    <w:charset w:characterSet="iso-8859-1"/>
    <w:family w:val="modern"/>
    <w:pitch w:val="fixed"/>
    <w:sig w:usb0="E0002EFF" w:usb1="C0007843"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 w:name="Calibri Light">
    <w:panose1 w:val="020F03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401F8F" w:rsidRDefault="00401F8F" w14:paraId="54FD865D" w14:textId="77777777">
    <w:pPr>
      <w:pStyle w:val="Footer"/>
      <w:framePr w:wrap="around" w:hAnchor="margin" w:vAnchor="text" w:xAlign="center" w:y="0.05pt"/>
      <w:rPr>
        <w:rStyle w:val="PageNumber"/>
      </w:rPr>
    </w:pPr>
    <w:r>
      <w:rPr>
        <w:rStyle w:val="PageNumber"/>
      </w:rPr>
      <w:fldChar w:fldCharType="begin"/>
    </w:r>
    <w:r>
      <w:rPr>
        <w:rStyle w:val="PageNumber"/>
      </w:rPr>
      <w:instrText xml:space="preserve">PAGE  </w:instrText>
    </w:r>
    <w:r>
      <w:rPr>
        <w:rStyle w:val="PageNumber"/>
      </w:rPr>
      <w:fldChar w:fldCharType="end"/>
    </w:r>
  </w:p>
  <w:p w:rsidR="00401F8F" w:rsidRDefault="00401F8F" w14:paraId="1D187707" w14:textId="77777777">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401F8F" w:rsidRDefault="00401F8F" w14:paraId="2C884A60" w14:textId="77777777">
    <w:pPr>
      <w:pStyle w:val="Footer"/>
      <w:framePr w:wrap="around" w:hAnchor="margin" w:vAnchor="text" w:xAlign="center" w:y="0.05p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401F8F" w:rsidRDefault="00401F8F" w14:paraId="039A101B" w14:textId="77777777">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401F8F" w:rsidRDefault="00401F8F" w14:paraId="581A389F" w14:textId="77777777">
      <w:r>
        <w:separator/>
      </w:r>
    </w:p>
  </w:footnote>
  <w:footnote w:type="continuationSeparator" w:id="0">
    <w:p w:rsidR="00401F8F" w:rsidRDefault="00401F8F" w14:paraId="3D87E346" w14:textId="77777777">
      <w:r>
        <w:continuationSeparator/>
      </w:r>
    </w:p>
  </w:footnote>
  <w:footnote w:id="1">
    <w:p w:rsidRPr="00AB75C5" w:rsidR="00F758FA" w:rsidP="00F758FA" w:rsidRDefault="00F758FA" w14:paraId="355356B2" w14:textId="77777777">
      <w:pPr>
        <w:pStyle w:val="FootnoteText"/>
        <w:rPr>
          <w:i/>
        </w:rPr>
      </w:pPr>
      <w:r w:rsidRPr="001D64DC">
        <w:rPr>
          <w:rStyle w:val="FootnoteReference"/>
        </w:rPr>
        <w:footnoteRef/>
      </w:r>
      <w:r w:rsidRPr="001D64DC">
        <w:t xml:space="preserve"> </w:t>
      </w:r>
      <w:r w:rsidRPr="00AB75C5">
        <w:t>85 FR 34734 (June 5, 2020).</w:t>
      </w:r>
      <w:r w:rsidRPr="00AB75C5">
        <w:rPr>
          <w:i/>
        </w:rPr>
        <w:t xml:space="preserve"> </w:t>
      </w:r>
    </w:p>
  </w:footnote>
  <w:footnote w:id="2">
    <w:p w:rsidR="00D10722" w:rsidP="00D10722" w:rsidRDefault="00D10722" w14:paraId="3C9A9E5E" w14:textId="77777777">
      <w:pPr>
        <w:pStyle w:val="FootnoteText"/>
      </w:pPr>
      <w:r>
        <w:rPr>
          <w:rStyle w:val="FootnoteReference"/>
        </w:rPr>
        <w:footnoteRef/>
      </w:r>
      <w:r>
        <w:t xml:space="preserve"> 85 FR 34734, 34773.</w:t>
      </w:r>
    </w:p>
  </w:footnote>
  <w:footnote w:id="3">
    <w:p w:rsidRPr="001D64DC" w:rsidR="00F758FA" w:rsidP="00F758FA" w:rsidRDefault="00F758FA" w14:paraId="4A44B9BC" w14:textId="77777777">
      <w:pPr>
        <w:pStyle w:val="FootnoteText"/>
      </w:pPr>
      <w:r w:rsidRPr="001D64DC">
        <w:rPr>
          <w:rStyle w:val="FootnoteReference"/>
        </w:rPr>
        <w:footnoteRef/>
      </w:r>
      <w:r w:rsidRPr="001D64DC">
        <w:t xml:space="preserve"> 85 FR 34734, 34773.</w:t>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9180C26"/>
    <w:multiLevelType w:val="multilevel"/>
    <w:tmpl w:val="577EE89A"/>
    <w:lvl w:ilvl="0">
      <w:start w:val="1"/>
      <w:numFmt w:val="upperRoman"/>
      <w:suff w:val="nothing"/>
      <w:lvlText w:val="Article %1"/>
      <w:lvlJc w:val="start"/>
      <w:pPr>
        <w:ind w:start="0pt" w:firstLine="0pt"/>
      </w:pPr>
      <w:rPr>
        <w:b w:val="0"/>
        <w:i w:val="0"/>
      </w:rPr>
    </w:lvl>
    <w:lvl w:ilvl="1">
      <w:start w:val="1"/>
      <w:numFmt w:val="decimal"/>
      <w:lvlText w:val="(%2)"/>
      <w:lvlJc w:val="start"/>
      <w:pPr>
        <w:tabs>
          <w:tab w:val="num" w:pos="18pt"/>
        </w:tabs>
        <w:ind w:start="0pt" w:firstLine="0pt"/>
      </w:pPr>
    </w:lvl>
    <w:lvl w:ilvl="2">
      <w:start w:val="1"/>
      <w:numFmt w:val="lowerLetter"/>
      <w:lvlText w:val="(%3)"/>
      <w:lvlJc w:val="start"/>
      <w:pPr>
        <w:tabs>
          <w:tab w:val="num" w:pos="36pt"/>
        </w:tabs>
        <w:ind w:start="36pt" w:hanging="21.60pt"/>
      </w:pPr>
    </w:lvl>
    <w:lvl w:ilvl="3">
      <w:start w:val="1"/>
      <w:numFmt w:val="lowerRoman"/>
      <w:lvlText w:val="(%4)"/>
      <w:lvlJc w:val="end"/>
      <w:pPr>
        <w:tabs>
          <w:tab w:val="num" w:pos="43.20pt"/>
        </w:tabs>
        <w:ind w:start="43.20pt" w:hanging="7.20pt"/>
      </w:pPr>
    </w:lvl>
    <w:lvl w:ilvl="4">
      <w:start w:val="1"/>
      <w:numFmt w:val="decimal"/>
      <w:lvlText w:val="%5)"/>
      <w:lvlJc w:val="start"/>
      <w:pPr>
        <w:tabs>
          <w:tab w:val="num" w:pos="50.40pt"/>
        </w:tabs>
        <w:ind w:start="50.40pt" w:hanging="21.60pt"/>
      </w:pPr>
    </w:lvl>
    <w:lvl w:ilvl="5">
      <w:start w:val="1"/>
      <w:numFmt w:val="lowerLetter"/>
      <w:lvlText w:val="%6)"/>
      <w:lvlJc w:val="start"/>
      <w:pPr>
        <w:tabs>
          <w:tab w:val="num" w:pos="57.60pt"/>
        </w:tabs>
        <w:ind w:start="57.60pt" w:hanging="21.60pt"/>
      </w:pPr>
    </w:lvl>
    <w:lvl w:ilvl="6">
      <w:start w:val="1"/>
      <w:numFmt w:val="lowerRoman"/>
      <w:lvlText w:val="%7)"/>
      <w:lvlJc w:val="end"/>
      <w:pPr>
        <w:tabs>
          <w:tab w:val="num" w:pos="64.80pt"/>
        </w:tabs>
        <w:ind w:start="64.80pt" w:hanging="14.40pt"/>
      </w:pPr>
    </w:lvl>
    <w:lvl w:ilvl="7">
      <w:start w:val="1"/>
      <w:numFmt w:val="lowerLetter"/>
      <w:lvlText w:val="%8."/>
      <w:lvlJc w:val="start"/>
      <w:pPr>
        <w:tabs>
          <w:tab w:val="num" w:pos="72pt"/>
        </w:tabs>
        <w:ind w:start="72pt" w:hanging="21.60pt"/>
      </w:pPr>
    </w:lvl>
    <w:lvl w:ilvl="8">
      <w:start w:val="1"/>
      <w:numFmt w:val="lowerRoman"/>
      <w:lvlText w:val="%9."/>
      <w:lvlJc w:val="end"/>
      <w:pPr>
        <w:tabs>
          <w:tab w:val="num" w:pos="79.20pt"/>
        </w:tabs>
        <w:ind w:start="79.20pt" w:hanging="7.20pt"/>
      </w:pPr>
    </w:lvl>
  </w:abstractNum>
  <w:abstractNum w:abstractNumId="1" w15:restartNumberingAfterBreak="0">
    <w:nsid w:val="0CCC1986"/>
    <w:multiLevelType w:val="multilevel"/>
    <w:tmpl w:val="CC36E874"/>
    <w:lvl w:ilvl="0">
      <w:start w:val="1"/>
      <w:numFmt w:val="upperRoman"/>
      <w:suff w:val="nothing"/>
      <w:lvlText w:val="Article %1"/>
      <w:lvlJc w:val="start"/>
      <w:pPr>
        <w:ind w:start="0pt" w:firstLine="0pt"/>
      </w:pPr>
      <w:rPr>
        <w:b w:val="0"/>
        <w:i w:val="0"/>
      </w:rPr>
    </w:lvl>
    <w:lvl w:ilvl="1">
      <w:start w:val="1"/>
      <w:numFmt w:val="decimal"/>
      <w:lvlText w:val="(%2)"/>
      <w:lvlJc w:val="start"/>
      <w:pPr>
        <w:tabs>
          <w:tab w:val="num" w:pos="54pt"/>
        </w:tabs>
        <w:ind w:start="0pt" w:firstLine="36pt"/>
      </w:pPr>
    </w:lvl>
    <w:lvl w:ilvl="2">
      <w:start w:val="1"/>
      <w:numFmt w:val="lowerLetter"/>
      <w:lvlText w:val="(%3)"/>
      <w:lvlJc w:val="start"/>
      <w:pPr>
        <w:tabs>
          <w:tab w:val="num" w:pos="72pt"/>
        </w:tabs>
        <w:ind w:start="72pt" w:hanging="36pt"/>
      </w:pPr>
    </w:lvl>
    <w:lvl w:ilvl="3">
      <w:start w:val="1"/>
      <w:numFmt w:val="lowerRoman"/>
      <w:lvlText w:val="(%4)"/>
      <w:lvlJc w:val="start"/>
      <w:pPr>
        <w:tabs>
          <w:tab w:val="num" w:pos="108pt"/>
        </w:tabs>
        <w:ind w:start="108pt" w:hanging="36pt"/>
      </w:pPr>
    </w:lvl>
    <w:lvl w:ilvl="4">
      <w:start w:val="1"/>
      <w:numFmt w:val="decimal"/>
      <w:lvlText w:val="%5)"/>
      <w:lvlJc w:val="start"/>
      <w:pPr>
        <w:tabs>
          <w:tab w:val="num" w:pos="50.40pt"/>
        </w:tabs>
        <w:ind w:start="50.40pt" w:hanging="21.60pt"/>
      </w:pPr>
    </w:lvl>
    <w:lvl w:ilvl="5">
      <w:start w:val="1"/>
      <w:numFmt w:val="lowerLetter"/>
      <w:lvlText w:val="%6)"/>
      <w:lvlJc w:val="start"/>
      <w:pPr>
        <w:tabs>
          <w:tab w:val="num" w:pos="57.60pt"/>
        </w:tabs>
        <w:ind w:start="57.60pt" w:hanging="21.60pt"/>
      </w:pPr>
    </w:lvl>
    <w:lvl w:ilvl="6">
      <w:start w:val="1"/>
      <w:numFmt w:val="lowerRoman"/>
      <w:lvlText w:val="%7)"/>
      <w:lvlJc w:val="end"/>
      <w:pPr>
        <w:tabs>
          <w:tab w:val="num" w:pos="64.80pt"/>
        </w:tabs>
        <w:ind w:start="64.80pt" w:hanging="14.40pt"/>
      </w:pPr>
    </w:lvl>
    <w:lvl w:ilvl="7">
      <w:start w:val="1"/>
      <w:numFmt w:val="lowerLetter"/>
      <w:lvlText w:val="%8."/>
      <w:lvlJc w:val="start"/>
      <w:pPr>
        <w:tabs>
          <w:tab w:val="num" w:pos="72pt"/>
        </w:tabs>
        <w:ind w:start="72pt" w:hanging="21.60pt"/>
      </w:pPr>
    </w:lvl>
    <w:lvl w:ilvl="8">
      <w:start w:val="1"/>
      <w:numFmt w:val="lowerRoman"/>
      <w:lvlText w:val="%9."/>
      <w:lvlJc w:val="end"/>
      <w:pPr>
        <w:tabs>
          <w:tab w:val="num" w:pos="79.20pt"/>
        </w:tabs>
        <w:ind w:start="79.20pt" w:hanging="7.20pt"/>
      </w:pPr>
    </w:lvl>
  </w:abstractNum>
  <w:abstractNum w:abstractNumId="2" w15:restartNumberingAfterBreak="0">
    <w:nsid w:val="33FD21A0"/>
    <w:multiLevelType w:val="hybridMultilevel"/>
    <w:tmpl w:val="42064A8A"/>
    <w:lvl w:ilvl="0" w:tplc="0409000F">
      <w:start w:val="1"/>
      <w:numFmt w:val="decimal"/>
      <w:lvlText w:val="%1."/>
      <w:lvlJc w:val="start"/>
      <w:pPr>
        <w:ind w:start="36pt" w:hanging="18pt"/>
      </w:pPr>
    </w:lvl>
    <w:lvl w:ilvl="1" w:tplc="04090019">
      <w:start w:val="1"/>
      <w:numFmt w:val="lowerLetter"/>
      <w:lvlText w:val="%2."/>
      <w:lvlJc w:val="start"/>
      <w:pPr>
        <w:ind w:start="72pt" w:hanging="18pt"/>
      </w:pPr>
    </w:lvl>
    <w:lvl w:ilvl="2" w:tplc="0409001B">
      <w:start w:val="1"/>
      <w:numFmt w:val="lowerRoman"/>
      <w:lvlText w:val="%3."/>
      <w:lvlJc w:val="end"/>
      <w:pPr>
        <w:ind w:start="108pt" w:hanging="9pt"/>
      </w:pPr>
    </w:lvl>
    <w:lvl w:ilvl="3" w:tplc="0409000F">
      <w:start w:val="1"/>
      <w:numFmt w:val="decimal"/>
      <w:lvlText w:val="%4."/>
      <w:lvlJc w:val="start"/>
      <w:pPr>
        <w:ind w:start="144pt" w:hanging="18pt"/>
      </w:pPr>
    </w:lvl>
    <w:lvl w:ilvl="4" w:tplc="04090019">
      <w:start w:val="1"/>
      <w:numFmt w:val="lowerLetter"/>
      <w:lvlText w:val="%5."/>
      <w:lvlJc w:val="start"/>
      <w:pPr>
        <w:ind w:start="180pt" w:hanging="18pt"/>
      </w:pPr>
    </w:lvl>
    <w:lvl w:ilvl="5" w:tplc="0409001B">
      <w:start w:val="1"/>
      <w:numFmt w:val="lowerRoman"/>
      <w:lvlText w:val="%6."/>
      <w:lvlJc w:val="end"/>
      <w:pPr>
        <w:ind w:start="216pt" w:hanging="9pt"/>
      </w:pPr>
    </w:lvl>
    <w:lvl w:ilvl="6" w:tplc="0409000F">
      <w:start w:val="1"/>
      <w:numFmt w:val="decimal"/>
      <w:lvlText w:val="%7."/>
      <w:lvlJc w:val="start"/>
      <w:pPr>
        <w:ind w:start="252pt" w:hanging="18pt"/>
      </w:pPr>
    </w:lvl>
    <w:lvl w:ilvl="7" w:tplc="04090019">
      <w:start w:val="1"/>
      <w:numFmt w:val="lowerLetter"/>
      <w:lvlText w:val="%8."/>
      <w:lvlJc w:val="start"/>
      <w:pPr>
        <w:ind w:start="288pt" w:hanging="18pt"/>
      </w:pPr>
    </w:lvl>
    <w:lvl w:ilvl="8" w:tplc="0409001B">
      <w:start w:val="1"/>
      <w:numFmt w:val="lowerRoman"/>
      <w:lvlText w:val="%9."/>
      <w:lvlJc w:val="end"/>
      <w:pPr>
        <w:ind w:start="324pt" w:hanging="9pt"/>
      </w:pPr>
    </w:lvl>
  </w:abstractNum>
  <w:abstractNum w:abstractNumId="3" w15:restartNumberingAfterBreak="0">
    <w:nsid w:val="38183B22"/>
    <w:multiLevelType w:val="multilevel"/>
    <w:tmpl w:val="E124A508"/>
    <w:lvl w:ilvl="0">
      <w:start w:val="1"/>
      <w:numFmt w:val="upperRoman"/>
      <w:pStyle w:val="ArticleNumber"/>
      <w:suff w:val="nothing"/>
      <w:lvlText w:val="Article %1"/>
      <w:lvlJc w:val="start"/>
      <w:pPr>
        <w:ind w:start="0pt" w:firstLine="0pt"/>
      </w:pPr>
      <w:rPr>
        <w:b w:val="0"/>
        <w:i w:val="0"/>
      </w:rPr>
    </w:lvl>
    <w:lvl w:ilvl="1">
      <w:start w:val="1"/>
      <w:numFmt w:val="decimal"/>
      <w:pStyle w:val="ArticleLevel1"/>
      <w:lvlText w:val="(%2)"/>
      <w:lvlJc w:val="start"/>
      <w:pPr>
        <w:tabs>
          <w:tab w:val="num" w:pos="54pt"/>
        </w:tabs>
        <w:ind w:start="0pt" w:firstLine="36pt"/>
      </w:pPr>
    </w:lvl>
    <w:lvl w:ilvl="2">
      <w:start w:val="1"/>
      <w:numFmt w:val="lowerLetter"/>
      <w:pStyle w:val="ArticleLevela"/>
      <w:lvlText w:val="(%3)"/>
      <w:lvlJc w:val="start"/>
      <w:pPr>
        <w:tabs>
          <w:tab w:val="num" w:pos="72pt"/>
        </w:tabs>
        <w:ind w:start="72pt" w:hanging="36pt"/>
      </w:pPr>
    </w:lvl>
    <w:lvl w:ilvl="3">
      <w:start w:val="1"/>
      <w:numFmt w:val="lowerRoman"/>
      <w:pStyle w:val="ArticleLeveli"/>
      <w:lvlText w:val="(%4)"/>
      <w:lvlJc w:val="start"/>
      <w:pPr>
        <w:tabs>
          <w:tab w:val="num" w:pos="108pt"/>
        </w:tabs>
        <w:ind w:start="108pt" w:hanging="36pt"/>
      </w:pPr>
    </w:lvl>
    <w:lvl w:ilvl="4">
      <w:start w:val="1"/>
      <w:numFmt w:val="decimal"/>
      <w:lvlText w:val="%5)"/>
      <w:lvlJc w:val="start"/>
      <w:pPr>
        <w:tabs>
          <w:tab w:val="num" w:pos="50.40pt"/>
        </w:tabs>
        <w:ind w:start="50.40pt" w:hanging="21.60pt"/>
      </w:pPr>
    </w:lvl>
    <w:lvl w:ilvl="5">
      <w:start w:val="1"/>
      <w:numFmt w:val="lowerLetter"/>
      <w:lvlText w:val="%6)"/>
      <w:lvlJc w:val="start"/>
      <w:pPr>
        <w:tabs>
          <w:tab w:val="num" w:pos="57.60pt"/>
        </w:tabs>
        <w:ind w:start="57.60pt" w:hanging="21.60pt"/>
      </w:pPr>
    </w:lvl>
    <w:lvl w:ilvl="6">
      <w:start w:val="1"/>
      <w:numFmt w:val="lowerRoman"/>
      <w:lvlText w:val="%7)"/>
      <w:lvlJc w:val="end"/>
      <w:pPr>
        <w:tabs>
          <w:tab w:val="num" w:pos="64.80pt"/>
        </w:tabs>
        <w:ind w:start="64.80pt" w:hanging="14.40pt"/>
      </w:pPr>
    </w:lvl>
    <w:lvl w:ilvl="7">
      <w:start w:val="1"/>
      <w:numFmt w:val="lowerLetter"/>
      <w:lvlText w:val="%8."/>
      <w:lvlJc w:val="start"/>
      <w:pPr>
        <w:tabs>
          <w:tab w:val="num" w:pos="72pt"/>
        </w:tabs>
        <w:ind w:start="72pt" w:hanging="21.60pt"/>
      </w:pPr>
    </w:lvl>
    <w:lvl w:ilvl="8">
      <w:start w:val="1"/>
      <w:numFmt w:val="lowerRoman"/>
      <w:lvlText w:val="%9."/>
      <w:lvlJc w:val="end"/>
      <w:pPr>
        <w:tabs>
          <w:tab w:val="num" w:pos="79.20pt"/>
        </w:tabs>
        <w:ind w:start="79.20pt" w:hanging="7.20pt"/>
      </w:pPr>
    </w:lvl>
  </w:abstractNum>
  <w:abstractNum w:abstractNumId="4" w15:restartNumberingAfterBreak="0">
    <w:nsid w:val="7D5B58AC"/>
    <w:multiLevelType w:val="multilevel"/>
    <w:tmpl w:val="D45EB7CC"/>
    <w:lvl w:ilvl="0">
      <w:start w:val="1"/>
      <w:numFmt w:val="upperRoman"/>
      <w:suff w:val="nothing"/>
      <w:lvlText w:val="Article %1"/>
      <w:lvlJc w:val="start"/>
      <w:pPr>
        <w:ind w:start="0pt" w:firstLine="0pt"/>
      </w:pPr>
      <w:rPr>
        <w:b/>
        <w:i w:val="0"/>
      </w:rPr>
    </w:lvl>
    <w:lvl w:ilvl="1">
      <w:start w:val="1"/>
      <w:numFmt w:val="decimalZero"/>
      <w:isLgl/>
      <w:lvlText w:val="Section %1.%2"/>
      <w:lvlJc w:val="start"/>
      <w:pPr>
        <w:tabs>
          <w:tab w:val="num" w:pos="54pt"/>
        </w:tabs>
        <w:ind w:start="0pt" w:firstLine="0pt"/>
      </w:pPr>
    </w:lvl>
    <w:lvl w:ilvl="2">
      <w:start w:val="1"/>
      <w:numFmt w:val="decimal"/>
      <w:lvlText w:val="(%3)"/>
      <w:lvlJc w:val="start"/>
      <w:pPr>
        <w:tabs>
          <w:tab w:val="num" w:pos="36pt"/>
        </w:tabs>
        <w:ind w:start="36pt" w:hanging="36pt"/>
      </w:pPr>
    </w:lvl>
    <w:lvl w:ilvl="3">
      <w:start w:val="1"/>
      <w:numFmt w:val="lowerLetter"/>
      <w:lvlText w:val="(%4)"/>
      <w:lvlJc w:val="start"/>
      <w:pPr>
        <w:tabs>
          <w:tab w:val="num" w:pos="54pt"/>
        </w:tabs>
        <w:ind w:start="36pt" w:firstLine="0pt"/>
      </w:pPr>
    </w:lvl>
    <w:lvl w:ilvl="4">
      <w:start w:val="1"/>
      <w:numFmt w:val="lowerRoman"/>
      <w:lvlText w:val="(%5)"/>
      <w:lvlJc w:val="start"/>
      <w:pPr>
        <w:tabs>
          <w:tab w:val="num" w:pos="108pt"/>
        </w:tabs>
        <w:ind w:start="108pt" w:hanging="36pt"/>
      </w:pPr>
    </w:lvl>
    <w:lvl w:ilvl="5">
      <w:start w:val="1"/>
      <w:numFmt w:val="lowerLetter"/>
      <w:lvlText w:val="%6)"/>
      <w:lvlJc w:val="start"/>
      <w:pPr>
        <w:tabs>
          <w:tab w:val="num" w:pos="57.60pt"/>
        </w:tabs>
        <w:ind w:start="57.60pt" w:hanging="21.60pt"/>
      </w:pPr>
    </w:lvl>
    <w:lvl w:ilvl="6">
      <w:start w:val="1"/>
      <w:numFmt w:val="lowerRoman"/>
      <w:lvlText w:val="%7)"/>
      <w:lvlJc w:val="end"/>
      <w:pPr>
        <w:tabs>
          <w:tab w:val="num" w:pos="64.80pt"/>
        </w:tabs>
        <w:ind w:start="64.80pt" w:hanging="14.40pt"/>
      </w:pPr>
    </w:lvl>
    <w:lvl w:ilvl="7">
      <w:start w:val="1"/>
      <w:numFmt w:val="lowerLetter"/>
      <w:lvlText w:val="%8."/>
      <w:lvlJc w:val="start"/>
      <w:pPr>
        <w:tabs>
          <w:tab w:val="num" w:pos="72pt"/>
        </w:tabs>
        <w:ind w:start="72pt" w:hanging="21.60pt"/>
      </w:pPr>
    </w:lvl>
    <w:lvl w:ilvl="8">
      <w:start w:val="1"/>
      <w:numFmt w:val="lowerRoman"/>
      <w:lvlText w:val="%9."/>
      <w:lvlJc w:val="end"/>
      <w:pPr>
        <w:tabs>
          <w:tab w:val="num" w:pos="79.20pt"/>
        </w:tabs>
        <w:ind w:start="79.20pt" w:hanging="7.20pt"/>
      </w:pPr>
    </w:lvl>
  </w:abstractNum>
  <w:num w:numId="1">
    <w:abstractNumId w:val="0"/>
  </w:num>
  <w:num w:numId="2">
    <w:abstractNumId w:val="4"/>
  </w:num>
  <w:num w:numId="3">
    <w:abstractNumId w:val="3"/>
  </w:num>
  <w:num w:numId="4">
    <w:abstractNumId w:val="3"/>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3"/>
  </w:num>
  <w:num w:numId="14">
    <w:abstractNumId w:val="3"/>
  </w:num>
  <w:num w:numId="15">
    <w:abstractNumId w:val="3"/>
  </w:num>
  <w:num w:numId="16">
    <w:abstractNumId w:val="3"/>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E69"/>
    <w:rsid w:val="00003284"/>
    <w:rsid w:val="00025A30"/>
    <w:rsid w:val="00046B0A"/>
    <w:rsid w:val="000560C0"/>
    <w:rsid w:val="00085597"/>
    <w:rsid w:val="000904DF"/>
    <w:rsid w:val="000B615A"/>
    <w:rsid w:val="000E72B1"/>
    <w:rsid w:val="000F5562"/>
    <w:rsid w:val="00105690"/>
    <w:rsid w:val="00111074"/>
    <w:rsid w:val="00125429"/>
    <w:rsid w:val="00135317"/>
    <w:rsid w:val="001A2BE1"/>
    <w:rsid w:val="001B0785"/>
    <w:rsid w:val="001C1B3D"/>
    <w:rsid w:val="001E2E82"/>
    <w:rsid w:val="001E3AAE"/>
    <w:rsid w:val="001F25D5"/>
    <w:rsid w:val="002349DB"/>
    <w:rsid w:val="00244EB5"/>
    <w:rsid w:val="002559A6"/>
    <w:rsid w:val="00255EC4"/>
    <w:rsid w:val="00260958"/>
    <w:rsid w:val="002833B6"/>
    <w:rsid w:val="002B591D"/>
    <w:rsid w:val="002C03DA"/>
    <w:rsid w:val="002C0AC2"/>
    <w:rsid w:val="002C1756"/>
    <w:rsid w:val="002E0912"/>
    <w:rsid w:val="00384329"/>
    <w:rsid w:val="003C269B"/>
    <w:rsid w:val="00401F8F"/>
    <w:rsid w:val="0043589A"/>
    <w:rsid w:val="004374B0"/>
    <w:rsid w:val="004423DE"/>
    <w:rsid w:val="0045767A"/>
    <w:rsid w:val="00461E7C"/>
    <w:rsid w:val="00472E02"/>
    <w:rsid w:val="00480C57"/>
    <w:rsid w:val="0049403C"/>
    <w:rsid w:val="004C0C21"/>
    <w:rsid w:val="004D6DF3"/>
    <w:rsid w:val="004E69DB"/>
    <w:rsid w:val="00501F4C"/>
    <w:rsid w:val="00525418"/>
    <w:rsid w:val="00534358"/>
    <w:rsid w:val="00534C81"/>
    <w:rsid w:val="005360A3"/>
    <w:rsid w:val="00543DD9"/>
    <w:rsid w:val="00563C57"/>
    <w:rsid w:val="00566F13"/>
    <w:rsid w:val="00590851"/>
    <w:rsid w:val="005C7360"/>
    <w:rsid w:val="005D215A"/>
    <w:rsid w:val="005D69DC"/>
    <w:rsid w:val="005E2B22"/>
    <w:rsid w:val="00600D40"/>
    <w:rsid w:val="00607FA6"/>
    <w:rsid w:val="00613EB1"/>
    <w:rsid w:val="00622DA1"/>
    <w:rsid w:val="00624EEB"/>
    <w:rsid w:val="00632A2B"/>
    <w:rsid w:val="00634B97"/>
    <w:rsid w:val="00640FE3"/>
    <w:rsid w:val="00651DE3"/>
    <w:rsid w:val="00655BA4"/>
    <w:rsid w:val="006575B1"/>
    <w:rsid w:val="00664389"/>
    <w:rsid w:val="00670DEE"/>
    <w:rsid w:val="00672273"/>
    <w:rsid w:val="006808B8"/>
    <w:rsid w:val="00695F09"/>
    <w:rsid w:val="00696489"/>
    <w:rsid w:val="006A4597"/>
    <w:rsid w:val="006B0FF4"/>
    <w:rsid w:val="006C3633"/>
    <w:rsid w:val="006E362D"/>
    <w:rsid w:val="007135A0"/>
    <w:rsid w:val="007333AF"/>
    <w:rsid w:val="007351CD"/>
    <w:rsid w:val="0077421F"/>
    <w:rsid w:val="007A79E0"/>
    <w:rsid w:val="007D52B6"/>
    <w:rsid w:val="007E6E54"/>
    <w:rsid w:val="00806A16"/>
    <w:rsid w:val="00826F28"/>
    <w:rsid w:val="00870254"/>
    <w:rsid w:val="0088017E"/>
    <w:rsid w:val="008C622C"/>
    <w:rsid w:val="008D7AC4"/>
    <w:rsid w:val="008E3E81"/>
    <w:rsid w:val="008E63CD"/>
    <w:rsid w:val="008F1BA9"/>
    <w:rsid w:val="008F592C"/>
    <w:rsid w:val="00906F94"/>
    <w:rsid w:val="0091367C"/>
    <w:rsid w:val="00947A4D"/>
    <w:rsid w:val="00954BB6"/>
    <w:rsid w:val="00961102"/>
    <w:rsid w:val="0098195F"/>
    <w:rsid w:val="00996C8E"/>
    <w:rsid w:val="009C4ACD"/>
    <w:rsid w:val="009C5B27"/>
    <w:rsid w:val="009E2B72"/>
    <w:rsid w:val="009E3A9E"/>
    <w:rsid w:val="009F0399"/>
    <w:rsid w:val="00A02861"/>
    <w:rsid w:val="00A07AE5"/>
    <w:rsid w:val="00A14AE7"/>
    <w:rsid w:val="00A40BBD"/>
    <w:rsid w:val="00A52D01"/>
    <w:rsid w:val="00A7693C"/>
    <w:rsid w:val="00A80FF4"/>
    <w:rsid w:val="00AC58EA"/>
    <w:rsid w:val="00AE4F22"/>
    <w:rsid w:val="00B3042F"/>
    <w:rsid w:val="00B309A6"/>
    <w:rsid w:val="00B44216"/>
    <w:rsid w:val="00B739D3"/>
    <w:rsid w:val="00B84B2A"/>
    <w:rsid w:val="00BD74B1"/>
    <w:rsid w:val="00BE4CEC"/>
    <w:rsid w:val="00C01B24"/>
    <w:rsid w:val="00C06828"/>
    <w:rsid w:val="00C146B7"/>
    <w:rsid w:val="00C14E6B"/>
    <w:rsid w:val="00C206B0"/>
    <w:rsid w:val="00C357AB"/>
    <w:rsid w:val="00C517A4"/>
    <w:rsid w:val="00C51D44"/>
    <w:rsid w:val="00C61369"/>
    <w:rsid w:val="00C63983"/>
    <w:rsid w:val="00C93ADC"/>
    <w:rsid w:val="00CA126A"/>
    <w:rsid w:val="00CA30E0"/>
    <w:rsid w:val="00CB1E58"/>
    <w:rsid w:val="00CE1645"/>
    <w:rsid w:val="00D10722"/>
    <w:rsid w:val="00D32DE4"/>
    <w:rsid w:val="00D40E84"/>
    <w:rsid w:val="00D46E7E"/>
    <w:rsid w:val="00D70544"/>
    <w:rsid w:val="00D74D22"/>
    <w:rsid w:val="00D80639"/>
    <w:rsid w:val="00DB5739"/>
    <w:rsid w:val="00DC7A92"/>
    <w:rsid w:val="00DE7F9F"/>
    <w:rsid w:val="00E23988"/>
    <w:rsid w:val="00E30204"/>
    <w:rsid w:val="00E56F11"/>
    <w:rsid w:val="00EA27DC"/>
    <w:rsid w:val="00EE363B"/>
    <w:rsid w:val="00EF2D24"/>
    <w:rsid w:val="00F33900"/>
    <w:rsid w:val="00F44668"/>
    <w:rsid w:val="00F70113"/>
    <w:rsid w:val="00F758FA"/>
    <w:rsid w:val="00FA6860"/>
    <w:rsid w:val="00FB7E69"/>
    <w:rsid w:val="00FD64DD"/>
    <w:rsid w:val="00FE562E"/>
    <w:rsid w:val="00FF6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15EF638"/>
  <w15:chartTrackingRefBased/>
  <w15:docId w15:val="{4693EDA6-FDC7-4D90-BF34-67EBE526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sdException w:name="Smart Link Error" w:uiPriority="99" w:semiHidden="1" w:unhideWhenUsed="1"/>
  </w:latentStyles>
  <w:style w:type="paragraph" w:styleId="Normal" w:default="1">
    <w:name w:val="Normal"/>
    <w:qFormat/>
    <w:rPr>
      <w:sz w:val="24"/>
    </w:rPr>
  </w:style>
  <w:style w:type="paragraph" w:styleId="Heading1">
    <w:name w:val="heading 1"/>
    <w:basedOn w:val="Normal"/>
    <w:next w:val="Normal"/>
    <w:qFormat/>
    <w:pPr>
      <w:keepNext/>
      <w:spacing w:before="12pt" w:after="3pt"/>
      <w:outlineLvl w:val="0"/>
    </w:pPr>
    <w:rPr>
      <w:b/>
      <w:kern w:val="28"/>
      <w:sz w:val="28"/>
    </w:rPr>
  </w:style>
  <w:style w:type="paragraph" w:styleId="Heading2">
    <w:name w:val="heading 2"/>
    <w:basedOn w:val="Normal"/>
    <w:next w:val="Normal"/>
    <w:qFormat/>
    <w:pPr>
      <w:keepNext/>
      <w:spacing w:before="12pt" w:after="3pt"/>
      <w:outlineLvl w:val="1"/>
    </w:pPr>
    <w:rPr>
      <w:b/>
    </w:rPr>
  </w:style>
  <w:style w:type="paragraph" w:styleId="Heading3">
    <w:name w:val="heading 3"/>
    <w:basedOn w:val="Normal"/>
    <w:next w:val="Normal"/>
    <w:qFormat/>
    <w:pPr>
      <w:keepNext/>
      <w:spacing w:before="12pt" w:after="3pt"/>
      <w:outlineLvl w:val="2"/>
    </w:pPr>
    <w:rPr>
      <w:u w:val="single"/>
    </w:rPr>
  </w:style>
  <w:style w:type="paragraph" w:styleId="Heading4">
    <w:name w:val="heading 4"/>
    <w:basedOn w:val="Normal"/>
    <w:next w:val="Normal"/>
    <w:qFormat/>
    <w:pPr>
      <w:keepNext/>
      <w:outlineLvl w:val="3"/>
    </w:pPr>
    <w:rPr>
      <w:b/>
      <w:bCs/>
      <w:i/>
      <w:i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pt" w:type="dxa"/>
      <w:tblCellMar>
        <w:top w:w="0pt" w:type="dxa"/>
        <w:start w:w="5.40pt" w:type="dxa"/>
        <w:bottom w:w="0pt" w:type="dxa"/>
        <w:end w:w="5.40pt" w:type="dxa"/>
      </w:tblCellMar>
    </w:tblPr>
  </w:style>
  <w:style w:type="numbering" w:styleId="NoList" w:default="1">
    <w:name w:val="No List"/>
    <w:uiPriority w:val="99"/>
    <w:semiHidden/>
    <w:unhideWhenUsed/>
  </w:style>
  <w:style w:type="character" w:styleId="FootnoteReference">
    <w:name w:val="footnote reference"/>
    <w:aliases w:val="fr,Style 19,Style 16,12,Nota,Footnote symbol,Footnote,Appel note de bas de p,BVI fnr,SUPERS,Footnote Reference Superscript,(Footnote Reference),Footnote reference number,note TESI,EN Footnote Reference,Voetnootverwijzing, BVI fnr"/>
    <w:uiPriority w:val="99"/>
    <w:qFormat/>
    <w:rPr>
      <w:vertAlign w:val="superscript"/>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Char"/>
    <w:basedOn w:val="Normal"/>
    <w:link w:val="FootnoteTextChar"/>
    <w:uiPriority w:val="99"/>
    <w:qFormat/>
    <w:rPr>
      <w:sz w:val="20"/>
    </w:rPr>
  </w:style>
  <w:style w:type="paragraph" w:styleId="ArticleNumber" w:customStyle="1">
    <w:name w:val="Article Number"/>
    <w:basedOn w:val="Normal"/>
    <w:pPr>
      <w:numPr>
        <w:numId w:val="16"/>
      </w:numPr>
      <w:spacing w:line="24pt" w:lineRule="auto"/>
      <w:jc w:val="center"/>
    </w:pPr>
  </w:style>
  <w:style w:type="paragraph" w:styleId="ArticleLevel1" w:customStyle="1">
    <w:name w:val="Article Level (1)"/>
    <w:basedOn w:val="Normal"/>
    <w:pPr>
      <w:numPr>
        <w:ilvl w:val="1"/>
        <w:numId w:val="13"/>
      </w:numPr>
      <w:tabs>
        <w:tab w:val="clear" w:pos="54pt"/>
      </w:tabs>
      <w:spacing w:line="24pt" w:lineRule="auto"/>
    </w:pPr>
  </w:style>
  <w:style w:type="paragraph" w:styleId="ArticleLevela" w:customStyle="1">
    <w:name w:val="Article Level (a)"/>
    <w:basedOn w:val="Normal"/>
    <w:pPr>
      <w:numPr>
        <w:ilvl w:val="2"/>
        <w:numId w:val="14"/>
      </w:numPr>
      <w:tabs>
        <w:tab w:val="clear" w:pos="72pt"/>
      </w:tabs>
      <w:spacing w:line="24pt" w:lineRule="auto"/>
      <w:ind w:start="108pt"/>
    </w:pPr>
  </w:style>
  <w:style w:type="paragraph" w:styleId="ArticleLeveli" w:customStyle="1">
    <w:name w:val="Article Level (i)"/>
    <w:basedOn w:val="Normal"/>
    <w:pPr>
      <w:numPr>
        <w:ilvl w:val="3"/>
        <w:numId w:val="15"/>
      </w:numPr>
      <w:tabs>
        <w:tab w:val="clear" w:pos="108pt"/>
      </w:tabs>
      <w:spacing w:line="24pt" w:lineRule="auto"/>
      <w:ind w:start="144pt"/>
    </w:pPr>
  </w:style>
  <w:style w:type="paragraph" w:styleId="Title">
    <w:name w:val="Title"/>
    <w:basedOn w:val="Normal"/>
    <w:qFormat/>
    <w:pPr>
      <w:jc w:val="center"/>
    </w:pPr>
    <w:rPr>
      <w:b/>
      <w:bCs/>
    </w:rPr>
  </w:style>
  <w:style w:type="paragraph" w:styleId="BodyText">
    <w:name w:val="Body Text"/>
    <w:basedOn w:val="Normal"/>
    <w:link w:val="BodyTextChar"/>
    <w:rPr>
      <w:b/>
      <w:bCs/>
    </w:rPr>
  </w:style>
  <w:style w:type="paragraph" w:styleId="BodyText2">
    <w:name w:val="Body Text 2"/>
    <w:basedOn w:val="Normal"/>
    <w:rPr>
      <w:b/>
      <w:bCs/>
      <w:i/>
      <w:iCs/>
    </w:rPr>
  </w:style>
  <w:style w:type="paragraph" w:styleId="Footer">
    <w:name w:val="footer"/>
    <w:basedOn w:val="Normal"/>
    <w:pPr>
      <w:tabs>
        <w:tab w:val="center" w:pos="216pt"/>
        <w:tab w:val="right" w:pos="432pt"/>
      </w:tabs>
    </w:pPr>
  </w:style>
  <w:style w:type="character" w:styleId="PageNumber">
    <w:name w:val="page number"/>
    <w:basedOn w:val="DefaultParagraphFont"/>
  </w:style>
  <w:style w:type="paragraph" w:styleId="BalloonText">
    <w:name w:val="Balloon Text"/>
    <w:basedOn w:val="Normal"/>
    <w:semiHidden/>
    <w:rsid w:val="000E72B1"/>
    <w:rPr>
      <w:rFonts w:ascii="Tahoma" w:hAnsi="Tahoma" w:cs="Tahoma"/>
      <w:sz w:val="16"/>
      <w:szCs w:val="16"/>
    </w:rPr>
  </w:style>
  <w:style w:type="paragraph" w:styleId="HTMLPreformatted">
    <w:name w:val="HTML Preformatted"/>
    <w:basedOn w:val="Normal"/>
    <w:rsid w:val="000B615A"/>
    <w:pPr>
      <w:tabs>
        <w:tab w:val="left" w:pos="45.80pt"/>
        <w:tab w:val="left" w:pos="91.60pt"/>
        <w:tab w:val="left" w:pos="137.40pt"/>
        <w:tab w:val="left" w:pos="183.20pt"/>
        <w:tab w:val="left" w:pos="229pt"/>
        <w:tab w:val="left" w:pos="274.80pt"/>
        <w:tab w:val="left" w:pos="320.60pt"/>
        <w:tab w:val="left" w:pos="366.40pt"/>
        <w:tab w:val="left" w:pos="412.20pt"/>
        <w:tab w:val="left" w:pos="458pt"/>
        <w:tab w:val="left" w:pos="503.80pt"/>
        <w:tab w:val="left" w:pos="549.60pt"/>
        <w:tab w:val="left" w:pos="595.40pt"/>
        <w:tab w:val="left" w:pos="641.20pt"/>
        <w:tab w:val="left" w:pos="687pt"/>
        <w:tab w:val="left" w:pos="732.80pt"/>
      </w:tabs>
    </w:pPr>
    <w:rPr>
      <w:rFonts w:ascii="Courier New" w:hAnsi="Courier New" w:cs="Courier New"/>
      <w:sz w:val="20"/>
      <w:lang w:bidi="he-IL"/>
    </w:rPr>
  </w:style>
  <w:style w:type="paragraph" w:styleId="BodyTextIndent2">
    <w:name w:val="Body Text Indent 2"/>
    <w:basedOn w:val="Normal"/>
    <w:link w:val="BodyTextIndent2Char"/>
    <w:rsid w:val="00046B0A"/>
    <w:pPr>
      <w:spacing w:after="6pt" w:line="24pt" w:lineRule="auto"/>
      <w:ind w:start="18pt"/>
    </w:pPr>
  </w:style>
  <w:style w:type="character" w:styleId="BodyTextIndent2Char" w:customStyle="1">
    <w:name w:val="Body Text Indent 2 Char"/>
    <w:link w:val="BodyTextIndent2"/>
    <w:rsid w:val="00046B0A"/>
    <w:rPr>
      <w:sz w:val="24"/>
    </w:rPr>
  </w:style>
  <w:style w:type="character" w:styleId="BodyTextChar" w:customStyle="1">
    <w:name w:val="Body Text Char"/>
    <w:link w:val="BodyText"/>
    <w:rsid w:val="00046B0A"/>
    <w:rPr>
      <w:b/>
      <w:bCs/>
      <w:sz w:val="24"/>
    </w:rPr>
  </w:style>
  <w:style w:type="character" w:styleId="CommentReference">
    <w:name w:val="annotation reference"/>
    <w:basedOn w:val="DefaultParagraphFont"/>
    <w:rsid w:val="007D52B6"/>
    <w:rPr>
      <w:sz w:val="16"/>
      <w:szCs w:val="16"/>
    </w:rPr>
  </w:style>
  <w:style w:type="paragraph" w:styleId="CommentText">
    <w:name w:val="annotation text"/>
    <w:basedOn w:val="Normal"/>
    <w:link w:val="CommentTextChar"/>
    <w:rsid w:val="007D52B6"/>
    <w:rPr>
      <w:sz w:val="20"/>
    </w:rPr>
  </w:style>
  <w:style w:type="character" w:styleId="CommentTextChar" w:customStyle="1">
    <w:name w:val="Comment Text Char"/>
    <w:basedOn w:val="DefaultParagraphFont"/>
    <w:link w:val="CommentText"/>
    <w:rsid w:val="007D52B6"/>
  </w:style>
  <w:style w:type="paragraph" w:styleId="CommentSubject">
    <w:name w:val="annotation subject"/>
    <w:basedOn w:val="CommentText"/>
    <w:next w:val="CommentText"/>
    <w:link w:val="CommentSubjectChar"/>
    <w:rsid w:val="007D52B6"/>
    <w:rPr>
      <w:b/>
      <w:bCs/>
    </w:rPr>
  </w:style>
  <w:style w:type="character" w:styleId="CommentSubjectChar" w:customStyle="1">
    <w:name w:val="Comment Subject Char"/>
    <w:basedOn w:val="CommentTextChar"/>
    <w:link w:val="CommentSubject"/>
    <w:rsid w:val="007D52B6"/>
    <w:rPr>
      <w:b/>
      <w:bCs/>
    </w:rPr>
  </w:style>
  <w:style w:type="character" w:styleId="Hyperlink">
    <w:name w:val="Hyperlink"/>
    <w:unhideWhenUsed/>
    <w:rsid w:val="00401F8F"/>
    <w:rPr>
      <w:color w:val="0000FF"/>
      <w:u w:val="single"/>
    </w:rPr>
  </w:style>
  <w:style w:type="character" w:styleId="FootnoteTextChar" w:customStyle="1">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locked/>
    <w:rsid w:val="00401F8F"/>
  </w:style>
  <w:style w:type="character" w:styleId="ListParagraphChar" w:customStyle="1">
    <w:name w:val="List Paragraph Char"/>
    <w:basedOn w:val="DefaultParagraphFont"/>
    <w:link w:val="ListParagraph"/>
    <w:uiPriority w:val="34"/>
    <w:locked/>
    <w:rsid w:val="00401F8F"/>
    <w:rPr>
      <w:rFonts w:asciiTheme="minorHAnsi" w:hAnsiTheme="minorHAnsi" w:eastAsiaTheme="minorHAnsi" w:cstheme="minorBidi"/>
      <w:sz w:val="22"/>
      <w:szCs w:val="22"/>
    </w:rPr>
  </w:style>
  <w:style w:type="paragraph" w:styleId="ListParagraph">
    <w:name w:val="List Paragraph"/>
    <w:basedOn w:val="Normal"/>
    <w:link w:val="ListParagraphChar"/>
    <w:uiPriority w:val="34"/>
    <w:qFormat/>
    <w:rsid w:val="00401F8F"/>
    <w:pPr>
      <w:spacing w:after="8pt" w:line="12.70pt" w:lineRule="auto"/>
      <w:ind w:start="36pt"/>
      <w:contextualSpacing/>
    </w:pPr>
    <w:rPr>
      <w:rFonts w:asciiTheme="minorHAnsi" w:hAnsiTheme="minorHAnsi" w:eastAsiaTheme="minorHAnsi" w:cstheme="minorBidi"/>
      <w:sz w:val="22"/>
      <w:szCs w:val="22"/>
    </w:rPr>
  </w:style>
  <w:style w:type="character" w:styleId="al-author-name-more" w:customStyle="1">
    <w:name w:val="al-author-name-more"/>
    <w:basedOn w:val="DefaultParagraphFont"/>
    <w:rsid w:val="00401F8F"/>
  </w:style>
  <w:style w:type="character" w:styleId="delimiter" w:customStyle="1">
    <w:name w:val="delimiter"/>
    <w:basedOn w:val="DefaultParagraphFont"/>
    <w:rsid w:val="00401F8F"/>
  </w:style>
  <w:style w:type="character" w:styleId="Emphasis">
    <w:name w:val="Emphasis"/>
    <w:basedOn w:val="DefaultParagraphFont"/>
    <w:uiPriority w:val="20"/>
    <w:qFormat/>
    <w:rsid w:val="00401F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18287">
      <w:bodyDiv w:val="1"/>
      <w:marLeft w:val="0pt"/>
      <w:marRight w:val="0pt"/>
      <w:marTop w:val="0pt"/>
      <w:marBottom w:val="0pt"/>
      <w:divBdr>
        <w:top w:val="none" w:color="auto" w:sz="0" w:space="0"/>
        <w:left w:val="none" w:color="auto" w:sz="0" w:space="0"/>
        <w:bottom w:val="none" w:color="auto" w:sz="0" w:space="0"/>
        <w:right w:val="none" w:color="auto" w:sz="0" w:space="0"/>
      </w:divBdr>
    </w:div>
    <w:div w:id="329990892">
      <w:bodyDiv w:val="1"/>
      <w:marLeft w:val="0pt"/>
      <w:marRight w:val="0pt"/>
      <w:marTop w:val="0pt"/>
      <w:marBottom w:val="0pt"/>
      <w:divBdr>
        <w:top w:val="none" w:color="auto" w:sz="0" w:space="0"/>
        <w:left w:val="none" w:color="auto" w:sz="0" w:space="0"/>
        <w:bottom w:val="none" w:color="auto" w:sz="0" w:space="0"/>
        <w:right w:val="none" w:color="auto" w:sz="0" w:space="0"/>
      </w:divBdr>
    </w:div>
    <w:div w:id="788859466">
      <w:bodyDiv w:val="1"/>
      <w:marLeft w:val="0pt"/>
      <w:marRight w:val="0pt"/>
      <w:marTop w:val="0pt"/>
      <w:marBottom w:val="0pt"/>
      <w:divBdr>
        <w:top w:val="none" w:color="auto" w:sz="0" w:space="0"/>
        <w:left w:val="none" w:color="auto" w:sz="0" w:space="0"/>
        <w:bottom w:val="none" w:color="auto" w:sz="0" w:space="0"/>
        <w:right w:val="none" w:color="auto" w:sz="0" w:space="0"/>
      </w:divBdr>
    </w:div>
    <w:div w:id="1246955290">
      <w:bodyDiv w:val="1"/>
      <w:marLeft w:val="0pt"/>
      <w:marRight w:val="0pt"/>
      <w:marTop w:val="0pt"/>
      <w:marBottom w:val="0pt"/>
      <w:divBdr>
        <w:top w:val="none" w:color="auto" w:sz="0" w:space="0"/>
        <w:left w:val="none" w:color="auto" w:sz="0" w:space="0"/>
        <w:bottom w:val="none" w:color="auto" w:sz="0" w:space="0"/>
        <w:right w:val="none" w:color="auto" w:sz="0" w:space="0"/>
      </w:divBdr>
    </w:div>
    <w:div w:id="1367220976">
      <w:bodyDiv w:val="1"/>
      <w:marLeft w:val="0pt"/>
      <w:marRight w:val="0pt"/>
      <w:marTop w:val="0pt"/>
      <w:marBottom w:val="0pt"/>
      <w:divBdr>
        <w:top w:val="none" w:color="auto" w:sz="0" w:space="0"/>
        <w:left w:val="none" w:color="auto" w:sz="0" w:space="0"/>
        <w:bottom w:val="none" w:color="auto" w:sz="0" w:space="0"/>
        <w:right w:val="none" w:color="auto" w:sz="0" w:space="0"/>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ap:Template>
  <ap:TotalTime>10</ap:TotalTime>
  <ap:Pages>4</ap:Pages>
  <ap:Words>1160</ap:Words>
  <ap:Characters>6693</ap:Characters>
  <ap:Application>Microsoft Office Word</ap:Application>
  <ap:DocSecurity>0</ap:DocSecurity>
  <ap:Lines>55</ap:Lines>
  <ap:Paragraphs>15</ap:Paragraphs>
  <ap:ScaleCrop>false</ap:ScaleCrop>
  <ap:HeadingPairs>
    <vt:vector baseType="variant" size="2">
      <vt:variant>
        <vt:lpstr>Title</vt:lpstr>
      </vt:variant>
      <vt:variant>
        <vt:i4>1</vt:i4>
      </vt:variant>
    </vt:vector>
  </ap:HeadingPairs>
  <ap:TitlesOfParts>
    <vt:vector baseType="lpstr" size="1">
      <vt:lpstr>Cite</vt:lpstr>
    </vt:vector>
  </ap:TitlesOfParts>
  <ap:Company>OCC</ap:Company>
  <ap:LinksUpToDate>false</ap:LinksUpToDate>
  <ap:CharactersWithSpaces>7838</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Cite</dc:title>
  <dc:subject/>
  <dc:creator>Administrator</dc:creator>
  <cp:keywords/>
  <cp:lastModifiedBy>Gottlieb, Mary</cp:lastModifiedBy>
  <cp:revision>6</cp:revision>
  <cp:lastPrinted>2016-08-29T17:51:00Z</cp:lastPrinted>
  <dcterms:created xsi:type="dcterms:W3CDTF">2020-11-23T20:29:00Z</dcterms:created>
  <dcterms:modified xsi:type="dcterms:W3CDTF">2020-11-23T20:41:00Z</dcterms:modified>
</cp:coreProperties>
</file>