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502C" w:rsidR="00B04815" w:rsidP="00EE1B3E" w:rsidRDefault="004C1B93">
      <w:pPr>
        <w:jc w:val="center"/>
        <w:rPr>
          <w:rFonts w:ascii="Times New Roman" w:hAnsi="Times New Roman"/>
          <w:b/>
          <w:bCs/>
          <w:sz w:val="28"/>
          <w:szCs w:val="28"/>
        </w:rPr>
      </w:pPr>
      <w:bookmarkStart w:name="_GoBack" w:id="0"/>
      <w:bookmarkEnd w:id="0"/>
      <w:r>
        <w:rPr>
          <w:rFonts w:ascii="Times New Roman" w:hAnsi="Times New Roman"/>
          <w:b/>
          <w:bCs/>
          <w:sz w:val="28"/>
          <w:szCs w:val="28"/>
        </w:rPr>
        <w:t>SUPPORTING STATEMENT FOR</w:t>
      </w:r>
      <w:r>
        <w:rPr>
          <w:rFonts w:ascii="Times New Roman" w:hAnsi="Times New Roman"/>
          <w:b/>
          <w:bCs/>
          <w:sz w:val="28"/>
          <w:szCs w:val="28"/>
        </w:rPr>
        <w:br/>
      </w:r>
      <w:r w:rsidR="00FA325E">
        <w:rPr>
          <w:rFonts w:ascii="Times New Roman" w:hAnsi="Times New Roman"/>
          <w:b/>
          <w:bCs/>
          <w:sz w:val="28"/>
          <w:szCs w:val="28"/>
        </w:rPr>
        <w:t>REGATTAS AND MARINE PARADES</w:t>
      </w:r>
      <w:r>
        <w:rPr>
          <w:rFonts w:ascii="Times New Roman" w:hAnsi="Times New Roman"/>
          <w:b/>
          <w:bCs/>
          <w:sz w:val="28"/>
          <w:szCs w:val="28"/>
        </w:rPr>
        <w:br/>
        <w:t>APPLICATION &amp; SUPPLEMENTAL FORMS</w:t>
      </w:r>
    </w:p>
    <w:p w:rsidRPr="004B502C" w:rsidR="00EE1B3E" w:rsidP="00EE1B3E" w:rsidRDefault="004C1B93">
      <w:pPr>
        <w:jc w:val="center"/>
        <w:rPr>
          <w:rFonts w:ascii="Times New Roman" w:hAnsi="Times New Roman"/>
          <w:b/>
          <w:bCs/>
          <w:sz w:val="28"/>
          <w:szCs w:val="28"/>
        </w:rPr>
      </w:pPr>
      <w:r>
        <w:rPr>
          <w:rFonts w:ascii="Times New Roman" w:hAnsi="Times New Roman"/>
          <w:b/>
          <w:bCs/>
          <w:sz w:val="28"/>
          <w:szCs w:val="28"/>
        </w:rPr>
        <w:t>OMB Control No.: 1625-</w:t>
      </w:r>
      <w:r w:rsidR="00FA325E">
        <w:rPr>
          <w:rFonts w:ascii="Times New Roman" w:hAnsi="Times New Roman"/>
          <w:b/>
          <w:bCs/>
          <w:sz w:val="28"/>
          <w:szCs w:val="28"/>
        </w:rPr>
        <w:t>0008</w:t>
      </w:r>
    </w:p>
    <w:p w:rsidRPr="004B502C" w:rsidR="00B04815" w:rsidRDefault="00B04815">
      <w:pPr>
        <w:rPr>
          <w:rFonts w:ascii="Times New Roman" w:hAnsi="Times New Roman"/>
        </w:rPr>
      </w:pPr>
    </w:p>
    <w:p w:rsidRPr="004B502C" w:rsidR="00B04815" w:rsidRDefault="00B04815">
      <w:pPr>
        <w:rPr>
          <w:rFonts w:ascii="Times New Roman" w:hAnsi="Times New Roman"/>
          <w:b/>
          <w:bCs/>
        </w:rPr>
      </w:pPr>
      <w:r w:rsidRPr="004B502C">
        <w:rPr>
          <w:rFonts w:ascii="Times New Roman" w:hAnsi="Times New Roman"/>
          <w:b/>
          <w:bCs/>
        </w:rPr>
        <w:t>A.  Justification</w:t>
      </w:r>
    </w:p>
    <w:p w:rsidRPr="004B502C" w:rsidR="00B04815" w:rsidRDefault="00B04815">
      <w:pPr>
        <w:rPr>
          <w:rFonts w:ascii="Times New Roman" w:hAnsi="Times New Roman"/>
          <w:b/>
          <w:bCs/>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t>Explain circumstances that make collection of information necessary.</w:t>
      </w:r>
    </w:p>
    <w:p w:rsidRPr="004B502C" w:rsidR="00B04815" w:rsidRDefault="00B04815">
      <w:pPr>
        <w:rPr>
          <w:rFonts w:ascii="Times New Roman" w:hAnsi="Times New Roman"/>
        </w:rPr>
      </w:pPr>
    </w:p>
    <w:p w:rsidRPr="00FA325E" w:rsidR="00FA325E" w:rsidP="00FA325E" w:rsidRDefault="00FA325E">
      <w:pPr>
        <w:rPr>
          <w:rFonts w:ascii="Times New Roman" w:hAnsi="Times New Roman"/>
        </w:rPr>
      </w:pPr>
      <w:r w:rsidRPr="00FA325E">
        <w:rPr>
          <w:rFonts w:ascii="Times New Roman" w:hAnsi="Times New Roman"/>
        </w:rPr>
        <w:t>Regattas, marine parades, and other organized water events of limited duration conducted on a prearranged schedule (marine events) may present “extra or unusual hazards to the safety of life on the navigable waters of the United States” (33 CFR 100.05 and 100.15). Marine events may interfere with the ability of vessels to safely navigate marked channels and designated shipping lanes. In turn, such vessels may interfere with the safety or conduct of the marine event. Title 46 U</w:t>
      </w:r>
      <w:r w:rsidR="003E2F1E">
        <w:rPr>
          <w:rFonts w:ascii="Times New Roman" w:hAnsi="Times New Roman"/>
        </w:rPr>
        <w:t>.</w:t>
      </w:r>
      <w:r w:rsidRPr="00FA325E">
        <w:rPr>
          <w:rFonts w:ascii="Times New Roman" w:hAnsi="Times New Roman"/>
        </w:rPr>
        <w:t>S</w:t>
      </w:r>
      <w:r w:rsidR="003E2F1E">
        <w:rPr>
          <w:rFonts w:ascii="Times New Roman" w:hAnsi="Times New Roman"/>
        </w:rPr>
        <w:t>.</w:t>
      </w:r>
      <w:r w:rsidRPr="00FA325E">
        <w:rPr>
          <w:rFonts w:ascii="Times New Roman" w:hAnsi="Times New Roman"/>
        </w:rPr>
        <w:t>C</w:t>
      </w:r>
      <w:r w:rsidR="003E2F1E">
        <w:rPr>
          <w:rFonts w:ascii="Times New Roman" w:hAnsi="Times New Roman"/>
        </w:rPr>
        <w:t>.</w:t>
      </w:r>
      <w:r w:rsidRPr="00FA325E">
        <w:rPr>
          <w:rFonts w:ascii="Times New Roman" w:hAnsi="Times New Roman"/>
        </w:rPr>
        <w:t xml:space="preserve"> §</w:t>
      </w:r>
      <w:r w:rsidR="003E2F1E">
        <w:rPr>
          <w:rFonts w:ascii="Times New Roman" w:hAnsi="Times New Roman"/>
        </w:rPr>
        <w:t xml:space="preserve"> </w:t>
      </w:r>
      <w:r w:rsidRPr="00FA325E">
        <w:rPr>
          <w:rFonts w:ascii="Times New Roman" w:hAnsi="Times New Roman"/>
        </w:rPr>
        <w:t>70041 authorizes the Coast Guard to issue regulations to promote the safety of life on navigable waters during regattas and marine parades. Title 33 CFR Part 100 the Coast Guard establishes regulations to provide effective control over marine events in order to mitigate any associated hazards in the event area. Title 33 CFR §1.05-1 delegates this control to Coast Guard District Commanders.</w:t>
      </w:r>
    </w:p>
    <w:p w:rsidRPr="004B502C" w:rsidR="00B04815" w:rsidRDefault="00B04815">
      <w:pPr>
        <w:rPr>
          <w:rFonts w:ascii="Times New Roman" w:hAnsi="Times New Roman"/>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t>Indicate how, by whom, how frequently, and for what purpose information is to be used.</w:t>
      </w:r>
    </w:p>
    <w:p w:rsidRPr="004B502C" w:rsidR="00B04815" w:rsidRDefault="00B04815">
      <w:pPr>
        <w:rPr>
          <w:rFonts w:ascii="Times New Roman" w:hAnsi="Times New Roman"/>
        </w:rPr>
      </w:pPr>
    </w:p>
    <w:p w:rsidR="00497C5B" w:rsidP="00497C5B" w:rsidRDefault="00497C5B">
      <w:pPr>
        <w:rPr>
          <w:rFonts w:ascii="Times New Roman" w:hAnsi="Times New Roman"/>
        </w:rPr>
      </w:pPr>
      <w:r w:rsidRPr="00497C5B">
        <w:rPr>
          <w:rFonts w:ascii="Times New Roman" w:hAnsi="Times New Roman"/>
        </w:rPr>
        <w:t xml:space="preserve">Title 33 CFR §100.15 requires individuals or organizations planning to hold a marine event to </w:t>
      </w:r>
      <w:proofErr w:type="gramStart"/>
      <w:r w:rsidRPr="00497C5B">
        <w:rPr>
          <w:rFonts w:ascii="Times New Roman" w:hAnsi="Times New Roman"/>
        </w:rPr>
        <w:t>submit</w:t>
      </w:r>
      <w:proofErr w:type="gramEnd"/>
      <w:r w:rsidRPr="00497C5B">
        <w:rPr>
          <w:rFonts w:ascii="Times New Roman" w:hAnsi="Times New Roman"/>
        </w:rPr>
        <w:t xml:space="preserve"> an application to hold the event to the Coast Guard. The Application for Approval of Marine Event, form CG-4423 provides the Coast Guard with information needed to: </w:t>
      </w:r>
    </w:p>
    <w:p w:rsidRPr="00497C5B" w:rsidR="003E2F1E" w:rsidP="00497C5B" w:rsidRDefault="003E2F1E">
      <w:pPr>
        <w:rPr>
          <w:rFonts w:ascii="Times New Roman" w:hAnsi="Times New Roman"/>
        </w:rPr>
      </w:pPr>
    </w:p>
    <w:p w:rsidRPr="00497C5B" w:rsidR="00497C5B" w:rsidP="00497C5B" w:rsidRDefault="00497C5B">
      <w:pPr>
        <w:numPr>
          <w:ilvl w:val="0"/>
          <w:numId w:val="6"/>
        </w:numPr>
        <w:rPr>
          <w:rFonts w:ascii="Times New Roman" w:hAnsi="Times New Roman"/>
        </w:rPr>
      </w:pPr>
      <w:r w:rsidRPr="00497C5B">
        <w:rPr>
          <w:rFonts w:ascii="Times New Roman" w:hAnsi="Times New Roman"/>
        </w:rPr>
        <w:t>Differentiate the marine event from other events;</w:t>
      </w:r>
    </w:p>
    <w:p w:rsidRPr="00497C5B" w:rsidR="00497C5B" w:rsidP="00497C5B" w:rsidRDefault="00497C5B">
      <w:pPr>
        <w:numPr>
          <w:ilvl w:val="0"/>
          <w:numId w:val="6"/>
        </w:numPr>
        <w:rPr>
          <w:rFonts w:ascii="Times New Roman" w:hAnsi="Times New Roman"/>
        </w:rPr>
      </w:pPr>
      <w:r w:rsidRPr="00497C5B">
        <w:rPr>
          <w:rFonts w:ascii="Times New Roman" w:hAnsi="Times New Roman"/>
        </w:rPr>
        <w:t xml:space="preserve">Identify the event sponsor and responsible representatives; </w:t>
      </w:r>
    </w:p>
    <w:p w:rsidRPr="00497C5B" w:rsidR="00497C5B" w:rsidP="00497C5B" w:rsidRDefault="00497C5B">
      <w:pPr>
        <w:numPr>
          <w:ilvl w:val="0"/>
          <w:numId w:val="6"/>
        </w:numPr>
        <w:rPr>
          <w:rFonts w:ascii="Times New Roman" w:hAnsi="Times New Roman"/>
        </w:rPr>
      </w:pPr>
      <w:r w:rsidRPr="00497C5B">
        <w:rPr>
          <w:rFonts w:ascii="Times New Roman" w:hAnsi="Times New Roman"/>
        </w:rPr>
        <w:t xml:space="preserve">Consider whether the event presents extra or unusual hazards to the safety of life; </w:t>
      </w:r>
    </w:p>
    <w:p w:rsidRPr="00497C5B" w:rsidR="00497C5B" w:rsidP="00497C5B" w:rsidRDefault="00497C5B">
      <w:pPr>
        <w:numPr>
          <w:ilvl w:val="0"/>
          <w:numId w:val="6"/>
        </w:numPr>
        <w:rPr>
          <w:rFonts w:ascii="Times New Roman" w:hAnsi="Times New Roman"/>
        </w:rPr>
      </w:pPr>
      <w:r w:rsidRPr="00497C5B">
        <w:rPr>
          <w:rFonts w:ascii="Times New Roman" w:hAnsi="Times New Roman"/>
        </w:rPr>
        <w:t xml:space="preserve">Assess what controls may be necessary to mitigate those hazards; and </w:t>
      </w:r>
    </w:p>
    <w:p w:rsidR="00497C5B" w:rsidP="00497C5B" w:rsidRDefault="00497C5B">
      <w:pPr>
        <w:numPr>
          <w:ilvl w:val="0"/>
          <w:numId w:val="6"/>
        </w:numPr>
        <w:rPr>
          <w:rFonts w:ascii="Times New Roman" w:hAnsi="Times New Roman"/>
        </w:rPr>
      </w:pPr>
      <w:r w:rsidRPr="00497C5B">
        <w:rPr>
          <w:rFonts w:ascii="Times New Roman" w:hAnsi="Times New Roman"/>
        </w:rPr>
        <w:t>Issue notices to mariners under Title 33 CFR Subpart 72.01 to inform the public about the event, as a further form of hazard mitigation.</w:t>
      </w:r>
    </w:p>
    <w:p w:rsidR="00321E36" w:rsidP="00321E36" w:rsidRDefault="00321E36">
      <w:pPr>
        <w:ind w:left="360"/>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 xml:space="preserve">The purpose of the application information elements is to guide applicants in providing the information required per 33 CFR 100.15(d). </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Items 1 through 4: The name, date, time, and location of the event provide information for the Coast Guard to differentiate the event from other events.</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Item 5: The name and address of the sponsoring organization or authorized representative provides the Coast Guard the means to identify who is planning the event.</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 xml:space="preserve">Items 6 through 10: These items provide the Coast Guard the minimal information needed to assess the size and complexity of the event. This includes the numbers of participants and involved boats and other vessels, and the activities that will occur. This information is also used in advising the boating public about the event. Attaching a section of a chart or a scale drawing showing the event boundaries and/or courses and markers contemplated is needed to clearly indicate where the event occurs, the event's relationship to navigation channels or potential environmental impacts, and placement of course markers/navigational aids for the event. </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Items 11 th</w:t>
      </w:r>
      <w:r>
        <w:rPr>
          <w:rFonts w:ascii="Times New Roman" w:hAnsi="Times New Roman"/>
        </w:rPr>
        <w:t>r</w:t>
      </w:r>
      <w:r w:rsidRPr="00321E36">
        <w:rPr>
          <w:rFonts w:ascii="Times New Roman" w:hAnsi="Times New Roman"/>
        </w:rPr>
        <w:t xml:space="preserve">ough 13a: These items help the Coast Guard identify whether the applicant has considered the potential hazards during the event. These items may also help the Coast Guard’s own assessment of the hazards. </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Items 14 th</w:t>
      </w:r>
      <w:r>
        <w:rPr>
          <w:rFonts w:ascii="Times New Roman" w:hAnsi="Times New Roman"/>
        </w:rPr>
        <w:t>r</w:t>
      </w:r>
      <w:r w:rsidRPr="00321E36">
        <w:rPr>
          <w:rFonts w:ascii="Times New Roman" w:hAnsi="Times New Roman"/>
        </w:rPr>
        <w:t>ough 19: These items provide information about the resources (typically vessels and safety staff) that the applicant is proposing in order to mitigate the likelihood and outcomes of hazards during the event. The number of sponsor provided safety patrol vessels is needed to consider the adequacy of protection provided by the sponsor and what additional resources may be needed to ensure the safety of life during the event. The Coast Guard cannot have any question or doubt over the location, sailing courses or event boundaries separating participants from non-participants or adjacent navigation. These items provide grounds for determining what actions the Coast Guard must take related to the application and in accordance with 33 CFR §§</w:t>
      </w:r>
      <w:r w:rsidR="003E2F1E">
        <w:rPr>
          <w:rFonts w:ascii="Times New Roman" w:hAnsi="Times New Roman"/>
        </w:rPr>
        <w:t xml:space="preserve"> </w:t>
      </w:r>
      <w:r w:rsidRPr="00321E36">
        <w:rPr>
          <w:rFonts w:ascii="Times New Roman" w:hAnsi="Times New Roman"/>
        </w:rPr>
        <w:t>100.20 and 100.25 (approve the application for the event; require changes to the application; state that no regulation or patrol is needed in order to hold the event safely; or disapprove the application).</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Items 20 through 20b: These items provide the contact information for the applicant’s representative who is in charge of all details related to the event’s planning. The Coast Guard uses this information to make additional inquiries about the nature of the event and to provide the Coast Guard’s decision regarding the application. In some cases, the applicant performs all of these duties. In those cases, the applicant need not repeat the information.</w:t>
      </w:r>
    </w:p>
    <w:p w:rsidRPr="00321E36" w:rsidR="00321E36" w:rsidP="00321E36" w:rsidRDefault="00321E36">
      <w:pPr>
        <w:rPr>
          <w:rFonts w:ascii="Times New Roman" w:hAnsi="Times New Roman"/>
        </w:rPr>
      </w:pPr>
    </w:p>
    <w:p w:rsidRPr="00321E36" w:rsidR="00321E36" w:rsidP="00321E36" w:rsidRDefault="00321E36">
      <w:pPr>
        <w:rPr>
          <w:rFonts w:ascii="Times New Roman" w:hAnsi="Times New Roman"/>
        </w:rPr>
      </w:pPr>
      <w:r w:rsidRPr="00321E36">
        <w:rPr>
          <w:rFonts w:ascii="Times New Roman" w:hAnsi="Times New Roman"/>
        </w:rPr>
        <w:t xml:space="preserve">Items 21 through 23b: These items provide contact information about the applicant or the applicant’s legal representative, who may be different than the event’s sponsor (item 5). </w:t>
      </w:r>
    </w:p>
    <w:p w:rsidRPr="00321E36" w:rsidR="00321E36" w:rsidP="00321E36" w:rsidRDefault="00321E36">
      <w:pPr>
        <w:rPr>
          <w:rFonts w:ascii="Times New Roman" w:hAnsi="Times New Roman"/>
        </w:rPr>
      </w:pPr>
    </w:p>
    <w:p w:rsidR="00321E36" w:rsidP="00321E36" w:rsidRDefault="00321E36">
      <w:pPr>
        <w:rPr>
          <w:rFonts w:ascii="Times New Roman" w:hAnsi="Times New Roman"/>
        </w:rPr>
      </w:pPr>
      <w:r w:rsidRPr="00321E36">
        <w:rPr>
          <w:rFonts w:ascii="Times New Roman" w:hAnsi="Times New Roman"/>
        </w:rPr>
        <w:t>Item 24: This is the legal signature of the applicant, attesting to their authority to submit the application on behalf of the event sponsor (item 5). There is no statutory or regulatory requirement that applications be signed or otherwise certified by the applicant. However, the Coast Guard wishes affirmation that the person submitting the form has the authority to do so.</w:t>
      </w:r>
    </w:p>
    <w:p w:rsidR="00E07BC6" w:rsidP="00321E36" w:rsidRDefault="00E07BC6">
      <w:pPr>
        <w:rPr>
          <w:rFonts w:ascii="Times New Roman" w:hAnsi="Times New Roman"/>
        </w:rPr>
      </w:pPr>
    </w:p>
    <w:p w:rsidRPr="00321E36" w:rsidR="00E07BC6" w:rsidP="00321E36" w:rsidRDefault="00E07BC6">
      <w:pPr>
        <w:rPr>
          <w:rFonts w:ascii="Times New Roman" w:hAnsi="Times New Roman"/>
        </w:rPr>
      </w:pPr>
      <w:r>
        <w:rPr>
          <w:rFonts w:ascii="Times New Roman" w:hAnsi="Times New Roman"/>
        </w:rPr>
        <w:t>Item 25: The applicant must provide the name of the Captain of the Port Zone in which the marine event will occur.</w:t>
      </w:r>
    </w:p>
    <w:p w:rsidRPr="00321E36" w:rsidR="00321E36" w:rsidP="00321E36" w:rsidRDefault="00321E36">
      <w:pPr>
        <w:rPr>
          <w:rFonts w:ascii="Times New Roman" w:hAnsi="Times New Roman"/>
        </w:rPr>
      </w:pPr>
    </w:p>
    <w:p w:rsidRPr="00497C5B" w:rsidR="00321E36" w:rsidP="00321E36" w:rsidRDefault="00321E36">
      <w:pPr>
        <w:rPr>
          <w:rFonts w:ascii="Times New Roman" w:hAnsi="Times New Roman"/>
        </w:rPr>
      </w:pPr>
      <w:r w:rsidRPr="00321E36">
        <w:rPr>
          <w:rFonts w:ascii="Times New Roman" w:hAnsi="Times New Roman"/>
        </w:rPr>
        <w:t>The Coast Guard must develop environmental documentation appropriate for the event either from additional environmental information provided by the sponsor in the application or on its own, based on experience with other similar events in similar locations. This environmental documentation enables the Coast Guard to properly assess potential environmental impacts, the applicant's efforts to mitigate or avoid those impacts, including other contacts with other agencies and their responses, and to develop appropriate environmental documentation and permit conditions. The information provided in all of the items above facilitate the Coast Guard’s environmental documentation.</w:t>
      </w:r>
    </w:p>
    <w:p w:rsidRPr="004B502C" w:rsidR="00B04815" w:rsidRDefault="00B04815">
      <w:pPr>
        <w:rPr>
          <w:rFonts w:ascii="Times New Roman" w:hAnsi="Times New Roman"/>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t>Describe whether, and to what extent the collection of information involves the use of automated or other collection techniques.</w:t>
      </w:r>
    </w:p>
    <w:p w:rsidRPr="004B502C" w:rsidR="00B04815" w:rsidRDefault="00B04815">
      <w:pPr>
        <w:rPr>
          <w:rFonts w:ascii="Times New Roman" w:hAnsi="Times New Roman"/>
        </w:rPr>
      </w:pPr>
    </w:p>
    <w:p w:rsidRPr="00622A99" w:rsidR="00622A99" w:rsidP="00622A99" w:rsidRDefault="00622A99">
      <w:pPr>
        <w:rPr>
          <w:rFonts w:ascii="Times New Roman" w:hAnsi="Times New Roman"/>
        </w:rPr>
      </w:pPr>
      <w:r w:rsidRPr="00622A99">
        <w:rPr>
          <w:rFonts w:ascii="Times New Roman" w:hAnsi="Times New Roman"/>
        </w:rPr>
        <w:t>Neither the statutory authority nor the existing regulations prohibit electronic submissions of marine event applications and related information. The Coast Guard therefore accepts the following methods of application submissions to the Coast Guard office (unit) nearest to the planned event:</w:t>
      </w:r>
    </w:p>
    <w:p w:rsidRPr="00622A99" w:rsidR="00622A99" w:rsidP="00622A99" w:rsidRDefault="00622A99">
      <w:pPr>
        <w:rPr>
          <w:rFonts w:ascii="Times New Roman" w:hAnsi="Times New Roman"/>
        </w:rPr>
      </w:pPr>
    </w:p>
    <w:p w:rsidRPr="00622A99" w:rsidR="00622A99" w:rsidP="00622A99" w:rsidRDefault="00622A99">
      <w:pPr>
        <w:numPr>
          <w:ilvl w:val="0"/>
          <w:numId w:val="7"/>
        </w:numPr>
        <w:rPr>
          <w:rFonts w:ascii="Times New Roman" w:hAnsi="Times New Roman"/>
        </w:rPr>
      </w:pPr>
      <w:r w:rsidRPr="00622A99">
        <w:rPr>
          <w:rFonts w:ascii="Times New Roman" w:hAnsi="Times New Roman"/>
        </w:rPr>
        <w:lastRenderedPageBreak/>
        <w:t>Traditional mail (US Postal Service or other courier).</w:t>
      </w:r>
    </w:p>
    <w:p w:rsidRPr="00622A99" w:rsidR="00622A99" w:rsidP="00622A99" w:rsidRDefault="00622A99">
      <w:pPr>
        <w:numPr>
          <w:ilvl w:val="0"/>
          <w:numId w:val="7"/>
        </w:numPr>
        <w:rPr>
          <w:rFonts w:ascii="Times New Roman" w:hAnsi="Times New Roman"/>
        </w:rPr>
      </w:pPr>
      <w:r w:rsidRPr="00622A99">
        <w:rPr>
          <w:rFonts w:ascii="Times New Roman" w:hAnsi="Times New Roman"/>
        </w:rPr>
        <w:t>Facsimile.</w:t>
      </w:r>
    </w:p>
    <w:p w:rsidRPr="00622A99" w:rsidR="00622A99" w:rsidP="00622A99" w:rsidRDefault="00622A99">
      <w:pPr>
        <w:numPr>
          <w:ilvl w:val="0"/>
          <w:numId w:val="7"/>
        </w:numPr>
        <w:rPr>
          <w:rFonts w:ascii="Times New Roman" w:hAnsi="Times New Roman"/>
        </w:rPr>
      </w:pPr>
      <w:r w:rsidRPr="00622A99">
        <w:rPr>
          <w:rFonts w:ascii="Times New Roman" w:hAnsi="Times New Roman"/>
        </w:rPr>
        <w:t>Electronic mail (e-mail).</w:t>
      </w:r>
    </w:p>
    <w:p w:rsidRPr="00622A99" w:rsidR="00622A99" w:rsidP="00622A99" w:rsidRDefault="00622A99">
      <w:pPr>
        <w:numPr>
          <w:ilvl w:val="0"/>
          <w:numId w:val="7"/>
        </w:numPr>
        <w:rPr>
          <w:rFonts w:ascii="Times New Roman" w:hAnsi="Times New Roman"/>
        </w:rPr>
      </w:pPr>
      <w:r w:rsidRPr="00622A99">
        <w:rPr>
          <w:rFonts w:ascii="Times New Roman" w:hAnsi="Times New Roman"/>
        </w:rPr>
        <w:t>Online submission via the Coast Guard’s Homeport Web Portal.</w:t>
      </w:r>
    </w:p>
    <w:p w:rsidRPr="00622A99" w:rsidR="00622A99" w:rsidP="00622A99" w:rsidRDefault="00622A99">
      <w:pPr>
        <w:rPr>
          <w:rFonts w:ascii="Times New Roman" w:hAnsi="Times New Roman"/>
        </w:rPr>
      </w:pPr>
    </w:p>
    <w:p w:rsidRPr="00622A99" w:rsidR="00622A99" w:rsidP="00622A99" w:rsidRDefault="00622A99">
      <w:pPr>
        <w:rPr>
          <w:rFonts w:ascii="Times New Roman" w:hAnsi="Times New Roman"/>
        </w:rPr>
      </w:pPr>
      <w:r w:rsidRPr="00622A99">
        <w:rPr>
          <w:rFonts w:ascii="Times New Roman" w:hAnsi="Times New Roman"/>
          <w:u w:val="single"/>
        </w:rPr>
        <w:t>Identifying the nearest office</w:t>
      </w:r>
      <w:r w:rsidRPr="00622A99">
        <w:rPr>
          <w:rFonts w:ascii="Times New Roman" w:hAnsi="Times New Roman"/>
        </w:rPr>
        <w:t>: Contact information for Coast Guard Offices can be found by accessing the Coast Guard’s Homeport Web Portal at http</w:t>
      </w:r>
      <w:r>
        <w:rPr>
          <w:rFonts w:ascii="Times New Roman" w:hAnsi="Times New Roman"/>
        </w:rPr>
        <w:t>s</w:t>
      </w:r>
      <w:r w:rsidRPr="00622A99">
        <w:rPr>
          <w:rFonts w:ascii="Times New Roman" w:hAnsi="Times New Roman"/>
        </w:rPr>
        <w:t>://homeport.uscg.mil and clicking the “Sector Directory” link.</w:t>
      </w:r>
    </w:p>
    <w:p w:rsidRPr="00622A99" w:rsidR="00622A99" w:rsidP="00622A99" w:rsidRDefault="00622A99">
      <w:pPr>
        <w:rPr>
          <w:rFonts w:ascii="Times New Roman" w:hAnsi="Times New Roman"/>
        </w:rPr>
      </w:pPr>
      <w:r w:rsidRPr="00622A99">
        <w:rPr>
          <w:rFonts w:ascii="Times New Roman" w:hAnsi="Times New Roman"/>
          <w:u w:val="single"/>
        </w:rPr>
        <w:t>About online submission</w:t>
      </w:r>
      <w:r w:rsidRPr="00622A99">
        <w:rPr>
          <w:rFonts w:ascii="Times New Roman" w:hAnsi="Times New Roman"/>
        </w:rPr>
        <w:t>: Since 2016, applicants may use an online “fillable-</w:t>
      </w:r>
      <w:proofErr w:type="spellStart"/>
      <w:r w:rsidRPr="00622A99">
        <w:rPr>
          <w:rFonts w:ascii="Times New Roman" w:hAnsi="Times New Roman"/>
        </w:rPr>
        <w:t>fileable</w:t>
      </w:r>
      <w:proofErr w:type="spellEnd"/>
      <w:r w:rsidRPr="00622A99">
        <w:rPr>
          <w:rFonts w:ascii="Times New Roman" w:hAnsi="Times New Roman"/>
        </w:rPr>
        <w:t>” form available at https://homeport.uscg.mil/Pages/MarineEventFormSubmission.aspx. Applicants fill the form out online and select the Coast Guard office to submit it to through an online pick list.  The system routes the online forms data to the selected Coast Guard office. It provides the applicant a receipt that acknowledges the applicant’s submission.  The information collected via the online form replicates the automated Adobe version of the CG-4423; however, in block 25 of the CG-4423, rather than requesting the applicant’s signature, the online application requests the person filling out the form to check a box that states “By submitting this form I certify that I have full authority to represent the sponsoring organization.” Due to cybersecurity concerns related to the Homeport application itself, identified in 2018, this system no longer permits the attachments of files or documents to the application, which severely hinders its efficiency. Such attachments provide information that is crucial to identifying the nature of the event, the proximity of the event to navigation channels and other potential hazards, and methods for deploying support vessels in order to mitigate any hazards. Applicants using the system are now required to fill the information in the online form, then mail or email the additional files or documents to the closest Coast Guard office. Based on a review of 2018 to 2019 applications, the online system no longer offers cost-savings to either applicants or the Coast Guard and increases the time required to complete applications by approximately 30 minutes and to process applications by approximately 15 minutes. The Coast Guard is exploring alternatives to the online submission process. Official deprecation of the current system is planned for summer 2020. The Adobe version of the CG-4423 remains the definitive application form.</w:t>
      </w:r>
    </w:p>
    <w:p w:rsidRPr="004B502C" w:rsidR="001F7BBE" w:rsidRDefault="001F7BBE">
      <w:pPr>
        <w:rPr>
          <w:rFonts w:ascii="Times New Roman" w:hAnsi="Times New Roman"/>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t xml:space="preserve">Describe efforts to identify duplication. </w:t>
      </w:r>
    </w:p>
    <w:p w:rsidRPr="004B502C" w:rsidR="00B04815" w:rsidRDefault="00B04815">
      <w:pPr>
        <w:rPr>
          <w:rFonts w:ascii="Times New Roman" w:hAnsi="Times New Roman"/>
        </w:rPr>
      </w:pPr>
    </w:p>
    <w:p w:rsidR="001A64AC" w:rsidRDefault="00823F69">
      <w:pPr>
        <w:rPr>
          <w:rFonts w:ascii="Times New Roman" w:hAnsi="Times New Roman"/>
        </w:rPr>
      </w:pPr>
      <w:r w:rsidRPr="00823F69">
        <w:rPr>
          <w:rFonts w:ascii="Times New Roman" w:hAnsi="Times New Roman"/>
        </w:rPr>
        <w:t>The information supplied in the application for a marine event permit is not available from other sources in a timely manner. The Coast Guard assesses the hazards related to each event on a case-by-case basis. Although information may exist for a similar event in a given Coast Guard office’s area of responsibility, Coast Guard experience has shown that each event presents sufficient differences in the nature of its hazards to warrant continued assessment of each event as a unique project.</w:t>
      </w:r>
    </w:p>
    <w:p w:rsidRPr="004B502C" w:rsidR="00823F69" w:rsidRDefault="00823F69">
      <w:pPr>
        <w:rPr>
          <w:rFonts w:ascii="Times New Roman" w:hAnsi="Times New Roman"/>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t>Does collection of information impact small businesses?</w:t>
      </w:r>
    </w:p>
    <w:p w:rsidRPr="004B502C" w:rsidR="00B04815" w:rsidRDefault="00B04815">
      <w:pPr>
        <w:rPr>
          <w:rFonts w:ascii="Times New Roman" w:hAnsi="Times New Roman"/>
        </w:rPr>
      </w:pPr>
    </w:p>
    <w:p w:rsidR="00B04815" w:rsidRDefault="001E5B10">
      <w:pPr>
        <w:rPr>
          <w:rFonts w:ascii="Times New Roman" w:hAnsi="Times New Roman"/>
          <w:szCs w:val="24"/>
        </w:rPr>
      </w:pPr>
      <w:r w:rsidRPr="004B502C">
        <w:rPr>
          <w:rFonts w:ascii="Times New Roman" w:hAnsi="Times New Roman"/>
          <w:szCs w:val="24"/>
        </w:rPr>
        <w:t xml:space="preserve">This information collection </w:t>
      </w:r>
      <w:r w:rsidR="00566F7B">
        <w:rPr>
          <w:rFonts w:ascii="Times New Roman" w:hAnsi="Times New Roman"/>
          <w:szCs w:val="24"/>
        </w:rPr>
        <w:t xml:space="preserve">will </w:t>
      </w:r>
      <w:r w:rsidRPr="004B502C">
        <w:rPr>
          <w:rFonts w:ascii="Times New Roman" w:hAnsi="Times New Roman"/>
          <w:szCs w:val="24"/>
        </w:rPr>
        <w:t>not have an impact on small businesses or other small entities.</w:t>
      </w:r>
    </w:p>
    <w:p w:rsidR="00D4385D" w:rsidRDefault="00D4385D">
      <w:pPr>
        <w:rPr>
          <w:rFonts w:ascii="Times New Roman" w:hAnsi="Times New Roman"/>
          <w:szCs w:val="24"/>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t>Describe the consequences to Federal program or policy activities if collection is not conducted.</w:t>
      </w:r>
    </w:p>
    <w:p w:rsidRPr="004B502C" w:rsidR="00B04815" w:rsidRDefault="00B04815">
      <w:pPr>
        <w:rPr>
          <w:rFonts w:ascii="Times New Roman" w:hAnsi="Times New Roman"/>
        </w:rPr>
      </w:pPr>
    </w:p>
    <w:p w:rsidRPr="00823F69" w:rsidR="00823F69" w:rsidP="00823F69" w:rsidRDefault="00823F69">
      <w:pPr>
        <w:rPr>
          <w:rFonts w:ascii="Times New Roman" w:hAnsi="Times New Roman"/>
        </w:rPr>
      </w:pPr>
      <w:r w:rsidRPr="00823F69">
        <w:rPr>
          <w:rFonts w:ascii="Times New Roman" w:hAnsi="Times New Roman"/>
        </w:rPr>
        <w:t xml:space="preserve">If the information in the permit application were not provided when a permit is required, the Coast Guard would not be able to determine whether an event poses extra or unusual hazards to the safety of life. This is likely to result in the loss of human life unless event sponsors and the Coast Guard take specific precautions. Without this information, the Coast Guard would be unable to issue a notice to mariners to alert the navigation community of the event, its location and its schedule, nor prepare the proper environmental documentation and appropriate mitigation and precautionary measures in a timely manner. </w:t>
      </w:r>
    </w:p>
    <w:p w:rsidRPr="004B502C" w:rsidR="00B04815" w:rsidRDefault="00B04815">
      <w:pPr>
        <w:rPr>
          <w:rFonts w:ascii="Times New Roman" w:hAnsi="Times New Roman"/>
        </w:rPr>
      </w:pPr>
    </w:p>
    <w:p w:rsidRPr="004B502C" w:rsidR="00B04815" w:rsidRDefault="00B04815">
      <w:pPr>
        <w:numPr>
          <w:ilvl w:val="0"/>
          <w:numId w:val="3"/>
        </w:numPr>
        <w:rPr>
          <w:rFonts w:ascii="Times New Roman" w:hAnsi="Times New Roman"/>
          <w:b/>
          <w:bCs/>
        </w:rPr>
      </w:pPr>
      <w:r w:rsidRPr="004B502C">
        <w:rPr>
          <w:rFonts w:ascii="Times New Roman" w:hAnsi="Times New Roman"/>
          <w:b/>
          <w:bCs/>
        </w:rPr>
        <w:lastRenderedPageBreak/>
        <w:t xml:space="preserve"> Explain any special circumstances that would cause an information collect</w:t>
      </w:r>
      <w:r w:rsidRPr="004B502C" w:rsidR="00B87FBF">
        <w:rPr>
          <w:rFonts w:ascii="Times New Roman" w:hAnsi="Times New Roman"/>
          <w:b/>
          <w:bCs/>
        </w:rPr>
        <w:t xml:space="preserve">ion to be conducted in a </w:t>
      </w:r>
      <w:r w:rsidR="00A541C0">
        <w:rPr>
          <w:rFonts w:ascii="Times New Roman" w:hAnsi="Times New Roman"/>
          <w:b/>
          <w:bCs/>
        </w:rPr>
        <w:t xml:space="preserve">certain </w:t>
      </w:r>
      <w:r w:rsidRPr="004B502C" w:rsidR="00B87FBF">
        <w:rPr>
          <w:rFonts w:ascii="Times New Roman" w:hAnsi="Times New Roman"/>
          <w:b/>
          <w:bCs/>
        </w:rPr>
        <w:t>manner.</w:t>
      </w:r>
      <w:r w:rsidR="00A541C0">
        <w:rPr>
          <w:rFonts w:ascii="Times New Roman" w:hAnsi="Times New Roman"/>
          <w:b/>
          <w:bCs/>
        </w:rPr>
        <w:br/>
      </w:r>
    </w:p>
    <w:p w:rsidRPr="004B502C" w:rsidR="001E5B10" w:rsidP="001E5B10" w:rsidRDefault="001E5B10">
      <w:pPr>
        <w:spacing w:before="100" w:beforeAutospacing="1" w:after="100" w:afterAutospacing="1"/>
        <w:rPr>
          <w:rFonts w:ascii="Times New Roman" w:hAnsi="Times New Roman"/>
          <w:szCs w:val="24"/>
        </w:rPr>
      </w:pPr>
      <w:r w:rsidRPr="004B502C">
        <w:rPr>
          <w:rFonts w:ascii="Times New Roman" w:hAnsi="Times New Roman"/>
          <w:szCs w:val="24"/>
        </w:rPr>
        <w:t xml:space="preserve">This information collection </w:t>
      </w:r>
      <w:r w:rsidR="00A541C0">
        <w:rPr>
          <w:rFonts w:ascii="Times New Roman" w:hAnsi="Times New Roman"/>
          <w:szCs w:val="24"/>
        </w:rPr>
        <w:t xml:space="preserve">will be </w:t>
      </w:r>
      <w:r w:rsidRPr="004B502C">
        <w:rPr>
          <w:rFonts w:ascii="Times New Roman" w:hAnsi="Times New Roman"/>
          <w:szCs w:val="24"/>
        </w:rPr>
        <w:t xml:space="preserve">conducted in </w:t>
      </w:r>
      <w:r w:rsidR="00821515">
        <w:rPr>
          <w:rFonts w:ascii="Times New Roman" w:hAnsi="Times New Roman"/>
          <w:szCs w:val="24"/>
        </w:rPr>
        <w:t xml:space="preserve">a </w:t>
      </w:r>
      <w:r w:rsidRPr="004B502C">
        <w:rPr>
          <w:rFonts w:ascii="Times New Roman" w:hAnsi="Times New Roman"/>
          <w:szCs w:val="24"/>
        </w:rPr>
        <w:t>manner consistent with the guidelines in 5CFR 1320.5(d</w:t>
      </w:r>
      <w:proofErr w:type="gramStart"/>
      <w:r w:rsidRPr="004B502C">
        <w:rPr>
          <w:rFonts w:ascii="Times New Roman" w:hAnsi="Times New Roman"/>
          <w:szCs w:val="24"/>
        </w:rPr>
        <w:t>)(</w:t>
      </w:r>
      <w:proofErr w:type="gramEnd"/>
      <w:r w:rsidRPr="004B502C">
        <w:rPr>
          <w:rFonts w:ascii="Times New Roman" w:hAnsi="Times New Roman"/>
          <w:szCs w:val="24"/>
        </w:rPr>
        <w:t>2).</w:t>
      </w:r>
    </w:p>
    <w:p w:rsidRPr="004B502C" w:rsidR="00B04815" w:rsidRDefault="00B04815">
      <w:pPr>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8.  If applicable, provide a copy and identify the date and page number of publication in the Federal Register of the agency's notice, soliciting comments on the information collection.</w:t>
      </w:r>
    </w:p>
    <w:p w:rsidRPr="004B502C" w:rsidR="00B04815" w:rsidRDefault="00B04815">
      <w:pPr>
        <w:rPr>
          <w:rFonts w:ascii="Times New Roman" w:hAnsi="Times New Roman"/>
        </w:rPr>
      </w:pPr>
    </w:p>
    <w:p w:rsidR="00823F69" w:rsidRDefault="009B55D8">
      <w:pPr>
        <w:rPr>
          <w:rFonts w:ascii="Times New Roman" w:hAnsi="Times New Roman"/>
          <w:szCs w:val="24"/>
        </w:rPr>
      </w:pPr>
      <w:r>
        <w:rPr>
          <w:rFonts w:ascii="Times New Roman" w:hAnsi="Times New Roman"/>
          <w:szCs w:val="24"/>
        </w:rPr>
        <w:t>A 60-Day Notice (See [USCG-2020-0316], July 8, 2020, 85 FR 41060) and 30-Day Notice (September 18, 2020, 85 FR 58378</w:t>
      </w:r>
      <w:r w:rsidRPr="009B55D8" w:rsidR="00823F69">
        <w:rPr>
          <w:rFonts w:ascii="Times New Roman" w:hAnsi="Times New Roman"/>
          <w:szCs w:val="24"/>
        </w:rPr>
        <w:t xml:space="preserve">) were published in the Federal Register to obtain public comment on this collection.  The Coast Guard </w:t>
      </w:r>
      <w:r>
        <w:rPr>
          <w:rFonts w:ascii="Times New Roman" w:hAnsi="Times New Roman"/>
          <w:szCs w:val="24"/>
        </w:rPr>
        <w:t>elicited one unrelated comment. Accordingly, no changes have been made to the Collection.</w:t>
      </w:r>
    </w:p>
    <w:p w:rsidRPr="004B502C" w:rsidR="00B04815" w:rsidRDefault="00B04815">
      <w:pPr>
        <w:rPr>
          <w:rFonts w:ascii="Times New Roman" w:hAnsi="Times New Roman"/>
        </w:rPr>
      </w:pPr>
      <w:r w:rsidRPr="004B502C">
        <w:rPr>
          <w:rFonts w:ascii="Times New Roman" w:hAnsi="Times New Roman"/>
        </w:rPr>
        <w:t xml:space="preserve"> </w:t>
      </w:r>
    </w:p>
    <w:p w:rsidRPr="004B502C" w:rsidR="00B04815" w:rsidRDefault="00B04815">
      <w:pPr>
        <w:pStyle w:val="BodyText"/>
        <w:rPr>
          <w:rFonts w:ascii="Times New Roman" w:hAnsi="Times New Roman"/>
        </w:rPr>
      </w:pPr>
      <w:r w:rsidRPr="004B502C">
        <w:rPr>
          <w:rFonts w:ascii="Times New Roman" w:hAnsi="Times New Roman"/>
        </w:rPr>
        <w:t>9.  Explain any decision to provide any payment or gift to respondents.</w:t>
      </w:r>
    </w:p>
    <w:p w:rsidRPr="004B502C" w:rsidR="00B04815" w:rsidRDefault="00B04815">
      <w:pPr>
        <w:rPr>
          <w:rFonts w:ascii="Times New Roman" w:hAnsi="Times New Roman"/>
        </w:rPr>
      </w:pPr>
    </w:p>
    <w:p w:rsidRPr="00823F69" w:rsidR="00823F69" w:rsidP="00823F69" w:rsidRDefault="00823F69">
      <w:pPr>
        <w:rPr>
          <w:rFonts w:ascii="Times New Roman" w:hAnsi="Times New Roman"/>
        </w:rPr>
      </w:pPr>
      <w:r w:rsidRPr="00823F69">
        <w:rPr>
          <w:rFonts w:ascii="Times New Roman" w:hAnsi="Times New Roman"/>
        </w:rPr>
        <w:t>The Coast Guard does not provide payments of gifts to respondents in exchange for a benefit sought.</w:t>
      </w:r>
    </w:p>
    <w:p w:rsidRPr="004B502C" w:rsidR="00B04815" w:rsidRDefault="00B04815">
      <w:pPr>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10.  Describe any assurance of confidentiality provided to respondents and the basis for the assurance in statute, regulation, or agency policy.</w:t>
      </w:r>
    </w:p>
    <w:p w:rsidRPr="004B502C" w:rsidR="00B04815" w:rsidRDefault="00B04815">
      <w:pPr>
        <w:rPr>
          <w:rFonts w:ascii="Times New Roman" w:hAnsi="Times New Roman"/>
        </w:rPr>
      </w:pPr>
    </w:p>
    <w:p w:rsidRPr="00823F69" w:rsidR="00823F69" w:rsidP="00823F69" w:rsidRDefault="00823F69">
      <w:pPr>
        <w:widowControl w:val="0"/>
        <w:ind w:left="720"/>
        <w:rPr>
          <w:rFonts w:ascii="Times New Roman" w:hAnsi="Times New Roman"/>
          <w:szCs w:val="24"/>
        </w:rPr>
      </w:pPr>
      <w:r w:rsidRPr="00823F69">
        <w:rPr>
          <w:rFonts w:ascii="Times New Roman" w:hAnsi="Times New Roman"/>
          <w:szCs w:val="24"/>
        </w:rPr>
        <w:t>There are no assurances of confidentiality provided to the respondents for this information collection.  This information collection request is covered by the Marine Information for Safety and Law Enforcement (MISLE) Privacy Impact Assessment (PIA) and System of Records Notice (SORN).  Links to the MISLE PIA and SORN are provided below:</w:t>
      </w:r>
    </w:p>
    <w:p w:rsidRPr="00823F69" w:rsidR="00823F69" w:rsidP="00823F69" w:rsidRDefault="00823F69">
      <w:pPr>
        <w:widowControl w:val="0"/>
        <w:numPr>
          <w:ilvl w:val="0"/>
          <w:numId w:val="8"/>
        </w:numPr>
        <w:rPr>
          <w:rFonts w:ascii="Times New Roman" w:hAnsi="Times New Roman"/>
          <w:szCs w:val="24"/>
        </w:rPr>
      </w:pPr>
      <w:hyperlink w:history="1" r:id="rId12">
        <w:r w:rsidRPr="00823F69">
          <w:rPr>
            <w:rStyle w:val="Hyperlink"/>
            <w:rFonts w:ascii="Times New Roman" w:hAnsi="Times New Roman"/>
            <w:szCs w:val="24"/>
          </w:rPr>
          <w:t>https://www.dhs.gov/sites/default/files/publications/privacy_pia_uscg_misle.pdf</w:t>
        </w:r>
      </w:hyperlink>
      <w:r w:rsidRPr="00823F69">
        <w:rPr>
          <w:rFonts w:ascii="Times New Roman" w:hAnsi="Times New Roman"/>
          <w:szCs w:val="24"/>
        </w:rPr>
        <w:t xml:space="preserve">  </w:t>
      </w:r>
    </w:p>
    <w:p w:rsidRPr="00823F69" w:rsidR="00823F69" w:rsidP="00823F69" w:rsidRDefault="00823F69">
      <w:pPr>
        <w:widowControl w:val="0"/>
        <w:numPr>
          <w:ilvl w:val="0"/>
          <w:numId w:val="8"/>
        </w:numPr>
        <w:rPr>
          <w:rFonts w:ascii="Times New Roman" w:hAnsi="Times New Roman"/>
          <w:szCs w:val="24"/>
        </w:rPr>
      </w:pPr>
      <w:hyperlink w:history="1" r:id="rId13">
        <w:r w:rsidRPr="00823F69">
          <w:rPr>
            <w:rStyle w:val="Hyperlink"/>
            <w:rFonts w:ascii="Times New Roman" w:hAnsi="Times New Roman"/>
            <w:szCs w:val="24"/>
          </w:rPr>
          <w:t>https://www.gpo.gov/fdsys/pkg/FR-2009-06-25/html/E9-14906.htm</w:t>
        </w:r>
      </w:hyperlink>
      <w:r w:rsidRPr="00823F69">
        <w:rPr>
          <w:rFonts w:ascii="Times New Roman" w:hAnsi="Times New Roman"/>
          <w:szCs w:val="24"/>
        </w:rPr>
        <w:t xml:space="preserve">   </w:t>
      </w:r>
    </w:p>
    <w:p w:rsidRPr="001F7BBE" w:rsidR="007E41E4" w:rsidP="007E41E4" w:rsidRDefault="007E41E4">
      <w:pPr>
        <w:widowControl w:val="0"/>
        <w:ind w:left="720"/>
        <w:rPr>
          <w:rFonts w:ascii="Times New Roman" w:hAnsi="Times New Roman"/>
          <w:szCs w:val="24"/>
        </w:rPr>
      </w:pPr>
    </w:p>
    <w:p w:rsidRPr="004B502C" w:rsidR="00B04815" w:rsidRDefault="00B04815">
      <w:pPr>
        <w:pStyle w:val="BodyText"/>
        <w:rPr>
          <w:rFonts w:ascii="Times New Roman" w:hAnsi="Times New Roman"/>
        </w:rPr>
      </w:pPr>
      <w:r w:rsidRPr="004B502C">
        <w:rPr>
          <w:rFonts w:ascii="Times New Roman" w:hAnsi="Times New Roman"/>
        </w:rPr>
        <w:t>11.  Provide additional justification for any questions of a sensitive nature.</w:t>
      </w:r>
    </w:p>
    <w:p w:rsidRPr="004B502C" w:rsidR="00B04815" w:rsidRDefault="00B04815">
      <w:pPr>
        <w:rPr>
          <w:rFonts w:ascii="Times New Roman" w:hAnsi="Times New Roman"/>
        </w:rPr>
      </w:pPr>
    </w:p>
    <w:p w:rsidR="001A64AC" w:rsidRDefault="00823F69">
      <w:pPr>
        <w:rPr>
          <w:rFonts w:ascii="Times New Roman" w:hAnsi="Times New Roman"/>
        </w:rPr>
      </w:pPr>
      <w:r w:rsidRPr="00823F69">
        <w:rPr>
          <w:rFonts w:ascii="Times New Roman" w:hAnsi="Times New Roman"/>
        </w:rPr>
        <w:t>There are no questions of sensitive language.</w:t>
      </w:r>
    </w:p>
    <w:p w:rsidRPr="004B502C" w:rsidR="00823F69" w:rsidRDefault="00823F69">
      <w:pPr>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12.  Provide estimates of the hour burden of the collection of information.</w:t>
      </w:r>
    </w:p>
    <w:p w:rsidRPr="004B502C" w:rsidR="00B04815" w:rsidRDefault="00B04815">
      <w:pPr>
        <w:rPr>
          <w:rFonts w:ascii="Times New Roman" w:hAnsi="Times New Roman"/>
        </w:rPr>
      </w:pPr>
    </w:p>
    <w:p w:rsidRPr="002B11A6" w:rsidR="00823F69" w:rsidP="00823F69" w:rsidRDefault="00823F69">
      <w:pPr>
        <w:rPr>
          <w:rFonts w:ascii="Times New Roman" w:hAnsi="Times New Roman"/>
          <w:iCs/>
        </w:rPr>
      </w:pPr>
      <w:r w:rsidRPr="002B11A6">
        <w:rPr>
          <w:rFonts w:ascii="Times New Roman" w:hAnsi="Times New Roman"/>
          <w:iCs/>
        </w:rPr>
        <w:t xml:space="preserve">The total annual hour burden on respondents is estimated to be </w:t>
      </w:r>
      <w:r w:rsidRPr="002B11A6" w:rsidR="00036017">
        <w:rPr>
          <w:rFonts w:ascii="Times New Roman" w:hAnsi="Times New Roman"/>
          <w:iCs/>
        </w:rPr>
        <w:t>3750</w:t>
      </w:r>
      <w:r w:rsidRPr="002B11A6">
        <w:rPr>
          <w:rFonts w:ascii="Times New Roman" w:hAnsi="Times New Roman"/>
          <w:iCs/>
        </w:rPr>
        <w:t xml:space="preserve"> hours. The total annual cost to respondents for submitting permit applications is estimated to be $</w:t>
      </w:r>
      <w:r w:rsidRPr="002B11A6" w:rsidR="002B11A6">
        <w:rPr>
          <w:rFonts w:ascii="Times New Roman" w:hAnsi="Times New Roman"/>
          <w:iCs/>
        </w:rPr>
        <w:t>221,812.50</w:t>
      </w:r>
      <w:r w:rsidRPr="002B11A6">
        <w:rPr>
          <w:rFonts w:ascii="Times New Roman" w:hAnsi="Times New Roman"/>
          <w:iCs/>
        </w:rPr>
        <w:t>.</w:t>
      </w:r>
    </w:p>
    <w:p w:rsidRPr="00385842" w:rsidR="00823F69" w:rsidP="00823F69" w:rsidRDefault="00823F69">
      <w:pPr>
        <w:rPr>
          <w:rFonts w:ascii="Times New Roman" w:hAnsi="Times New Roman"/>
          <w:iCs/>
          <w:highlight w:val="yellow"/>
        </w:rPr>
      </w:pPr>
    </w:p>
    <w:p w:rsidRPr="00385842" w:rsidR="00823F69" w:rsidP="00823F69" w:rsidRDefault="00823F69">
      <w:pPr>
        <w:rPr>
          <w:rFonts w:ascii="Times New Roman" w:hAnsi="Times New Roman"/>
          <w:iCs/>
          <w:highlight w:val="yellow"/>
        </w:rPr>
      </w:pPr>
      <w:r w:rsidRPr="00B064AE">
        <w:rPr>
          <w:rFonts w:ascii="Times New Roman" w:hAnsi="Times New Roman"/>
          <w:iCs/>
        </w:rPr>
        <w:t xml:space="preserve">The Coast Guard estimates there will be approximately </w:t>
      </w:r>
      <w:r w:rsidRPr="00B064AE" w:rsidR="00B064AE">
        <w:rPr>
          <w:rFonts w:ascii="Times New Roman" w:hAnsi="Times New Roman"/>
          <w:iCs/>
        </w:rPr>
        <w:t>3</w:t>
      </w:r>
      <w:r w:rsidRPr="00B064AE">
        <w:rPr>
          <w:rFonts w:ascii="Times New Roman" w:hAnsi="Times New Roman"/>
          <w:iCs/>
        </w:rPr>
        <w:t xml:space="preserve">,500 respondents submitting a permit application for one or more events to the Coast Guard annually. We estimate that </w:t>
      </w:r>
      <w:r w:rsidRPr="00B064AE" w:rsidR="00B064AE">
        <w:rPr>
          <w:rFonts w:ascii="Times New Roman" w:hAnsi="Times New Roman"/>
          <w:iCs/>
        </w:rPr>
        <w:t>14% (</w:t>
      </w:r>
      <w:r w:rsidRPr="00B064AE">
        <w:rPr>
          <w:rFonts w:ascii="Times New Roman" w:hAnsi="Times New Roman"/>
          <w:iCs/>
        </w:rPr>
        <w:t>5</w:t>
      </w:r>
      <w:r w:rsidRPr="00B064AE" w:rsidR="00B064AE">
        <w:rPr>
          <w:rFonts w:ascii="Times New Roman" w:hAnsi="Times New Roman"/>
          <w:iCs/>
        </w:rPr>
        <w:t>0</w:t>
      </w:r>
      <w:r w:rsidRPr="00B064AE">
        <w:rPr>
          <w:rFonts w:ascii="Times New Roman" w:hAnsi="Times New Roman"/>
          <w:iCs/>
        </w:rPr>
        <w:t>0 applications) will be submitted online through the Homeport Web Portal.</w:t>
      </w:r>
      <w:r w:rsidRPr="00385842">
        <w:rPr>
          <w:rFonts w:ascii="Times New Roman" w:hAnsi="Times New Roman"/>
          <w:iCs/>
          <w:highlight w:val="yellow"/>
        </w:rPr>
        <w:t xml:space="preserve"> </w:t>
      </w:r>
    </w:p>
    <w:p w:rsidRPr="00385842" w:rsidR="00823F69" w:rsidP="00823F69" w:rsidRDefault="00823F69">
      <w:pPr>
        <w:rPr>
          <w:rFonts w:ascii="Times New Roman" w:hAnsi="Times New Roman"/>
          <w:iCs/>
          <w:highlight w:val="yellow"/>
        </w:rPr>
      </w:pPr>
    </w:p>
    <w:p w:rsidRPr="00157B73" w:rsidR="00823F69" w:rsidP="00823F69" w:rsidRDefault="00823F69">
      <w:pPr>
        <w:rPr>
          <w:rFonts w:ascii="Times New Roman" w:hAnsi="Times New Roman"/>
          <w:iCs/>
        </w:rPr>
      </w:pPr>
      <w:r w:rsidRPr="00157B73">
        <w:rPr>
          <w:rFonts w:ascii="Times New Roman" w:hAnsi="Times New Roman"/>
          <w:iCs/>
        </w:rPr>
        <w:t>The time to gather the marine event information to prepare the permit application and complete the form is estimated to take approximately 60 minutes</w:t>
      </w:r>
      <w:r w:rsidRPr="00157B73" w:rsidR="00AE7E60">
        <w:rPr>
          <w:rFonts w:ascii="Times New Roman" w:hAnsi="Times New Roman"/>
          <w:iCs/>
        </w:rPr>
        <w:t xml:space="preserve"> for the automated Adobe form</w:t>
      </w:r>
      <w:r w:rsidRPr="00157B73">
        <w:rPr>
          <w:rFonts w:ascii="Times New Roman" w:hAnsi="Times New Roman"/>
          <w:iCs/>
        </w:rPr>
        <w:t>.</w:t>
      </w:r>
      <w:r w:rsidRPr="00157B73" w:rsidR="00AE7E60">
        <w:rPr>
          <w:rFonts w:ascii="Times New Roman" w:hAnsi="Times New Roman"/>
          <w:iCs/>
        </w:rPr>
        <w:t xml:space="preserve">  The time to complete the online application and email attachments is approximately 90 minutes.</w:t>
      </w:r>
      <w:r w:rsidRPr="00157B73">
        <w:rPr>
          <w:rFonts w:ascii="Times New Roman" w:hAnsi="Times New Roman"/>
          <w:iCs/>
        </w:rPr>
        <w:t xml:space="preserve"> The permit application may be typed in online format or using an automated form suitable for facsimile or mailing.  Respondents may also print out a blank CG-4423 and complete it in ink. Even though the information must be developed over the course of planning the event, someone must collect the details to enter them into the permit application. This includes time to obtain a </w:t>
      </w:r>
      <w:r w:rsidRPr="00157B73">
        <w:rPr>
          <w:rFonts w:ascii="Times New Roman" w:hAnsi="Times New Roman"/>
          <w:iCs/>
        </w:rPr>
        <w:lastRenderedPageBreak/>
        <w:t xml:space="preserve">chart section or prepare a scale drawing, enter event boundaries, courses and markers that the Coast Guard needs to consider any impacts the event may have on navigation, whether or not to issue the permit, and to use as needed for a notice to mariners. The explanations for items 3, 5, 6, 8 and 9 consume most of the estimated time to complete the permit application. </w:t>
      </w:r>
    </w:p>
    <w:p w:rsidRPr="00157B73" w:rsidR="00823F69" w:rsidP="00823F69" w:rsidRDefault="00823F69">
      <w:pPr>
        <w:rPr>
          <w:rFonts w:ascii="Times New Roman" w:hAnsi="Times New Roman"/>
          <w:iCs/>
        </w:rPr>
      </w:pPr>
    </w:p>
    <w:p w:rsidRPr="00157B73" w:rsidR="00823F69" w:rsidP="00823F69" w:rsidRDefault="00823F69">
      <w:pPr>
        <w:rPr>
          <w:rFonts w:ascii="Times New Roman" w:hAnsi="Times New Roman"/>
          <w:iCs/>
        </w:rPr>
      </w:pPr>
      <w:r w:rsidRPr="00157B73">
        <w:rPr>
          <w:rFonts w:ascii="Times New Roman" w:hAnsi="Times New Roman"/>
          <w:iCs/>
        </w:rPr>
        <w:t xml:space="preserve">Total annual burden on the public: </w:t>
      </w:r>
    </w:p>
    <w:p w:rsidRPr="00157B73" w:rsidR="00823F69" w:rsidP="00823F69" w:rsidRDefault="00823F69">
      <w:pPr>
        <w:rPr>
          <w:rFonts w:ascii="Times New Roman" w:hAnsi="Times New Roman"/>
          <w:iCs/>
        </w:rPr>
      </w:pPr>
      <w:r w:rsidRPr="00157B73">
        <w:rPr>
          <w:rFonts w:ascii="Times New Roman" w:hAnsi="Times New Roman"/>
          <w:iCs/>
        </w:rPr>
        <w:t xml:space="preserve">1 hour x </w:t>
      </w:r>
      <w:r w:rsidRPr="00157B73" w:rsidR="00AE7E60">
        <w:rPr>
          <w:rFonts w:ascii="Times New Roman" w:hAnsi="Times New Roman"/>
          <w:iCs/>
        </w:rPr>
        <w:t>3000</w:t>
      </w:r>
      <w:r w:rsidRPr="00157B73">
        <w:rPr>
          <w:rFonts w:ascii="Times New Roman" w:hAnsi="Times New Roman"/>
          <w:iCs/>
        </w:rPr>
        <w:t xml:space="preserve"> (automated form) = </w:t>
      </w:r>
      <w:r w:rsidRPr="00157B73" w:rsidR="00AE7E60">
        <w:rPr>
          <w:rFonts w:ascii="Times New Roman" w:hAnsi="Times New Roman"/>
          <w:iCs/>
        </w:rPr>
        <w:t>300</w:t>
      </w:r>
      <w:r w:rsidRPr="00157B73">
        <w:rPr>
          <w:rFonts w:ascii="Times New Roman" w:hAnsi="Times New Roman"/>
          <w:iCs/>
        </w:rPr>
        <w:t>0 hours</w:t>
      </w:r>
    </w:p>
    <w:p w:rsidRPr="00157B73" w:rsidR="00823F69" w:rsidP="00823F69" w:rsidRDefault="00AE7E60">
      <w:pPr>
        <w:rPr>
          <w:rFonts w:ascii="Times New Roman" w:hAnsi="Times New Roman"/>
          <w:iCs/>
        </w:rPr>
      </w:pPr>
      <w:r w:rsidRPr="00157B73">
        <w:rPr>
          <w:rFonts w:ascii="Times New Roman" w:hAnsi="Times New Roman"/>
          <w:iCs/>
        </w:rPr>
        <w:t>1.5</w:t>
      </w:r>
      <w:r w:rsidRPr="00157B73" w:rsidR="00823F69">
        <w:rPr>
          <w:rFonts w:ascii="Times New Roman" w:hAnsi="Times New Roman"/>
          <w:iCs/>
        </w:rPr>
        <w:t xml:space="preserve"> </w:t>
      </w:r>
      <w:r w:rsidRPr="00157B73">
        <w:rPr>
          <w:rFonts w:ascii="Times New Roman" w:hAnsi="Times New Roman"/>
          <w:iCs/>
        </w:rPr>
        <w:t>hours</w:t>
      </w:r>
      <w:r w:rsidRPr="00157B73" w:rsidR="00823F69">
        <w:rPr>
          <w:rFonts w:ascii="Times New Roman" w:hAnsi="Times New Roman"/>
          <w:iCs/>
        </w:rPr>
        <w:t xml:space="preserve"> x </w:t>
      </w:r>
      <w:r w:rsidRPr="00157B73">
        <w:rPr>
          <w:rFonts w:ascii="Times New Roman" w:hAnsi="Times New Roman"/>
          <w:iCs/>
        </w:rPr>
        <w:t>500</w:t>
      </w:r>
      <w:r w:rsidRPr="00157B73" w:rsidR="00823F69">
        <w:rPr>
          <w:rFonts w:ascii="Times New Roman" w:hAnsi="Times New Roman"/>
          <w:iCs/>
        </w:rPr>
        <w:t xml:space="preserve"> (online form) = </w:t>
      </w:r>
      <w:r w:rsidRPr="00157B73">
        <w:rPr>
          <w:rFonts w:ascii="Times New Roman" w:hAnsi="Times New Roman"/>
          <w:iCs/>
        </w:rPr>
        <w:t>750</w:t>
      </w:r>
      <w:r w:rsidRPr="00157B73" w:rsidR="00823F69">
        <w:rPr>
          <w:rFonts w:ascii="Times New Roman" w:hAnsi="Times New Roman"/>
          <w:iCs/>
        </w:rPr>
        <w:t xml:space="preserve"> hours </w:t>
      </w:r>
    </w:p>
    <w:p w:rsidRPr="00157B73" w:rsidR="00823F69" w:rsidP="00823F69" w:rsidRDefault="00823F69">
      <w:pPr>
        <w:rPr>
          <w:rFonts w:ascii="Times New Roman" w:hAnsi="Times New Roman"/>
          <w:iCs/>
        </w:rPr>
      </w:pPr>
      <w:r w:rsidRPr="00157B73">
        <w:rPr>
          <w:rFonts w:ascii="Times New Roman" w:hAnsi="Times New Roman"/>
          <w:iCs/>
        </w:rPr>
        <w:t>Total burden hours =</w:t>
      </w:r>
      <w:r w:rsidRPr="00157B73">
        <w:rPr>
          <w:rFonts w:ascii="Times New Roman" w:hAnsi="Times New Roman"/>
          <w:iCs/>
        </w:rPr>
        <w:tab/>
      </w:r>
      <w:r w:rsidRPr="00157B73" w:rsidR="00AE7E60">
        <w:rPr>
          <w:rFonts w:ascii="Times New Roman" w:hAnsi="Times New Roman"/>
          <w:iCs/>
        </w:rPr>
        <w:t>3750</w:t>
      </w:r>
      <w:r w:rsidRPr="00157B73">
        <w:rPr>
          <w:rFonts w:ascii="Times New Roman" w:hAnsi="Times New Roman"/>
          <w:iCs/>
        </w:rPr>
        <w:t xml:space="preserve"> hours</w:t>
      </w:r>
      <w:r w:rsidRPr="00157B73">
        <w:rPr>
          <w:rFonts w:ascii="Times New Roman" w:hAnsi="Times New Roman"/>
          <w:iCs/>
        </w:rPr>
        <w:tab/>
      </w:r>
    </w:p>
    <w:p w:rsidRPr="00157B73" w:rsidR="00823F69" w:rsidP="00823F69" w:rsidRDefault="00823F69">
      <w:pPr>
        <w:rPr>
          <w:rFonts w:ascii="Times New Roman" w:hAnsi="Times New Roman"/>
          <w:iCs/>
        </w:rPr>
      </w:pPr>
    </w:p>
    <w:p w:rsidRPr="00157B73" w:rsidR="00823F69" w:rsidP="00823F69" w:rsidRDefault="00823F69">
      <w:pPr>
        <w:rPr>
          <w:rFonts w:ascii="Times New Roman" w:hAnsi="Times New Roman"/>
          <w:iCs/>
          <w:u w:val="single"/>
        </w:rPr>
      </w:pPr>
      <w:r w:rsidRPr="00157B73">
        <w:rPr>
          <w:rFonts w:ascii="Times New Roman" w:hAnsi="Times New Roman"/>
          <w:iCs/>
          <w:u w:val="single"/>
        </w:rPr>
        <w:t>Estimated cost burden.</w:t>
      </w:r>
    </w:p>
    <w:p w:rsidRPr="00157B73" w:rsidR="00823F69" w:rsidP="00823F69" w:rsidRDefault="00823F69">
      <w:pPr>
        <w:rPr>
          <w:rFonts w:ascii="Times New Roman" w:hAnsi="Times New Roman"/>
          <w:iCs/>
        </w:rPr>
      </w:pPr>
      <w:r w:rsidRPr="00157B73">
        <w:rPr>
          <w:rFonts w:ascii="Times New Roman" w:hAnsi="Times New Roman"/>
          <w:iCs/>
        </w:rPr>
        <w:t>Permit applications come from sponsors of marine events which include a variety of groups with an interest in marine activities.  The Coast Guard estimates that most permit application forms are completed by personnel who meet the Bureau of Labor and Statistics (BLS) definition of General and Operations Managers.  BLS estimates the mean hourly salary of General and Operations Managers as $</w:t>
      </w:r>
      <w:r w:rsidRPr="00157B73" w:rsidR="00AE7E60">
        <w:rPr>
          <w:rFonts w:ascii="Times New Roman" w:hAnsi="Times New Roman"/>
          <w:iCs/>
        </w:rPr>
        <w:t>59.15</w:t>
      </w:r>
      <w:r w:rsidRPr="00157B73">
        <w:rPr>
          <w:rFonts w:ascii="Times New Roman" w:hAnsi="Times New Roman"/>
          <w:iCs/>
        </w:rPr>
        <w:t>.</w:t>
      </w:r>
    </w:p>
    <w:p w:rsidRPr="00157B73" w:rsidR="00823F69" w:rsidP="00823F69" w:rsidRDefault="00823F69">
      <w:pPr>
        <w:rPr>
          <w:rFonts w:ascii="Times New Roman" w:hAnsi="Times New Roman"/>
          <w:iCs/>
        </w:rPr>
      </w:pPr>
    </w:p>
    <w:p w:rsidRPr="00823F69" w:rsidR="00823F69" w:rsidP="00823F69" w:rsidRDefault="00823F69">
      <w:pPr>
        <w:rPr>
          <w:rFonts w:ascii="Times New Roman" w:hAnsi="Times New Roman"/>
          <w:iCs/>
        </w:rPr>
      </w:pPr>
      <w:r w:rsidRPr="00157B73">
        <w:rPr>
          <w:rFonts w:ascii="Times New Roman" w:hAnsi="Times New Roman"/>
          <w:iCs/>
        </w:rPr>
        <w:t>The cost per marine event to complete an automated Adobe permit application is therefore $5</w:t>
      </w:r>
      <w:r w:rsidRPr="00157B73" w:rsidR="00AE7E60">
        <w:rPr>
          <w:rFonts w:ascii="Times New Roman" w:hAnsi="Times New Roman"/>
          <w:iCs/>
        </w:rPr>
        <w:t>9</w:t>
      </w:r>
      <w:r w:rsidRPr="00157B73">
        <w:rPr>
          <w:rFonts w:ascii="Times New Roman" w:hAnsi="Times New Roman"/>
          <w:iCs/>
        </w:rPr>
        <w:t>.</w:t>
      </w:r>
      <w:r w:rsidRPr="00157B73" w:rsidR="00AE7E60">
        <w:rPr>
          <w:rFonts w:ascii="Times New Roman" w:hAnsi="Times New Roman"/>
          <w:iCs/>
        </w:rPr>
        <w:t>15</w:t>
      </w:r>
      <w:r w:rsidRPr="00157B73">
        <w:rPr>
          <w:rFonts w:ascii="Times New Roman" w:hAnsi="Times New Roman"/>
          <w:iCs/>
        </w:rPr>
        <w:t xml:space="preserve"> (1 hour x $5</w:t>
      </w:r>
      <w:r w:rsidRPr="00157B73" w:rsidR="00147243">
        <w:rPr>
          <w:rFonts w:ascii="Times New Roman" w:hAnsi="Times New Roman"/>
          <w:iCs/>
        </w:rPr>
        <w:t>9.15</w:t>
      </w:r>
      <w:r w:rsidRPr="00157B73">
        <w:rPr>
          <w:rFonts w:ascii="Times New Roman" w:hAnsi="Times New Roman"/>
          <w:iCs/>
        </w:rPr>
        <w:t>/</w:t>
      </w:r>
      <w:proofErr w:type="spellStart"/>
      <w:r w:rsidRPr="00157B73">
        <w:rPr>
          <w:rFonts w:ascii="Times New Roman" w:hAnsi="Times New Roman"/>
          <w:iCs/>
        </w:rPr>
        <w:t>hr</w:t>
      </w:r>
      <w:proofErr w:type="spellEnd"/>
      <w:r w:rsidRPr="00157B73">
        <w:rPr>
          <w:rFonts w:ascii="Times New Roman" w:hAnsi="Times New Roman"/>
          <w:iCs/>
        </w:rPr>
        <w:t>). The cost per marine event to complete an online application is therefore $</w:t>
      </w:r>
      <w:r w:rsidRPr="00157B73" w:rsidR="00147243">
        <w:rPr>
          <w:rFonts w:ascii="Times New Roman" w:hAnsi="Times New Roman"/>
          <w:iCs/>
        </w:rPr>
        <w:t>88.7</w:t>
      </w:r>
      <w:r w:rsidRPr="00157B73" w:rsidR="000D2C5B">
        <w:rPr>
          <w:rFonts w:ascii="Times New Roman" w:hAnsi="Times New Roman"/>
          <w:iCs/>
        </w:rPr>
        <w:t>3</w:t>
      </w:r>
      <w:r w:rsidRPr="00157B73">
        <w:rPr>
          <w:rFonts w:ascii="Times New Roman" w:hAnsi="Times New Roman"/>
          <w:iCs/>
        </w:rPr>
        <w:t xml:space="preserve"> (</w:t>
      </w:r>
      <w:r w:rsidRPr="00157B73" w:rsidR="00147243">
        <w:rPr>
          <w:rFonts w:ascii="Times New Roman" w:hAnsi="Times New Roman"/>
          <w:iCs/>
        </w:rPr>
        <w:t>90</w:t>
      </w:r>
      <w:r w:rsidRPr="00157B73">
        <w:rPr>
          <w:rFonts w:ascii="Times New Roman" w:hAnsi="Times New Roman"/>
          <w:iCs/>
        </w:rPr>
        <w:t xml:space="preserve"> minutes x $5</w:t>
      </w:r>
      <w:r w:rsidRPr="00157B73" w:rsidR="00147243">
        <w:rPr>
          <w:rFonts w:ascii="Times New Roman" w:hAnsi="Times New Roman"/>
          <w:iCs/>
        </w:rPr>
        <w:t>9</w:t>
      </w:r>
      <w:r w:rsidRPr="00157B73">
        <w:rPr>
          <w:rFonts w:ascii="Times New Roman" w:hAnsi="Times New Roman"/>
          <w:iCs/>
        </w:rPr>
        <w:t>.</w:t>
      </w:r>
      <w:r w:rsidRPr="00157B73" w:rsidR="00147243">
        <w:rPr>
          <w:rFonts w:ascii="Times New Roman" w:hAnsi="Times New Roman"/>
          <w:iCs/>
        </w:rPr>
        <w:t>15</w:t>
      </w:r>
      <w:r w:rsidRPr="00157B73">
        <w:rPr>
          <w:rFonts w:ascii="Times New Roman" w:hAnsi="Times New Roman"/>
          <w:iCs/>
        </w:rPr>
        <w:t>/</w:t>
      </w:r>
      <w:proofErr w:type="spellStart"/>
      <w:r w:rsidRPr="00157B73">
        <w:rPr>
          <w:rFonts w:ascii="Times New Roman" w:hAnsi="Times New Roman"/>
          <w:iCs/>
        </w:rPr>
        <w:t>hr</w:t>
      </w:r>
      <w:proofErr w:type="spellEnd"/>
      <w:r w:rsidRPr="00157B73">
        <w:rPr>
          <w:rFonts w:ascii="Times New Roman" w:hAnsi="Times New Roman"/>
          <w:iCs/>
        </w:rPr>
        <w:t>). The total cost burden to the public to complete permits for regattas and marine parades is $</w:t>
      </w:r>
      <w:r w:rsidRPr="00157B73" w:rsidR="000D2C5B">
        <w:rPr>
          <w:rFonts w:ascii="Times New Roman" w:hAnsi="Times New Roman"/>
          <w:iCs/>
        </w:rPr>
        <w:t>221,812.50</w:t>
      </w:r>
      <w:r w:rsidRPr="00157B73">
        <w:rPr>
          <w:rFonts w:ascii="Times New Roman" w:hAnsi="Times New Roman"/>
          <w:iCs/>
        </w:rPr>
        <w:t xml:space="preserve"> </w:t>
      </w:r>
      <w:r w:rsidRPr="00157B73" w:rsidR="000D2C5B">
        <w:rPr>
          <w:rFonts w:ascii="Times New Roman" w:hAnsi="Times New Roman"/>
          <w:iCs/>
        </w:rPr>
        <w:t>[</w:t>
      </w:r>
      <w:r w:rsidRPr="00157B73">
        <w:rPr>
          <w:rFonts w:ascii="Times New Roman" w:hAnsi="Times New Roman"/>
          <w:iCs/>
        </w:rPr>
        <w:t>(</w:t>
      </w:r>
      <w:r w:rsidRPr="00157B73" w:rsidR="000D2C5B">
        <w:rPr>
          <w:rFonts w:ascii="Times New Roman" w:hAnsi="Times New Roman"/>
          <w:iCs/>
        </w:rPr>
        <w:t>$88.725</w:t>
      </w:r>
      <w:r w:rsidR="00157B73">
        <w:rPr>
          <w:rFonts w:ascii="Times New Roman" w:hAnsi="Times New Roman"/>
          <w:iCs/>
        </w:rPr>
        <w:t>×</w:t>
      </w:r>
      <w:r w:rsidRPr="00157B73" w:rsidR="000D2C5B">
        <w:rPr>
          <w:rFonts w:ascii="Times New Roman" w:hAnsi="Times New Roman"/>
          <w:iCs/>
        </w:rPr>
        <w:t>500 forms</w:t>
      </w:r>
      <w:proofErr w:type="gramStart"/>
      <w:r w:rsidRPr="00157B73">
        <w:rPr>
          <w:rFonts w:ascii="Times New Roman" w:hAnsi="Times New Roman"/>
          <w:iCs/>
        </w:rPr>
        <w:t>)</w:t>
      </w:r>
      <w:r w:rsidRPr="00157B73" w:rsidR="000D2C5B">
        <w:rPr>
          <w:rFonts w:ascii="Times New Roman" w:hAnsi="Times New Roman"/>
          <w:iCs/>
        </w:rPr>
        <w:t>+</w:t>
      </w:r>
      <w:proofErr w:type="gramEnd"/>
      <w:r w:rsidRPr="00157B73" w:rsidR="000D2C5B">
        <w:rPr>
          <w:rFonts w:ascii="Times New Roman" w:hAnsi="Times New Roman"/>
          <w:iCs/>
        </w:rPr>
        <w:t>(</w:t>
      </w:r>
      <w:r w:rsidR="00157B73">
        <w:rPr>
          <w:rFonts w:ascii="Times New Roman" w:hAnsi="Times New Roman"/>
          <w:iCs/>
        </w:rPr>
        <w:t>$59.15×</w:t>
      </w:r>
      <w:r w:rsidRPr="00157B73" w:rsidR="000D2C5B">
        <w:rPr>
          <w:rFonts w:ascii="Times New Roman" w:hAnsi="Times New Roman"/>
          <w:iCs/>
        </w:rPr>
        <w:t>3,000 forms)]</w:t>
      </w:r>
      <w:r w:rsidRPr="00157B73">
        <w:rPr>
          <w:rFonts w:ascii="Times New Roman" w:hAnsi="Times New Roman"/>
          <w:iCs/>
        </w:rPr>
        <w:t>.</w:t>
      </w:r>
    </w:p>
    <w:p w:rsidRPr="00823F69" w:rsidR="00823F69" w:rsidP="00823F69" w:rsidRDefault="00823F69">
      <w:pPr>
        <w:rPr>
          <w:rFonts w:ascii="Times New Roman" w:hAnsi="Times New Roman"/>
          <w:iCs/>
        </w:rPr>
      </w:pPr>
    </w:p>
    <w:p w:rsidRPr="00823F69" w:rsidR="00823F69" w:rsidP="00823F69" w:rsidRDefault="00823F69">
      <w:pPr>
        <w:rPr>
          <w:rFonts w:ascii="Times New Roman" w:hAnsi="Times New Roman"/>
          <w:iCs/>
        </w:rPr>
      </w:pPr>
      <w:r w:rsidRPr="00823F69">
        <w:rPr>
          <w:rFonts w:ascii="Times New Roman" w:hAnsi="Times New Roman"/>
          <w:iCs/>
        </w:rPr>
        <w:t>Summary for applicants</w:t>
      </w:r>
    </w:p>
    <w:p w:rsidRPr="00823F69" w:rsidR="00823F69" w:rsidP="00823F69" w:rsidRDefault="00823F69">
      <w:pPr>
        <w:rPr>
          <w:rFonts w:ascii="Times New Roman" w:hAnsi="Times New Roman"/>
          <w:iCs/>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857"/>
        <w:gridCol w:w="2441"/>
        <w:gridCol w:w="1278"/>
      </w:tblGrid>
      <w:tr w:rsidRPr="00823F69" w:rsidR="00823F69" w:rsidTr="00F73687">
        <w:trPr>
          <w:trHeight w:val="276"/>
        </w:trPr>
        <w:tc>
          <w:tcPr>
            <w:tcW w:w="5857" w:type="dxa"/>
            <w:tcBorders>
              <w:top w:val="single" w:color="000000" w:sz="8" w:space="0"/>
              <w:left w:val="single" w:color="000000" w:sz="8" w:space="0"/>
              <w:bottom w:val="single" w:color="000000" w:sz="4" w:space="0"/>
              <w:right w:val="single" w:color="000000" w:sz="4" w:space="0"/>
            </w:tcBorders>
          </w:tcPr>
          <w:p w:rsidRPr="00823F69" w:rsidR="00823F69" w:rsidP="00823F69" w:rsidRDefault="00823F69">
            <w:pPr>
              <w:rPr>
                <w:rFonts w:ascii="Times New Roman" w:hAnsi="Times New Roman"/>
                <w:iCs/>
              </w:rPr>
            </w:pPr>
            <w:r w:rsidRPr="00823F69">
              <w:rPr>
                <w:rFonts w:ascii="Times New Roman" w:hAnsi="Times New Roman"/>
                <w:iCs/>
              </w:rPr>
              <w:t>Number expected to be submitted online</w:t>
            </w:r>
          </w:p>
        </w:tc>
        <w:tc>
          <w:tcPr>
            <w:tcW w:w="2441" w:type="dxa"/>
            <w:tcBorders>
              <w:top w:val="single" w:color="000000" w:sz="8" w:space="0"/>
              <w:left w:val="single" w:color="000000" w:sz="4" w:space="0"/>
              <w:bottom w:val="single" w:color="000000" w:sz="4" w:space="0"/>
              <w:right w:val="single" w:color="000000" w:sz="4" w:space="0"/>
            </w:tcBorders>
          </w:tcPr>
          <w:p w:rsidRPr="00823F69" w:rsidR="00823F69" w:rsidP="00823F69" w:rsidRDefault="00823F69">
            <w:pPr>
              <w:rPr>
                <w:rFonts w:ascii="Times New Roman" w:hAnsi="Times New Roman"/>
                <w:iCs/>
              </w:rPr>
            </w:pPr>
            <w:r w:rsidRPr="00823F69">
              <w:rPr>
                <w:rFonts w:ascii="Times New Roman" w:hAnsi="Times New Roman"/>
                <w:iCs/>
              </w:rPr>
              <w:t>500 (14% of total)</w:t>
            </w:r>
          </w:p>
        </w:tc>
        <w:tc>
          <w:tcPr>
            <w:tcW w:w="1278" w:type="dxa"/>
            <w:vMerge w:val="restart"/>
            <w:tcBorders>
              <w:top w:val="single" w:color="000000" w:sz="8" w:space="0"/>
              <w:left w:val="single" w:color="000000" w:sz="4" w:space="0"/>
              <w:bottom w:val="single" w:color="000000" w:sz="4" w:space="0"/>
              <w:right w:val="single" w:color="000000" w:sz="8" w:space="0"/>
            </w:tcBorders>
            <w:shd w:val="pct10" w:color="auto" w:fill="auto"/>
          </w:tcPr>
          <w:p w:rsidRPr="00823F69" w:rsidR="00823F69" w:rsidP="00823F69" w:rsidRDefault="00823F69">
            <w:pPr>
              <w:rPr>
                <w:rFonts w:ascii="Times New Roman" w:hAnsi="Times New Roman"/>
                <w:iCs/>
              </w:rPr>
            </w:pPr>
            <w:r w:rsidRPr="00823F69">
              <w:rPr>
                <w:rFonts w:ascii="Times New Roman" w:hAnsi="Times New Roman"/>
                <w:iCs/>
              </w:rPr>
              <w:t>Number of Forms Submitted</w:t>
            </w:r>
          </w:p>
        </w:tc>
      </w:tr>
      <w:tr w:rsidRPr="00823F69" w:rsidR="00823F69" w:rsidTr="00F73687">
        <w:trPr>
          <w:trHeight w:val="276"/>
        </w:trPr>
        <w:tc>
          <w:tcPr>
            <w:tcW w:w="5857" w:type="dxa"/>
            <w:tcBorders>
              <w:top w:val="single" w:color="000000" w:sz="4" w:space="0"/>
              <w:left w:val="single" w:color="000000" w:sz="8" w:space="0"/>
              <w:bottom w:val="single" w:color="000000" w:sz="4" w:space="0"/>
              <w:right w:val="single" w:color="000000" w:sz="4" w:space="0"/>
            </w:tcBorders>
          </w:tcPr>
          <w:p w:rsidRPr="00823F69" w:rsidR="00823F69" w:rsidP="00823F69" w:rsidRDefault="00823F69">
            <w:pPr>
              <w:rPr>
                <w:rFonts w:ascii="Times New Roman" w:hAnsi="Times New Roman"/>
                <w:iCs/>
              </w:rPr>
            </w:pPr>
            <w:r w:rsidRPr="00823F69">
              <w:rPr>
                <w:rFonts w:ascii="Times New Roman" w:hAnsi="Times New Roman"/>
                <w:iCs/>
              </w:rPr>
              <w:t>Number expected to be submitted on automated Adobe form</w:t>
            </w:r>
          </w:p>
        </w:tc>
        <w:tc>
          <w:tcPr>
            <w:tcW w:w="2441" w:type="dxa"/>
            <w:tcBorders>
              <w:top w:val="single" w:color="000000" w:sz="4" w:space="0"/>
              <w:left w:val="single" w:color="000000" w:sz="4" w:space="0"/>
              <w:bottom w:val="single" w:color="000000" w:sz="4" w:space="0"/>
              <w:right w:val="single" w:color="000000" w:sz="4" w:space="0"/>
            </w:tcBorders>
          </w:tcPr>
          <w:p w:rsidRPr="00823F69" w:rsidR="00823F69" w:rsidP="00823F69" w:rsidRDefault="00823F69">
            <w:pPr>
              <w:rPr>
                <w:rFonts w:ascii="Times New Roman" w:hAnsi="Times New Roman"/>
                <w:iCs/>
              </w:rPr>
            </w:pPr>
            <w:r w:rsidRPr="00823F69">
              <w:rPr>
                <w:rFonts w:ascii="Times New Roman" w:hAnsi="Times New Roman"/>
                <w:iCs/>
              </w:rPr>
              <w:t>3,000 (86% of total)</w:t>
            </w:r>
          </w:p>
        </w:tc>
        <w:tc>
          <w:tcPr>
            <w:tcW w:w="1278" w:type="dxa"/>
            <w:vMerge/>
            <w:tcBorders>
              <w:top w:val="single" w:color="000000" w:sz="4" w:space="0"/>
              <w:left w:val="single" w:color="000000" w:sz="4" w:space="0"/>
              <w:bottom w:val="single" w:color="000000" w:sz="4" w:space="0"/>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top w:val="single" w:color="000000" w:sz="4" w:space="0"/>
              <w:left w:val="single" w:color="000000" w:sz="8" w:space="0"/>
              <w:bottom w:val="single" w:color="000000" w:sz="18" w:space="0"/>
              <w:right w:val="single" w:color="000000" w:sz="4" w:space="0"/>
            </w:tcBorders>
          </w:tcPr>
          <w:p w:rsidRPr="00823F69" w:rsidR="00823F69" w:rsidP="00823F69" w:rsidRDefault="00823F69">
            <w:pPr>
              <w:rPr>
                <w:rFonts w:ascii="Times New Roman" w:hAnsi="Times New Roman"/>
                <w:iCs/>
              </w:rPr>
            </w:pPr>
            <w:r w:rsidRPr="00823F69">
              <w:rPr>
                <w:rFonts w:ascii="Times New Roman" w:hAnsi="Times New Roman"/>
                <w:iCs/>
              </w:rPr>
              <w:t>Total Number of CG-4423 forms submitted annually</w:t>
            </w:r>
          </w:p>
        </w:tc>
        <w:tc>
          <w:tcPr>
            <w:tcW w:w="2441" w:type="dxa"/>
            <w:tcBorders>
              <w:top w:val="single" w:color="000000" w:sz="4" w:space="0"/>
              <w:left w:val="single" w:color="000000" w:sz="4" w:space="0"/>
              <w:bottom w:val="single" w:color="000000" w:sz="18" w:space="0"/>
              <w:right w:val="single" w:color="000000" w:sz="4" w:space="0"/>
            </w:tcBorders>
          </w:tcPr>
          <w:p w:rsidRPr="00823F69" w:rsidR="00823F69" w:rsidP="00823F69" w:rsidRDefault="00823F69">
            <w:pPr>
              <w:rPr>
                <w:rFonts w:ascii="Times New Roman" w:hAnsi="Times New Roman"/>
                <w:iCs/>
              </w:rPr>
            </w:pPr>
            <w:r w:rsidRPr="00823F69">
              <w:rPr>
                <w:rFonts w:ascii="Times New Roman" w:hAnsi="Times New Roman"/>
                <w:iCs/>
              </w:rPr>
              <w:t>3,500</w:t>
            </w:r>
          </w:p>
        </w:tc>
        <w:tc>
          <w:tcPr>
            <w:tcW w:w="1278" w:type="dxa"/>
            <w:vMerge/>
            <w:tcBorders>
              <w:top w:val="single" w:color="000000" w:sz="4" w:space="0"/>
              <w:left w:val="single" w:color="000000" w:sz="4" w:space="0"/>
              <w:bottom w:val="single" w:color="000000" w:sz="18" w:space="0"/>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top w:val="single" w:color="000000" w:sz="18" w:space="0"/>
              <w:left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Estimated time to complete online CG-4423 + email attachments</w:t>
            </w:r>
          </w:p>
        </w:tc>
        <w:tc>
          <w:tcPr>
            <w:tcW w:w="2441" w:type="dxa"/>
            <w:tcBorders>
              <w:top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1 hour 30 minutes</w:t>
            </w:r>
          </w:p>
        </w:tc>
        <w:tc>
          <w:tcPr>
            <w:tcW w:w="1278" w:type="dxa"/>
            <w:vMerge w:val="restart"/>
            <w:tcBorders>
              <w:top w:val="single" w:color="000000" w:sz="18" w:space="0"/>
              <w:right w:val="single" w:color="000000" w:sz="8" w:space="0"/>
            </w:tcBorders>
            <w:shd w:val="pct10" w:color="auto" w:fill="auto"/>
          </w:tcPr>
          <w:p w:rsidRPr="00823F69" w:rsidR="00823F69" w:rsidP="00823F69" w:rsidRDefault="00823F69">
            <w:pPr>
              <w:rPr>
                <w:rFonts w:ascii="Times New Roman" w:hAnsi="Times New Roman"/>
                <w:iCs/>
              </w:rPr>
            </w:pPr>
            <w:r w:rsidRPr="00823F69">
              <w:rPr>
                <w:rFonts w:ascii="Times New Roman" w:hAnsi="Times New Roman"/>
                <w:iCs/>
              </w:rPr>
              <w:t>Time to Complete</w:t>
            </w:r>
          </w:p>
        </w:tc>
      </w:tr>
      <w:tr w:rsidRPr="00823F69" w:rsidR="00823F69" w:rsidTr="00F73687">
        <w:trPr>
          <w:trHeight w:val="276"/>
        </w:trPr>
        <w:tc>
          <w:tcPr>
            <w:tcW w:w="5857" w:type="dxa"/>
            <w:tcBorders>
              <w:left w:val="single" w:color="000000" w:sz="8" w:space="0"/>
              <w:bottom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Estimated time to complete automated Adobe CG-4423</w:t>
            </w:r>
          </w:p>
        </w:tc>
        <w:tc>
          <w:tcPr>
            <w:tcW w:w="2441" w:type="dxa"/>
            <w:tcBorders>
              <w:bottom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1 hour</w:t>
            </w:r>
          </w:p>
        </w:tc>
        <w:tc>
          <w:tcPr>
            <w:tcW w:w="1278" w:type="dxa"/>
            <w:vMerge/>
            <w:tcBorders>
              <w:bottom w:val="single" w:color="000000" w:sz="18" w:space="0"/>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top w:val="single" w:color="000000" w:sz="18" w:space="0"/>
              <w:left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Estimated time burden for online CG-4423</w:t>
            </w:r>
          </w:p>
        </w:tc>
        <w:tc>
          <w:tcPr>
            <w:tcW w:w="2441" w:type="dxa"/>
            <w:tcBorders>
              <w:top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 xml:space="preserve">750 hours </w:t>
            </w:r>
            <w:r w:rsidRPr="00823F69">
              <w:rPr>
                <w:rFonts w:ascii="Times New Roman" w:hAnsi="Times New Roman"/>
                <w:iCs/>
              </w:rPr>
              <w:br/>
              <w:t>(1.5 hour × 500 forms)</w:t>
            </w:r>
          </w:p>
        </w:tc>
        <w:tc>
          <w:tcPr>
            <w:tcW w:w="1278" w:type="dxa"/>
            <w:vMerge w:val="restart"/>
            <w:tcBorders>
              <w:top w:val="single" w:color="000000" w:sz="18" w:space="0"/>
              <w:right w:val="single" w:color="000000" w:sz="8" w:space="0"/>
            </w:tcBorders>
            <w:shd w:val="pct10" w:color="auto" w:fill="auto"/>
          </w:tcPr>
          <w:p w:rsidRPr="00823F69" w:rsidR="00823F69" w:rsidP="00823F69" w:rsidRDefault="00823F69">
            <w:pPr>
              <w:rPr>
                <w:rFonts w:ascii="Times New Roman" w:hAnsi="Times New Roman"/>
                <w:iCs/>
              </w:rPr>
            </w:pPr>
            <w:r w:rsidRPr="00823F69">
              <w:rPr>
                <w:rFonts w:ascii="Times New Roman" w:hAnsi="Times New Roman"/>
                <w:iCs/>
              </w:rPr>
              <w:t>Public Time Burden</w:t>
            </w:r>
          </w:p>
        </w:tc>
      </w:tr>
      <w:tr w:rsidRPr="00823F69" w:rsidR="00823F69" w:rsidTr="00F73687">
        <w:trPr>
          <w:trHeight w:val="276"/>
        </w:trPr>
        <w:tc>
          <w:tcPr>
            <w:tcW w:w="5857" w:type="dxa"/>
            <w:tcBorders>
              <w:left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Estimated time burden for automated Adobe CG-4423</w:t>
            </w:r>
          </w:p>
        </w:tc>
        <w:tc>
          <w:tcPr>
            <w:tcW w:w="2441" w:type="dxa"/>
          </w:tcPr>
          <w:p w:rsidRPr="00823F69" w:rsidR="00823F69" w:rsidP="00823F69" w:rsidRDefault="00823F69">
            <w:pPr>
              <w:rPr>
                <w:rFonts w:ascii="Times New Roman" w:hAnsi="Times New Roman"/>
                <w:iCs/>
              </w:rPr>
            </w:pPr>
            <w:r w:rsidRPr="00823F69">
              <w:rPr>
                <w:rFonts w:ascii="Times New Roman" w:hAnsi="Times New Roman"/>
                <w:iCs/>
              </w:rPr>
              <w:t>3,000 hours</w:t>
            </w:r>
          </w:p>
          <w:p w:rsidRPr="00823F69" w:rsidR="00823F69" w:rsidP="00823F69" w:rsidRDefault="00823F69">
            <w:pPr>
              <w:rPr>
                <w:rFonts w:ascii="Times New Roman" w:hAnsi="Times New Roman"/>
                <w:iCs/>
              </w:rPr>
            </w:pPr>
            <w:r w:rsidRPr="00823F69">
              <w:rPr>
                <w:rFonts w:ascii="Times New Roman" w:hAnsi="Times New Roman"/>
                <w:iCs/>
              </w:rPr>
              <w:t>(1 hours × 3,000 forms)</w:t>
            </w:r>
          </w:p>
        </w:tc>
        <w:tc>
          <w:tcPr>
            <w:tcW w:w="1278" w:type="dxa"/>
            <w:vMerge/>
            <w:tcBorders>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left w:val="single" w:color="000000" w:sz="8" w:space="0"/>
              <w:bottom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Total Estimated time burden</w:t>
            </w:r>
          </w:p>
        </w:tc>
        <w:tc>
          <w:tcPr>
            <w:tcW w:w="2441" w:type="dxa"/>
            <w:tcBorders>
              <w:bottom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3,750 hours</w:t>
            </w:r>
          </w:p>
          <w:p w:rsidRPr="00823F69" w:rsidR="00823F69" w:rsidP="00823F69" w:rsidRDefault="00823F69">
            <w:pPr>
              <w:rPr>
                <w:rFonts w:ascii="Times New Roman" w:hAnsi="Times New Roman"/>
                <w:iCs/>
              </w:rPr>
            </w:pPr>
            <w:r w:rsidRPr="00823F69">
              <w:rPr>
                <w:rFonts w:ascii="Times New Roman" w:hAnsi="Times New Roman"/>
                <w:iCs/>
              </w:rPr>
              <w:t>(750 + 3,000 hours)</w:t>
            </w:r>
          </w:p>
        </w:tc>
        <w:tc>
          <w:tcPr>
            <w:tcW w:w="1278" w:type="dxa"/>
            <w:vMerge/>
            <w:tcBorders>
              <w:bottom w:val="single" w:color="000000" w:sz="18" w:space="0"/>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top w:val="single" w:color="000000" w:sz="18" w:space="0"/>
              <w:left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BLS mean hourly wage for General &amp; Operations Managers (May 2019) https://www.bls.gov/oes/CURRENT/oes111021.htm</w:t>
            </w:r>
          </w:p>
        </w:tc>
        <w:tc>
          <w:tcPr>
            <w:tcW w:w="2441" w:type="dxa"/>
            <w:tcBorders>
              <w:top w:val="single" w:color="000000" w:sz="18" w:space="0"/>
            </w:tcBorders>
          </w:tcPr>
          <w:p w:rsidRPr="00823F69" w:rsidR="00823F69" w:rsidP="00823F69" w:rsidRDefault="00823F69">
            <w:pPr>
              <w:rPr>
                <w:rFonts w:ascii="Times New Roman" w:hAnsi="Times New Roman"/>
                <w:iCs/>
              </w:rPr>
            </w:pPr>
            <w:r w:rsidRPr="00823F69">
              <w:rPr>
                <w:rFonts w:ascii="Times New Roman" w:hAnsi="Times New Roman"/>
                <w:iCs/>
              </w:rPr>
              <w:t>$59.15</w:t>
            </w:r>
          </w:p>
        </w:tc>
        <w:tc>
          <w:tcPr>
            <w:tcW w:w="1278" w:type="dxa"/>
            <w:vMerge w:val="restart"/>
            <w:tcBorders>
              <w:top w:val="single" w:color="000000" w:sz="18" w:space="0"/>
              <w:right w:val="single" w:color="000000" w:sz="8" w:space="0"/>
            </w:tcBorders>
            <w:shd w:val="pct10" w:color="auto" w:fill="auto"/>
          </w:tcPr>
          <w:p w:rsidRPr="00823F69" w:rsidR="00823F69" w:rsidP="00823F69" w:rsidRDefault="00823F69">
            <w:pPr>
              <w:rPr>
                <w:rFonts w:ascii="Times New Roman" w:hAnsi="Times New Roman"/>
                <w:iCs/>
              </w:rPr>
            </w:pPr>
            <w:r w:rsidRPr="00823F69">
              <w:rPr>
                <w:rFonts w:ascii="Times New Roman" w:hAnsi="Times New Roman"/>
                <w:iCs/>
              </w:rPr>
              <w:t>Public Cost Burden</w:t>
            </w:r>
          </w:p>
        </w:tc>
      </w:tr>
      <w:tr w:rsidRPr="00823F69" w:rsidR="00823F69" w:rsidTr="00F73687">
        <w:trPr>
          <w:trHeight w:val="276"/>
        </w:trPr>
        <w:tc>
          <w:tcPr>
            <w:tcW w:w="5857" w:type="dxa"/>
            <w:tcBorders>
              <w:left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 xml:space="preserve">Estimated cost per marine event to submit online </w:t>
            </w:r>
          </w:p>
        </w:tc>
        <w:tc>
          <w:tcPr>
            <w:tcW w:w="2441" w:type="dxa"/>
          </w:tcPr>
          <w:p w:rsidRPr="00823F69" w:rsidR="00823F69" w:rsidP="00823F69" w:rsidRDefault="00823F69">
            <w:pPr>
              <w:rPr>
                <w:rFonts w:ascii="Times New Roman" w:hAnsi="Times New Roman"/>
                <w:iCs/>
              </w:rPr>
            </w:pPr>
            <w:r w:rsidRPr="00823F69">
              <w:rPr>
                <w:rFonts w:ascii="Times New Roman" w:hAnsi="Times New Roman"/>
                <w:iCs/>
              </w:rPr>
              <w:t>$88.725</w:t>
            </w:r>
            <w:r w:rsidRPr="00823F69">
              <w:rPr>
                <w:rFonts w:ascii="Times New Roman" w:hAnsi="Times New Roman"/>
                <w:iCs/>
              </w:rPr>
              <w:br/>
              <w:t>(1.5 hour × $59.15/hour)</w:t>
            </w:r>
          </w:p>
        </w:tc>
        <w:tc>
          <w:tcPr>
            <w:tcW w:w="1278" w:type="dxa"/>
            <w:vMerge/>
            <w:tcBorders>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left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Estimated cost per marine event to submit automated Adobe form</w:t>
            </w:r>
          </w:p>
        </w:tc>
        <w:tc>
          <w:tcPr>
            <w:tcW w:w="2441" w:type="dxa"/>
          </w:tcPr>
          <w:p w:rsidRPr="00823F69" w:rsidR="00823F69" w:rsidP="00823F69" w:rsidRDefault="00823F69">
            <w:pPr>
              <w:rPr>
                <w:rFonts w:ascii="Times New Roman" w:hAnsi="Times New Roman"/>
                <w:iCs/>
              </w:rPr>
            </w:pPr>
            <w:r w:rsidRPr="00823F69">
              <w:rPr>
                <w:rFonts w:ascii="Times New Roman" w:hAnsi="Times New Roman"/>
                <w:iCs/>
              </w:rPr>
              <w:t xml:space="preserve">$59.15 </w:t>
            </w:r>
            <w:r w:rsidRPr="00823F69">
              <w:rPr>
                <w:rFonts w:ascii="Times New Roman" w:hAnsi="Times New Roman"/>
                <w:iCs/>
              </w:rPr>
              <w:br/>
              <w:t>(1 hour × $59.15/hour)</w:t>
            </w:r>
          </w:p>
        </w:tc>
        <w:tc>
          <w:tcPr>
            <w:tcW w:w="1278" w:type="dxa"/>
            <w:vMerge/>
            <w:tcBorders>
              <w:right w:val="single" w:color="000000" w:sz="8" w:space="0"/>
            </w:tcBorders>
            <w:shd w:val="pct10" w:color="auto" w:fill="auto"/>
          </w:tcPr>
          <w:p w:rsidRPr="00823F69" w:rsidR="00823F69" w:rsidP="00823F69" w:rsidRDefault="00823F69">
            <w:pPr>
              <w:rPr>
                <w:rFonts w:ascii="Times New Roman" w:hAnsi="Times New Roman"/>
                <w:iCs/>
              </w:rPr>
            </w:pPr>
          </w:p>
        </w:tc>
      </w:tr>
      <w:tr w:rsidRPr="00823F69" w:rsidR="00823F69" w:rsidTr="00F73687">
        <w:trPr>
          <w:trHeight w:val="276"/>
        </w:trPr>
        <w:tc>
          <w:tcPr>
            <w:tcW w:w="5857" w:type="dxa"/>
            <w:tcBorders>
              <w:left w:val="single" w:color="000000" w:sz="8" w:space="0"/>
              <w:bottom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Total Estimated cost burden to public</w:t>
            </w:r>
          </w:p>
        </w:tc>
        <w:tc>
          <w:tcPr>
            <w:tcW w:w="2441" w:type="dxa"/>
            <w:tcBorders>
              <w:bottom w:val="single" w:color="000000" w:sz="8" w:space="0"/>
            </w:tcBorders>
          </w:tcPr>
          <w:p w:rsidRPr="00823F69" w:rsidR="00823F69" w:rsidP="00823F69" w:rsidRDefault="00823F69">
            <w:pPr>
              <w:rPr>
                <w:rFonts w:ascii="Times New Roman" w:hAnsi="Times New Roman"/>
                <w:iCs/>
              </w:rPr>
            </w:pPr>
            <w:r w:rsidRPr="00823F69">
              <w:rPr>
                <w:rFonts w:ascii="Times New Roman" w:hAnsi="Times New Roman"/>
                <w:iCs/>
              </w:rPr>
              <w:t>$221,812.50</w:t>
            </w:r>
          </w:p>
          <w:p w:rsidRPr="00823F69" w:rsidR="00823F69" w:rsidP="00823F69" w:rsidRDefault="00823F69">
            <w:pPr>
              <w:rPr>
                <w:rFonts w:ascii="Times New Roman" w:hAnsi="Times New Roman"/>
                <w:iCs/>
              </w:rPr>
            </w:pPr>
            <w:r w:rsidRPr="00823F69">
              <w:rPr>
                <w:rFonts w:ascii="Times New Roman" w:hAnsi="Times New Roman"/>
                <w:iCs/>
              </w:rPr>
              <w:t>($88.7</w:t>
            </w:r>
            <w:r w:rsidR="002B11A6">
              <w:rPr>
                <w:rFonts w:ascii="Times New Roman" w:hAnsi="Times New Roman"/>
                <w:iCs/>
              </w:rPr>
              <w:t>25</w:t>
            </w:r>
            <w:r w:rsidRPr="00823F69">
              <w:rPr>
                <w:rFonts w:ascii="Times New Roman" w:hAnsi="Times New Roman"/>
                <w:iCs/>
              </w:rPr>
              <w:t xml:space="preserve"> × 500)</w:t>
            </w:r>
          </w:p>
          <w:p w:rsidRPr="00823F69" w:rsidR="00823F69" w:rsidP="00823F69" w:rsidRDefault="00823F69">
            <w:pPr>
              <w:rPr>
                <w:rFonts w:ascii="Times New Roman" w:hAnsi="Times New Roman"/>
                <w:iCs/>
              </w:rPr>
            </w:pPr>
            <w:r w:rsidRPr="00823F69">
              <w:rPr>
                <w:rFonts w:ascii="Times New Roman" w:hAnsi="Times New Roman"/>
                <w:iCs/>
              </w:rPr>
              <w:t>+</w:t>
            </w:r>
          </w:p>
          <w:p w:rsidRPr="00823F69" w:rsidR="00823F69" w:rsidP="00823F69" w:rsidRDefault="00823F69">
            <w:pPr>
              <w:rPr>
                <w:rFonts w:ascii="Times New Roman" w:hAnsi="Times New Roman"/>
                <w:iCs/>
              </w:rPr>
            </w:pPr>
            <w:r w:rsidRPr="00823F69">
              <w:rPr>
                <w:rFonts w:ascii="Times New Roman" w:hAnsi="Times New Roman"/>
                <w:iCs/>
              </w:rPr>
              <w:t>($59.15 × 3,000)</w:t>
            </w:r>
          </w:p>
        </w:tc>
        <w:tc>
          <w:tcPr>
            <w:tcW w:w="1278" w:type="dxa"/>
            <w:vMerge/>
            <w:tcBorders>
              <w:bottom w:val="single" w:color="000000" w:sz="8" w:space="0"/>
              <w:right w:val="single" w:color="000000" w:sz="8" w:space="0"/>
            </w:tcBorders>
            <w:shd w:val="pct10" w:color="auto" w:fill="auto"/>
          </w:tcPr>
          <w:p w:rsidRPr="00823F69" w:rsidR="00823F69" w:rsidP="00823F69" w:rsidRDefault="00823F69">
            <w:pPr>
              <w:rPr>
                <w:rFonts w:ascii="Times New Roman" w:hAnsi="Times New Roman"/>
                <w:iCs/>
              </w:rPr>
            </w:pPr>
          </w:p>
        </w:tc>
      </w:tr>
    </w:tbl>
    <w:p w:rsidRPr="00823F69" w:rsidR="00823F69" w:rsidP="00823F69" w:rsidRDefault="00823F69">
      <w:pPr>
        <w:rPr>
          <w:rFonts w:ascii="Times New Roman" w:hAnsi="Times New Roman"/>
          <w:iCs/>
        </w:rPr>
      </w:pPr>
    </w:p>
    <w:p w:rsidRPr="004B502C" w:rsidR="0054631D" w:rsidP="00F0431F" w:rsidRDefault="0054631D">
      <w:pPr>
        <w:rPr>
          <w:rFonts w:ascii="Times New Roman" w:hAnsi="Times New Roman"/>
        </w:rPr>
      </w:pPr>
    </w:p>
    <w:p w:rsidRPr="004B502C" w:rsidR="004016C7" w:rsidP="004016C7" w:rsidRDefault="004016C7">
      <w:pPr>
        <w:pStyle w:val="BodyText"/>
        <w:rPr>
          <w:rFonts w:ascii="Times New Roman" w:hAnsi="Times New Roman"/>
        </w:rPr>
      </w:pPr>
      <w:r w:rsidRPr="004B502C">
        <w:rPr>
          <w:rFonts w:ascii="Times New Roman" w:hAnsi="Times New Roman"/>
        </w:rPr>
        <w:t>13.  Provide an estimate of the total annual cost burden to respondents or record keepers.</w:t>
      </w:r>
    </w:p>
    <w:p w:rsidRPr="004B502C" w:rsidR="00B04815" w:rsidRDefault="00B04815">
      <w:pPr>
        <w:rPr>
          <w:rFonts w:ascii="Times New Roman" w:hAnsi="Times New Roman"/>
        </w:rPr>
      </w:pPr>
    </w:p>
    <w:p w:rsidRPr="00EF5AC4" w:rsidR="00EF5AC4" w:rsidP="00EF5AC4" w:rsidRDefault="00EF5AC4">
      <w:pPr>
        <w:rPr>
          <w:rFonts w:ascii="Times New Roman" w:hAnsi="Times New Roman"/>
        </w:rPr>
      </w:pPr>
      <w:r w:rsidRPr="00EF5AC4">
        <w:rPr>
          <w:rFonts w:ascii="Times New Roman" w:hAnsi="Times New Roman"/>
        </w:rPr>
        <w:t>There are no record keeping, capital, start-up or maintenance costs associated with this information collection.</w:t>
      </w:r>
    </w:p>
    <w:p w:rsidR="00AD2909" w:rsidRDefault="00AD2909">
      <w:pPr>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14.  Provide estimates of annualized cost to the Federal Government.</w:t>
      </w:r>
    </w:p>
    <w:p w:rsidRPr="004B502C" w:rsidR="00B04815" w:rsidRDefault="00B04815">
      <w:pPr>
        <w:rPr>
          <w:rFonts w:ascii="Times New Roman" w:hAnsi="Times New Roman"/>
        </w:rPr>
      </w:pPr>
    </w:p>
    <w:p w:rsidRPr="00EF5AC4" w:rsidR="00EF5AC4" w:rsidP="00EF5AC4" w:rsidRDefault="00EF5AC4">
      <w:pPr>
        <w:pStyle w:val="BodyText"/>
        <w:rPr>
          <w:rFonts w:ascii="Times New Roman" w:hAnsi="Times New Roman"/>
          <w:b w:val="0"/>
        </w:rPr>
      </w:pPr>
      <w:r w:rsidRPr="00EF5AC4">
        <w:rPr>
          <w:rFonts w:ascii="Times New Roman" w:hAnsi="Times New Roman"/>
          <w:b w:val="0"/>
        </w:rPr>
        <w:t>According to the Marine Information for Safety and Law Enforcement (MISLE) database, between 2016 and 2019, the Coast Guard received on average (arithmetic mean) 3,49</w:t>
      </w:r>
      <w:r w:rsidR="004A46F6">
        <w:rPr>
          <w:rFonts w:ascii="Times New Roman" w:hAnsi="Times New Roman"/>
          <w:b w:val="0"/>
        </w:rPr>
        <w:t xml:space="preserve">5 </w:t>
      </w:r>
      <w:r w:rsidRPr="00EF5AC4">
        <w:rPr>
          <w:rFonts w:ascii="Times New Roman" w:hAnsi="Times New Roman"/>
          <w:b w:val="0"/>
        </w:rPr>
        <w:t>marine event applications per year. The median number of applications for these years is 3,436. The proposed estimate of 3,500 allows for minor yearly fluctuations in the number of permit applications.</w:t>
      </w: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2"/>
        <w:gridCol w:w="2970"/>
      </w:tblGrid>
      <w:tr w:rsidRPr="00F73687" w:rsidR="00EF5AC4" w:rsidTr="00F73687">
        <w:tc>
          <w:tcPr>
            <w:tcW w:w="892" w:type="dxa"/>
            <w:tcBorders>
              <w:top w:val="single" w:color="auto" w:sz="4" w:space="0"/>
              <w:left w:val="single" w:color="auto" w:sz="4" w:space="0"/>
              <w:bottom w:val="single" w:color="auto" w:sz="4" w:space="0"/>
              <w:right w:val="single" w:color="auto" w:sz="4" w:space="0"/>
            </w:tcBorders>
            <w:shd w:val="clear" w:color="auto" w:fill="A6A6A6"/>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Year</w:t>
            </w:r>
          </w:p>
        </w:tc>
        <w:tc>
          <w:tcPr>
            <w:tcW w:w="2970" w:type="dxa"/>
            <w:tcBorders>
              <w:top w:val="single" w:color="auto" w:sz="4" w:space="0"/>
              <w:left w:val="single" w:color="auto" w:sz="4" w:space="0"/>
              <w:bottom w:val="single" w:color="auto" w:sz="4" w:space="0"/>
              <w:right w:val="single" w:color="auto" w:sz="4" w:space="0"/>
            </w:tcBorders>
            <w:shd w:val="clear" w:color="auto" w:fill="A6A6A6"/>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Total Marine Permit Activities</w:t>
            </w:r>
          </w:p>
        </w:tc>
      </w:tr>
      <w:tr w:rsidRPr="00F73687" w:rsidR="00EF5AC4" w:rsidTr="00F73687">
        <w:tc>
          <w:tcPr>
            <w:tcW w:w="892"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2016</w:t>
            </w:r>
          </w:p>
        </w:tc>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3,279</w:t>
            </w:r>
          </w:p>
        </w:tc>
      </w:tr>
      <w:tr w:rsidRPr="00F73687" w:rsidR="00EF5AC4" w:rsidTr="00F73687">
        <w:tc>
          <w:tcPr>
            <w:tcW w:w="892"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2017</w:t>
            </w:r>
          </w:p>
        </w:tc>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3,593</w:t>
            </w:r>
          </w:p>
        </w:tc>
      </w:tr>
      <w:tr w:rsidRPr="00F73687" w:rsidR="00EF5AC4" w:rsidTr="00F73687">
        <w:tc>
          <w:tcPr>
            <w:tcW w:w="892"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2018</w:t>
            </w:r>
          </w:p>
        </w:tc>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3,271</w:t>
            </w:r>
          </w:p>
        </w:tc>
      </w:tr>
      <w:tr w:rsidRPr="00F73687" w:rsidR="00EF5AC4" w:rsidTr="00F73687">
        <w:tc>
          <w:tcPr>
            <w:tcW w:w="892"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EF5AC4" w:rsidRDefault="00EF5AC4">
            <w:pPr>
              <w:pStyle w:val="BodyText"/>
              <w:rPr>
                <w:rFonts w:ascii="Times New Roman" w:hAnsi="Times New Roman"/>
                <w:b w:val="0"/>
              </w:rPr>
            </w:pPr>
            <w:r w:rsidRPr="00F73687">
              <w:rPr>
                <w:rFonts w:ascii="Times New Roman" w:hAnsi="Times New Roman"/>
                <w:b w:val="0"/>
              </w:rPr>
              <w:t>2019</w:t>
            </w:r>
          </w:p>
        </w:tc>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F73687" w:rsidR="00EF5AC4" w:rsidP="00BE6F41" w:rsidRDefault="00EF5AC4">
            <w:pPr>
              <w:pStyle w:val="BodyText"/>
              <w:rPr>
                <w:rFonts w:ascii="Times New Roman" w:hAnsi="Times New Roman"/>
                <w:b w:val="0"/>
              </w:rPr>
            </w:pPr>
            <w:r w:rsidRPr="00F73687">
              <w:rPr>
                <w:rFonts w:ascii="Times New Roman" w:hAnsi="Times New Roman"/>
                <w:b w:val="0"/>
              </w:rPr>
              <w:t>3,83</w:t>
            </w:r>
            <w:r w:rsidR="00BE6F41">
              <w:rPr>
                <w:rFonts w:ascii="Times New Roman" w:hAnsi="Times New Roman"/>
                <w:b w:val="0"/>
              </w:rPr>
              <w:t>7</w:t>
            </w:r>
          </w:p>
        </w:tc>
      </w:tr>
    </w:tbl>
    <w:p w:rsidRPr="004A46F6" w:rsidR="00EF5AC4" w:rsidP="00EF5AC4" w:rsidRDefault="00EF5AC4">
      <w:pPr>
        <w:pStyle w:val="BodyText"/>
        <w:rPr>
          <w:rFonts w:ascii="Times New Roman" w:hAnsi="Times New Roman"/>
          <w:b w:val="0"/>
        </w:rPr>
      </w:pPr>
      <w:r w:rsidRPr="00EF5AC4">
        <w:rPr>
          <w:rFonts w:ascii="Times New Roman" w:hAnsi="Times New Roman"/>
          <w:b w:val="0"/>
        </w:rPr>
        <w:br/>
      </w:r>
      <w:r w:rsidRPr="004A46F6">
        <w:rPr>
          <w:rFonts w:ascii="Times New Roman" w:hAnsi="Times New Roman"/>
          <w:b w:val="0"/>
          <w:u w:val="single"/>
        </w:rPr>
        <w:t>Operational Expenses</w:t>
      </w:r>
      <w:r w:rsidRPr="004A46F6">
        <w:rPr>
          <w:rFonts w:ascii="Times New Roman" w:hAnsi="Times New Roman"/>
          <w:b w:val="0"/>
        </w:rPr>
        <w:t xml:space="preserve">: Estimated number of respondents annually is </w:t>
      </w:r>
      <w:r w:rsidRPr="004A46F6" w:rsidR="004A46F6">
        <w:rPr>
          <w:rFonts w:ascii="Times New Roman" w:hAnsi="Times New Roman"/>
          <w:b w:val="0"/>
        </w:rPr>
        <w:t>3</w:t>
      </w:r>
      <w:r w:rsidRPr="004A46F6">
        <w:rPr>
          <w:rFonts w:ascii="Times New Roman" w:hAnsi="Times New Roman"/>
          <w:b w:val="0"/>
        </w:rPr>
        <w:t xml:space="preserve">,500 permit applications processed. Total annual cost to the government is $4,880,125. The source for the personnel cost figures is Enclosure (2) to Commandant Instruction 7310.1 </w:t>
      </w:r>
      <w:r w:rsidRPr="004A46F6" w:rsidR="004A46F6">
        <w:rPr>
          <w:rFonts w:ascii="Times New Roman" w:hAnsi="Times New Roman"/>
          <w:b w:val="0"/>
        </w:rPr>
        <w:t>U</w:t>
      </w:r>
      <w:r w:rsidRPr="004A46F6">
        <w:rPr>
          <w:rFonts w:ascii="Times New Roman" w:hAnsi="Times New Roman"/>
          <w:b w:val="0"/>
        </w:rPr>
        <w:t xml:space="preserve">, </w:t>
      </w:r>
      <w:r w:rsidRPr="004A46F6" w:rsidR="004A46F6">
        <w:rPr>
          <w:rFonts w:ascii="Times New Roman" w:hAnsi="Times New Roman"/>
          <w:b w:val="0"/>
          <w:i/>
        </w:rPr>
        <w:t>Hourly</w:t>
      </w:r>
      <w:r w:rsidRPr="004A46F6" w:rsidR="004A46F6">
        <w:rPr>
          <w:rFonts w:ascii="Times New Roman" w:hAnsi="Times New Roman"/>
          <w:b w:val="0"/>
        </w:rPr>
        <w:t xml:space="preserve"> </w:t>
      </w:r>
      <w:r w:rsidRPr="004A46F6">
        <w:rPr>
          <w:rFonts w:ascii="Times New Roman" w:hAnsi="Times New Roman"/>
          <w:b w:val="0"/>
          <w:i/>
        </w:rPr>
        <w:t>Standard Rates</w:t>
      </w:r>
      <w:r w:rsidRPr="004A46F6" w:rsidR="004A46F6">
        <w:rPr>
          <w:rFonts w:ascii="Times New Roman" w:hAnsi="Times New Roman"/>
          <w:b w:val="0"/>
          <w:i/>
        </w:rPr>
        <w:t xml:space="preserve"> for Personnel</w:t>
      </w:r>
      <w:r w:rsidRPr="004A46F6">
        <w:rPr>
          <w:rFonts w:ascii="Times New Roman" w:hAnsi="Times New Roman"/>
          <w:b w:val="0"/>
        </w:rPr>
        <w:t>.</w:t>
      </w:r>
    </w:p>
    <w:p w:rsidRPr="004A46F6" w:rsidR="00EF5AC4" w:rsidP="00EF5AC4" w:rsidRDefault="00EF5AC4">
      <w:pPr>
        <w:pStyle w:val="BodyText"/>
        <w:rPr>
          <w:rFonts w:ascii="Times New Roman" w:hAnsi="Times New Roman"/>
          <w:b w:val="0"/>
        </w:rPr>
      </w:pPr>
    </w:p>
    <w:p w:rsidRPr="004A46F6" w:rsidR="00EF5AC4" w:rsidP="00EF5AC4" w:rsidRDefault="00EF5AC4">
      <w:pPr>
        <w:pStyle w:val="BodyText"/>
        <w:rPr>
          <w:rFonts w:ascii="Times New Roman" w:hAnsi="Times New Roman"/>
          <w:b w:val="0"/>
        </w:rPr>
      </w:pPr>
      <w:r w:rsidRPr="004A46F6">
        <w:rPr>
          <w:rFonts w:ascii="Times New Roman" w:hAnsi="Times New Roman"/>
          <w:b w:val="0"/>
        </w:rPr>
        <w:t xml:space="preserve">The Coast Guard estimates that the total cost to the Government for </w:t>
      </w:r>
      <w:r w:rsidRPr="004A46F6" w:rsidR="00677490">
        <w:rPr>
          <w:rFonts w:ascii="Times New Roman" w:hAnsi="Times New Roman"/>
          <w:b w:val="0"/>
        </w:rPr>
        <w:t xml:space="preserve">conducting an administrative </w:t>
      </w:r>
      <w:r w:rsidRPr="004A46F6">
        <w:rPr>
          <w:rFonts w:ascii="Times New Roman" w:hAnsi="Times New Roman"/>
          <w:b w:val="0"/>
        </w:rPr>
        <w:t>review</w:t>
      </w:r>
      <w:r w:rsidRPr="004A46F6" w:rsidR="00677490">
        <w:rPr>
          <w:rFonts w:ascii="Times New Roman" w:hAnsi="Times New Roman"/>
          <w:b w:val="0"/>
        </w:rPr>
        <w:t xml:space="preserve"> at</w:t>
      </w:r>
      <w:r w:rsidRPr="004A46F6">
        <w:rPr>
          <w:rFonts w:ascii="Times New Roman" w:hAnsi="Times New Roman"/>
          <w:b w:val="0"/>
        </w:rPr>
        <w:t xml:space="preserve"> an estimated </w:t>
      </w:r>
      <w:r w:rsidRPr="004A46F6" w:rsidR="00677490">
        <w:rPr>
          <w:rFonts w:ascii="Times New Roman" w:hAnsi="Times New Roman"/>
          <w:b w:val="0"/>
        </w:rPr>
        <w:t>3500</w:t>
      </w:r>
      <w:r w:rsidRPr="004A46F6">
        <w:rPr>
          <w:rFonts w:ascii="Times New Roman" w:hAnsi="Times New Roman"/>
          <w:b w:val="0"/>
        </w:rPr>
        <w:t xml:space="preserve"> permit applications (Form CG-4423) annually for a marine event is $</w:t>
      </w:r>
      <w:r w:rsidRPr="004A46F6" w:rsidR="004A46F6">
        <w:rPr>
          <w:rFonts w:ascii="Times New Roman" w:hAnsi="Times New Roman"/>
          <w:b w:val="0"/>
        </w:rPr>
        <w:t>507</w:t>
      </w:r>
      <w:r w:rsidRPr="004A46F6">
        <w:rPr>
          <w:rFonts w:ascii="Times New Roman" w:hAnsi="Times New Roman"/>
          <w:b w:val="0"/>
        </w:rPr>
        <w:t>,</w:t>
      </w:r>
      <w:r w:rsidRPr="004A46F6" w:rsidR="004A46F6">
        <w:rPr>
          <w:rFonts w:ascii="Times New Roman" w:hAnsi="Times New Roman"/>
          <w:b w:val="0"/>
        </w:rPr>
        <w:t>5</w:t>
      </w:r>
      <w:r w:rsidRPr="004A46F6">
        <w:rPr>
          <w:rFonts w:ascii="Times New Roman" w:hAnsi="Times New Roman"/>
          <w:b w:val="0"/>
        </w:rPr>
        <w:t>00. This is based upon</w:t>
      </w:r>
      <w:r w:rsidRPr="004A46F6" w:rsidR="004A46F6">
        <w:rPr>
          <w:rFonts w:ascii="Times New Roman" w:hAnsi="Times New Roman"/>
          <w:b w:val="0"/>
        </w:rPr>
        <w:t xml:space="preserve"> the average of</w:t>
      </w:r>
      <w:r w:rsidRPr="004A46F6">
        <w:rPr>
          <w:rFonts w:ascii="Times New Roman" w:hAnsi="Times New Roman"/>
          <w:b w:val="0"/>
        </w:rPr>
        <w:t xml:space="preserve"> 2 hours work for an E-</w:t>
      </w:r>
      <w:r w:rsidRPr="004A46F6" w:rsidR="004A46F6">
        <w:rPr>
          <w:rFonts w:ascii="Times New Roman" w:hAnsi="Times New Roman"/>
          <w:b w:val="0"/>
        </w:rPr>
        <w:t>4</w:t>
      </w:r>
      <w:r w:rsidRPr="004A46F6">
        <w:rPr>
          <w:rFonts w:ascii="Times New Roman" w:hAnsi="Times New Roman"/>
          <w:b w:val="0"/>
        </w:rPr>
        <w:t xml:space="preserve"> through </w:t>
      </w:r>
      <w:r w:rsidRPr="004A46F6" w:rsidR="004A46F6">
        <w:rPr>
          <w:rFonts w:ascii="Times New Roman" w:hAnsi="Times New Roman"/>
          <w:b w:val="0"/>
        </w:rPr>
        <w:t>O-3</w:t>
      </w:r>
      <w:r w:rsidRPr="004A46F6">
        <w:rPr>
          <w:rFonts w:ascii="Times New Roman" w:hAnsi="Times New Roman"/>
          <w:b w:val="0"/>
        </w:rPr>
        <w:t xml:space="preserve"> (</w:t>
      </w:r>
      <w:r w:rsidRPr="004A46F6" w:rsidR="004A46F6">
        <w:rPr>
          <w:rFonts w:ascii="Times New Roman" w:hAnsi="Times New Roman"/>
          <w:b w:val="0"/>
        </w:rPr>
        <w:t xml:space="preserve">median </w:t>
      </w:r>
      <w:r w:rsidRPr="004A46F6">
        <w:rPr>
          <w:rFonts w:ascii="Times New Roman" w:hAnsi="Times New Roman"/>
          <w:b w:val="0"/>
        </w:rPr>
        <w:t>$</w:t>
      </w:r>
      <w:r w:rsidRPr="004A46F6" w:rsidR="004A46F6">
        <w:rPr>
          <w:rFonts w:ascii="Times New Roman" w:hAnsi="Times New Roman"/>
          <w:b w:val="0"/>
        </w:rPr>
        <w:t>70</w:t>
      </w:r>
      <w:r w:rsidRPr="004A46F6">
        <w:rPr>
          <w:rFonts w:ascii="Times New Roman" w:hAnsi="Times New Roman"/>
          <w:b w:val="0"/>
        </w:rPr>
        <w:t>.00 per hour)</w:t>
      </w:r>
      <w:r w:rsidRPr="004A46F6" w:rsidR="004A46F6">
        <w:rPr>
          <w:rFonts w:ascii="Times New Roman" w:hAnsi="Times New Roman"/>
          <w:b w:val="0"/>
        </w:rPr>
        <w:t xml:space="preserve"> and 2 hours of work for a GS-11 through GS-13 (median $75.00 per hour).  This accounts </w:t>
      </w:r>
      <w:r w:rsidRPr="004A46F6">
        <w:rPr>
          <w:rFonts w:ascii="Times New Roman" w:hAnsi="Times New Roman"/>
          <w:b w:val="0"/>
        </w:rPr>
        <w:t xml:space="preserve">for reviewing </w:t>
      </w:r>
      <w:r w:rsidRPr="004A46F6" w:rsidR="00677490">
        <w:rPr>
          <w:rFonts w:ascii="Times New Roman" w:hAnsi="Times New Roman"/>
          <w:b w:val="0"/>
        </w:rPr>
        <w:t>3</w:t>
      </w:r>
      <w:r w:rsidRPr="004A46F6">
        <w:rPr>
          <w:rFonts w:ascii="Times New Roman" w:hAnsi="Times New Roman"/>
          <w:b w:val="0"/>
        </w:rPr>
        <w:t>,500 permit applications, determining whether or not a permit should be requir</w:t>
      </w:r>
      <w:r w:rsidRPr="004A46F6" w:rsidR="00677490">
        <w:rPr>
          <w:rFonts w:ascii="Times New Roman" w:hAnsi="Times New Roman"/>
          <w:b w:val="0"/>
        </w:rPr>
        <w:t>ed, and preparing a local and</w:t>
      </w:r>
      <w:r w:rsidRPr="004A46F6">
        <w:rPr>
          <w:rFonts w:ascii="Times New Roman" w:hAnsi="Times New Roman"/>
          <w:b w:val="0"/>
        </w:rPr>
        <w:t xml:space="preserve"> broadcast notice to mariners for the event.</w:t>
      </w:r>
      <w:r w:rsidRPr="004A46F6" w:rsidR="004A46F6">
        <w:rPr>
          <w:rFonts w:ascii="Times New Roman" w:hAnsi="Times New Roman"/>
          <w:b w:val="0"/>
        </w:rPr>
        <w:t xml:space="preserve"> </w:t>
      </w:r>
    </w:p>
    <w:p w:rsidR="00EF5AC4" w:rsidP="00EF5AC4" w:rsidRDefault="00EF5AC4">
      <w:pPr>
        <w:pStyle w:val="BodyText"/>
        <w:rPr>
          <w:rFonts w:ascii="Times New Roman" w:hAnsi="Times New Roman"/>
          <w:b w:val="0"/>
          <w:bCs w:val="0"/>
        </w:rPr>
      </w:pPr>
    </w:p>
    <w:p w:rsidRPr="004B502C" w:rsidR="00B04815" w:rsidP="00EF5AC4" w:rsidRDefault="00B04815">
      <w:pPr>
        <w:pStyle w:val="BodyText"/>
        <w:rPr>
          <w:rFonts w:ascii="Times New Roman" w:hAnsi="Times New Roman"/>
        </w:rPr>
      </w:pPr>
      <w:r w:rsidRPr="004B502C">
        <w:rPr>
          <w:rFonts w:ascii="Times New Roman" w:hAnsi="Times New Roman"/>
        </w:rPr>
        <w:t>15.  Explain the reasons for any changes or adjustments reported in items 13 or 14.</w:t>
      </w:r>
    </w:p>
    <w:p w:rsidRPr="004B502C" w:rsidR="00B04815" w:rsidRDefault="00B04815">
      <w:pPr>
        <w:rPr>
          <w:rFonts w:ascii="Times New Roman" w:hAnsi="Times New Roman"/>
        </w:rPr>
      </w:pPr>
    </w:p>
    <w:p w:rsidR="00A348C5" w:rsidP="002D7FA4" w:rsidRDefault="00A348C5">
      <w:pPr>
        <w:rPr>
          <w:rFonts w:ascii="Times New Roman" w:hAnsi="Times New Roman"/>
        </w:rPr>
      </w:pPr>
      <w:r w:rsidRPr="00A348C5">
        <w:rPr>
          <w:rFonts w:ascii="Times New Roman" w:hAnsi="Times New Roman"/>
        </w:rPr>
        <w:t>There are no program changes or adjustments reporting.</w:t>
      </w:r>
    </w:p>
    <w:p w:rsidR="00A348C5" w:rsidRDefault="00A348C5">
      <w:pPr>
        <w:pStyle w:val="BodyText"/>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 xml:space="preserve">16.  Outline plans </w:t>
      </w:r>
      <w:r w:rsidRPr="004B502C" w:rsidR="00831E0D">
        <w:rPr>
          <w:rFonts w:ascii="Times New Roman" w:hAnsi="Times New Roman"/>
        </w:rPr>
        <w:t>for tabulation</w:t>
      </w:r>
      <w:r w:rsidRPr="004B502C">
        <w:rPr>
          <w:rFonts w:ascii="Times New Roman" w:hAnsi="Times New Roman"/>
        </w:rPr>
        <w:t xml:space="preserve"> and publication.</w:t>
      </w:r>
    </w:p>
    <w:p w:rsidRPr="004B502C" w:rsidR="00B04815" w:rsidRDefault="00B04815">
      <w:pPr>
        <w:rPr>
          <w:rFonts w:ascii="Times New Roman" w:hAnsi="Times New Roman"/>
        </w:rPr>
      </w:pPr>
    </w:p>
    <w:p w:rsidR="00B04815" w:rsidRDefault="00A348C5">
      <w:pPr>
        <w:rPr>
          <w:rFonts w:ascii="Times New Roman" w:hAnsi="Times New Roman"/>
          <w:szCs w:val="24"/>
        </w:rPr>
      </w:pPr>
      <w:r w:rsidRPr="00A348C5">
        <w:rPr>
          <w:rFonts w:ascii="Times New Roman" w:hAnsi="Times New Roman"/>
          <w:szCs w:val="24"/>
        </w:rPr>
        <w:t>This information collection will not be published for statistical purposes.</w:t>
      </w:r>
    </w:p>
    <w:p w:rsidRPr="004B502C" w:rsidR="00A348C5" w:rsidRDefault="00A348C5">
      <w:pPr>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17.  If seeking approval to not display the expiration date for OMB approval of the information collection, explain the reasons.</w:t>
      </w:r>
    </w:p>
    <w:p w:rsidRPr="004B502C" w:rsidR="00B04815" w:rsidRDefault="00B04815">
      <w:pPr>
        <w:rPr>
          <w:rFonts w:ascii="Times New Roman" w:hAnsi="Times New Roman"/>
        </w:rPr>
      </w:pPr>
    </w:p>
    <w:p w:rsidRPr="004B502C" w:rsidR="00B04815" w:rsidRDefault="00A348C5">
      <w:pPr>
        <w:rPr>
          <w:rFonts w:ascii="Times New Roman" w:hAnsi="Times New Roman"/>
          <w:szCs w:val="24"/>
        </w:rPr>
      </w:pPr>
      <w:r w:rsidRPr="00A348C5">
        <w:rPr>
          <w:rFonts w:ascii="Times New Roman" w:hAnsi="Times New Roman"/>
          <w:szCs w:val="24"/>
        </w:rPr>
        <w:t>The Coast Guard will display the expiration date for OMB approval of this information collection.</w:t>
      </w:r>
    </w:p>
    <w:p w:rsidRPr="004B502C" w:rsidR="00F0431F" w:rsidRDefault="00F0431F">
      <w:pPr>
        <w:rPr>
          <w:rFonts w:ascii="Times New Roman" w:hAnsi="Times New Roman"/>
        </w:rPr>
      </w:pPr>
    </w:p>
    <w:p w:rsidRPr="004B502C" w:rsidR="00B04815" w:rsidRDefault="00B04815">
      <w:pPr>
        <w:pStyle w:val="BodyText"/>
        <w:rPr>
          <w:rFonts w:ascii="Times New Roman" w:hAnsi="Times New Roman"/>
        </w:rPr>
      </w:pPr>
      <w:r w:rsidRPr="004B502C">
        <w:rPr>
          <w:rFonts w:ascii="Times New Roman" w:hAnsi="Times New Roman"/>
        </w:rPr>
        <w:t>18.  Explain each exception to the certification statement identified in Item 19, "Certification for Paperwork Reduction Act Submissions,"of OMB Form 83-I.</w:t>
      </w:r>
    </w:p>
    <w:p w:rsidRPr="004B502C" w:rsidR="00B04815" w:rsidRDefault="00B04815">
      <w:pPr>
        <w:rPr>
          <w:rFonts w:ascii="Times New Roman" w:hAnsi="Times New Roman"/>
        </w:rPr>
      </w:pPr>
    </w:p>
    <w:p w:rsidRPr="00A348C5" w:rsidR="00A348C5" w:rsidP="00A348C5" w:rsidRDefault="00A348C5">
      <w:pPr>
        <w:rPr>
          <w:rFonts w:ascii="Times New Roman" w:hAnsi="Times New Roman"/>
          <w:szCs w:val="24"/>
        </w:rPr>
      </w:pPr>
      <w:r w:rsidRPr="00A348C5">
        <w:rPr>
          <w:rFonts w:ascii="Times New Roman" w:hAnsi="Times New Roman"/>
          <w:szCs w:val="24"/>
        </w:rPr>
        <w:t>The Coast Guard does not request an exception to the certification of this information collection.</w:t>
      </w:r>
    </w:p>
    <w:p w:rsidRPr="004B502C" w:rsidR="00B04815" w:rsidP="00A348C5" w:rsidRDefault="00B04815">
      <w:pPr>
        <w:rPr>
          <w:rFonts w:ascii="Times New Roman" w:hAnsi="Times New Roman"/>
        </w:rPr>
      </w:pPr>
    </w:p>
    <w:sectPr w:rsidRPr="004B502C" w:rsidR="00B04815" w:rsidSect="001B5BE5">
      <w:headerReference w:type="default" r:id="rId14"/>
      <w:type w:val="continuous"/>
      <w:pgSz w:w="12240" w:h="15840"/>
      <w:pgMar w:top="720" w:right="144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81E" w:rsidRDefault="00A2181E">
      <w:r>
        <w:separator/>
      </w:r>
    </w:p>
  </w:endnote>
  <w:endnote w:type="continuationSeparator" w:id="0">
    <w:p w:rsidR="00A2181E" w:rsidRDefault="00A2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81E" w:rsidRDefault="00A2181E">
      <w:r>
        <w:separator/>
      </w:r>
    </w:p>
  </w:footnote>
  <w:footnote w:type="continuationSeparator" w:id="0">
    <w:p w:rsidR="00A2181E" w:rsidRDefault="00A2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E9D" w:rsidRDefault="00214E9D">
    <w:pPr>
      <w:pStyle w:val="Header"/>
    </w:pPr>
    <w:r>
      <w:t>1625-</w:t>
    </w:r>
    <w:r w:rsidR="00FA325E">
      <w:t>0008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4320"/>
    <w:multiLevelType w:val="hybridMultilevel"/>
    <w:tmpl w:val="E8F22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E5C90"/>
    <w:multiLevelType w:val="singleLevel"/>
    <w:tmpl w:val="8B1AC43C"/>
    <w:lvl w:ilvl="0">
      <w:start w:val="13"/>
      <w:numFmt w:val="decimal"/>
      <w:lvlText w:val="%1."/>
      <w:lvlJc w:val="left"/>
      <w:pPr>
        <w:tabs>
          <w:tab w:val="num" w:pos="1200"/>
        </w:tabs>
        <w:ind w:left="1200" w:hanging="480"/>
      </w:pPr>
      <w:rPr>
        <w:rFonts w:hint="default"/>
      </w:rPr>
    </w:lvl>
  </w:abstractNum>
  <w:abstractNum w:abstractNumId="2" w15:restartNumberingAfterBreak="0">
    <w:nsid w:val="4CD604BA"/>
    <w:multiLevelType w:val="singleLevel"/>
    <w:tmpl w:val="2AA20F90"/>
    <w:lvl w:ilvl="0">
      <w:start w:val="7"/>
      <w:numFmt w:val="decimal"/>
      <w:lvlText w:val="%1."/>
      <w:lvlJc w:val="left"/>
      <w:pPr>
        <w:tabs>
          <w:tab w:val="num" w:pos="1080"/>
        </w:tabs>
        <w:ind w:left="1080" w:hanging="360"/>
      </w:pPr>
      <w:rPr>
        <w:rFonts w:hint="default"/>
      </w:rPr>
    </w:lvl>
  </w:abstractNum>
  <w:abstractNum w:abstractNumId="3" w15:restartNumberingAfterBreak="0">
    <w:nsid w:val="5ABD5CEA"/>
    <w:multiLevelType w:val="hybridMultilevel"/>
    <w:tmpl w:val="A484C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6E1BDC"/>
    <w:multiLevelType w:val="singleLevel"/>
    <w:tmpl w:val="0409000F"/>
    <w:lvl w:ilvl="0">
      <w:start w:val="13"/>
      <w:numFmt w:val="decimal"/>
      <w:lvlText w:val="%1."/>
      <w:lvlJc w:val="left"/>
      <w:pPr>
        <w:tabs>
          <w:tab w:val="num" w:pos="360"/>
        </w:tabs>
        <w:ind w:left="360" w:hanging="360"/>
      </w:pPr>
      <w:rPr>
        <w:rFonts w:hint="default"/>
      </w:rPr>
    </w:lvl>
  </w:abstractNum>
  <w:abstractNum w:abstractNumId="5" w15:restartNumberingAfterBreak="0">
    <w:nsid w:val="70716D3C"/>
    <w:multiLevelType w:val="hybridMultilevel"/>
    <w:tmpl w:val="7A4C1D00"/>
    <w:lvl w:ilvl="0" w:tplc="84A88B18">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3850DB"/>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7"/>
  </w:num>
  <w:num w:numId="4">
    <w:abstractNumId w:val="4"/>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2D"/>
    <w:rsid w:val="0000351E"/>
    <w:rsid w:val="00014B68"/>
    <w:rsid w:val="0001658E"/>
    <w:rsid w:val="000345F1"/>
    <w:rsid w:val="00036017"/>
    <w:rsid w:val="00050D21"/>
    <w:rsid w:val="0006191C"/>
    <w:rsid w:val="000C3B55"/>
    <w:rsid w:val="000D2C5B"/>
    <w:rsid w:val="000D2F61"/>
    <w:rsid w:val="000F4258"/>
    <w:rsid w:val="001060BD"/>
    <w:rsid w:val="001402F1"/>
    <w:rsid w:val="00147243"/>
    <w:rsid w:val="00157B73"/>
    <w:rsid w:val="001A64AC"/>
    <w:rsid w:val="001B5BE5"/>
    <w:rsid w:val="001D6204"/>
    <w:rsid w:val="001E5B10"/>
    <w:rsid w:val="001F5127"/>
    <w:rsid w:val="001F7BBE"/>
    <w:rsid w:val="002002B0"/>
    <w:rsid w:val="00214113"/>
    <w:rsid w:val="00214E9D"/>
    <w:rsid w:val="00253C13"/>
    <w:rsid w:val="002676A4"/>
    <w:rsid w:val="00277A22"/>
    <w:rsid w:val="002A6FF4"/>
    <w:rsid w:val="002B11A6"/>
    <w:rsid w:val="002B643D"/>
    <w:rsid w:val="002C2D72"/>
    <w:rsid w:val="002C3CED"/>
    <w:rsid w:val="002D7FA4"/>
    <w:rsid w:val="0030380B"/>
    <w:rsid w:val="00321E36"/>
    <w:rsid w:val="00385842"/>
    <w:rsid w:val="003E2F1E"/>
    <w:rsid w:val="003F4831"/>
    <w:rsid w:val="004016C7"/>
    <w:rsid w:val="004309FD"/>
    <w:rsid w:val="00433AD9"/>
    <w:rsid w:val="0045131E"/>
    <w:rsid w:val="00460E18"/>
    <w:rsid w:val="004644BA"/>
    <w:rsid w:val="00476AA3"/>
    <w:rsid w:val="004823FE"/>
    <w:rsid w:val="00497C5B"/>
    <w:rsid w:val="004A420C"/>
    <w:rsid w:val="004A46F6"/>
    <w:rsid w:val="004B502C"/>
    <w:rsid w:val="004C1B93"/>
    <w:rsid w:val="005267F1"/>
    <w:rsid w:val="0053023C"/>
    <w:rsid w:val="005331C0"/>
    <w:rsid w:val="0054631D"/>
    <w:rsid w:val="005562AB"/>
    <w:rsid w:val="005563B7"/>
    <w:rsid w:val="00566F7B"/>
    <w:rsid w:val="00582182"/>
    <w:rsid w:val="005B7832"/>
    <w:rsid w:val="005E3B83"/>
    <w:rsid w:val="005F2B94"/>
    <w:rsid w:val="00622A99"/>
    <w:rsid w:val="00646486"/>
    <w:rsid w:val="00665061"/>
    <w:rsid w:val="006679C2"/>
    <w:rsid w:val="00675B2D"/>
    <w:rsid w:val="00677490"/>
    <w:rsid w:val="00681357"/>
    <w:rsid w:val="006D3B11"/>
    <w:rsid w:val="0078261C"/>
    <w:rsid w:val="007A5E8F"/>
    <w:rsid w:val="007E41E4"/>
    <w:rsid w:val="00820CB0"/>
    <w:rsid w:val="00821515"/>
    <w:rsid w:val="00823F69"/>
    <w:rsid w:val="0082509F"/>
    <w:rsid w:val="00827F66"/>
    <w:rsid w:val="00831E0D"/>
    <w:rsid w:val="00877406"/>
    <w:rsid w:val="008870C2"/>
    <w:rsid w:val="00893259"/>
    <w:rsid w:val="008A1E21"/>
    <w:rsid w:val="008E0E12"/>
    <w:rsid w:val="008E4AC9"/>
    <w:rsid w:val="00961B7E"/>
    <w:rsid w:val="00962680"/>
    <w:rsid w:val="00970206"/>
    <w:rsid w:val="00973805"/>
    <w:rsid w:val="009B55D8"/>
    <w:rsid w:val="009D3127"/>
    <w:rsid w:val="009F7924"/>
    <w:rsid w:val="00A06763"/>
    <w:rsid w:val="00A2181E"/>
    <w:rsid w:val="00A341AD"/>
    <w:rsid w:val="00A348C5"/>
    <w:rsid w:val="00A541C0"/>
    <w:rsid w:val="00AB204A"/>
    <w:rsid w:val="00AD2909"/>
    <w:rsid w:val="00AE60D2"/>
    <w:rsid w:val="00AE7E60"/>
    <w:rsid w:val="00AF6E19"/>
    <w:rsid w:val="00B04815"/>
    <w:rsid w:val="00B064AE"/>
    <w:rsid w:val="00B14DCB"/>
    <w:rsid w:val="00B60B2E"/>
    <w:rsid w:val="00B60D71"/>
    <w:rsid w:val="00B63B2B"/>
    <w:rsid w:val="00B77F20"/>
    <w:rsid w:val="00B87FBF"/>
    <w:rsid w:val="00BE6F41"/>
    <w:rsid w:val="00BF5C5C"/>
    <w:rsid w:val="00C13E84"/>
    <w:rsid w:val="00C33D24"/>
    <w:rsid w:val="00C557DC"/>
    <w:rsid w:val="00C9425F"/>
    <w:rsid w:val="00CA3ED6"/>
    <w:rsid w:val="00CB1C97"/>
    <w:rsid w:val="00CD0F47"/>
    <w:rsid w:val="00D07F5A"/>
    <w:rsid w:val="00D4385D"/>
    <w:rsid w:val="00D87529"/>
    <w:rsid w:val="00D919D5"/>
    <w:rsid w:val="00E07BC6"/>
    <w:rsid w:val="00E16CC4"/>
    <w:rsid w:val="00E22347"/>
    <w:rsid w:val="00E52448"/>
    <w:rsid w:val="00EA48BA"/>
    <w:rsid w:val="00EC7E58"/>
    <w:rsid w:val="00ED7625"/>
    <w:rsid w:val="00EE1B3E"/>
    <w:rsid w:val="00EF3DC5"/>
    <w:rsid w:val="00EF52E7"/>
    <w:rsid w:val="00EF5AC4"/>
    <w:rsid w:val="00F0431F"/>
    <w:rsid w:val="00F31D2B"/>
    <w:rsid w:val="00F73687"/>
    <w:rsid w:val="00F83202"/>
    <w:rsid w:val="00F960F0"/>
    <w:rsid w:val="00FA325E"/>
    <w:rsid w:val="00FC4F2C"/>
    <w:rsid w:val="00FD5D44"/>
    <w:rsid w:val="00FD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AB25BC-64BA-4FE8-B9DC-F3FBE036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rPr>
      <w:b/>
      <w:bCs/>
    </w:rPr>
  </w:style>
  <w:style w:type="paragraph" w:styleId="BodyText2">
    <w:name w:val="Body Text 2"/>
    <w:basedOn w:val="Normal"/>
    <w:rPr>
      <w:i/>
      <w:iCs/>
    </w:rPr>
  </w:style>
  <w:style w:type="paragraph" w:styleId="Header">
    <w:name w:val="header"/>
    <w:basedOn w:val="Normal"/>
    <w:rsid w:val="005E3B83"/>
    <w:pPr>
      <w:tabs>
        <w:tab w:val="center" w:pos="4320"/>
        <w:tab w:val="right" w:pos="8640"/>
      </w:tabs>
    </w:pPr>
  </w:style>
  <w:style w:type="paragraph" w:styleId="Footer">
    <w:name w:val="footer"/>
    <w:basedOn w:val="Normal"/>
    <w:rsid w:val="005E3B83"/>
    <w:pPr>
      <w:tabs>
        <w:tab w:val="center" w:pos="4320"/>
        <w:tab w:val="right" w:pos="8640"/>
      </w:tabs>
    </w:pPr>
  </w:style>
  <w:style w:type="character" w:styleId="FollowedHyperlink">
    <w:name w:val="FollowedHyperlink"/>
    <w:rsid w:val="004B502C"/>
    <w:rPr>
      <w:color w:val="800080"/>
      <w:u w:val="single"/>
    </w:rPr>
  </w:style>
  <w:style w:type="table" w:styleId="TableGrid">
    <w:name w:val="Table Grid"/>
    <w:basedOn w:val="TableNormal"/>
    <w:rsid w:val="00EF5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po.gov/fdsys/pkg/FR-2009-06-25/html/E9-149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hs.gov/sites/default/files/publications/privacy_pia_uscg_mis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E0BFE58174A4A8893C5F2759CB6F7" ma:contentTypeVersion="9" ma:contentTypeDescription="Create a new document." ma:contentTypeScope="" ma:versionID="0175d4609c159cad15f774da48863e4f">
  <xsd:schema xmlns:xsd="http://www.w3.org/2001/XMLSchema" xmlns:xs="http://www.w3.org/2001/XMLSchema" xmlns:p="http://schemas.microsoft.com/office/2006/metadata/properties" xmlns:ns1="http://schemas.microsoft.com/sharepoint/v3" xmlns:ns2="b8b27353-53b5-46ec-b937-a46d79c713fb" xmlns:ns3="http://schemas.microsoft.com/sharepoint/v4" targetNamespace="http://schemas.microsoft.com/office/2006/metadata/properties" ma:root="true" ma:fieldsID="8f687180e1c24ecb4a632d764b99a227" ns1:_="" ns2:_="" ns3:_="">
    <xsd:import namespace="http://schemas.microsoft.com/sharepoint/v3"/>
    <xsd:import namespace="b8b27353-53b5-46ec-b937-a46d79c713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8b27353-53b5-46ec-b937-a46d79c713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E5F2169-CBBB-40C8-B19C-BC8C3A6BCACC}">
  <ds:schemaRefs>
    <ds:schemaRef ds:uri="http://schemas.microsoft.com/sharepoint/v3/contenttype/forms"/>
  </ds:schemaRefs>
</ds:datastoreItem>
</file>

<file path=customXml/itemProps2.xml><?xml version="1.0" encoding="utf-8"?>
<ds:datastoreItem xmlns:ds="http://schemas.openxmlformats.org/officeDocument/2006/customXml" ds:itemID="{F22BDF80-70ED-4830-BB57-7BAAC2398D29}">
  <ds:schemaRefs>
    <ds:schemaRef ds:uri="http://schemas.microsoft.com/office/2006/metadata/longProperties"/>
  </ds:schemaRefs>
</ds:datastoreItem>
</file>

<file path=customXml/itemProps3.xml><?xml version="1.0" encoding="utf-8"?>
<ds:datastoreItem xmlns:ds="http://schemas.openxmlformats.org/officeDocument/2006/customXml" ds:itemID="{6F371CC6-AC4B-4435-AF84-AFA156C42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b27353-53b5-46ec-b937-a46d79c713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108CE-325C-432E-98F2-D5AB8D7C8F42}">
  <ds:schemaRefs>
    <ds:schemaRef ds:uri="http://schemas.microsoft.com/sharepoint/events"/>
  </ds:schemaRefs>
</ds:datastoreItem>
</file>

<file path=customXml/itemProps5.xml><?xml version="1.0" encoding="utf-8"?>
<ds:datastoreItem xmlns:ds="http://schemas.openxmlformats.org/officeDocument/2006/customXml" ds:itemID="{702FDC3D-AB78-4B05-B2EB-638E3F6DF519}">
  <ds:schemaRef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b8b27353-53b5-46ec-b937-a46d79c713fb"/>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omb revision</vt:lpstr>
    </vt:vector>
  </TitlesOfParts>
  <Company>USCG</Company>
  <LinksUpToDate>false</LinksUpToDate>
  <CharactersWithSpaces>17795</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revision</dc:title>
  <dc:subject/>
  <dc:creator>LCDR P. E. Muir</dc:creator>
  <cp:keywords/>
  <dc:description/>
  <cp:lastModifiedBy>Craig, Albert L CIV</cp:lastModifiedBy>
  <cp:revision>2</cp:revision>
  <cp:lastPrinted>2013-04-09T15:33:00Z</cp:lastPrinted>
  <dcterms:created xsi:type="dcterms:W3CDTF">2020-10-27T15:02:00Z</dcterms:created>
  <dcterms:modified xsi:type="dcterms:W3CDTF">2020-10-27T15:02:00Z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4WDN35ENSZE6-1415935976-558</vt:lpwstr>
  </property>
  <property fmtid="{D5CDD505-2E9C-101B-9397-08002B2CF9AE}" pid="3" name="_dlc_DocIdItemGuid">
    <vt:lpwstr>a3228b56-89a3-4d6d-b6df-f79c517ad210</vt:lpwstr>
  </property>
  <property fmtid="{D5CDD505-2E9C-101B-9397-08002B2CF9AE}" pid="4" name="_dlc_DocIdUrl">
    <vt:lpwstr>https://cg.portal.uscg.mil/units/cgwwm1/_layouts/DocIdRedir.aspx?ID=4WDN35ENSZE6-1415935976-558, 4WDN35ENSZE6-1415935976-558</vt:lpwstr>
  </property>
</Properties>
</file>