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96A43" w:rsidR="00EB5E96" w:rsidP="000C4293" w:rsidRDefault="00EB5E96">
      <w:pPr>
        <w:pStyle w:val="Title"/>
        <w:jc w:val="both"/>
        <w:rPr>
          <w:sz w:val="24"/>
          <w:szCs w:val="24"/>
        </w:rPr>
      </w:pPr>
    </w:p>
    <w:p w:rsidRPr="00596A43" w:rsidR="00EB5E96" w:rsidP="006A0B1C" w:rsidRDefault="00EB5E96">
      <w:pPr>
        <w:pStyle w:val="Title"/>
        <w:rPr>
          <w:sz w:val="24"/>
          <w:szCs w:val="24"/>
        </w:rPr>
      </w:pPr>
      <w:r w:rsidRPr="00596A43">
        <w:rPr>
          <w:sz w:val="24"/>
          <w:szCs w:val="24"/>
        </w:rPr>
        <w:t>Supporting Statement for Paperwork Reduction Act Submissions</w:t>
      </w:r>
    </w:p>
    <w:p w:rsidRPr="00596A43" w:rsidR="00EB5E96" w:rsidP="000C4293" w:rsidRDefault="00EB5E96">
      <w:pPr>
        <w:tabs>
          <w:tab w:val="left" w:pos="-720"/>
        </w:tabs>
        <w:suppressAutoHyphens/>
        <w:ind w:right="-720"/>
        <w:jc w:val="both"/>
        <w:rPr>
          <w:b/>
        </w:rPr>
      </w:pPr>
    </w:p>
    <w:p w:rsidRPr="00596A43" w:rsidR="00EB5E96" w:rsidP="00D73BBC" w:rsidRDefault="00EB5E96">
      <w:pPr>
        <w:tabs>
          <w:tab w:val="left" w:pos="-720"/>
        </w:tabs>
        <w:suppressAutoHyphens/>
        <w:jc w:val="center"/>
        <w:rPr>
          <w:b/>
        </w:rPr>
      </w:pPr>
      <w:r w:rsidRPr="00596A43">
        <w:rPr>
          <w:b/>
        </w:rPr>
        <w:t>Title:</w:t>
      </w:r>
      <w:r w:rsidR="00FF5DDF">
        <w:rPr>
          <w:b/>
        </w:rPr>
        <w:t xml:space="preserve"> </w:t>
      </w:r>
      <w:bookmarkStart w:name="_Hlk42002939" w:id="0"/>
      <w:r w:rsidRPr="00BE3A82" w:rsidR="00BE3A82">
        <w:rPr>
          <w:b/>
        </w:rPr>
        <w:t>C</w:t>
      </w:r>
      <w:r w:rsidR="0027592E">
        <w:rPr>
          <w:b/>
        </w:rPr>
        <w:t>OVID-19 Contact Tracing</w:t>
      </w:r>
      <w:r w:rsidRPr="00BE3A82" w:rsidR="00BE3A82">
        <w:rPr>
          <w:b/>
        </w:rPr>
        <w:t xml:space="preserve"> Reporting Form</w:t>
      </w:r>
      <w:r w:rsidRPr="00BE3A82" w:rsidDel="00BE3A82" w:rsidR="00BE3A82">
        <w:rPr>
          <w:b/>
          <w:highlight w:val="yellow"/>
        </w:rPr>
        <w:t xml:space="preserve"> </w:t>
      </w:r>
      <w:bookmarkEnd w:id="0"/>
    </w:p>
    <w:p w:rsidRPr="00596A43" w:rsidR="00EB5E96" w:rsidP="00D73BBC" w:rsidRDefault="00EB5E96">
      <w:pPr>
        <w:tabs>
          <w:tab w:val="left" w:pos="-720"/>
        </w:tabs>
        <w:suppressAutoHyphens/>
        <w:jc w:val="center"/>
        <w:rPr>
          <w:b/>
        </w:rPr>
      </w:pPr>
    </w:p>
    <w:p w:rsidRPr="00596A43" w:rsidR="00EB5E96" w:rsidP="00D73BBC" w:rsidRDefault="00EB5E96">
      <w:pPr>
        <w:tabs>
          <w:tab w:val="left" w:pos="-720"/>
        </w:tabs>
        <w:suppressAutoHyphens/>
        <w:jc w:val="center"/>
        <w:rPr>
          <w:b/>
        </w:rPr>
      </w:pPr>
      <w:r w:rsidRPr="00596A43">
        <w:rPr>
          <w:b/>
        </w:rPr>
        <w:t xml:space="preserve">OMB Control Number:  </w:t>
      </w:r>
      <w:r w:rsidR="00FF5DDF">
        <w:rPr>
          <w:b/>
        </w:rPr>
        <w:t>1670-</w:t>
      </w:r>
      <w:r w:rsidR="002D4AD9">
        <w:rPr>
          <w:b/>
        </w:rPr>
        <w:t>NEW</w:t>
      </w:r>
    </w:p>
    <w:p w:rsidR="00EB5E96" w:rsidP="00D73BBC" w:rsidRDefault="00EB5E96">
      <w:pPr>
        <w:tabs>
          <w:tab w:val="left" w:pos="-720"/>
        </w:tabs>
        <w:suppressAutoHyphens/>
        <w:jc w:val="center"/>
      </w:pPr>
    </w:p>
    <w:p w:rsidRPr="00596A43" w:rsidR="009F06EB" w:rsidP="000C4293" w:rsidRDefault="009F06EB">
      <w:pPr>
        <w:tabs>
          <w:tab w:val="left" w:pos="-720"/>
        </w:tabs>
        <w:suppressAutoHyphens/>
        <w:jc w:val="both"/>
      </w:pPr>
    </w:p>
    <w:p w:rsidRPr="00596A43" w:rsidR="00EB5E96" w:rsidP="000C4293" w:rsidRDefault="00EB5E96">
      <w:pPr>
        <w:pStyle w:val="Heading1"/>
        <w:jc w:val="both"/>
        <w:rPr>
          <w:sz w:val="24"/>
          <w:szCs w:val="24"/>
        </w:rPr>
      </w:pPr>
      <w:r w:rsidRPr="00596A43">
        <w:rPr>
          <w:sz w:val="24"/>
          <w:szCs w:val="24"/>
        </w:rPr>
        <w:t>A.  Justification</w:t>
      </w:r>
    </w:p>
    <w:p w:rsidRPr="00596A43" w:rsidR="00EB5E96" w:rsidP="000C4293" w:rsidRDefault="00EB5E96">
      <w:pPr>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Pr="00596A43" w:rsidR="000E7B5C" w:rsidP="000C4293" w:rsidRDefault="000E7B5C">
      <w:pPr>
        <w:tabs>
          <w:tab w:val="left" w:pos="-720"/>
        </w:tabs>
        <w:suppressAutoHyphens/>
        <w:jc w:val="both"/>
      </w:pPr>
    </w:p>
    <w:p w:rsidRPr="00124F4E" w:rsidR="00124F4E" w:rsidP="00124F4E" w:rsidRDefault="00124F4E">
      <w:pPr>
        <w:tabs>
          <w:tab w:val="left" w:pos="-720"/>
        </w:tabs>
        <w:suppressAutoHyphens/>
        <w:contextualSpacing/>
      </w:pPr>
      <w:bookmarkStart w:name="_GoBack" w:id="1"/>
      <w:r w:rsidRPr="00124F4E">
        <w:t xml:space="preserve">The Cybersecurity and Infrastructure Security Act of 2018 </w:t>
      </w:r>
      <w:r w:rsidR="002B7071">
        <w:t xml:space="preserve">(the Act) </w:t>
      </w:r>
      <w:r w:rsidRPr="00124F4E">
        <w:t xml:space="preserve">created the Cybersecurity </w:t>
      </w:r>
      <w:bookmarkEnd w:id="1"/>
      <w:r w:rsidRPr="00124F4E">
        <w:t xml:space="preserve">and Infrastructure Security Agency (CISA) within the Department of Homeland Security.  </w:t>
      </w:r>
      <w:r w:rsidR="007B12C9">
        <w:t xml:space="preserve">Section 2202 (e) </w:t>
      </w:r>
      <w:r w:rsidR="002B00DB">
        <w:t>(c) of t</w:t>
      </w:r>
      <w:r w:rsidRPr="00124F4E">
        <w:t xml:space="preserve">he </w:t>
      </w:r>
      <w:r w:rsidR="002B7071">
        <w:t>Act</w:t>
      </w:r>
      <w:r w:rsidRPr="00124F4E" w:rsidR="002B7071">
        <w:t xml:space="preserve"> </w:t>
      </w:r>
      <w:r w:rsidRPr="00124F4E">
        <w:t xml:space="preserve">directs CISA to “integrate relevant information, analysis, and vulnerability assessments, regardless of whether the information, analysis, or assessments are provided or produced by the Department, in order to make recommendations, including prioritization, for protective and support measures by the Department, other Federal Government agencies, State, local, tribal, and territorial government agencies and authorities, the private sector, and other entities regarding terrorist and other threats to homeland security.” With the advent of the global </w:t>
      </w:r>
      <w:r w:rsidR="00CE5078">
        <w:t xml:space="preserve">COVID-19 </w:t>
      </w:r>
      <w:r w:rsidRPr="00124F4E">
        <w:t>pandemic, the agency has extended our operating environment to include</w:t>
      </w:r>
      <w:r w:rsidR="00522EAB">
        <w:t xml:space="preserve"> threats to critical infrastructure posed by</w:t>
      </w:r>
      <w:r w:rsidRPr="00124F4E">
        <w:t xml:space="preserve"> this biologic threat. Digital contact tracing tools </w:t>
      </w:r>
      <w:r>
        <w:t xml:space="preserve">(DCTT) </w:t>
      </w:r>
      <w:r w:rsidRPr="00124F4E">
        <w:t xml:space="preserve">provide both a means to deal and track the spread of the virus, but can at the same time, pose real cybersecurity and other threats to critical infrastructure. </w:t>
      </w:r>
    </w:p>
    <w:p w:rsidRPr="00124F4E" w:rsidR="00124F4E" w:rsidP="00124F4E" w:rsidRDefault="00124F4E">
      <w:pPr>
        <w:tabs>
          <w:tab w:val="left" w:pos="-720"/>
        </w:tabs>
        <w:suppressAutoHyphens/>
        <w:contextualSpacing/>
      </w:pPr>
    </w:p>
    <w:p w:rsidRPr="00124F4E" w:rsidR="00124F4E" w:rsidP="00124F4E" w:rsidRDefault="00124F4E">
      <w:pPr>
        <w:tabs>
          <w:tab w:val="left" w:pos="-720"/>
        </w:tabs>
        <w:suppressAutoHyphens/>
        <w:contextualSpacing/>
      </w:pPr>
      <w:r w:rsidRPr="00124F4E">
        <w:t xml:space="preserve">In response to the enduring nature of the pandemic, state, local, tribal and territorial (SLTT) governments and owners and operators of critical infrastructure, have been developing, promoting, and using various forms digital contact tracing tools as a key part of their virus response. However, this is the first use of these digital tools at a large scale or for the purposes of contact tracing. This novel </w:t>
      </w:r>
      <w:r w:rsidR="002B7071">
        <w:t>use</w:t>
      </w:r>
      <w:r w:rsidRPr="00124F4E" w:rsidR="002B7071">
        <w:t xml:space="preserve"> </w:t>
      </w:r>
      <w:r w:rsidRPr="00124F4E">
        <w:t>of existing technology paired with the federal nature of the United States creates a patchwork of digital contact tracing programs and tools that use different means, have different security, and collect different information.  To help provide order to this issue and best practices on how to employ these new technologies, CISA needs to know what digital contact tracing tools these entities are employing. Many SLTT governments have already employed or are considering employing a digital contact tracing tool</w:t>
      </w:r>
      <w:r w:rsidR="002B7071">
        <w:t>.  CISA needs additional</w:t>
      </w:r>
      <w:r w:rsidRPr="00124F4E">
        <w:t xml:space="preserve"> back-end development information, </w:t>
      </w:r>
      <w:r w:rsidRPr="00754479" w:rsidR="00754479">
        <w:t>which can only be done through a survey</w:t>
      </w:r>
      <w:r w:rsidR="00754479">
        <w:t xml:space="preserve">, on </w:t>
      </w:r>
      <w:r w:rsidRPr="00124F4E">
        <w:t xml:space="preserve">the type of contact tracing tool used in order to provide </w:t>
      </w:r>
      <w:r w:rsidR="00754479">
        <w:t xml:space="preserve">cybersecurity and </w:t>
      </w:r>
      <w:r w:rsidRPr="00124F4E">
        <w:t>best practices for the large and varied digital contact tracing landscape</w:t>
      </w:r>
      <w:r w:rsidR="00754479">
        <w:t xml:space="preserve">. </w:t>
      </w:r>
      <w:r w:rsidRPr="00124F4E">
        <w:t xml:space="preserve"> </w:t>
      </w:r>
    </w:p>
    <w:p w:rsidRPr="00124F4E" w:rsidR="00124F4E" w:rsidP="00124F4E" w:rsidRDefault="00124F4E">
      <w:pPr>
        <w:tabs>
          <w:tab w:val="left" w:pos="-720"/>
        </w:tabs>
        <w:suppressAutoHyphens/>
        <w:contextualSpacing/>
      </w:pPr>
    </w:p>
    <w:p w:rsidRPr="00124F4E" w:rsidR="00124F4E" w:rsidP="00124F4E" w:rsidRDefault="00124F4E">
      <w:pPr>
        <w:tabs>
          <w:tab w:val="left" w:pos="-720"/>
        </w:tabs>
        <w:suppressAutoHyphens/>
        <w:contextualSpacing/>
      </w:pPr>
      <w:r w:rsidRPr="00124F4E">
        <w:t xml:space="preserve">As part of our routine monitoring or our programs, we have seen reports on the cybersecurity issues present in some contact tracing applications that could put millions of Americans’ data at risk. The proposed collection will not attempt to solve all these cybersecurity </w:t>
      </w:r>
      <w:r w:rsidRPr="00124F4E" w:rsidR="00754479">
        <w:t>risks but</w:t>
      </w:r>
      <w:r w:rsidRPr="00124F4E">
        <w:t xml:space="preserve"> represents an important first step in better understanding the vulnerabilities and mitigation options needed to conduct a safe digital contact tracing campaign in order to provide best practices for the public for the most popular types of tools used by stakeholders.</w:t>
      </w:r>
    </w:p>
    <w:p w:rsidRPr="00124F4E" w:rsidR="00124F4E" w:rsidP="00124F4E" w:rsidRDefault="00124F4E">
      <w:pPr>
        <w:tabs>
          <w:tab w:val="left" w:pos="-720"/>
        </w:tabs>
        <w:suppressAutoHyphens/>
        <w:contextualSpacing/>
      </w:pPr>
    </w:p>
    <w:p w:rsidRPr="00124F4E" w:rsidR="00124F4E" w:rsidP="00124F4E" w:rsidRDefault="00124F4E">
      <w:pPr>
        <w:tabs>
          <w:tab w:val="left" w:pos="-720"/>
        </w:tabs>
        <w:suppressAutoHyphens/>
        <w:contextualSpacing/>
      </w:pPr>
      <w:r w:rsidRPr="00124F4E">
        <w:t xml:space="preserve">This collection is designed to allow affected parties to voluntarily submit relevant evidence about their contact tracing program.  The information will allow the agency to develop best practices and guidance on how to employ digital contact tracing tools while mitigating security risks. </w:t>
      </w:r>
    </w:p>
    <w:p w:rsidR="00124F4E" w:rsidP="0052567E" w:rsidRDefault="00124F4E">
      <w:pPr>
        <w:tabs>
          <w:tab w:val="left" w:pos="-720"/>
        </w:tabs>
        <w:suppressAutoHyphens/>
        <w:contextualSpacing/>
      </w:pPr>
    </w:p>
    <w:p w:rsidR="00124F4E" w:rsidP="0052567E" w:rsidRDefault="00124F4E">
      <w:pPr>
        <w:tabs>
          <w:tab w:val="left" w:pos="-720"/>
        </w:tabs>
        <w:suppressAutoHyphens/>
        <w:contextualSpacing/>
      </w:pPr>
    </w:p>
    <w:p w:rsidRPr="00596A43" w:rsidR="00D73BBC" w:rsidP="000C4293" w:rsidRDefault="00D73BBC">
      <w:pPr>
        <w:tabs>
          <w:tab w:val="left" w:pos="-720"/>
        </w:tabs>
        <w:suppressAutoHyphens/>
        <w:jc w:val="both"/>
        <w:rPr>
          <w:b/>
          <w:spacing w:val="-3"/>
          <w:u w:val="single"/>
        </w:rPr>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2.  Indicate how, by whom, and for what purpose the information is to be used.  Except for a new collection, indicate the actual use the agency has made of the information received from the current collection. </w:t>
      </w:r>
    </w:p>
    <w:p w:rsidR="00D73BBC" w:rsidP="00D73BBC" w:rsidRDefault="00D73BBC">
      <w:pPr>
        <w:tabs>
          <w:tab w:val="left" w:pos="-720"/>
        </w:tabs>
        <w:suppressAutoHyphens/>
        <w:jc w:val="both"/>
        <w:rPr>
          <w:i/>
          <w:spacing w:val="-3"/>
          <w:sz w:val="20"/>
        </w:rPr>
      </w:pPr>
    </w:p>
    <w:p w:rsidRPr="00E81403" w:rsidR="00CB40D7" w:rsidP="006635F4" w:rsidRDefault="00CB40D7">
      <w:pPr>
        <w:tabs>
          <w:tab w:val="left" w:pos="-720"/>
        </w:tabs>
        <w:suppressAutoHyphens/>
        <w:contextualSpacing/>
      </w:pPr>
      <w:r w:rsidRPr="00E81403">
        <w:t xml:space="preserve">The </w:t>
      </w:r>
      <w:r w:rsidRPr="008048DF" w:rsidR="008048DF">
        <w:t>COVID-19 Contact Tracing Reporting Form</w:t>
      </w:r>
      <w:r w:rsidRPr="008048DF" w:rsidDel="00BE3A82" w:rsidR="008048DF">
        <w:rPr>
          <w:b/>
        </w:rPr>
        <w:t xml:space="preserve"> </w:t>
      </w:r>
      <w:r w:rsidRPr="00EF7434" w:rsidR="008048DF">
        <w:t>i</w:t>
      </w:r>
      <w:r w:rsidRPr="00E81403">
        <w:t>s a voluntary form that CISA will advertise through our Regional Offices and during our frequent engagements with our stakeholders.</w:t>
      </w:r>
    </w:p>
    <w:p w:rsidRPr="00E81403" w:rsidR="00CB40D7" w:rsidP="006635F4" w:rsidRDefault="00CB40D7">
      <w:pPr>
        <w:tabs>
          <w:tab w:val="left" w:pos="-720"/>
        </w:tabs>
        <w:suppressAutoHyphens/>
        <w:contextualSpacing/>
      </w:pPr>
    </w:p>
    <w:p w:rsidR="00C14F3E" w:rsidP="00C14F3E" w:rsidRDefault="00CB40D7">
      <w:pPr>
        <w:tabs>
          <w:tab w:val="left" w:pos="-720"/>
        </w:tabs>
        <w:suppressAutoHyphens/>
        <w:contextualSpacing/>
      </w:pPr>
      <w:r w:rsidRPr="00E81403">
        <w:t>CISA will utilize this information</w:t>
      </w:r>
      <w:r w:rsidR="00C14F3E">
        <w:t xml:space="preserve"> on three focus areas:</w:t>
      </w:r>
    </w:p>
    <w:p w:rsidRPr="00C14F3E" w:rsidR="00C14F3E" w:rsidP="00C14F3E" w:rsidRDefault="00C14F3E">
      <w:pPr>
        <w:pStyle w:val="CISAListNumber"/>
      </w:pPr>
      <w:r>
        <w:t xml:space="preserve"> Contact Tracing Applications:   CISA will conduct an a</w:t>
      </w:r>
      <w:r w:rsidRPr="00C14F3E">
        <w:t>nalysis of the cybersecurity policies and practices built into contact tracing applications and tools</w:t>
      </w:r>
      <w:r>
        <w:t>; c</w:t>
      </w:r>
      <w:r w:rsidRPr="00C14F3E">
        <w:t xml:space="preserve">atalog emerging solutions and capabilities for contact </w:t>
      </w:r>
      <w:r w:rsidRPr="00C14F3E" w:rsidR="000D65B8">
        <w:t>tracing</w:t>
      </w:r>
      <w:r w:rsidR="001D4C8B">
        <w:t>;</w:t>
      </w:r>
      <w:r w:rsidRPr="00C14F3E" w:rsidR="000D65B8">
        <w:t xml:space="preserve"> and</w:t>
      </w:r>
      <w:r w:rsidR="001D4C8B">
        <w:t>,</w:t>
      </w:r>
      <w:r>
        <w:t xml:space="preserve"> i</w:t>
      </w:r>
      <w:r w:rsidRPr="00C14F3E">
        <w:t>dentif</w:t>
      </w:r>
      <w:r>
        <w:t>y</w:t>
      </w:r>
      <w:r w:rsidRPr="00C14F3E">
        <w:t xml:space="preserve"> best practices for contract tracing apps and considerations to ensure proper </w:t>
      </w:r>
      <w:r w:rsidR="00754479">
        <w:t xml:space="preserve">cybersecurity </w:t>
      </w:r>
      <w:r w:rsidRPr="00C14F3E">
        <w:t>risk mitigation throughout the decision-making process.</w:t>
      </w:r>
    </w:p>
    <w:p w:rsidRPr="00C14F3E" w:rsidR="00C14F3E" w:rsidP="00C14F3E" w:rsidRDefault="00C14F3E">
      <w:pPr>
        <w:pStyle w:val="CISAListNumber"/>
      </w:pPr>
      <w:r w:rsidRPr="00C14F3E">
        <w:t>Critical Infrastructure Approaches</w:t>
      </w:r>
      <w:r>
        <w:t>:  CISA will i</w:t>
      </w:r>
      <w:r w:rsidRPr="00C14F3E">
        <w:t xml:space="preserve">dentify how various industry sectors are implementing contact tracing for their workforces or supporting </w:t>
      </w:r>
      <w:r w:rsidR="000D65B8">
        <w:t xml:space="preserve">such </w:t>
      </w:r>
      <w:r w:rsidRPr="00C14F3E">
        <w:t>efforts by local authorities</w:t>
      </w:r>
      <w:r w:rsidR="000D65B8">
        <w:t>.</w:t>
      </w:r>
    </w:p>
    <w:p w:rsidRPr="00C14F3E" w:rsidR="00C14F3E" w:rsidP="00C14F3E" w:rsidRDefault="00C14F3E">
      <w:pPr>
        <w:pStyle w:val="CISAListNumber"/>
      </w:pPr>
      <w:r w:rsidRPr="00C14F3E">
        <w:t>State and Local Approaches</w:t>
      </w:r>
      <w:r>
        <w:t>:  CISA will i</w:t>
      </w:r>
      <w:r w:rsidRPr="00C14F3E">
        <w:t xml:space="preserve">dentify how various State and local </w:t>
      </w:r>
      <w:r w:rsidR="00505AE9">
        <w:t>governments</w:t>
      </w:r>
      <w:r w:rsidRPr="00C14F3E" w:rsidR="00505AE9">
        <w:t xml:space="preserve"> </w:t>
      </w:r>
      <w:r w:rsidRPr="00C14F3E">
        <w:t>are implementing contact tracing processes and procedures</w:t>
      </w:r>
      <w:r>
        <w:t xml:space="preserve">; note the </w:t>
      </w:r>
      <w:r w:rsidRPr="00C14F3E">
        <w:t xml:space="preserve">differences between State and local contact tracing programs and compare against </w:t>
      </w:r>
      <w:r w:rsidR="001D4C8B">
        <w:t>F</w:t>
      </w:r>
      <w:r w:rsidRPr="00C14F3E" w:rsidR="001D4C8B">
        <w:t xml:space="preserve">ederal </w:t>
      </w:r>
      <w:r w:rsidRPr="00C14F3E">
        <w:t>guidance</w:t>
      </w:r>
      <w:r>
        <w:t>; and a</w:t>
      </w:r>
      <w:r w:rsidRPr="00C14F3E">
        <w:t xml:space="preserve">nalyze opening of non-essential businesses and contact tracing policies to understand differing pandemic risk landscape and conditions across the </w:t>
      </w:r>
      <w:r w:rsidR="001D4C8B">
        <w:t>N</w:t>
      </w:r>
      <w:r w:rsidRPr="00C14F3E">
        <w:t>ation.</w:t>
      </w:r>
      <w:r w:rsidR="00956717">
        <w:t xml:space="preserve"> This will enable CISA to share best practices for contact tracing programs across the SLTT landscape; provide vulnerability mitigation insights on contact tracing applications; and to work with </w:t>
      </w:r>
      <w:r w:rsidR="00E66426">
        <w:t xml:space="preserve">the </w:t>
      </w:r>
      <w:r w:rsidRPr="00124F4E" w:rsidR="00E66426">
        <w:t>Centers for Disease Control and Prevention (</w:t>
      </w:r>
      <w:r w:rsidR="00956717">
        <w:t>CDC</w:t>
      </w:r>
      <w:r w:rsidR="00E66426">
        <w:t>)</w:t>
      </w:r>
      <w:r w:rsidR="00956717">
        <w:t xml:space="preserve"> on additional program guidance if </w:t>
      </w:r>
      <w:r w:rsidR="000D65B8">
        <w:t>warranted</w:t>
      </w:r>
      <w:r w:rsidR="00956717">
        <w:t xml:space="preserve">. </w:t>
      </w:r>
    </w:p>
    <w:p w:rsidR="00C14F3E" w:rsidP="006635F4" w:rsidRDefault="00C14F3E">
      <w:pPr>
        <w:tabs>
          <w:tab w:val="left" w:pos="-720"/>
        </w:tabs>
        <w:suppressAutoHyphens/>
        <w:contextualSpacing/>
      </w:pPr>
    </w:p>
    <w:p w:rsidRPr="002451D9" w:rsidR="004C5DDB" w:rsidP="006635F4" w:rsidRDefault="008C2BE9">
      <w:pPr>
        <w:tabs>
          <w:tab w:val="left" w:pos="-720"/>
        </w:tabs>
        <w:suppressAutoHyphens/>
        <w:contextualSpacing/>
        <w:rPr>
          <w:sz w:val="22"/>
          <w:szCs w:val="22"/>
        </w:rPr>
      </w:pPr>
      <w:r>
        <w:t>The Agency will not use information collected through this voluntary feedback collection as the justification for new regulations or policies.</w:t>
      </w:r>
    </w:p>
    <w:p w:rsidRPr="002451D9" w:rsidR="002F49E0" w:rsidP="002F49E0" w:rsidRDefault="002F49E0">
      <w:pPr>
        <w:pStyle w:val="Default"/>
        <w:rPr>
          <w:color w:val="auto"/>
          <w:sz w:val="22"/>
          <w:szCs w:val="22"/>
        </w:rPr>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96A43">
        <w:tab/>
      </w:r>
    </w:p>
    <w:p w:rsidRPr="00596A43" w:rsidR="00EB5E96" w:rsidP="000C4293" w:rsidRDefault="00EB5E96">
      <w:pPr>
        <w:tabs>
          <w:tab w:val="left" w:pos="-720"/>
        </w:tabs>
        <w:suppressAutoHyphens/>
        <w:jc w:val="both"/>
      </w:pPr>
    </w:p>
    <w:p w:rsidRPr="00AB5A92" w:rsidR="002E2F13" w:rsidP="002D4AD9" w:rsidRDefault="00CB51C9">
      <w:pPr>
        <w:tabs>
          <w:tab w:val="left" w:pos="-720"/>
        </w:tabs>
        <w:suppressAutoHyphens/>
        <w:contextualSpacing/>
      </w:pPr>
      <w:r w:rsidRPr="00E81403">
        <w:t xml:space="preserve">This information will be collected from a form </w:t>
      </w:r>
      <w:r w:rsidR="007F2EA2">
        <w:t xml:space="preserve">electronically sent by CISA staff. </w:t>
      </w:r>
      <w:r w:rsidRPr="00E81403">
        <w:t>Respondents will need to fill out the form and submit</w:t>
      </w:r>
      <w:r w:rsidR="002E2F13">
        <w:t xml:space="preserve"> via </w:t>
      </w:r>
      <w:r w:rsidR="007F2EA2">
        <w:t xml:space="preserve">email.  </w:t>
      </w:r>
    </w:p>
    <w:p w:rsidR="00DC6E79" w:rsidP="000C4293" w:rsidRDefault="00DC6E79">
      <w:pPr>
        <w:tabs>
          <w:tab w:val="left" w:pos="-720"/>
        </w:tabs>
        <w:suppressAutoHyphens/>
        <w:jc w:val="both"/>
      </w:pPr>
    </w:p>
    <w:p w:rsidRPr="00596A43" w:rsidR="00AA3F82" w:rsidP="000C4293" w:rsidRDefault="00AA3F82">
      <w:pPr>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lastRenderedPageBreak/>
        <w:fldChar w:fldCharType="begin"/>
      </w:r>
      <w:r w:rsidRPr="00596A43">
        <w:instrText>ADVANCE \R 0.95</w:instrText>
      </w:r>
      <w:r w:rsidRPr="00596A43">
        <w:fldChar w:fldCharType="end"/>
      </w:r>
      <w:r w:rsidRPr="00596A43">
        <w:t xml:space="preserve">4.  Describe efforts to identify duplication.  </w:t>
      </w:r>
      <w:r w:rsidR="00EA3151">
        <w:t>In</w:t>
      </w:r>
      <w:r w:rsidRPr="00596A43">
        <w:t xml:space="preserve"> Show specifically why any similar information already available cannot be used or modified for use for the purposes described in Item 2 above. </w:t>
      </w:r>
    </w:p>
    <w:p w:rsidRPr="00596A43" w:rsidR="00EB5E96" w:rsidP="000C4293" w:rsidRDefault="00EB5E96">
      <w:pPr>
        <w:tabs>
          <w:tab w:val="left" w:pos="-720"/>
        </w:tabs>
        <w:suppressAutoHyphens/>
        <w:jc w:val="both"/>
      </w:pPr>
      <w:r w:rsidRPr="00596A43">
        <w:fldChar w:fldCharType="begin"/>
      </w:r>
      <w:r w:rsidRPr="00596A43">
        <w:instrText>ADVANCE \R 0.95</w:instrText>
      </w:r>
      <w:r w:rsidRPr="00596A43">
        <w:fldChar w:fldCharType="end"/>
      </w:r>
    </w:p>
    <w:p w:rsidRPr="00AB5A92" w:rsidR="002D4AD9" w:rsidP="002D4AD9" w:rsidRDefault="00B760F2">
      <w:pPr>
        <w:tabs>
          <w:tab w:val="left" w:pos="-720"/>
        </w:tabs>
        <w:suppressAutoHyphens/>
        <w:contextualSpacing/>
      </w:pPr>
      <w:r w:rsidRPr="000D65B8">
        <w:t>A search of reginfo.gov revealed that this information is not collected in any form, and therefore is not duplicated elsewhere.</w:t>
      </w:r>
      <w:r>
        <w:t xml:space="preserve"> </w:t>
      </w:r>
    </w:p>
    <w:p w:rsidR="00EB5E96" w:rsidP="000C4293" w:rsidRDefault="00EB5E96">
      <w:pPr>
        <w:tabs>
          <w:tab w:val="left" w:pos="-720"/>
        </w:tabs>
        <w:suppressAutoHyphens/>
        <w:jc w:val="both"/>
      </w:pPr>
    </w:p>
    <w:p w:rsidRPr="00596A43" w:rsidR="00AA3F82" w:rsidP="000C4293" w:rsidRDefault="00AA3F82">
      <w:pPr>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5.  If the collection of information impacts small businesses or other small entities (Item 5 of OMB Form 83-I), describe any methods used to minimize.</w:t>
      </w:r>
      <w:r w:rsidRPr="00596A43">
        <w:tab/>
      </w:r>
    </w:p>
    <w:p w:rsidRPr="00596A43" w:rsidR="00EB5E96" w:rsidP="000C4293" w:rsidRDefault="00EB5E96">
      <w:pPr>
        <w:tabs>
          <w:tab w:val="left" w:pos="-720"/>
        </w:tabs>
        <w:suppressAutoHyphens/>
        <w:jc w:val="both"/>
        <w:rPr>
          <w:spacing w:val="-3"/>
        </w:rPr>
      </w:pPr>
    </w:p>
    <w:p w:rsidRPr="00AB5A92" w:rsidR="00FF5DDF" w:rsidP="00FF5DDF" w:rsidRDefault="00956717">
      <w:pPr>
        <w:tabs>
          <w:tab w:val="left" w:pos="-720"/>
        </w:tabs>
        <w:suppressAutoHyphens/>
        <w:contextualSpacing/>
        <w:rPr>
          <w:spacing w:val="-3"/>
        </w:rPr>
      </w:pPr>
      <w:r>
        <w:rPr>
          <w:spacing w:val="-3"/>
        </w:rPr>
        <w:t>This collection will not impact small businesses or other small entities.</w:t>
      </w:r>
    </w:p>
    <w:p w:rsidR="00EB5E96" w:rsidP="000C4293" w:rsidRDefault="00EB5E96">
      <w:pPr>
        <w:tabs>
          <w:tab w:val="left" w:pos="-720"/>
        </w:tabs>
        <w:suppressAutoHyphens/>
        <w:jc w:val="both"/>
        <w:rPr>
          <w:spacing w:val="-3"/>
        </w:rPr>
      </w:pPr>
    </w:p>
    <w:p w:rsidRPr="00596A43" w:rsidR="00AA3F82" w:rsidP="000C4293" w:rsidRDefault="00AA3F82">
      <w:pPr>
        <w:tabs>
          <w:tab w:val="left" w:pos="-720"/>
        </w:tabs>
        <w:suppressAutoHyphens/>
        <w:jc w:val="both"/>
        <w:rPr>
          <w:spacing w:val="-3"/>
        </w:rPr>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6.  Describe the consequence to Federal/</w:t>
      </w:r>
      <w:r w:rsidRPr="00596A43" w:rsidR="00460234">
        <w:t>DHS</w:t>
      </w:r>
      <w:r w:rsidRPr="00596A43">
        <w:t xml:space="preserve"> program or policy activities if the collection of information is not conducted, or is conducted less frequently, as well as any technical or legal obstacles to reducing burden.</w:t>
      </w:r>
    </w:p>
    <w:p w:rsidRPr="00596A43" w:rsidR="00EB5E96" w:rsidP="000C4293" w:rsidRDefault="00EB5E96">
      <w:pPr>
        <w:tabs>
          <w:tab w:val="left" w:pos="-720"/>
        </w:tabs>
        <w:suppressAutoHyphens/>
        <w:jc w:val="both"/>
        <w:rPr>
          <w:spacing w:val="-3"/>
        </w:rPr>
      </w:pPr>
    </w:p>
    <w:p w:rsidR="00CB51C9" w:rsidP="00CB51C9" w:rsidRDefault="007F2EA2">
      <w:pPr>
        <w:tabs>
          <w:tab w:val="left" w:pos="-720"/>
        </w:tabs>
        <w:suppressAutoHyphens/>
        <w:contextualSpacing/>
        <w:rPr>
          <w:spacing w:val="-3"/>
        </w:rPr>
      </w:pPr>
      <w:r w:rsidRPr="007F2EA2">
        <w:t xml:space="preserve">As our </w:t>
      </w:r>
      <w:r w:rsidR="00E66426">
        <w:t>N</w:t>
      </w:r>
      <w:r w:rsidRPr="007F2EA2" w:rsidR="00E66426">
        <w:t xml:space="preserve">ation’s </w:t>
      </w:r>
      <w:r w:rsidRPr="007F2EA2">
        <w:t xml:space="preserve">risk manager, CISA must undertake efforts to both understand and advise on risks to the </w:t>
      </w:r>
      <w:r w:rsidR="00E66426">
        <w:t>N</w:t>
      </w:r>
      <w:r w:rsidRPr="007F2EA2" w:rsidR="00E66426">
        <w:t xml:space="preserve">ation’s </w:t>
      </w:r>
      <w:r w:rsidRPr="007F2EA2">
        <w:t>critical infrastructure, to include providing advice and considerations for risk mitigation procedures</w:t>
      </w:r>
      <w:r w:rsidR="00505AE9">
        <w:t xml:space="preserve"> for </w:t>
      </w:r>
      <w:r w:rsidR="00E66426">
        <w:t xml:space="preserve">State </w:t>
      </w:r>
      <w:r w:rsidR="00505AE9">
        <w:t xml:space="preserve">and local governments and owner </w:t>
      </w:r>
      <w:r w:rsidR="000D65B8">
        <w:t>operators</w:t>
      </w:r>
      <w:r w:rsidR="00505AE9">
        <w:t xml:space="preserve"> of critical infrastructure engaged in contact tracing due to the possible consequences of failure</w:t>
      </w:r>
      <w:r w:rsidRPr="007F2EA2">
        <w:t xml:space="preserve">. As such, CISA must be prepared to address contract tracing to support risk management decisions of our </w:t>
      </w:r>
      <w:r w:rsidR="00123868">
        <w:t>s</w:t>
      </w:r>
      <w:r w:rsidRPr="007F2EA2">
        <w:t>tate, local</w:t>
      </w:r>
      <w:r w:rsidR="00E66426">
        <w:t>,</w:t>
      </w:r>
      <w:r w:rsidRPr="007F2EA2">
        <w:t xml:space="preserve"> </w:t>
      </w:r>
      <w:r w:rsidR="00912537">
        <w:t xml:space="preserve">tribal, territorial, </w:t>
      </w:r>
      <w:r w:rsidRPr="007F2EA2">
        <w:t xml:space="preserve">and critical infrastructure partners.  </w:t>
      </w:r>
    </w:p>
    <w:p w:rsidRPr="00596A43" w:rsidR="00AA3F82" w:rsidP="000C4293" w:rsidRDefault="00AA3F82">
      <w:pPr>
        <w:tabs>
          <w:tab w:val="left" w:pos="-720"/>
        </w:tabs>
        <w:suppressAutoHyphens/>
        <w:jc w:val="both"/>
        <w:rPr>
          <w:spacing w:val="-3"/>
        </w:rPr>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7.  Explain any special circumstances that would cause an information collection to be conducted in a manner:</w:t>
      </w:r>
    </w:p>
    <w:p w:rsidRPr="00596A43" w:rsidR="00EB5E96" w:rsidP="000C4293" w:rsidRDefault="00EB5E96">
      <w:pPr>
        <w:shd w:val="pct25" w:color="auto" w:fill="FFFFFF"/>
        <w:tabs>
          <w:tab w:val="left" w:pos="-720"/>
        </w:tabs>
        <w:suppressAutoHyphens/>
        <w:jc w:val="both"/>
      </w:pPr>
    </w:p>
    <w:p w:rsidR="00EB5E96" w:rsidP="005C472E" w:rsidRDefault="00EB5E96">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report information to the agency more often than quarterly.</w:t>
      </w:r>
    </w:p>
    <w:p w:rsidRPr="00596A43" w:rsidR="005C472E" w:rsidP="005C472E" w:rsidRDefault="005C472E">
      <w:pPr>
        <w:shd w:val="clear" w:color="auto" w:fill="C0C0C0"/>
        <w:tabs>
          <w:tab w:val="left" w:pos="-720"/>
        </w:tabs>
        <w:suppressAutoHyphens/>
        <w:jc w:val="both"/>
      </w:pPr>
    </w:p>
    <w:p w:rsidR="00EB5E96" w:rsidP="005C472E" w:rsidRDefault="00EB5E96">
      <w:pPr>
        <w:numPr>
          <w:ilvl w:val="0"/>
          <w:numId w:val="26"/>
        </w:numPr>
        <w:shd w:val="clear" w:color="auto" w:fill="C0C0C0"/>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Requiring respondents to prepare a written response to a collection of information in fewer than 30 days after r</w:t>
      </w:r>
      <w:r w:rsidRPr="00596A43">
        <w:t>e</w:t>
      </w:r>
      <w:r w:rsidRPr="00596A43">
        <w:t>ceipt of it.</w:t>
      </w:r>
    </w:p>
    <w:p w:rsidRPr="00596A43" w:rsidR="005C472E" w:rsidP="005C472E" w:rsidRDefault="005C472E">
      <w:pPr>
        <w:shd w:val="clear" w:color="auto" w:fill="C0C0C0"/>
        <w:ind w:left="720"/>
      </w:pPr>
    </w:p>
    <w:p w:rsidR="00EB5E96" w:rsidP="005C472E" w:rsidRDefault="00EB5E96">
      <w:pPr>
        <w:numPr>
          <w:ilvl w:val="0"/>
          <w:numId w:val="26"/>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Requiring respondents to submit more than an original and two copies of any document.</w:t>
      </w:r>
    </w:p>
    <w:p w:rsidRPr="00596A43" w:rsidR="005C472E" w:rsidP="005C472E" w:rsidRDefault="005C472E">
      <w:pPr>
        <w:shd w:val="pct25" w:color="auto" w:fill="auto"/>
        <w:tabs>
          <w:tab w:val="left" w:pos="-720"/>
        </w:tabs>
        <w:suppressAutoHyphens/>
        <w:ind w:left="720"/>
        <w:jc w:val="both"/>
      </w:pPr>
    </w:p>
    <w:p w:rsidR="00EB5E96" w:rsidP="005C472E" w:rsidRDefault="00EB5E96">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retain records, other than health, medical, government contract, grant-in-aid, or tax records for more than three years.</w:t>
      </w:r>
    </w:p>
    <w:p w:rsidRPr="00596A43" w:rsidR="005C472E" w:rsidP="005C472E" w:rsidRDefault="005C472E">
      <w:pPr>
        <w:shd w:val="clear" w:color="auto" w:fill="C0C0C0"/>
        <w:tabs>
          <w:tab w:val="left" w:pos="-720"/>
        </w:tabs>
        <w:suppressAutoHyphens/>
        <w:ind w:left="720"/>
        <w:jc w:val="both"/>
      </w:pPr>
    </w:p>
    <w:p w:rsidR="00EB5E96" w:rsidP="005C472E" w:rsidRDefault="00EB5E96">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In connection with a statistical survey, that is not designed to produce valid and reliable results that can be generalized to the universe of study.</w:t>
      </w:r>
    </w:p>
    <w:p w:rsidRPr="00596A43" w:rsidR="005C472E" w:rsidP="005C472E" w:rsidRDefault="005C472E">
      <w:pPr>
        <w:shd w:val="clear" w:color="auto" w:fill="C0C0C0"/>
        <w:tabs>
          <w:tab w:val="left" w:pos="-720"/>
        </w:tabs>
        <w:suppressAutoHyphens/>
        <w:ind w:left="720"/>
        <w:jc w:val="both"/>
      </w:pPr>
    </w:p>
    <w:p w:rsidR="00EB5E96" w:rsidP="005C472E" w:rsidRDefault="00EB5E96">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Requiring the use of a statistical data classification that has not been reviewed and approved by OMB.</w:t>
      </w:r>
    </w:p>
    <w:p w:rsidRPr="00596A43" w:rsidR="005C472E" w:rsidP="005C472E" w:rsidRDefault="005C472E">
      <w:pPr>
        <w:shd w:val="clear" w:color="auto" w:fill="C0C0C0"/>
        <w:tabs>
          <w:tab w:val="left" w:pos="-720"/>
        </w:tabs>
        <w:suppressAutoHyphens/>
        <w:ind w:left="720"/>
        <w:jc w:val="both"/>
      </w:pPr>
    </w:p>
    <w:p w:rsidR="00EB5E96" w:rsidP="005C472E" w:rsidRDefault="00EB5E96">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F33593" w:rsidP="00F33593" w:rsidRDefault="00F33593">
      <w:pPr>
        <w:pStyle w:val="ListParagraph"/>
      </w:pPr>
    </w:p>
    <w:p w:rsidR="002B0649" w:rsidP="003F241F" w:rsidRDefault="00F33593">
      <w:pPr>
        <w:numPr>
          <w:ilvl w:val="0"/>
          <w:numId w:val="26"/>
        </w:numPr>
        <w:shd w:val="clear" w:color="auto" w:fill="C0C0C0"/>
        <w:tabs>
          <w:tab w:val="left" w:pos="-720"/>
        </w:tabs>
        <w:suppressAutoHyphens/>
        <w:jc w:val="both"/>
      </w:pPr>
      <w:r w:rsidRPr="00F33593">
        <w:rPr>
          <w:shd w:val="clear" w:color="auto" w:fill="C0C0C0"/>
        </w:rPr>
        <w:t>Requiring respondents to submit proprietary trade secret, or other confidential information unless the agency can demonstrate that it has instituted procedures to protect the information’s confidentiality to the extent permitted by law.</w:t>
      </w:r>
      <w:r w:rsidRPr="00596A43">
        <w:t xml:space="preserve"> </w:t>
      </w:r>
      <w:r w:rsidRPr="00596A43" w:rsidR="00EB5E96">
        <w:fldChar w:fldCharType="begin"/>
      </w:r>
      <w:r w:rsidRPr="00596A43" w:rsidR="00EB5E96">
        <w:instrText>ADVANCE \R 0.95</w:instrText>
      </w:r>
      <w:r w:rsidRPr="00596A43" w:rsidR="00EB5E96">
        <w:fldChar w:fldCharType="end"/>
      </w:r>
    </w:p>
    <w:p w:rsidRPr="00596A43" w:rsidR="00F33593" w:rsidP="00F33593" w:rsidRDefault="00F33593">
      <w:pPr>
        <w:shd w:val="clear" w:color="auto" w:fill="C0C0C0"/>
        <w:tabs>
          <w:tab w:val="left" w:pos="-720"/>
        </w:tabs>
        <w:suppressAutoHyphens/>
        <w:jc w:val="both"/>
      </w:pPr>
    </w:p>
    <w:p w:rsidRPr="00AB5A92" w:rsidR="009960C6" w:rsidP="009960C6" w:rsidRDefault="009960C6">
      <w:pPr>
        <w:tabs>
          <w:tab w:val="left" w:pos="-720"/>
        </w:tabs>
        <w:suppressAutoHyphens/>
        <w:contextualSpacing/>
      </w:pPr>
      <w:r>
        <w:t xml:space="preserve">The special circumstances contained in item 7 of the Supporting Statement are not applicable to this information collection. </w:t>
      </w:r>
    </w:p>
    <w:p w:rsidRPr="00AB5A92" w:rsidR="00F861A5" w:rsidP="00F861A5" w:rsidRDefault="00F861A5">
      <w:pPr>
        <w:tabs>
          <w:tab w:val="left" w:pos="-720"/>
        </w:tabs>
        <w:suppressAutoHyphens/>
        <w:contextualSpacing/>
        <w:jc w:val="both"/>
      </w:pPr>
    </w:p>
    <w:p w:rsidRPr="00596A43" w:rsidR="00AE41B7" w:rsidP="000C4293" w:rsidRDefault="00AE41B7">
      <w:pPr>
        <w:tabs>
          <w:tab w:val="left" w:pos="-720"/>
        </w:tabs>
        <w:suppressAutoHyphens/>
        <w:jc w:val="both"/>
      </w:pPr>
    </w:p>
    <w:p w:rsidRPr="00596A43" w:rsidR="00EB5E96" w:rsidP="004C21F8"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8.  Federal Register Notice: </w:t>
      </w:r>
    </w:p>
    <w:p w:rsidRPr="00596A43" w:rsidR="00EB5E96" w:rsidP="004C21F8" w:rsidRDefault="00EB5E96">
      <w:p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a.   Provide a copy and identify the date and page number of </w:t>
      </w:r>
      <w:proofErr w:type="gramStart"/>
      <w:r w:rsidRPr="00596A43">
        <w:t>publication</w:t>
      </w:r>
      <w:proofErr w:type="gramEnd"/>
      <w:r w:rsidRPr="00596A43">
        <w:t xml:space="preserve">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596A43" w:rsidR="00EB5E96" w:rsidP="004C21F8"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596A43" w:rsidR="00EB5E96" w:rsidP="004C21F8"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rsidRPr="00596A43" w:rsidR="00EB5E96" w:rsidP="000C4293" w:rsidRDefault="00EB5E96">
      <w:pPr>
        <w:tabs>
          <w:tab w:val="left" w:pos="-720"/>
        </w:tabs>
        <w:suppressAutoHyphens/>
        <w:jc w:val="both"/>
      </w:pPr>
      <w:r w:rsidRPr="00596A43">
        <w:fldChar w:fldCharType="begin"/>
      </w:r>
      <w:r w:rsidRPr="00596A43">
        <w:instrText>ADVANCE \R 0.95</w:instrText>
      </w:r>
      <w:r w:rsidRPr="00596A43">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68"/>
        <w:gridCol w:w="2700"/>
        <w:gridCol w:w="1080"/>
        <w:gridCol w:w="1080"/>
        <w:gridCol w:w="900"/>
        <w:gridCol w:w="1532"/>
      </w:tblGrid>
      <w:tr w:rsidR="00B67664" w:rsidTr="000963AA">
        <w:tc>
          <w:tcPr>
            <w:tcW w:w="2268" w:type="dxa"/>
            <w:shd w:val="clear" w:color="auto" w:fill="000000"/>
          </w:tcPr>
          <w:p w:rsidR="00B67664" w:rsidP="00D3411B" w:rsidRDefault="00B67664">
            <w:pPr>
              <w:tabs>
                <w:tab w:val="left" w:pos="-720"/>
              </w:tabs>
              <w:suppressAutoHyphens/>
              <w:jc w:val="both"/>
            </w:pPr>
          </w:p>
        </w:tc>
        <w:tc>
          <w:tcPr>
            <w:tcW w:w="2700" w:type="dxa"/>
            <w:shd w:val="clear" w:color="auto" w:fill="BFBFBF"/>
          </w:tcPr>
          <w:p w:rsidRPr="00D3411B" w:rsidR="00B67664" w:rsidP="00D3411B" w:rsidRDefault="00B67664">
            <w:pPr>
              <w:tabs>
                <w:tab w:val="left" w:pos="-720"/>
              </w:tabs>
              <w:suppressAutoHyphens/>
              <w:jc w:val="center"/>
              <w:rPr>
                <w:b/>
              </w:rPr>
            </w:pPr>
            <w:r w:rsidRPr="00D3411B">
              <w:rPr>
                <w:b/>
              </w:rPr>
              <w:t>Date of Publication</w:t>
            </w:r>
          </w:p>
        </w:tc>
        <w:tc>
          <w:tcPr>
            <w:tcW w:w="1080" w:type="dxa"/>
            <w:shd w:val="clear" w:color="auto" w:fill="BFBFBF"/>
            <w:vAlign w:val="center"/>
          </w:tcPr>
          <w:p w:rsidRPr="00D3411B" w:rsidR="00B67664" w:rsidP="00D3411B" w:rsidRDefault="00B67664">
            <w:pPr>
              <w:tabs>
                <w:tab w:val="left" w:pos="-720"/>
              </w:tabs>
              <w:suppressAutoHyphens/>
              <w:jc w:val="center"/>
              <w:rPr>
                <w:b/>
              </w:rPr>
            </w:pPr>
            <w:r w:rsidRPr="00D3411B">
              <w:rPr>
                <w:b/>
              </w:rPr>
              <w:t>Volume #</w:t>
            </w:r>
          </w:p>
        </w:tc>
        <w:tc>
          <w:tcPr>
            <w:tcW w:w="1080" w:type="dxa"/>
            <w:shd w:val="clear" w:color="auto" w:fill="BFBFBF"/>
            <w:vAlign w:val="center"/>
          </w:tcPr>
          <w:p w:rsidRPr="00D3411B" w:rsidR="00B67664" w:rsidP="00D3411B" w:rsidRDefault="00B67664">
            <w:pPr>
              <w:tabs>
                <w:tab w:val="left" w:pos="-720"/>
              </w:tabs>
              <w:suppressAutoHyphens/>
              <w:jc w:val="center"/>
              <w:rPr>
                <w:b/>
              </w:rPr>
            </w:pPr>
            <w:r w:rsidRPr="00D3411B">
              <w:rPr>
                <w:b/>
              </w:rPr>
              <w:t>Number #</w:t>
            </w:r>
          </w:p>
        </w:tc>
        <w:tc>
          <w:tcPr>
            <w:tcW w:w="900" w:type="dxa"/>
            <w:shd w:val="clear" w:color="auto" w:fill="BFBFBF"/>
            <w:vAlign w:val="center"/>
          </w:tcPr>
          <w:p w:rsidRPr="00D3411B" w:rsidR="00B67664" w:rsidP="00D3411B" w:rsidRDefault="00B67664">
            <w:pPr>
              <w:tabs>
                <w:tab w:val="left" w:pos="-720"/>
              </w:tabs>
              <w:suppressAutoHyphens/>
              <w:jc w:val="center"/>
              <w:rPr>
                <w:b/>
              </w:rPr>
            </w:pPr>
            <w:r w:rsidRPr="00D3411B">
              <w:rPr>
                <w:b/>
              </w:rPr>
              <w:t>Page #</w:t>
            </w:r>
          </w:p>
        </w:tc>
        <w:tc>
          <w:tcPr>
            <w:tcW w:w="1532" w:type="dxa"/>
            <w:shd w:val="clear" w:color="auto" w:fill="BFBFBF"/>
          </w:tcPr>
          <w:p w:rsidRPr="00D3411B" w:rsidR="00B67664" w:rsidP="00D3411B" w:rsidRDefault="00B67664">
            <w:pPr>
              <w:tabs>
                <w:tab w:val="left" w:pos="-720"/>
              </w:tabs>
              <w:suppressAutoHyphens/>
              <w:jc w:val="center"/>
              <w:rPr>
                <w:b/>
              </w:rPr>
            </w:pPr>
            <w:r w:rsidRPr="00D3411B">
              <w:rPr>
                <w:b/>
              </w:rPr>
              <w:t>Comments Addressed</w:t>
            </w:r>
          </w:p>
        </w:tc>
      </w:tr>
      <w:tr w:rsidR="00B67664" w:rsidTr="000963AA">
        <w:tc>
          <w:tcPr>
            <w:tcW w:w="2268" w:type="dxa"/>
          </w:tcPr>
          <w:p w:rsidRPr="00D3411B" w:rsidR="00B67664" w:rsidP="00D3411B" w:rsidRDefault="00B67664">
            <w:pPr>
              <w:tabs>
                <w:tab w:val="left" w:pos="-720"/>
              </w:tabs>
              <w:suppressAutoHyphens/>
              <w:rPr>
                <w:i/>
              </w:rPr>
            </w:pPr>
            <w:r w:rsidRPr="00D3411B">
              <w:rPr>
                <w:i/>
              </w:rPr>
              <w:t>60</w:t>
            </w:r>
            <w:r w:rsidR="00E66426">
              <w:rPr>
                <w:i/>
              </w:rPr>
              <w:t>-</w:t>
            </w:r>
            <w:r w:rsidRPr="00D3411B">
              <w:rPr>
                <w:i/>
              </w:rPr>
              <w:t>Day Federal Register Notice:</w:t>
            </w:r>
          </w:p>
        </w:tc>
        <w:tc>
          <w:tcPr>
            <w:tcW w:w="2700" w:type="dxa"/>
          </w:tcPr>
          <w:p w:rsidR="00B67664" w:rsidP="00513C8E" w:rsidRDefault="00B67664">
            <w:pPr>
              <w:tabs>
                <w:tab w:val="left" w:pos="-720"/>
              </w:tabs>
              <w:suppressAutoHyphens/>
              <w:jc w:val="center"/>
            </w:pPr>
          </w:p>
        </w:tc>
        <w:tc>
          <w:tcPr>
            <w:tcW w:w="1080" w:type="dxa"/>
          </w:tcPr>
          <w:p w:rsidR="00B67664" w:rsidP="000963AA" w:rsidRDefault="00B67664">
            <w:pPr>
              <w:tabs>
                <w:tab w:val="left" w:pos="-720"/>
              </w:tabs>
              <w:suppressAutoHyphens/>
              <w:jc w:val="center"/>
            </w:pPr>
          </w:p>
        </w:tc>
        <w:tc>
          <w:tcPr>
            <w:tcW w:w="1080" w:type="dxa"/>
          </w:tcPr>
          <w:p w:rsidR="00B67664" w:rsidP="000963AA" w:rsidRDefault="00B67664">
            <w:pPr>
              <w:tabs>
                <w:tab w:val="left" w:pos="-720"/>
              </w:tabs>
              <w:suppressAutoHyphens/>
              <w:jc w:val="center"/>
            </w:pPr>
          </w:p>
        </w:tc>
        <w:tc>
          <w:tcPr>
            <w:tcW w:w="900" w:type="dxa"/>
          </w:tcPr>
          <w:p w:rsidR="00B67664" w:rsidP="000963AA" w:rsidRDefault="00B67664">
            <w:pPr>
              <w:tabs>
                <w:tab w:val="left" w:pos="-720"/>
              </w:tabs>
              <w:suppressAutoHyphens/>
              <w:jc w:val="center"/>
            </w:pPr>
          </w:p>
        </w:tc>
        <w:tc>
          <w:tcPr>
            <w:tcW w:w="1532" w:type="dxa"/>
          </w:tcPr>
          <w:p w:rsidR="00B67664" w:rsidP="000963AA" w:rsidRDefault="00B67664">
            <w:pPr>
              <w:tabs>
                <w:tab w:val="left" w:pos="-720"/>
              </w:tabs>
              <w:suppressAutoHyphens/>
              <w:jc w:val="center"/>
            </w:pPr>
          </w:p>
        </w:tc>
      </w:tr>
      <w:tr w:rsidR="00B67664" w:rsidTr="000963AA">
        <w:tc>
          <w:tcPr>
            <w:tcW w:w="2268" w:type="dxa"/>
          </w:tcPr>
          <w:p w:rsidR="00B67664" w:rsidP="00D3411B" w:rsidRDefault="00B67664">
            <w:pPr>
              <w:tabs>
                <w:tab w:val="left" w:pos="-720"/>
              </w:tabs>
              <w:suppressAutoHyphens/>
            </w:pPr>
            <w:r w:rsidRPr="00D3411B">
              <w:rPr>
                <w:i/>
              </w:rPr>
              <w:t>30-Day Federal Register Notice</w:t>
            </w:r>
          </w:p>
        </w:tc>
        <w:tc>
          <w:tcPr>
            <w:tcW w:w="2700" w:type="dxa"/>
          </w:tcPr>
          <w:p w:rsidR="00B67664" w:rsidP="000963AA" w:rsidRDefault="00B67664">
            <w:pPr>
              <w:tabs>
                <w:tab w:val="left" w:pos="-720"/>
              </w:tabs>
              <w:suppressAutoHyphens/>
              <w:jc w:val="center"/>
            </w:pPr>
          </w:p>
        </w:tc>
        <w:tc>
          <w:tcPr>
            <w:tcW w:w="1080" w:type="dxa"/>
          </w:tcPr>
          <w:p w:rsidR="00B67664" w:rsidP="000963AA" w:rsidRDefault="00B67664">
            <w:pPr>
              <w:tabs>
                <w:tab w:val="left" w:pos="-720"/>
              </w:tabs>
              <w:suppressAutoHyphens/>
              <w:jc w:val="center"/>
            </w:pPr>
          </w:p>
        </w:tc>
        <w:tc>
          <w:tcPr>
            <w:tcW w:w="1080" w:type="dxa"/>
          </w:tcPr>
          <w:p w:rsidR="00B67664" w:rsidP="000963AA" w:rsidRDefault="00B67664">
            <w:pPr>
              <w:tabs>
                <w:tab w:val="left" w:pos="-720"/>
              </w:tabs>
              <w:suppressAutoHyphens/>
              <w:jc w:val="center"/>
            </w:pPr>
          </w:p>
        </w:tc>
        <w:tc>
          <w:tcPr>
            <w:tcW w:w="900" w:type="dxa"/>
          </w:tcPr>
          <w:p w:rsidR="00B67664" w:rsidP="000963AA" w:rsidRDefault="00B67664">
            <w:pPr>
              <w:tabs>
                <w:tab w:val="left" w:pos="-720"/>
              </w:tabs>
              <w:suppressAutoHyphens/>
              <w:jc w:val="center"/>
            </w:pPr>
          </w:p>
        </w:tc>
        <w:tc>
          <w:tcPr>
            <w:tcW w:w="1532" w:type="dxa"/>
          </w:tcPr>
          <w:p w:rsidR="00B67664" w:rsidP="000963AA" w:rsidRDefault="00B67664">
            <w:pPr>
              <w:tabs>
                <w:tab w:val="left" w:pos="-720"/>
              </w:tabs>
              <w:suppressAutoHyphens/>
              <w:jc w:val="center"/>
            </w:pPr>
          </w:p>
        </w:tc>
      </w:tr>
    </w:tbl>
    <w:p w:rsidR="00B67664" w:rsidP="000C4293" w:rsidRDefault="00B67664">
      <w:pPr>
        <w:tabs>
          <w:tab w:val="left" w:pos="-720"/>
        </w:tabs>
        <w:suppressAutoHyphens/>
        <w:jc w:val="both"/>
      </w:pPr>
    </w:p>
    <w:p w:rsidRPr="00AB5A92" w:rsidR="00E36BD1" w:rsidP="00E36BD1" w:rsidRDefault="00566C07">
      <w:pPr>
        <w:tabs>
          <w:tab w:val="left" w:pos="-720"/>
        </w:tabs>
        <w:suppressAutoHyphens/>
        <w:contextualSpacing/>
      </w:pPr>
      <w:r w:rsidRPr="00566C07">
        <w:t xml:space="preserve">CISA is seeking an approval of this information collection through the Emergency Approval Process. Upon approval, CISA will follow the normal clearance process and seek public comment through the publication of a </w:t>
      </w:r>
      <w:r w:rsidRPr="00566C07" w:rsidR="0092293C">
        <w:t>60- and 30-Day</w:t>
      </w:r>
      <w:r w:rsidRPr="00566C07">
        <w:t xml:space="preserve"> Federal Register Notice.</w:t>
      </w:r>
      <w:r w:rsidR="00E36BD1">
        <w:t xml:space="preserve"> </w:t>
      </w:r>
    </w:p>
    <w:p w:rsidRPr="00596A43" w:rsidR="00AA3F82" w:rsidP="000C4293" w:rsidRDefault="00AA3F82">
      <w:pPr>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9.  Explain any decision to provide any payment or gift to respondents, other than remuneration of contractors or grantees.</w:t>
      </w:r>
    </w:p>
    <w:p w:rsidRPr="00596A43" w:rsidR="00EB5E96" w:rsidP="000C4293" w:rsidRDefault="00EB5E96">
      <w:pPr>
        <w:tabs>
          <w:tab w:val="left" w:pos="-720"/>
        </w:tabs>
        <w:suppressAutoHyphens/>
        <w:jc w:val="both"/>
      </w:pPr>
    </w:p>
    <w:p w:rsidRPr="00AB5A92" w:rsidR="002D4AD9" w:rsidP="002D4AD9" w:rsidRDefault="009960C6">
      <w:pPr>
        <w:tabs>
          <w:tab w:val="left" w:pos="-720"/>
        </w:tabs>
        <w:suppressAutoHyphens/>
        <w:contextualSpacing/>
      </w:pPr>
      <w:bookmarkStart w:name="_Hlk38034255" w:id="2"/>
      <w:r>
        <w:t xml:space="preserve">There is no offer of monetary or material value for this information collection. </w:t>
      </w:r>
    </w:p>
    <w:bookmarkEnd w:id="2"/>
    <w:p w:rsidRPr="00AB5A92" w:rsidR="00F861A5" w:rsidP="00F861A5" w:rsidRDefault="00F861A5">
      <w:pPr>
        <w:tabs>
          <w:tab w:val="left" w:pos="-720"/>
        </w:tabs>
        <w:suppressAutoHyphens/>
        <w:contextualSpacing/>
      </w:pPr>
    </w:p>
    <w:p w:rsidRPr="00596A43" w:rsidR="00EB5E96" w:rsidP="000C4293" w:rsidRDefault="00EB5E96">
      <w:pPr>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10.  Describe any assurance of confidentiality provided to respondents and the basis for the assurance in statute, regulation, or agency policy.  </w:t>
      </w:r>
    </w:p>
    <w:p w:rsidRPr="00596A43" w:rsidR="00EB5E96" w:rsidP="000C4293" w:rsidRDefault="00EB5E96">
      <w:pPr>
        <w:tabs>
          <w:tab w:val="left" w:pos="-720"/>
        </w:tabs>
        <w:suppressAutoHyphens/>
        <w:jc w:val="both"/>
      </w:pPr>
      <w:r w:rsidRPr="00596A43">
        <w:fldChar w:fldCharType="begin"/>
      </w:r>
      <w:r w:rsidRPr="00596A43">
        <w:instrText>ADVANCE \R 0.95</w:instrText>
      </w:r>
      <w:r w:rsidRPr="00596A43">
        <w:fldChar w:fldCharType="end"/>
      </w:r>
    </w:p>
    <w:p w:rsidR="003421DA" w:rsidP="003421DA" w:rsidRDefault="003421DA">
      <w:pPr>
        <w:rPr>
          <w:color w:val="000000"/>
        </w:rPr>
      </w:pPr>
      <w:r>
        <w:rPr>
          <w:color w:val="000000"/>
        </w:rPr>
        <w:t xml:space="preserve">There are no assurances of confidentiality.  </w:t>
      </w:r>
    </w:p>
    <w:p w:rsidR="003421DA" w:rsidP="003421DA" w:rsidRDefault="003421DA">
      <w:pPr>
        <w:rPr>
          <w:color w:val="000000"/>
        </w:rPr>
      </w:pPr>
    </w:p>
    <w:p w:rsidR="003421DA" w:rsidP="003421DA" w:rsidRDefault="00764903">
      <w:pPr>
        <w:rPr>
          <w:color w:val="000000"/>
        </w:rPr>
      </w:pPr>
      <w:r>
        <w:rPr>
          <w:color w:val="000000"/>
        </w:rPr>
        <w:lastRenderedPageBreak/>
        <w:t xml:space="preserve">This collection is </w:t>
      </w:r>
      <w:r w:rsidR="00A13D61">
        <w:rPr>
          <w:color w:val="000000"/>
        </w:rPr>
        <w:t xml:space="preserve">covered by </w:t>
      </w:r>
      <w:r w:rsidRPr="00A13D61" w:rsidR="00A13D61">
        <w:rPr>
          <w:color w:val="000000"/>
        </w:rPr>
        <w:t>DHS/ALL/PIA-069 DHS Surveys, Interviews, and Focus Groups</w:t>
      </w:r>
      <w:r w:rsidR="00A13D61">
        <w:rPr>
          <w:color w:val="000000"/>
        </w:rPr>
        <w:t xml:space="preserve"> and </w:t>
      </w:r>
      <w:r w:rsidRPr="00A13D61" w:rsidR="00A13D61">
        <w:rPr>
          <w:color w:val="000000"/>
        </w:rPr>
        <w:t>DHS/ALL-002 DHS Mailing and Other Lists</w:t>
      </w:r>
      <w:r w:rsidR="003F607B">
        <w:rPr>
          <w:color w:val="000000"/>
        </w:rPr>
        <w:t xml:space="preserve"> SORN</w:t>
      </w:r>
      <w:r w:rsidR="00A13D61">
        <w:rPr>
          <w:color w:val="000000"/>
        </w:rPr>
        <w:t>.</w:t>
      </w:r>
    </w:p>
    <w:p w:rsidRPr="00596A43" w:rsidR="00AA3F82" w:rsidP="002D4AD9" w:rsidRDefault="00AA3F82">
      <w:pPr>
        <w:pStyle w:val="Default"/>
      </w:pPr>
    </w:p>
    <w:p w:rsidRPr="00596A43" w:rsidR="00EB5E96" w:rsidP="000C4293" w:rsidRDefault="00EB5E96">
      <w:pPr>
        <w:shd w:val="pct25" w:color="auto" w:fill="auto"/>
        <w:tabs>
          <w:tab w:val="left" w:pos="-720"/>
        </w:tabs>
        <w:suppressAutoHyphens/>
        <w:jc w:val="both"/>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596A43" w:rsidR="00EB5E96" w:rsidP="000C4293" w:rsidRDefault="00EB5E96">
      <w:pPr>
        <w:shd w:val="clear" w:color="auto" w:fill="FFFFFF"/>
        <w:tabs>
          <w:tab w:val="left" w:pos="-720"/>
        </w:tabs>
        <w:suppressAutoHyphens/>
        <w:jc w:val="both"/>
      </w:pPr>
    </w:p>
    <w:p w:rsidRPr="00AB5A92" w:rsidR="002D4AD9" w:rsidP="002D4AD9" w:rsidRDefault="009960C6">
      <w:pPr>
        <w:tabs>
          <w:tab w:val="left" w:pos="-720"/>
        </w:tabs>
        <w:suppressAutoHyphens/>
        <w:contextualSpacing/>
      </w:pPr>
      <w:r>
        <w:t xml:space="preserve">There are no questions of a sensitive nature. </w:t>
      </w:r>
    </w:p>
    <w:p w:rsidRPr="00596A43" w:rsidR="00AA3F82" w:rsidP="000C4293" w:rsidRDefault="00AA3F82">
      <w:pPr>
        <w:shd w:val="clear" w:color="auto" w:fill="FFFFFF"/>
        <w:tabs>
          <w:tab w:val="left" w:pos="-720"/>
        </w:tabs>
        <w:suppressAutoHyphens/>
        <w:jc w:val="both"/>
      </w:pPr>
    </w:p>
    <w:p w:rsidRPr="00596A43" w:rsidR="00EB5E96" w:rsidP="000C4293" w:rsidRDefault="00EB5E96">
      <w:pPr>
        <w:shd w:val="pct25" w:color="auto" w:fill="FFFFFF"/>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12. Provide estimates of the hour burden of the collection of information.  The statement should:</w:t>
      </w:r>
    </w:p>
    <w:p w:rsidRPr="00596A43" w:rsidR="00EB5E96" w:rsidP="000C4293" w:rsidRDefault="00EB5E96">
      <w:pPr>
        <w:tabs>
          <w:tab w:val="left" w:pos="-720"/>
        </w:tabs>
        <w:suppressAutoHyphens/>
        <w:jc w:val="both"/>
      </w:pPr>
      <w:r w:rsidRPr="00596A43">
        <w:fldChar w:fldCharType="begin"/>
      </w:r>
      <w:r w:rsidRPr="00596A43">
        <w:instrText>ADVANCE \R 0.95</w:instrText>
      </w:r>
      <w:r w:rsidRPr="00596A43">
        <w:fldChar w:fldCharType="end"/>
      </w:r>
    </w:p>
    <w:p w:rsidR="00EB5E96" w:rsidP="00F861A5" w:rsidRDefault="00EB5E96">
      <w:pPr>
        <w:numPr>
          <w:ilvl w:val="0"/>
          <w:numId w:val="27"/>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861A5" w:rsidP="00F861A5" w:rsidRDefault="00F861A5">
      <w:pPr>
        <w:widowControl w:val="0"/>
        <w:tabs>
          <w:tab w:val="left" w:pos="720"/>
          <w:tab w:val="left" w:pos="1440"/>
        </w:tabs>
        <w:spacing w:before="120"/>
        <w:ind w:left="765"/>
        <w:contextualSpacing/>
      </w:pPr>
    </w:p>
    <w:p w:rsidR="00C93F2E" w:rsidP="00C93F2E" w:rsidRDefault="00C93F2E">
      <w:r w:rsidRPr="000D65B8">
        <w:t xml:space="preserve">To estimate the burden associated with </w:t>
      </w:r>
      <w:r w:rsidRPr="000D65B8" w:rsidR="00DB48BA">
        <w:t>this collection</w:t>
      </w:r>
      <w:r w:rsidRPr="000D65B8">
        <w:t xml:space="preserve">, CISA multiplies the number of responses and the estimated time needed to respond. Based on subject matter expert elicitation, CISA estimates that there </w:t>
      </w:r>
      <w:r w:rsidRPr="000D65B8" w:rsidR="00EA35CD">
        <w:t>will be approximately 166 total submissions. Sixty of the responses will be from SLTT stakeholder and 106 from private sector stakeholders</w:t>
      </w:r>
      <w:r w:rsidRPr="000D65B8">
        <w:t xml:space="preserve">. </w:t>
      </w:r>
      <w:r w:rsidRPr="000D65B8" w:rsidR="00EA35CD">
        <w:t xml:space="preserve">Each submission is estimated to </w:t>
      </w:r>
      <w:r w:rsidRPr="000D65B8">
        <w:t xml:space="preserve">take approximately </w:t>
      </w:r>
      <w:r w:rsidRPr="000D65B8" w:rsidR="00EA35CD">
        <w:t xml:space="preserve">40 </w:t>
      </w:r>
      <w:r w:rsidRPr="000D65B8">
        <w:t xml:space="preserve">minutes. </w:t>
      </w:r>
      <w:r w:rsidRPr="000D65B8" w:rsidR="00EA35CD">
        <w:t>To estimate the total compensation rate for each set of respondents, the average hourly wage is multiplied by a benefits multiplier of 1.425.</w:t>
      </w:r>
      <w:r w:rsidRPr="000D65B8" w:rsidR="00EA35CD">
        <w:rPr>
          <w:rStyle w:val="FootnoteReference"/>
        </w:rPr>
        <w:footnoteReference w:id="1"/>
      </w:r>
      <w:r w:rsidRPr="000D65B8" w:rsidR="00EA35CD">
        <w:t xml:space="preserve"> </w:t>
      </w:r>
      <w:r w:rsidRPr="000D65B8">
        <w:t>The</w:t>
      </w:r>
      <w:r w:rsidRPr="000D65B8" w:rsidR="00EA35CD">
        <w:t xml:space="preserve"> SLTT</w:t>
      </w:r>
      <w:r w:rsidRPr="000D65B8">
        <w:t xml:space="preserve"> respondent’s average hourly compensation rate of $</w:t>
      </w:r>
      <w:r w:rsidRPr="000D65B8" w:rsidR="00EA35CD">
        <w:t>40.88</w:t>
      </w:r>
      <w:r w:rsidRPr="000D65B8">
        <w:t xml:space="preserve"> is based on an average hourly wage rate of $</w:t>
      </w:r>
      <w:r w:rsidRPr="000D65B8" w:rsidR="00EA35CD">
        <w:t>28.68</w:t>
      </w:r>
      <w:r w:rsidRPr="000D65B8">
        <w:rPr>
          <w:rStyle w:val="FootnoteReference"/>
        </w:rPr>
        <w:footnoteReference w:id="2"/>
      </w:r>
      <w:r w:rsidRPr="000D65B8">
        <w:t xml:space="preserve"> </w:t>
      </w:r>
      <w:r w:rsidRPr="000D65B8" w:rsidR="00EA35CD">
        <w:t>multiplied by 1.425. The private sector average hourly compensation rate of $35.92 is based on an average hourly wage rate of $25.20</w:t>
      </w:r>
      <w:r w:rsidRPr="000D65B8" w:rsidR="009A78E0">
        <w:rPr>
          <w:rStyle w:val="FootnoteReference"/>
        </w:rPr>
        <w:footnoteReference w:id="3"/>
      </w:r>
      <w:r w:rsidRPr="000D65B8" w:rsidR="00EA35CD">
        <w:t xml:space="preserve"> multiplied by 1.425</w:t>
      </w:r>
      <w:r w:rsidR="000D6EB2">
        <w:t xml:space="preserve">.  </w:t>
      </w:r>
      <w:r w:rsidRPr="000D65B8">
        <w:t>To estimate the cost, we apply a fully loaded hourly compensation rate</w:t>
      </w:r>
      <w:r w:rsidRPr="000D65B8" w:rsidR="00EA35CD">
        <w:t>s</w:t>
      </w:r>
      <w:r w:rsidRPr="000D65B8">
        <w:t xml:space="preserve"> </w:t>
      </w:r>
      <w:r w:rsidRPr="000D65B8" w:rsidR="00EA35CD">
        <w:t xml:space="preserve">for each population </w:t>
      </w:r>
      <w:r w:rsidRPr="000D65B8">
        <w:t xml:space="preserve">to the time required to file </w:t>
      </w:r>
      <w:r w:rsidRPr="000D65B8" w:rsidR="00EA35CD">
        <w:t>a submission.</w:t>
      </w:r>
    </w:p>
    <w:p w:rsidRPr="00E509F4" w:rsidR="00C93F2E" w:rsidP="00C93F2E" w:rsidRDefault="00C93F2E"/>
    <w:p w:rsidRPr="00BF3CEF" w:rsidR="00C93F2E" w:rsidP="00C93F2E" w:rsidRDefault="00C93F2E">
      <w:r w:rsidRPr="00BF3CEF">
        <w:t xml:space="preserve">As shown in Table 2, the estimated cost associated with reporting is </w:t>
      </w:r>
      <w:r w:rsidRPr="00D15922">
        <w:t>$</w:t>
      </w:r>
      <w:r w:rsidR="00EA35CD">
        <w:t>4,173</w:t>
      </w:r>
      <w:r w:rsidR="00FF2A49">
        <w:t>.</w:t>
      </w:r>
    </w:p>
    <w:tbl>
      <w:tblPr>
        <w:tblW w:w="10954" w:type="dxa"/>
        <w:tblInd w:w="-676" w:type="dxa"/>
        <w:tblLook w:val="04A0" w:firstRow="1" w:lastRow="0" w:firstColumn="1" w:lastColumn="0" w:noHBand="0" w:noVBand="1"/>
      </w:tblPr>
      <w:tblGrid>
        <w:gridCol w:w="2224"/>
        <w:gridCol w:w="1415"/>
        <w:gridCol w:w="1555"/>
        <w:gridCol w:w="1305"/>
        <w:gridCol w:w="1259"/>
        <w:gridCol w:w="1440"/>
        <w:gridCol w:w="1756"/>
      </w:tblGrid>
      <w:tr w:rsidR="00EA35CD" w:rsidTr="009E73B1">
        <w:trPr>
          <w:trHeight w:val="1140"/>
        </w:trPr>
        <w:tc>
          <w:tcPr>
            <w:tcW w:w="222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EA35CD" w:rsidR="00EA35CD" w:rsidRDefault="00EA35CD">
            <w:pPr>
              <w:jc w:val="center"/>
              <w:rPr>
                <w:b/>
                <w:bCs/>
                <w:color w:val="000000"/>
                <w:sz w:val="22"/>
                <w:szCs w:val="22"/>
              </w:rPr>
            </w:pPr>
            <w:r w:rsidRPr="00EA35CD">
              <w:rPr>
                <w:b/>
                <w:bCs/>
                <w:color w:val="000000"/>
                <w:sz w:val="22"/>
                <w:szCs w:val="22"/>
              </w:rPr>
              <w:lastRenderedPageBreak/>
              <w:t>Type of Respondent</w:t>
            </w:r>
          </w:p>
        </w:tc>
        <w:tc>
          <w:tcPr>
            <w:tcW w:w="1415" w:type="dxa"/>
            <w:tcBorders>
              <w:top w:val="single" w:color="auto" w:sz="4" w:space="0"/>
              <w:left w:val="nil"/>
              <w:bottom w:val="single" w:color="auto" w:sz="4" w:space="0"/>
              <w:right w:val="single" w:color="auto" w:sz="4" w:space="0"/>
            </w:tcBorders>
            <w:shd w:val="clear" w:color="auto" w:fill="auto"/>
            <w:noWrap/>
            <w:vAlign w:val="center"/>
          </w:tcPr>
          <w:p w:rsidRPr="00EA35CD" w:rsidR="00EA35CD" w:rsidRDefault="00EA35CD">
            <w:pPr>
              <w:jc w:val="center"/>
              <w:rPr>
                <w:b/>
                <w:bCs/>
                <w:color w:val="000000"/>
                <w:sz w:val="22"/>
                <w:szCs w:val="22"/>
              </w:rPr>
            </w:pPr>
            <w:r w:rsidRPr="00EA35CD">
              <w:rPr>
                <w:b/>
                <w:bCs/>
                <w:color w:val="000000"/>
                <w:sz w:val="22"/>
                <w:szCs w:val="22"/>
              </w:rPr>
              <w:t>Number of Respondents</w:t>
            </w:r>
          </w:p>
        </w:tc>
        <w:tc>
          <w:tcPr>
            <w:tcW w:w="1555" w:type="dxa"/>
            <w:tcBorders>
              <w:top w:val="single" w:color="auto" w:sz="4" w:space="0"/>
              <w:left w:val="nil"/>
              <w:bottom w:val="single" w:color="auto" w:sz="4" w:space="0"/>
              <w:right w:val="single" w:color="auto" w:sz="4" w:space="0"/>
            </w:tcBorders>
            <w:shd w:val="clear" w:color="auto" w:fill="auto"/>
            <w:vAlign w:val="center"/>
          </w:tcPr>
          <w:p w:rsidRPr="00EA35CD" w:rsidR="00EA35CD" w:rsidRDefault="00EA35CD">
            <w:pPr>
              <w:jc w:val="center"/>
              <w:rPr>
                <w:b/>
                <w:bCs/>
                <w:color w:val="000000"/>
                <w:sz w:val="22"/>
                <w:szCs w:val="22"/>
              </w:rPr>
            </w:pPr>
            <w:r w:rsidRPr="00EA35CD">
              <w:rPr>
                <w:b/>
                <w:bCs/>
                <w:color w:val="000000"/>
                <w:sz w:val="22"/>
                <w:szCs w:val="22"/>
              </w:rPr>
              <w:t>Responses per Respondent</w:t>
            </w:r>
          </w:p>
        </w:tc>
        <w:tc>
          <w:tcPr>
            <w:tcW w:w="1305" w:type="dxa"/>
            <w:tcBorders>
              <w:top w:val="single" w:color="auto" w:sz="4" w:space="0"/>
              <w:left w:val="nil"/>
              <w:bottom w:val="single" w:color="auto" w:sz="4" w:space="0"/>
              <w:right w:val="single" w:color="auto" w:sz="4" w:space="0"/>
            </w:tcBorders>
            <w:shd w:val="clear" w:color="auto" w:fill="auto"/>
            <w:vAlign w:val="center"/>
          </w:tcPr>
          <w:p w:rsidRPr="00EA35CD" w:rsidR="00EA35CD" w:rsidRDefault="00EA35CD">
            <w:pPr>
              <w:jc w:val="center"/>
              <w:rPr>
                <w:b/>
                <w:bCs/>
                <w:color w:val="000000"/>
                <w:sz w:val="22"/>
                <w:szCs w:val="22"/>
              </w:rPr>
            </w:pPr>
            <w:r w:rsidRPr="00EA35CD">
              <w:rPr>
                <w:b/>
                <w:bCs/>
                <w:color w:val="000000"/>
                <w:sz w:val="22"/>
                <w:szCs w:val="22"/>
              </w:rPr>
              <w:t xml:space="preserve">Average Burden per Response </w:t>
            </w:r>
            <w:r w:rsidRPr="00EA35CD">
              <w:rPr>
                <w:b/>
                <w:bCs/>
                <w:color w:val="000000"/>
                <w:sz w:val="22"/>
                <w:szCs w:val="22"/>
              </w:rPr>
              <w:br/>
              <w:t>(in hours)</w:t>
            </w:r>
          </w:p>
        </w:tc>
        <w:tc>
          <w:tcPr>
            <w:tcW w:w="1259" w:type="dxa"/>
            <w:tcBorders>
              <w:top w:val="single" w:color="auto" w:sz="4" w:space="0"/>
              <w:left w:val="nil"/>
              <w:bottom w:val="single" w:color="auto" w:sz="4" w:space="0"/>
              <w:right w:val="single" w:color="auto" w:sz="4" w:space="0"/>
            </w:tcBorders>
            <w:shd w:val="clear" w:color="auto" w:fill="auto"/>
            <w:vAlign w:val="center"/>
          </w:tcPr>
          <w:p w:rsidRPr="00EA35CD" w:rsidR="00EA35CD" w:rsidRDefault="00EA35CD">
            <w:pPr>
              <w:jc w:val="center"/>
              <w:rPr>
                <w:b/>
                <w:bCs/>
                <w:color w:val="000000"/>
                <w:sz w:val="22"/>
                <w:szCs w:val="22"/>
              </w:rPr>
            </w:pPr>
            <w:r w:rsidRPr="00EA35CD">
              <w:rPr>
                <w:b/>
                <w:bCs/>
                <w:color w:val="000000"/>
                <w:sz w:val="22"/>
                <w:szCs w:val="22"/>
              </w:rPr>
              <w:t xml:space="preserve">Total Annual Burden </w:t>
            </w:r>
            <w:r w:rsidRPr="00EA35CD">
              <w:rPr>
                <w:b/>
                <w:bCs/>
                <w:color w:val="000000"/>
                <w:sz w:val="22"/>
                <w:szCs w:val="22"/>
              </w:rPr>
              <w:br/>
              <w:t>(in hours)</w:t>
            </w:r>
          </w:p>
        </w:tc>
        <w:tc>
          <w:tcPr>
            <w:tcW w:w="1440" w:type="dxa"/>
            <w:tcBorders>
              <w:top w:val="single" w:color="auto" w:sz="4" w:space="0"/>
              <w:left w:val="nil"/>
              <w:bottom w:val="single" w:color="auto" w:sz="4" w:space="0"/>
              <w:right w:val="single" w:color="auto" w:sz="4" w:space="0"/>
            </w:tcBorders>
            <w:shd w:val="clear" w:color="auto" w:fill="auto"/>
            <w:noWrap/>
            <w:vAlign w:val="center"/>
          </w:tcPr>
          <w:p w:rsidRPr="00EA35CD" w:rsidR="00EA35CD" w:rsidRDefault="00EA35CD">
            <w:pPr>
              <w:jc w:val="center"/>
              <w:rPr>
                <w:b/>
                <w:bCs/>
                <w:color w:val="000000"/>
                <w:sz w:val="22"/>
                <w:szCs w:val="22"/>
              </w:rPr>
            </w:pPr>
            <w:r w:rsidRPr="00EA35CD">
              <w:rPr>
                <w:b/>
                <w:bCs/>
                <w:color w:val="000000"/>
                <w:sz w:val="22"/>
                <w:szCs w:val="22"/>
              </w:rPr>
              <w:t>Average Hourly Wage Rate</w:t>
            </w:r>
          </w:p>
        </w:tc>
        <w:tc>
          <w:tcPr>
            <w:tcW w:w="1756" w:type="dxa"/>
            <w:tcBorders>
              <w:top w:val="single" w:color="auto" w:sz="4" w:space="0"/>
              <w:left w:val="nil"/>
              <w:bottom w:val="single" w:color="auto" w:sz="4" w:space="0"/>
              <w:right w:val="single" w:color="auto" w:sz="4" w:space="0"/>
            </w:tcBorders>
            <w:shd w:val="clear" w:color="auto" w:fill="auto"/>
            <w:noWrap/>
            <w:vAlign w:val="center"/>
          </w:tcPr>
          <w:p w:rsidRPr="00EA35CD" w:rsidR="00EA35CD" w:rsidRDefault="00EA35CD">
            <w:pPr>
              <w:jc w:val="center"/>
              <w:rPr>
                <w:b/>
                <w:bCs/>
                <w:color w:val="000000"/>
                <w:sz w:val="22"/>
                <w:szCs w:val="22"/>
              </w:rPr>
            </w:pPr>
            <w:r w:rsidRPr="00EA35CD">
              <w:rPr>
                <w:b/>
                <w:bCs/>
                <w:color w:val="000000"/>
                <w:sz w:val="22"/>
                <w:szCs w:val="22"/>
              </w:rPr>
              <w:t>Total Cost</w:t>
            </w:r>
          </w:p>
        </w:tc>
      </w:tr>
      <w:tr w:rsidR="00FF2A49" w:rsidTr="009E73B1">
        <w:trPr>
          <w:trHeight w:val="1140"/>
        </w:trPr>
        <w:tc>
          <w:tcPr>
            <w:tcW w:w="222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SLTT</w:t>
            </w:r>
          </w:p>
        </w:tc>
        <w:tc>
          <w:tcPr>
            <w:tcW w:w="1415" w:type="dxa"/>
            <w:tcBorders>
              <w:top w:val="single" w:color="auto" w:sz="4" w:space="0"/>
              <w:left w:val="nil"/>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60</w:t>
            </w:r>
          </w:p>
        </w:tc>
        <w:tc>
          <w:tcPr>
            <w:tcW w:w="1555" w:type="dxa"/>
            <w:tcBorders>
              <w:top w:val="single" w:color="auto" w:sz="4" w:space="0"/>
              <w:left w:val="nil"/>
              <w:bottom w:val="single" w:color="auto" w:sz="4" w:space="0"/>
              <w:right w:val="single" w:color="auto" w:sz="4" w:space="0"/>
            </w:tcBorders>
            <w:shd w:val="clear" w:color="auto" w:fill="auto"/>
            <w:vAlign w:val="center"/>
          </w:tcPr>
          <w:p w:rsidRPr="00FF2A49" w:rsidR="00FF2A49" w:rsidP="00FF2A49" w:rsidRDefault="00FF2A49">
            <w:pPr>
              <w:jc w:val="center"/>
              <w:rPr>
                <w:bCs/>
                <w:color w:val="000000"/>
                <w:sz w:val="22"/>
                <w:szCs w:val="22"/>
              </w:rPr>
            </w:pPr>
            <w:r w:rsidRPr="00FF2A49">
              <w:rPr>
                <w:bCs/>
                <w:color w:val="000000"/>
                <w:sz w:val="22"/>
                <w:szCs w:val="22"/>
              </w:rPr>
              <w:t>1</w:t>
            </w:r>
          </w:p>
        </w:tc>
        <w:tc>
          <w:tcPr>
            <w:tcW w:w="1305" w:type="dxa"/>
            <w:tcBorders>
              <w:top w:val="single" w:color="auto" w:sz="4" w:space="0"/>
              <w:left w:val="nil"/>
              <w:bottom w:val="single" w:color="auto" w:sz="4" w:space="0"/>
              <w:right w:val="single" w:color="auto" w:sz="4" w:space="0"/>
            </w:tcBorders>
            <w:shd w:val="clear" w:color="auto" w:fill="auto"/>
            <w:vAlign w:val="center"/>
          </w:tcPr>
          <w:p w:rsidRPr="00FF2A49" w:rsidR="00FF2A49" w:rsidP="00FF2A49" w:rsidRDefault="00FF2A49">
            <w:pPr>
              <w:jc w:val="center"/>
              <w:rPr>
                <w:bCs/>
                <w:color w:val="000000"/>
                <w:sz w:val="22"/>
                <w:szCs w:val="22"/>
              </w:rPr>
            </w:pPr>
            <w:r w:rsidRPr="00FF2A49">
              <w:rPr>
                <w:color w:val="000000"/>
                <w:sz w:val="22"/>
                <w:szCs w:val="22"/>
              </w:rPr>
              <w:t>0.67</w:t>
            </w:r>
          </w:p>
        </w:tc>
        <w:tc>
          <w:tcPr>
            <w:tcW w:w="1259" w:type="dxa"/>
            <w:tcBorders>
              <w:top w:val="single" w:color="auto" w:sz="4" w:space="0"/>
              <w:left w:val="nil"/>
              <w:bottom w:val="single" w:color="auto" w:sz="4" w:space="0"/>
              <w:right w:val="single" w:color="auto" w:sz="4" w:space="0"/>
            </w:tcBorders>
            <w:shd w:val="clear" w:color="auto" w:fill="auto"/>
            <w:vAlign w:val="center"/>
          </w:tcPr>
          <w:p w:rsidRPr="00FF2A49" w:rsidR="00FF2A49" w:rsidP="00FF2A49" w:rsidRDefault="00FF2A49">
            <w:pPr>
              <w:jc w:val="center"/>
              <w:rPr>
                <w:bCs/>
                <w:color w:val="000000"/>
                <w:sz w:val="22"/>
                <w:szCs w:val="22"/>
              </w:rPr>
            </w:pPr>
            <w:r w:rsidRPr="00FF2A49">
              <w:rPr>
                <w:bCs/>
                <w:color w:val="000000"/>
                <w:sz w:val="22"/>
                <w:szCs w:val="22"/>
              </w:rPr>
              <w:t>40</w:t>
            </w:r>
          </w:p>
        </w:tc>
        <w:tc>
          <w:tcPr>
            <w:tcW w:w="1440" w:type="dxa"/>
            <w:tcBorders>
              <w:top w:val="single" w:color="auto" w:sz="4" w:space="0"/>
              <w:left w:val="nil"/>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 xml:space="preserve">$40.88 </w:t>
            </w:r>
          </w:p>
        </w:tc>
        <w:tc>
          <w:tcPr>
            <w:tcW w:w="1756" w:type="dxa"/>
            <w:tcBorders>
              <w:top w:val="single" w:color="auto" w:sz="4" w:space="0"/>
              <w:left w:val="nil"/>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 xml:space="preserve">$1,635.09 </w:t>
            </w:r>
          </w:p>
        </w:tc>
      </w:tr>
      <w:tr w:rsidR="00FF2A49" w:rsidTr="009E73B1">
        <w:trPr>
          <w:trHeight w:val="1140"/>
        </w:trPr>
        <w:tc>
          <w:tcPr>
            <w:tcW w:w="222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Private Sector</w:t>
            </w:r>
          </w:p>
        </w:tc>
        <w:tc>
          <w:tcPr>
            <w:tcW w:w="1415" w:type="dxa"/>
            <w:tcBorders>
              <w:top w:val="single" w:color="auto" w:sz="4" w:space="0"/>
              <w:left w:val="nil"/>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106</w:t>
            </w:r>
          </w:p>
        </w:tc>
        <w:tc>
          <w:tcPr>
            <w:tcW w:w="1555" w:type="dxa"/>
            <w:tcBorders>
              <w:top w:val="single" w:color="auto" w:sz="4" w:space="0"/>
              <w:left w:val="nil"/>
              <w:bottom w:val="single" w:color="auto" w:sz="4" w:space="0"/>
              <w:right w:val="single" w:color="auto" w:sz="4" w:space="0"/>
            </w:tcBorders>
            <w:shd w:val="clear" w:color="auto" w:fill="auto"/>
            <w:vAlign w:val="center"/>
          </w:tcPr>
          <w:p w:rsidRPr="00FF2A49" w:rsidR="00FF2A49" w:rsidP="00FF2A49" w:rsidRDefault="00FF2A49">
            <w:pPr>
              <w:jc w:val="center"/>
              <w:rPr>
                <w:bCs/>
                <w:color w:val="000000"/>
                <w:sz w:val="22"/>
                <w:szCs w:val="22"/>
              </w:rPr>
            </w:pPr>
            <w:r w:rsidRPr="00FF2A49">
              <w:rPr>
                <w:bCs/>
                <w:color w:val="000000"/>
                <w:sz w:val="22"/>
                <w:szCs w:val="22"/>
              </w:rPr>
              <w:t>1</w:t>
            </w:r>
          </w:p>
        </w:tc>
        <w:tc>
          <w:tcPr>
            <w:tcW w:w="1305" w:type="dxa"/>
            <w:tcBorders>
              <w:top w:val="single" w:color="auto" w:sz="4" w:space="0"/>
              <w:left w:val="nil"/>
              <w:bottom w:val="single" w:color="auto" w:sz="4" w:space="0"/>
              <w:right w:val="single" w:color="auto" w:sz="4" w:space="0"/>
            </w:tcBorders>
            <w:shd w:val="clear" w:color="auto" w:fill="auto"/>
            <w:vAlign w:val="center"/>
          </w:tcPr>
          <w:p w:rsidRPr="00FF2A49" w:rsidR="00FF2A49" w:rsidP="00FF2A49" w:rsidRDefault="00FF2A49">
            <w:pPr>
              <w:jc w:val="center"/>
              <w:rPr>
                <w:bCs/>
                <w:color w:val="000000"/>
                <w:sz w:val="22"/>
                <w:szCs w:val="22"/>
              </w:rPr>
            </w:pPr>
            <w:r w:rsidRPr="00FF2A49">
              <w:rPr>
                <w:color w:val="000000"/>
                <w:sz w:val="22"/>
                <w:szCs w:val="22"/>
              </w:rPr>
              <w:t>0.67</w:t>
            </w:r>
          </w:p>
        </w:tc>
        <w:tc>
          <w:tcPr>
            <w:tcW w:w="1259" w:type="dxa"/>
            <w:tcBorders>
              <w:top w:val="single" w:color="auto" w:sz="4" w:space="0"/>
              <w:left w:val="nil"/>
              <w:bottom w:val="single" w:color="auto" w:sz="4" w:space="0"/>
              <w:right w:val="single" w:color="auto" w:sz="4" w:space="0"/>
            </w:tcBorders>
            <w:shd w:val="clear" w:color="auto" w:fill="auto"/>
            <w:vAlign w:val="center"/>
          </w:tcPr>
          <w:p w:rsidRPr="00FF2A49" w:rsidR="00FF2A49" w:rsidP="00FF2A49" w:rsidRDefault="00FF2A49">
            <w:pPr>
              <w:jc w:val="center"/>
              <w:rPr>
                <w:bCs/>
                <w:color w:val="000000"/>
                <w:sz w:val="22"/>
                <w:szCs w:val="22"/>
              </w:rPr>
            </w:pPr>
            <w:r w:rsidRPr="00FF2A49">
              <w:rPr>
                <w:bCs/>
                <w:color w:val="000000"/>
                <w:sz w:val="22"/>
                <w:szCs w:val="22"/>
              </w:rPr>
              <w:t>71</w:t>
            </w:r>
          </w:p>
        </w:tc>
        <w:tc>
          <w:tcPr>
            <w:tcW w:w="1440" w:type="dxa"/>
            <w:tcBorders>
              <w:top w:val="single" w:color="auto" w:sz="4" w:space="0"/>
              <w:left w:val="nil"/>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 xml:space="preserve">$35.92 </w:t>
            </w:r>
          </w:p>
        </w:tc>
        <w:tc>
          <w:tcPr>
            <w:tcW w:w="1756" w:type="dxa"/>
            <w:tcBorders>
              <w:top w:val="single" w:color="auto" w:sz="4" w:space="0"/>
              <w:left w:val="nil"/>
              <w:bottom w:val="single" w:color="auto" w:sz="4" w:space="0"/>
              <w:right w:val="single" w:color="auto" w:sz="4" w:space="0"/>
            </w:tcBorders>
            <w:shd w:val="clear" w:color="auto" w:fill="auto"/>
            <w:noWrap/>
            <w:vAlign w:val="center"/>
          </w:tcPr>
          <w:p w:rsidRPr="00FF2A49" w:rsidR="00FF2A49" w:rsidP="00FF2A49" w:rsidRDefault="00FF2A49">
            <w:pPr>
              <w:jc w:val="center"/>
              <w:rPr>
                <w:bCs/>
                <w:color w:val="000000"/>
                <w:sz w:val="22"/>
                <w:szCs w:val="22"/>
              </w:rPr>
            </w:pPr>
            <w:r w:rsidRPr="00FF2A49">
              <w:rPr>
                <w:bCs/>
                <w:color w:val="000000"/>
                <w:sz w:val="22"/>
                <w:szCs w:val="22"/>
              </w:rPr>
              <w:t xml:space="preserve">$2,538.15 </w:t>
            </w:r>
          </w:p>
        </w:tc>
      </w:tr>
      <w:tr w:rsidRPr="000D65B8" w:rsidR="00EA35CD" w:rsidTr="009E73B1">
        <w:trPr>
          <w:trHeight w:val="1140"/>
        </w:trPr>
        <w:tc>
          <w:tcPr>
            <w:tcW w:w="222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F2A49" w:rsidR="00EA35CD" w:rsidP="00FF2A49" w:rsidRDefault="00EA35CD">
            <w:pPr>
              <w:jc w:val="center"/>
              <w:rPr>
                <w:b/>
                <w:bCs/>
                <w:color w:val="000000"/>
                <w:sz w:val="22"/>
                <w:szCs w:val="22"/>
              </w:rPr>
            </w:pPr>
            <w:r w:rsidRPr="00FF2A49">
              <w:rPr>
                <w:b/>
                <w:bCs/>
                <w:color w:val="000000"/>
                <w:sz w:val="22"/>
                <w:szCs w:val="22"/>
              </w:rPr>
              <w:t>Total</w:t>
            </w:r>
          </w:p>
        </w:tc>
        <w:tc>
          <w:tcPr>
            <w:tcW w:w="1415" w:type="dxa"/>
            <w:tcBorders>
              <w:top w:val="single" w:color="auto" w:sz="4" w:space="0"/>
              <w:left w:val="nil"/>
              <w:bottom w:val="single" w:color="auto" w:sz="4" w:space="0"/>
              <w:right w:val="single" w:color="auto" w:sz="4" w:space="0"/>
            </w:tcBorders>
            <w:shd w:val="clear" w:color="auto" w:fill="auto"/>
            <w:noWrap/>
            <w:vAlign w:val="center"/>
          </w:tcPr>
          <w:p w:rsidRPr="00FF2A49" w:rsidR="00EA35CD" w:rsidP="00FF2A49" w:rsidRDefault="00EA35CD">
            <w:pPr>
              <w:jc w:val="center"/>
              <w:rPr>
                <w:b/>
                <w:bCs/>
                <w:color w:val="000000"/>
                <w:sz w:val="22"/>
                <w:szCs w:val="22"/>
              </w:rPr>
            </w:pPr>
            <w:r w:rsidRPr="00FF2A49">
              <w:rPr>
                <w:b/>
                <w:bCs/>
                <w:color w:val="000000"/>
                <w:sz w:val="22"/>
                <w:szCs w:val="22"/>
              </w:rPr>
              <w:t>166</w:t>
            </w:r>
          </w:p>
        </w:tc>
        <w:tc>
          <w:tcPr>
            <w:tcW w:w="1555" w:type="dxa"/>
            <w:tcBorders>
              <w:top w:val="single" w:color="auto" w:sz="4" w:space="0"/>
              <w:left w:val="nil"/>
              <w:bottom w:val="single" w:color="auto" w:sz="4" w:space="0"/>
              <w:right w:val="single" w:color="auto" w:sz="4" w:space="0"/>
            </w:tcBorders>
            <w:shd w:val="clear" w:color="auto" w:fill="auto"/>
            <w:vAlign w:val="center"/>
          </w:tcPr>
          <w:p w:rsidRPr="00FF2A49" w:rsidR="00EA35CD" w:rsidP="00FF2A49" w:rsidRDefault="00EA35CD">
            <w:pPr>
              <w:jc w:val="center"/>
              <w:rPr>
                <w:b/>
                <w:bCs/>
                <w:color w:val="000000"/>
                <w:sz w:val="22"/>
                <w:szCs w:val="22"/>
              </w:rPr>
            </w:pPr>
          </w:p>
        </w:tc>
        <w:tc>
          <w:tcPr>
            <w:tcW w:w="1305" w:type="dxa"/>
            <w:tcBorders>
              <w:top w:val="single" w:color="auto" w:sz="4" w:space="0"/>
              <w:left w:val="nil"/>
              <w:bottom w:val="single" w:color="auto" w:sz="4" w:space="0"/>
              <w:right w:val="single" w:color="auto" w:sz="4" w:space="0"/>
            </w:tcBorders>
            <w:shd w:val="clear" w:color="auto" w:fill="auto"/>
            <w:vAlign w:val="center"/>
          </w:tcPr>
          <w:p w:rsidRPr="00FF2A49" w:rsidR="00EA35CD" w:rsidP="00FF2A49" w:rsidRDefault="00EA35CD">
            <w:pPr>
              <w:jc w:val="center"/>
              <w:rPr>
                <w:b/>
                <w:bCs/>
                <w:color w:val="000000"/>
                <w:sz w:val="22"/>
                <w:szCs w:val="22"/>
              </w:rPr>
            </w:pPr>
          </w:p>
        </w:tc>
        <w:tc>
          <w:tcPr>
            <w:tcW w:w="1259" w:type="dxa"/>
            <w:tcBorders>
              <w:top w:val="single" w:color="auto" w:sz="4" w:space="0"/>
              <w:left w:val="nil"/>
              <w:bottom w:val="single" w:color="auto" w:sz="4" w:space="0"/>
              <w:right w:val="single" w:color="auto" w:sz="4" w:space="0"/>
            </w:tcBorders>
            <w:shd w:val="clear" w:color="auto" w:fill="auto"/>
            <w:vAlign w:val="center"/>
          </w:tcPr>
          <w:p w:rsidRPr="00FF2A49" w:rsidR="00EA35CD" w:rsidP="00FF2A49" w:rsidRDefault="00EA35CD">
            <w:pPr>
              <w:jc w:val="center"/>
              <w:rPr>
                <w:b/>
                <w:bCs/>
                <w:color w:val="000000"/>
                <w:sz w:val="22"/>
                <w:szCs w:val="22"/>
              </w:rPr>
            </w:pPr>
            <w:r w:rsidRPr="00FF2A49">
              <w:rPr>
                <w:b/>
                <w:bCs/>
                <w:color w:val="000000"/>
                <w:sz w:val="22"/>
                <w:szCs w:val="22"/>
              </w:rPr>
              <w:t>111</w:t>
            </w:r>
          </w:p>
        </w:tc>
        <w:tc>
          <w:tcPr>
            <w:tcW w:w="1440" w:type="dxa"/>
            <w:tcBorders>
              <w:top w:val="single" w:color="auto" w:sz="4" w:space="0"/>
              <w:left w:val="nil"/>
              <w:bottom w:val="single" w:color="auto" w:sz="4" w:space="0"/>
              <w:right w:val="single" w:color="auto" w:sz="4" w:space="0"/>
            </w:tcBorders>
            <w:shd w:val="clear" w:color="auto" w:fill="auto"/>
            <w:noWrap/>
            <w:vAlign w:val="center"/>
          </w:tcPr>
          <w:p w:rsidRPr="00FF2A49" w:rsidR="00EA35CD" w:rsidP="00FF2A49" w:rsidRDefault="00EA35CD">
            <w:pPr>
              <w:jc w:val="center"/>
              <w:rPr>
                <w:b/>
                <w:bCs/>
                <w:color w:val="000000"/>
                <w:sz w:val="22"/>
                <w:szCs w:val="22"/>
              </w:rPr>
            </w:pPr>
          </w:p>
        </w:tc>
        <w:tc>
          <w:tcPr>
            <w:tcW w:w="1756" w:type="dxa"/>
            <w:tcBorders>
              <w:top w:val="single" w:color="auto" w:sz="4" w:space="0"/>
              <w:left w:val="nil"/>
              <w:bottom w:val="single" w:color="auto" w:sz="4" w:space="0"/>
              <w:right w:val="single" w:color="auto" w:sz="4" w:space="0"/>
            </w:tcBorders>
            <w:shd w:val="clear" w:color="auto" w:fill="auto"/>
            <w:noWrap/>
            <w:vAlign w:val="center"/>
          </w:tcPr>
          <w:p w:rsidRPr="000D65B8" w:rsidR="00FF2A49" w:rsidP="00FF2A49" w:rsidRDefault="00FF2A49">
            <w:pPr>
              <w:jc w:val="center"/>
              <w:rPr>
                <w:b/>
                <w:color w:val="000000"/>
                <w:sz w:val="22"/>
                <w:szCs w:val="22"/>
              </w:rPr>
            </w:pPr>
            <w:r w:rsidRPr="000D65B8">
              <w:rPr>
                <w:b/>
                <w:color w:val="000000"/>
                <w:sz w:val="22"/>
                <w:szCs w:val="22"/>
              </w:rPr>
              <w:t>$4,173.24</w:t>
            </w:r>
          </w:p>
          <w:p w:rsidRPr="00FF2A49" w:rsidR="00EA35CD" w:rsidP="00FF2A49" w:rsidRDefault="00EA35CD">
            <w:pPr>
              <w:jc w:val="center"/>
              <w:rPr>
                <w:b/>
                <w:bCs/>
                <w:color w:val="000000"/>
                <w:sz w:val="22"/>
                <w:szCs w:val="22"/>
              </w:rPr>
            </w:pPr>
          </w:p>
        </w:tc>
      </w:tr>
    </w:tbl>
    <w:p w:rsidR="003B68FA" w:rsidP="000C4293" w:rsidRDefault="003B68FA">
      <w:pPr>
        <w:tabs>
          <w:tab w:val="left" w:pos="-720"/>
        </w:tabs>
        <w:suppressAutoHyphens/>
        <w:jc w:val="both"/>
      </w:pPr>
    </w:p>
    <w:p w:rsidRPr="00596A43" w:rsidR="002D4AD9" w:rsidP="000C4293" w:rsidRDefault="002D4AD9">
      <w:pPr>
        <w:tabs>
          <w:tab w:val="left" w:pos="-720"/>
        </w:tabs>
        <w:suppressAutoHyphens/>
        <w:jc w:val="both"/>
      </w:pPr>
    </w:p>
    <w:p w:rsidR="00FE5661"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13.   Provide an estimate of the total annual cost burden to respondents or record</w:t>
      </w:r>
      <w:r w:rsidR="00D93841">
        <w:t xml:space="preserve"> </w:t>
      </w:r>
      <w:r w:rsidRPr="00596A43">
        <w:t>keepers resulting from the collection of information.  (Do not include the cost of any hour burden shown in Items 12 and 14.)</w:t>
      </w:r>
    </w:p>
    <w:p w:rsidR="00FE5661" w:rsidP="00FE5661" w:rsidRDefault="00FE5661">
      <w:pPr>
        <w:tabs>
          <w:tab w:val="left" w:pos="-720"/>
        </w:tabs>
        <w:suppressAutoHyphens/>
        <w:contextualSpacing/>
      </w:pPr>
    </w:p>
    <w:p w:rsidRPr="00AB5A92" w:rsidR="002D4AD9" w:rsidP="002D4AD9" w:rsidRDefault="009960C6">
      <w:pPr>
        <w:tabs>
          <w:tab w:val="left" w:pos="-720"/>
        </w:tabs>
        <w:suppressAutoHyphens/>
        <w:contextualSpacing/>
      </w:pPr>
      <w:r>
        <w:t xml:space="preserve">There are no recordkeeping, capital, start-up, or </w:t>
      </w:r>
      <w:r w:rsidR="00CE29BF">
        <w:t>maintenance</w:t>
      </w:r>
      <w:r>
        <w:t xml:space="preserve"> costs associated with this information collection. </w:t>
      </w:r>
    </w:p>
    <w:p w:rsidR="00FE5661" w:rsidP="00FE5661" w:rsidRDefault="00FE5661">
      <w:pPr>
        <w:tabs>
          <w:tab w:val="left" w:pos="-720"/>
        </w:tabs>
        <w:suppressAutoHyphens/>
        <w:contextualSpacing/>
      </w:pPr>
    </w:p>
    <w:p w:rsidRPr="00596A43" w:rsidR="00333D1E" w:rsidP="000C4293" w:rsidRDefault="00333D1E">
      <w:pPr>
        <w:shd w:val="clear" w:color="auto" w:fill="FFFFFF"/>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     14.  Provide estimates of annualized cost to the Federal Government.  </w:t>
      </w:r>
      <w:r w:rsidRPr="00596A43" w:rsidR="008924F0">
        <w:t xml:space="preserve">Also, provide a description of the method used to estimate cost, which should include quantification of hours, operational expenses (such as equipment, overhead, printing and support staff), and any other expense that would have been incurred without this collection of information.   </w:t>
      </w:r>
      <w:r w:rsidRPr="00596A43">
        <w:t xml:space="preserve">You may also aggregate cost estimates for Items 12, 13, and 14 in a single table.  </w:t>
      </w:r>
    </w:p>
    <w:p w:rsidRPr="00596A43" w:rsidR="00EB5E96" w:rsidP="000C4293" w:rsidRDefault="00EB5E96">
      <w:pPr>
        <w:suppressAutoHyphens/>
        <w:jc w:val="both"/>
      </w:pPr>
      <w:r w:rsidRPr="00596A43">
        <w:fldChar w:fldCharType="begin"/>
      </w:r>
      <w:r w:rsidRPr="00596A43">
        <w:instrText>ADVANCE \R 0.95</w:instrText>
      </w:r>
      <w:r w:rsidRPr="00596A43">
        <w:fldChar w:fldCharType="end"/>
      </w:r>
    </w:p>
    <w:p w:rsidR="004E2976" w:rsidP="004E2976" w:rsidRDefault="004E2976">
      <w:r w:rsidRPr="000D65B8">
        <w:t xml:space="preserve">CISA estimates the burden on the government of this collection by estimating the time required for CISA personnel to review the </w:t>
      </w:r>
      <w:r w:rsidRPr="000D65B8" w:rsidR="009A78E0">
        <w:t>submissions</w:t>
      </w:r>
      <w:r w:rsidRPr="000D65B8">
        <w:t xml:space="preserve">. All </w:t>
      </w:r>
      <w:r w:rsidRPr="000D65B8" w:rsidR="002A636B">
        <w:t>reports</w:t>
      </w:r>
      <w:r w:rsidRPr="000D65B8">
        <w:t xml:space="preserve"> will be reviewed by a GS-14</w:t>
      </w:r>
      <w:r w:rsidRPr="000D65B8" w:rsidR="009A78E0">
        <w:t xml:space="preserve">. </w:t>
      </w:r>
      <w:r w:rsidRPr="000D65B8">
        <w:t xml:space="preserve">The burden of the GS labor is estimated by multiplying the fully loaded hourly compensation rate of the employee by the number of hours to review. </w:t>
      </w:r>
      <w:r w:rsidRPr="000D65B8" w:rsidR="009A78E0">
        <w:t>CISA</w:t>
      </w:r>
      <w:r w:rsidRPr="000D65B8">
        <w:t xml:space="preserve"> estimate</w:t>
      </w:r>
      <w:r w:rsidRPr="000D65B8" w:rsidR="009A78E0">
        <w:t>s</w:t>
      </w:r>
      <w:r w:rsidRPr="000D65B8">
        <w:t xml:space="preserve"> it will take </w:t>
      </w:r>
      <w:r w:rsidRPr="000D65B8" w:rsidR="009A78E0">
        <w:t>1</w:t>
      </w:r>
      <w:r w:rsidRPr="000D65B8">
        <w:t>5 minutes for each review. The hourly rate for a GS-14, Step 3 is $</w:t>
      </w:r>
      <w:r w:rsidRPr="000D65B8" w:rsidR="009A78E0">
        <w:t>66.10</w:t>
      </w:r>
      <w:r w:rsidRPr="000D65B8">
        <w:rPr>
          <w:rStyle w:val="FootnoteReference"/>
        </w:rPr>
        <w:footnoteReference w:id="4"/>
      </w:r>
      <w:r w:rsidRPr="000D65B8">
        <w:t>, which is multiplied by the load factor of 1.</w:t>
      </w:r>
      <w:r w:rsidRPr="000D65B8" w:rsidR="009A78E0">
        <w:t xml:space="preserve">425 </w:t>
      </w:r>
      <w:r w:rsidRPr="000D65B8">
        <w:t>for a loaded compensation rate of $</w:t>
      </w:r>
      <w:r w:rsidRPr="000D65B8" w:rsidR="009A78E0">
        <w:t>94.21</w:t>
      </w:r>
      <w:r w:rsidRPr="000D65B8">
        <w:t>. As shown in Table 3 the estimated cost to the Federal Government is $</w:t>
      </w:r>
      <w:r w:rsidRPr="000D65B8" w:rsidR="009A78E0">
        <w:t>3,909.86</w:t>
      </w:r>
      <w:r w:rsidRPr="000D65B8">
        <w:t>.</w:t>
      </w:r>
    </w:p>
    <w:p w:rsidR="00927160" w:rsidP="004E2976" w:rsidRDefault="00927160"/>
    <w:p w:rsidR="00927160" w:rsidP="004E2976" w:rsidRDefault="00927160">
      <w:r>
        <w:t>Table 3: Government Burden</w:t>
      </w:r>
    </w:p>
    <w:p w:rsidR="004E2976" w:rsidP="004E2976" w:rsidRDefault="004E2976"/>
    <w:tbl>
      <w:tblPr>
        <w:tblW w:w="8581" w:type="dxa"/>
        <w:tblInd w:w="77" w:type="dxa"/>
        <w:tblLayout w:type="fixed"/>
        <w:tblLook w:val="04A0" w:firstRow="1" w:lastRow="0" w:firstColumn="1" w:lastColumn="0" w:noHBand="0" w:noVBand="1"/>
      </w:tblPr>
      <w:tblGrid>
        <w:gridCol w:w="1005"/>
        <w:gridCol w:w="1306"/>
        <w:gridCol w:w="1500"/>
        <w:gridCol w:w="1350"/>
        <w:gridCol w:w="1080"/>
        <w:gridCol w:w="1170"/>
        <w:gridCol w:w="1170"/>
      </w:tblGrid>
      <w:tr w:rsidR="00927160" w:rsidTr="000D65B8">
        <w:trPr>
          <w:trHeight w:val="1275"/>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9A78E0" w:rsidRDefault="009A78E0">
            <w:pPr>
              <w:jc w:val="center"/>
              <w:rPr>
                <w:b/>
                <w:bCs/>
                <w:color w:val="000000"/>
                <w:sz w:val="20"/>
                <w:szCs w:val="20"/>
              </w:rPr>
            </w:pPr>
            <w:r>
              <w:rPr>
                <w:b/>
                <w:bCs/>
                <w:color w:val="000000"/>
                <w:sz w:val="20"/>
                <w:szCs w:val="20"/>
              </w:rPr>
              <w:lastRenderedPageBreak/>
              <w:t>Cost Category</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009A78E0" w:rsidRDefault="009A78E0">
            <w:pPr>
              <w:jc w:val="center"/>
              <w:rPr>
                <w:b/>
                <w:bCs/>
                <w:color w:val="000000"/>
                <w:sz w:val="20"/>
                <w:szCs w:val="20"/>
              </w:rPr>
            </w:pPr>
            <w:r>
              <w:rPr>
                <w:b/>
                <w:bCs/>
                <w:color w:val="000000"/>
                <w:sz w:val="20"/>
                <w:szCs w:val="20"/>
              </w:rPr>
              <w:t>Number of Respondents</w:t>
            </w:r>
          </w:p>
        </w:tc>
        <w:tc>
          <w:tcPr>
            <w:tcW w:w="1500" w:type="dxa"/>
            <w:tcBorders>
              <w:top w:val="single" w:color="auto" w:sz="4" w:space="0"/>
              <w:left w:val="nil"/>
              <w:bottom w:val="single" w:color="auto" w:sz="4" w:space="0"/>
              <w:right w:val="single" w:color="auto" w:sz="4" w:space="0"/>
            </w:tcBorders>
            <w:shd w:val="clear" w:color="auto" w:fill="auto"/>
            <w:vAlign w:val="center"/>
            <w:hideMark/>
          </w:tcPr>
          <w:p w:rsidR="009A78E0" w:rsidRDefault="009A78E0">
            <w:pPr>
              <w:jc w:val="center"/>
              <w:rPr>
                <w:b/>
                <w:bCs/>
                <w:color w:val="000000"/>
                <w:sz w:val="20"/>
                <w:szCs w:val="20"/>
              </w:rPr>
            </w:pPr>
            <w:r>
              <w:rPr>
                <w:b/>
                <w:bCs/>
                <w:color w:val="000000"/>
                <w:sz w:val="20"/>
                <w:szCs w:val="20"/>
              </w:rPr>
              <w:t>Responses per Respondent</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009A78E0" w:rsidRDefault="009A78E0">
            <w:pPr>
              <w:jc w:val="center"/>
              <w:rPr>
                <w:b/>
                <w:bCs/>
                <w:color w:val="000000"/>
                <w:sz w:val="20"/>
                <w:szCs w:val="20"/>
              </w:rPr>
            </w:pPr>
            <w:r>
              <w:rPr>
                <w:b/>
                <w:bCs/>
                <w:color w:val="000000"/>
                <w:sz w:val="20"/>
                <w:szCs w:val="20"/>
              </w:rPr>
              <w:t xml:space="preserve">Average Burden per Response </w:t>
            </w:r>
            <w:r>
              <w:rPr>
                <w:b/>
                <w:bCs/>
                <w:color w:val="000000"/>
                <w:sz w:val="20"/>
                <w:szCs w:val="20"/>
              </w:rPr>
              <w:br/>
              <w:t>(in hours)</w:t>
            </w:r>
          </w:p>
        </w:tc>
        <w:tc>
          <w:tcPr>
            <w:tcW w:w="1080" w:type="dxa"/>
            <w:tcBorders>
              <w:top w:val="single" w:color="auto" w:sz="4" w:space="0"/>
              <w:left w:val="nil"/>
              <w:bottom w:val="single" w:color="auto" w:sz="4" w:space="0"/>
              <w:right w:val="single" w:color="auto" w:sz="4" w:space="0"/>
            </w:tcBorders>
            <w:shd w:val="clear" w:color="auto" w:fill="auto"/>
            <w:vAlign w:val="center"/>
            <w:hideMark/>
          </w:tcPr>
          <w:p w:rsidR="00927160" w:rsidP="00927160" w:rsidRDefault="009A78E0">
            <w:pPr>
              <w:jc w:val="center"/>
              <w:rPr>
                <w:b/>
                <w:bCs/>
                <w:color w:val="000000"/>
                <w:sz w:val="20"/>
                <w:szCs w:val="20"/>
              </w:rPr>
            </w:pPr>
            <w:r>
              <w:rPr>
                <w:b/>
                <w:bCs/>
                <w:color w:val="000000"/>
                <w:sz w:val="20"/>
                <w:szCs w:val="20"/>
              </w:rPr>
              <w:t>Total Annual Burden</w:t>
            </w:r>
          </w:p>
          <w:p w:rsidR="009A78E0" w:rsidP="00927160" w:rsidRDefault="009A78E0">
            <w:pPr>
              <w:jc w:val="center"/>
              <w:rPr>
                <w:b/>
                <w:bCs/>
                <w:color w:val="000000"/>
                <w:sz w:val="20"/>
                <w:szCs w:val="20"/>
              </w:rPr>
            </w:pPr>
            <w:r>
              <w:rPr>
                <w:b/>
                <w:bCs/>
                <w:color w:val="000000"/>
                <w:sz w:val="20"/>
                <w:szCs w:val="20"/>
              </w:rPr>
              <w:t>(in hours)</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009A78E0" w:rsidRDefault="009A78E0">
            <w:pPr>
              <w:jc w:val="center"/>
              <w:rPr>
                <w:b/>
                <w:bCs/>
                <w:color w:val="000000"/>
                <w:sz w:val="20"/>
                <w:szCs w:val="20"/>
              </w:rPr>
            </w:pPr>
            <w:r>
              <w:rPr>
                <w:b/>
                <w:bCs/>
                <w:color w:val="000000"/>
                <w:sz w:val="20"/>
                <w:szCs w:val="20"/>
              </w:rPr>
              <w:t>Average Hourly Wage Rate</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009A78E0" w:rsidRDefault="009A78E0">
            <w:pPr>
              <w:jc w:val="center"/>
              <w:rPr>
                <w:b/>
                <w:bCs/>
                <w:color w:val="000000"/>
                <w:sz w:val="20"/>
                <w:szCs w:val="20"/>
              </w:rPr>
            </w:pPr>
            <w:r>
              <w:rPr>
                <w:b/>
                <w:bCs/>
                <w:color w:val="000000"/>
                <w:sz w:val="20"/>
                <w:szCs w:val="20"/>
              </w:rPr>
              <w:t>Total Cost</w:t>
            </w:r>
          </w:p>
        </w:tc>
      </w:tr>
      <w:tr w:rsidR="00927160" w:rsidTr="000D65B8">
        <w:trPr>
          <w:trHeight w:val="300"/>
        </w:trPr>
        <w:tc>
          <w:tcPr>
            <w:tcW w:w="1005" w:type="dxa"/>
            <w:tcBorders>
              <w:top w:val="nil"/>
              <w:left w:val="single" w:color="auto" w:sz="4" w:space="0"/>
              <w:bottom w:val="single" w:color="auto" w:sz="4" w:space="0"/>
              <w:right w:val="single" w:color="auto" w:sz="4" w:space="0"/>
            </w:tcBorders>
            <w:shd w:val="clear" w:color="auto" w:fill="auto"/>
            <w:noWrap/>
            <w:vAlign w:val="center"/>
            <w:hideMark/>
          </w:tcPr>
          <w:p w:rsidR="009A78E0" w:rsidRDefault="009A78E0">
            <w:pPr>
              <w:jc w:val="center"/>
              <w:rPr>
                <w:color w:val="000000"/>
                <w:sz w:val="20"/>
                <w:szCs w:val="20"/>
              </w:rPr>
            </w:pPr>
            <w:r>
              <w:rPr>
                <w:color w:val="000000"/>
                <w:sz w:val="20"/>
                <w:szCs w:val="20"/>
              </w:rPr>
              <w:t>GS-14</w:t>
            </w:r>
          </w:p>
        </w:tc>
        <w:tc>
          <w:tcPr>
            <w:tcW w:w="1306" w:type="dxa"/>
            <w:tcBorders>
              <w:top w:val="nil"/>
              <w:left w:val="nil"/>
              <w:bottom w:val="single" w:color="auto" w:sz="4" w:space="0"/>
              <w:right w:val="single" w:color="auto" w:sz="4" w:space="0"/>
            </w:tcBorders>
            <w:shd w:val="clear" w:color="auto" w:fill="auto"/>
            <w:noWrap/>
            <w:vAlign w:val="center"/>
            <w:hideMark/>
          </w:tcPr>
          <w:p w:rsidR="009A78E0" w:rsidRDefault="009A78E0">
            <w:pPr>
              <w:jc w:val="center"/>
              <w:rPr>
                <w:color w:val="000000"/>
                <w:sz w:val="20"/>
                <w:szCs w:val="20"/>
              </w:rPr>
            </w:pPr>
            <w:r>
              <w:rPr>
                <w:color w:val="000000"/>
                <w:sz w:val="20"/>
                <w:szCs w:val="20"/>
              </w:rPr>
              <w:t>166</w:t>
            </w:r>
          </w:p>
        </w:tc>
        <w:tc>
          <w:tcPr>
            <w:tcW w:w="1500" w:type="dxa"/>
            <w:tcBorders>
              <w:top w:val="nil"/>
              <w:left w:val="nil"/>
              <w:bottom w:val="single" w:color="auto" w:sz="4" w:space="0"/>
              <w:right w:val="single" w:color="auto" w:sz="4" w:space="0"/>
            </w:tcBorders>
            <w:shd w:val="clear" w:color="auto" w:fill="auto"/>
            <w:noWrap/>
            <w:vAlign w:val="center"/>
            <w:hideMark/>
          </w:tcPr>
          <w:p w:rsidR="009A78E0" w:rsidRDefault="009A78E0">
            <w:pPr>
              <w:jc w:val="center"/>
              <w:rPr>
                <w:color w:val="000000"/>
                <w:sz w:val="20"/>
                <w:szCs w:val="20"/>
              </w:rPr>
            </w:pPr>
            <w:r>
              <w:rPr>
                <w:color w:val="000000"/>
                <w:sz w:val="20"/>
                <w:szCs w:val="20"/>
              </w:rPr>
              <w:t>1</w:t>
            </w:r>
          </w:p>
        </w:tc>
        <w:tc>
          <w:tcPr>
            <w:tcW w:w="1350" w:type="dxa"/>
            <w:tcBorders>
              <w:top w:val="nil"/>
              <w:left w:val="nil"/>
              <w:bottom w:val="single" w:color="auto" w:sz="4" w:space="0"/>
              <w:right w:val="single" w:color="auto" w:sz="4" w:space="0"/>
            </w:tcBorders>
            <w:shd w:val="clear" w:color="auto" w:fill="auto"/>
            <w:noWrap/>
            <w:vAlign w:val="center"/>
            <w:hideMark/>
          </w:tcPr>
          <w:p w:rsidR="009A78E0" w:rsidRDefault="009A78E0">
            <w:pPr>
              <w:jc w:val="center"/>
              <w:rPr>
                <w:color w:val="000000"/>
                <w:sz w:val="20"/>
                <w:szCs w:val="20"/>
              </w:rPr>
            </w:pPr>
            <w:r>
              <w:rPr>
                <w:color w:val="000000"/>
                <w:sz w:val="20"/>
                <w:szCs w:val="20"/>
              </w:rPr>
              <w:t>0.25</w:t>
            </w:r>
          </w:p>
        </w:tc>
        <w:tc>
          <w:tcPr>
            <w:tcW w:w="1080" w:type="dxa"/>
            <w:tcBorders>
              <w:top w:val="nil"/>
              <w:left w:val="nil"/>
              <w:bottom w:val="single" w:color="auto" w:sz="4" w:space="0"/>
              <w:right w:val="single" w:color="auto" w:sz="4" w:space="0"/>
            </w:tcBorders>
            <w:shd w:val="clear" w:color="auto" w:fill="auto"/>
            <w:vAlign w:val="center"/>
            <w:hideMark/>
          </w:tcPr>
          <w:p w:rsidR="009A78E0" w:rsidRDefault="009A78E0">
            <w:pPr>
              <w:jc w:val="center"/>
              <w:rPr>
                <w:color w:val="000000"/>
                <w:sz w:val="20"/>
                <w:szCs w:val="20"/>
              </w:rPr>
            </w:pPr>
            <w:r>
              <w:rPr>
                <w:color w:val="000000"/>
                <w:sz w:val="20"/>
                <w:szCs w:val="20"/>
              </w:rPr>
              <w:t>41.5</w:t>
            </w:r>
          </w:p>
        </w:tc>
        <w:tc>
          <w:tcPr>
            <w:tcW w:w="1170" w:type="dxa"/>
            <w:tcBorders>
              <w:top w:val="nil"/>
              <w:left w:val="nil"/>
              <w:bottom w:val="single" w:color="auto" w:sz="4" w:space="0"/>
              <w:right w:val="single" w:color="auto" w:sz="4" w:space="0"/>
            </w:tcBorders>
            <w:shd w:val="clear" w:color="auto" w:fill="auto"/>
            <w:noWrap/>
            <w:vAlign w:val="center"/>
            <w:hideMark/>
          </w:tcPr>
          <w:p w:rsidR="009A78E0" w:rsidRDefault="009A78E0">
            <w:pPr>
              <w:jc w:val="center"/>
              <w:rPr>
                <w:color w:val="000000"/>
                <w:sz w:val="20"/>
                <w:szCs w:val="20"/>
              </w:rPr>
            </w:pPr>
            <w:r>
              <w:rPr>
                <w:color w:val="000000"/>
                <w:sz w:val="20"/>
                <w:szCs w:val="20"/>
              </w:rPr>
              <w:t xml:space="preserve">$94.21 </w:t>
            </w:r>
          </w:p>
        </w:tc>
        <w:tc>
          <w:tcPr>
            <w:tcW w:w="1170" w:type="dxa"/>
            <w:tcBorders>
              <w:top w:val="nil"/>
              <w:left w:val="nil"/>
              <w:bottom w:val="single" w:color="auto" w:sz="4" w:space="0"/>
              <w:right w:val="single" w:color="auto" w:sz="4" w:space="0"/>
            </w:tcBorders>
            <w:shd w:val="clear" w:color="auto" w:fill="auto"/>
            <w:noWrap/>
            <w:vAlign w:val="center"/>
            <w:hideMark/>
          </w:tcPr>
          <w:p w:rsidR="009A78E0" w:rsidRDefault="009A78E0">
            <w:pPr>
              <w:jc w:val="center"/>
              <w:rPr>
                <w:color w:val="000000"/>
                <w:sz w:val="20"/>
                <w:szCs w:val="20"/>
              </w:rPr>
            </w:pPr>
            <w:r>
              <w:rPr>
                <w:color w:val="000000"/>
                <w:sz w:val="20"/>
                <w:szCs w:val="20"/>
              </w:rPr>
              <w:t xml:space="preserve">$3,909.86 </w:t>
            </w:r>
          </w:p>
        </w:tc>
      </w:tr>
    </w:tbl>
    <w:p w:rsidRPr="009A33D8" w:rsidR="004E2976" w:rsidP="004E2976" w:rsidRDefault="004E2976"/>
    <w:p w:rsidRPr="00596A43" w:rsidR="00333D1E" w:rsidP="00CE3D0D" w:rsidRDefault="00333D1E">
      <w:pPr>
        <w:suppressAutoHyphens/>
        <w:jc w:val="both"/>
      </w:pPr>
      <w:r w:rsidRPr="00596A43">
        <w:t xml:space="preserve"> </w:t>
      </w:r>
    </w:p>
    <w:p w:rsidRPr="00596A43" w:rsidR="00EB5E96" w:rsidP="000C4293" w:rsidRDefault="00EB5E96">
      <w:pPr>
        <w:suppressAutoHyphens/>
        <w:jc w:val="both"/>
      </w:pPr>
    </w:p>
    <w:p w:rsidRPr="000D0877" w:rsidR="00EB5E96" w:rsidP="000C4293" w:rsidRDefault="00EB5E96">
      <w:pPr>
        <w:shd w:val="pct25" w:color="auto" w:fill="auto"/>
        <w:tabs>
          <w:tab w:val="left" w:pos="-720"/>
        </w:tabs>
        <w:suppressAutoHyphens/>
        <w:jc w:val="both"/>
      </w:pPr>
      <w:r w:rsidRPr="000D0877">
        <w:fldChar w:fldCharType="begin"/>
      </w:r>
      <w:r w:rsidRPr="000D0877">
        <w:instrText>ADVANCE \R 0.95</w:instrText>
      </w:r>
      <w:r w:rsidRPr="000D0877">
        <w:fldChar w:fldCharType="end"/>
      </w:r>
      <w:r w:rsidRPr="000D0877">
        <w:t xml:space="preserve">15.  Explain the reasons for any program changes or adjustments reported in Items 13 or 14 of the OMB Form 83-I.  Changes in hour burden, i.e., program changes or adjustments made to annual reporting and recordkeeping </w:t>
      </w:r>
      <w:r w:rsidRPr="000D0877">
        <w:rPr>
          <w:b/>
        </w:rPr>
        <w:t>hour</w:t>
      </w:r>
      <w:r w:rsidRPr="000D0877">
        <w:t xml:space="preserve"> and </w:t>
      </w:r>
      <w:r w:rsidRPr="000D0877">
        <w:rPr>
          <w:b/>
        </w:rPr>
        <w:t>cost</w:t>
      </w:r>
      <w:r w:rsidRPr="000D0877">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Pr="00FE5661" w:rsidR="00EB5E96" w:rsidP="000C4293" w:rsidRDefault="00EB5E96">
      <w:pPr>
        <w:tabs>
          <w:tab w:val="left" w:pos="-720"/>
        </w:tabs>
        <w:suppressAutoHyphens/>
        <w:jc w:val="both"/>
        <w:rPr>
          <w:highlight w:val="yellow"/>
        </w:rPr>
      </w:pPr>
      <w:r w:rsidRPr="00FE5661">
        <w:rPr>
          <w:highlight w:val="yellow"/>
        </w:rPr>
        <w:fldChar w:fldCharType="begin"/>
      </w:r>
      <w:r w:rsidRPr="00FE5661">
        <w:rPr>
          <w:highlight w:val="yellow"/>
        </w:rPr>
        <w:instrText>ADVANCE \R 0.95</w:instrText>
      </w:r>
      <w:r w:rsidRPr="00FE5661">
        <w:rPr>
          <w:highlight w:val="yellow"/>
        </w:rPr>
        <w:fldChar w:fldCharType="end"/>
      </w:r>
    </w:p>
    <w:p w:rsidRPr="00AB5A92" w:rsidR="002D4AD9" w:rsidP="002D4AD9" w:rsidRDefault="009960C6">
      <w:pPr>
        <w:tabs>
          <w:tab w:val="left" w:pos="-720"/>
        </w:tabs>
        <w:suppressAutoHyphens/>
        <w:contextualSpacing/>
      </w:pPr>
      <w:r>
        <w:t xml:space="preserve">This is a </w:t>
      </w:r>
      <w:r w:rsidRPr="0033782E" w:rsidR="0033782E">
        <w:rPr>
          <w:b/>
        </w:rPr>
        <w:t>NEW</w:t>
      </w:r>
      <w:r>
        <w:t xml:space="preserve"> collection. </w:t>
      </w:r>
    </w:p>
    <w:p w:rsidRPr="00596A43" w:rsidR="00EB5E96" w:rsidP="000C4293" w:rsidRDefault="00EB5E96">
      <w:pPr>
        <w:tabs>
          <w:tab w:val="left" w:pos="-720"/>
        </w:tabs>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596A43" w:rsidR="00EB5E96" w:rsidP="000C4293" w:rsidRDefault="00EB5E96">
      <w:pPr>
        <w:suppressAutoHyphens/>
        <w:jc w:val="both"/>
      </w:pPr>
      <w:r w:rsidRPr="00596A43">
        <w:fldChar w:fldCharType="begin"/>
      </w:r>
      <w:r w:rsidRPr="00596A43">
        <w:instrText>ADVANCE \R 0.95</w:instrText>
      </w:r>
      <w:r w:rsidRPr="00596A43">
        <w:fldChar w:fldCharType="end"/>
      </w:r>
    </w:p>
    <w:p w:rsidRPr="00AB5A92" w:rsidR="002D4AD9" w:rsidP="002D4AD9" w:rsidRDefault="004319C6">
      <w:pPr>
        <w:tabs>
          <w:tab w:val="left" w:pos="-720"/>
        </w:tabs>
        <w:suppressAutoHyphens/>
        <w:contextualSpacing/>
      </w:pPr>
      <w:r>
        <w:t>CISA</w:t>
      </w:r>
      <w:r w:rsidR="009960C6">
        <w:t xml:space="preserve"> does not intend to employ the use of statistics or the publication thereof for this information collection. </w:t>
      </w:r>
    </w:p>
    <w:p w:rsidRPr="00596A43" w:rsidR="007F61EC" w:rsidP="0077056F" w:rsidRDefault="007F61EC">
      <w:pPr>
        <w:jc w:val="both"/>
      </w:pPr>
    </w:p>
    <w:p w:rsidRPr="00596A43" w:rsidR="00EB5E96" w:rsidP="000C4293" w:rsidRDefault="00EB5E96">
      <w:pPr>
        <w:suppressAutoHyphens/>
        <w:jc w:val="both"/>
      </w:pPr>
    </w:p>
    <w:p w:rsidRPr="00596A43" w:rsidR="00EB5E96"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17.  If seeking approval to not display the expiration date for OMB approval of the information collection, explain reasons that display would be inappropriate.</w:t>
      </w:r>
    </w:p>
    <w:p w:rsidRPr="00596A43" w:rsidR="00EB5E96" w:rsidP="000C4293" w:rsidRDefault="00EB5E96">
      <w:pPr>
        <w:tabs>
          <w:tab w:val="left" w:pos="-720"/>
        </w:tabs>
        <w:suppressAutoHyphens/>
        <w:jc w:val="both"/>
      </w:pPr>
      <w:r w:rsidRPr="00596A43">
        <w:fldChar w:fldCharType="begin"/>
      </w:r>
      <w:r w:rsidRPr="00596A43">
        <w:instrText>ADVANCE \R 0.95</w:instrText>
      </w:r>
      <w:r w:rsidRPr="00596A43">
        <w:fldChar w:fldCharType="end"/>
      </w:r>
    </w:p>
    <w:p w:rsidRPr="00AB5A92" w:rsidR="002D4AD9" w:rsidP="002D4AD9" w:rsidRDefault="004319C6">
      <w:pPr>
        <w:tabs>
          <w:tab w:val="left" w:pos="-720"/>
        </w:tabs>
        <w:suppressAutoHyphens/>
        <w:contextualSpacing/>
      </w:pPr>
      <w:r>
        <w:t>CISA</w:t>
      </w:r>
      <w:r w:rsidR="009960C6">
        <w:t xml:space="preserve"> will display the expiration date for OMB approval of this information collection. </w:t>
      </w:r>
    </w:p>
    <w:p w:rsidRPr="00596A43" w:rsidR="00447C3A" w:rsidP="000C4293" w:rsidRDefault="00447C3A">
      <w:pPr>
        <w:tabs>
          <w:tab w:val="left" w:pos="-720"/>
        </w:tabs>
        <w:suppressAutoHyphens/>
        <w:jc w:val="both"/>
      </w:pPr>
    </w:p>
    <w:p w:rsidRPr="00596A43" w:rsidR="0077056F" w:rsidP="000C4293" w:rsidRDefault="00EB5E96">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18.  Explain each exception to the certification statement identified in Item 19 “Certification for Paperwork Reduction Act Submissions,” of OMB Form 83-I.</w:t>
      </w:r>
    </w:p>
    <w:p w:rsidRPr="00596A43" w:rsidR="0077056F" w:rsidP="0077056F" w:rsidRDefault="0077056F">
      <w:pPr>
        <w:tabs>
          <w:tab w:val="left" w:pos="-720"/>
        </w:tabs>
        <w:suppressAutoHyphens/>
        <w:jc w:val="both"/>
      </w:pPr>
    </w:p>
    <w:p w:rsidRPr="00596A43" w:rsidR="0077056F" w:rsidP="009960C6" w:rsidRDefault="004319C6">
      <w:pPr>
        <w:tabs>
          <w:tab w:val="left" w:pos="-720"/>
        </w:tabs>
        <w:suppressAutoHyphens/>
        <w:contextualSpacing/>
      </w:pPr>
      <w:r>
        <w:t>CISA</w:t>
      </w:r>
      <w:r w:rsidR="009960C6">
        <w:t xml:space="preserve"> does not request an exception to the certification of this information collection. </w:t>
      </w:r>
    </w:p>
    <w:sectPr w:rsidRPr="00596A43" w:rsidR="0077056F" w:rsidSect="00D41D3C">
      <w:footerReference w:type="even" r:id="rId12"/>
      <w:footerReference w:type="default" r:id="rId13"/>
      <w:pgSz w:w="12240" w:h="15840" w:code="1"/>
      <w:pgMar w:top="1440" w:right="1440" w:bottom="135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1D" w:rsidRDefault="0033291D">
      <w:r>
        <w:separator/>
      </w:r>
    </w:p>
  </w:endnote>
  <w:endnote w:type="continuationSeparator" w:id="0">
    <w:p w:rsidR="0033291D" w:rsidRDefault="0033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9D" w:rsidRDefault="001A199D"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199D" w:rsidRDefault="001A199D" w:rsidP="00DC6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9D" w:rsidRDefault="001A199D" w:rsidP="00DB0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BE9">
      <w:rPr>
        <w:rStyle w:val="PageNumber"/>
        <w:noProof/>
      </w:rPr>
      <w:t>3</w:t>
    </w:r>
    <w:r>
      <w:rPr>
        <w:rStyle w:val="PageNumber"/>
      </w:rPr>
      <w:fldChar w:fldCharType="end"/>
    </w:r>
  </w:p>
  <w:p w:rsidR="001A199D" w:rsidRDefault="001A199D" w:rsidP="00DC6E79">
    <w:pPr>
      <w:pStyle w:val="Footer"/>
      <w:tabs>
        <w:tab w:val="clear" w:pos="8640"/>
        <w:tab w:val="right" w:pos="93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1D" w:rsidRDefault="0033291D">
      <w:r>
        <w:separator/>
      </w:r>
    </w:p>
  </w:footnote>
  <w:footnote w:type="continuationSeparator" w:id="0">
    <w:p w:rsidR="0033291D" w:rsidRDefault="0033291D">
      <w:r>
        <w:continuationSeparator/>
      </w:r>
    </w:p>
  </w:footnote>
  <w:footnote w:id="1">
    <w:p w:rsidR="00EA35CD" w:rsidRDefault="00EA35CD" w:rsidP="00EA35CD">
      <w:pPr>
        <w:pStyle w:val="FootnoteText"/>
      </w:pPr>
      <w:r w:rsidRPr="00B830A2">
        <w:rPr>
          <w:rStyle w:val="FootnoteReference"/>
        </w:rPr>
        <w:footnoteRef/>
      </w:r>
      <w:r w:rsidRPr="00B830A2">
        <w:t xml:space="preserve"> </w:t>
      </w:r>
      <w:r w:rsidRPr="00A1353B">
        <w:t xml:space="preserve">BLS. </w:t>
      </w:r>
      <w:r>
        <w:t xml:space="preserve">Employer Costs for Employee Compensation – </w:t>
      </w:r>
      <w:r w:rsidR="00FF2A49">
        <w:t>March 2020</w:t>
      </w:r>
      <w:r>
        <w:t xml:space="preserve">. Table 1. Employer Costs per Hour Worked for Employee Compensation and Costs as a Percent of Total Compensation: Civilian Workers, by Major Occupational and Industry Group, December 2019. </w:t>
      </w:r>
      <w:hyperlink r:id="rId1" w:history="1">
        <w:r w:rsidRPr="00606A46">
          <w:rPr>
            <w:rStyle w:val="Hyperlink"/>
          </w:rPr>
          <w:t>https://www.bls.gov/news.release/pdf/ecec.pdf</w:t>
        </w:r>
      </w:hyperlink>
      <w:r>
        <w:t xml:space="preserve">  The compensation factor (1.4</w:t>
      </w:r>
      <w:r w:rsidR="00FF2A49">
        <w:t>25</w:t>
      </w:r>
      <w:r>
        <w:t>) is estimated by dividing total compensation ($</w:t>
      </w:r>
      <w:r w:rsidR="00FF2A49">
        <w:t>34.73</w:t>
      </w:r>
      <w:r>
        <w:t>) by wages and salaries ($24.</w:t>
      </w:r>
      <w:r w:rsidR="00FF2A49">
        <w:t>36</w:t>
      </w:r>
      <w:r>
        <w:t>).</w:t>
      </w:r>
    </w:p>
  </w:footnote>
  <w:footnote w:id="2">
    <w:p w:rsidR="00FF2A49" w:rsidRPr="00FF2A49" w:rsidRDefault="00C93F2E" w:rsidP="00FF2A49">
      <w:pPr>
        <w:rPr>
          <w:color w:val="000000"/>
          <w:sz w:val="20"/>
          <w:szCs w:val="20"/>
        </w:rPr>
      </w:pPr>
      <w:r w:rsidRPr="00B830A2">
        <w:rPr>
          <w:rStyle w:val="FootnoteReference"/>
        </w:rPr>
        <w:footnoteRef/>
      </w:r>
      <w:r w:rsidRPr="00B830A2">
        <w:t xml:space="preserve"> </w:t>
      </w:r>
      <w:r w:rsidRPr="00FF2A49">
        <w:rPr>
          <w:sz w:val="20"/>
          <w:szCs w:val="20"/>
        </w:rPr>
        <w:t xml:space="preserve">Bureau of Labor Statistics (BLS). Occupational Employment Statistics. May 2019. </w:t>
      </w:r>
      <w:r w:rsidR="009A78E0" w:rsidRPr="00FF2A49">
        <w:rPr>
          <w:color w:val="183061"/>
          <w:sz w:val="20"/>
          <w:szCs w:val="20"/>
          <w:shd w:val="clear" w:color="auto" w:fill="FFFFFF"/>
        </w:rPr>
        <w:t>Federal, state, and local government, including government-owned schools and hospitals and the U.S. Postal Service</w:t>
      </w:r>
      <w:r w:rsidR="00FF2A49">
        <w:rPr>
          <w:color w:val="183061"/>
          <w:sz w:val="20"/>
          <w:szCs w:val="20"/>
          <w:shd w:val="clear" w:color="auto" w:fill="FFFFFF"/>
        </w:rPr>
        <w:t xml:space="preserve">, </w:t>
      </w:r>
      <w:r w:rsidRPr="00FF2A49">
        <w:rPr>
          <w:sz w:val="20"/>
          <w:szCs w:val="20"/>
        </w:rPr>
        <w:t>All Occupations (SOC 00-0000).</w:t>
      </w:r>
      <w:r w:rsidR="00FF2A49">
        <w:rPr>
          <w:sz w:val="20"/>
          <w:szCs w:val="20"/>
        </w:rPr>
        <w:t xml:space="preserve"> </w:t>
      </w:r>
      <w:hyperlink r:id="rId2" w:history="1">
        <w:r w:rsidR="00FF2A49" w:rsidRPr="00DD3B6D">
          <w:rPr>
            <w:rStyle w:val="Hyperlink"/>
            <w:sz w:val="20"/>
            <w:szCs w:val="20"/>
          </w:rPr>
          <w:t>https://www.bls.gov/oes/2019/may/999001.htm#00-0000</w:t>
        </w:r>
      </w:hyperlink>
      <w:r w:rsidR="00FF2A49">
        <w:rPr>
          <w:sz w:val="20"/>
          <w:szCs w:val="20"/>
        </w:rPr>
        <w:t xml:space="preserve">  </w:t>
      </w:r>
    </w:p>
    <w:tbl>
      <w:tblPr>
        <w:tblW w:w="960" w:type="dxa"/>
        <w:tblCellMar>
          <w:left w:w="0" w:type="dxa"/>
          <w:right w:w="0" w:type="dxa"/>
        </w:tblCellMar>
        <w:tblLook w:val="04A0" w:firstRow="1" w:lastRow="0" w:firstColumn="1" w:lastColumn="0" w:noHBand="0" w:noVBand="1"/>
      </w:tblPr>
      <w:tblGrid>
        <w:gridCol w:w="960"/>
      </w:tblGrid>
      <w:tr w:rsidR="00FF2A49" w:rsidRPr="000D65B8" w:rsidTr="00FF2A49">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FF2A49" w:rsidRPr="00FF2A49" w:rsidRDefault="00FF2A49" w:rsidP="00FF2A49">
            <w:pPr>
              <w:rPr>
                <w:color w:val="000000"/>
                <w:sz w:val="20"/>
                <w:szCs w:val="20"/>
              </w:rPr>
            </w:pPr>
          </w:p>
        </w:tc>
      </w:tr>
    </w:tbl>
    <w:p w:rsidR="00C93F2E" w:rsidRPr="00150723" w:rsidRDefault="00C93F2E" w:rsidP="00C93F2E">
      <w:pPr>
        <w:pStyle w:val="FootnoteText"/>
        <w:rPr>
          <w:highlight w:val="yellow"/>
        </w:rPr>
      </w:pPr>
    </w:p>
  </w:footnote>
  <w:footnote w:id="3">
    <w:p w:rsidR="009A78E0" w:rsidRDefault="009A78E0">
      <w:pPr>
        <w:pStyle w:val="FootnoteText"/>
      </w:pPr>
      <w:r>
        <w:rPr>
          <w:rStyle w:val="FootnoteReference"/>
        </w:rPr>
        <w:footnoteRef/>
      </w:r>
      <w:r>
        <w:t xml:space="preserve"> </w:t>
      </w:r>
      <w:r w:rsidRPr="00FF2A49">
        <w:t xml:space="preserve">Bureau of Labor Statistics (BLS). Occupational Employment Statistics. May 2019. </w:t>
      </w:r>
      <w:r>
        <w:rPr>
          <w:color w:val="183061"/>
          <w:shd w:val="clear" w:color="auto" w:fill="FFFFFF"/>
        </w:rPr>
        <w:t xml:space="preserve">Cross Industry, Private Ownership Only, </w:t>
      </w:r>
      <w:r w:rsidRPr="00FF2A49">
        <w:t>All Occupations (SOC 00-0000).</w:t>
      </w:r>
      <w:r>
        <w:t xml:space="preserve"> </w:t>
      </w:r>
      <w:r w:rsidRPr="009A78E0">
        <w:t>https://www.bls.gov/oes/2019/may/000001.htm</w:t>
      </w:r>
      <w:r w:rsidRPr="009A78E0">
        <w:cr/>
      </w:r>
    </w:p>
  </w:footnote>
  <w:footnote w:id="4">
    <w:p w:rsidR="004E2976" w:rsidRDefault="004E2976" w:rsidP="004E2976">
      <w:pPr>
        <w:pStyle w:val="FootnoteText"/>
      </w:pPr>
      <w:r>
        <w:rPr>
          <w:rStyle w:val="FootnoteReference"/>
        </w:rPr>
        <w:footnoteRef/>
      </w:r>
      <w:r>
        <w:t xml:space="preserve"> GS pay rates are from The annual salary for a GS-14 Step 3 is $</w:t>
      </w:r>
      <w:r w:rsidR="00DE56EB">
        <w:t>137,491</w:t>
      </w:r>
      <w:r>
        <w:t xml:space="preserve">, which is divided by 2080 to obtain the hourly rate. </w:t>
      </w:r>
      <w:hyperlink r:id="rId3" w:history="1">
        <w:r w:rsidRPr="00EE4503">
          <w:rPr>
            <w:rStyle w:val="Hyperlink"/>
          </w:rPr>
          <w:t>https://www.opm.gov/policy-data-oversight/pay-leave/salaries-wages/salary-tables/20Tables/html/DCB.aspx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7358F"/>
    <w:multiLevelType w:val="hybridMultilevel"/>
    <w:tmpl w:val="A694F816"/>
    <w:lvl w:ilvl="0" w:tplc="0EA2D5B6">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D7C78"/>
    <w:multiLevelType w:val="multilevel"/>
    <w:tmpl w:val="A31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64650"/>
    <w:multiLevelType w:val="hybridMultilevel"/>
    <w:tmpl w:val="6B946B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E671F"/>
    <w:multiLevelType w:val="hybridMultilevel"/>
    <w:tmpl w:val="B96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370EB"/>
    <w:multiLevelType w:val="hybridMultilevel"/>
    <w:tmpl w:val="B5121ABC"/>
    <w:lvl w:ilvl="0" w:tplc="537C2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15:restartNumberingAfterBreak="0">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8" w15:restartNumberingAfterBreak="0">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15:restartNumberingAfterBreak="0">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15:restartNumberingAfterBreak="0">
    <w:nsid w:val="2E9E2F2E"/>
    <w:multiLevelType w:val="hybridMultilevel"/>
    <w:tmpl w:val="CC4E82FA"/>
    <w:lvl w:ilvl="0" w:tplc="4E8CCAB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15:restartNumberingAfterBreak="0">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3" w15:restartNumberingAfterBreak="0">
    <w:nsid w:val="40A82AB2"/>
    <w:multiLevelType w:val="hybridMultilevel"/>
    <w:tmpl w:val="EB6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5" w15:restartNumberingAfterBreak="0">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6" w15:restartNumberingAfterBreak="0">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15:restartNumberingAfterBreak="0">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8" w15:restartNumberingAfterBreak="0">
    <w:nsid w:val="4B890193"/>
    <w:multiLevelType w:val="hybridMultilevel"/>
    <w:tmpl w:val="28FEEA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1" w15:restartNumberingAfterBreak="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2" w15:restartNumberingAfterBreak="0">
    <w:nsid w:val="59B65E8F"/>
    <w:multiLevelType w:val="hybridMultilevel"/>
    <w:tmpl w:val="FF24913A"/>
    <w:lvl w:ilvl="0" w:tplc="F52C5380">
      <w:start w:val="1"/>
      <w:numFmt w:val="decimal"/>
      <w:pStyle w:val="CISAListNumb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4" w15:restartNumberingAfterBreak="0">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5" w15:restartNumberingAfterBreak="0">
    <w:nsid w:val="5CF86000"/>
    <w:multiLevelType w:val="hybridMultilevel"/>
    <w:tmpl w:val="D932E5DC"/>
    <w:lvl w:ilvl="0" w:tplc="B5C854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8" w15:restartNumberingAfterBreak="0">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9" w15:restartNumberingAfterBreak="0">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7"/>
  </w:num>
  <w:num w:numId="2">
    <w:abstractNumId w:val="20"/>
  </w:num>
  <w:num w:numId="3">
    <w:abstractNumId w:val="24"/>
  </w:num>
  <w:num w:numId="4">
    <w:abstractNumId w:val="12"/>
  </w:num>
  <w:num w:numId="5">
    <w:abstractNumId w:val="15"/>
  </w:num>
  <w:num w:numId="6">
    <w:abstractNumId w:val="21"/>
  </w:num>
  <w:num w:numId="7">
    <w:abstractNumId w:val="23"/>
  </w:num>
  <w:num w:numId="8">
    <w:abstractNumId w:val="17"/>
  </w:num>
  <w:num w:numId="9">
    <w:abstractNumId w:val="9"/>
  </w:num>
  <w:num w:numId="10">
    <w:abstractNumId w:val="28"/>
  </w:num>
  <w:num w:numId="11">
    <w:abstractNumId w:val="14"/>
  </w:num>
  <w:num w:numId="12">
    <w:abstractNumId w:val="8"/>
  </w:num>
  <w:num w:numId="13">
    <w:abstractNumId w:val="29"/>
  </w:num>
  <w:num w:numId="14">
    <w:abstractNumId w:val="6"/>
  </w:num>
  <w:num w:numId="15">
    <w:abstractNumId w:val="16"/>
  </w:num>
  <w:num w:numId="16">
    <w:abstractNumId w:val="11"/>
  </w:num>
  <w:num w:numId="17">
    <w:abstractNumId w:val="27"/>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9"/>
  </w:num>
  <w:num w:numId="20">
    <w:abstractNumId w:val="26"/>
  </w:num>
  <w:num w:numId="21">
    <w:abstractNumId w:val="18"/>
  </w:num>
  <w:num w:numId="22">
    <w:abstractNumId w:val="13"/>
  </w:num>
  <w:num w:numId="23">
    <w:abstractNumId w:val="4"/>
  </w:num>
  <w:num w:numId="24">
    <w:abstractNumId w:val="3"/>
  </w:num>
  <w:num w:numId="25">
    <w:abstractNumId w:val="1"/>
  </w:num>
  <w:num w:numId="26">
    <w:abstractNumId w:val="5"/>
  </w:num>
  <w:num w:numId="27">
    <w:abstractNumId w:val="10"/>
  </w:num>
  <w:num w:numId="28">
    <w:abstractNumId w:val="25"/>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6"/>
    <w:rsid w:val="00004BF1"/>
    <w:rsid w:val="00006D3A"/>
    <w:rsid w:val="00007D6C"/>
    <w:rsid w:val="00012FBC"/>
    <w:rsid w:val="00014C82"/>
    <w:rsid w:val="000311A1"/>
    <w:rsid w:val="000319C5"/>
    <w:rsid w:val="000335C8"/>
    <w:rsid w:val="00042924"/>
    <w:rsid w:val="00044440"/>
    <w:rsid w:val="00047173"/>
    <w:rsid w:val="00051FDA"/>
    <w:rsid w:val="00053802"/>
    <w:rsid w:val="00076EF2"/>
    <w:rsid w:val="00093607"/>
    <w:rsid w:val="00094453"/>
    <w:rsid w:val="000963AA"/>
    <w:rsid w:val="000A1CE4"/>
    <w:rsid w:val="000A4447"/>
    <w:rsid w:val="000A6FA3"/>
    <w:rsid w:val="000A6FC5"/>
    <w:rsid w:val="000B399B"/>
    <w:rsid w:val="000C4293"/>
    <w:rsid w:val="000D0877"/>
    <w:rsid w:val="000D26F2"/>
    <w:rsid w:val="000D65B8"/>
    <w:rsid w:val="000D6EB2"/>
    <w:rsid w:val="000E1451"/>
    <w:rsid w:val="000E7B5C"/>
    <w:rsid w:val="00103810"/>
    <w:rsid w:val="001137C6"/>
    <w:rsid w:val="00123868"/>
    <w:rsid w:val="00124F4E"/>
    <w:rsid w:val="001408DE"/>
    <w:rsid w:val="00141549"/>
    <w:rsid w:val="00141C5C"/>
    <w:rsid w:val="00145D9E"/>
    <w:rsid w:val="00153951"/>
    <w:rsid w:val="00155241"/>
    <w:rsid w:val="00161E93"/>
    <w:rsid w:val="00191158"/>
    <w:rsid w:val="001934C4"/>
    <w:rsid w:val="00194A62"/>
    <w:rsid w:val="001A199D"/>
    <w:rsid w:val="001A2C95"/>
    <w:rsid w:val="001B2714"/>
    <w:rsid w:val="001B6DF0"/>
    <w:rsid w:val="001C18B1"/>
    <w:rsid w:val="001C4B22"/>
    <w:rsid w:val="001C4CC1"/>
    <w:rsid w:val="001D4C8B"/>
    <w:rsid w:val="001E25FC"/>
    <w:rsid w:val="001E4D4A"/>
    <w:rsid w:val="001E59E2"/>
    <w:rsid w:val="001F3169"/>
    <w:rsid w:val="002030D4"/>
    <w:rsid w:val="00205739"/>
    <w:rsid w:val="00222489"/>
    <w:rsid w:val="0022399E"/>
    <w:rsid w:val="0023016A"/>
    <w:rsid w:val="00235123"/>
    <w:rsid w:val="002366B4"/>
    <w:rsid w:val="00237711"/>
    <w:rsid w:val="002451D9"/>
    <w:rsid w:val="00251725"/>
    <w:rsid w:val="00264251"/>
    <w:rsid w:val="00264743"/>
    <w:rsid w:val="00272CF0"/>
    <w:rsid w:val="0027592E"/>
    <w:rsid w:val="002900C5"/>
    <w:rsid w:val="00290AAB"/>
    <w:rsid w:val="00292D20"/>
    <w:rsid w:val="0029721C"/>
    <w:rsid w:val="00297C37"/>
    <w:rsid w:val="002A2C01"/>
    <w:rsid w:val="002A636B"/>
    <w:rsid w:val="002A7031"/>
    <w:rsid w:val="002B00DB"/>
    <w:rsid w:val="002B0649"/>
    <w:rsid w:val="002B4BF6"/>
    <w:rsid w:val="002B7071"/>
    <w:rsid w:val="002C05B0"/>
    <w:rsid w:val="002D4AD9"/>
    <w:rsid w:val="002D6219"/>
    <w:rsid w:val="002E2F13"/>
    <w:rsid w:val="002E7BC4"/>
    <w:rsid w:val="002F2A01"/>
    <w:rsid w:val="002F32CE"/>
    <w:rsid w:val="002F49E0"/>
    <w:rsid w:val="0033291D"/>
    <w:rsid w:val="00333732"/>
    <w:rsid w:val="00333D1E"/>
    <w:rsid w:val="0033782E"/>
    <w:rsid w:val="00340EE1"/>
    <w:rsid w:val="00341049"/>
    <w:rsid w:val="0034148A"/>
    <w:rsid w:val="003421DA"/>
    <w:rsid w:val="00350700"/>
    <w:rsid w:val="00350C66"/>
    <w:rsid w:val="00360B5A"/>
    <w:rsid w:val="00361523"/>
    <w:rsid w:val="00364EE8"/>
    <w:rsid w:val="00377D10"/>
    <w:rsid w:val="00381F93"/>
    <w:rsid w:val="00383A50"/>
    <w:rsid w:val="0039325E"/>
    <w:rsid w:val="00394081"/>
    <w:rsid w:val="003946D3"/>
    <w:rsid w:val="00397DB9"/>
    <w:rsid w:val="003A221C"/>
    <w:rsid w:val="003A3B94"/>
    <w:rsid w:val="003A4655"/>
    <w:rsid w:val="003B165C"/>
    <w:rsid w:val="003B5E20"/>
    <w:rsid w:val="003B68FA"/>
    <w:rsid w:val="003C3782"/>
    <w:rsid w:val="003C4DEC"/>
    <w:rsid w:val="003D64C9"/>
    <w:rsid w:val="003E0D23"/>
    <w:rsid w:val="003E2CC1"/>
    <w:rsid w:val="003E4418"/>
    <w:rsid w:val="003E6DD8"/>
    <w:rsid w:val="003F241F"/>
    <w:rsid w:val="003F607B"/>
    <w:rsid w:val="00406300"/>
    <w:rsid w:val="00406396"/>
    <w:rsid w:val="004076BD"/>
    <w:rsid w:val="00413E8E"/>
    <w:rsid w:val="0041561B"/>
    <w:rsid w:val="00427411"/>
    <w:rsid w:val="004319C6"/>
    <w:rsid w:val="00447C3A"/>
    <w:rsid w:val="00457A18"/>
    <w:rsid w:val="00460234"/>
    <w:rsid w:val="00462C47"/>
    <w:rsid w:val="00482F9B"/>
    <w:rsid w:val="004845D0"/>
    <w:rsid w:val="00487097"/>
    <w:rsid w:val="004A0DE6"/>
    <w:rsid w:val="004A42B4"/>
    <w:rsid w:val="004B6227"/>
    <w:rsid w:val="004B62D9"/>
    <w:rsid w:val="004C21F8"/>
    <w:rsid w:val="004C41CD"/>
    <w:rsid w:val="004C5DDB"/>
    <w:rsid w:val="004C73D5"/>
    <w:rsid w:val="004D5706"/>
    <w:rsid w:val="004E2976"/>
    <w:rsid w:val="004E3383"/>
    <w:rsid w:val="004F0116"/>
    <w:rsid w:val="004F19C6"/>
    <w:rsid w:val="00505AE9"/>
    <w:rsid w:val="0051005D"/>
    <w:rsid w:val="00513942"/>
    <w:rsid w:val="00513C8E"/>
    <w:rsid w:val="005202D4"/>
    <w:rsid w:val="00521689"/>
    <w:rsid w:val="00522EAB"/>
    <w:rsid w:val="0052567E"/>
    <w:rsid w:val="00530BC4"/>
    <w:rsid w:val="0053774F"/>
    <w:rsid w:val="005420D3"/>
    <w:rsid w:val="00545AFB"/>
    <w:rsid w:val="00550B78"/>
    <w:rsid w:val="00566C07"/>
    <w:rsid w:val="00573B59"/>
    <w:rsid w:val="00573EBE"/>
    <w:rsid w:val="00580711"/>
    <w:rsid w:val="005817B5"/>
    <w:rsid w:val="00582F4C"/>
    <w:rsid w:val="00584599"/>
    <w:rsid w:val="00590524"/>
    <w:rsid w:val="005924FE"/>
    <w:rsid w:val="00596A43"/>
    <w:rsid w:val="005A0C14"/>
    <w:rsid w:val="005A20EF"/>
    <w:rsid w:val="005A30A6"/>
    <w:rsid w:val="005A6B0B"/>
    <w:rsid w:val="005B4EE2"/>
    <w:rsid w:val="005C26CC"/>
    <w:rsid w:val="005C3DCA"/>
    <w:rsid w:val="005C472E"/>
    <w:rsid w:val="005C6E11"/>
    <w:rsid w:val="005C7058"/>
    <w:rsid w:val="005D0717"/>
    <w:rsid w:val="005D6EC2"/>
    <w:rsid w:val="005D70E2"/>
    <w:rsid w:val="005D7769"/>
    <w:rsid w:val="005D781B"/>
    <w:rsid w:val="006145D1"/>
    <w:rsid w:val="00615DFD"/>
    <w:rsid w:val="006250C3"/>
    <w:rsid w:val="00625391"/>
    <w:rsid w:val="00635E55"/>
    <w:rsid w:val="00652F53"/>
    <w:rsid w:val="00657687"/>
    <w:rsid w:val="00661788"/>
    <w:rsid w:val="00661921"/>
    <w:rsid w:val="006635F4"/>
    <w:rsid w:val="006651B2"/>
    <w:rsid w:val="00667A7E"/>
    <w:rsid w:val="006700C8"/>
    <w:rsid w:val="00673E16"/>
    <w:rsid w:val="006749D4"/>
    <w:rsid w:val="0068258B"/>
    <w:rsid w:val="00693B3B"/>
    <w:rsid w:val="006A0B1C"/>
    <w:rsid w:val="006A10B7"/>
    <w:rsid w:val="006A15BA"/>
    <w:rsid w:val="006A7FF1"/>
    <w:rsid w:val="006B4994"/>
    <w:rsid w:val="006C72F0"/>
    <w:rsid w:val="006D0E62"/>
    <w:rsid w:val="006D5CCE"/>
    <w:rsid w:val="006D785E"/>
    <w:rsid w:val="006E316F"/>
    <w:rsid w:val="006E32D9"/>
    <w:rsid w:val="006E4F17"/>
    <w:rsid w:val="006F4AE8"/>
    <w:rsid w:val="00712A0B"/>
    <w:rsid w:val="007130F1"/>
    <w:rsid w:val="00727425"/>
    <w:rsid w:val="007277A8"/>
    <w:rsid w:val="00727E7B"/>
    <w:rsid w:val="00734F9C"/>
    <w:rsid w:val="00741B83"/>
    <w:rsid w:val="00742F2D"/>
    <w:rsid w:val="00744245"/>
    <w:rsid w:val="007443F3"/>
    <w:rsid w:val="00752D76"/>
    <w:rsid w:val="00754479"/>
    <w:rsid w:val="0075772E"/>
    <w:rsid w:val="00764903"/>
    <w:rsid w:val="0077056F"/>
    <w:rsid w:val="00774C99"/>
    <w:rsid w:val="00784B44"/>
    <w:rsid w:val="007924DE"/>
    <w:rsid w:val="007967F0"/>
    <w:rsid w:val="00796AB1"/>
    <w:rsid w:val="007A66B5"/>
    <w:rsid w:val="007B12C9"/>
    <w:rsid w:val="007C371B"/>
    <w:rsid w:val="007D0399"/>
    <w:rsid w:val="007D6212"/>
    <w:rsid w:val="007F2EA2"/>
    <w:rsid w:val="007F61EC"/>
    <w:rsid w:val="007F79EE"/>
    <w:rsid w:val="00803D15"/>
    <w:rsid w:val="008048DF"/>
    <w:rsid w:val="00807B18"/>
    <w:rsid w:val="00840338"/>
    <w:rsid w:val="008419A6"/>
    <w:rsid w:val="008500FB"/>
    <w:rsid w:val="008503BF"/>
    <w:rsid w:val="00851BF1"/>
    <w:rsid w:val="008719E8"/>
    <w:rsid w:val="00873AEF"/>
    <w:rsid w:val="00875586"/>
    <w:rsid w:val="008804CB"/>
    <w:rsid w:val="00884302"/>
    <w:rsid w:val="00887178"/>
    <w:rsid w:val="00890154"/>
    <w:rsid w:val="008924F0"/>
    <w:rsid w:val="0089711A"/>
    <w:rsid w:val="008A035F"/>
    <w:rsid w:val="008A165F"/>
    <w:rsid w:val="008A221D"/>
    <w:rsid w:val="008A516E"/>
    <w:rsid w:val="008A698A"/>
    <w:rsid w:val="008A7F3A"/>
    <w:rsid w:val="008B7403"/>
    <w:rsid w:val="008C27C3"/>
    <w:rsid w:val="008C2BE9"/>
    <w:rsid w:val="008D5A33"/>
    <w:rsid w:val="008D61ED"/>
    <w:rsid w:val="008D744F"/>
    <w:rsid w:val="008D7B8B"/>
    <w:rsid w:val="008E2061"/>
    <w:rsid w:val="008E4152"/>
    <w:rsid w:val="008F224D"/>
    <w:rsid w:val="008F2830"/>
    <w:rsid w:val="008F2F44"/>
    <w:rsid w:val="00912537"/>
    <w:rsid w:val="00913A27"/>
    <w:rsid w:val="00917BAF"/>
    <w:rsid w:val="0092293C"/>
    <w:rsid w:val="00924C84"/>
    <w:rsid w:val="00925DA2"/>
    <w:rsid w:val="00927160"/>
    <w:rsid w:val="009319FE"/>
    <w:rsid w:val="0093542A"/>
    <w:rsid w:val="00942617"/>
    <w:rsid w:val="0094389A"/>
    <w:rsid w:val="00944494"/>
    <w:rsid w:val="00945106"/>
    <w:rsid w:val="009501B2"/>
    <w:rsid w:val="009539A8"/>
    <w:rsid w:val="00954901"/>
    <w:rsid w:val="00956717"/>
    <w:rsid w:val="00961FD6"/>
    <w:rsid w:val="0096453F"/>
    <w:rsid w:val="0096736F"/>
    <w:rsid w:val="00993095"/>
    <w:rsid w:val="00993F06"/>
    <w:rsid w:val="00995211"/>
    <w:rsid w:val="009960C6"/>
    <w:rsid w:val="009A3652"/>
    <w:rsid w:val="009A78E0"/>
    <w:rsid w:val="009A7B24"/>
    <w:rsid w:val="009B2AF3"/>
    <w:rsid w:val="009B47BB"/>
    <w:rsid w:val="009B4A68"/>
    <w:rsid w:val="009C4719"/>
    <w:rsid w:val="009D0EDC"/>
    <w:rsid w:val="009E4783"/>
    <w:rsid w:val="009E73B1"/>
    <w:rsid w:val="009F06EB"/>
    <w:rsid w:val="009F25F0"/>
    <w:rsid w:val="009F5E5D"/>
    <w:rsid w:val="009F60A7"/>
    <w:rsid w:val="00A00007"/>
    <w:rsid w:val="00A0781B"/>
    <w:rsid w:val="00A1350A"/>
    <w:rsid w:val="00A13D61"/>
    <w:rsid w:val="00A15785"/>
    <w:rsid w:val="00A17654"/>
    <w:rsid w:val="00A23902"/>
    <w:rsid w:val="00A34298"/>
    <w:rsid w:val="00A42A18"/>
    <w:rsid w:val="00A4308B"/>
    <w:rsid w:val="00A460C5"/>
    <w:rsid w:val="00A476E8"/>
    <w:rsid w:val="00A55CB6"/>
    <w:rsid w:val="00A763A6"/>
    <w:rsid w:val="00A96F5F"/>
    <w:rsid w:val="00AA1B6D"/>
    <w:rsid w:val="00AA3F82"/>
    <w:rsid w:val="00AA6813"/>
    <w:rsid w:val="00AB3547"/>
    <w:rsid w:val="00AC215C"/>
    <w:rsid w:val="00AC6BF5"/>
    <w:rsid w:val="00AD45BF"/>
    <w:rsid w:val="00AE0D1F"/>
    <w:rsid w:val="00AE1442"/>
    <w:rsid w:val="00AE2606"/>
    <w:rsid w:val="00AE41B7"/>
    <w:rsid w:val="00AF4918"/>
    <w:rsid w:val="00AF71FB"/>
    <w:rsid w:val="00B02152"/>
    <w:rsid w:val="00B109D4"/>
    <w:rsid w:val="00B139CF"/>
    <w:rsid w:val="00B17D05"/>
    <w:rsid w:val="00B22443"/>
    <w:rsid w:val="00B23792"/>
    <w:rsid w:val="00B35A9A"/>
    <w:rsid w:val="00B36AA2"/>
    <w:rsid w:val="00B410FE"/>
    <w:rsid w:val="00B53613"/>
    <w:rsid w:val="00B57157"/>
    <w:rsid w:val="00B65C1E"/>
    <w:rsid w:val="00B67664"/>
    <w:rsid w:val="00B760F2"/>
    <w:rsid w:val="00B83D4C"/>
    <w:rsid w:val="00B91395"/>
    <w:rsid w:val="00B931C1"/>
    <w:rsid w:val="00BA11D1"/>
    <w:rsid w:val="00BA2768"/>
    <w:rsid w:val="00BB1B19"/>
    <w:rsid w:val="00BC0228"/>
    <w:rsid w:val="00BC4542"/>
    <w:rsid w:val="00BC6D1D"/>
    <w:rsid w:val="00BC6EF5"/>
    <w:rsid w:val="00BE3542"/>
    <w:rsid w:val="00BE387A"/>
    <w:rsid w:val="00BE3A82"/>
    <w:rsid w:val="00BE4B9B"/>
    <w:rsid w:val="00BF1853"/>
    <w:rsid w:val="00C10ACB"/>
    <w:rsid w:val="00C14F3E"/>
    <w:rsid w:val="00C234A4"/>
    <w:rsid w:val="00C3419E"/>
    <w:rsid w:val="00C443A2"/>
    <w:rsid w:val="00C458E1"/>
    <w:rsid w:val="00C520DC"/>
    <w:rsid w:val="00C74E39"/>
    <w:rsid w:val="00C75797"/>
    <w:rsid w:val="00C77539"/>
    <w:rsid w:val="00C77C49"/>
    <w:rsid w:val="00C824B6"/>
    <w:rsid w:val="00C90E9D"/>
    <w:rsid w:val="00C93F2E"/>
    <w:rsid w:val="00CA4A52"/>
    <w:rsid w:val="00CA51E1"/>
    <w:rsid w:val="00CA7AF8"/>
    <w:rsid w:val="00CB40D7"/>
    <w:rsid w:val="00CB51C9"/>
    <w:rsid w:val="00CB5356"/>
    <w:rsid w:val="00CB6507"/>
    <w:rsid w:val="00CD29CD"/>
    <w:rsid w:val="00CD2DFE"/>
    <w:rsid w:val="00CE29BF"/>
    <w:rsid w:val="00CE3BCB"/>
    <w:rsid w:val="00CE3D0D"/>
    <w:rsid w:val="00CE45F2"/>
    <w:rsid w:val="00CE5078"/>
    <w:rsid w:val="00CF07AB"/>
    <w:rsid w:val="00CF45CF"/>
    <w:rsid w:val="00D04C05"/>
    <w:rsid w:val="00D15922"/>
    <w:rsid w:val="00D17BCA"/>
    <w:rsid w:val="00D253AC"/>
    <w:rsid w:val="00D27628"/>
    <w:rsid w:val="00D3411B"/>
    <w:rsid w:val="00D36010"/>
    <w:rsid w:val="00D41D3C"/>
    <w:rsid w:val="00D60048"/>
    <w:rsid w:val="00D60926"/>
    <w:rsid w:val="00D61D45"/>
    <w:rsid w:val="00D73BA8"/>
    <w:rsid w:val="00D73BBC"/>
    <w:rsid w:val="00D76442"/>
    <w:rsid w:val="00D91485"/>
    <w:rsid w:val="00D93841"/>
    <w:rsid w:val="00D94254"/>
    <w:rsid w:val="00D95891"/>
    <w:rsid w:val="00DA0968"/>
    <w:rsid w:val="00DA1C59"/>
    <w:rsid w:val="00DA6095"/>
    <w:rsid w:val="00DB0532"/>
    <w:rsid w:val="00DB0CCB"/>
    <w:rsid w:val="00DB3BFD"/>
    <w:rsid w:val="00DB48BA"/>
    <w:rsid w:val="00DB6BCE"/>
    <w:rsid w:val="00DC6E79"/>
    <w:rsid w:val="00DD300E"/>
    <w:rsid w:val="00DD41A1"/>
    <w:rsid w:val="00DD5E75"/>
    <w:rsid w:val="00DD6682"/>
    <w:rsid w:val="00DE56EB"/>
    <w:rsid w:val="00E12104"/>
    <w:rsid w:val="00E170B0"/>
    <w:rsid w:val="00E2481E"/>
    <w:rsid w:val="00E24E69"/>
    <w:rsid w:val="00E32759"/>
    <w:rsid w:val="00E36BD1"/>
    <w:rsid w:val="00E42561"/>
    <w:rsid w:val="00E476EF"/>
    <w:rsid w:val="00E654C5"/>
    <w:rsid w:val="00E66426"/>
    <w:rsid w:val="00E715B0"/>
    <w:rsid w:val="00E81403"/>
    <w:rsid w:val="00E848C0"/>
    <w:rsid w:val="00EA3151"/>
    <w:rsid w:val="00EA35CD"/>
    <w:rsid w:val="00EA4CB8"/>
    <w:rsid w:val="00EB3C00"/>
    <w:rsid w:val="00EB452C"/>
    <w:rsid w:val="00EB5E96"/>
    <w:rsid w:val="00EE775E"/>
    <w:rsid w:val="00EF2475"/>
    <w:rsid w:val="00EF73D7"/>
    <w:rsid w:val="00EF7434"/>
    <w:rsid w:val="00F049F5"/>
    <w:rsid w:val="00F33593"/>
    <w:rsid w:val="00F33B1A"/>
    <w:rsid w:val="00F3474B"/>
    <w:rsid w:val="00F37F32"/>
    <w:rsid w:val="00F415B7"/>
    <w:rsid w:val="00F4411A"/>
    <w:rsid w:val="00F6112E"/>
    <w:rsid w:val="00F7152E"/>
    <w:rsid w:val="00F861A5"/>
    <w:rsid w:val="00F91756"/>
    <w:rsid w:val="00F930EE"/>
    <w:rsid w:val="00F96FB2"/>
    <w:rsid w:val="00FB08B4"/>
    <w:rsid w:val="00FD2846"/>
    <w:rsid w:val="00FE5661"/>
    <w:rsid w:val="00FE5940"/>
    <w:rsid w:val="00FF1073"/>
    <w:rsid w:val="00FF2A49"/>
    <w:rsid w:val="00FF39AE"/>
    <w:rsid w:val="00FF5DDF"/>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5CCB900-1AFA-4998-AEF7-F045749D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semiHidden/>
    <w:rsid w:val="008F2F44"/>
    <w:rPr>
      <w:sz w:val="16"/>
      <w:szCs w:val="16"/>
    </w:rPr>
  </w:style>
  <w:style w:type="paragraph" w:styleId="CommentText">
    <w:name w:val="annotation text"/>
    <w:basedOn w:val="Normal"/>
    <w:semiHidden/>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 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9E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E5661"/>
    <w:rPr>
      <w:rFonts w:ascii="Consolas" w:eastAsia="Calibri" w:hAnsi="Consolas"/>
      <w:sz w:val="21"/>
      <w:szCs w:val="21"/>
    </w:rPr>
  </w:style>
  <w:style w:type="character" w:customStyle="1" w:styleId="PlainTextChar">
    <w:name w:val="Plain Text Char"/>
    <w:link w:val="PlainText"/>
    <w:uiPriority w:val="99"/>
    <w:rsid w:val="00FE5661"/>
    <w:rPr>
      <w:rFonts w:ascii="Consolas" w:eastAsia="Calibri" w:hAnsi="Consolas"/>
      <w:sz w:val="21"/>
      <w:szCs w:val="21"/>
    </w:rPr>
  </w:style>
  <w:style w:type="character" w:styleId="FootnoteReference">
    <w:name w:val="footnote reference"/>
    <w:uiPriority w:val="99"/>
    <w:unhideWhenUsed/>
    <w:qFormat/>
    <w:rsid w:val="002900C5"/>
    <w:rPr>
      <w:vertAlign w:val="superscript"/>
    </w:rPr>
  </w:style>
  <w:style w:type="character" w:styleId="FollowedHyperlink">
    <w:name w:val="FollowedHyperlink"/>
    <w:rsid w:val="00A96F5F"/>
    <w:rPr>
      <w:color w:val="954F72"/>
      <w:u w:val="single"/>
    </w:rPr>
  </w:style>
  <w:style w:type="paragraph" w:styleId="FootnoteText">
    <w:name w:val="footnote text"/>
    <w:basedOn w:val="Normal"/>
    <w:link w:val="FootnoteTextChar"/>
    <w:uiPriority w:val="99"/>
    <w:unhideWhenUsed/>
    <w:rsid w:val="00C93F2E"/>
    <w:pPr>
      <w:textboxTightWrap w:val="allLines"/>
    </w:pPr>
    <w:rPr>
      <w:sz w:val="20"/>
      <w:szCs w:val="20"/>
    </w:rPr>
  </w:style>
  <w:style w:type="character" w:customStyle="1" w:styleId="FootnoteTextChar">
    <w:name w:val="Footnote Text Char"/>
    <w:basedOn w:val="DefaultParagraphFont"/>
    <w:link w:val="FootnoteText"/>
    <w:uiPriority w:val="99"/>
    <w:rsid w:val="00C93F2E"/>
  </w:style>
  <w:style w:type="paragraph" w:styleId="ListParagraph">
    <w:name w:val="List Paragraph"/>
    <w:basedOn w:val="Normal"/>
    <w:uiPriority w:val="34"/>
    <w:qFormat/>
    <w:rsid w:val="00F33593"/>
    <w:pPr>
      <w:ind w:left="720"/>
    </w:pPr>
  </w:style>
  <w:style w:type="character" w:styleId="UnresolvedMention">
    <w:name w:val="Unresolved Mention"/>
    <w:uiPriority w:val="99"/>
    <w:semiHidden/>
    <w:unhideWhenUsed/>
    <w:rsid w:val="00693B3B"/>
    <w:rPr>
      <w:color w:val="605E5C"/>
      <w:shd w:val="clear" w:color="auto" w:fill="E1DFDD"/>
    </w:rPr>
  </w:style>
  <w:style w:type="paragraph" w:customStyle="1" w:styleId="CISAListNumber">
    <w:name w:val="CISA List Number"/>
    <w:basedOn w:val="NoSpacing"/>
    <w:qFormat/>
    <w:rsid w:val="00C14F3E"/>
    <w:pPr>
      <w:numPr>
        <w:numId w:val="30"/>
      </w:numPr>
      <w:tabs>
        <w:tab w:val="num" w:pos="720"/>
        <w:tab w:val="left" w:pos="1440"/>
      </w:tabs>
      <w:ind w:left="720"/>
    </w:pPr>
  </w:style>
  <w:style w:type="paragraph" w:styleId="NoSpacing">
    <w:name w:val="No Spacing"/>
    <w:uiPriority w:val="1"/>
    <w:qFormat/>
    <w:rsid w:val="00C14F3E"/>
    <w:rPr>
      <w:sz w:val="24"/>
      <w:szCs w:val="24"/>
    </w:rPr>
  </w:style>
  <w:style w:type="paragraph" w:styleId="Revision">
    <w:name w:val="Revision"/>
    <w:hidden/>
    <w:uiPriority w:val="99"/>
    <w:semiHidden/>
    <w:rsid w:val="00D17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1069">
      <w:bodyDiv w:val="1"/>
      <w:marLeft w:val="0"/>
      <w:marRight w:val="0"/>
      <w:marTop w:val="0"/>
      <w:marBottom w:val="0"/>
      <w:divBdr>
        <w:top w:val="none" w:sz="0" w:space="0" w:color="auto"/>
        <w:left w:val="none" w:sz="0" w:space="0" w:color="auto"/>
        <w:bottom w:val="none" w:sz="0" w:space="0" w:color="auto"/>
        <w:right w:val="none" w:sz="0" w:space="0" w:color="auto"/>
      </w:divBdr>
    </w:div>
    <w:div w:id="577979649">
      <w:bodyDiv w:val="1"/>
      <w:marLeft w:val="0"/>
      <w:marRight w:val="0"/>
      <w:marTop w:val="0"/>
      <w:marBottom w:val="0"/>
      <w:divBdr>
        <w:top w:val="none" w:sz="0" w:space="0" w:color="auto"/>
        <w:left w:val="none" w:sz="0" w:space="0" w:color="auto"/>
        <w:bottom w:val="none" w:sz="0" w:space="0" w:color="auto"/>
        <w:right w:val="none" w:sz="0" w:space="0" w:color="auto"/>
      </w:divBdr>
    </w:div>
    <w:div w:id="1026826877">
      <w:bodyDiv w:val="1"/>
      <w:marLeft w:val="0"/>
      <w:marRight w:val="0"/>
      <w:marTop w:val="0"/>
      <w:marBottom w:val="0"/>
      <w:divBdr>
        <w:top w:val="none" w:sz="0" w:space="0" w:color="auto"/>
        <w:left w:val="none" w:sz="0" w:space="0" w:color="auto"/>
        <w:bottom w:val="none" w:sz="0" w:space="0" w:color="auto"/>
        <w:right w:val="none" w:sz="0" w:space="0" w:color="auto"/>
      </w:divBdr>
    </w:div>
    <w:div w:id="1170215924">
      <w:bodyDiv w:val="1"/>
      <w:marLeft w:val="0"/>
      <w:marRight w:val="0"/>
      <w:marTop w:val="0"/>
      <w:marBottom w:val="0"/>
      <w:divBdr>
        <w:top w:val="none" w:sz="0" w:space="0" w:color="auto"/>
        <w:left w:val="none" w:sz="0" w:space="0" w:color="auto"/>
        <w:bottom w:val="none" w:sz="0" w:space="0" w:color="auto"/>
        <w:right w:val="none" w:sz="0" w:space="0" w:color="auto"/>
      </w:divBdr>
    </w:div>
    <w:div w:id="1746370190">
      <w:bodyDiv w:val="1"/>
      <w:marLeft w:val="0"/>
      <w:marRight w:val="0"/>
      <w:marTop w:val="0"/>
      <w:marBottom w:val="0"/>
      <w:divBdr>
        <w:top w:val="none" w:sz="0" w:space="0" w:color="auto"/>
        <w:left w:val="none" w:sz="0" w:space="0" w:color="auto"/>
        <w:bottom w:val="none" w:sz="0" w:space="0" w:color="auto"/>
        <w:right w:val="none" w:sz="0" w:space="0" w:color="auto"/>
      </w:divBdr>
    </w:div>
    <w:div w:id="1912305852">
      <w:bodyDiv w:val="1"/>
      <w:marLeft w:val="0"/>
      <w:marRight w:val="0"/>
      <w:marTop w:val="0"/>
      <w:marBottom w:val="0"/>
      <w:divBdr>
        <w:top w:val="none" w:sz="0" w:space="0" w:color="auto"/>
        <w:left w:val="none" w:sz="0" w:space="0" w:color="auto"/>
        <w:bottom w:val="none" w:sz="0" w:space="0" w:color="auto"/>
        <w:right w:val="none" w:sz="0" w:space="0" w:color="auto"/>
      </w:divBdr>
    </w:div>
    <w:div w:id="1956791874">
      <w:bodyDiv w:val="1"/>
      <w:marLeft w:val="0"/>
      <w:marRight w:val="0"/>
      <w:marTop w:val="0"/>
      <w:marBottom w:val="0"/>
      <w:divBdr>
        <w:top w:val="none" w:sz="0" w:space="0" w:color="auto"/>
        <w:left w:val="none" w:sz="0" w:space="0" w:color="auto"/>
        <w:bottom w:val="none" w:sz="0" w:space="0" w:color="auto"/>
        <w:right w:val="none" w:sz="0" w:space="0" w:color="auto"/>
      </w:divBdr>
    </w:div>
    <w:div w:id="2114863130">
      <w:bodyDiv w:val="1"/>
      <w:marLeft w:val="0"/>
      <w:marRight w:val="0"/>
      <w:marTop w:val="0"/>
      <w:marBottom w:val="0"/>
      <w:divBdr>
        <w:top w:val="none" w:sz="0" w:space="0" w:color="auto"/>
        <w:left w:val="none" w:sz="0" w:space="0" w:color="auto"/>
        <w:bottom w:val="none" w:sz="0" w:space="0" w:color="auto"/>
        <w:right w:val="none" w:sz="0" w:space="0" w:color="auto"/>
      </w:divBdr>
      <w:divsChild>
        <w:div w:id="719128656">
          <w:marLeft w:val="0"/>
          <w:marRight w:val="0"/>
          <w:marTop w:val="0"/>
          <w:marBottom w:val="0"/>
          <w:divBdr>
            <w:top w:val="none" w:sz="0" w:space="0" w:color="auto"/>
            <w:left w:val="none" w:sz="0" w:space="0" w:color="auto"/>
            <w:bottom w:val="none" w:sz="0" w:space="0" w:color="auto"/>
            <w:right w:val="none" w:sz="0" w:space="0" w:color="auto"/>
          </w:divBdr>
          <w:divsChild>
            <w:div w:id="268704978">
              <w:marLeft w:val="0"/>
              <w:marRight w:val="0"/>
              <w:marTop w:val="0"/>
              <w:marBottom w:val="0"/>
              <w:divBdr>
                <w:top w:val="none" w:sz="0" w:space="0" w:color="auto"/>
                <w:left w:val="none" w:sz="0" w:space="0" w:color="auto"/>
                <w:bottom w:val="none" w:sz="0" w:space="0" w:color="auto"/>
                <w:right w:val="none" w:sz="0" w:space="0" w:color="auto"/>
              </w:divBdr>
              <w:divsChild>
                <w:div w:id="843591453">
                  <w:marLeft w:val="0"/>
                  <w:marRight w:val="0"/>
                  <w:marTop w:val="600"/>
                  <w:marBottom w:val="0"/>
                  <w:divBdr>
                    <w:top w:val="none" w:sz="0" w:space="0" w:color="auto"/>
                    <w:left w:val="none" w:sz="0" w:space="0" w:color="auto"/>
                    <w:bottom w:val="none" w:sz="0" w:space="0" w:color="auto"/>
                    <w:right w:val="none" w:sz="0" w:space="0" w:color="auto"/>
                  </w:divBdr>
                  <w:divsChild>
                    <w:div w:id="1966352345">
                      <w:marLeft w:val="0"/>
                      <w:marRight w:val="0"/>
                      <w:marTop w:val="0"/>
                      <w:marBottom w:val="0"/>
                      <w:divBdr>
                        <w:top w:val="none" w:sz="0" w:space="0" w:color="auto"/>
                        <w:left w:val="none" w:sz="0" w:space="0" w:color="auto"/>
                        <w:bottom w:val="none" w:sz="0" w:space="0" w:color="auto"/>
                        <w:right w:val="none" w:sz="0" w:space="0" w:color="auto"/>
                      </w:divBdr>
                      <w:divsChild>
                        <w:div w:id="393629351">
                          <w:marLeft w:val="-225"/>
                          <w:marRight w:val="-225"/>
                          <w:marTop w:val="0"/>
                          <w:marBottom w:val="0"/>
                          <w:divBdr>
                            <w:top w:val="none" w:sz="0" w:space="0" w:color="auto"/>
                            <w:left w:val="none" w:sz="0" w:space="0" w:color="auto"/>
                            <w:bottom w:val="none" w:sz="0" w:space="0" w:color="auto"/>
                            <w:right w:val="none" w:sz="0" w:space="0" w:color="auto"/>
                          </w:divBdr>
                          <w:divsChild>
                            <w:div w:id="5946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policy-data-oversight/pay-leave/salaries-wages/salary-tables/20Tables/html/DCB.aspx" TargetMode="External"/><Relationship Id="rId2" Type="http://schemas.openxmlformats.org/officeDocument/2006/relationships/hyperlink" Target="https://www.bls.gov/oes/2019/may/999001.htm#00-0000" TargetMode="External"/><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46589D6E84A469C79B4E853A1BFD6" ma:contentTypeVersion="9" ma:contentTypeDescription="Create a new document." ma:contentTypeScope="" ma:versionID="45d9fe5cd439f87efc7662cf22fcdb53">
  <xsd:schema xmlns:xsd="http://www.w3.org/2001/XMLSchema" xmlns:xs="http://www.w3.org/2001/XMLSchema" xmlns:p="http://schemas.microsoft.com/office/2006/metadata/properties" xmlns:ns3="fe4cc7e7-ee82-4192-8307-e6650da5cf33" xmlns:ns4="a499b77c-d018-4cc8-aff0-5ec0929c3f05" targetNamespace="http://schemas.microsoft.com/office/2006/metadata/properties" ma:root="true" ma:fieldsID="6275d014a883da572b4652d7e2235e27" ns3:_="" ns4:_="">
    <xsd:import namespace="fe4cc7e7-ee82-4192-8307-e6650da5cf33"/>
    <xsd:import namespace="a499b77c-d018-4cc8-aff0-5ec0929c3f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c7e7-ee82-4192-8307-e6650da5c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b77c-d018-4cc8-aff0-5ec0929c3f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011E-DBBE-4704-BE8A-95AB9A4B35B6}">
  <ds:schemaRefs>
    <ds:schemaRef ds:uri="http://schemas.microsoft.com/office/2006/metadata/longProperties"/>
  </ds:schemaRefs>
</ds:datastoreItem>
</file>

<file path=customXml/itemProps2.xml><?xml version="1.0" encoding="utf-8"?>
<ds:datastoreItem xmlns:ds="http://schemas.openxmlformats.org/officeDocument/2006/customXml" ds:itemID="{A207FE20-5E6C-48D1-9DE5-ACEC87385E36}">
  <ds:schemaRefs>
    <ds:schemaRef ds:uri="http://schemas.microsoft.com/sharepoint/v3/contenttype/forms"/>
  </ds:schemaRefs>
</ds:datastoreItem>
</file>

<file path=customXml/itemProps3.xml><?xml version="1.0" encoding="utf-8"?>
<ds:datastoreItem xmlns:ds="http://schemas.openxmlformats.org/officeDocument/2006/customXml" ds:itemID="{CE07CFAD-2538-4486-9F6B-FD21FC72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c7e7-ee82-4192-8307-e6650da5cf33"/>
    <ds:schemaRef ds:uri="a499b77c-d018-4cc8-aff0-5ec0929c3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3686F-02E2-4969-B743-A974077AF0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FEADF9-4CD6-430A-BFFA-47BF6CA8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1670-NEW_COVID-19 Contact Tracing Reporting Form (CISA Priv 20200825)_1_SSA_v2</Template>
  <TotalTime>2</TotalTime>
  <Pages>7</Pages>
  <Words>2530</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17508</CharactersWithSpaces>
  <SharedDoc>false</SharedDoc>
  <HLinks>
    <vt:vector size="18" baseType="variant">
      <vt:variant>
        <vt:i4>6815867</vt:i4>
      </vt:variant>
      <vt:variant>
        <vt:i4>6</vt:i4>
      </vt:variant>
      <vt:variant>
        <vt:i4>0</vt:i4>
      </vt:variant>
      <vt:variant>
        <vt:i4>5</vt:i4>
      </vt:variant>
      <vt:variant>
        <vt:lpwstr>https://www.opm.gov/policy-data-oversight/pay-leave/salaries-wages/salary-tables/20Tables/html/DCB.aspx</vt:lpwstr>
      </vt:variant>
      <vt:variant>
        <vt:lpwstr/>
      </vt:variant>
      <vt:variant>
        <vt:i4>4653123</vt:i4>
      </vt:variant>
      <vt:variant>
        <vt:i4>3</vt:i4>
      </vt:variant>
      <vt:variant>
        <vt:i4>0</vt:i4>
      </vt:variant>
      <vt:variant>
        <vt:i4>5</vt:i4>
      </vt:variant>
      <vt:variant>
        <vt:lpwstr>https://www.bls.gov/oes/2019/may/999001.htm</vt:lpwstr>
      </vt:variant>
      <vt:variant>
        <vt:lpwstr>00-0000</vt:lpwstr>
      </vt:variant>
      <vt:variant>
        <vt:i4>1703952</vt:i4>
      </vt:variant>
      <vt:variant>
        <vt:i4>0</vt:i4>
      </vt:variant>
      <vt:variant>
        <vt:i4>0</vt:i4>
      </vt:variant>
      <vt:variant>
        <vt:i4>5</vt:i4>
      </vt:variant>
      <vt:variant>
        <vt:lpwstr>https://www.bls.gov/news.release/pdf/ecec.pdf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subject/>
  <dc:creator>fema user</dc:creator>
  <cp:keywords/>
  <cp:lastModifiedBy>Bruce, Mia</cp:lastModifiedBy>
  <cp:revision>2</cp:revision>
  <cp:lastPrinted>2014-02-10T19:56:00Z</cp:lastPrinted>
  <dcterms:created xsi:type="dcterms:W3CDTF">2020-10-23T17:10:00Z</dcterms:created>
  <dcterms:modified xsi:type="dcterms:W3CDTF">2020-10-23T17:10:00Z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ICR Element">
    <vt:lpwstr>Supporting Statement A</vt:lpwstr>
  </property>
  <property fmtid="{D5CDD505-2E9C-101B-9397-08002B2CF9AE}" pid="5" name="Document Type">
    <vt:lpwstr>ICR Forms &amp; Templates</vt:lpwstr>
  </property>
  <property fmtid="{D5CDD505-2E9C-101B-9397-08002B2CF9AE}" pid="6" name="_dlc_DocId">
    <vt:lpwstr>5YJZXJV6V4SC-1202-913</vt:lpwstr>
  </property>
  <property fmtid="{D5CDD505-2E9C-101B-9397-08002B2CF9AE}" pid="7" name="_dlc_DocIdItemGuid">
    <vt:lpwstr>eeb66673-b97f-4955-804e-78cc1984a0f8</vt:lpwstr>
  </property>
  <property fmtid="{D5CDD505-2E9C-101B-9397-08002B2CF9AE}" pid="8" name="_dlc_DocIdUrl">
    <vt:lpwstr>http://sptapp.dhs.gov/ESTT/IP_SOPD_CIB_CM/_layouts/DocIdRedir.aspx?ID=5YJZXJV6V4SC-1202-913, 5YJZXJV6V4SC-1202-913</vt:lpwstr>
  </property>
  <property fmtid="{D5CDD505-2E9C-101B-9397-08002B2CF9AE}" pid="9" name="ContentTypeId">
    <vt:lpwstr>0x01010093446589D6E84A469C79B4E853A1BFD6</vt:lpwstr>
  </property>
  <property fmtid="{D5CDD505-2E9C-101B-9397-08002B2CF9AE}" pid="10" name="_NewReviewCycle">
    <vt:lpwstr/>
  </property>
</Properties>
</file>