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237B0" w:rsidR="00F337CC" w:rsidP="00F337CC" w:rsidRDefault="00F337CC" w14:paraId="7F370206" w14:textId="77777777">
      <w:pPr>
        <w:ind w:left="420"/>
        <w:rPr>
          <w:b/>
          <w:sz w:val="24"/>
          <w:szCs w:val="24"/>
        </w:rPr>
      </w:pPr>
      <w:r w:rsidRPr="005F1991">
        <w:rPr>
          <w:b/>
          <w:sz w:val="24"/>
          <w:szCs w:val="24"/>
        </w:rPr>
        <w:t>§ 99.32(a)(4) –</w:t>
      </w:r>
    </w:p>
    <w:p w:rsidRPr="00B237B0" w:rsidR="00F337CC" w:rsidP="00F337CC" w:rsidRDefault="00F337CC" w14:paraId="7C55A360" w14:textId="77777777">
      <w:pPr>
        <w:autoSpaceDE w:val="0"/>
        <w:autoSpaceDN w:val="0"/>
        <w:adjustRightInd w:val="0"/>
        <w:rPr>
          <w:sz w:val="24"/>
          <w:szCs w:val="24"/>
        </w:rPr>
      </w:pPr>
    </w:p>
    <w:p w:rsidRPr="005F1991" w:rsidR="00F337CC" w:rsidP="00F337CC" w:rsidRDefault="00F337CC" w14:paraId="7C699C2C" w14:textId="77777777">
      <w:pPr>
        <w:ind w:left="420"/>
        <w:rPr>
          <w:sz w:val="24"/>
          <w:szCs w:val="24"/>
        </w:rPr>
      </w:pPr>
      <w:r w:rsidRPr="005F1991">
        <w:rPr>
          <w:sz w:val="24"/>
          <w:szCs w:val="24"/>
        </w:rPr>
        <w:t>Final regulations also added § 99.32(a)(4) to require that, upon the request of a parent or eligible student, an educational agency or institution must obtain a copy of the record of further redisclosures described under § 99.32(b)(2) and make it available for review to the parent or eligible student.</w:t>
      </w:r>
    </w:p>
    <w:p w:rsidRPr="00B237B0" w:rsidR="00F337CC" w:rsidP="00F337CC" w:rsidRDefault="00F337CC" w14:paraId="7A993F63" w14:textId="77777777">
      <w:pPr>
        <w:rPr>
          <w:sz w:val="24"/>
          <w:szCs w:val="24"/>
          <w:highlight w:val="yellow"/>
        </w:rPr>
      </w:pPr>
    </w:p>
    <w:p w:rsidRPr="005F1991" w:rsidR="00F337CC" w:rsidP="00F337CC" w:rsidRDefault="00F337CC" w14:paraId="6421BF76" w14:textId="77777777">
      <w:pPr>
        <w:pStyle w:val="BodyTextIndent2"/>
        <w:ind w:left="420"/>
        <w:rPr>
          <w:szCs w:val="24"/>
        </w:rPr>
      </w:pPr>
      <w:r w:rsidRPr="005F1991">
        <w:rPr>
          <w:szCs w:val="24"/>
        </w:rPr>
        <w:t xml:space="preserve">State educational authorities and Federal officials and agencies that maintain records of redisclosures will have to make that information available to the educational agency or institution whose records were redisclosed, upon request, so that the agency or institution can make that record available to a parent or eligible student who has asked to inspect and review the student’s record of disclosures.  We estimate that two educational authorities or agencies in each State and the </w:t>
      </w:r>
      <w:smartTag w:uri="urn:schemas-microsoft-com:office:smarttags" w:element="place">
        <w:smartTag w:uri="urn:schemas-microsoft-com:office:smarttags" w:element="State">
          <w:r w:rsidRPr="005F1991">
            <w:rPr>
              <w:szCs w:val="24"/>
            </w:rPr>
            <w:t>District of Columbia</w:t>
          </w:r>
        </w:smartTag>
      </w:smartTag>
      <w:r w:rsidRPr="005F1991">
        <w:rPr>
          <w:szCs w:val="24"/>
        </w:rPr>
        <w:t xml:space="preserve"> (one for K-12 and one for postsecondary) and the Department itself, for a total of 103 authorities, will maintain the required records of redisclosures.  We assume that it will take .25 hours (15 minutes) per disclosure to locate and print a record of disclosures for this requirement.  Based on our administrative experience over the years, we assume that few parents and students request this information and, therefore, use an estimate that one tenth of one percent of a total of 68.1 million students will make such a request each year, or 68,076 requests.  This translates to an average of 3 disclosures per school. (Divided total number of schools by total number of requests.)  The total number of disclosures by State and Federal educational authorities will be the same as that calculated for schools.  </w:t>
      </w:r>
    </w:p>
    <w:p w:rsidRPr="00B237B0" w:rsidR="00F337CC" w:rsidP="00F337CC" w:rsidRDefault="00F337CC" w14:paraId="7DBAED80" w14:textId="77777777">
      <w:pPr>
        <w:pStyle w:val="BodyTextIndent2"/>
        <w:ind w:left="0"/>
        <w:rPr>
          <w:szCs w:val="24"/>
          <w:highlight w:val="yellow"/>
        </w:rPr>
      </w:pPr>
    </w:p>
    <w:p w:rsidRPr="005F1991" w:rsidR="00F337CC" w:rsidP="00F337CC" w:rsidRDefault="00F337CC" w14:paraId="07364D53" w14:textId="77777777">
      <w:pPr>
        <w:pStyle w:val="BodyTextIndent2"/>
        <w:ind w:left="0"/>
        <w:rPr>
          <w:szCs w:val="24"/>
        </w:rPr>
      </w:pPr>
      <w:r w:rsidRPr="005F1991">
        <w:rPr>
          <w:szCs w:val="24"/>
        </w:rPr>
        <w:tab/>
        <w:t xml:space="preserve">No. of Schools &amp; </w:t>
      </w:r>
      <w:proofErr w:type="spellStart"/>
      <w:r w:rsidRPr="005F1991">
        <w:rPr>
          <w:szCs w:val="24"/>
        </w:rPr>
        <w:t>Postsec</w:t>
      </w:r>
      <w:proofErr w:type="spellEnd"/>
      <w:r w:rsidRPr="005F1991">
        <w:rPr>
          <w:szCs w:val="24"/>
        </w:rPr>
        <w:t>. Inst.:</w:t>
      </w:r>
      <w:r w:rsidRPr="005F1991">
        <w:rPr>
          <w:szCs w:val="24"/>
        </w:rPr>
        <w:tab/>
        <w:t>20,629</w:t>
      </w:r>
    </w:p>
    <w:p w:rsidRPr="005F1991" w:rsidR="00F337CC" w:rsidP="00F337CC" w:rsidRDefault="00F337CC" w14:paraId="49412C83" w14:textId="77777777">
      <w:pPr>
        <w:pStyle w:val="BodyTextIndent2"/>
        <w:ind w:left="0"/>
        <w:rPr>
          <w:szCs w:val="24"/>
          <w:u w:val="single"/>
        </w:rPr>
      </w:pPr>
      <w:r w:rsidRPr="005F1991">
        <w:rPr>
          <w:szCs w:val="24"/>
        </w:rPr>
        <w:tab/>
      </w:r>
      <w:r w:rsidRPr="005F1991">
        <w:rPr>
          <w:szCs w:val="24"/>
          <w:u w:val="single"/>
        </w:rPr>
        <w:t xml:space="preserve">Average No. of </w:t>
      </w:r>
      <w:proofErr w:type="spellStart"/>
      <w:r w:rsidRPr="005F1991">
        <w:rPr>
          <w:szCs w:val="24"/>
          <w:u w:val="single"/>
        </w:rPr>
        <w:t>Discloures</w:t>
      </w:r>
      <w:proofErr w:type="spellEnd"/>
      <w:r w:rsidRPr="005F1991">
        <w:rPr>
          <w:szCs w:val="24"/>
          <w:u w:val="single"/>
        </w:rPr>
        <w:t xml:space="preserve">:   </w:t>
      </w:r>
      <w:r w:rsidRPr="005F1991">
        <w:rPr>
          <w:szCs w:val="24"/>
          <w:u w:val="single"/>
        </w:rPr>
        <w:tab/>
        <w:t xml:space="preserve">     x</w:t>
      </w:r>
      <w:r w:rsidRPr="005F1991">
        <w:rPr>
          <w:szCs w:val="24"/>
          <w:u w:val="single"/>
        </w:rPr>
        <w:tab/>
        <w:t xml:space="preserve">         3</w:t>
      </w:r>
    </w:p>
    <w:p w:rsidRPr="005F1991" w:rsidR="00F337CC" w:rsidP="00F337CC" w:rsidRDefault="00F337CC" w14:paraId="645582BE" w14:textId="77777777">
      <w:pPr>
        <w:pStyle w:val="BodyTextIndent2"/>
        <w:ind w:left="0"/>
        <w:rPr>
          <w:szCs w:val="24"/>
        </w:rPr>
      </w:pPr>
      <w:r w:rsidRPr="005F1991">
        <w:rPr>
          <w:szCs w:val="24"/>
        </w:rPr>
        <w:tab/>
        <w:t># of Responses</w:t>
      </w:r>
      <w:r w:rsidRPr="005F1991">
        <w:rPr>
          <w:szCs w:val="24"/>
        </w:rPr>
        <w:tab/>
      </w:r>
      <w:r w:rsidRPr="005F1991">
        <w:rPr>
          <w:szCs w:val="24"/>
        </w:rPr>
        <w:tab/>
      </w:r>
      <w:r w:rsidRPr="005F1991">
        <w:rPr>
          <w:szCs w:val="24"/>
        </w:rPr>
        <w:tab/>
        <w:t>61,887</w:t>
      </w:r>
    </w:p>
    <w:p w:rsidRPr="00B237B0" w:rsidR="00F337CC" w:rsidP="00F337CC" w:rsidRDefault="00F337CC" w14:paraId="3F85951B" w14:textId="77777777">
      <w:pPr>
        <w:pStyle w:val="BodyTextIndent2"/>
        <w:ind w:left="0"/>
        <w:rPr>
          <w:szCs w:val="24"/>
          <w:highlight w:val="yellow"/>
        </w:rPr>
      </w:pPr>
    </w:p>
    <w:p w:rsidRPr="005F1991" w:rsidR="00F337CC" w:rsidP="00F337CC" w:rsidRDefault="00F337CC" w14:paraId="02B5FDBC" w14:textId="77777777">
      <w:pPr>
        <w:pStyle w:val="BodyTextIndent2"/>
        <w:ind w:left="0"/>
        <w:rPr>
          <w:szCs w:val="24"/>
          <w:u w:val="single"/>
        </w:rPr>
      </w:pPr>
      <w:r w:rsidRPr="005F1991">
        <w:rPr>
          <w:szCs w:val="24"/>
        </w:rPr>
        <w:tab/>
      </w:r>
      <w:r w:rsidRPr="005F1991">
        <w:rPr>
          <w:szCs w:val="24"/>
          <w:u w:val="single"/>
        </w:rPr>
        <w:t xml:space="preserve">Hours/Response: </w:t>
      </w:r>
      <w:r w:rsidRPr="005F1991">
        <w:rPr>
          <w:szCs w:val="24"/>
          <w:u w:val="single"/>
        </w:rPr>
        <w:tab/>
        <w:t>x</w:t>
      </w:r>
      <w:r w:rsidRPr="005F1991">
        <w:rPr>
          <w:szCs w:val="24"/>
          <w:u w:val="single"/>
        </w:rPr>
        <w:tab/>
      </w:r>
      <w:r w:rsidRPr="005F1991">
        <w:rPr>
          <w:szCs w:val="24"/>
          <w:u w:val="single"/>
        </w:rPr>
        <w:tab/>
        <w:t xml:space="preserve">      .25</w:t>
      </w:r>
    </w:p>
    <w:p w:rsidRPr="00B237B0" w:rsidR="00F337CC" w:rsidP="00F337CC" w:rsidRDefault="00F337CC" w14:paraId="1AD3CF5E" w14:textId="77777777">
      <w:pPr>
        <w:pStyle w:val="BodyTextIndent2"/>
        <w:ind w:left="0"/>
        <w:rPr>
          <w:szCs w:val="24"/>
          <w:highlight w:val="yellow"/>
        </w:rPr>
      </w:pPr>
    </w:p>
    <w:p w:rsidRPr="005F1991" w:rsidR="00F337CC" w:rsidP="00F337CC" w:rsidRDefault="00F337CC" w14:paraId="4AC71A39" w14:textId="77777777">
      <w:pPr>
        <w:pStyle w:val="BodyTextIndent2"/>
        <w:ind w:left="0"/>
        <w:rPr>
          <w:szCs w:val="24"/>
        </w:rPr>
      </w:pPr>
      <w:r w:rsidRPr="005F1991">
        <w:rPr>
          <w:szCs w:val="24"/>
        </w:rPr>
        <w:tab/>
        <w:t>Burden Hours</w:t>
      </w:r>
      <w:r w:rsidRPr="005F1991">
        <w:rPr>
          <w:szCs w:val="24"/>
        </w:rPr>
        <w:tab/>
      </w:r>
      <w:r w:rsidRPr="005F1991">
        <w:rPr>
          <w:szCs w:val="24"/>
        </w:rPr>
        <w:tab/>
      </w:r>
      <w:r w:rsidRPr="005F1991">
        <w:rPr>
          <w:szCs w:val="24"/>
        </w:rPr>
        <w:tab/>
      </w:r>
      <w:r w:rsidRPr="005F1991">
        <w:rPr>
          <w:szCs w:val="24"/>
        </w:rPr>
        <w:tab/>
        <w:t>15,472</w:t>
      </w:r>
    </w:p>
    <w:p w:rsidRPr="00B237B0" w:rsidR="00F337CC" w:rsidP="00F337CC" w:rsidRDefault="00F337CC" w14:paraId="5345DBB7" w14:textId="77777777">
      <w:pPr>
        <w:pStyle w:val="BodyTextIndent2"/>
        <w:ind w:left="0"/>
        <w:rPr>
          <w:szCs w:val="24"/>
          <w:highlight w:val="yellow"/>
        </w:rPr>
      </w:pPr>
    </w:p>
    <w:p w:rsidRPr="005F1991" w:rsidR="00F337CC" w:rsidP="00F337CC" w:rsidRDefault="00F337CC" w14:paraId="3A0AE19C" w14:textId="77777777">
      <w:pPr>
        <w:pStyle w:val="BodyTextIndent2"/>
        <w:ind w:left="0"/>
        <w:rPr>
          <w:szCs w:val="24"/>
        </w:rPr>
      </w:pPr>
      <w:r w:rsidRPr="005F1991">
        <w:rPr>
          <w:szCs w:val="24"/>
        </w:rPr>
        <w:tab/>
        <w:t xml:space="preserve">Average No. of  Disclosures by </w:t>
      </w:r>
    </w:p>
    <w:p w:rsidRPr="00B237B0" w:rsidR="00F337CC" w:rsidP="00F337CC" w:rsidRDefault="00F337CC" w14:paraId="4E7DE740" w14:textId="77777777">
      <w:pPr>
        <w:pStyle w:val="BodyTextIndent2"/>
        <w:ind w:left="0" w:firstLine="720"/>
        <w:rPr>
          <w:szCs w:val="24"/>
          <w:highlight w:val="yellow"/>
          <w:u w:val="single"/>
        </w:rPr>
      </w:pPr>
      <w:r w:rsidRPr="005F1991">
        <w:rPr>
          <w:szCs w:val="24"/>
          <w:u w:val="single"/>
        </w:rPr>
        <w:t xml:space="preserve">    State &amp; Fed. Ed. Authorities:</w:t>
      </w:r>
      <w:r w:rsidRPr="005F1991">
        <w:rPr>
          <w:szCs w:val="24"/>
          <w:u w:val="single"/>
        </w:rPr>
        <w:tab/>
        <w:t xml:space="preserve">      61,887</w:t>
      </w:r>
    </w:p>
    <w:p w:rsidRPr="005F1991" w:rsidR="00F337CC" w:rsidP="00F337CC" w:rsidRDefault="00F337CC" w14:paraId="4F1D6A53" w14:textId="77777777">
      <w:pPr>
        <w:pStyle w:val="BodyTextIndent2"/>
        <w:ind w:left="0"/>
        <w:rPr>
          <w:szCs w:val="24"/>
        </w:rPr>
      </w:pPr>
      <w:r w:rsidRPr="005F1991">
        <w:rPr>
          <w:szCs w:val="24"/>
        </w:rPr>
        <w:tab/>
      </w:r>
    </w:p>
    <w:p w:rsidRPr="005F1991" w:rsidR="00F337CC" w:rsidP="00F337CC" w:rsidRDefault="00F337CC" w14:paraId="3684D775" w14:textId="77777777">
      <w:pPr>
        <w:pStyle w:val="BodyTextIndent2"/>
        <w:ind w:left="0"/>
        <w:rPr>
          <w:szCs w:val="24"/>
          <w:u w:val="single"/>
        </w:rPr>
      </w:pPr>
      <w:r w:rsidRPr="005F1991">
        <w:rPr>
          <w:szCs w:val="24"/>
        </w:rPr>
        <w:tab/>
      </w:r>
      <w:r w:rsidRPr="005F1991">
        <w:rPr>
          <w:szCs w:val="24"/>
          <w:u w:val="single"/>
        </w:rPr>
        <w:t>Hours/Response:</w:t>
      </w:r>
      <w:r w:rsidRPr="005F1991">
        <w:rPr>
          <w:szCs w:val="24"/>
          <w:u w:val="single"/>
        </w:rPr>
        <w:tab/>
        <w:t>x</w:t>
      </w:r>
      <w:r w:rsidRPr="005F1991">
        <w:rPr>
          <w:szCs w:val="24"/>
          <w:u w:val="single"/>
        </w:rPr>
        <w:tab/>
        <w:t xml:space="preserve">                    .25</w:t>
      </w:r>
    </w:p>
    <w:p w:rsidRPr="00B237B0" w:rsidR="00F337CC" w:rsidP="00F337CC" w:rsidRDefault="00F337CC" w14:paraId="214A6D29" w14:textId="77777777">
      <w:pPr>
        <w:pStyle w:val="BodyTextIndent2"/>
        <w:ind w:left="0"/>
        <w:rPr>
          <w:szCs w:val="24"/>
          <w:highlight w:val="yellow"/>
          <w:u w:val="single"/>
        </w:rPr>
      </w:pPr>
    </w:p>
    <w:p w:rsidRPr="005F1991" w:rsidR="00F337CC" w:rsidP="00F337CC" w:rsidRDefault="00F337CC" w14:paraId="3F4A8693" w14:textId="77777777">
      <w:pPr>
        <w:pStyle w:val="BodyTextIndent2"/>
        <w:ind w:left="0"/>
        <w:rPr>
          <w:szCs w:val="24"/>
        </w:rPr>
      </w:pPr>
      <w:r w:rsidRPr="005F1991">
        <w:rPr>
          <w:szCs w:val="24"/>
        </w:rPr>
        <w:tab/>
        <w:t>Burden Hours</w:t>
      </w:r>
      <w:r w:rsidRPr="005F1991">
        <w:rPr>
          <w:szCs w:val="24"/>
        </w:rPr>
        <w:tab/>
      </w:r>
      <w:r w:rsidRPr="005F1991">
        <w:rPr>
          <w:szCs w:val="24"/>
        </w:rPr>
        <w:tab/>
      </w:r>
      <w:r w:rsidRPr="005F1991">
        <w:rPr>
          <w:szCs w:val="24"/>
        </w:rPr>
        <w:tab/>
      </w:r>
      <w:r w:rsidRPr="005F1991">
        <w:rPr>
          <w:szCs w:val="24"/>
        </w:rPr>
        <w:tab/>
        <w:t xml:space="preserve">  15,472   </w:t>
      </w:r>
    </w:p>
    <w:p w:rsidRPr="00B237B0" w:rsidR="00F337CC" w:rsidP="00F337CC" w:rsidRDefault="00F337CC" w14:paraId="29199696" w14:textId="77777777">
      <w:pPr>
        <w:pStyle w:val="BodyTextIndent2"/>
        <w:ind w:left="0"/>
        <w:rPr>
          <w:szCs w:val="24"/>
          <w:highlight w:val="yellow"/>
        </w:rPr>
      </w:pPr>
    </w:p>
    <w:p w:rsidRPr="00B237B0" w:rsidR="00F337CC" w:rsidP="00F337CC" w:rsidRDefault="00F337CC" w14:paraId="55B2C285" w14:textId="77777777">
      <w:pPr>
        <w:pStyle w:val="BodyTextIndent2"/>
        <w:ind w:left="0"/>
        <w:rPr>
          <w:szCs w:val="24"/>
          <w:highlight w:val="yellow"/>
        </w:rPr>
      </w:pPr>
    </w:p>
    <w:p w:rsidRPr="005F1991" w:rsidR="00F337CC" w:rsidP="00F337CC" w:rsidRDefault="00F337CC" w14:paraId="45DD53D7" w14:textId="77777777">
      <w:pPr>
        <w:pStyle w:val="BodyTextIndent2"/>
        <w:ind w:left="0"/>
        <w:rPr>
          <w:szCs w:val="24"/>
        </w:rPr>
      </w:pPr>
      <w:r w:rsidRPr="005F1991">
        <w:rPr>
          <w:szCs w:val="24"/>
        </w:rPr>
        <w:tab/>
        <w:t>School Burden Hours:</w:t>
      </w:r>
      <w:r w:rsidRPr="005F1991">
        <w:rPr>
          <w:szCs w:val="24"/>
        </w:rPr>
        <w:tab/>
      </w:r>
      <w:r w:rsidRPr="005F1991">
        <w:rPr>
          <w:szCs w:val="24"/>
        </w:rPr>
        <w:tab/>
      </w:r>
      <w:r w:rsidRPr="005F1991">
        <w:rPr>
          <w:szCs w:val="24"/>
        </w:rPr>
        <w:tab/>
        <w:t>15,472</w:t>
      </w:r>
    </w:p>
    <w:p w:rsidRPr="005F1991" w:rsidR="00F337CC" w:rsidP="00F337CC" w:rsidRDefault="00F337CC" w14:paraId="56E62BAE" w14:textId="77777777">
      <w:pPr>
        <w:pStyle w:val="BodyTextIndent2"/>
        <w:ind w:left="0"/>
        <w:rPr>
          <w:szCs w:val="24"/>
          <w:u w:val="single"/>
        </w:rPr>
      </w:pPr>
      <w:r w:rsidRPr="005F1991">
        <w:rPr>
          <w:szCs w:val="24"/>
        </w:rPr>
        <w:tab/>
      </w:r>
      <w:r w:rsidRPr="005F1991">
        <w:rPr>
          <w:szCs w:val="24"/>
          <w:u w:val="single"/>
        </w:rPr>
        <w:t>State &amp; Fed. Burden Hours:</w:t>
      </w:r>
      <w:r w:rsidRPr="005F1991">
        <w:rPr>
          <w:szCs w:val="24"/>
          <w:u w:val="single"/>
        </w:rPr>
        <w:tab/>
        <w:t>+</w:t>
      </w:r>
      <w:r w:rsidRPr="005F1991">
        <w:rPr>
          <w:szCs w:val="24"/>
          <w:u w:val="single"/>
        </w:rPr>
        <w:tab/>
        <w:t>15,472</w:t>
      </w:r>
    </w:p>
    <w:p w:rsidRPr="005F1991" w:rsidR="00F337CC" w:rsidP="00F337CC" w:rsidRDefault="00F337CC" w14:paraId="5726A47A" w14:textId="77777777">
      <w:pPr>
        <w:pStyle w:val="BodyTextIndent2"/>
        <w:ind w:left="0"/>
        <w:rPr>
          <w:b/>
          <w:szCs w:val="24"/>
        </w:rPr>
      </w:pPr>
      <w:r w:rsidRPr="005F1991">
        <w:rPr>
          <w:szCs w:val="24"/>
        </w:rPr>
        <w:tab/>
      </w:r>
      <w:r w:rsidRPr="005F1991">
        <w:rPr>
          <w:b/>
          <w:szCs w:val="24"/>
        </w:rPr>
        <w:t>Total Burden Hours</w:t>
      </w:r>
      <w:r w:rsidRPr="005F1991">
        <w:rPr>
          <w:szCs w:val="24"/>
        </w:rPr>
        <w:tab/>
      </w:r>
      <w:r w:rsidRPr="005F1991">
        <w:rPr>
          <w:szCs w:val="24"/>
        </w:rPr>
        <w:tab/>
      </w:r>
      <w:r w:rsidRPr="005F1991">
        <w:rPr>
          <w:szCs w:val="24"/>
        </w:rPr>
        <w:tab/>
      </w:r>
      <w:r w:rsidRPr="005F1991">
        <w:rPr>
          <w:b/>
          <w:szCs w:val="24"/>
        </w:rPr>
        <w:t>30,944</w:t>
      </w:r>
    </w:p>
    <w:p w:rsidRPr="00B237B0" w:rsidR="00F337CC" w:rsidP="00F337CC" w:rsidRDefault="00F337CC" w14:paraId="0080B63D" w14:textId="77777777">
      <w:pPr>
        <w:pStyle w:val="BodyTextIndent2"/>
        <w:ind w:left="0"/>
        <w:rPr>
          <w:szCs w:val="24"/>
          <w:highlight w:val="yellow"/>
        </w:rPr>
      </w:pPr>
    </w:p>
    <w:p w:rsidRPr="00B237B0" w:rsidR="00F337CC" w:rsidP="00F337CC" w:rsidRDefault="00F337CC" w14:paraId="64DBF46F" w14:textId="77777777">
      <w:pPr>
        <w:pStyle w:val="BodyTextIndent2"/>
        <w:ind w:left="0"/>
        <w:rPr>
          <w:b/>
          <w:szCs w:val="24"/>
        </w:rPr>
      </w:pPr>
    </w:p>
    <w:p w:rsidR="00F337CC" w:rsidRDefault="00F337CC" w14:paraId="653D41F5" w14:textId="77777777"/>
    <w:sectPr w:rsidR="00F337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7CC"/>
    <w:rsid w:val="00914DEA"/>
    <w:rsid w:val="00F3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CAC28C2"/>
  <w15:chartTrackingRefBased/>
  <w15:docId w15:val="{6CD2E3E7-D181-49BC-BC08-AFFBCF01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7C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F337CC"/>
    <w:pPr>
      <w:ind w:left="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99</vt:lpstr>
    </vt:vector>
  </TitlesOfParts>
  <Company>U.S. Department of Education</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99</dc:title>
  <dc:subject/>
  <dc:creator>#Administrator</dc:creator>
  <cp:keywords/>
  <dc:description/>
  <cp:lastModifiedBy>Valentine, Stephanie</cp:lastModifiedBy>
  <cp:revision>2</cp:revision>
  <dcterms:created xsi:type="dcterms:W3CDTF">2020-12-29T15:35:00Z</dcterms:created>
  <dcterms:modified xsi:type="dcterms:W3CDTF">2020-12-29T15:35:00Z</dcterms:modified>
</cp:coreProperties>
</file>