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6F78" w:rsidR="005A6F78" w:rsidP="005A6F78" w:rsidRDefault="005A6F78" w14:paraId="657A87E8" w14:textId="77777777">
      <w:pPr>
        <w:spacing w:after="0"/>
        <w:jc w:val="center"/>
        <w:rPr>
          <w:rFonts w:ascii="Times New Roman" w:hAnsi="Times New Roman" w:cs="Times New Roman"/>
          <w:sz w:val="26"/>
          <w:szCs w:val="26"/>
        </w:rPr>
      </w:pPr>
      <w:r w:rsidRPr="005A6F78">
        <w:rPr>
          <w:rFonts w:ascii="Times New Roman" w:hAnsi="Times New Roman" w:cs="Times New Roman"/>
          <w:sz w:val="26"/>
          <w:szCs w:val="26"/>
        </w:rPr>
        <w:t>Supporting Statement</w:t>
      </w:r>
    </w:p>
    <w:p w:rsidRPr="005A6F78" w:rsidR="005A6F78" w:rsidP="005A6F78" w:rsidRDefault="00AC10AC" w14:paraId="28BCC85E" w14:textId="77777777">
      <w:pPr>
        <w:spacing w:after="0"/>
        <w:jc w:val="center"/>
        <w:rPr>
          <w:rFonts w:ascii="Times New Roman" w:hAnsi="Times New Roman" w:cs="Times New Roman"/>
          <w:b/>
          <w:sz w:val="26"/>
          <w:szCs w:val="26"/>
        </w:rPr>
      </w:pPr>
      <w:r>
        <w:rPr>
          <w:rFonts w:ascii="Times New Roman" w:hAnsi="Times New Roman" w:cs="Times New Roman"/>
          <w:b/>
          <w:sz w:val="26"/>
          <w:szCs w:val="26"/>
        </w:rPr>
        <w:t>FERC Form No. 523</w:t>
      </w:r>
      <w:r w:rsidR="00CD02E9">
        <w:rPr>
          <w:rFonts w:ascii="Times New Roman" w:hAnsi="Times New Roman" w:cs="Times New Roman"/>
          <w:b/>
          <w:sz w:val="26"/>
          <w:szCs w:val="26"/>
        </w:rPr>
        <w:t>,</w:t>
      </w:r>
      <w:r w:rsidRPr="005A6F78" w:rsidR="005A6F78">
        <w:rPr>
          <w:rFonts w:ascii="Times New Roman" w:hAnsi="Times New Roman" w:cs="Times New Roman"/>
          <w:b/>
          <w:sz w:val="26"/>
          <w:szCs w:val="26"/>
        </w:rPr>
        <w:t xml:space="preserve"> Application for Authorization of Issuance of Securities</w:t>
      </w:r>
      <w:r w:rsidR="00CD02E9">
        <w:rPr>
          <w:rFonts w:ascii="Times New Roman" w:hAnsi="Times New Roman" w:cs="Times New Roman"/>
          <w:b/>
          <w:sz w:val="26"/>
          <w:szCs w:val="26"/>
        </w:rPr>
        <w:t xml:space="preserve"> or the Assumption of Liabilities</w:t>
      </w:r>
    </w:p>
    <w:p w:rsidRPr="0011180E" w:rsidR="005A6F78" w:rsidP="005A6F78" w:rsidRDefault="0011180E" w14:paraId="6D5F8601" w14:textId="77777777">
      <w:pPr>
        <w:spacing w:after="0"/>
        <w:jc w:val="center"/>
        <w:rPr>
          <w:rFonts w:ascii="Times New Roman" w:hAnsi="Times New Roman" w:cs="Times New Roman"/>
          <w:sz w:val="26"/>
          <w:szCs w:val="26"/>
        </w:rPr>
      </w:pPr>
      <w:r>
        <w:rPr>
          <w:rFonts w:ascii="Times New Roman" w:hAnsi="Times New Roman" w:cs="Times New Roman"/>
          <w:sz w:val="26"/>
          <w:szCs w:val="26"/>
        </w:rPr>
        <w:t>(</w:t>
      </w:r>
      <w:r w:rsidRPr="0011180E" w:rsidR="005A6F78">
        <w:rPr>
          <w:rFonts w:ascii="Times New Roman" w:hAnsi="Times New Roman" w:cs="Times New Roman"/>
          <w:sz w:val="26"/>
          <w:szCs w:val="26"/>
        </w:rPr>
        <w:t>Three-year approval for extension requested</w:t>
      </w:r>
      <w:r>
        <w:rPr>
          <w:rFonts w:ascii="Times New Roman" w:hAnsi="Times New Roman" w:cs="Times New Roman"/>
          <w:sz w:val="26"/>
          <w:szCs w:val="26"/>
        </w:rPr>
        <w:t>)</w:t>
      </w:r>
    </w:p>
    <w:p w:rsidRPr="005A6F78" w:rsidR="005A6F78" w:rsidP="005A6F78" w:rsidRDefault="005A6F78" w14:paraId="04A4B5A0" w14:textId="77777777">
      <w:pPr>
        <w:spacing w:after="0"/>
        <w:jc w:val="center"/>
        <w:rPr>
          <w:rFonts w:ascii="Times New Roman" w:hAnsi="Times New Roman" w:cs="Times New Roman"/>
          <w:sz w:val="26"/>
          <w:szCs w:val="26"/>
        </w:rPr>
      </w:pPr>
    </w:p>
    <w:p w:rsidRPr="005A6F78" w:rsidR="005A6F78" w:rsidP="005A6F78" w:rsidRDefault="005A6F78" w14:paraId="3DD865E9"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Federal Energy Regulatory Commission (FERC of Commission) requests that the Office of Management and Budget (OMB) review and approve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(Application for Authorization of Issuance of Securities) information collection for a three-year period under OMB Control No. 1902-0043. These requirements are part of the Commission’s regulations in 18 Code of Federal Regulations (CFR) 34, 131.43, and 131.50.</w:t>
      </w:r>
    </w:p>
    <w:p w:rsidRPr="005A6F78" w:rsidR="005A6F78" w:rsidP="005A6F78" w:rsidRDefault="005A6F78" w14:paraId="31CA6A9F" w14:textId="77777777">
      <w:pPr>
        <w:spacing w:after="0"/>
        <w:rPr>
          <w:rFonts w:ascii="Times New Roman" w:hAnsi="Times New Roman" w:cs="Times New Roman"/>
          <w:sz w:val="26"/>
          <w:szCs w:val="26"/>
        </w:rPr>
      </w:pPr>
    </w:p>
    <w:p w:rsidRPr="005A6F78" w:rsidR="005A6F78" w:rsidP="005A6F78" w:rsidRDefault="005A6F78" w14:paraId="3D691A79"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CIRCUMSTANCES THAT MAKE THE COLLECTION OF INFORMATION NECESSARY</w:t>
      </w:r>
    </w:p>
    <w:p w:rsidRPr="005A6F78" w:rsidR="005A6F78" w:rsidP="005A6F78" w:rsidRDefault="005A6F78" w14:paraId="04295D17" w14:textId="77777777">
      <w:pPr>
        <w:spacing w:after="0"/>
        <w:rPr>
          <w:rFonts w:ascii="Times New Roman" w:hAnsi="Times New Roman" w:cs="Times New Roman"/>
          <w:sz w:val="26"/>
          <w:szCs w:val="26"/>
        </w:rPr>
      </w:pPr>
    </w:p>
    <w:p w:rsidRPr="005A6F78" w:rsidR="005A6F78" w:rsidP="005A6F78" w:rsidRDefault="005A6F78" w14:paraId="41E4F99F" w14:textId="77777777">
      <w:pPr>
        <w:spacing w:after="0"/>
        <w:rPr>
          <w:rFonts w:ascii="Times New Roman" w:hAnsi="Times New Roman" w:cs="Times New Roman"/>
          <w:sz w:val="26"/>
          <w:szCs w:val="26"/>
        </w:rPr>
      </w:pPr>
      <w:r w:rsidRPr="005A6F78">
        <w:rPr>
          <w:rFonts w:ascii="Times New Roman" w:hAnsi="Times New Roman" w:cs="Times New Roman"/>
          <w:sz w:val="26"/>
          <w:szCs w:val="26"/>
        </w:rPr>
        <w:t>Federal Power Act (FPA) Section 204</w:t>
      </w:r>
      <w:r w:rsidRPr="005A6F78">
        <w:rPr>
          <w:rStyle w:val="FootnoteReference"/>
          <w:rFonts w:ascii="Times New Roman" w:hAnsi="Times New Roman" w:cs="Times New Roman"/>
          <w:sz w:val="26"/>
          <w:szCs w:val="26"/>
          <w:vertAlign w:val="superscript"/>
        </w:rPr>
        <w:footnoteReference w:id="1"/>
      </w:r>
      <w:r w:rsidRPr="005A6F78">
        <w:rPr>
          <w:rFonts w:ascii="Times New Roman" w:hAnsi="Times New Roman" w:cs="Times New Roman"/>
          <w:sz w:val="26"/>
          <w:szCs w:val="26"/>
        </w:rPr>
        <w:t xml:space="preserve"> prohibits public utilities and licensees from issuing any security or assuming any obligation or liability as guarantor, endorser, surety, or otherwise in respect of any security of another person unless, until, and then only to the extent that upon application by the public utility the Commission by order authorized such issue or assumption of liability.</w:t>
      </w:r>
    </w:p>
    <w:p w:rsidRPr="005A6F78" w:rsidR="005A6F78" w:rsidP="005A6F78" w:rsidRDefault="005A6F78" w14:paraId="0849206E" w14:textId="77777777">
      <w:pPr>
        <w:spacing w:after="0"/>
        <w:rPr>
          <w:rFonts w:ascii="Times New Roman" w:hAnsi="Times New Roman" w:cs="Times New Roman"/>
          <w:sz w:val="26"/>
          <w:szCs w:val="26"/>
        </w:rPr>
      </w:pPr>
    </w:p>
    <w:p w:rsidRPr="005A6F78" w:rsidR="005A6F78" w:rsidP="005A6F78" w:rsidRDefault="005A6F78" w14:paraId="786DE35D"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HOW, BY WHOM, AND FOR WHAT PURPOSE THE INFORMATION IS TO BE USED AND THE CONSEQUENCES OF NOT COLLECTING THE INFORMATION</w:t>
      </w:r>
    </w:p>
    <w:p w:rsidRPr="005A6F78" w:rsidR="005A6F78" w:rsidP="005A6F78" w:rsidRDefault="005A6F78" w14:paraId="2AB86AF6" w14:textId="77777777">
      <w:pPr>
        <w:spacing w:after="0"/>
        <w:rPr>
          <w:rFonts w:ascii="Times New Roman" w:hAnsi="Times New Roman" w:cs="Times New Roman"/>
          <w:sz w:val="26"/>
          <w:szCs w:val="26"/>
        </w:rPr>
      </w:pPr>
    </w:p>
    <w:p w:rsidRPr="005A6F78" w:rsidR="005A6F78" w:rsidP="005A6F78" w:rsidRDefault="005A6F78" w14:paraId="7FEC22B9"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collects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via 18 CFR 34, 131.43, and 131.50.  The collection includes a variety of information all of which are specified in 18CFR 34.  In these filings, applicant(s) include:</w:t>
      </w:r>
    </w:p>
    <w:p w:rsidRPr="005A6F78" w:rsidR="005A6F78" w:rsidP="005A6F78" w:rsidRDefault="005A6F78" w14:paraId="20FD1EBA"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official name of the applicant and its principal business office,</w:t>
      </w:r>
    </w:p>
    <w:p w:rsidRPr="005A6F78" w:rsidR="005A6F78" w:rsidP="005A6F78" w:rsidRDefault="005A6F78" w14:paraId="29908171"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State in which the utility is incorporated, the date of incorporation, and each State in which it operates,</w:t>
      </w:r>
    </w:p>
    <w:p w:rsidRPr="005A6F78" w:rsidR="005A6F78" w:rsidP="005A6F78" w:rsidRDefault="005A6F78" w14:paraId="27C2848C"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name, address, and telephone number of a person within the utility authorized to receive notices and communications with respect to the application,</w:t>
      </w:r>
    </w:p>
    <w:p w:rsidRPr="005A6F78" w:rsidR="005A6F78" w:rsidP="005A6F78" w:rsidRDefault="005A6F78" w14:paraId="6C63C70C"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date by which Commission actions is requested,</w:t>
      </w:r>
    </w:p>
    <w:p w:rsidRPr="005A6F78" w:rsidR="005A6F78" w:rsidP="005A6F78" w:rsidRDefault="005A6F78" w14:paraId="4AD80F8B"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full description of the securities proposed to be issued, including:</w:t>
      </w:r>
    </w:p>
    <w:p w:rsidRPr="005A6F78" w:rsidR="005A6F78" w:rsidP="005A6F78" w:rsidRDefault="005A6F78" w14:paraId="5DD92ED2"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lastRenderedPageBreak/>
        <w:t>Type and nature of securities,</w:t>
      </w:r>
    </w:p>
    <w:p w:rsidRPr="005A6F78" w:rsidR="005A6F78" w:rsidP="005A6F78" w:rsidRDefault="005A6F78" w14:paraId="6FE61AA2"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Amount of securities (par or stated value and number of units),</w:t>
      </w:r>
    </w:p>
    <w:p w:rsidRPr="005A6F78" w:rsidR="005A6F78" w:rsidP="005A6F78" w:rsidRDefault="005A6F78" w14:paraId="6998ABB7"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Interest or dividend rate, if any,</w:t>
      </w:r>
    </w:p>
    <w:p w:rsidRPr="005A6F78" w:rsidR="005A6F78" w:rsidP="005A6F78" w:rsidRDefault="005A6F78" w14:paraId="210076DB"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Dates of issuance and maturity,</w:t>
      </w:r>
    </w:p>
    <w:p w:rsidRPr="005A6F78" w:rsidR="005A6F78" w:rsidP="005A6F78" w:rsidRDefault="005A6F78" w14:paraId="29DC6E33"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Institutional rating of the securities—or if the securities are not rated, an explanation as to why they are not rated, and if the securities will be rated, an estimate of the rating, and</w:t>
      </w:r>
    </w:p>
    <w:p w:rsidRPr="005A6F78" w:rsidR="005A6F78" w:rsidP="005A6F78" w:rsidRDefault="005A6F78" w14:paraId="087C6EAD"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Any stock exchange on which the securities will be listed,</w:t>
      </w:r>
    </w:p>
    <w:p w:rsidRPr="005A6F78" w:rsidR="005A6F78" w:rsidP="005A6F78" w:rsidRDefault="005A6F78" w14:paraId="28AE95A7"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purpose for which the securities for which application is made are to be issued:</w:t>
      </w:r>
    </w:p>
    <w:p w:rsidRPr="005A6F78" w:rsidR="005A6F78" w:rsidP="005A6F78" w:rsidRDefault="005A6F78" w14:paraId="4CAFE0FD"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of such issuance is the construction, completion, extension, or improvement of facilities, describe in reasonable detail the construction program for which the funds were or are to be used,</w:t>
      </w:r>
    </w:p>
    <w:p w:rsidRPr="005A6F78" w:rsidR="005A6F78" w:rsidP="005A6F78" w:rsidRDefault="005A6F78" w14:paraId="12572207"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for such instance is for the refunding of obligations, describe in detail the obligations to be refunded, including the character, principal amounts, applicable discount or premium, dates of issuance and maturity, and all other material facts concerning such obligations, and</w:t>
      </w:r>
    </w:p>
    <w:p w:rsidRPr="005A6F78" w:rsidR="005A6F78" w:rsidP="005A6F78" w:rsidRDefault="005A6F78" w14:paraId="33C13166"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for such issuance is for other than construction or refunding, explain such other purpose(s) in detail</w:t>
      </w:r>
    </w:p>
    <w:p w:rsidRPr="005A6F78" w:rsidR="005A6F78" w:rsidP="005A6F78" w:rsidRDefault="005A6F78" w14:paraId="1590DB24"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statement as to whether or not any application with respect to the transaction or any part thereof is require to be filed with any State regulatory body,</w:t>
      </w:r>
    </w:p>
    <w:p w:rsidRPr="005A6F78" w:rsidR="005A6F78" w:rsidP="005A6F78" w:rsidRDefault="005A6F78" w14:paraId="7133B9AF"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detailed statement of the facts relied upon by the applicant to show that the issuance:</w:t>
      </w:r>
    </w:p>
    <w:p w:rsidRPr="005A6F78" w:rsidR="005A6F78" w:rsidP="005A6F78" w:rsidRDefault="005A6F78" w14:paraId="686764F5"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Is for some lawful object, within the corporate purposes of the applicant and compatible with the public interest, is necessary or appropriate for or consistent with the proper performances by the applicant of service as a public utility and will not impair its ability to perform that service, and</w:t>
      </w:r>
    </w:p>
    <w:p w:rsidRPr="005A6F78" w:rsidR="005A6F78" w:rsidP="005A6F78" w:rsidRDefault="005A6F78" w14:paraId="61990AE8" w14:textId="77777777">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Is reasonably necessary or appropriate for such purposes</w:t>
      </w:r>
    </w:p>
    <w:p w:rsidRPr="005A6F78" w:rsidR="005A6F78" w:rsidP="005A6F78" w:rsidRDefault="005A6F78" w14:paraId="47444271"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detailed statement of the bond indenture(s) or limitations on interest and dividend coverage, and the effects of such limitations on the issuance of additional debt or equity securities, and</w:t>
      </w:r>
    </w:p>
    <w:p w:rsidRPr="005A6F78" w:rsidR="005A6F78" w:rsidP="005A6F78" w:rsidRDefault="005A6F78" w14:paraId="20B5D2ED" w14:textId="77777777">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brief summary of any rate changes which were made effective during the period for which financial statements are submitted of which became or will become effective after the period for which statements are submitted.</w:t>
      </w:r>
    </w:p>
    <w:p w:rsidRPr="005A6F78" w:rsidR="005A6F78" w:rsidP="005A6F78" w:rsidRDefault="005A6F78" w14:paraId="7A699AD2" w14:textId="77777777">
      <w:pPr>
        <w:spacing w:after="0"/>
        <w:rPr>
          <w:rFonts w:ascii="Times New Roman" w:hAnsi="Times New Roman" w:cs="Times New Roman"/>
          <w:sz w:val="26"/>
          <w:szCs w:val="26"/>
        </w:rPr>
      </w:pPr>
    </w:p>
    <w:p w:rsidRPr="005A6F78" w:rsidR="005A6F78" w:rsidP="005A6F78" w:rsidRDefault="005A6F78" w14:paraId="40656A7E" w14:textId="77777777">
      <w:pPr>
        <w:spacing w:after="0"/>
        <w:rPr>
          <w:rFonts w:ascii="Times New Roman" w:hAnsi="Times New Roman" w:cs="Times New Roman"/>
          <w:sz w:val="26"/>
          <w:szCs w:val="26"/>
        </w:rPr>
      </w:pPr>
    </w:p>
    <w:p w:rsidRPr="005A6F78" w:rsidR="005A6F78" w:rsidP="005A6F78" w:rsidRDefault="005A6F78" w14:paraId="0DB33586" w14:textId="77777777">
      <w:pPr>
        <w:pStyle w:val="ListParagraph"/>
        <w:spacing w:after="0"/>
        <w:rPr>
          <w:rFonts w:ascii="Times New Roman" w:hAnsi="Times New Roman" w:cs="Times New Roman"/>
          <w:sz w:val="26"/>
          <w:szCs w:val="26"/>
        </w:rPr>
      </w:pPr>
    </w:p>
    <w:p w:rsidRPr="005A6F78" w:rsidR="005A6F78" w:rsidP="005A6F78" w:rsidRDefault="005A6F78" w14:paraId="2F190FAD" w14:textId="77777777">
      <w:pPr>
        <w:spacing w:after="0"/>
        <w:rPr>
          <w:rFonts w:ascii="Times New Roman" w:hAnsi="Times New Roman" w:cs="Times New Roman"/>
          <w:sz w:val="26"/>
          <w:szCs w:val="26"/>
        </w:rPr>
      </w:pPr>
      <w:r w:rsidRPr="005A6F78">
        <w:rPr>
          <w:rFonts w:ascii="Times New Roman" w:hAnsi="Times New Roman" w:cs="Times New Roman"/>
          <w:sz w:val="26"/>
          <w:szCs w:val="26"/>
        </w:rPr>
        <w:lastRenderedPageBreak/>
        <w:t>The</w:t>
      </w:r>
      <w:r w:rsidR="00144F44">
        <w:rPr>
          <w:rFonts w:ascii="Times New Roman" w:hAnsi="Times New Roman" w:cs="Times New Roman"/>
          <w:sz w:val="26"/>
          <w:szCs w:val="26"/>
        </w:rPr>
        <w:t xml:space="preserve"> requirements for</w:t>
      </w:r>
      <w:r w:rsidRPr="005A6F78">
        <w:rPr>
          <w:rFonts w:ascii="Times New Roman" w:hAnsi="Times New Roman" w:cs="Times New Roman"/>
          <w:sz w:val="26"/>
          <w:szCs w:val="26"/>
        </w:rPr>
        <w:t xml:space="preserv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are contained within FERC’s regulations at 18 CFR 131.43 and 131.50.  Instructions to file applications electronically are stated in 18 CR 131.43.</w:t>
      </w:r>
    </w:p>
    <w:p w:rsidRPr="005A6F78" w:rsidR="005A6F78" w:rsidP="005A6F78" w:rsidRDefault="005A6F78" w14:paraId="6F7B29F3" w14:textId="77777777">
      <w:pPr>
        <w:spacing w:after="0"/>
        <w:rPr>
          <w:rFonts w:ascii="Times New Roman" w:hAnsi="Times New Roman" w:cs="Times New Roman"/>
          <w:sz w:val="26"/>
          <w:szCs w:val="26"/>
        </w:rPr>
      </w:pPr>
    </w:p>
    <w:p w:rsidRPr="005A6F78" w:rsidR="005A6F78" w:rsidP="005A6F78" w:rsidRDefault="005A6F78" w14:paraId="630541C4"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filing process involves navigating to the Commission’s website for forms.  Once there, applicants would proceed to the portion of the website dedicated to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collection (</w:t>
      </w:r>
      <w:hyperlink w:history="1" w:anchor="523" r:id="rId12">
        <w:r w:rsidRPr="005A6F78">
          <w:rPr>
            <w:rStyle w:val="Hyperlink"/>
            <w:rFonts w:ascii="Times New Roman" w:hAnsi="Times New Roman" w:cs="Times New Roman"/>
            <w:sz w:val="26"/>
            <w:szCs w:val="26"/>
          </w:rPr>
          <w:t>http://www.ferc.gov/docs-filing/forms.asp#523</w:t>
        </w:r>
      </w:hyperlink>
      <w:r w:rsidRPr="005A6F78">
        <w:rPr>
          <w:rFonts w:ascii="Times New Roman" w:hAnsi="Times New Roman" w:cs="Times New Roman"/>
          <w:sz w:val="26"/>
          <w:szCs w:val="26"/>
        </w:rPr>
        <w:t>).  A link in this portion of the website will link them to the Commission’s eFiling portal (</w:t>
      </w:r>
      <w:hyperlink w:history="1" r:id="rId13">
        <w:r w:rsidRPr="005A6F78">
          <w:rPr>
            <w:rStyle w:val="Hyperlink"/>
            <w:rFonts w:ascii="Times New Roman" w:hAnsi="Times New Roman" w:cs="Times New Roman"/>
            <w:sz w:val="26"/>
            <w:szCs w:val="26"/>
          </w:rPr>
          <w:t>http://www.ferc.gov/docs-filing/efiling.asp</w:t>
        </w:r>
      </w:hyperlink>
      <w:r w:rsidRPr="005A6F78">
        <w:rPr>
          <w:rFonts w:ascii="Times New Roman" w:hAnsi="Times New Roman" w:cs="Times New Roman"/>
          <w:sz w:val="26"/>
          <w:szCs w:val="26"/>
        </w:rPr>
        <w:t xml:space="preserve">).  </w:t>
      </w:r>
    </w:p>
    <w:p w:rsidRPr="005A6F78" w:rsidR="005A6F78" w:rsidP="005A6F78" w:rsidRDefault="005A6F78" w14:paraId="5BB8EB05" w14:textId="77777777">
      <w:pPr>
        <w:spacing w:after="0"/>
        <w:rPr>
          <w:rFonts w:ascii="Times New Roman" w:hAnsi="Times New Roman" w:cs="Times New Roman"/>
          <w:sz w:val="26"/>
          <w:szCs w:val="26"/>
        </w:rPr>
      </w:pPr>
    </w:p>
    <w:p w:rsidRPr="005A6F78" w:rsidR="005A6F78" w:rsidP="005A6F78" w:rsidRDefault="005A6F78" w14:paraId="601D1174" w14:textId="77777777">
      <w:pPr>
        <w:spacing w:after="0"/>
        <w:rPr>
          <w:rFonts w:ascii="Times New Roman" w:hAnsi="Times New Roman" w:cs="Times New Roman"/>
          <w:sz w:val="26"/>
          <w:szCs w:val="26"/>
        </w:rPr>
      </w:pPr>
      <w:r w:rsidRPr="005A6F78">
        <w:rPr>
          <w:rFonts w:ascii="Times New Roman" w:hAnsi="Times New Roman" w:cs="Times New Roman"/>
          <w:sz w:val="26"/>
          <w:szCs w:val="26"/>
        </w:rPr>
        <w:t>The Commission uses this information to determine whether to approve an application for authorization to issue securities or to assume an obligation or liability by the public utilities and their licensees who make these applications.  If the information were not collected, the Commission would not be able to comply with the FPA directives.</w:t>
      </w:r>
    </w:p>
    <w:p w:rsidRPr="005A6F78" w:rsidR="005A6F78" w:rsidP="005A6F78" w:rsidRDefault="005A6F78" w14:paraId="56338BE5" w14:textId="77777777">
      <w:pPr>
        <w:spacing w:after="0"/>
        <w:rPr>
          <w:rFonts w:ascii="Times New Roman" w:hAnsi="Times New Roman" w:cs="Times New Roman"/>
          <w:sz w:val="26"/>
          <w:szCs w:val="26"/>
        </w:rPr>
      </w:pPr>
    </w:p>
    <w:p w:rsidRPr="005A6F78" w:rsidR="005A6F78" w:rsidP="005A6F78" w:rsidRDefault="005A6F78" w14:paraId="128ABA98"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ANY CONSIDERATION OF THE USE OF IMPROVED INFORMATION TECHNOLOGY TO REDUCE THE BURDEN AND TECHNICAL OR LEGAL OBSTACLES TO REDUCING BURDEN</w:t>
      </w:r>
    </w:p>
    <w:p w:rsidRPr="005A6F78" w:rsidR="005A6F78" w:rsidP="005A6F78" w:rsidRDefault="005A6F78" w14:paraId="6F2509FF" w14:textId="77777777">
      <w:pPr>
        <w:spacing w:after="0"/>
        <w:rPr>
          <w:rFonts w:ascii="Times New Roman" w:hAnsi="Times New Roman" w:cs="Times New Roman"/>
          <w:sz w:val="26"/>
          <w:szCs w:val="26"/>
        </w:rPr>
      </w:pPr>
    </w:p>
    <w:p w:rsidRPr="005A6F78" w:rsidR="005A6F78" w:rsidP="005A6F78" w:rsidRDefault="005A6F78" w14:paraId="7AFD5EFD"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In Commission Order No. 657, the Commission amended its regulations (effective in April 2006) to require the electronic filing of </w:t>
      </w:r>
      <w:r w:rsidR="00AC10AC">
        <w:rPr>
          <w:rFonts w:ascii="Times New Roman" w:hAnsi="Times New Roman" w:cs="Times New Roman"/>
          <w:sz w:val="26"/>
          <w:szCs w:val="26"/>
        </w:rPr>
        <w:t>FERC Form No. 523</w:t>
      </w:r>
      <w:r w:rsidRPr="005A6F78">
        <w:rPr>
          <w:rFonts w:ascii="Times New Roman" w:hAnsi="Times New Roman" w:cs="Times New Roman"/>
          <w:sz w:val="26"/>
          <w:szCs w:val="26"/>
          <w:vertAlign w:val="superscript"/>
        </w:rPr>
        <w:footnoteReference w:id="2"/>
      </w:r>
      <w:r w:rsidRPr="005A6F78">
        <w:rPr>
          <w:rFonts w:ascii="Times New Roman" w:hAnsi="Times New Roman" w:cs="Times New Roman"/>
          <w:sz w:val="26"/>
          <w:szCs w:val="26"/>
        </w:rPr>
        <w:t>.  Prior to Order No. 657, the Commission required the filings in hard copy.  The type of financial data that jurisdictional entities submit in this application was already routinely stored in electronic format by applicant(s) making hard copy filing of such information needlessly burdensome.</w:t>
      </w:r>
    </w:p>
    <w:p w:rsidRPr="005A6F78" w:rsidR="005A6F78" w:rsidP="005A6F78" w:rsidRDefault="005A6F78" w14:paraId="65320AB7" w14:textId="77777777">
      <w:pPr>
        <w:spacing w:after="0"/>
        <w:rPr>
          <w:rFonts w:ascii="Times New Roman" w:hAnsi="Times New Roman" w:cs="Times New Roman"/>
          <w:sz w:val="26"/>
          <w:szCs w:val="26"/>
        </w:rPr>
      </w:pPr>
    </w:p>
    <w:p w:rsidRPr="005A6F78" w:rsidR="005A6F78" w:rsidP="005A6F78" w:rsidRDefault="005A6F78" w14:paraId="4BD20398"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Order No. 657 was the result of a review conducted by FERC’s Information Assessment Team (FIAT).  FIAT was a Commission initiative to identify current information collections, evaluate their original purposes and current uses, and propose ways to reduce the reporting burden on industry through the elimination, reduction, streamlining or reformatting of current collections.  </w:t>
      </w:r>
    </w:p>
    <w:p w:rsidRPr="005A6F78" w:rsidR="005A6F78" w:rsidP="005A6F78" w:rsidRDefault="005A6F78" w14:paraId="52E0B463" w14:textId="77777777">
      <w:pPr>
        <w:spacing w:after="0"/>
        <w:rPr>
          <w:rFonts w:ascii="Times New Roman" w:hAnsi="Times New Roman" w:cs="Times New Roman"/>
          <w:sz w:val="26"/>
          <w:szCs w:val="26"/>
        </w:rPr>
      </w:pPr>
    </w:p>
    <w:p w:rsidRPr="005A6F78" w:rsidR="005A6F78" w:rsidP="005A6F78" w:rsidRDefault="005A6F78" w14:paraId="11750F76"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 xml:space="preserve">DESCRIBE EFFORTS TO IDENTIFY DUPLICATION AND SHOW SPECIFICALLY WHY ANY SIMILAR INFORMATION ALREADY </w:t>
      </w:r>
      <w:r w:rsidRPr="005A6F78">
        <w:rPr>
          <w:rFonts w:ascii="Times New Roman" w:hAnsi="Times New Roman" w:cs="Times New Roman"/>
          <w:b/>
          <w:sz w:val="26"/>
          <w:szCs w:val="26"/>
        </w:rPr>
        <w:lastRenderedPageBreak/>
        <w:t>AVAILABLE CANNOT BE USED OR MODIFIED FOR USE FOR THE PURPOSE(S) DESCRIBED IN INSTRUCTION NO. 2</w:t>
      </w:r>
    </w:p>
    <w:p w:rsidRPr="005A6F78" w:rsidR="005A6F78" w:rsidP="005A6F78" w:rsidRDefault="005A6F78" w14:paraId="52DEDF02" w14:textId="77777777">
      <w:pPr>
        <w:spacing w:after="0"/>
        <w:rPr>
          <w:rFonts w:ascii="Times New Roman" w:hAnsi="Times New Roman" w:cs="Times New Roman"/>
          <w:sz w:val="26"/>
          <w:szCs w:val="26"/>
        </w:rPr>
      </w:pPr>
    </w:p>
    <w:p w:rsidRPr="005A6F78" w:rsidR="005A6F78" w:rsidP="005A6F78" w:rsidRDefault="005A6F78" w14:paraId="4B1E31F5"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periodically reviews filing requirements as OMB review dates arise, expiration dates approach, or as the Commission may deem necessary in carrying out its responsibilities under the FPA in order to eliminate duplication and ensure that filing burden is minimized.  No other forms collect data similar to that collected/filed within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w:t>
      </w:r>
    </w:p>
    <w:p w:rsidRPr="005A6F78" w:rsidR="005A6F78" w:rsidP="005A6F78" w:rsidRDefault="005A6F78" w14:paraId="606F62DD" w14:textId="77777777">
      <w:pPr>
        <w:spacing w:after="0"/>
        <w:rPr>
          <w:rFonts w:ascii="Times New Roman" w:hAnsi="Times New Roman" w:cs="Times New Roman"/>
          <w:sz w:val="26"/>
          <w:szCs w:val="26"/>
        </w:rPr>
      </w:pPr>
    </w:p>
    <w:p w:rsidRPr="005A6F78" w:rsidR="005A6F78" w:rsidP="005A6F78" w:rsidRDefault="005A6F78" w14:paraId="2C30907A"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METHODS USED TO MINIMIZE THE BURDEN IN COLLECTION OF INFORMATION INVOLVING SMALL ENTITIES</w:t>
      </w:r>
    </w:p>
    <w:p w:rsidRPr="005A6F78" w:rsidR="005A6F78" w:rsidP="005A6F78" w:rsidRDefault="005A6F78" w14:paraId="5E236A24" w14:textId="77777777">
      <w:pPr>
        <w:spacing w:after="0"/>
        <w:rPr>
          <w:rFonts w:ascii="Times New Roman" w:hAnsi="Times New Roman" w:cs="Times New Roman"/>
          <w:sz w:val="26"/>
          <w:szCs w:val="26"/>
        </w:rPr>
      </w:pPr>
    </w:p>
    <w:p w:rsidRPr="005A6F78" w:rsidR="005A6F78" w:rsidP="005A6F78" w:rsidRDefault="005A6F78" w14:paraId="0FABCE68" w14:textId="77777777">
      <w:pPr>
        <w:spacing w:after="0"/>
        <w:rPr>
          <w:rFonts w:ascii="Times New Roman" w:hAnsi="Times New Roman" w:eastAsia="Times New Roman" w:cs="Times New Roman"/>
          <w:sz w:val="26"/>
          <w:szCs w:val="26"/>
        </w:rPr>
      </w:pPr>
      <w:r w:rsidRPr="005A6F78">
        <w:rPr>
          <w:rFonts w:ascii="Times New Roman" w:hAnsi="Times New Roman" w:eastAsia="Times New Roman" w:cs="Times New Roman"/>
          <w:sz w:val="26"/>
          <w:szCs w:val="26"/>
        </w:rPr>
        <w:t xml:space="preserve">The Commission collects </w:t>
      </w:r>
      <w:r w:rsidR="00AC10AC">
        <w:rPr>
          <w:rFonts w:ascii="Times New Roman" w:hAnsi="Times New Roman" w:eastAsia="Times New Roman" w:cs="Times New Roman"/>
          <w:sz w:val="26"/>
          <w:szCs w:val="26"/>
        </w:rPr>
        <w:t>FERC Form No. 523</w:t>
      </w:r>
      <w:r w:rsidRPr="005A6F78">
        <w:rPr>
          <w:rFonts w:ascii="Times New Roman" w:hAnsi="Times New Roman" w:eastAsia="Times New Roman" w:cs="Times New Roman"/>
          <w:sz w:val="26"/>
          <w:szCs w:val="26"/>
        </w:rPr>
        <w:t xml:space="preserve"> information from both large and small utilities.  In an effort to minimize burden on small utility applicant(s), the Commission collects information in this filing that is readily available through the utility’s internal records. For example, </w:t>
      </w:r>
      <w:r w:rsidRPr="005A6F78">
        <w:rPr>
          <w:rFonts w:ascii="Times New Roman" w:hAnsi="Times New Roman" w:cs="Times New Roman"/>
          <w:sz w:val="26"/>
          <w:szCs w:val="26"/>
        </w:rPr>
        <w:t>each applicant submits the required documentation consistent with 34.3 and 34.4 of the Commission’s Regulations.  Exhibits C, D, and E contain the Applicant’s Balance Sheet, Income Statement, and Statement of Cash Flows and a computation of interest coverage.  The submission of these exhibits can be easily complied from the Applicant(s) internal accounting dept.</w:t>
      </w:r>
    </w:p>
    <w:p w:rsidRPr="005A6F78" w:rsidR="005A6F78" w:rsidP="005A6F78" w:rsidRDefault="005A6F78" w14:paraId="4D1A31C4"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 </w:t>
      </w:r>
    </w:p>
    <w:p w:rsidRPr="005A6F78" w:rsidR="005A6F78" w:rsidP="005A6F78" w:rsidRDefault="005A6F78" w14:paraId="00F3F8B6"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CONSEQUENCE TO FEDERAL PROGRAM IF COLLECTION WERE CONDUCTED LESS FREQUENTLY</w:t>
      </w:r>
    </w:p>
    <w:p w:rsidRPr="005A6F78" w:rsidR="005A6F78" w:rsidP="005A6F78" w:rsidRDefault="005A6F78" w14:paraId="2A98FCB1" w14:textId="77777777">
      <w:pPr>
        <w:spacing w:after="0"/>
        <w:rPr>
          <w:rFonts w:ascii="Times New Roman" w:hAnsi="Times New Roman" w:cs="Times New Roman"/>
          <w:sz w:val="26"/>
          <w:szCs w:val="26"/>
        </w:rPr>
      </w:pPr>
    </w:p>
    <w:p w:rsidRPr="005A6F78" w:rsidR="005A6F78" w:rsidP="005A6F78" w:rsidRDefault="005A6F78" w14:paraId="4A22C9F9"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Applicants submit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only as needed to seek Commission approval of security issuances</w:t>
      </w:r>
      <w:r w:rsidR="004D301D">
        <w:rPr>
          <w:rFonts w:ascii="Times New Roman" w:hAnsi="Times New Roman" w:cs="Times New Roman"/>
          <w:sz w:val="26"/>
          <w:szCs w:val="26"/>
        </w:rPr>
        <w:t xml:space="preserve"> </w:t>
      </w:r>
      <w:r w:rsidRPr="005A6F78" w:rsidR="004D301D">
        <w:rPr>
          <w:rFonts w:ascii="Times New Roman" w:hAnsi="Times New Roman" w:cs="Times New Roman"/>
          <w:sz w:val="26"/>
          <w:szCs w:val="26"/>
        </w:rPr>
        <w:t>or to assume an obligation or liability by the public utilities and their licensees who make these applications</w:t>
      </w:r>
      <w:r w:rsidR="004D301D">
        <w:rPr>
          <w:rFonts w:ascii="Times New Roman" w:hAnsi="Times New Roman" w:cs="Times New Roman"/>
          <w:sz w:val="26"/>
          <w:szCs w:val="26"/>
        </w:rPr>
        <w:t xml:space="preserve">. </w:t>
      </w:r>
      <w:r w:rsidRPr="005A6F78">
        <w:rPr>
          <w:rFonts w:ascii="Times New Roman" w:hAnsi="Times New Roman" w:cs="Times New Roman"/>
          <w:sz w:val="26"/>
          <w:szCs w:val="26"/>
        </w:rPr>
        <w:t>Utilities are allowed to include authorizations for multiple types of securities within a single filing.   This eliminates the need for multiple individual filings.  Regarding filing frequency, filing less frequently is not possible since mandated responsibilities would be unfulfilled.</w:t>
      </w:r>
    </w:p>
    <w:p w:rsidRPr="005A6F78" w:rsidR="005A6F78" w:rsidP="005A6F78" w:rsidRDefault="005A6F78" w14:paraId="33AB393A" w14:textId="77777777">
      <w:pPr>
        <w:spacing w:after="0"/>
        <w:rPr>
          <w:rFonts w:ascii="Times New Roman" w:hAnsi="Times New Roman" w:cs="Times New Roman"/>
          <w:sz w:val="26"/>
          <w:szCs w:val="26"/>
        </w:rPr>
      </w:pPr>
    </w:p>
    <w:p w:rsidRPr="005A6F78" w:rsidR="005A6F78" w:rsidP="005A6F78" w:rsidRDefault="005A6F78" w14:paraId="4ABF271C"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EXPLAIN ANY SPECIAL CIRCUMSTANCES RELATING TO THE INFORMATION COLLECTION</w:t>
      </w:r>
    </w:p>
    <w:p w:rsidRPr="005A6F78" w:rsidR="005A6F78" w:rsidP="005A6F78" w:rsidRDefault="005A6F78" w14:paraId="224C2A20" w14:textId="77777777">
      <w:pPr>
        <w:spacing w:after="0"/>
        <w:rPr>
          <w:rFonts w:ascii="Times New Roman" w:hAnsi="Times New Roman" w:cs="Times New Roman"/>
          <w:sz w:val="26"/>
          <w:szCs w:val="26"/>
        </w:rPr>
      </w:pPr>
    </w:p>
    <w:p w:rsidRPr="005A6F78" w:rsidR="005A6F78" w:rsidP="005A6F78" w:rsidRDefault="005A6F78" w14:paraId="5EF8D601" w14:textId="77777777">
      <w:pPr>
        <w:spacing w:after="0"/>
        <w:rPr>
          <w:rFonts w:ascii="Times New Roman" w:hAnsi="Times New Roman" w:cs="Times New Roman"/>
          <w:sz w:val="26"/>
          <w:szCs w:val="26"/>
        </w:rPr>
      </w:pPr>
      <w:r w:rsidRPr="005A6F78">
        <w:rPr>
          <w:rFonts w:ascii="Times New Roman" w:hAnsi="Times New Roman" w:cs="Times New Roman"/>
          <w:sz w:val="26"/>
          <w:szCs w:val="26"/>
        </w:rPr>
        <w:t>This collection does not have any special circumstances.</w:t>
      </w:r>
    </w:p>
    <w:p w:rsidRPr="005A6F78" w:rsidR="005A6F78" w:rsidP="005A6F78" w:rsidRDefault="005A6F78" w14:paraId="0B36D00A" w14:textId="77777777">
      <w:pPr>
        <w:spacing w:after="0"/>
        <w:rPr>
          <w:rFonts w:ascii="Times New Roman" w:hAnsi="Times New Roman" w:cs="Times New Roman"/>
          <w:sz w:val="26"/>
          <w:szCs w:val="26"/>
        </w:rPr>
      </w:pPr>
    </w:p>
    <w:p w:rsidRPr="005A6F78" w:rsidR="005A6F78" w:rsidP="005A6F78" w:rsidRDefault="005A6F78" w14:paraId="50D7C3C8"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lastRenderedPageBreak/>
        <w:t>DESCRIBE EFFORTS TO CONSULT OUTSIDE THE AGENCY: SUMMARIZE PUBLIC COMMENTS AND THE AGENCY’S RESPONSE</w:t>
      </w:r>
    </w:p>
    <w:p w:rsidRPr="005A6F78" w:rsidR="005A6F78" w:rsidP="005A6F78" w:rsidRDefault="005A6F78" w14:paraId="007EB9AF" w14:textId="77777777">
      <w:pPr>
        <w:spacing w:after="0"/>
        <w:rPr>
          <w:rFonts w:ascii="Times New Roman" w:hAnsi="Times New Roman" w:cs="Times New Roman"/>
          <w:sz w:val="26"/>
          <w:szCs w:val="26"/>
        </w:rPr>
      </w:pPr>
    </w:p>
    <w:p w:rsidRPr="005A6F78" w:rsidR="005A6F78" w:rsidP="005A6F78" w:rsidRDefault="005A6F78" w14:paraId="18A622E0" w14:textId="78112D4C">
      <w:pPr>
        <w:spacing w:after="0"/>
        <w:rPr>
          <w:rFonts w:ascii="Times New Roman" w:hAnsi="Times New Roman" w:cs="Times New Roman"/>
          <w:sz w:val="26"/>
          <w:szCs w:val="26"/>
        </w:rPr>
      </w:pPr>
      <w:r w:rsidRPr="005A6F78">
        <w:rPr>
          <w:rFonts w:ascii="Times New Roman" w:hAnsi="Times New Roman" w:cs="Times New Roman"/>
          <w:sz w:val="26"/>
          <w:szCs w:val="26"/>
        </w:rPr>
        <w:t>In accordance with OMB requirements, the Commission published a 60-day notice</w:t>
      </w:r>
      <w:r w:rsidRPr="005A6F78">
        <w:rPr>
          <w:rStyle w:val="FootnoteReference"/>
          <w:rFonts w:ascii="Times New Roman" w:hAnsi="Times New Roman" w:cs="Times New Roman"/>
          <w:sz w:val="26"/>
          <w:szCs w:val="26"/>
          <w:vertAlign w:val="superscript"/>
        </w:rPr>
        <w:footnoteReference w:id="3"/>
      </w:r>
      <w:r w:rsidRPr="005A6F78">
        <w:rPr>
          <w:rFonts w:ascii="Times New Roman" w:hAnsi="Times New Roman" w:cs="Times New Roman"/>
          <w:sz w:val="26"/>
          <w:szCs w:val="26"/>
        </w:rPr>
        <w:t xml:space="preserve"> and a 30-day notice</w:t>
      </w:r>
      <w:r w:rsidRPr="005A6F78">
        <w:rPr>
          <w:rStyle w:val="FootnoteReference"/>
          <w:rFonts w:ascii="Times New Roman" w:hAnsi="Times New Roman" w:cs="Times New Roman"/>
          <w:sz w:val="26"/>
          <w:szCs w:val="26"/>
          <w:vertAlign w:val="superscript"/>
        </w:rPr>
        <w:footnoteReference w:id="4"/>
      </w:r>
      <w:r w:rsidRPr="005A6F78">
        <w:rPr>
          <w:rFonts w:ascii="Times New Roman" w:hAnsi="Times New Roman" w:cs="Times New Roman"/>
          <w:sz w:val="26"/>
          <w:szCs w:val="26"/>
        </w:rPr>
        <w:t xml:space="preserve"> to the public regarding this information collection on </w:t>
      </w:r>
      <w:r w:rsidR="00BE74BE">
        <w:rPr>
          <w:rFonts w:ascii="Times New Roman" w:hAnsi="Times New Roman" w:cs="Times New Roman"/>
          <w:sz w:val="26"/>
          <w:szCs w:val="26"/>
        </w:rPr>
        <w:t>8/18/2020</w:t>
      </w:r>
      <w:r w:rsidR="00E12FED">
        <w:rPr>
          <w:rFonts w:ascii="Times New Roman" w:hAnsi="Times New Roman" w:cs="Times New Roman"/>
          <w:sz w:val="26"/>
          <w:szCs w:val="26"/>
        </w:rPr>
        <w:t xml:space="preserve"> (85FR50823)</w:t>
      </w:r>
      <w:r w:rsidRPr="005A6F78">
        <w:rPr>
          <w:rFonts w:ascii="Times New Roman" w:hAnsi="Times New Roman" w:cs="Times New Roman"/>
          <w:sz w:val="26"/>
          <w:szCs w:val="26"/>
        </w:rPr>
        <w:t xml:space="preserve"> and </w:t>
      </w:r>
      <w:r w:rsidR="00E12FED">
        <w:rPr>
          <w:rFonts w:ascii="Times New Roman" w:hAnsi="Times New Roman" w:cs="Times New Roman"/>
          <w:sz w:val="26"/>
          <w:szCs w:val="26"/>
        </w:rPr>
        <w:t>11/4/2020 (85FR70145)</w:t>
      </w:r>
      <w:bookmarkStart w:name="_GoBack" w:id="0"/>
      <w:bookmarkEnd w:id="0"/>
      <w:r w:rsidR="00BE74BE">
        <w:rPr>
          <w:rFonts w:ascii="Times New Roman" w:hAnsi="Times New Roman" w:cs="Times New Roman"/>
          <w:sz w:val="26"/>
          <w:szCs w:val="26"/>
        </w:rPr>
        <w:t xml:space="preserve"> </w:t>
      </w:r>
      <w:r w:rsidRPr="005A6F78">
        <w:rPr>
          <w:rFonts w:ascii="Times New Roman" w:hAnsi="Times New Roman" w:cs="Times New Roman"/>
          <w:sz w:val="26"/>
          <w:szCs w:val="26"/>
        </w:rPr>
        <w:t>respectively.  Within the public notices, the Commission noted that it would be requesting a three-year extension of the public reporting burden.  The Commission received no comments from the public regarding this information collection.</w:t>
      </w:r>
    </w:p>
    <w:p w:rsidRPr="005A6F78" w:rsidR="005A6F78" w:rsidP="005A6F78" w:rsidRDefault="005A6F78" w14:paraId="3894BCF9" w14:textId="77777777">
      <w:pPr>
        <w:spacing w:after="0"/>
        <w:rPr>
          <w:rFonts w:ascii="Times New Roman" w:hAnsi="Times New Roman" w:cs="Times New Roman"/>
          <w:sz w:val="26"/>
          <w:szCs w:val="26"/>
        </w:rPr>
      </w:pPr>
    </w:p>
    <w:p w:rsidRPr="005A6F78" w:rsidR="005A6F78" w:rsidP="005A6F78" w:rsidRDefault="005A6F78" w14:paraId="3D227A61"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EXPLAIN ANY PAYMENT OR GIFTS TO RESPONDENTS</w:t>
      </w:r>
    </w:p>
    <w:p w:rsidRPr="005A6F78" w:rsidR="005A6F78" w:rsidP="005A6F78" w:rsidRDefault="005A6F78" w14:paraId="6EBDBC31" w14:textId="77777777">
      <w:pPr>
        <w:spacing w:after="0"/>
        <w:rPr>
          <w:rFonts w:ascii="Times New Roman" w:hAnsi="Times New Roman" w:cs="Times New Roman"/>
          <w:sz w:val="26"/>
          <w:szCs w:val="26"/>
        </w:rPr>
      </w:pPr>
    </w:p>
    <w:p w:rsidRPr="005A6F78" w:rsidR="005A6F78" w:rsidP="005A6F78" w:rsidRDefault="005A6F78" w14:paraId="7FE9A5A6"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There are no payments or gifts to respondents in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requirements.</w:t>
      </w:r>
    </w:p>
    <w:p w:rsidRPr="005A6F78" w:rsidR="005A6F78" w:rsidP="005A6F78" w:rsidRDefault="005A6F78" w14:paraId="4184C944" w14:textId="77777777">
      <w:pPr>
        <w:spacing w:after="0"/>
        <w:rPr>
          <w:rFonts w:ascii="Times New Roman" w:hAnsi="Times New Roman" w:cs="Times New Roman"/>
          <w:sz w:val="26"/>
          <w:szCs w:val="26"/>
        </w:rPr>
      </w:pPr>
    </w:p>
    <w:p w:rsidRPr="005A6F78" w:rsidR="005A6F78" w:rsidP="005A6F78" w:rsidRDefault="005A6F78" w14:paraId="1E2A0834"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ANY ASSURANCE OF CONFIDENTIALITY PROVIDED TO RESPONDENTS</w:t>
      </w:r>
    </w:p>
    <w:p w:rsidRPr="005A6F78" w:rsidR="005A6F78" w:rsidP="005A6F78" w:rsidRDefault="005A6F78" w14:paraId="4D8965D7" w14:textId="77777777">
      <w:pPr>
        <w:spacing w:after="0"/>
        <w:rPr>
          <w:rFonts w:ascii="Times New Roman" w:hAnsi="Times New Roman" w:cs="Times New Roman"/>
          <w:sz w:val="26"/>
          <w:szCs w:val="26"/>
        </w:rPr>
      </w:pPr>
    </w:p>
    <w:p w:rsidRPr="005A6F78" w:rsidR="005A6F78" w:rsidP="005A6F78" w:rsidRDefault="005A6F78" w14:paraId="2B14D6BA"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All data are public information and, therefore, not confidential.  A filer may request (as allowed under the Commission’s regulations at 18 CFR 388.112) confidential treatment of some or all of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filing.  Each request for confidential treatment will be reviewed on a case-by-case basis.</w:t>
      </w:r>
    </w:p>
    <w:p w:rsidRPr="005A6F78" w:rsidR="005A6F78" w:rsidP="005A6F78" w:rsidRDefault="005A6F78" w14:paraId="597E6D71" w14:textId="77777777">
      <w:pPr>
        <w:spacing w:after="0"/>
        <w:rPr>
          <w:rFonts w:ascii="Times New Roman" w:hAnsi="Times New Roman" w:cs="Times New Roman"/>
          <w:sz w:val="26"/>
          <w:szCs w:val="26"/>
        </w:rPr>
      </w:pPr>
    </w:p>
    <w:p w:rsidRPr="005A6F78" w:rsidR="005A6F78" w:rsidP="005A6F78" w:rsidRDefault="005A6F78" w14:paraId="62397A04"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5A6F78" w:rsidR="005A6F78" w:rsidP="005A6F78" w:rsidRDefault="005A6F78" w14:paraId="520ACFDB" w14:textId="77777777">
      <w:pPr>
        <w:spacing w:after="0"/>
        <w:rPr>
          <w:rFonts w:ascii="Times New Roman" w:hAnsi="Times New Roman" w:cs="Times New Roman"/>
          <w:sz w:val="26"/>
          <w:szCs w:val="26"/>
        </w:rPr>
      </w:pPr>
    </w:p>
    <w:p w:rsidRPr="005A6F78" w:rsidR="005A6F78" w:rsidP="005A6F78" w:rsidRDefault="005A6F78" w14:paraId="03D4EDB0"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There are no questions of a sensitive nature associated with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reporting requirements. </w:t>
      </w:r>
    </w:p>
    <w:p w:rsidRPr="005A6F78" w:rsidR="005A6F78" w:rsidP="005A6F78" w:rsidRDefault="005A6F78" w14:paraId="1AAF2659" w14:textId="77777777">
      <w:pPr>
        <w:spacing w:after="0"/>
        <w:rPr>
          <w:rFonts w:ascii="Times New Roman" w:hAnsi="Times New Roman" w:cs="Times New Roman"/>
          <w:sz w:val="26"/>
          <w:szCs w:val="26"/>
        </w:rPr>
      </w:pPr>
    </w:p>
    <w:p w:rsidRPr="005A6F78" w:rsidR="005A6F78" w:rsidP="005A6F78" w:rsidRDefault="005A6F78" w14:paraId="4C5EDAA8"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ESTIMATED BURDEN OF COLLECTION OF INFORMATION</w:t>
      </w:r>
    </w:p>
    <w:p w:rsidRPr="005A6F78" w:rsidR="005A6F78" w:rsidP="005A6F78" w:rsidRDefault="005A6F78" w14:paraId="6DF72CF4" w14:textId="77777777">
      <w:pPr>
        <w:spacing w:after="0"/>
        <w:rPr>
          <w:rFonts w:ascii="Times New Roman" w:hAnsi="Times New Roman" w:cs="Times New Roman"/>
          <w:sz w:val="26"/>
          <w:szCs w:val="26"/>
        </w:rPr>
      </w:pPr>
    </w:p>
    <w:p w:rsidRPr="005A6F78" w:rsidR="005A6F78" w:rsidP="005A6F78" w:rsidRDefault="005A6F78" w14:paraId="3E84893F" w14:textId="77777777">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estimates the Public Reporting burden for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collection as follows:</w:t>
      </w:r>
    </w:p>
    <w:p w:rsidRPr="005A6F78" w:rsidR="005A6F78" w:rsidP="005A6F78" w:rsidRDefault="005A6F78" w14:paraId="7D92126B" w14:textId="77777777">
      <w:pPr>
        <w:spacing w:after="0"/>
        <w:rPr>
          <w:rFonts w:ascii="Times New Roman" w:hAnsi="Times New Roman" w:cs="Times New Roman"/>
          <w:sz w:val="26"/>
          <w:szCs w:val="26"/>
        </w:rPr>
      </w:pPr>
    </w:p>
    <w:tbl>
      <w:tblPr>
        <w:tblW w:w="510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2"/>
        <w:gridCol w:w="1595"/>
        <w:gridCol w:w="1444"/>
        <w:gridCol w:w="1608"/>
        <w:gridCol w:w="1658"/>
        <w:gridCol w:w="42"/>
        <w:gridCol w:w="1518"/>
      </w:tblGrid>
      <w:tr w:rsidRPr="00E0518B" w:rsidR="00E0518B" w:rsidTr="00E0518B" w14:paraId="3F0B90F8"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vAlign w:val="bottom"/>
            <w:hideMark/>
          </w:tcPr>
          <w:p w:rsidRPr="00E0518B" w:rsidR="00E0518B" w:rsidP="00E0518B" w:rsidRDefault="00E0518B" w14:paraId="76B95555"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lastRenderedPageBreak/>
              <w:t>FERC-523, Application for Authorization for Issuance of Securities or the Assumption of Liabilities</w:t>
            </w:r>
          </w:p>
        </w:tc>
      </w:tr>
      <w:tr w:rsidRPr="00E0518B" w:rsidR="00E0518B" w:rsidTr="00E0518B" w14:paraId="538493C8" w14:textId="77777777">
        <w:trPr>
          <w:cantSplit/>
        </w:trPr>
        <w:tc>
          <w:tcPr>
            <w:tcW w:w="87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518B" w:rsidR="00E0518B" w:rsidP="00E0518B" w:rsidRDefault="00E0518B" w14:paraId="39C553EF"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Number of Respondents</w:t>
            </w:r>
          </w:p>
          <w:p w:rsidRPr="00E0518B" w:rsidR="00E0518B" w:rsidP="00E0518B" w:rsidRDefault="00E0518B" w14:paraId="6231C97F"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(1)</w:t>
            </w:r>
          </w:p>
        </w:tc>
        <w:tc>
          <w:tcPr>
            <w:tcW w:w="83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518B" w:rsidR="00E0518B" w:rsidP="00E0518B" w:rsidRDefault="00E0518B" w14:paraId="2B0BE687"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Annual Number of Responses per Respondent</w:t>
            </w:r>
            <w:r w:rsidRPr="00E0518B">
              <w:rPr>
                <w:rFonts w:ascii="Times New Roman" w:hAnsi="Times New Roman" w:eastAsia="Calibri" w:cs="Times New Roman"/>
                <w:b/>
                <w:sz w:val="26"/>
                <w:szCs w:val="26"/>
              </w:rPr>
              <w:br/>
              <w:t>(2)</w:t>
            </w:r>
          </w:p>
        </w:tc>
        <w:tc>
          <w:tcPr>
            <w:tcW w:w="7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518B" w:rsidR="00E0518B" w:rsidP="00E0518B" w:rsidRDefault="00E0518B" w14:paraId="02979746"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Total Number of Responses</w:t>
            </w:r>
            <w:r w:rsidRPr="00E0518B">
              <w:rPr>
                <w:rFonts w:ascii="Times New Roman" w:hAnsi="Times New Roman" w:eastAsia="Calibri" w:cs="Times New Roman"/>
                <w:sz w:val="26"/>
                <w:szCs w:val="26"/>
                <w:vertAlign w:val="superscript"/>
              </w:rPr>
              <w:footnoteReference w:id="5"/>
            </w:r>
            <w:r w:rsidRPr="00E0518B">
              <w:rPr>
                <w:rFonts w:ascii="Times New Roman" w:hAnsi="Times New Roman" w:eastAsia="Calibri" w:cs="Times New Roman"/>
                <w:b/>
                <w:sz w:val="26"/>
                <w:szCs w:val="26"/>
              </w:rPr>
              <w:t xml:space="preserve">  </w:t>
            </w:r>
          </w:p>
          <w:p w:rsidRPr="00E0518B" w:rsidR="00E0518B" w:rsidP="00E0518B" w:rsidRDefault="00E0518B" w14:paraId="0C92FDD3"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(1)*(2)=(3)</w:t>
            </w:r>
          </w:p>
        </w:tc>
        <w:tc>
          <w:tcPr>
            <w:tcW w:w="84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518B" w:rsidR="00E0518B" w:rsidP="00E0518B" w:rsidRDefault="00E0518B" w14:paraId="7E202D44"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Average Burden Hrs. &amp; Cost ($) Per Response (4)</w:t>
            </w:r>
          </w:p>
        </w:tc>
        <w:tc>
          <w:tcPr>
            <w:tcW w:w="86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0518B" w:rsidR="00E0518B" w:rsidP="00E0518B" w:rsidRDefault="00E0518B" w14:paraId="33758195"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 xml:space="preserve">Total Annual Burden Hrs. &amp; Total Annual Cost ($) </w:t>
            </w:r>
          </w:p>
          <w:p w:rsidRPr="00E0518B" w:rsidR="00E0518B" w:rsidP="00E0518B" w:rsidRDefault="00E0518B" w14:paraId="3DF8ED72"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 xml:space="preserve">(3)*(4)=(5) </w:t>
            </w:r>
          </w:p>
        </w:tc>
        <w:tc>
          <w:tcPr>
            <w:tcW w:w="818"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E0518B" w:rsidR="00E0518B" w:rsidP="00E0518B" w:rsidRDefault="00E0518B" w14:paraId="11BA10B9"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Cost per Respondent</w:t>
            </w:r>
          </w:p>
          <w:p w:rsidRPr="00E0518B" w:rsidR="00E0518B" w:rsidP="00E0518B" w:rsidRDefault="00E0518B" w14:paraId="2A2048AC"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6"/>
                <w:szCs w:val="26"/>
              </w:rPr>
              <w:t>($)</w:t>
            </w:r>
          </w:p>
          <w:p w:rsidRPr="00E0518B" w:rsidR="00E0518B" w:rsidP="00E0518B" w:rsidRDefault="00E0518B" w14:paraId="3390C28E" w14:textId="77777777">
            <w:pPr>
              <w:spacing w:after="0" w:line="256" w:lineRule="auto"/>
              <w:jc w:val="center"/>
              <w:rPr>
                <w:rFonts w:ascii="Times New Roman" w:hAnsi="Times New Roman" w:eastAsia="Calibri" w:cs="Times New Roman"/>
                <w:b/>
                <w:sz w:val="26"/>
                <w:szCs w:val="26"/>
              </w:rPr>
            </w:pPr>
            <w:r w:rsidRPr="00E0518B">
              <w:rPr>
                <w:rFonts w:ascii="Times New Roman" w:hAnsi="Times New Roman" w:eastAsia="Calibri" w:cs="Times New Roman"/>
                <w:b/>
                <w:sz w:val="24"/>
                <w:szCs w:val="24"/>
              </w:rPr>
              <w:t>(5)÷(1)</w:t>
            </w:r>
            <w:r w:rsidRPr="00E0518B">
              <w:rPr>
                <w:rFonts w:ascii="Times New Roman" w:hAnsi="Times New Roman" w:eastAsia="Calibri" w:cs="Times New Roman"/>
                <w:b/>
                <w:sz w:val="26"/>
                <w:szCs w:val="26"/>
              </w:rPr>
              <w:t>)</w:t>
            </w:r>
          </w:p>
        </w:tc>
      </w:tr>
      <w:tr w:rsidRPr="00E0518B" w:rsidR="00E0518B" w:rsidTr="00E0518B" w14:paraId="3FA83806" w14:textId="77777777">
        <w:trPr>
          <w:cantSplit/>
        </w:trPr>
        <w:tc>
          <w:tcPr>
            <w:tcW w:w="877" w:type="pct"/>
            <w:tcBorders>
              <w:top w:val="single" w:color="auto" w:sz="4" w:space="0"/>
              <w:left w:val="single" w:color="auto" w:sz="4" w:space="0"/>
              <w:bottom w:val="single" w:color="auto" w:sz="4" w:space="0"/>
              <w:right w:val="single" w:color="auto" w:sz="4" w:space="0"/>
            </w:tcBorders>
            <w:vAlign w:val="bottom"/>
            <w:hideMark/>
          </w:tcPr>
          <w:p w:rsidRPr="00E0518B" w:rsidR="00E0518B" w:rsidP="00E0518B" w:rsidRDefault="00E0518B" w14:paraId="20264377" w14:textId="77777777">
            <w:pPr>
              <w:spacing w:after="0" w:line="256" w:lineRule="auto"/>
              <w:jc w:val="right"/>
              <w:rPr>
                <w:rFonts w:ascii="Times New Roman" w:hAnsi="Times New Roman" w:eastAsia="Calibri" w:cs="Times New Roman"/>
                <w:sz w:val="26"/>
                <w:szCs w:val="26"/>
              </w:rPr>
            </w:pPr>
            <w:r w:rsidRPr="00E0518B">
              <w:rPr>
                <w:rFonts w:ascii="Times New Roman" w:hAnsi="Times New Roman" w:eastAsia="Calibri" w:cs="Times New Roman"/>
                <w:sz w:val="26"/>
                <w:szCs w:val="26"/>
              </w:rPr>
              <w:t>57</w:t>
            </w:r>
          </w:p>
        </w:tc>
        <w:tc>
          <w:tcPr>
            <w:tcW w:w="836" w:type="pct"/>
            <w:tcBorders>
              <w:top w:val="single" w:color="auto" w:sz="4" w:space="0"/>
              <w:left w:val="single" w:color="auto" w:sz="4" w:space="0"/>
              <w:bottom w:val="single" w:color="auto" w:sz="4" w:space="0"/>
              <w:right w:val="single" w:color="auto" w:sz="4" w:space="0"/>
            </w:tcBorders>
            <w:vAlign w:val="bottom"/>
            <w:hideMark/>
          </w:tcPr>
          <w:p w:rsidRPr="00E0518B" w:rsidR="00E0518B" w:rsidP="00E0518B" w:rsidRDefault="00E0518B" w14:paraId="76F6DD9B" w14:textId="77777777">
            <w:pPr>
              <w:spacing w:after="0" w:line="256" w:lineRule="auto"/>
              <w:jc w:val="right"/>
              <w:rPr>
                <w:rFonts w:ascii="Times New Roman" w:hAnsi="Times New Roman" w:eastAsia="Calibri" w:cs="Times New Roman"/>
                <w:sz w:val="26"/>
                <w:szCs w:val="26"/>
              </w:rPr>
            </w:pPr>
            <w:r w:rsidRPr="00E0518B">
              <w:rPr>
                <w:rFonts w:ascii="Times New Roman" w:hAnsi="Times New Roman" w:eastAsia="Calibri" w:cs="Times New Roman"/>
                <w:sz w:val="26"/>
                <w:szCs w:val="26"/>
              </w:rPr>
              <w:t>1</w:t>
            </w:r>
          </w:p>
        </w:tc>
        <w:tc>
          <w:tcPr>
            <w:tcW w:w="757" w:type="pct"/>
            <w:tcBorders>
              <w:top w:val="single" w:color="auto" w:sz="4" w:space="0"/>
              <w:left w:val="single" w:color="auto" w:sz="4" w:space="0"/>
              <w:bottom w:val="single" w:color="auto" w:sz="4" w:space="0"/>
              <w:right w:val="single" w:color="auto" w:sz="4" w:space="0"/>
            </w:tcBorders>
            <w:vAlign w:val="bottom"/>
            <w:hideMark/>
          </w:tcPr>
          <w:p w:rsidRPr="00E0518B" w:rsidR="00E0518B" w:rsidP="00E0518B" w:rsidRDefault="00E0518B" w14:paraId="77A0780B" w14:textId="77777777">
            <w:pPr>
              <w:spacing w:after="0" w:line="256" w:lineRule="auto"/>
              <w:jc w:val="right"/>
              <w:rPr>
                <w:rFonts w:ascii="Times New Roman" w:hAnsi="Times New Roman" w:eastAsia="Calibri" w:cs="Times New Roman"/>
                <w:sz w:val="26"/>
                <w:szCs w:val="26"/>
              </w:rPr>
            </w:pPr>
            <w:r w:rsidRPr="00E0518B">
              <w:rPr>
                <w:rFonts w:ascii="Times New Roman" w:hAnsi="Times New Roman" w:eastAsia="Calibri" w:cs="Times New Roman"/>
                <w:sz w:val="26"/>
                <w:szCs w:val="26"/>
              </w:rPr>
              <w:t>57</w:t>
            </w:r>
          </w:p>
        </w:tc>
        <w:tc>
          <w:tcPr>
            <w:tcW w:w="843" w:type="pct"/>
            <w:tcBorders>
              <w:top w:val="single" w:color="auto" w:sz="4" w:space="0"/>
              <w:left w:val="single" w:color="auto" w:sz="4" w:space="0"/>
              <w:bottom w:val="single" w:color="auto" w:sz="4" w:space="0"/>
              <w:right w:val="single" w:color="auto" w:sz="4" w:space="0"/>
            </w:tcBorders>
            <w:vAlign w:val="bottom"/>
            <w:hideMark/>
          </w:tcPr>
          <w:p w:rsidRPr="00E0518B" w:rsidR="00E0518B" w:rsidP="00E0518B" w:rsidRDefault="00B54C49" w14:paraId="622A3E32" w14:textId="4AA4D28E">
            <w:pPr>
              <w:spacing w:after="0" w:line="256"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70</w:t>
            </w:r>
            <w:r w:rsidRPr="00E0518B" w:rsidR="00E0518B">
              <w:rPr>
                <w:rFonts w:ascii="Times New Roman" w:hAnsi="Times New Roman" w:eastAsia="Calibri" w:cs="Times New Roman"/>
                <w:sz w:val="26"/>
                <w:szCs w:val="26"/>
              </w:rPr>
              <w:t xml:space="preserve"> hrs.;</w:t>
            </w:r>
          </w:p>
          <w:p w:rsidRPr="00E0518B" w:rsidR="00E0518B" w:rsidP="00E0518B" w:rsidRDefault="00E0518B" w14:paraId="09A0FC47" w14:textId="77777777">
            <w:pPr>
              <w:spacing w:after="0" w:line="256" w:lineRule="auto"/>
              <w:jc w:val="right"/>
              <w:rPr>
                <w:rFonts w:ascii="Times New Roman" w:hAnsi="Times New Roman" w:eastAsia="Calibri" w:cs="Times New Roman"/>
                <w:sz w:val="26"/>
                <w:szCs w:val="26"/>
              </w:rPr>
            </w:pPr>
            <w:r w:rsidRPr="00E0518B">
              <w:rPr>
                <w:rFonts w:ascii="Times New Roman" w:hAnsi="Times New Roman" w:eastAsia="Calibri" w:cs="Times New Roman"/>
                <w:sz w:val="26"/>
                <w:szCs w:val="26"/>
              </w:rPr>
              <w:t>$5,810</w:t>
            </w:r>
          </w:p>
        </w:tc>
        <w:tc>
          <w:tcPr>
            <w:tcW w:w="891" w:type="pct"/>
            <w:gridSpan w:val="2"/>
            <w:tcBorders>
              <w:top w:val="single" w:color="auto" w:sz="4" w:space="0"/>
              <w:left w:val="single" w:color="auto" w:sz="4" w:space="0"/>
              <w:bottom w:val="single" w:color="auto" w:sz="4" w:space="0"/>
              <w:right w:val="single" w:color="auto" w:sz="4" w:space="0"/>
            </w:tcBorders>
            <w:vAlign w:val="bottom"/>
            <w:hideMark/>
          </w:tcPr>
          <w:p w:rsidRPr="00E0518B" w:rsidR="00E0518B" w:rsidP="00E0518B" w:rsidRDefault="00E0518B" w14:paraId="7FFAE9C9" w14:textId="77777777">
            <w:pPr>
              <w:spacing w:after="0" w:line="256" w:lineRule="auto"/>
              <w:jc w:val="right"/>
              <w:rPr>
                <w:rFonts w:ascii="Times New Roman" w:hAnsi="Times New Roman" w:eastAsia="Calibri" w:cs="Times New Roman"/>
                <w:sz w:val="26"/>
                <w:szCs w:val="26"/>
              </w:rPr>
            </w:pPr>
            <w:r w:rsidRPr="00E0518B">
              <w:rPr>
                <w:rFonts w:ascii="Times New Roman" w:hAnsi="Times New Roman" w:eastAsia="Calibri" w:cs="Times New Roman"/>
                <w:sz w:val="26"/>
                <w:szCs w:val="26"/>
              </w:rPr>
              <w:t>3,990 hrs.;</w:t>
            </w:r>
          </w:p>
          <w:p w:rsidRPr="00E0518B" w:rsidR="00E0518B" w:rsidP="00E0518B" w:rsidRDefault="00E0518B" w14:paraId="57E7B47C" w14:textId="77777777">
            <w:pPr>
              <w:spacing w:after="0" w:line="256" w:lineRule="auto"/>
              <w:jc w:val="right"/>
              <w:rPr>
                <w:rFonts w:ascii="Times New Roman" w:hAnsi="Times New Roman" w:eastAsia="Calibri" w:cs="Times New Roman"/>
                <w:sz w:val="26"/>
                <w:szCs w:val="26"/>
              </w:rPr>
            </w:pPr>
            <w:r w:rsidRPr="00E0518B">
              <w:rPr>
                <w:rFonts w:ascii="Times New Roman" w:hAnsi="Times New Roman" w:eastAsia="Calibri" w:cs="Times New Roman"/>
                <w:sz w:val="26"/>
                <w:szCs w:val="26"/>
              </w:rPr>
              <w:t>$331,170</w:t>
            </w:r>
          </w:p>
        </w:tc>
        <w:tc>
          <w:tcPr>
            <w:tcW w:w="796" w:type="pct"/>
            <w:tcBorders>
              <w:top w:val="single" w:color="auto" w:sz="4" w:space="0"/>
              <w:left w:val="single" w:color="auto" w:sz="4" w:space="0"/>
              <w:bottom w:val="single" w:color="auto" w:sz="4" w:space="0"/>
              <w:right w:val="single" w:color="auto" w:sz="4" w:space="0"/>
            </w:tcBorders>
            <w:vAlign w:val="bottom"/>
          </w:tcPr>
          <w:p w:rsidRPr="00E0518B" w:rsidR="00E0518B" w:rsidP="00E0518B" w:rsidRDefault="00E0518B" w14:paraId="6F03EB9C" w14:textId="77777777">
            <w:pPr>
              <w:spacing w:after="0" w:line="256" w:lineRule="auto"/>
              <w:jc w:val="right"/>
              <w:rPr>
                <w:rFonts w:ascii="Times New Roman" w:hAnsi="Times New Roman" w:eastAsia="Calibri" w:cs="Times New Roman"/>
                <w:sz w:val="26"/>
                <w:szCs w:val="26"/>
              </w:rPr>
            </w:pPr>
          </w:p>
          <w:p w:rsidRPr="00E0518B" w:rsidR="00E0518B" w:rsidP="00E0518B" w:rsidRDefault="00E0518B" w14:paraId="0472B577" w14:textId="77777777">
            <w:pPr>
              <w:spacing w:after="0" w:line="256" w:lineRule="auto"/>
              <w:jc w:val="right"/>
              <w:rPr>
                <w:rFonts w:ascii="Times New Roman" w:hAnsi="Times New Roman" w:eastAsia="Calibri" w:cs="Times New Roman"/>
                <w:sz w:val="26"/>
                <w:szCs w:val="26"/>
              </w:rPr>
            </w:pPr>
            <w:r w:rsidRPr="00E0518B">
              <w:rPr>
                <w:rFonts w:ascii="Times New Roman" w:hAnsi="Times New Roman" w:eastAsia="Calibri" w:cs="Times New Roman"/>
                <w:sz w:val="26"/>
                <w:szCs w:val="26"/>
              </w:rPr>
              <w:t>$5,810</w:t>
            </w:r>
          </w:p>
        </w:tc>
      </w:tr>
    </w:tbl>
    <w:p w:rsidRPr="005A6F78" w:rsidR="005A6F78" w:rsidP="005A6F78" w:rsidRDefault="005A6F78" w14:paraId="374956B0" w14:textId="77777777">
      <w:pPr>
        <w:spacing w:after="0"/>
        <w:rPr>
          <w:rFonts w:ascii="Times New Roman" w:hAnsi="Times New Roman" w:cs="Times New Roman"/>
          <w:sz w:val="26"/>
          <w:szCs w:val="26"/>
        </w:rPr>
      </w:pPr>
    </w:p>
    <w:p w:rsidRPr="005A6F78" w:rsidR="005A6F78" w:rsidP="005A6F78" w:rsidRDefault="005A6F78" w14:paraId="138F7169"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ESTIMATE OF THE TOTAL ANNUAL COST BURDEN TO RESPONDENTS</w:t>
      </w:r>
    </w:p>
    <w:p w:rsidRPr="005A6F78" w:rsidR="005A6F78" w:rsidP="005A6F78" w:rsidRDefault="005A6F78" w14:paraId="00FE89F6" w14:textId="77777777">
      <w:pPr>
        <w:spacing w:after="0"/>
        <w:rPr>
          <w:rFonts w:ascii="Times New Roman" w:hAnsi="Times New Roman" w:cs="Times New Roman"/>
          <w:sz w:val="26"/>
          <w:szCs w:val="26"/>
        </w:rPr>
      </w:pPr>
    </w:p>
    <w:p w:rsidRPr="005A6F78" w:rsidR="005A6F78" w:rsidP="005A6F78" w:rsidRDefault="005A6F78" w14:paraId="3FFF5A6A" w14:textId="77777777">
      <w:pPr>
        <w:spacing w:after="0"/>
        <w:rPr>
          <w:rFonts w:ascii="Times New Roman" w:hAnsi="Times New Roman" w:cs="Times New Roman"/>
          <w:sz w:val="26"/>
          <w:szCs w:val="26"/>
        </w:rPr>
      </w:pPr>
      <w:r w:rsidRPr="005A6F78">
        <w:rPr>
          <w:rFonts w:ascii="Times New Roman" w:hAnsi="Times New Roman" w:cs="Times New Roman"/>
          <w:sz w:val="26"/>
          <w:szCs w:val="26"/>
        </w:rPr>
        <w:t>There are no capital or start-up costs associated with this collection.  All of the costs are associated with the burden hours and accounted for in Question #12</w:t>
      </w:r>
      <w:r w:rsidR="006B059D">
        <w:rPr>
          <w:rFonts w:ascii="Times New Roman" w:hAnsi="Times New Roman" w:cs="Times New Roman"/>
          <w:sz w:val="26"/>
          <w:szCs w:val="26"/>
        </w:rPr>
        <w:t xml:space="preserve"> and #15</w:t>
      </w:r>
      <w:r w:rsidRPr="005A6F78">
        <w:rPr>
          <w:rFonts w:ascii="Times New Roman" w:hAnsi="Times New Roman" w:cs="Times New Roman"/>
          <w:sz w:val="26"/>
          <w:szCs w:val="26"/>
        </w:rPr>
        <w:t>.</w:t>
      </w:r>
    </w:p>
    <w:p w:rsidRPr="005A6F78" w:rsidR="005A6F78" w:rsidP="005A6F78" w:rsidRDefault="005A6F78" w14:paraId="423C6941" w14:textId="77777777">
      <w:pPr>
        <w:spacing w:after="0"/>
        <w:rPr>
          <w:rFonts w:ascii="Times New Roman" w:hAnsi="Times New Roman" w:cs="Times New Roman"/>
          <w:sz w:val="26"/>
          <w:szCs w:val="26"/>
        </w:rPr>
      </w:pPr>
    </w:p>
    <w:p w:rsidRPr="005A6F78" w:rsidR="005A6F78" w:rsidP="005A6F78" w:rsidRDefault="005A6F78" w14:paraId="229EB244"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ESTIMATED ANNUALIZED COST TO FEDERAL GOVERNMENT</w:t>
      </w:r>
    </w:p>
    <w:p w:rsidRPr="005A6F78" w:rsidR="005A6F78" w:rsidP="005A6F78" w:rsidRDefault="005A6F78" w14:paraId="3D299167" w14:textId="77777777">
      <w:pPr>
        <w:spacing w:after="0"/>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5A6F78" w:rsidR="005A6F78" w:rsidTr="008634FB" w14:paraId="113A111F" w14:textId="77777777">
        <w:tc>
          <w:tcPr>
            <w:tcW w:w="3182" w:type="dxa"/>
            <w:shd w:val="clear" w:color="auto" w:fill="CCCCCC"/>
          </w:tcPr>
          <w:p w:rsidRPr="005A6F78" w:rsidR="005A6F78" w:rsidP="008634FB" w:rsidRDefault="005A6F78" w14:paraId="7EBBE6D1" w14:textId="77777777">
            <w:pPr>
              <w:spacing w:after="0" w:line="240" w:lineRule="auto"/>
              <w:rPr>
                <w:rFonts w:ascii="Times New Roman" w:hAnsi="Times New Roman" w:cs="Times New Roman"/>
                <w:sz w:val="26"/>
                <w:szCs w:val="26"/>
              </w:rPr>
            </w:pPr>
          </w:p>
        </w:tc>
        <w:tc>
          <w:tcPr>
            <w:tcW w:w="3201" w:type="dxa"/>
            <w:shd w:val="clear" w:color="auto" w:fill="CCCCCC"/>
          </w:tcPr>
          <w:p w:rsidRPr="005A6F78" w:rsidR="005A6F78" w:rsidP="008634FB" w:rsidRDefault="005A6F78" w14:paraId="0992EE4B" w14:textId="77777777">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Number of Employees (FTEs)</w:t>
            </w:r>
          </w:p>
        </w:tc>
        <w:tc>
          <w:tcPr>
            <w:tcW w:w="2995" w:type="dxa"/>
            <w:shd w:val="clear" w:color="auto" w:fill="CCCCCC"/>
          </w:tcPr>
          <w:p w:rsidRPr="005A6F78" w:rsidR="005A6F78" w:rsidP="008634FB" w:rsidRDefault="005A6F78" w14:paraId="64CC6B37" w14:textId="77777777">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Estimated Annual Federal Cost</w:t>
            </w:r>
          </w:p>
        </w:tc>
      </w:tr>
      <w:tr w:rsidRPr="005A6F78" w:rsidR="005A6F78" w:rsidTr="008634FB" w14:paraId="0CBC98AA" w14:textId="77777777">
        <w:tc>
          <w:tcPr>
            <w:tcW w:w="3182" w:type="dxa"/>
            <w:shd w:val="clear" w:color="auto" w:fill="auto"/>
          </w:tcPr>
          <w:p w:rsidRPr="005A6F78" w:rsidR="005A6F78" w:rsidP="008634FB" w:rsidRDefault="005A6F78" w14:paraId="7BAF9A90" w14:textId="77777777">
            <w:pPr>
              <w:spacing w:after="0" w:line="240" w:lineRule="auto"/>
              <w:rPr>
                <w:rFonts w:ascii="Times New Roman" w:hAnsi="Times New Roman" w:cs="Times New Roman"/>
                <w:sz w:val="26"/>
                <w:szCs w:val="26"/>
              </w:rPr>
            </w:pPr>
            <w:r w:rsidRPr="005A6F78">
              <w:rPr>
                <w:rFonts w:ascii="Times New Roman" w:hAnsi="Times New Roman" w:cs="Times New Roman"/>
                <w:sz w:val="26"/>
                <w:szCs w:val="26"/>
              </w:rPr>
              <w:t>Analysis and Processing of filings</w:t>
            </w:r>
            <w:r w:rsidRPr="005A6F78">
              <w:rPr>
                <w:rFonts w:ascii="Times New Roman" w:hAnsi="Times New Roman" w:cs="Times New Roman"/>
                <w:sz w:val="26"/>
                <w:szCs w:val="26"/>
                <w:vertAlign w:val="superscript"/>
              </w:rPr>
              <w:footnoteReference w:id="6"/>
            </w:r>
          </w:p>
        </w:tc>
        <w:tc>
          <w:tcPr>
            <w:tcW w:w="3201" w:type="dxa"/>
            <w:tcBorders>
              <w:bottom w:val="single" w:color="auto" w:sz="4" w:space="0"/>
            </w:tcBorders>
            <w:shd w:val="clear" w:color="auto" w:fill="auto"/>
            <w:vAlign w:val="center"/>
          </w:tcPr>
          <w:p w:rsidRPr="005A6F78" w:rsidR="005A6F78" w:rsidP="008634FB" w:rsidRDefault="005A6F78" w14:paraId="1AC99162" w14:textId="77777777">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2</w:t>
            </w:r>
          </w:p>
        </w:tc>
        <w:tc>
          <w:tcPr>
            <w:tcW w:w="2995" w:type="dxa"/>
            <w:shd w:val="clear" w:color="auto" w:fill="auto"/>
            <w:vAlign w:val="center"/>
          </w:tcPr>
          <w:p w:rsidRPr="001272DE" w:rsidR="005A6F78" w:rsidP="008634FB" w:rsidRDefault="006E2387" w14:paraId="41DB14DF" w14:textId="0E1CC4A0">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$3</w:t>
            </w:r>
            <w:r w:rsidR="00FE2DE7">
              <w:rPr>
                <w:rFonts w:ascii="Times New Roman" w:hAnsi="Times New Roman" w:cs="Times New Roman"/>
                <w:sz w:val="26"/>
                <w:szCs w:val="26"/>
              </w:rPr>
              <w:t>44</w:t>
            </w:r>
            <w:r w:rsidRPr="001272DE">
              <w:rPr>
                <w:rFonts w:ascii="Times New Roman" w:hAnsi="Times New Roman" w:cs="Times New Roman"/>
                <w:sz w:val="26"/>
                <w:szCs w:val="26"/>
              </w:rPr>
              <w:t>,</w:t>
            </w:r>
            <w:r w:rsidR="00FE2DE7">
              <w:rPr>
                <w:rFonts w:ascii="Times New Roman" w:hAnsi="Times New Roman" w:cs="Times New Roman"/>
                <w:sz w:val="26"/>
                <w:szCs w:val="26"/>
              </w:rPr>
              <w:t>658</w:t>
            </w:r>
          </w:p>
        </w:tc>
      </w:tr>
      <w:tr w:rsidRPr="005A6F78" w:rsidR="005A6F78" w:rsidTr="008634FB" w14:paraId="50214188" w14:textId="77777777">
        <w:tc>
          <w:tcPr>
            <w:tcW w:w="3182" w:type="dxa"/>
            <w:shd w:val="clear" w:color="auto" w:fill="auto"/>
          </w:tcPr>
          <w:p w:rsidRPr="005A6F78" w:rsidR="005A6F78" w:rsidP="008634FB" w:rsidRDefault="005A6F78" w14:paraId="3A396994" w14:textId="77777777">
            <w:pPr>
              <w:rPr>
                <w:rFonts w:ascii="Times New Roman" w:hAnsi="Times New Roman" w:cs="Times New Roman"/>
                <w:sz w:val="26"/>
                <w:szCs w:val="26"/>
              </w:rPr>
            </w:pPr>
            <w:r w:rsidRPr="005A6F78">
              <w:rPr>
                <w:rFonts w:ascii="Times New Roman" w:hAnsi="Times New Roman" w:cs="Times New Roman"/>
                <w:sz w:val="26"/>
                <w:szCs w:val="26"/>
              </w:rPr>
              <w:t>PRA</w:t>
            </w:r>
            <w:r w:rsidRPr="005A6F78">
              <w:rPr>
                <w:rFonts w:ascii="Times New Roman" w:hAnsi="Times New Roman" w:cs="Times New Roman"/>
                <w:sz w:val="26"/>
                <w:szCs w:val="26"/>
                <w:vertAlign w:val="superscript"/>
              </w:rPr>
              <w:footnoteReference w:id="7"/>
            </w:r>
            <w:r w:rsidRPr="005A6F78">
              <w:rPr>
                <w:rFonts w:ascii="Times New Roman" w:hAnsi="Times New Roman" w:cs="Times New Roman"/>
                <w:sz w:val="26"/>
                <w:szCs w:val="26"/>
              </w:rPr>
              <w:t xml:space="preserve"> Administrative Cost</w:t>
            </w:r>
            <w:r w:rsidRPr="005A6F78">
              <w:rPr>
                <w:rFonts w:ascii="Times New Roman" w:hAnsi="Times New Roman" w:cs="Times New Roman"/>
                <w:sz w:val="26"/>
                <w:szCs w:val="26"/>
                <w:vertAlign w:val="superscript"/>
              </w:rPr>
              <w:footnoteReference w:id="8"/>
            </w:r>
            <w:r w:rsidRPr="005A6F78">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rsidRPr="005A6F78" w:rsidR="005A6F78" w:rsidP="008634FB" w:rsidRDefault="005A6F78" w14:paraId="479438F8"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Pr="001272DE" w:rsidR="005A6F78" w:rsidP="008634FB" w:rsidRDefault="001272DE" w14:paraId="1C5A52A5" w14:textId="0CA50894">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w:t>
            </w:r>
            <w:r w:rsidR="00FE2DE7">
              <w:rPr>
                <w:rFonts w:ascii="Times New Roman" w:hAnsi="Times New Roman" w:cs="Times New Roman"/>
                <w:sz w:val="26"/>
                <w:szCs w:val="26"/>
              </w:rPr>
              <w:t>6,475</w:t>
            </w:r>
          </w:p>
        </w:tc>
      </w:tr>
      <w:tr w:rsidRPr="005A6F78" w:rsidR="005A6F78" w:rsidTr="008634FB" w14:paraId="12702CDF" w14:textId="77777777">
        <w:tc>
          <w:tcPr>
            <w:tcW w:w="3182" w:type="dxa"/>
            <w:shd w:val="clear" w:color="auto" w:fill="auto"/>
          </w:tcPr>
          <w:p w:rsidRPr="005A6F78" w:rsidR="005A6F78" w:rsidP="008634FB" w:rsidRDefault="005A6F78" w14:paraId="26DBE416" w14:textId="77777777">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rsidRPr="005A6F78" w:rsidR="005A6F78" w:rsidP="008634FB" w:rsidRDefault="005A6F78" w14:paraId="5CC9E620"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Pr="001272DE" w:rsidR="005A6F78" w:rsidP="008634FB" w:rsidRDefault="001272DE" w14:paraId="488E3410" w14:textId="33E2F38D">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$3</w:t>
            </w:r>
            <w:r w:rsidR="00FE2DE7">
              <w:rPr>
                <w:rFonts w:ascii="Times New Roman" w:hAnsi="Times New Roman" w:cs="Times New Roman"/>
                <w:sz w:val="26"/>
                <w:szCs w:val="26"/>
              </w:rPr>
              <w:t>51</w:t>
            </w:r>
            <w:r w:rsidRPr="001272DE">
              <w:rPr>
                <w:rFonts w:ascii="Times New Roman" w:hAnsi="Times New Roman" w:cs="Times New Roman"/>
                <w:sz w:val="26"/>
                <w:szCs w:val="26"/>
              </w:rPr>
              <w:t>,</w:t>
            </w:r>
            <w:r w:rsidR="00FE2DE7">
              <w:rPr>
                <w:rFonts w:ascii="Times New Roman" w:hAnsi="Times New Roman" w:cs="Times New Roman"/>
                <w:sz w:val="26"/>
                <w:szCs w:val="26"/>
              </w:rPr>
              <w:t>133</w:t>
            </w:r>
          </w:p>
        </w:tc>
      </w:tr>
    </w:tbl>
    <w:p w:rsidRPr="005A6F78" w:rsidR="005A6F78" w:rsidP="005A6F78" w:rsidRDefault="005A6F78" w14:paraId="74761F6E" w14:textId="77777777">
      <w:pPr>
        <w:spacing w:after="0"/>
        <w:rPr>
          <w:rFonts w:ascii="Times New Roman" w:hAnsi="Times New Roman" w:cs="Times New Roman"/>
          <w:sz w:val="26"/>
          <w:szCs w:val="26"/>
        </w:rPr>
      </w:pPr>
    </w:p>
    <w:p w:rsidRPr="005A6F78" w:rsidR="005A6F78" w:rsidP="005A6F78" w:rsidRDefault="005A6F78" w14:paraId="72A0B68B"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REASONS FOR CHANGES IN BURDEN INCLUDING THE NEED FOR ANY INCREASE</w:t>
      </w:r>
    </w:p>
    <w:p w:rsidRPr="005A6F78" w:rsidR="005A6F78" w:rsidP="005A6F78" w:rsidRDefault="005A6F78" w14:paraId="1A87EECE" w14:textId="77777777">
      <w:pPr>
        <w:spacing w:after="0"/>
        <w:rPr>
          <w:rFonts w:ascii="Times New Roman" w:hAnsi="Times New Roman" w:cs="Times New Roman"/>
          <w:sz w:val="26"/>
          <w:szCs w:val="26"/>
        </w:rPr>
      </w:pPr>
    </w:p>
    <w:p w:rsidRPr="005A6F78" w:rsidR="005A6F78" w:rsidP="005A6F78" w:rsidRDefault="00330DC3" w14:paraId="6BE1157F" w14:textId="67C424EB">
      <w:pPr>
        <w:spacing w:after="0"/>
        <w:rPr>
          <w:rFonts w:ascii="Times New Roman" w:hAnsi="Times New Roman" w:cs="Times New Roman"/>
          <w:sz w:val="26"/>
          <w:szCs w:val="26"/>
        </w:rPr>
      </w:pPr>
      <w:r>
        <w:rPr>
          <w:rFonts w:ascii="Times New Roman" w:hAnsi="Times New Roman" w:cs="Times New Roman"/>
          <w:sz w:val="24"/>
          <w:szCs w:val="24"/>
        </w:rPr>
        <w:t xml:space="preserve">There are no changes to the FERC Form 523 reporting requirements or format.  However, we are reporting </w:t>
      </w:r>
      <w:r w:rsidR="00C652C5">
        <w:rPr>
          <w:rFonts w:ascii="Times New Roman" w:hAnsi="Times New Roman" w:cs="Times New Roman"/>
          <w:sz w:val="24"/>
          <w:szCs w:val="24"/>
        </w:rPr>
        <w:t>1</w:t>
      </w:r>
      <w:r w:rsidR="00E0518B">
        <w:rPr>
          <w:rFonts w:ascii="Times New Roman" w:hAnsi="Times New Roman" w:cs="Times New Roman"/>
          <w:sz w:val="24"/>
          <w:szCs w:val="24"/>
        </w:rPr>
        <w:t>3</w:t>
      </w:r>
      <w:r w:rsidR="00C652C5">
        <w:rPr>
          <w:rFonts w:ascii="Times New Roman" w:hAnsi="Times New Roman" w:cs="Times New Roman"/>
          <w:sz w:val="24"/>
          <w:szCs w:val="24"/>
        </w:rPr>
        <w:t xml:space="preserve"> </w:t>
      </w:r>
      <w:r w:rsidR="00E0518B">
        <w:rPr>
          <w:rFonts w:ascii="Times New Roman" w:hAnsi="Times New Roman" w:cs="Times New Roman"/>
          <w:sz w:val="24"/>
          <w:szCs w:val="24"/>
        </w:rPr>
        <w:t>less</w:t>
      </w:r>
      <w:r w:rsidR="00C652C5">
        <w:rPr>
          <w:rFonts w:ascii="Times New Roman" w:hAnsi="Times New Roman" w:cs="Times New Roman"/>
          <w:sz w:val="24"/>
          <w:szCs w:val="24"/>
        </w:rPr>
        <w:t xml:space="preserve"> responses</w:t>
      </w:r>
      <w:r>
        <w:rPr>
          <w:rFonts w:ascii="Times New Roman" w:hAnsi="Times New Roman" w:cs="Times New Roman"/>
          <w:sz w:val="24"/>
          <w:szCs w:val="24"/>
        </w:rPr>
        <w:t xml:space="preserve"> in this clearance package due </w:t>
      </w:r>
      <w:r w:rsidR="00C652C5">
        <w:rPr>
          <w:rFonts w:ascii="Times New Roman" w:hAnsi="Times New Roman" w:cs="Times New Roman"/>
          <w:sz w:val="24"/>
          <w:szCs w:val="24"/>
        </w:rPr>
        <w:t xml:space="preserve">to the number of new entities </w:t>
      </w:r>
      <w:r w:rsidR="00E0518B">
        <w:rPr>
          <w:rFonts w:ascii="Times New Roman" w:hAnsi="Times New Roman" w:cs="Times New Roman"/>
          <w:sz w:val="24"/>
          <w:szCs w:val="24"/>
        </w:rPr>
        <w:t xml:space="preserve">and normal fluctuations in </w:t>
      </w:r>
      <w:r w:rsidR="00C652C5">
        <w:rPr>
          <w:rFonts w:ascii="Times New Roman" w:hAnsi="Times New Roman" w:cs="Times New Roman"/>
          <w:sz w:val="24"/>
          <w:szCs w:val="24"/>
        </w:rPr>
        <w:t xml:space="preserve">responding. </w:t>
      </w:r>
      <w:r w:rsidRPr="00542DF7" w:rsidR="00542DF7">
        <w:rPr>
          <w:rFonts w:ascii="Times New Roman" w:hAnsi="Times New Roman" w:cs="Times New Roman"/>
          <w:sz w:val="26"/>
          <w:szCs w:val="26"/>
        </w:rPr>
        <w:t xml:space="preserve">The burden </w:t>
      </w:r>
      <w:r w:rsidR="000868FF">
        <w:rPr>
          <w:rFonts w:ascii="Times New Roman" w:hAnsi="Times New Roman" w:cs="Times New Roman"/>
          <w:sz w:val="26"/>
          <w:szCs w:val="26"/>
        </w:rPr>
        <w:t>de</w:t>
      </w:r>
      <w:r w:rsidRPr="00542DF7" w:rsidR="00542DF7">
        <w:rPr>
          <w:rFonts w:ascii="Times New Roman" w:hAnsi="Times New Roman" w:cs="Times New Roman"/>
          <w:sz w:val="26"/>
          <w:szCs w:val="26"/>
        </w:rPr>
        <w:t xml:space="preserve">crease is due to better estimate of </w:t>
      </w:r>
      <w:r w:rsidRPr="00542DF7" w:rsidR="00542DF7">
        <w:rPr>
          <w:rFonts w:ascii="Times New Roman" w:hAnsi="Times New Roman" w:cs="Times New Roman"/>
          <w:sz w:val="26"/>
          <w:szCs w:val="26"/>
        </w:rPr>
        <w:lastRenderedPageBreak/>
        <w:t>applications processed</w:t>
      </w:r>
      <w:r w:rsidR="00C652C5">
        <w:rPr>
          <w:rFonts w:ascii="Times New Roman" w:hAnsi="Times New Roman" w:cs="Times New Roman"/>
          <w:sz w:val="26"/>
          <w:szCs w:val="26"/>
        </w:rPr>
        <w:t xml:space="preserve"> and new companies responding</w:t>
      </w:r>
      <w:r w:rsidRPr="00542DF7" w:rsidR="00542DF7">
        <w:rPr>
          <w:rFonts w:ascii="Times New Roman" w:hAnsi="Times New Roman" w:cs="Times New Roman"/>
          <w:sz w:val="26"/>
          <w:szCs w:val="26"/>
        </w:rPr>
        <w:t xml:space="preserve">. The </w:t>
      </w:r>
      <w:r w:rsidR="00542DF7">
        <w:rPr>
          <w:rFonts w:ascii="Times New Roman" w:hAnsi="Times New Roman" w:cs="Times New Roman"/>
          <w:sz w:val="26"/>
          <w:szCs w:val="26"/>
        </w:rPr>
        <w:t>total</w:t>
      </w:r>
      <w:r w:rsidRPr="00542DF7" w:rsidR="00542DF7">
        <w:rPr>
          <w:rFonts w:ascii="Times New Roman" w:hAnsi="Times New Roman" w:cs="Times New Roman"/>
          <w:sz w:val="26"/>
          <w:szCs w:val="26"/>
        </w:rPr>
        <w:t xml:space="preserve"> </w:t>
      </w:r>
      <w:r w:rsidR="00542DF7">
        <w:rPr>
          <w:rFonts w:ascii="Times New Roman" w:hAnsi="Times New Roman" w:cs="Times New Roman"/>
          <w:sz w:val="26"/>
          <w:szCs w:val="26"/>
        </w:rPr>
        <w:t xml:space="preserve">responses </w:t>
      </w:r>
      <w:r w:rsidR="00E0518B">
        <w:rPr>
          <w:rFonts w:ascii="Times New Roman" w:hAnsi="Times New Roman" w:cs="Times New Roman"/>
          <w:sz w:val="26"/>
          <w:szCs w:val="26"/>
        </w:rPr>
        <w:t>decrease</w:t>
      </w:r>
      <w:r w:rsidRPr="00542DF7" w:rsidR="00542DF7">
        <w:rPr>
          <w:rFonts w:ascii="Times New Roman" w:hAnsi="Times New Roman" w:cs="Times New Roman"/>
          <w:sz w:val="26"/>
          <w:szCs w:val="26"/>
        </w:rPr>
        <w:t xml:space="preserve"> </w:t>
      </w:r>
      <w:r w:rsidR="00E0518B">
        <w:rPr>
          <w:rFonts w:ascii="Times New Roman" w:hAnsi="Times New Roman" w:cs="Times New Roman"/>
          <w:sz w:val="26"/>
          <w:szCs w:val="26"/>
        </w:rPr>
        <w:t xml:space="preserve">to 57 </w:t>
      </w:r>
      <w:r w:rsidRPr="00542DF7" w:rsidR="00542DF7">
        <w:rPr>
          <w:rFonts w:ascii="Times New Roman" w:hAnsi="Times New Roman" w:cs="Times New Roman"/>
          <w:sz w:val="26"/>
          <w:szCs w:val="26"/>
        </w:rPr>
        <w:t>for this renewal.</w:t>
      </w:r>
      <w:r w:rsidRPr="005A6F78" w:rsidR="005A6F78">
        <w:rPr>
          <w:rFonts w:ascii="Times New Roman" w:hAnsi="Times New Roman" w:cs="Times New Roman"/>
          <w:sz w:val="26"/>
          <w:szCs w:val="26"/>
        </w:rPr>
        <w:t xml:space="preserve"> FERC staff has reviewed the applications received, studied current trends in </w:t>
      </w:r>
      <w:r w:rsidR="00AC10AC">
        <w:rPr>
          <w:rFonts w:ascii="Times New Roman" w:hAnsi="Times New Roman" w:cs="Times New Roman"/>
          <w:sz w:val="26"/>
          <w:szCs w:val="26"/>
        </w:rPr>
        <w:t>FERC Form No. 523</w:t>
      </w:r>
      <w:r w:rsidRPr="005A6F78" w:rsidR="005A6F78">
        <w:rPr>
          <w:rFonts w:ascii="Times New Roman" w:hAnsi="Times New Roman" w:cs="Times New Roman"/>
          <w:sz w:val="26"/>
          <w:szCs w:val="26"/>
        </w:rPr>
        <w:t xml:space="preserve"> reporting, and adjusted the burden estimate appropriately.</w:t>
      </w:r>
    </w:p>
    <w:p w:rsidRPr="005A6F78" w:rsidR="005A6F78" w:rsidP="005A6F78" w:rsidRDefault="005A6F78" w14:paraId="35029FF9" w14:textId="77777777">
      <w:pPr>
        <w:spacing w:after="0"/>
        <w:rPr>
          <w:rFonts w:ascii="Times New Roman" w:hAnsi="Times New Roman" w:cs="Times New Roman"/>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5A6F78" w:rsidR="005A6F78" w:rsidTr="008634FB" w14:paraId="4889F43F" w14:textId="77777777">
        <w:trPr>
          <w:trHeight w:val="870"/>
        </w:trPr>
        <w:tc>
          <w:tcPr>
            <w:tcW w:w="2679" w:type="dxa"/>
            <w:shd w:val="clear" w:color="auto" w:fill="D9D9D9"/>
            <w:vAlign w:val="bottom"/>
          </w:tcPr>
          <w:p w:rsidRPr="005A6F78" w:rsidR="005A6F78" w:rsidP="008634FB" w:rsidRDefault="00AC10AC" w14:paraId="40BFF098"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 Form No. 523</w:t>
            </w:r>
          </w:p>
        </w:tc>
        <w:tc>
          <w:tcPr>
            <w:tcW w:w="1461" w:type="dxa"/>
            <w:shd w:val="clear" w:color="auto" w:fill="D9D9D9"/>
            <w:vAlign w:val="bottom"/>
          </w:tcPr>
          <w:p w:rsidRPr="005A6F78" w:rsidR="005A6F78" w:rsidP="008634FB" w:rsidRDefault="005A6F78" w14:paraId="1E7DC898" w14:textId="77777777">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Total Request</w:t>
            </w:r>
          </w:p>
        </w:tc>
        <w:tc>
          <w:tcPr>
            <w:tcW w:w="1620" w:type="dxa"/>
            <w:shd w:val="clear" w:color="auto" w:fill="D9D9D9"/>
            <w:vAlign w:val="bottom"/>
          </w:tcPr>
          <w:p w:rsidRPr="005A6F78" w:rsidR="005A6F78" w:rsidP="008634FB" w:rsidRDefault="005A6F78" w14:paraId="5A852CBC" w14:textId="77777777">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Previously Approved</w:t>
            </w:r>
          </w:p>
        </w:tc>
        <w:tc>
          <w:tcPr>
            <w:tcW w:w="1800" w:type="dxa"/>
            <w:shd w:val="clear" w:color="auto" w:fill="D9D9D9"/>
            <w:vAlign w:val="bottom"/>
          </w:tcPr>
          <w:p w:rsidRPr="005A6F78" w:rsidR="005A6F78" w:rsidP="008634FB" w:rsidRDefault="005A6F78" w14:paraId="42120702" w14:textId="77777777">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Change due to Adjustment in Estimate</w:t>
            </w:r>
          </w:p>
        </w:tc>
        <w:tc>
          <w:tcPr>
            <w:tcW w:w="1800" w:type="dxa"/>
            <w:shd w:val="clear" w:color="auto" w:fill="D9D9D9"/>
            <w:vAlign w:val="bottom"/>
          </w:tcPr>
          <w:p w:rsidRPr="005A6F78" w:rsidR="005A6F78" w:rsidP="008634FB" w:rsidRDefault="005A6F78" w14:paraId="48A3A1FB" w14:textId="77777777">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Change Due to Agency Discretion</w:t>
            </w:r>
          </w:p>
        </w:tc>
      </w:tr>
      <w:tr w:rsidRPr="005A6F78" w:rsidR="005A6F78" w:rsidTr="008634FB" w14:paraId="57F2BD0A" w14:textId="77777777">
        <w:trPr>
          <w:trHeight w:val="591"/>
        </w:trPr>
        <w:tc>
          <w:tcPr>
            <w:tcW w:w="2679" w:type="dxa"/>
            <w:shd w:val="clear" w:color="auto" w:fill="auto"/>
          </w:tcPr>
          <w:p w:rsidRPr="005A6F78" w:rsidR="005A6F78" w:rsidP="008634FB" w:rsidRDefault="005A6F78" w14:paraId="6F6BFB76" w14:textId="77777777">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Number of Responses</w:t>
            </w:r>
          </w:p>
        </w:tc>
        <w:tc>
          <w:tcPr>
            <w:tcW w:w="1461" w:type="dxa"/>
            <w:shd w:val="clear" w:color="auto" w:fill="auto"/>
            <w:vAlign w:val="center"/>
          </w:tcPr>
          <w:p w:rsidRPr="005A6F78" w:rsidR="005A6F78" w:rsidP="00C652C5" w:rsidRDefault="00E0518B" w14:paraId="1C9AD142" w14:textId="019BECE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57</w:t>
            </w:r>
          </w:p>
        </w:tc>
        <w:tc>
          <w:tcPr>
            <w:tcW w:w="1620" w:type="dxa"/>
            <w:shd w:val="clear" w:color="auto" w:fill="auto"/>
            <w:vAlign w:val="center"/>
          </w:tcPr>
          <w:p w:rsidRPr="005A6F78" w:rsidR="005A6F78" w:rsidP="008634FB" w:rsidRDefault="00E0518B" w14:paraId="7A5AA053" w14:textId="48A87B8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70</w:t>
            </w:r>
          </w:p>
        </w:tc>
        <w:tc>
          <w:tcPr>
            <w:tcW w:w="1800" w:type="dxa"/>
            <w:shd w:val="clear" w:color="auto" w:fill="auto"/>
            <w:vAlign w:val="center"/>
          </w:tcPr>
          <w:p w:rsidRPr="005A6F78" w:rsidR="005A6F78" w:rsidP="00C652C5" w:rsidRDefault="00E0518B" w14:paraId="01C577B5" w14:textId="4C154AF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-13</w:t>
            </w:r>
          </w:p>
        </w:tc>
        <w:tc>
          <w:tcPr>
            <w:tcW w:w="1800" w:type="dxa"/>
            <w:shd w:val="clear" w:color="auto" w:fill="auto"/>
            <w:vAlign w:val="center"/>
          </w:tcPr>
          <w:p w:rsidRPr="005A6F78" w:rsidR="005A6F78" w:rsidP="008634FB" w:rsidRDefault="005A6F78" w14:paraId="0F8E0F6F" w14:textId="77777777">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0</w:t>
            </w:r>
          </w:p>
        </w:tc>
      </w:tr>
      <w:tr w:rsidRPr="005A6F78" w:rsidR="005A6F78" w:rsidTr="008634FB" w14:paraId="0B18984C" w14:textId="77777777">
        <w:trPr>
          <w:trHeight w:val="575"/>
        </w:trPr>
        <w:tc>
          <w:tcPr>
            <w:tcW w:w="2679" w:type="dxa"/>
            <w:shd w:val="clear" w:color="auto" w:fill="auto"/>
          </w:tcPr>
          <w:p w:rsidRPr="005A6F78" w:rsidR="005A6F78" w:rsidP="008634FB" w:rsidRDefault="005A6F78" w14:paraId="164AFD74" w14:textId="77777777">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Time Burden (Hr</w:t>
            </w:r>
            <w:r w:rsidR="007C7868">
              <w:rPr>
                <w:rFonts w:ascii="Times New Roman" w:hAnsi="Times New Roman" w:cs="Times New Roman"/>
                <w:sz w:val="26"/>
                <w:szCs w:val="26"/>
              </w:rPr>
              <w:t>.</w:t>
            </w:r>
            <w:r w:rsidRPr="005A6F78">
              <w:rPr>
                <w:rFonts w:ascii="Times New Roman" w:hAnsi="Times New Roman" w:cs="Times New Roman"/>
                <w:sz w:val="26"/>
                <w:szCs w:val="26"/>
              </w:rPr>
              <w:t>)</w:t>
            </w:r>
          </w:p>
        </w:tc>
        <w:tc>
          <w:tcPr>
            <w:tcW w:w="1461" w:type="dxa"/>
            <w:shd w:val="clear" w:color="auto" w:fill="auto"/>
            <w:vAlign w:val="center"/>
          </w:tcPr>
          <w:p w:rsidRPr="005A6F78" w:rsidR="005A6F78" w:rsidP="008634FB" w:rsidRDefault="00E0518B" w14:paraId="55EA164B" w14:textId="105BCCC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3,990</w:t>
            </w:r>
          </w:p>
        </w:tc>
        <w:tc>
          <w:tcPr>
            <w:tcW w:w="1620" w:type="dxa"/>
            <w:shd w:val="clear" w:color="auto" w:fill="auto"/>
            <w:vAlign w:val="center"/>
          </w:tcPr>
          <w:p w:rsidRPr="005A6F78" w:rsidR="005A6F78" w:rsidP="008634FB" w:rsidRDefault="00E0518B" w14:paraId="10661C35" w14:textId="5CA96BF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4,900</w:t>
            </w:r>
          </w:p>
        </w:tc>
        <w:tc>
          <w:tcPr>
            <w:tcW w:w="1800" w:type="dxa"/>
            <w:shd w:val="clear" w:color="auto" w:fill="auto"/>
            <w:vAlign w:val="center"/>
          </w:tcPr>
          <w:p w:rsidRPr="005A6F78" w:rsidR="005A6F78" w:rsidP="004B5A7F" w:rsidRDefault="00E0518B" w14:paraId="3854D261" w14:textId="7493EF7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-910</w:t>
            </w:r>
          </w:p>
        </w:tc>
        <w:tc>
          <w:tcPr>
            <w:tcW w:w="1800" w:type="dxa"/>
            <w:shd w:val="clear" w:color="auto" w:fill="auto"/>
            <w:vAlign w:val="center"/>
          </w:tcPr>
          <w:p w:rsidRPr="005A6F78" w:rsidR="005A6F78" w:rsidP="008634FB" w:rsidRDefault="005A6F78" w14:paraId="2917A4C3" w14:textId="77777777">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0</w:t>
            </w:r>
          </w:p>
        </w:tc>
      </w:tr>
      <w:tr w:rsidRPr="005A6F78" w:rsidR="005A6F78" w:rsidTr="008634FB" w14:paraId="397E9195" w14:textId="77777777">
        <w:trPr>
          <w:trHeight w:val="295"/>
        </w:trPr>
        <w:tc>
          <w:tcPr>
            <w:tcW w:w="2679" w:type="dxa"/>
            <w:tcBorders>
              <w:bottom w:val="single" w:color="auto" w:sz="4" w:space="0"/>
            </w:tcBorders>
            <w:shd w:val="clear" w:color="auto" w:fill="auto"/>
          </w:tcPr>
          <w:p w:rsidRPr="005A6F78" w:rsidR="005A6F78" w:rsidP="008634FB" w:rsidRDefault="005A6F78" w14:paraId="49974BB7" w14:textId="77777777">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Cost Burden ($)</w:t>
            </w:r>
          </w:p>
        </w:tc>
        <w:tc>
          <w:tcPr>
            <w:tcW w:w="1461" w:type="dxa"/>
            <w:tcBorders>
              <w:bottom w:val="single" w:color="auto" w:sz="4" w:space="0"/>
            </w:tcBorders>
            <w:shd w:val="clear" w:color="auto" w:fill="auto"/>
            <w:vAlign w:val="center"/>
          </w:tcPr>
          <w:p w:rsidRPr="005A6F78" w:rsidR="005A6F78" w:rsidP="008634FB" w:rsidRDefault="00084A67" w14:paraId="4C40767C"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A6F78" w:rsidR="005A6F78">
              <w:rPr>
                <w:rFonts w:ascii="Times New Roman" w:hAnsi="Times New Roman" w:cs="Times New Roman"/>
                <w:sz w:val="26"/>
                <w:szCs w:val="26"/>
              </w:rPr>
              <w:t>0</w:t>
            </w:r>
          </w:p>
        </w:tc>
        <w:tc>
          <w:tcPr>
            <w:tcW w:w="1620" w:type="dxa"/>
            <w:tcBorders>
              <w:bottom w:val="single" w:color="auto" w:sz="4" w:space="0"/>
            </w:tcBorders>
            <w:shd w:val="clear" w:color="auto" w:fill="auto"/>
            <w:vAlign w:val="center"/>
          </w:tcPr>
          <w:p w:rsidRPr="005A6F78" w:rsidR="005A6F78" w:rsidP="008634FB" w:rsidRDefault="00084A67" w14:paraId="600E4611"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A6F78" w:rsidR="005A6F78">
              <w:rPr>
                <w:rFonts w:ascii="Times New Roman" w:hAnsi="Times New Roman" w:cs="Times New Roman"/>
                <w:sz w:val="26"/>
                <w:szCs w:val="26"/>
              </w:rPr>
              <w:t>0</w:t>
            </w:r>
          </w:p>
        </w:tc>
        <w:tc>
          <w:tcPr>
            <w:tcW w:w="1800" w:type="dxa"/>
            <w:tcBorders>
              <w:bottom w:val="single" w:color="auto" w:sz="4" w:space="0"/>
            </w:tcBorders>
            <w:shd w:val="clear" w:color="auto" w:fill="auto"/>
            <w:vAlign w:val="center"/>
          </w:tcPr>
          <w:p w:rsidRPr="005A6F78" w:rsidR="005A6F78" w:rsidP="008634FB" w:rsidRDefault="00084A67" w14:paraId="1EA2DDE8"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A6F78" w:rsidR="005A6F78">
              <w:rPr>
                <w:rFonts w:ascii="Times New Roman" w:hAnsi="Times New Roman" w:cs="Times New Roman"/>
                <w:sz w:val="26"/>
                <w:szCs w:val="26"/>
              </w:rPr>
              <w:t>0</w:t>
            </w:r>
          </w:p>
        </w:tc>
        <w:tc>
          <w:tcPr>
            <w:tcW w:w="1800" w:type="dxa"/>
            <w:tcBorders>
              <w:bottom w:val="single" w:color="auto" w:sz="4" w:space="0"/>
            </w:tcBorders>
            <w:shd w:val="clear" w:color="auto" w:fill="auto"/>
            <w:vAlign w:val="center"/>
          </w:tcPr>
          <w:p w:rsidRPr="005A6F78" w:rsidR="005A6F78" w:rsidP="008634FB" w:rsidRDefault="00084A67" w14:paraId="6927DE0D"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A6F78" w:rsidR="005A6F78">
              <w:rPr>
                <w:rFonts w:ascii="Times New Roman" w:hAnsi="Times New Roman" w:cs="Times New Roman"/>
                <w:sz w:val="26"/>
                <w:szCs w:val="26"/>
              </w:rPr>
              <w:t>0</w:t>
            </w:r>
          </w:p>
        </w:tc>
      </w:tr>
    </w:tbl>
    <w:p w:rsidRPr="005A6F78" w:rsidR="005A6F78" w:rsidP="005A6F78" w:rsidRDefault="005A6F78" w14:paraId="47A3DA71" w14:textId="77777777">
      <w:pPr>
        <w:spacing w:after="0"/>
        <w:rPr>
          <w:rFonts w:ascii="Times New Roman" w:hAnsi="Times New Roman" w:cs="Times New Roman"/>
          <w:sz w:val="26"/>
          <w:szCs w:val="26"/>
        </w:rPr>
      </w:pPr>
    </w:p>
    <w:p w:rsidRPr="005A6F78" w:rsidR="005A6F78" w:rsidP="005A6F78" w:rsidRDefault="005A6F78" w14:paraId="74000EAB"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TIME SCHEDULE FOR PUBLICATION OF DATA</w:t>
      </w:r>
    </w:p>
    <w:p w:rsidRPr="005A6F78" w:rsidR="005A6F78" w:rsidP="005A6F78" w:rsidRDefault="005A6F78" w14:paraId="413FAC5C" w14:textId="77777777">
      <w:pPr>
        <w:spacing w:after="0"/>
        <w:rPr>
          <w:rFonts w:ascii="Times New Roman" w:hAnsi="Times New Roman" w:cs="Times New Roman"/>
          <w:sz w:val="26"/>
          <w:szCs w:val="26"/>
        </w:rPr>
      </w:pPr>
    </w:p>
    <w:p w:rsidRPr="005A6F78" w:rsidR="005A6F78" w:rsidP="005A6F78" w:rsidRDefault="006B059D" w14:paraId="42C4112D" w14:textId="77777777">
      <w:pPr>
        <w:spacing w:after="0"/>
        <w:rPr>
          <w:rFonts w:ascii="Times New Roman" w:hAnsi="Times New Roman" w:cs="Times New Roman"/>
          <w:sz w:val="26"/>
          <w:szCs w:val="26"/>
        </w:rPr>
      </w:pPr>
      <w:r w:rsidRPr="009B6785">
        <w:rPr>
          <w:rFonts w:ascii="Times New Roman" w:hAnsi="Times New Roman" w:cs="Times New Roman"/>
          <w:sz w:val="26"/>
          <w:szCs w:val="26"/>
        </w:rPr>
        <w:t>There are no publication plans for this collection of information.</w:t>
      </w:r>
    </w:p>
    <w:p w:rsidRPr="005A6F78" w:rsidR="005A6F78" w:rsidP="005A6F78" w:rsidRDefault="005A6F78" w14:paraId="76D3B752" w14:textId="77777777">
      <w:pPr>
        <w:spacing w:after="0"/>
        <w:rPr>
          <w:rFonts w:ascii="Times New Roman" w:hAnsi="Times New Roman" w:cs="Times New Roman"/>
          <w:sz w:val="26"/>
          <w:szCs w:val="26"/>
        </w:rPr>
      </w:pPr>
    </w:p>
    <w:p w:rsidRPr="005A6F78" w:rsidR="005A6F78" w:rsidP="005A6F78" w:rsidRDefault="005A6F78" w14:paraId="332CCC09"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DISPLAY OF EXPIRATION DATE</w:t>
      </w:r>
    </w:p>
    <w:p w:rsidR="006B059D" w:rsidP="006B059D" w:rsidRDefault="006B059D" w14:paraId="589C49DD" w14:textId="77777777">
      <w:pPr>
        <w:spacing w:line="240" w:lineRule="auto"/>
        <w:rPr>
          <w:rFonts w:ascii="Times New Roman" w:hAnsi="Times New Roman" w:cs="Times New Roman"/>
          <w:sz w:val="26"/>
          <w:szCs w:val="26"/>
        </w:rPr>
      </w:pPr>
    </w:p>
    <w:p w:rsidRPr="009B6785" w:rsidR="006B059D" w:rsidP="006B059D" w:rsidRDefault="006B059D" w14:paraId="7ECA7FE5" w14:textId="77777777">
      <w:pPr>
        <w:spacing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expiration date is displayed in a table posted on ferc.gov at </w:t>
      </w:r>
      <w:hyperlink w:history="1" r:id="rId14">
        <w:r w:rsidRPr="009B6785">
          <w:rPr>
            <w:rStyle w:val="Hyperlink"/>
            <w:rFonts w:ascii="Times New Roman" w:hAnsi="Times New Roman" w:cs="Times New Roman"/>
            <w:sz w:val="26"/>
            <w:szCs w:val="26"/>
          </w:rPr>
          <w:t>http://www.ferc.gov/docs-filing/info-collections.asp</w:t>
        </w:r>
      </w:hyperlink>
      <w:r w:rsidRPr="009B6785">
        <w:rPr>
          <w:rFonts w:ascii="Times New Roman" w:hAnsi="Times New Roman" w:cs="Times New Roman"/>
          <w:sz w:val="26"/>
          <w:szCs w:val="26"/>
        </w:rPr>
        <w:t>.</w:t>
      </w:r>
    </w:p>
    <w:p w:rsidRPr="005A6F78" w:rsidR="005A6F78" w:rsidP="005A6F78" w:rsidRDefault="005A6F78" w14:paraId="39996183" w14:textId="77777777">
      <w:pPr>
        <w:spacing w:after="0"/>
        <w:rPr>
          <w:rFonts w:ascii="Times New Roman" w:hAnsi="Times New Roman" w:cs="Times New Roman"/>
          <w:sz w:val="26"/>
          <w:szCs w:val="26"/>
        </w:rPr>
      </w:pPr>
    </w:p>
    <w:p w:rsidRPr="005A6F78" w:rsidR="005A6F78" w:rsidP="005A6F78" w:rsidRDefault="005A6F78" w14:paraId="4C3EB907" w14:textId="77777777">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EXCEPTIONS TO THE CERTIFICATION STATEMENT</w:t>
      </w:r>
    </w:p>
    <w:p w:rsidRPr="005A6F78" w:rsidR="005A6F78" w:rsidP="005A6F78" w:rsidRDefault="005A6F78" w14:paraId="1D4D249A" w14:textId="77777777">
      <w:pPr>
        <w:spacing w:after="0"/>
        <w:rPr>
          <w:rFonts w:ascii="Times New Roman" w:hAnsi="Times New Roman" w:cs="Times New Roman"/>
          <w:b/>
          <w:sz w:val="26"/>
          <w:szCs w:val="26"/>
        </w:rPr>
      </w:pPr>
    </w:p>
    <w:p w:rsidRPr="005A6F78" w:rsidR="005A6F78" w:rsidP="005A6F78" w:rsidRDefault="006B059D" w14:paraId="3381E05E" w14:textId="77777777">
      <w:pPr>
        <w:spacing w:after="0"/>
        <w:rPr>
          <w:rFonts w:ascii="Times New Roman" w:hAnsi="Times New Roman" w:cs="Times New Roman"/>
          <w:sz w:val="26"/>
          <w:szCs w:val="26"/>
        </w:rPr>
      </w:pPr>
      <w:r w:rsidRPr="009B6785">
        <w:rPr>
          <w:rFonts w:ascii="Times New Roman" w:hAnsi="Times New Roman" w:cs="Times New Roman"/>
          <w:sz w:val="26"/>
          <w:szCs w:val="26"/>
        </w:rPr>
        <w:t>The data collected for this reporting requirement is not used for statistical purposes.</w:t>
      </w:r>
    </w:p>
    <w:p w:rsidRPr="005A6F78" w:rsidR="0052545C" w:rsidRDefault="00E12FED" w14:paraId="18894760" w14:textId="77777777">
      <w:pPr>
        <w:rPr>
          <w:rFonts w:ascii="Times New Roman" w:hAnsi="Times New Roman" w:cs="Times New Roman"/>
          <w:sz w:val="26"/>
          <w:szCs w:val="26"/>
        </w:rPr>
      </w:pPr>
    </w:p>
    <w:sectPr w:rsidRPr="005A6F78" w:rsidR="005254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C666" w14:textId="77777777" w:rsidR="0063502E" w:rsidRDefault="0063502E" w:rsidP="005A6F78">
      <w:pPr>
        <w:spacing w:after="0" w:line="240" w:lineRule="auto"/>
      </w:pPr>
      <w:r>
        <w:separator/>
      </w:r>
    </w:p>
  </w:endnote>
  <w:endnote w:type="continuationSeparator" w:id="0">
    <w:p w14:paraId="1196EB83" w14:textId="77777777" w:rsidR="0063502E" w:rsidRDefault="0063502E" w:rsidP="005A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8F6B" w14:textId="77777777" w:rsidR="000868FF" w:rsidRDefault="00086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noProof/>
      </w:rPr>
    </w:sdtEndPr>
    <w:sdtContent>
      <w:p w14:paraId="40004BFD" w14:textId="77777777" w:rsidR="008F180E" w:rsidRDefault="00AE3D41">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626CA7">
          <w:rPr>
            <w:rFonts w:ascii="Times New Roman" w:hAnsi="Times New Roman" w:cs="Times New Roman"/>
            <w:noProof/>
          </w:rPr>
          <w:t>1</w:t>
        </w:r>
        <w:r w:rsidRPr="000A75C0">
          <w:rPr>
            <w:rFonts w:ascii="Times New Roman" w:hAnsi="Times New Roman" w:cs="Times New Roman"/>
            <w:noProof/>
          </w:rPr>
          <w:fldChar w:fldCharType="end"/>
        </w:r>
      </w:p>
    </w:sdtContent>
  </w:sdt>
  <w:p w14:paraId="666FFAF4" w14:textId="77777777" w:rsidR="008F180E" w:rsidRDefault="00E12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18CC" w14:textId="77777777" w:rsidR="000868FF" w:rsidRDefault="0008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81632" w14:textId="77777777" w:rsidR="0063502E" w:rsidRDefault="0063502E" w:rsidP="005A6F78">
      <w:pPr>
        <w:spacing w:after="0" w:line="240" w:lineRule="auto"/>
      </w:pPr>
      <w:r>
        <w:separator/>
      </w:r>
    </w:p>
  </w:footnote>
  <w:footnote w:type="continuationSeparator" w:id="0">
    <w:p w14:paraId="381D5E2A" w14:textId="77777777" w:rsidR="0063502E" w:rsidRDefault="0063502E" w:rsidP="005A6F78">
      <w:pPr>
        <w:spacing w:after="0" w:line="240" w:lineRule="auto"/>
      </w:pPr>
      <w:r>
        <w:continuationSeparator/>
      </w:r>
    </w:p>
  </w:footnote>
  <w:footnote w:id="1">
    <w:p w14:paraId="45C2B456"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11180E">
        <w:rPr>
          <w:vertAlign w:val="superscript"/>
        </w:rPr>
        <w:t xml:space="preserve"> </w:t>
      </w:r>
      <w:r w:rsidRPr="005A6F78">
        <w:rPr>
          <w:sz w:val="26"/>
          <w:szCs w:val="26"/>
        </w:rPr>
        <w:t>16 U.S.C. 824c</w:t>
      </w:r>
    </w:p>
  </w:footnote>
  <w:footnote w:id="2">
    <w:p w14:paraId="598D2F04"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11180E">
        <w:rPr>
          <w:vertAlign w:val="superscript"/>
        </w:rPr>
        <w:t xml:space="preserve"> </w:t>
      </w:r>
      <w:r w:rsidRPr="005A6F78">
        <w:rPr>
          <w:sz w:val="26"/>
          <w:szCs w:val="26"/>
        </w:rPr>
        <w:t>Applicant(s) seeking protected treatment of materials must file in accordance with the Commission’s instructions for filing privileged materials and critical energy infrastructure information.  All other applicant(s) are required to file via eFiling.</w:t>
      </w:r>
    </w:p>
  </w:footnote>
  <w:footnote w:id="3">
    <w:p w14:paraId="18519C40" w14:textId="63EEC88A" w:rsidR="005A6F78" w:rsidRPr="00C56B83" w:rsidRDefault="005A6F78" w:rsidP="005A6F78">
      <w:pPr>
        <w:pStyle w:val="FootnoteText"/>
      </w:pPr>
      <w:r w:rsidRPr="001272DE">
        <w:rPr>
          <w:rStyle w:val="FootnoteReference"/>
          <w:vertAlign w:val="superscript"/>
        </w:rPr>
        <w:footnoteRef/>
      </w:r>
      <w:r>
        <w:t xml:space="preserve"> </w:t>
      </w:r>
      <w:r w:rsidRPr="005A6F78">
        <w:rPr>
          <w:sz w:val="26"/>
          <w:szCs w:val="26"/>
        </w:rPr>
        <w:t>8</w:t>
      </w:r>
      <w:r w:rsidR="00BE74BE">
        <w:rPr>
          <w:sz w:val="26"/>
          <w:szCs w:val="26"/>
        </w:rPr>
        <w:t>5</w:t>
      </w:r>
      <w:r w:rsidRPr="005A6F78">
        <w:rPr>
          <w:sz w:val="26"/>
          <w:szCs w:val="26"/>
        </w:rPr>
        <w:t xml:space="preserve"> FR </w:t>
      </w:r>
      <w:r w:rsidR="00BE74BE">
        <w:rPr>
          <w:sz w:val="26"/>
          <w:szCs w:val="26"/>
        </w:rPr>
        <w:t>50823</w:t>
      </w:r>
    </w:p>
  </w:footnote>
  <w:footnote w:id="4">
    <w:p w14:paraId="0DE3F707" w14:textId="6AF190B1" w:rsidR="005A6F78" w:rsidRPr="00C56B83" w:rsidRDefault="005A6F78" w:rsidP="005A6F78">
      <w:pPr>
        <w:pStyle w:val="FootnoteText"/>
      </w:pPr>
      <w:r w:rsidRPr="001272DE">
        <w:rPr>
          <w:rStyle w:val="FootnoteReference"/>
          <w:vertAlign w:val="superscript"/>
        </w:rPr>
        <w:footnoteRef/>
      </w:r>
      <w:r w:rsidRPr="001272DE">
        <w:rPr>
          <w:vertAlign w:val="superscript"/>
        </w:rPr>
        <w:t xml:space="preserve"> </w:t>
      </w:r>
      <w:r w:rsidRPr="005A6F78">
        <w:rPr>
          <w:sz w:val="26"/>
          <w:szCs w:val="26"/>
        </w:rPr>
        <w:t>8</w:t>
      </w:r>
      <w:r w:rsidR="00BE74BE">
        <w:rPr>
          <w:sz w:val="26"/>
          <w:szCs w:val="26"/>
        </w:rPr>
        <w:t>5</w:t>
      </w:r>
      <w:r w:rsidRPr="005A6F78">
        <w:rPr>
          <w:sz w:val="26"/>
          <w:szCs w:val="26"/>
        </w:rPr>
        <w:t xml:space="preserve"> FR </w:t>
      </w:r>
      <w:r w:rsidR="00BE74BE">
        <w:rPr>
          <w:sz w:val="26"/>
          <w:szCs w:val="26"/>
        </w:rPr>
        <w:t>XXXX</w:t>
      </w:r>
    </w:p>
  </w:footnote>
  <w:footnote w:id="5">
    <w:p w14:paraId="337A14F3" w14:textId="77777777" w:rsidR="00E0518B" w:rsidRDefault="00E0518B" w:rsidP="00E0518B">
      <w:pPr>
        <w:pStyle w:val="FootnoteText"/>
        <w:rPr>
          <w:sz w:val="26"/>
          <w:szCs w:val="26"/>
        </w:rPr>
      </w:pPr>
      <w:r>
        <w:rPr>
          <w:rStyle w:val="FootnoteReference"/>
        </w:rPr>
        <w:footnoteRef/>
      </w:r>
      <w:r>
        <w:rPr>
          <w:sz w:val="26"/>
          <w:szCs w:val="26"/>
        </w:rPr>
        <w:t xml:space="preserve"> The number of responses has decreased from the collection renewal in 2017 due to normal fluctuations in industry. </w:t>
      </w:r>
    </w:p>
  </w:footnote>
  <w:footnote w:id="6">
    <w:p w14:paraId="7AD83E79" w14:textId="4B732ED9" w:rsidR="005A6F78" w:rsidRPr="005A6F78" w:rsidRDefault="005A6F78" w:rsidP="005A6F78">
      <w:pPr>
        <w:pStyle w:val="FootnoteText"/>
        <w:rPr>
          <w:sz w:val="26"/>
          <w:szCs w:val="26"/>
        </w:rPr>
      </w:pPr>
      <w:r w:rsidRPr="0011180E">
        <w:rPr>
          <w:rStyle w:val="FootnoteReference"/>
          <w:sz w:val="26"/>
          <w:szCs w:val="26"/>
          <w:vertAlign w:val="superscript"/>
        </w:rPr>
        <w:footnoteRef/>
      </w:r>
      <w:r w:rsidRPr="0011180E">
        <w:rPr>
          <w:sz w:val="26"/>
          <w:szCs w:val="26"/>
        </w:rPr>
        <w:t xml:space="preserve"> </w:t>
      </w:r>
      <w:r w:rsidR="006B059D" w:rsidRPr="005845C5">
        <w:rPr>
          <w:sz w:val="26"/>
          <w:szCs w:val="26"/>
        </w:rPr>
        <w:t>Based upon 20</w:t>
      </w:r>
      <w:r w:rsidR="00FE2DE7">
        <w:rPr>
          <w:sz w:val="26"/>
          <w:szCs w:val="26"/>
        </w:rPr>
        <w:t>20</w:t>
      </w:r>
      <w:r w:rsidR="006B059D" w:rsidRPr="005845C5">
        <w:rPr>
          <w:sz w:val="26"/>
          <w:szCs w:val="26"/>
        </w:rPr>
        <w:t xml:space="preserve"> FTE average salary plus benefits ($</w:t>
      </w:r>
      <w:r w:rsidR="00FE2DE7" w:rsidRPr="00FE2DE7">
        <w:rPr>
          <w:b/>
          <w:bCs/>
          <w:sz w:val="26"/>
          <w:szCs w:val="26"/>
        </w:rPr>
        <w:t>172,329</w:t>
      </w:r>
      <w:r w:rsidR="006B059D" w:rsidRPr="005845C5">
        <w:rPr>
          <w:sz w:val="26"/>
          <w:szCs w:val="26"/>
        </w:rPr>
        <w:t>)</w:t>
      </w:r>
    </w:p>
  </w:footnote>
  <w:footnote w:id="7">
    <w:p w14:paraId="54E19E1E"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5A6F78">
        <w:rPr>
          <w:sz w:val="26"/>
          <w:szCs w:val="26"/>
        </w:rPr>
        <w:t xml:space="preserve"> Paperwork Reduction Act of 1995</w:t>
      </w:r>
    </w:p>
  </w:footnote>
  <w:footnote w:id="8">
    <w:p w14:paraId="6E7BCFF8"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5A6F78">
        <w:rPr>
          <w:sz w:val="26"/>
          <w:szCs w:val="26"/>
        </w:rPr>
        <w:t xml:space="preserve"> </w:t>
      </w:r>
      <w:r w:rsidR="006C1ADB">
        <w:rPr>
          <w:sz w:val="26"/>
          <w:szCs w:val="26"/>
        </w:rPr>
        <w:t>The PRA Administrative Cost is a Federal Cost associated with preparing, issuing, and submitting materials necessary to comply with the Paperwork Reduction Act (PRA).</w:t>
      </w:r>
      <w:r w:rsidR="006C1AD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50C0" w14:textId="77777777" w:rsidR="000868FF" w:rsidRDefault="00086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3F43" w14:textId="0D919A6E" w:rsidR="008F180E" w:rsidRDefault="00413676">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4F74E299" wp14:editId="45761F26">
              <wp:simplePos x="0" y="0"/>
              <wp:positionH relativeFrom="page">
                <wp:posOffset>0</wp:posOffset>
              </wp:positionH>
              <wp:positionV relativeFrom="page">
                <wp:posOffset>190500</wp:posOffset>
              </wp:positionV>
              <wp:extent cx="7772400" cy="266700"/>
              <wp:effectExtent l="0" t="0" r="0" b="0"/>
              <wp:wrapNone/>
              <wp:docPr id="1" name="MSIPCM130b463ba1cca89e99381744"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3F9223" w14:textId="6AC93970" w:rsidR="00413676" w:rsidRPr="00413676" w:rsidRDefault="00413676" w:rsidP="00413676">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74E299" id="_x0000_t202" coordsize="21600,21600" o:spt="202" path="m,l,21600r21600,l21600,xe">
              <v:stroke joinstyle="miter"/>
              <v:path gradientshapeok="t" o:connecttype="rect"/>
            </v:shapetype>
            <v:shape id="MSIPCM130b463ba1cca89e99381744"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Fgxj9FQMAADYGAAAOAAAAAAAAAAAAAAAAAC4CAABk&#10;cnMvZTJvRG9jLnhtbFBLAQItABQABgAIAAAAIQBoO5V22wAAAAcBAAAPAAAAAAAAAAAAAAAAAG8F&#10;AABkcnMvZG93bnJldi54bWxQSwUGAAAAAAQABADzAAAAdwYAAAAA&#10;" o:allowincell="f" filled="f" stroked="f" strokeweight=".5pt">
              <v:textbox inset=",0,,0">
                <w:txbxContent>
                  <w:p w14:paraId="643F9223" w14:textId="6AC93970" w:rsidR="00413676" w:rsidRPr="00413676" w:rsidRDefault="00413676" w:rsidP="00413676">
                    <w:pPr>
                      <w:spacing w:after="0"/>
                      <w:jc w:val="center"/>
                      <w:rPr>
                        <w:rFonts w:ascii="Times New Roman" w:hAnsi="Times New Roman" w:cs="Times New Roman"/>
                        <w:color w:val="A80000"/>
                        <w:sz w:val="26"/>
                      </w:rPr>
                    </w:pPr>
                  </w:p>
                </w:txbxContent>
              </v:textbox>
              <w10:wrap anchorx="page" anchory="page"/>
            </v:shape>
          </w:pict>
        </mc:Fallback>
      </mc:AlternateContent>
    </w:r>
    <w:r w:rsidR="00AC10AC">
      <w:rPr>
        <w:rFonts w:ascii="Times New Roman" w:hAnsi="Times New Roman" w:cs="Times New Roman"/>
        <w:sz w:val="24"/>
        <w:szCs w:val="24"/>
      </w:rPr>
      <w:t>FERC Form No. 523</w:t>
    </w:r>
    <w:r w:rsidR="00AE3D41">
      <w:rPr>
        <w:rFonts w:ascii="Times New Roman" w:hAnsi="Times New Roman" w:cs="Times New Roman"/>
        <w:sz w:val="24"/>
        <w:szCs w:val="24"/>
      </w:rPr>
      <w:t xml:space="preserve"> (OMB Control No. 1902-0043)</w:t>
    </w:r>
  </w:p>
  <w:p w14:paraId="25DE1A9F" w14:textId="30E006E6" w:rsidR="00FE2DE7" w:rsidRDefault="00FE2DE7">
    <w:pPr>
      <w:pStyle w:val="Header"/>
      <w:rPr>
        <w:rFonts w:ascii="Times New Roman" w:hAnsi="Times New Roman" w:cs="Times New Roman"/>
        <w:sz w:val="24"/>
        <w:szCs w:val="24"/>
      </w:rPr>
    </w:pPr>
    <w:r>
      <w:rPr>
        <w:rFonts w:ascii="Times New Roman" w:hAnsi="Times New Roman" w:cs="Times New Roman"/>
        <w:sz w:val="24"/>
        <w:szCs w:val="24"/>
      </w:rPr>
      <w:t>IC20-20-000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3439" w14:textId="77777777" w:rsidR="000868FF" w:rsidRDefault="00086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30471"/>
    <w:multiLevelType w:val="hybridMultilevel"/>
    <w:tmpl w:val="0964815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78"/>
    <w:rsid w:val="00084A67"/>
    <w:rsid w:val="000868FF"/>
    <w:rsid w:val="0011180E"/>
    <w:rsid w:val="001272DE"/>
    <w:rsid w:val="00144F44"/>
    <w:rsid w:val="00173CA3"/>
    <w:rsid w:val="001B5AA8"/>
    <w:rsid w:val="00330DC3"/>
    <w:rsid w:val="003E1FE6"/>
    <w:rsid w:val="00413676"/>
    <w:rsid w:val="00423FB1"/>
    <w:rsid w:val="004B5A7F"/>
    <w:rsid w:val="004D301D"/>
    <w:rsid w:val="00542DF7"/>
    <w:rsid w:val="005A6F78"/>
    <w:rsid w:val="005F3073"/>
    <w:rsid w:val="00612536"/>
    <w:rsid w:val="00626CA7"/>
    <w:rsid w:val="0063502E"/>
    <w:rsid w:val="00667CA4"/>
    <w:rsid w:val="006B059D"/>
    <w:rsid w:val="006C1ADB"/>
    <w:rsid w:val="006C5007"/>
    <w:rsid w:val="006E2387"/>
    <w:rsid w:val="0072100D"/>
    <w:rsid w:val="00743E58"/>
    <w:rsid w:val="007A3197"/>
    <w:rsid w:val="007C7868"/>
    <w:rsid w:val="00935C9F"/>
    <w:rsid w:val="00991C4B"/>
    <w:rsid w:val="00997D19"/>
    <w:rsid w:val="00A02B31"/>
    <w:rsid w:val="00A13AD3"/>
    <w:rsid w:val="00A80EB1"/>
    <w:rsid w:val="00A91734"/>
    <w:rsid w:val="00AB0E19"/>
    <w:rsid w:val="00AC10AC"/>
    <w:rsid w:val="00AE3D41"/>
    <w:rsid w:val="00B54C49"/>
    <w:rsid w:val="00B72D88"/>
    <w:rsid w:val="00B84DA2"/>
    <w:rsid w:val="00BD69D0"/>
    <w:rsid w:val="00BE74BE"/>
    <w:rsid w:val="00C04D25"/>
    <w:rsid w:val="00C652C5"/>
    <w:rsid w:val="00C902D9"/>
    <w:rsid w:val="00CD02E9"/>
    <w:rsid w:val="00DB10D4"/>
    <w:rsid w:val="00DE5E02"/>
    <w:rsid w:val="00E02963"/>
    <w:rsid w:val="00E0518B"/>
    <w:rsid w:val="00E12FED"/>
    <w:rsid w:val="00E6410F"/>
    <w:rsid w:val="00EB3501"/>
    <w:rsid w:val="00FE2DE7"/>
    <w:rsid w:val="00FE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2ABEE"/>
  <w15:docId w15:val="{FE16F8F9-DEEA-4FF0-A2F6-DE597EF6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6F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78"/>
  </w:style>
  <w:style w:type="paragraph" w:styleId="Footer">
    <w:name w:val="footer"/>
    <w:basedOn w:val="Normal"/>
    <w:link w:val="FooterChar"/>
    <w:uiPriority w:val="99"/>
    <w:unhideWhenUsed/>
    <w:rsid w:val="005A6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78"/>
  </w:style>
  <w:style w:type="paragraph" w:styleId="ListParagraph">
    <w:name w:val="List Paragraph"/>
    <w:basedOn w:val="Normal"/>
    <w:uiPriority w:val="34"/>
    <w:qFormat/>
    <w:rsid w:val="005A6F78"/>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5A6F78"/>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1 Ch"/>
    <w:basedOn w:val="Normal"/>
    <w:link w:val="FootnoteTextChar1"/>
    <w:semiHidden/>
    <w:rsid w:val="005A6F7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5A6F78"/>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rsid w:val="005A6F7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A6F78"/>
    <w:rPr>
      <w:color w:val="0563C1" w:themeColor="hyperlink"/>
      <w:u w:val="single"/>
    </w:rPr>
  </w:style>
  <w:style w:type="character" w:styleId="CommentReference">
    <w:name w:val="annotation reference"/>
    <w:basedOn w:val="DefaultParagraphFont"/>
    <w:uiPriority w:val="99"/>
    <w:semiHidden/>
    <w:unhideWhenUsed/>
    <w:rsid w:val="006B059D"/>
    <w:rPr>
      <w:sz w:val="16"/>
      <w:szCs w:val="16"/>
    </w:rPr>
  </w:style>
  <w:style w:type="paragraph" w:styleId="CommentText">
    <w:name w:val="annotation text"/>
    <w:basedOn w:val="Normal"/>
    <w:link w:val="CommentTextChar"/>
    <w:uiPriority w:val="99"/>
    <w:semiHidden/>
    <w:unhideWhenUsed/>
    <w:rsid w:val="006B059D"/>
    <w:pPr>
      <w:spacing w:line="240" w:lineRule="auto"/>
    </w:pPr>
    <w:rPr>
      <w:sz w:val="20"/>
      <w:szCs w:val="20"/>
    </w:rPr>
  </w:style>
  <w:style w:type="character" w:customStyle="1" w:styleId="CommentTextChar">
    <w:name w:val="Comment Text Char"/>
    <w:basedOn w:val="DefaultParagraphFont"/>
    <w:link w:val="CommentText"/>
    <w:uiPriority w:val="99"/>
    <w:semiHidden/>
    <w:rsid w:val="006B059D"/>
    <w:rPr>
      <w:sz w:val="20"/>
      <w:szCs w:val="20"/>
    </w:rPr>
  </w:style>
  <w:style w:type="paragraph" w:styleId="BalloonText">
    <w:name w:val="Balloon Text"/>
    <w:basedOn w:val="Normal"/>
    <w:link w:val="BalloonTextChar"/>
    <w:uiPriority w:val="99"/>
    <w:semiHidden/>
    <w:unhideWhenUsed/>
    <w:rsid w:val="006B0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9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10AC"/>
    <w:rPr>
      <w:b/>
      <w:bCs/>
    </w:rPr>
  </w:style>
  <w:style w:type="character" w:customStyle="1" w:styleId="CommentSubjectChar">
    <w:name w:val="Comment Subject Char"/>
    <w:basedOn w:val="CommentTextChar"/>
    <w:link w:val="CommentSubject"/>
    <w:uiPriority w:val="99"/>
    <w:semiHidden/>
    <w:rsid w:val="00AC10AC"/>
    <w:rPr>
      <w:b/>
      <w:bCs/>
      <w:sz w:val="20"/>
      <w:szCs w:val="20"/>
    </w:rPr>
  </w:style>
  <w:style w:type="paragraph" w:styleId="Revision">
    <w:name w:val="Revision"/>
    <w:hidden/>
    <w:uiPriority w:val="99"/>
    <w:semiHidden/>
    <w:rsid w:val="00721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7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erc.gov/docs-filing/forms.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523</_x0031__x002e__x0020_Collection_x0020_Number>
    <Date xmlns="d6eefc7d-9817-4fa6-84d5-3bc009be21b8">2017-07-26T00:00:00-04:00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IC17-12</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8237E-EC98-4354-A2AD-615D4103DF8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d6eefc7d-9817-4fa6-84d5-3bc009be21b8"/>
    <ds:schemaRef ds:uri="http://www.w3.org/XML/1998/namespace"/>
  </ds:schemaRefs>
</ds:datastoreItem>
</file>

<file path=customXml/itemProps2.xml><?xml version="1.0" encoding="utf-8"?>
<ds:datastoreItem xmlns:ds="http://schemas.openxmlformats.org/officeDocument/2006/customXml" ds:itemID="{8352CD08-82CB-4B86-A89D-CF09A3909199}">
  <ds:schemaRefs>
    <ds:schemaRef ds:uri="http://schemas.microsoft.com/sharepoint/v3/contenttype/forms"/>
  </ds:schemaRefs>
</ds:datastoreItem>
</file>

<file path=customXml/itemProps3.xml><?xml version="1.0" encoding="utf-8"?>
<ds:datastoreItem xmlns:ds="http://schemas.openxmlformats.org/officeDocument/2006/customXml" ds:itemID="{23277A38-AF21-410D-BE26-8719FCEC195B}">
  <ds:schemaRefs>
    <ds:schemaRef ds:uri="Microsoft.SharePoint.Taxonomy.ContentTypeSync"/>
  </ds:schemaRefs>
</ds:datastoreItem>
</file>

<file path=customXml/itemProps4.xml><?xml version="1.0" encoding="utf-8"?>
<ds:datastoreItem xmlns:ds="http://schemas.openxmlformats.org/officeDocument/2006/customXml" ds:itemID="{ACCF2733-31D9-44BF-A862-F1E10FD27904}">
  <ds:schemaRefs>
    <ds:schemaRef ds:uri="http://schemas.microsoft.com/office/2006/metadata/customXsn"/>
  </ds:schemaRefs>
</ds:datastoreItem>
</file>

<file path=customXml/itemProps5.xml><?xml version="1.0" encoding="utf-8"?>
<ds:datastoreItem xmlns:ds="http://schemas.openxmlformats.org/officeDocument/2006/customXml" ds:itemID="{432FEB9C-4B0C-4CF9-89CC-5F673A49A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Kayla Williams</cp:lastModifiedBy>
  <cp:revision>3</cp:revision>
  <dcterms:created xsi:type="dcterms:W3CDTF">2020-11-03T21:44:00Z</dcterms:created>
  <dcterms:modified xsi:type="dcterms:W3CDTF">2020-11-04T12:50:00Z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-1969261341</vt:i4>
  </property>
  <property fmtid="{D5CDD505-2E9C-101B-9397-08002B2CF9AE}" pid="3" name="_NewReviewCycle">
    <vt:lpwstr/>
  </property>
  <property fmtid="{D5CDD505-2E9C-101B-9397-08002B2CF9AE}" pid="4" name="_EmailSubject">
    <vt:lpwstr>FERC-523 Supporting Statement 7.21</vt:lpwstr>
  </property>
  <property fmtid="{D5CDD505-2E9C-101B-9397-08002B2CF9AE}" pid="5" name="_AuthorEmail">
    <vt:lpwstr>Anthony.May@ferc.gov</vt:lpwstr>
  </property>
  <property fmtid="{D5CDD505-2E9C-101B-9397-08002B2CF9AE}" pid="6" name="_AuthorEmailDisplayName">
    <vt:lpwstr>Anthony May</vt:lpwstr>
  </property>
  <property fmtid="{D5CDD505-2E9C-101B-9397-08002B2CF9AE}" pid="7" name="_ReviewingToolsShownOnce">
    <vt:lpwstr/>
  </property>
  <property fmtid="{D5CDD505-2E9C-101B-9397-08002B2CF9AE}" pid="8" name="ContentTypeId">
    <vt:lpwstr>0x0101001EA51C0686BDB848B772F285AB6866B0</vt:lpwstr>
  </property>
  <property fmtid="{D5CDD505-2E9C-101B-9397-08002B2CF9AE}" pid="9" name="MSIP_Label_6155a89b-0f08-4a93-8ea2-8a916d6643b5_Enabled">
    <vt:lpwstr>True</vt:lpwstr>
  </property>
  <property fmtid="{D5CDD505-2E9C-101B-9397-08002B2CF9AE}" pid="10" name="MSIP_Label_6155a89b-0f08-4a93-8ea2-8a916d6643b5_SiteId">
    <vt:lpwstr>19caa9e9-04ff-43fa-885f-d77fac387903</vt:lpwstr>
  </property>
  <property fmtid="{D5CDD505-2E9C-101B-9397-08002B2CF9AE}" pid="11" name="MSIP_Label_6155a89b-0f08-4a93-8ea2-8a916d6643b5_Owner">
    <vt:lpwstr>Kayla.Williams@ferc.gov</vt:lpwstr>
  </property>
  <property fmtid="{D5CDD505-2E9C-101B-9397-08002B2CF9AE}" pid="12" name="MSIP_Label_6155a89b-0f08-4a93-8ea2-8a916d6643b5_SetDate">
    <vt:lpwstr>2020-11-03T21:40:29.7924687Z</vt:lpwstr>
  </property>
  <property fmtid="{D5CDD505-2E9C-101B-9397-08002B2CF9AE}" pid="13" name="MSIP_Label_6155a89b-0f08-4a93-8ea2-8a916d6643b5_Name">
    <vt:lpwstr>General</vt:lpwstr>
  </property>
  <property fmtid="{D5CDD505-2E9C-101B-9397-08002B2CF9AE}" pid="14" name="MSIP_Label_6155a89b-0f08-4a93-8ea2-8a916d6643b5_Application">
    <vt:lpwstr>Microsoft Azure Information Protection</vt:lpwstr>
  </property>
  <property fmtid="{D5CDD505-2E9C-101B-9397-08002B2CF9AE}" pid="15" name="MSIP_Label_6155a89b-0f08-4a93-8ea2-8a916d6643b5_ActionId">
    <vt:lpwstr>45f28f36-b1a6-4412-9bfc-679de31df5ed</vt:lpwstr>
  </property>
  <property fmtid="{D5CDD505-2E9C-101B-9397-08002B2CF9AE}" pid="16" name="MSIP_Label_6155a89b-0f08-4a93-8ea2-8a916d6643b5_Extended_MSFT_Method">
    <vt:lpwstr>Manual</vt:lpwstr>
  </property>
  <property fmtid="{D5CDD505-2E9C-101B-9397-08002B2CF9AE}" pid="17" name="Sensitivity">
    <vt:lpwstr>General</vt:lpwstr>
  </property>
</Properties>
</file>