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4D2" w:rsidP="00E26FC7" w:rsidRDefault="001074FF" w14:paraId="1E5AA87B" w14:textId="77777777">
      <w:pPr>
        <w:pStyle w:val="Heading1"/>
        <w:ind w:left="0"/>
      </w:pPr>
      <w:bookmarkStart w:name="_Toc125447290" w:id="0"/>
      <w:bookmarkStart w:name="_Toc126394118" w:id="1"/>
      <w:bookmarkStart w:name="_GoBack" w:id="2"/>
      <w:bookmarkEnd w:id="2"/>
      <w:r w:rsidRPr="00FD06AE">
        <w:t>Supporting Statement</w:t>
      </w:r>
      <w:bookmarkEnd w:id="0"/>
      <w:bookmarkEnd w:id="1"/>
      <w:r w:rsidRPr="00FD06AE" w:rsidR="000624D2">
        <w:t>:  Section B</w:t>
      </w:r>
    </w:p>
    <w:p w:rsidRPr="00E23FEA" w:rsidR="00E23FEA" w:rsidP="00A8506C" w:rsidRDefault="00E23FEA" w14:paraId="16FE4955" w14:textId="77777777"/>
    <w:p w:rsidR="0001070A" w:rsidP="007935EC" w:rsidRDefault="0001070A" w14:paraId="345002C5" w14:textId="77777777">
      <w:pPr>
        <w:pStyle w:val="BodyText"/>
        <w:kinsoku w:val="0"/>
        <w:overflowPunct w:val="0"/>
        <w:spacing w:before="0" w:after="0"/>
        <w:ind w:right="115"/>
        <w:jc w:val="center"/>
        <w:rPr>
          <w:bCs/>
          <w:i/>
        </w:rPr>
      </w:pPr>
      <w:r w:rsidRPr="0001070A">
        <w:rPr>
          <w:bCs/>
          <w:i/>
        </w:rPr>
        <w:t>Reducing the Illegal Passing of School Buses.</w:t>
      </w:r>
    </w:p>
    <w:p w:rsidR="00BF62E4" w:rsidP="007A7D39" w:rsidRDefault="00BF62E4" w14:paraId="7C86FE94" w14:textId="77777777">
      <w:pPr>
        <w:pStyle w:val="BodyText"/>
        <w:kinsoku w:val="0"/>
        <w:overflowPunct w:val="0"/>
        <w:spacing w:before="0" w:after="0"/>
        <w:ind w:right="115"/>
        <w:rPr>
          <w:b/>
        </w:rPr>
      </w:pPr>
    </w:p>
    <w:p w:rsidRPr="00FD06AE" w:rsidR="00334DC9" w:rsidP="007A7D39" w:rsidRDefault="007A7D39" w14:paraId="61E16AC0" w14:textId="77777777">
      <w:pPr>
        <w:pStyle w:val="BodyText"/>
        <w:kinsoku w:val="0"/>
        <w:overflowPunct w:val="0"/>
        <w:spacing w:before="0" w:after="0"/>
        <w:ind w:right="115"/>
        <w:rPr>
          <w:b/>
        </w:rPr>
      </w:pPr>
      <w:r w:rsidRPr="00FD06AE">
        <w:rPr>
          <w:b/>
        </w:rPr>
        <w:t>Background</w:t>
      </w:r>
    </w:p>
    <w:p w:rsidRPr="00FD06AE" w:rsidR="007A7D39" w:rsidP="007A7D39" w:rsidRDefault="007A7D39" w14:paraId="1FC932AD" w14:textId="77777777">
      <w:pPr>
        <w:pStyle w:val="BodyText"/>
        <w:kinsoku w:val="0"/>
        <w:overflowPunct w:val="0"/>
        <w:spacing w:before="0" w:after="0"/>
        <w:ind w:right="115"/>
      </w:pPr>
    </w:p>
    <w:p w:rsidRPr="00D2225F" w:rsidR="00BC04C2" w:rsidP="00BC04C2" w:rsidRDefault="00BC04C2" w14:paraId="04A9D20C" w14:textId="77777777">
      <w:pPr>
        <w:ind w:right="-360" w:firstLine="720"/>
        <w:rPr>
          <w:color w:val="000000"/>
        </w:rPr>
      </w:pPr>
      <w:r w:rsidRPr="00D2225F">
        <w:rPr>
          <w:color w:val="000000"/>
        </w:rPr>
        <w:t xml:space="preserve">The National Highway Traffic Safety Administration (NHTSA) is </w:t>
      </w:r>
      <w:r>
        <w:rPr>
          <w:color w:val="000000"/>
        </w:rPr>
        <w:t>conducting</w:t>
      </w:r>
      <w:r w:rsidRPr="00D2225F">
        <w:rPr>
          <w:color w:val="000000"/>
        </w:rPr>
        <w:t xml:space="preserve"> a research study on the illegal passing of stopped school buses. </w:t>
      </w:r>
      <w:r>
        <w:rPr>
          <w:color w:val="000000"/>
        </w:rPr>
        <w:t xml:space="preserve">This </w:t>
      </w:r>
      <w:r w:rsidR="00F12236">
        <w:rPr>
          <w:color w:val="000000"/>
        </w:rPr>
        <w:t xml:space="preserve">highly dangerous and anti-social </w:t>
      </w:r>
      <w:r>
        <w:rPr>
          <w:color w:val="000000"/>
        </w:rPr>
        <w:t>driving behavior</w:t>
      </w:r>
      <w:r w:rsidRPr="00D2225F">
        <w:rPr>
          <w:color w:val="000000"/>
        </w:rPr>
        <w:t xml:space="preserve"> </w:t>
      </w:r>
      <w:r w:rsidR="00F12236">
        <w:rPr>
          <w:color w:val="000000"/>
        </w:rPr>
        <w:t>occurs frequently</w:t>
      </w:r>
      <w:r w:rsidRPr="00D2225F">
        <w:rPr>
          <w:color w:val="000000"/>
        </w:rPr>
        <w:t xml:space="preserve"> all across the country</w:t>
      </w:r>
      <w:r>
        <w:rPr>
          <w:color w:val="000000"/>
        </w:rPr>
        <w:t xml:space="preserve"> with over 17 million illegal passes estimated </w:t>
      </w:r>
      <w:r w:rsidR="00F12236">
        <w:rPr>
          <w:color w:val="000000"/>
        </w:rPr>
        <w:t>to have occurred</w:t>
      </w:r>
      <w:r>
        <w:rPr>
          <w:color w:val="000000"/>
        </w:rPr>
        <w:t xml:space="preserve"> during the 2018-2019 school year.</w:t>
      </w:r>
      <w:r>
        <w:rPr>
          <w:rStyle w:val="FootnoteReference"/>
          <w:color w:val="000000"/>
        </w:rPr>
        <w:footnoteReference w:id="2"/>
      </w:r>
      <w:r>
        <w:rPr>
          <w:color w:val="000000"/>
        </w:rPr>
        <w:t xml:space="preserve"> When a child boarding or disembarking a school bus is struck by a passing vehicle</w:t>
      </w:r>
      <w:r w:rsidR="00F12236">
        <w:rPr>
          <w:color w:val="000000"/>
        </w:rPr>
        <w:t>,</w:t>
      </w:r>
      <w:r>
        <w:rPr>
          <w:color w:val="000000"/>
        </w:rPr>
        <w:t xml:space="preserve"> </w:t>
      </w:r>
      <w:r w:rsidR="00F12236">
        <w:rPr>
          <w:color w:val="000000"/>
        </w:rPr>
        <w:t>the result is often</w:t>
      </w:r>
      <w:r w:rsidRPr="00D2225F">
        <w:rPr>
          <w:color w:val="000000"/>
        </w:rPr>
        <w:t xml:space="preserve"> se</w:t>
      </w:r>
      <w:r>
        <w:rPr>
          <w:color w:val="000000"/>
        </w:rPr>
        <w:t>rious</w:t>
      </w:r>
      <w:r w:rsidRPr="00D2225F">
        <w:rPr>
          <w:color w:val="000000"/>
        </w:rPr>
        <w:t xml:space="preserve"> injury</w:t>
      </w:r>
      <w:r>
        <w:rPr>
          <w:color w:val="000000"/>
        </w:rPr>
        <w:t xml:space="preserve"> or death</w:t>
      </w:r>
      <w:r w:rsidRPr="00D2225F">
        <w:rPr>
          <w:color w:val="000000"/>
        </w:rPr>
        <w:t xml:space="preserve">. </w:t>
      </w:r>
      <w:r w:rsidR="00F12236">
        <w:rPr>
          <w:color w:val="000000"/>
        </w:rPr>
        <w:t xml:space="preserve">Even though every State has a law requiring drivers to stop for a stopped school bus displaying flashing red lights, violations abound. </w:t>
      </w:r>
      <w:r w:rsidRPr="00D2225F">
        <w:rPr>
          <w:color w:val="000000"/>
        </w:rPr>
        <w:t>Little is known about</w:t>
      </w:r>
      <w:r>
        <w:rPr>
          <w:color w:val="000000"/>
        </w:rPr>
        <w:t xml:space="preserve"> </w:t>
      </w:r>
      <w:r w:rsidRPr="00D2225F" w:rsidR="00F12236">
        <w:rPr>
          <w:color w:val="000000"/>
        </w:rPr>
        <w:t>why drivers violate the laws in spite of their universality</w:t>
      </w:r>
      <w:r w:rsidR="00F12236">
        <w:rPr>
          <w:color w:val="000000"/>
        </w:rPr>
        <w:t xml:space="preserve"> and, more specifically, about the extent of </w:t>
      </w:r>
      <w:r>
        <w:rPr>
          <w:color w:val="000000"/>
        </w:rPr>
        <w:t>driver knowledge of school bus passing laws</w:t>
      </w:r>
      <w:r w:rsidRPr="00D2225F">
        <w:rPr>
          <w:color w:val="000000"/>
        </w:rPr>
        <w:t xml:space="preserve">. </w:t>
      </w:r>
    </w:p>
    <w:p w:rsidRPr="00687B60" w:rsidR="00BC04C2" w:rsidP="00BC04C2" w:rsidRDefault="00BC04C2" w14:paraId="01EBB682" w14:textId="77777777">
      <w:pPr>
        <w:ind w:right="-360" w:firstLine="720"/>
        <w:rPr>
          <w:highlight w:val="yellow"/>
        </w:rPr>
      </w:pPr>
    </w:p>
    <w:p w:rsidR="00BC04C2" w:rsidP="00BC04C2" w:rsidRDefault="00BC04C2" w14:paraId="4AC549C8" w14:textId="77777777">
      <w:pPr>
        <w:ind w:right="-360" w:firstLine="720"/>
      </w:pPr>
      <w:r w:rsidRPr="00D2225F">
        <w:t xml:space="preserve">The </w:t>
      </w:r>
      <w:r>
        <w:t>most recent in-depth</w:t>
      </w:r>
      <w:r w:rsidRPr="00D2225F">
        <w:t xml:space="preserve"> study on the issue of illegal passing of school buses was performed</w:t>
      </w:r>
      <w:r>
        <w:t xml:space="preserve"> over 20 years ago</w:t>
      </w:r>
      <w:r w:rsidRPr="00D2225F">
        <w:t xml:space="preserve"> at the </w:t>
      </w:r>
      <w:r w:rsidRPr="00D2225F" w:rsidR="003D3A95">
        <w:t>University of So</w:t>
      </w:r>
      <w:r w:rsidR="003D3A95">
        <w:t>uth Florida’s</w:t>
      </w:r>
      <w:r w:rsidRPr="00D2225F" w:rsidR="003D3A95">
        <w:t xml:space="preserve"> </w:t>
      </w:r>
      <w:r w:rsidRPr="00D2225F">
        <w:t>Center for Urban Transportation Research (CUTR)</w:t>
      </w:r>
      <w:r>
        <w:t>.</w:t>
      </w:r>
      <w:r>
        <w:rPr>
          <w:rStyle w:val="FootnoteReference"/>
        </w:rPr>
        <w:footnoteReference w:id="3"/>
      </w:r>
      <w:r w:rsidRPr="00D2225F">
        <w:t xml:space="preserve"> </w:t>
      </w:r>
      <w:r>
        <w:t>This single-State study found that even in the most common roadway conditions in which a driver encounter</w:t>
      </w:r>
      <w:r w:rsidR="0032721B">
        <w:t>s</w:t>
      </w:r>
      <w:r>
        <w:t xml:space="preserve"> a stopped school bus (2-lane undivided roadway), 14% of drivers were still unaware that </w:t>
      </w:r>
      <w:r w:rsidR="0032721B">
        <w:t>the law required them</w:t>
      </w:r>
      <w:r>
        <w:t xml:space="preserve"> to stop when the school bus displayed red lights and extended its stop-arm. </w:t>
      </w:r>
      <w:r w:rsidR="000F59DB">
        <w:t xml:space="preserve">To support its safety mission and guide the development of appropriate interventions, </w:t>
      </w:r>
      <w:r w:rsidR="000A2B18">
        <w:rPr>
          <w:color w:val="000000"/>
        </w:rPr>
        <w:t>NHTSA needs to collect</w:t>
      </w:r>
      <w:r w:rsidR="000F59DB">
        <w:rPr>
          <w:color w:val="000000"/>
        </w:rPr>
        <w:t xml:space="preserve"> current and accurate</w:t>
      </w:r>
      <w:r w:rsidR="000A2B18">
        <w:rPr>
          <w:color w:val="000000"/>
        </w:rPr>
        <w:t xml:space="preserve"> information on </w:t>
      </w:r>
      <w:r w:rsidR="000F59DB">
        <w:rPr>
          <w:color w:val="000000"/>
        </w:rPr>
        <w:t>driver knowledge of and attitudes towards school bus passing laws</w:t>
      </w:r>
      <w:r>
        <w:rPr>
          <w:color w:val="000000"/>
        </w:rPr>
        <w:t>.</w:t>
      </w:r>
      <w:r w:rsidR="000F59DB">
        <w:rPr>
          <w:color w:val="000000"/>
        </w:rPr>
        <w:t xml:space="preserve"> </w:t>
      </w:r>
      <w:r>
        <w:rPr>
          <w:color w:val="000000"/>
        </w:rPr>
        <w:t xml:space="preserve"> </w:t>
      </w:r>
    </w:p>
    <w:p w:rsidRPr="005378D0" w:rsidR="00BC04C2" w:rsidP="00BC04C2" w:rsidRDefault="00BC04C2" w14:paraId="0DAC4C1D" w14:textId="77777777">
      <w:pPr>
        <w:ind w:right="-360"/>
      </w:pPr>
    </w:p>
    <w:p w:rsidRPr="005835C4" w:rsidR="00BC04C2" w:rsidP="00BC04C2" w:rsidRDefault="00BC04C2" w14:paraId="25F09F79" w14:textId="4BCE4F8D">
      <w:pPr>
        <w:ind w:right="-360" w:firstLine="720"/>
        <w:rPr>
          <w:highlight w:val="yellow"/>
        </w:rPr>
      </w:pPr>
      <w:r w:rsidRPr="00367CC5">
        <w:t>The</w:t>
      </w:r>
      <w:r w:rsidRPr="004F1751">
        <w:t xml:space="preserve"> current study consists of two </w:t>
      </w:r>
      <w:r w:rsidR="00C759B7">
        <w:t>surveys</w:t>
      </w:r>
      <w:r w:rsidR="002421CB">
        <w:t xml:space="preserve"> </w:t>
      </w:r>
      <w:r w:rsidR="000F59DB">
        <w:t xml:space="preserve">that </w:t>
      </w:r>
      <w:r w:rsidR="002421CB">
        <w:t xml:space="preserve">are designed to collect data </w:t>
      </w:r>
      <w:r w:rsidR="000F59DB">
        <w:t>to support NHTSA’s effort to reduce illegal passing of school buses</w:t>
      </w:r>
      <w:r w:rsidRPr="004F1751">
        <w:t xml:space="preserve">. The first </w:t>
      </w:r>
      <w:r>
        <w:t>involves</w:t>
      </w:r>
      <w:r w:rsidRPr="004F1751">
        <w:t xml:space="preserve"> a nationally representative </w:t>
      </w:r>
      <w:r>
        <w:t>survey</w:t>
      </w:r>
      <w:r w:rsidRPr="004F1751">
        <w:t xml:space="preserve"> of drivers to </w:t>
      </w:r>
      <w:r>
        <w:t xml:space="preserve">assess their knowledge and attitudes related to the passing of stopped school buses. </w:t>
      </w:r>
      <w:r w:rsidRPr="004F1751">
        <w:t xml:space="preserve">The second </w:t>
      </w:r>
      <w:r>
        <w:t xml:space="preserve">involves a </w:t>
      </w:r>
      <w:r w:rsidRPr="004F1751">
        <w:t>field study in two communities to examine the effectiveness of a</w:t>
      </w:r>
      <w:r>
        <w:t xml:space="preserve"> high visibility enforcement approach that includes the use of</w:t>
      </w:r>
      <w:r w:rsidRPr="004F1751">
        <w:t xml:space="preserve"> automated camera</w:t>
      </w:r>
      <w:r w:rsidR="00CD495A">
        <w:t>s on the school bus</w:t>
      </w:r>
      <w:r w:rsidRPr="004F1751">
        <w:t xml:space="preserve">. </w:t>
      </w:r>
      <w:r w:rsidRPr="00D37DB3" w:rsidR="00D37DB3">
        <w:t xml:space="preserve">The study sites will be cities or counties of approximately 100,000 to 300,000 population served by no more than two law enforcement agencies. They will have existing State or local laws that permit the use of camera enforcement of school bus passing violations by sending a citation to the registered owner of the violating vehicle. </w:t>
      </w:r>
      <w:r w:rsidR="003D3A95">
        <w:t xml:space="preserve">The </w:t>
      </w:r>
      <w:r w:rsidR="00DE084E">
        <w:t xml:space="preserve">field </w:t>
      </w:r>
      <w:r w:rsidR="003D3A95">
        <w:t xml:space="preserve">study will </w:t>
      </w:r>
      <w:r w:rsidR="006B4C63">
        <w:t xml:space="preserve">also </w:t>
      </w:r>
      <w:r w:rsidR="003D3A95">
        <w:t>involve a review of violation rates that does not involve any contact with the public. T</w:t>
      </w:r>
      <w:r w:rsidR="00CD495A">
        <w:t>he study’s survey d</w:t>
      </w:r>
      <w:r w:rsidRPr="004F1751">
        <w:t>ata collection in the test communities</w:t>
      </w:r>
      <w:r>
        <w:t xml:space="preserve"> before and after program implementation</w:t>
      </w:r>
      <w:r w:rsidRPr="004F1751">
        <w:t xml:space="preserve"> will examine awareness of the enforcement program, driver knowledge of and attitudes towards school bus passing laws, and self-reported behavior when encountering a school bus</w:t>
      </w:r>
      <w:r>
        <w:t>.</w:t>
      </w:r>
    </w:p>
    <w:p w:rsidRPr="005835C4" w:rsidR="00BC04C2" w:rsidP="00BC04C2" w:rsidRDefault="00BC04C2" w14:paraId="1B229B82" w14:textId="77777777">
      <w:pPr>
        <w:ind w:right="-360" w:firstLine="720"/>
        <w:rPr>
          <w:highlight w:val="yellow"/>
        </w:rPr>
      </w:pPr>
    </w:p>
    <w:p w:rsidR="00F244A3" w:rsidP="00BC04C2" w:rsidRDefault="00A02EAC" w14:paraId="19B486B2" w14:textId="77777777">
      <w:pPr>
        <w:ind w:right="-360" w:firstLine="720"/>
      </w:pPr>
      <w:r>
        <w:t>In summary</w:t>
      </w:r>
      <w:r w:rsidRPr="00D1030E" w:rsidR="00BC04C2">
        <w:t>, this study seeks to fill a gap in the state of knowledge concerning the illegal passing of stopped school buses. NHTSA will use the information to produce a technical report that will present summary statistics and tables</w:t>
      </w:r>
      <w:r w:rsidR="00BC04C2">
        <w:t>.</w:t>
      </w:r>
      <w:r w:rsidRPr="00D1030E" w:rsidR="00BC04C2">
        <w:t xml:space="preserve"> </w:t>
      </w:r>
      <w:r w:rsidR="00BC04C2">
        <w:t>N</w:t>
      </w:r>
      <w:r w:rsidRPr="00D1030E" w:rsidR="00BC04C2">
        <w:t xml:space="preserve">o </w:t>
      </w:r>
      <w:r w:rsidR="00BC04C2">
        <w:t xml:space="preserve">identifying information is being collected, and no </w:t>
      </w:r>
      <w:r w:rsidRPr="00D1030E" w:rsidR="00BC04C2">
        <w:lastRenderedPageBreak/>
        <w:t>individual res</w:t>
      </w:r>
      <w:r w:rsidR="00BC04C2">
        <w:t>ponses</w:t>
      </w:r>
      <w:r w:rsidRPr="00D1030E" w:rsidR="00BC04C2">
        <w:t xml:space="preserve"> will be reported. </w:t>
      </w:r>
      <w:r w:rsidRPr="00BA446B" w:rsidR="00BC04C2">
        <w:t>The results of this research will assist NHTSA in better understanding how to develop successful programs to reduce illegal passing of school buses. The technical report will be distributed to a variety of audiences interested in improving highway safety.</w:t>
      </w:r>
    </w:p>
    <w:p w:rsidR="00F244A3" w:rsidP="00F244A3" w:rsidRDefault="00F244A3" w14:paraId="3DA0248B" w14:textId="77777777">
      <w:pPr>
        <w:pStyle w:val="Heading3"/>
      </w:pPr>
      <w:r w:rsidRPr="00FD06AE">
        <w:t>B.1.</w:t>
      </w:r>
      <w:r w:rsidRPr="00FD06AE">
        <w:tab/>
        <w:t>Describe the potential respondent universe and any sampling or other respondent selection to be used.</w:t>
      </w:r>
    </w:p>
    <w:p w:rsidR="00562771" w:rsidP="00562771" w:rsidRDefault="00562771" w14:paraId="43A6C615" w14:textId="77777777">
      <w:pPr>
        <w:rPr>
          <w:b/>
        </w:rPr>
      </w:pPr>
      <w:r w:rsidRPr="00562771">
        <w:rPr>
          <w:b/>
        </w:rPr>
        <w:t>Sample Acquisition</w:t>
      </w:r>
    </w:p>
    <w:p w:rsidRPr="00562771" w:rsidR="00562771" w:rsidP="00562771" w:rsidRDefault="00562771" w14:paraId="7009E872" w14:textId="77777777">
      <w:pPr>
        <w:rPr>
          <w:b/>
        </w:rPr>
      </w:pPr>
    </w:p>
    <w:p w:rsidR="00FD42E7" w:rsidP="00276141" w:rsidRDefault="0089454F" w14:paraId="47274EEE" w14:textId="77777777">
      <w:pPr>
        <w:ind w:firstLine="720"/>
        <w:rPr>
          <w:rFonts w:eastAsia="Calibri"/>
        </w:rPr>
      </w:pPr>
      <w:r w:rsidRPr="00D511E4">
        <w:rPr>
          <w:rFonts w:eastAsia="Calibri"/>
          <w:b/>
        </w:rPr>
        <w:t>Study 1: National Survey</w:t>
      </w:r>
      <w:r w:rsidRPr="00C2562B">
        <w:rPr>
          <w:rFonts w:eastAsia="Calibri"/>
        </w:rPr>
        <w:t>.</w:t>
      </w:r>
      <w:r>
        <w:rPr>
          <w:rFonts w:eastAsia="Calibri"/>
        </w:rPr>
        <w:t xml:space="preserve"> </w:t>
      </w:r>
      <w:r w:rsidRPr="00AE0D45">
        <w:rPr>
          <w:rFonts w:eastAsia="Calibri"/>
        </w:rPr>
        <w:t xml:space="preserve">The potential respondent universe includes all </w:t>
      </w:r>
      <w:r w:rsidRPr="002F584F">
        <w:rPr>
          <w:rFonts w:eastAsia="Calibri"/>
        </w:rPr>
        <w:t>current drivers</w:t>
      </w:r>
      <w:r w:rsidR="00D41E88">
        <w:rPr>
          <w:rFonts w:eastAsia="Calibri"/>
        </w:rPr>
        <w:t xml:space="preserve"> 18 </w:t>
      </w:r>
      <w:r>
        <w:rPr>
          <w:rFonts w:eastAsia="Calibri"/>
        </w:rPr>
        <w:t xml:space="preserve">years of age and older </w:t>
      </w:r>
      <w:r w:rsidR="009E1246">
        <w:rPr>
          <w:rFonts w:eastAsia="Calibri"/>
        </w:rPr>
        <w:t xml:space="preserve">who speak English </w:t>
      </w:r>
      <w:r w:rsidR="003D3A95">
        <w:rPr>
          <w:rFonts w:eastAsia="Calibri"/>
        </w:rPr>
        <w:t xml:space="preserve">and </w:t>
      </w:r>
      <w:r>
        <w:rPr>
          <w:rFonts w:eastAsia="Calibri"/>
        </w:rPr>
        <w:t xml:space="preserve">are enrolled in NORC’s </w:t>
      </w:r>
      <w:proofErr w:type="spellStart"/>
      <w:r>
        <w:rPr>
          <w:rFonts w:eastAsia="Calibri"/>
        </w:rPr>
        <w:t>AmeriSpeak</w:t>
      </w:r>
      <w:proofErr w:type="spellEnd"/>
      <w:r>
        <w:rPr>
          <w:rFonts w:eastAsia="Calibri"/>
        </w:rPr>
        <w:t xml:space="preserve"> panel</w:t>
      </w:r>
      <w:r w:rsidR="003D3A95">
        <w:rPr>
          <w:rFonts w:eastAsia="Calibri"/>
        </w:rPr>
        <w:t>.</w:t>
      </w:r>
      <w:r w:rsidR="007A3622">
        <w:rPr>
          <w:rStyle w:val="FootnoteReference"/>
          <w:rFonts w:eastAsia="Calibri"/>
        </w:rPr>
        <w:footnoteReference w:id="4"/>
      </w:r>
      <w:r w:rsidRPr="00AE0D45">
        <w:rPr>
          <w:rFonts w:eastAsia="Calibri"/>
        </w:rPr>
        <w:t xml:space="preserve"> </w:t>
      </w:r>
      <w:proofErr w:type="spellStart"/>
      <w:r w:rsidRPr="001717D5">
        <w:t>AmeriSpeak</w:t>
      </w:r>
      <w:proofErr w:type="spellEnd"/>
      <w:r w:rsidRPr="001717D5">
        <w:t xml:space="preserve"> is a </w:t>
      </w:r>
      <w:r>
        <w:t xml:space="preserve">large </w:t>
      </w:r>
      <w:r w:rsidRPr="001717D5">
        <w:t xml:space="preserve">probability-based </w:t>
      </w:r>
      <w:r>
        <w:t>sample of the U</w:t>
      </w:r>
      <w:r w:rsidR="007A0603">
        <w:t>.</w:t>
      </w:r>
      <w:r>
        <w:t>S</w:t>
      </w:r>
      <w:r w:rsidR="007A0603">
        <w:t>.</w:t>
      </w:r>
      <w:r w:rsidRPr="001717D5">
        <w:t xml:space="preserve"> population recruited from</w:t>
      </w:r>
      <w:r w:rsidR="007A3622">
        <w:t xml:space="preserve"> the application of</w:t>
      </w:r>
      <w:r w:rsidRPr="001717D5">
        <w:t xml:space="preserve"> NORC’s National Frame</w:t>
      </w:r>
      <w:r>
        <w:t>. Th</w:t>
      </w:r>
      <w:r>
        <w:rPr>
          <w:rFonts w:eastAsia="Calibri"/>
        </w:rPr>
        <w:t>e N</w:t>
      </w:r>
      <w:r w:rsidRPr="007935EC" w:rsidR="00F244A3">
        <w:rPr>
          <w:rFonts w:eastAsia="Calibri"/>
        </w:rPr>
        <w:t>ational Frame is an area probability sample constructed using a two-stage probability sample design.</w:t>
      </w:r>
      <w:r w:rsidRPr="00F244A3" w:rsidR="00F244A3">
        <w:rPr>
          <w:rStyle w:val="FootnoteReference"/>
        </w:rPr>
        <w:footnoteReference w:id="5"/>
      </w:r>
      <w:r w:rsidR="00992C71">
        <w:rPr>
          <w:rFonts w:eastAsia="Calibri"/>
        </w:rPr>
        <w:t xml:space="preserve"> The N</w:t>
      </w:r>
      <w:r w:rsidRPr="007935EC" w:rsidR="00F244A3">
        <w:rPr>
          <w:rFonts w:eastAsia="Calibri"/>
        </w:rPr>
        <w:t>ational Frame contains almost 3 million households, including over 80,000 rural households not available from the U</w:t>
      </w:r>
      <w:r w:rsidR="005679E4">
        <w:rPr>
          <w:rFonts w:eastAsia="Calibri"/>
        </w:rPr>
        <w:t>.</w:t>
      </w:r>
      <w:r w:rsidRPr="007935EC" w:rsidR="00F244A3">
        <w:rPr>
          <w:rFonts w:eastAsia="Calibri"/>
        </w:rPr>
        <w:t>S</w:t>
      </w:r>
      <w:r w:rsidR="005679E4">
        <w:rPr>
          <w:rFonts w:eastAsia="Calibri"/>
        </w:rPr>
        <w:t>.</w:t>
      </w:r>
      <w:r w:rsidRPr="007935EC" w:rsidR="00F244A3">
        <w:rPr>
          <w:rFonts w:eastAsia="Calibri"/>
        </w:rPr>
        <w:t xml:space="preserve"> Postal Service Delivery Sequence File but identified by direct listing by </w:t>
      </w:r>
      <w:r w:rsidR="007A3622">
        <w:rPr>
          <w:rFonts w:eastAsia="Calibri"/>
        </w:rPr>
        <w:t xml:space="preserve">NORC </w:t>
      </w:r>
      <w:r w:rsidRPr="007935EC" w:rsidR="00F244A3">
        <w:rPr>
          <w:rFonts w:eastAsia="Calibri"/>
        </w:rPr>
        <w:t>field staff. </w:t>
      </w:r>
      <w:r w:rsidR="00AA34D2">
        <w:t xml:space="preserve">The National Frame involves addresses in almost every state. For the states that are not included in the National Frame, </w:t>
      </w:r>
      <w:proofErr w:type="spellStart"/>
      <w:r w:rsidR="00AA34D2">
        <w:t>AmeriSpeak</w:t>
      </w:r>
      <w:proofErr w:type="spellEnd"/>
      <w:r w:rsidR="00AA34D2">
        <w:t xml:space="preserve"> selected an address-based sample (ABS) in 2016 through 2018 from the USPS DSF to assure </w:t>
      </w:r>
      <w:proofErr w:type="spellStart"/>
      <w:r w:rsidR="00AA34D2">
        <w:t>AmeriSpeak</w:t>
      </w:r>
      <w:proofErr w:type="spellEnd"/>
      <w:r w:rsidR="00AA34D2">
        <w:t xml:space="preserve"> sample representation for all US States and Washington, DC.</w:t>
      </w:r>
    </w:p>
    <w:p w:rsidR="00FD42E7" w:rsidP="00276141" w:rsidRDefault="00FD42E7" w14:paraId="4A0BE17E" w14:textId="77777777">
      <w:pPr>
        <w:ind w:firstLine="720"/>
        <w:rPr>
          <w:rFonts w:eastAsia="Calibri"/>
        </w:rPr>
      </w:pPr>
    </w:p>
    <w:p w:rsidRPr="007935EC" w:rsidR="00F244A3" w:rsidP="00276141" w:rsidRDefault="00F244A3" w14:paraId="44D6813B" w14:textId="77777777">
      <w:pPr>
        <w:ind w:firstLine="720"/>
      </w:pPr>
      <w:r w:rsidRPr="007935EC">
        <w:rPr>
          <w:rFonts w:eastAsia="Calibri"/>
        </w:rPr>
        <w:t xml:space="preserve">The </w:t>
      </w:r>
      <w:proofErr w:type="spellStart"/>
      <w:r w:rsidRPr="007935EC">
        <w:rPr>
          <w:rFonts w:eastAsia="Calibri"/>
        </w:rPr>
        <w:t>AmeriSpeak</w:t>
      </w:r>
      <w:proofErr w:type="spellEnd"/>
      <w:r w:rsidRPr="007935EC">
        <w:rPr>
          <w:rFonts w:eastAsia="Calibri"/>
        </w:rPr>
        <w:t xml:space="preserve"> panel is recruited from </w:t>
      </w:r>
      <w:r w:rsidR="00FD42E7">
        <w:rPr>
          <w:rFonts w:eastAsia="Calibri"/>
        </w:rPr>
        <w:t>the</w:t>
      </w:r>
      <w:r w:rsidRPr="007935EC" w:rsidR="00FD42E7">
        <w:rPr>
          <w:rFonts w:eastAsia="Calibri"/>
        </w:rPr>
        <w:t xml:space="preserve"> </w:t>
      </w:r>
      <w:r w:rsidRPr="007935EC">
        <w:rPr>
          <w:rFonts w:eastAsia="Calibri"/>
        </w:rPr>
        <w:t xml:space="preserve">National Frame of addresses using probability-based sampling in conjunction with mail, telephone, and in-person contacts </w:t>
      </w:r>
      <w:r w:rsidR="00642F67">
        <w:rPr>
          <w:rFonts w:eastAsia="Calibri"/>
        </w:rPr>
        <w:t>using face-to-face recruitment.</w:t>
      </w:r>
      <w:r w:rsidRPr="007935EC">
        <w:rPr>
          <w:rFonts w:eastAsia="Calibri"/>
        </w:rPr>
        <w:t xml:space="preserve"> Once panel households are recruited, rigorous methods are employed to maximize survey response rates and maintain cooperation of participants. NORC has formally documented the response rate calculation.</w:t>
      </w:r>
      <w:r w:rsidRPr="007935EC">
        <w:rPr>
          <w:rFonts w:eastAsia="Calibri"/>
          <w:vertAlign w:val="superscript"/>
        </w:rPr>
        <w:footnoteReference w:id="6"/>
      </w:r>
      <w:r w:rsidRPr="007935EC">
        <w:rPr>
          <w:rFonts w:eastAsia="Calibri"/>
        </w:rPr>
        <w:t xml:space="preserve"> </w:t>
      </w:r>
    </w:p>
    <w:p w:rsidRPr="00B354AE" w:rsidR="00F244A3" w:rsidP="00F244A3" w:rsidRDefault="00F244A3" w14:paraId="742881D5" w14:textId="77777777">
      <w:pPr>
        <w:ind w:right="-360" w:firstLine="720"/>
      </w:pPr>
    </w:p>
    <w:p w:rsidRPr="00974D71" w:rsidR="009E1246" w:rsidP="00974D71" w:rsidRDefault="00974D71" w14:paraId="5109BA92" w14:textId="77777777">
      <w:r>
        <w:rPr>
          <w:rFonts w:cs="AGaramond-Regular"/>
        </w:rPr>
        <w:tab/>
      </w:r>
      <w:r w:rsidR="009E1246">
        <w:rPr>
          <w:rFonts w:cs="AGaramond-Regular"/>
        </w:rPr>
        <w:t xml:space="preserve">Table 1 presents the key features of </w:t>
      </w:r>
      <w:r>
        <w:rPr>
          <w:rFonts w:cs="AGaramond-Regular"/>
        </w:rPr>
        <w:t>how respondents of the national survey will be recruited</w:t>
      </w:r>
      <w:r w:rsidR="009E1246">
        <w:rPr>
          <w:rFonts w:cs="AGaramond-Regular"/>
        </w:rPr>
        <w:t>.</w:t>
      </w:r>
      <w:r w:rsidRPr="00974D71">
        <w:t xml:space="preserve"> </w:t>
      </w:r>
      <w:r w:rsidRPr="00555B17">
        <w:t>Samples for any subgroup</w:t>
      </w:r>
      <w:r>
        <w:t xml:space="preserve"> (e.g., English-speaking drivers</w:t>
      </w:r>
      <w:r w:rsidRPr="00555B17">
        <w:t xml:space="preserve"> 18+ years of age</w:t>
      </w:r>
      <w:r>
        <w:t>)</w:t>
      </w:r>
      <w:r w:rsidRPr="00555B17">
        <w:t xml:space="preserve"> are selected using unbiased methods</w:t>
      </w:r>
      <w:r w:rsidR="007A3622">
        <w:t>,</w:t>
      </w:r>
      <w:r w:rsidRPr="00555B17">
        <w:t xml:space="preserve"> and </w:t>
      </w:r>
      <w:r>
        <w:t>w</w:t>
      </w:r>
      <w:r w:rsidRPr="00555B17">
        <w:t xml:space="preserve">eights are calculated using the specific sample design for </w:t>
      </w:r>
      <w:r>
        <w:t>the</w:t>
      </w:r>
      <w:r w:rsidRPr="00555B17">
        <w:t xml:space="preserve"> study in conjunction with the probability</w:t>
      </w:r>
      <w:r w:rsidR="003E1D01">
        <w:t>-</w:t>
      </w:r>
      <w:r w:rsidRPr="00555B17">
        <w:t>b</w:t>
      </w:r>
      <w:r>
        <w:t xml:space="preserve">ased </w:t>
      </w:r>
      <w:proofErr w:type="spellStart"/>
      <w:r>
        <w:t>AmeriSpeak</w:t>
      </w:r>
      <w:proofErr w:type="spellEnd"/>
      <w:r>
        <w:t xml:space="preserve"> panel weights. A</w:t>
      </w:r>
      <w:r w:rsidRPr="00555B17">
        <w:t xml:space="preserve">n unbiased stratified sampling method will be used to select a representative sample of </w:t>
      </w:r>
      <w:r>
        <w:t>English</w:t>
      </w:r>
      <w:r w:rsidR="008A210C">
        <w:t>-</w:t>
      </w:r>
      <w:r>
        <w:t>speaking drivers</w:t>
      </w:r>
      <w:r w:rsidRPr="00555B17">
        <w:t xml:space="preserve"> </w:t>
      </w:r>
      <w:r>
        <w:t>18</w:t>
      </w:r>
      <w:r w:rsidRPr="00555B17">
        <w:t>+ years of a</w:t>
      </w:r>
      <w:r>
        <w:t>ge. </w:t>
      </w:r>
      <w:r w:rsidRPr="00555B17">
        <w:t xml:space="preserve">The stratified sample of </w:t>
      </w:r>
      <w:r>
        <w:t>18</w:t>
      </w:r>
      <w:r w:rsidRPr="00555B17">
        <w:t xml:space="preserve">+ year old </w:t>
      </w:r>
      <w:r>
        <w:t>English</w:t>
      </w:r>
      <w:r w:rsidR="00165DDB">
        <w:t>-</w:t>
      </w:r>
      <w:r>
        <w:t>speaking drivers will be selected using</w:t>
      </w:r>
      <w:r w:rsidRPr="00555B17">
        <w:t xml:space="preserve"> demographic sampling strata </w:t>
      </w:r>
      <w:r>
        <w:t xml:space="preserve">listed in Table 1 </w:t>
      </w:r>
      <w:r w:rsidRPr="00555B17">
        <w:t>to account for expected differential completion rates by demographic subg</w:t>
      </w:r>
      <w:r>
        <w:t>r</w:t>
      </w:r>
      <w:r w:rsidRPr="00555B17">
        <w:t>oups so that the set of panel members with a completed</w:t>
      </w:r>
      <w:r>
        <w:t xml:space="preserve"> survey is </w:t>
      </w:r>
      <w:r w:rsidRPr="00555B17">
        <w:t xml:space="preserve">proportionate </w:t>
      </w:r>
      <w:r>
        <w:t xml:space="preserve">to </w:t>
      </w:r>
      <w:r w:rsidRPr="00555B17">
        <w:t xml:space="preserve">the </w:t>
      </w:r>
      <w:r>
        <w:t xml:space="preserve">English-speaking adult driver </w:t>
      </w:r>
      <w:r w:rsidRPr="00555B17">
        <w:t>populati</w:t>
      </w:r>
      <w:r>
        <w:t>on. I</w:t>
      </w:r>
      <w:r w:rsidRPr="00555B17">
        <w:t xml:space="preserve">f a household has more </w:t>
      </w:r>
      <w:r w:rsidRPr="00555B17">
        <w:lastRenderedPageBreak/>
        <w:t xml:space="preserve">than one active </w:t>
      </w:r>
      <w:r>
        <w:t>18</w:t>
      </w:r>
      <w:r w:rsidRPr="00555B17">
        <w:t xml:space="preserve">+ year old adult panel member, only one </w:t>
      </w:r>
      <w:r>
        <w:t>will be</w:t>
      </w:r>
      <w:r w:rsidRPr="00555B17">
        <w:t xml:space="preserve"> r</w:t>
      </w:r>
      <w:r>
        <w:t xml:space="preserve">andomly selected for the study. </w:t>
      </w:r>
    </w:p>
    <w:p w:rsidRPr="00C8214E" w:rsidR="009E1246" w:rsidP="009E1246" w:rsidRDefault="009E1246" w14:paraId="7D4745FB" w14:textId="77777777">
      <w:pPr>
        <w:pStyle w:val="Table"/>
        <w:keepNext/>
        <w:numPr>
          <w:ilvl w:val="0"/>
          <w:numId w:val="18"/>
        </w:numPr>
        <w:spacing w:after="120"/>
      </w:pPr>
      <w:bookmarkStart w:name="_Ref520208164" w:id="3"/>
      <w:r w:rsidRPr="00C8214E">
        <w:t xml:space="preserve">Sampling Features of </w:t>
      </w:r>
      <w:bookmarkEnd w:id="3"/>
      <w:r w:rsidR="00974D71">
        <w:t>National Survey</w:t>
      </w:r>
    </w:p>
    <w:tbl>
      <w:tblPr>
        <w:tblStyle w:val="TableGrid1"/>
        <w:tblW w:w="8743" w:type="dxa"/>
        <w:jc w:val="center"/>
        <w:tblLook w:val="04A0" w:firstRow="1" w:lastRow="0" w:firstColumn="1" w:lastColumn="0" w:noHBand="0" w:noVBand="1"/>
      </w:tblPr>
      <w:tblGrid>
        <w:gridCol w:w="3076"/>
        <w:gridCol w:w="5667"/>
      </w:tblGrid>
      <w:tr w:rsidRPr="00A41443" w:rsidR="009E1246" w:rsidTr="00EA2AFA" w14:paraId="36AD7115" w14:textId="77777777">
        <w:trPr>
          <w:trHeight w:val="269"/>
          <w:tblHeader/>
          <w:jc w:val="center"/>
        </w:trPr>
        <w:tc>
          <w:tcPr>
            <w:tcW w:w="3076" w:type="dxa"/>
            <w:shd w:val="clear" w:color="auto" w:fill="auto"/>
            <w:tcMar>
              <w:left w:w="29" w:type="dxa"/>
              <w:right w:w="29" w:type="dxa"/>
            </w:tcMar>
            <w:vAlign w:val="center"/>
          </w:tcPr>
          <w:p w:rsidRPr="00974D71" w:rsidR="009E1246" w:rsidP="002D5A96" w:rsidRDefault="009E1246" w14:paraId="3254B14F" w14:textId="77777777">
            <w:pPr>
              <w:keepNext/>
              <w:spacing w:after="120"/>
              <w:jc w:val="center"/>
              <w:rPr>
                <w:rFonts w:ascii="Times New Roman" w:hAnsi="Times New Roman"/>
                <w:b/>
                <w:bCs/>
              </w:rPr>
            </w:pPr>
            <w:r w:rsidRPr="00974D71">
              <w:rPr>
                <w:rFonts w:ascii="Times New Roman" w:hAnsi="Times New Roman"/>
                <w:b/>
                <w:bCs/>
              </w:rPr>
              <w:t>Feature</w:t>
            </w:r>
          </w:p>
        </w:tc>
        <w:tc>
          <w:tcPr>
            <w:tcW w:w="5667" w:type="dxa"/>
            <w:shd w:val="clear" w:color="auto" w:fill="auto"/>
            <w:tcMar>
              <w:left w:w="29" w:type="dxa"/>
              <w:right w:w="29" w:type="dxa"/>
            </w:tcMar>
            <w:vAlign w:val="center"/>
          </w:tcPr>
          <w:p w:rsidRPr="00974D71" w:rsidR="009E1246" w:rsidP="002D5A96" w:rsidRDefault="009E1246" w14:paraId="7622F8BD" w14:textId="77777777">
            <w:pPr>
              <w:keepNext/>
              <w:spacing w:after="120"/>
              <w:jc w:val="center"/>
              <w:rPr>
                <w:rFonts w:ascii="Times New Roman" w:hAnsi="Times New Roman"/>
                <w:b/>
                <w:bCs/>
              </w:rPr>
            </w:pPr>
            <w:proofErr w:type="spellStart"/>
            <w:r w:rsidRPr="00974D71">
              <w:rPr>
                <w:rFonts w:ascii="Times New Roman" w:hAnsi="Times New Roman"/>
                <w:b/>
                <w:bCs/>
              </w:rPr>
              <w:t>AmeriSpeak</w:t>
            </w:r>
            <w:proofErr w:type="spellEnd"/>
            <w:r w:rsidRPr="00974D71">
              <w:rPr>
                <w:rFonts w:ascii="Times New Roman" w:hAnsi="Times New Roman"/>
                <w:b/>
                <w:bCs/>
              </w:rPr>
              <w:t xml:space="preserve"> National Sample</w:t>
            </w:r>
          </w:p>
        </w:tc>
      </w:tr>
      <w:tr w:rsidRPr="00A41443" w:rsidR="009E1246" w:rsidTr="00EA2AFA" w14:paraId="417ECE87" w14:textId="77777777">
        <w:trPr>
          <w:trHeight w:val="811"/>
          <w:jc w:val="center"/>
        </w:trPr>
        <w:tc>
          <w:tcPr>
            <w:tcW w:w="3076" w:type="dxa"/>
            <w:tcMar>
              <w:left w:w="29" w:type="dxa"/>
              <w:right w:w="29" w:type="dxa"/>
            </w:tcMar>
            <w:vAlign w:val="center"/>
          </w:tcPr>
          <w:p w:rsidRPr="00974D71" w:rsidR="009E1246" w:rsidP="002D5A96" w:rsidRDefault="009E1246" w14:paraId="36D80760" w14:textId="77777777">
            <w:pPr>
              <w:keepNext/>
              <w:tabs>
                <w:tab w:val="left" w:pos="144"/>
              </w:tabs>
              <w:spacing w:after="120"/>
              <w:rPr>
                <w:rFonts w:ascii="Times New Roman" w:hAnsi="Times New Roman"/>
                <w:color w:val="000000"/>
              </w:rPr>
            </w:pPr>
            <w:r w:rsidRPr="00974D71">
              <w:rPr>
                <w:rFonts w:ascii="Times New Roman" w:hAnsi="Times New Roman"/>
                <w:color w:val="000000"/>
              </w:rPr>
              <w:t>Target Population</w:t>
            </w:r>
          </w:p>
        </w:tc>
        <w:tc>
          <w:tcPr>
            <w:tcW w:w="5667" w:type="dxa"/>
            <w:tcMar>
              <w:left w:w="29" w:type="dxa"/>
              <w:right w:w="29" w:type="dxa"/>
            </w:tcMar>
            <w:vAlign w:val="center"/>
          </w:tcPr>
          <w:p w:rsidRPr="00974D71" w:rsidR="009E1246" w:rsidP="00974D71" w:rsidRDefault="009E1246" w14:paraId="189FB210" w14:textId="77777777">
            <w:pPr>
              <w:keepNext/>
              <w:tabs>
                <w:tab w:val="left" w:pos="144"/>
              </w:tabs>
              <w:spacing w:after="120"/>
              <w:rPr>
                <w:rFonts w:ascii="Times New Roman" w:hAnsi="Times New Roman"/>
                <w:color w:val="000000"/>
              </w:rPr>
            </w:pPr>
            <w:r w:rsidRPr="00974D71">
              <w:rPr>
                <w:rFonts w:ascii="Times New Roman" w:hAnsi="Times New Roman"/>
                <w:color w:val="000000"/>
              </w:rPr>
              <w:t>U.S. adults</w:t>
            </w:r>
            <w:r w:rsidR="00165DDB">
              <w:rPr>
                <w:rFonts w:ascii="Times New Roman" w:hAnsi="Times New Roman"/>
                <w:color w:val="000000"/>
              </w:rPr>
              <w:t>,</w:t>
            </w:r>
            <w:r w:rsidRPr="00974D71">
              <w:rPr>
                <w:rFonts w:ascii="Times New Roman" w:hAnsi="Times New Roman"/>
                <w:color w:val="000000"/>
              </w:rPr>
              <w:t xml:space="preserve"> age 18 or older</w:t>
            </w:r>
            <w:r w:rsidR="00165DDB">
              <w:rPr>
                <w:rFonts w:ascii="Times New Roman" w:hAnsi="Times New Roman"/>
                <w:color w:val="000000"/>
              </w:rPr>
              <w:t>,</w:t>
            </w:r>
            <w:r w:rsidRPr="00974D71">
              <w:rPr>
                <w:rFonts w:ascii="Times New Roman" w:hAnsi="Times New Roman"/>
                <w:color w:val="000000"/>
              </w:rPr>
              <w:t xml:space="preserve"> who</w:t>
            </w:r>
            <w:r w:rsidRPr="00974D71">
              <w:rPr>
                <w:rFonts w:ascii="Times New Roman" w:hAnsi="Times New Roman"/>
                <w:color w:val="000000"/>
                <w:spacing w:val="-2"/>
              </w:rPr>
              <w:t xml:space="preserve"> drive and </w:t>
            </w:r>
            <w:r w:rsidRPr="00974D71">
              <w:rPr>
                <w:rFonts w:ascii="Times New Roman" w:hAnsi="Times New Roman"/>
                <w:color w:val="000000"/>
              </w:rPr>
              <w:t xml:space="preserve">speak English </w:t>
            </w:r>
          </w:p>
        </w:tc>
      </w:tr>
      <w:tr w:rsidRPr="00A41443" w:rsidR="009E1246" w:rsidTr="00EA2AFA" w14:paraId="02EDDA77" w14:textId="77777777">
        <w:trPr>
          <w:trHeight w:val="540"/>
          <w:jc w:val="center"/>
        </w:trPr>
        <w:tc>
          <w:tcPr>
            <w:tcW w:w="3076" w:type="dxa"/>
            <w:tcMar>
              <w:left w:w="29" w:type="dxa"/>
              <w:right w:w="29" w:type="dxa"/>
            </w:tcMar>
            <w:vAlign w:val="center"/>
          </w:tcPr>
          <w:p w:rsidRPr="00974D71" w:rsidR="009E1246" w:rsidP="002D5A96" w:rsidRDefault="009E1246" w14:paraId="38C5EC28" w14:textId="77777777">
            <w:pPr>
              <w:keepNext/>
              <w:tabs>
                <w:tab w:val="left" w:pos="144"/>
              </w:tabs>
              <w:spacing w:after="120"/>
              <w:rPr>
                <w:rFonts w:ascii="Times New Roman" w:hAnsi="Times New Roman"/>
                <w:color w:val="000000"/>
              </w:rPr>
            </w:pPr>
            <w:r w:rsidRPr="00974D71">
              <w:rPr>
                <w:rFonts w:ascii="Times New Roman" w:hAnsi="Times New Roman"/>
                <w:color w:val="000000"/>
              </w:rPr>
              <w:t>Sampling Frame</w:t>
            </w:r>
          </w:p>
        </w:tc>
        <w:tc>
          <w:tcPr>
            <w:tcW w:w="5667" w:type="dxa"/>
            <w:tcMar>
              <w:left w:w="29" w:type="dxa"/>
              <w:right w:w="29" w:type="dxa"/>
            </w:tcMar>
            <w:vAlign w:val="center"/>
          </w:tcPr>
          <w:p w:rsidRPr="00974D71" w:rsidR="009E1246" w:rsidP="002D5A96" w:rsidRDefault="009E1246" w14:paraId="1C018F94" w14:textId="77777777">
            <w:pPr>
              <w:keepNext/>
              <w:tabs>
                <w:tab w:val="left" w:pos="144"/>
              </w:tabs>
              <w:spacing w:after="120"/>
              <w:rPr>
                <w:rFonts w:ascii="Times New Roman" w:hAnsi="Times New Roman"/>
                <w:color w:val="000000"/>
              </w:rPr>
            </w:pPr>
            <w:proofErr w:type="spellStart"/>
            <w:r w:rsidRPr="00974D71">
              <w:rPr>
                <w:rFonts w:ascii="Times New Roman" w:hAnsi="Times New Roman"/>
                <w:color w:val="000000"/>
              </w:rPr>
              <w:t>AmeriSpeak</w:t>
            </w:r>
            <w:proofErr w:type="spellEnd"/>
            <w:r w:rsidRPr="00974D71">
              <w:rPr>
                <w:rFonts w:ascii="Times New Roman" w:hAnsi="Times New Roman"/>
                <w:color w:val="000000"/>
              </w:rPr>
              <w:t xml:space="preserve"> Panel using the USPS sample frame enhanced with field listings </w:t>
            </w:r>
          </w:p>
        </w:tc>
      </w:tr>
      <w:tr w:rsidRPr="00A41443" w:rsidR="009E1246" w:rsidTr="00EA2AFA" w14:paraId="1B7AE8B9" w14:textId="77777777">
        <w:trPr>
          <w:trHeight w:val="540"/>
          <w:jc w:val="center"/>
        </w:trPr>
        <w:tc>
          <w:tcPr>
            <w:tcW w:w="3076" w:type="dxa"/>
            <w:tcMar>
              <w:left w:w="29" w:type="dxa"/>
              <w:right w:w="29" w:type="dxa"/>
            </w:tcMar>
            <w:vAlign w:val="center"/>
          </w:tcPr>
          <w:p w:rsidRPr="00974D71" w:rsidR="009E1246" w:rsidP="002D5A96" w:rsidRDefault="009E1246" w14:paraId="79E2B575" w14:textId="77777777">
            <w:pPr>
              <w:tabs>
                <w:tab w:val="left" w:pos="144"/>
              </w:tabs>
              <w:spacing w:after="120"/>
              <w:rPr>
                <w:rFonts w:ascii="Times New Roman" w:hAnsi="Times New Roman"/>
                <w:color w:val="000000"/>
              </w:rPr>
            </w:pPr>
            <w:r w:rsidRPr="00974D71">
              <w:rPr>
                <w:rFonts w:ascii="Times New Roman" w:hAnsi="Times New Roman"/>
                <w:color w:val="000000"/>
              </w:rPr>
              <w:t>Stratification</w:t>
            </w:r>
          </w:p>
        </w:tc>
        <w:tc>
          <w:tcPr>
            <w:tcW w:w="5667" w:type="dxa"/>
            <w:tcMar>
              <w:left w:w="29" w:type="dxa"/>
              <w:right w:w="29" w:type="dxa"/>
            </w:tcMar>
            <w:vAlign w:val="center"/>
          </w:tcPr>
          <w:p w:rsidRPr="00974D71" w:rsidR="009E1246" w:rsidP="002D5A96" w:rsidRDefault="009E1246" w14:paraId="09584C7C" w14:textId="77777777">
            <w:pPr>
              <w:tabs>
                <w:tab w:val="left" w:pos="144"/>
              </w:tabs>
              <w:spacing w:after="120"/>
              <w:rPr>
                <w:rFonts w:ascii="Times New Roman" w:hAnsi="Times New Roman"/>
                <w:color w:val="000000"/>
              </w:rPr>
            </w:pPr>
            <w:r w:rsidRPr="00974D71">
              <w:rPr>
                <w:rFonts w:ascii="Times New Roman" w:hAnsi="Times New Roman"/>
                <w:color w:val="000000"/>
              </w:rPr>
              <w:t>Panelist age, gender, race/ethnicity, and education within each Census region</w:t>
            </w:r>
          </w:p>
        </w:tc>
      </w:tr>
      <w:tr w:rsidRPr="00A41443" w:rsidR="009E1246" w:rsidTr="00EA2AFA" w14:paraId="3D3FED93" w14:textId="77777777">
        <w:trPr>
          <w:trHeight w:val="269"/>
          <w:jc w:val="center"/>
        </w:trPr>
        <w:tc>
          <w:tcPr>
            <w:tcW w:w="3076" w:type="dxa"/>
            <w:tcMar>
              <w:left w:w="29" w:type="dxa"/>
              <w:right w:w="29" w:type="dxa"/>
            </w:tcMar>
            <w:vAlign w:val="center"/>
          </w:tcPr>
          <w:p w:rsidRPr="00974D71" w:rsidR="009E1246" w:rsidP="002D5A96" w:rsidRDefault="009E1246" w14:paraId="553EB31C" w14:textId="77777777">
            <w:pPr>
              <w:tabs>
                <w:tab w:val="left" w:pos="144"/>
              </w:tabs>
              <w:spacing w:after="120"/>
              <w:rPr>
                <w:rFonts w:ascii="Times New Roman" w:hAnsi="Times New Roman"/>
                <w:color w:val="000000"/>
              </w:rPr>
            </w:pPr>
            <w:r w:rsidRPr="00974D71">
              <w:rPr>
                <w:rFonts w:ascii="Times New Roman" w:hAnsi="Times New Roman"/>
                <w:color w:val="000000"/>
              </w:rPr>
              <w:t>Initial Recruitment</w:t>
            </w:r>
          </w:p>
        </w:tc>
        <w:tc>
          <w:tcPr>
            <w:tcW w:w="5667" w:type="dxa"/>
            <w:tcMar>
              <w:left w:w="29" w:type="dxa"/>
              <w:right w:w="29" w:type="dxa"/>
            </w:tcMar>
            <w:vAlign w:val="center"/>
          </w:tcPr>
          <w:p w:rsidRPr="00974D71" w:rsidR="009E1246" w:rsidP="002D5A96" w:rsidRDefault="009E1246" w14:paraId="616A11F6" w14:textId="77777777">
            <w:pPr>
              <w:tabs>
                <w:tab w:val="left" w:pos="144"/>
              </w:tabs>
              <w:spacing w:after="120"/>
              <w:rPr>
                <w:rFonts w:ascii="Times New Roman" w:hAnsi="Times New Roman"/>
                <w:color w:val="000000"/>
              </w:rPr>
            </w:pPr>
            <w:r w:rsidRPr="00974D71">
              <w:rPr>
                <w:rFonts w:ascii="Times New Roman" w:hAnsi="Times New Roman"/>
                <w:color w:val="000000"/>
              </w:rPr>
              <w:t>Web, phone, mail</w:t>
            </w:r>
          </w:p>
        </w:tc>
      </w:tr>
      <w:tr w:rsidRPr="00A41443" w:rsidR="009E1246" w:rsidTr="00EA2AFA" w14:paraId="22A841FC" w14:textId="77777777">
        <w:trPr>
          <w:trHeight w:val="540"/>
          <w:jc w:val="center"/>
        </w:trPr>
        <w:tc>
          <w:tcPr>
            <w:tcW w:w="3076" w:type="dxa"/>
            <w:tcMar>
              <w:left w:w="29" w:type="dxa"/>
              <w:right w:w="29" w:type="dxa"/>
            </w:tcMar>
            <w:vAlign w:val="center"/>
          </w:tcPr>
          <w:p w:rsidRPr="00974D71" w:rsidR="009E1246" w:rsidP="002D5A96" w:rsidRDefault="009E1246" w14:paraId="5889E6C2" w14:textId="77777777">
            <w:pPr>
              <w:tabs>
                <w:tab w:val="left" w:pos="144"/>
              </w:tabs>
              <w:spacing w:after="120"/>
              <w:rPr>
                <w:rFonts w:ascii="Times New Roman" w:hAnsi="Times New Roman"/>
                <w:color w:val="000000"/>
              </w:rPr>
            </w:pPr>
            <w:r w:rsidRPr="00974D71">
              <w:rPr>
                <w:rFonts w:ascii="Times New Roman" w:hAnsi="Times New Roman"/>
                <w:color w:val="000000"/>
              </w:rPr>
              <w:t>Survey Administration</w:t>
            </w:r>
          </w:p>
        </w:tc>
        <w:tc>
          <w:tcPr>
            <w:tcW w:w="5667" w:type="dxa"/>
            <w:tcMar>
              <w:left w:w="29" w:type="dxa"/>
              <w:right w:w="29" w:type="dxa"/>
            </w:tcMar>
            <w:vAlign w:val="center"/>
          </w:tcPr>
          <w:p w:rsidRPr="00974D71" w:rsidR="009E1246" w:rsidP="002D5A96" w:rsidRDefault="009E1246" w14:paraId="3D668FD2" w14:textId="77777777">
            <w:pPr>
              <w:tabs>
                <w:tab w:val="left" w:pos="144"/>
              </w:tabs>
              <w:spacing w:after="120"/>
              <w:rPr>
                <w:rFonts w:ascii="Times New Roman" w:hAnsi="Times New Roman"/>
                <w:color w:val="000000"/>
              </w:rPr>
            </w:pPr>
            <w:r w:rsidRPr="00974D71">
              <w:rPr>
                <w:rFonts w:ascii="Times New Roman" w:hAnsi="Times New Roman"/>
                <w:color w:val="000000"/>
              </w:rPr>
              <w:t>Web</w:t>
            </w:r>
          </w:p>
        </w:tc>
      </w:tr>
      <w:tr w:rsidRPr="00A41443" w:rsidR="009E1246" w:rsidTr="00EA2AFA" w14:paraId="752634BA" w14:textId="77777777">
        <w:trPr>
          <w:trHeight w:val="540"/>
          <w:jc w:val="center"/>
        </w:trPr>
        <w:tc>
          <w:tcPr>
            <w:tcW w:w="3076" w:type="dxa"/>
            <w:tcMar>
              <w:left w:w="29" w:type="dxa"/>
              <w:right w:w="29" w:type="dxa"/>
            </w:tcMar>
            <w:vAlign w:val="center"/>
          </w:tcPr>
          <w:p w:rsidRPr="00974D71" w:rsidR="009E1246" w:rsidP="002D5A96" w:rsidRDefault="009E1246" w14:paraId="2BF81A18" w14:textId="77777777">
            <w:pPr>
              <w:tabs>
                <w:tab w:val="left" w:pos="144"/>
              </w:tabs>
              <w:spacing w:after="120"/>
              <w:rPr>
                <w:rFonts w:ascii="Times New Roman" w:hAnsi="Times New Roman"/>
                <w:color w:val="000000"/>
              </w:rPr>
            </w:pPr>
            <w:r w:rsidRPr="00974D71">
              <w:rPr>
                <w:rFonts w:ascii="Times New Roman" w:hAnsi="Times New Roman"/>
                <w:color w:val="000000"/>
              </w:rPr>
              <w:t>Within-Household Selection</w:t>
            </w:r>
          </w:p>
        </w:tc>
        <w:tc>
          <w:tcPr>
            <w:tcW w:w="5667" w:type="dxa"/>
            <w:tcMar>
              <w:left w:w="29" w:type="dxa"/>
              <w:right w:w="29" w:type="dxa"/>
            </w:tcMar>
            <w:vAlign w:val="center"/>
          </w:tcPr>
          <w:p w:rsidRPr="00974D71" w:rsidR="009E1246" w:rsidP="002D5A96" w:rsidRDefault="009E1246" w14:paraId="680DD160" w14:textId="77777777">
            <w:pPr>
              <w:tabs>
                <w:tab w:val="left" w:pos="144"/>
              </w:tabs>
              <w:spacing w:after="120"/>
              <w:rPr>
                <w:rFonts w:ascii="Times New Roman" w:hAnsi="Times New Roman"/>
                <w:color w:val="000000"/>
              </w:rPr>
            </w:pPr>
            <w:r w:rsidRPr="00974D71">
              <w:rPr>
                <w:rFonts w:ascii="Times New Roman" w:hAnsi="Times New Roman"/>
                <w:color w:val="000000"/>
              </w:rPr>
              <w:t xml:space="preserve">Probability-based selection of one adult per household </w:t>
            </w:r>
          </w:p>
        </w:tc>
      </w:tr>
    </w:tbl>
    <w:p w:rsidR="00D41E88" w:rsidP="00E04B00" w:rsidRDefault="00D41E88" w14:paraId="55C1B024" w14:textId="77777777"/>
    <w:p w:rsidR="008C3F7A" w:rsidP="003F42A1" w:rsidRDefault="008C3F7A" w14:paraId="028F3690" w14:textId="77777777">
      <w:pPr>
        <w:ind w:firstLine="720"/>
      </w:pPr>
      <w:r>
        <w:t xml:space="preserve">Table 2 shows the expected </w:t>
      </w:r>
      <w:r w:rsidR="004A2F0F">
        <w:t xml:space="preserve">number of completed surveys for major demographic groups </w:t>
      </w:r>
      <w:r>
        <w:t xml:space="preserve">based on the </w:t>
      </w:r>
      <w:r w:rsidRPr="008C3F7A">
        <w:t>distribution</w:t>
      </w:r>
      <w:r w:rsidR="004A2F0F">
        <w:t xml:space="preserve"> of the characteristics</w:t>
      </w:r>
      <w:r w:rsidRPr="008C3F7A">
        <w:t xml:space="preserve"> </w:t>
      </w:r>
      <w:r>
        <w:t>in the</w:t>
      </w:r>
      <w:r w:rsidRPr="008C3F7A">
        <w:t xml:space="preserve"> general </w:t>
      </w:r>
      <w:r>
        <w:t xml:space="preserve">adult </w:t>
      </w:r>
      <w:r w:rsidRPr="008C3F7A">
        <w:t xml:space="preserve">population provided by the latest </w:t>
      </w:r>
      <w:r w:rsidR="00B14028">
        <w:t>p</w:t>
      </w:r>
      <w:r w:rsidRPr="008C3F7A">
        <w:t xml:space="preserve">opulation </w:t>
      </w:r>
      <w:r w:rsidR="00B14028">
        <w:t>s</w:t>
      </w:r>
      <w:r w:rsidRPr="008C3F7A">
        <w:t>urvey</w:t>
      </w:r>
      <w:r>
        <w:t>.</w:t>
      </w:r>
      <w:r w:rsidR="00CA2D27">
        <w:rPr>
          <w:rStyle w:val="FootnoteReference"/>
        </w:rPr>
        <w:footnoteReference w:id="7"/>
      </w:r>
      <w:r>
        <w:t xml:space="preserve"> </w:t>
      </w:r>
      <w:r w:rsidR="00B52709">
        <w:t>These values are estimates according to the planned sampling techniques</w:t>
      </w:r>
      <w:r w:rsidR="004A2F0F">
        <w:t>. Actu</w:t>
      </w:r>
      <w:r w:rsidR="008A1076">
        <w:t>a</w:t>
      </w:r>
      <w:r w:rsidR="004A2F0F">
        <w:t>l counts could vary in the final sample</w:t>
      </w:r>
      <w:r w:rsidR="00B52709">
        <w:t>.</w:t>
      </w:r>
    </w:p>
    <w:p w:rsidR="008C3F7A" w:rsidP="00E04B00" w:rsidRDefault="008C3F7A" w14:paraId="4B2CF1DA" w14:textId="77777777"/>
    <w:p w:rsidRPr="00C8214E" w:rsidR="008C3F7A" w:rsidP="003F42A1" w:rsidRDefault="008C3F7A" w14:paraId="1647133D" w14:textId="77777777">
      <w:pPr>
        <w:pStyle w:val="Table"/>
        <w:keepNext/>
        <w:numPr>
          <w:ilvl w:val="0"/>
          <w:numId w:val="18"/>
        </w:numPr>
        <w:spacing w:after="120"/>
      </w:pPr>
      <w:r>
        <w:t>Expected Demographic Distribution and Estimated Completes</w:t>
      </w:r>
    </w:p>
    <w:tbl>
      <w:tblPr>
        <w:tblW w:w="7465" w:type="dxa"/>
        <w:jc w:val="center"/>
        <w:tblLook w:val="04A0" w:firstRow="1" w:lastRow="0" w:firstColumn="1" w:lastColumn="0" w:noHBand="0" w:noVBand="1"/>
      </w:tblPr>
      <w:tblGrid>
        <w:gridCol w:w="2160"/>
        <w:gridCol w:w="2390"/>
        <w:gridCol w:w="1475"/>
        <w:gridCol w:w="1440"/>
      </w:tblGrid>
      <w:tr w:rsidRPr="003C7852" w:rsidR="008C3F7A" w:rsidTr="003F42A1" w14:paraId="32CAB81F" w14:textId="77777777">
        <w:trPr>
          <w:trHeight w:val="300"/>
          <w:jc w:val="center"/>
        </w:trPr>
        <w:tc>
          <w:tcPr>
            <w:tcW w:w="2160" w:type="dxa"/>
            <w:tcBorders>
              <w:top w:val="single" w:color="auto" w:sz="4" w:space="0"/>
              <w:bottom w:val="single" w:color="auto" w:sz="4" w:space="0"/>
            </w:tcBorders>
            <w:shd w:val="clear" w:color="auto" w:fill="auto"/>
            <w:noWrap/>
            <w:vAlign w:val="bottom"/>
            <w:hideMark/>
          </w:tcPr>
          <w:p w:rsidRPr="003C7852" w:rsidR="008C3F7A" w:rsidP="00CB0031" w:rsidRDefault="008C3F7A" w14:paraId="3FB9C9E0" w14:textId="77777777">
            <w:pPr>
              <w:rPr>
                <w:b/>
                <w:bCs/>
                <w:color w:val="000000"/>
              </w:rPr>
            </w:pPr>
            <w:r w:rsidRPr="003C7852">
              <w:rPr>
                <w:b/>
                <w:bCs/>
                <w:color w:val="000000"/>
              </w:rPr>
              <w:t>Variable</w:t>
            </w:r>
          </w:p>
        </w:tc>
        <w:tc>
          <w:tcPr>
            <w:tcW w:w="2390" w:type="dxa"/>
            <w:tcBorders>
              <w:top w:val="single" w:color="auto" w:sz="4" w:space="0"/>
              <w:bottom w:val="single" w:color="auto" w:sz="4" w:space="0"/>
            </w:tcBorders>
            <w:shd w:val="clear" w:color="auto" w:fill="auto"/>
            <w:noWrap/>
            <w:vAlign w:val="bottom"/>
            <w:hideMark/>
          </w:tcPr>
          <w:p w:rsidRPr="003C7852" w:rsidR="008C3F7A" w:rsidP="00CB0031" w:rsidRDefault="008C3F7A" w14:paraId="5582717D" w14:textId="77777777">
            <w:pPr>
              <w:rPr>
                <w:b/>
                <w:bCs/>
                <w:color w:val="000000"/>
              </w:rPr>
            </w:pPr>
            <w:r w:rsidRPr="003C7852">
              <w:rPr>
                <w:b/>
                <w:bCs/>
                <w:color w:val="000000"/>
              </w:rPr>
              <w:t>Category</w:t>
            </w:r>
          </w:p>
        </w:tc>
        <w:tc>
          <w:tcPr>
            <w:tcW w:w="1475" w:type="dxa"/>
            <w:tcBorders>
              <w:top w:val="single" w:color="auto" w:sz="4" w:space="0"/>
              <w:bottom w:val="single" w:color="auto" w:sz="4" w:space="0"/>
            </w:tcBorders>
            <w:shd w:val="clear" w:color="auto" w:fill="auto"/>
            <w:noWrap/>
            <w:vAlign w:val="bottom"/>
            <w:hideMark/>
          </w:tcPr>
          <w:p w:rsidRPr="003C7852" w:rsidR="008C3F7A" w:rsidP="00CB0031" w:rsidRDefault="008C3F7A" w14:paraId="08489D75" w14:textId="77777777">
            <w:pPr>
              <w:rPr>
                <w:b/>
                <w:bCs/>
                <w:color w:val="000000"/>
              </w:rPr>
            </w:pPr>
            <w:r w:rsidRPr="003C7852">
              <w:rPr>
                <w:b/>
                <w:bCs/>
                <w:color w:val="000000"/>
              </w:rPr>
              <w:t>Distribution</w:t>
            </w:r>
          </w:p>
        </w:tc>
        <w:tc>
          <w:tcPr>
            <w:tcW w:w="1440" w:type="dxa"/>
            <w:tcBorders>
              <w:top w:val="single" w:color="auto" w:sz="4" w:space="0"/>
              <w:bottom w:val="single" w:color="auto" w:sz="4" w:space="0"/>
            </w:tcBorders>
            <w:shd w:val="clear" w:color="auto" w:fill="auto"/>
            <w:noWrap/>
            <w:vAlign w:val="bottom"/>
            <w:hideMark/>
          </w:tcPr>
          <w:p w:rsidRPr="003C7852" w:rsidR="008C3F7A" w:rsidP="003F42A1" w:rsidRDefault="008C3F7A" w14:paraId="64CD4B32" w14:textId="77777777">
            <w:pPr>
              <w:jc w:val="right"/>
              <w:rPr>
                <w:b/>
                <w:bCs/>
                <w:color w:val="000000"/>
              </w:rPr>
            </w:pPr>
            <w:r w:rsidRPr="003C7852">
              <w:rPr>
                <w:b/>
                <w:bCs/>
                <w:color w:val="000000"/>
              </w:rPr>
              <w:t>Estimated Completes</w:t>
            </w:r>
          </w:p>
        </w:tc>
      </w:tr>
      <w:tr w:rsidRPr="003C7852" w:rsidR="008C3F7A" w:rsidTr="003F42A1" w14:paraId="0E0C0195" w14:textId="77777777">
        <w:trPr>
          <w:trHeight w:val="300"/>
          <w:jc w:val="center"/>
        </w:trPr>
        <w:tc>
          <w:tcPr>
            <w:tcW w:w="2160" w:type="dxa"/>
            <w:tcBorders>
              <w:top w:val="single" w:color="auto" w:sz="4" w:space="0"/>
            </w:tcBorders>
            <w:shd w:val="clear" w:color="auto" w:fill="auto"/>
            <w:noWrap/>
            <w:vAlign w:val="bottom"/>
            <w:hideMark/>
          </w:tcPr>
          <w:p w:rsidRPr="003C7852" w:rsidR="008C3F7A" w:rsidP="00CB0031" w:rsidRDefault="008C3F7A" w14:paraId="260659E0" w14:textId="77777777">
            <w:pPr>
              <w:rPr>
                <w:color w:val="000000"/>
              </w:rPr>
            </w:pPr>
            <w:r w:rsidRPr="003C7852">
              <w:rPr>
                <w:color w:val="000000"/>
              </w:rPr>
              <w:t>Age</w:t>
            </w:r>
          </w:p>
        </w:tc>
        <w:tc>
          <w:tcPr>
            <w:tcW w:w="2390" w:type="dxa"/>
            <w:tcBorders>
              <w:top w:val="single" w:color="auto" w:sz="4" w:space="0"/>
            </w:tcBorders>
            <w:shd w:val="clear" w:color="auto" w:fill="auto"/>
            <w:noWrap/>
            <w:vAlign w:val="bottom"/>
            <w:hideMark/>
          </w:tcPr>
          <w:p w:rsidRPr="003C7852" w:rsidR="008C3F7A" w:rsidP="00CB0031" w:rsidRDefault="008C3F7A" w14:paraId="5CB2AD55" w14:textId="77777777">
            <w:pPr>
              <w:rPr>
                <w:color w:val="000000"/>
              </w:rPr>
            </w:pPr>
            <w:r w:rsidRPr="003C7852">
              <w:rPr>
                <w:color w:val="000000"/>
              </w:rPr>
              <w:t>18-34</w:t>
            </w:r>
          </w:p>
        </w:tc>
        <w:tc>
          <w:tcPr>
            <w:tcW w:w="1475" w:type="dxa"/>
            <w:tcBorders>
              <w:top w:val="single" w:color="auto" w:sz="4" w:space="0"/>
            </w:tcBorders>
            <w:shd w:val="clear" w:color="auto" w:fill="auto"/>
            <w:noWrap/>
            <w:vAlign w:val="bottom"/>
            <w:hideMark/>
          </w:tcPr>
          <w:p w:rsidRPr="003C7852" w:rsidR="008C3F7A" w:rsidP="00CB0031" w:rsidRDefault="008C3F7A" w14:paraId="4DB0703E" w14:textId="77777777">
            <w:pPr>
              <w:jc w:val="right"/>
              <w:rPr>
                <w:color w:val="000000"/>
              </w:rPr>
            </w:pPr>
            <w:r w:rsidRPr="003C7852">
              <w:rPr>
                <w:color w:val="000000"/>
              </w:rPr>
              <w:t>29.65%</w:t>
            </w:r>
          </w:p>
        </w:tc>
        <w:tc>
          <w:tcPr>
            <w:tcW w:w="1440" w:type="dxa"/>
            <w:tcBorders>
              <w:top w:val="single" w:color="auto" w:sz="4" w:space="0"/>
            </w:tcBorders>
            <w:shd w:val="clear" w:color="auto" w:fill="auto"/>
            <w:noWrap/>
            <w:vAlign w:val="bottom"/>
            <w:hideMark/>
          </w:tcPr>
          <w:p w:rsidRPr="003C7852" w:rsidR="008C3F7A" w:rsidRDefault="008C3F7A" w14:paraId="04CED69D" w14:textId="77777777">
            <w:pPr>
              <w:jc w:val="right"/>
              <w:rPr>
                <w:color w:val="000000"/>
              </w:rPr>
            </w:pPr>
            <w:r w:rsidRPr="003C7852">
              <w:rPr>
                <w:color w:val="000000"/>
              </w:rPr>
              <w:t>890</w:t>
            </w:r>
          </w:p>
        </w:tc>
      </w:tr>
      <w:tr w:rsidRPr="003C7852" w:rsidR="008C3F7A" w:rsidTr="003F42A1" w14:paraId="69DDADE4" w14:textId="77777777">
        <w:trPr>
          <w:trHeight w:val="300"/>
          <w:jc w:val="center"/>
        </w:trPr>
        <w:tc>
          <w:tcPr>
            <w:tcW w:w="2160" w:type="dxa"/>
            <w:tcBorders>
              <w:top w:val="nil"/>
            </w:tcBorders>
            <w:shd w:val="clear" w:color="auto" w:fill="auto"/>
            <w:noWrap/>
            <w:vAlign w:val="bottom"/>
            <w:hideMark/>
          </w:tcPr>
          <w:p w:rsidRPr="003C7852" w:rsidR="008C3F7A" w:rsidP="00CB0031" w:rsidRDefault="008C3F7A" w14:paraId="7DA55B9C" w14:textId="77777777">
            <w:pPr>
              <w:rPr>
                <w:color w:val="000000"/>
              </w:rPr>
            </w:pPr>
            <w:r w:rsidRPr="003C7852">
              <w:rPr>
                <w:color w:val="000000"/>
              </w:rPr>
              <w:t> </w:t>
            </w:r>
          </w:p>
        </w:tc>
        <w:tc>
          <w:tcPr>
            <w:tcW w:w="2390" w:type="dxa"/>
            <w:tcBorders>
              <w:top w:val="nil"/>
            </w:tcBorders>
            <w:shd w:val="clear" w:color="auto" w:fill="auto"/>
            <w:noWrap/>
            <w:vAlign w:val="bottom"/>
            <w:hideMark/>
          </w:tcPr>
          <w:p w:rsidRPr="003C7852" w:rsidR="008C3F7A" w:rsidP="00CB0031" w:rsidRDefault="008C3F7A" w14:paraId="4BB86F80" w14:textId="77777777">
            <w:pPr>
              <w:rPr>
                <w:color w:val="000000"/>
              </w:rPr>
            </w:pPr>
            <w:r w:rsidRPr="003C7852">
              <w:rPr>
                <w:color w:val="000000"/>
              </w:rPr>
              <w:t>35-49</w:t>
            </w:r>
          </w:p>
        </w:tc>
        <w:tc>
          <w:tcPr>
            <w:tcW w:w="1475" w:type="dxa"/>
            <w:tcBorders>
              <w:top w:val="nil"/>
            </w:tcBorders>
            <w:shd w:val="clear" w:color="auto" w:fill="auto"/>
            <w:noWrap/>
            <w:vAlign w:val="bottom"/>
            <w:hideMark/>
          </w:tcPr>
          <w:p w:rsidRPr="003C7852" w:rsidR="008C3F7A" w:rsidP="00CB0031" w:rsidRDefault="008C3F7A" w14:paraId="7D9A56D7" w14:textId="77777777">
            <w:pPr>
              <w:jc w:val="right"/>
              <w:rPr>
                <w:color w:val="000000"/>
              </w:rPr>
            </w:pPr>
            <w:r w:rsidRPr="003C7852">
              <w:rPr>
                <w:color w:val="000000"/>
              </w:rPr>
              <w:t>24.49%</w:t>
            </w:r>
          </w:p>
        </w:tc>
        <w:tc>
          <w:tcPr>
            <w:tcW w:w="1440" w:type="dxa"/>
            <w:tcBorders>
              <w:top w:val="nil"/>
            </w:tcBorders>
            <w:shd w:val="clear" w:color="auto" w:fill="auto"/>
            <w:noWrap/>
            <w:vAlign w:val="bottom"/>
            <w:hideMark/>
          </w:tcPr>
          <w:p w:rsidRPr="003C7852" w:rsidR="008C3F7A" w:rsidRDefault="008C3F7A" w14:paraId="2502720A" w14:textId="77777777">
            <w:pPr>
              <w:jc w:val="right"/>
              <w:rPr>
                <w:color w:val="000000"/>
              </w:rPr>
            </w:pPr>
            <w:r w:rsidRPr="003C7852">
              <w:rPr>
                <w:color w:val="000000"/>
              </w:rPr>
              <w:t>735</w:t>
            </w:r>
          </w:p>
        </w:tc>
      </w:tr>
      <w:tr w:rsidRPr="003C7852" w:rsidR="008C3F7A" w:rsidTr="003F42A1" w14:paraId="4BAFECDC" w14:textId="77777777">
        <w:trPr>
          <w:trHeight w:val="300"/>
          <w:jc w:val="center"/>
        </w:trPr>
        <w:tc>
          <w:tcPr>
            <w:tcW w:w="2160" w:type="dxa"/>
            <w:tcBorders>
              <w:top w:val="nil"/>
            </w:tcBorders>
            <w:shd w:val="clear" w:color="auto" w:fill="auto"/>
            <w:noWrap/>
            <w:vAlign w:val="bottom"/>
            <w:hideMark/>
          </w:tcPr>
          <w:p w:rsidRPr="003C7852" w:rsidR="008C3F7A" w:rsidP="00CB0031" w:rsidRDefault="008C3F7A" w14:paraId="7864EFDF" w14:textId="77777777">
            <w:pPr>
              <w:rPr>
                <w:color w:val="000000"/>
              </w:rPr>
            </w:pPr>
            <w:r w:rsidRPr="003C7852">
              <w:rPr>
                <w:color w:val="000000"/>
              </w:rPr>
              <w:t> </w:t>
            </w:r>
          </w:p>
        </w:tc>
        <w:tc>
          <w:tcPr>
            <w:tcW w:w="2390" w:type="dxa"/>
            <w:tcBorders>
              <w:top w:val="nil"/>
            </w:tcBorders>
            <w:shd w:val="clear" w:color="auto" w:fill="auto"/>
            <w:noWrap/>
            <w:vAlign w:val="bottom"/>
            <w:hideMark/>
          </w:tcPr>
          <w:p w:rsidRPr="003C7852" w:rsidR="008C3F7A" w:rsidP="00CB0031" w:rsidRDefault="008C3F7A" w14:paraId="53533B5E" w14:textId="77777777">
            <w:pPr>
              <w:rPr>
                <w:color w:val="000000"/>
              </w:rPr>
            </w:pPr>
            <w:r w:rsidRPr="003C7852">
              <w:rPr>
                <w:color w:val="000000"/>
              </w:rPr>
              <w:t>50+</w:t>
            </w:r>
          </w:p>
        </w:tc>
        <w:tc>
          <w:tcPr>
            <w:tcW w:w="1475" w:type="dxa"/>
            <w:tcBorders>
              <w:top w:val="nil"/>
            </w:tcBorders>
            <w:shd w:val="clear" w:color="auto" w:fill="auto"/>
            <w:noWrap/>
            <w:vAlign w:val="bottom"/>
            <w:hideMark/>
          </w:tcPr>
          <w:p w:rsidRPr="003C7852" w:rsidR="008C3F7A" w:rsidP="00CB0031" w:rsidRDefault="008C3F7A" w14:paraId="3B195AA4" w14:textId="77777777">
            <w:pPr>
              <w:jc w:val="right"/>
              <w:rPr>
                <w:color w:val="000000"/>
              </w:rPr>
            </w:pPr>
            <w:r w:rsidRPr="003C7852">
              <w:rPr>
                <w:color w:val="000000"/>
              </w:rPr>
              <w:t>45.86%</w:t>
            </w:r>
          </w:p>
        </w:tc>
        <w:tc>
          <w:tcPr>
            <w:tcW w:w="1440" w:type="dxa"/>
            <w:tcBorders>
              <w:top w:val="nil"/>
            </w:tcBorders>
            <w:shd w:val="clear" w:color="auto" w:fill="auto"/>
            <w:noWrap/>
            <w:vAlign w:val="bottom"/>
            <w:hideMark/>
          </w:tcPr>
          <w:p w:rsidRPr="003C7852" w:rsidR="008C3F7A" w:rsidRDefault="008C3F7A" w14:paraId="56B72915" w14:textId="77777777">
            <w:pPr>
              <w:jc w:val="right"/>
              <w:rPr>
                <w:color w:val="000000"/>
              </w:rPr>
            </w:pPr>
            <w:r w:rsidRPr="003C7852">
              <w:rPr>
                <w:color w:val="000000"/>
              </w:rPr>
              <w:t>1376</w:t>
            </w:r>
          </w:p>
        </w:tc>
      </w:tr>
      <w:tr w:rsidRPr="003C7852" w:rsidR="008C3F7A" w:rsidTr="003F42A1" w14:paraId="0947DDA0" w14:textId="77777777">
        <w:trPr>
          <w:trHeight w:val="300"/>
          <w:jc w:val="center"/>
        </w:trPr>
        <w:tc>
          <w:tcPr>
            <w:tcW w:w="2160" w:type="dxa"/>
            <w:tcBorders>
              <w:top w:val="nil"/>
            </w:tcBorders>
            <w:shd w:val="clear" w:color="auto" w:fill="auto"/>
            <w:noWrap/>
            <w:vAlign w:val="bottom"/>
            <w:hideMark/>
          </w:tcPr>
          <w:p w:rsidRPr="003C7852" w:rsidR="008C3F7A" w:rsidP="00CB0031" w:rsidRDefault="008C3F7A" w14:paraId="371E92C8" w14:textId="77777777">
            <w:pPr>
              <w:rPr>
                <w:color w:val="000000"/>
              </w:rPr>
            </w:pPr>
            <w:r w:rsidRPr="003C7852">
              <w:rPr>
                <w:color w:val="000000"/>
              </w:rPr>
              <w:t> </w:t>
            </w:r>
          </w:p>
        </w:tc>
        <w:tc>
          <w:tcPr>
            <w:tcW w:w="2390" w:type="dxa"/>
            <w:tcBorders>
              <w:top w:val="nil"/>
            </w:tcBorders>
            <w:shd w:val="clear" w:color="auto" w:fill="auto"/>
            <w:noWrap/>
            <w:vAlign w:val="bottom"/>
            <w:hideMark/>
          </w:tcPr>
          <w:p w:rsidRPr="003C7852" w:rsidR="008C3F7A" w:rsidP="00CB0031" w:rsidRDefault="008C3F7A" w14:paraId="2AF1DAD9" w14:textId="77777777">
            <w:pPr>
              <w:rPr>
                <w:color w:val="000000"/>
              </w:rPr>
            </w:pPr>
            <w:r w:rsidRPr="003C7852">
              <w:rPr>
                <w:color w:val="000000"/>
              </w:rPr>
              <w:t> </w:t>
            </w:r>
          </w:p>
        </w:tc>
        <w:tc>
          <w:tcPr>
            <w:tcW w:w="1475" w:type="dxa"/>
            <w:tcBorders>
              <w:top w:val="nil"/>
            </w:tcBorders>
            <w:shd w:val="clear" w:color="auto" w:fill="auto"/>
            <w:noWrap/>
            <w:vAlign w:val="bottom"/>
            <w:hideMark/>
          </w:tcPr>
          <w:p w:rsidRPr="003C7852" w:rsidR="008C3F7A" w:rsidP="00CB0031" w:rsidRDefault="008C3F7A" w14:paraId="1B6588A8" w14:textId="77777777">
            <w:pPr>
              <w:rPr>
                <w:color w:val="000000"/>
              </w:rPr>
            </w:pPr>
            <w:r w:rsidRPr="003C7852">
              <w:rPr>
                <w:color w:val="000000"/>
              </w:rPr>
              <w:t> </w:t>
            </w:r>
          </w:p>
        </w:tc>
        <w:tc>
          <w:tcPr>
            <w:tcW w:w="1440" w:type="dxa"/>
            <w:tcBorders>
              <w:top w:val="nil"/>
            </w:tcBorders>
            <w:shd w:val="clear" w:color="auto" w:fill="auto"/>
            <w:noWrap/>
            <w:vAlign w:val="bottom"/>
            <w:hideMark/>
          </w:tcPr>
          <w:p w:rsidRPr="003C7852" w:rsidR="008C3F7A" w:rsidP="003F42A1" w:rsidRDefault="008C3F7A" w14:paraId="213855FF" w14:textId="77777777">
            <w:pPr>
              <w:jc w:val="right"/>
              <w:rPr>
                <w:color w:val="000000"/>
              </w:rPr>
            </w:pPr>
          </w:p>
        </w:tc>
      </w:tr>
      <w:tr w:rsidRPr="003C7852" w:rsidR="008C3F7A" w:rsidTr="003F42A1" w14:paraId="735CD8BE" w14:textId="77777777">
        <w:trPr>
          <w:trHeight w:val="300"/>
          <w:jc w:val="center"/>
        </w:trPr>
        <w:tc>
          <w:tcPr>
            <w:tcW w:w="2160" w:type="dxa"/>
            <w:tcBorders>
              <w:top w:val="nil"/>
            </w:tcBorders>
            <w:shd w:val="clear" w:color="auto" w:fill="auto"/>
            <w:noWrap/>
            <w:vAlign w:val="bottom"/>
            <w:hideMark/>
          </w:tcPr>
          <w:p w:rsidRPr="003C7852" w:rsidR="008C3F7A" w:rsidP="00CB0031" w:rsidRDefault="008C3F7A" w14:paraId="250DE944" w14:textId="77777777">
            <w:pPr>
              <w:rPr>
                <w:color w:val="000000"/>
              </w:rPr>
            </w:pPr>
            <w:r w:rsidRPr="003C7852">
              <w:rPr>
                <w:color w:val="000000"/>
              </w:rPr>
              <w:t>Race/Ethnicity</w:t>
            </w:r>
          </w:p>
        </w:tc>
        <w:tc>
          <w:tcPr>
            <w:tcW w:w="2390" w:type="dxa"/>
            <w:tcBorders>
              <w:top w:val="nil"/>
            </w:tcBorders>
            <w:shd w:val="clear" w:color="auto" w:fill="auto"/>
            <w:noWrap/>
            <w:vAlign w:val="bottom"/>
            <w:hideMark/>
          </w:tcPr>
          <w:p w:rsidRPr="003C7852" w:rsidR="008C3F7A" w:rsidP="00CB0031" w:rsidRDefault="008C3F7A" w14:paraId="21BA9AA4" w14:textId="77777777">
            <w:pPr>
              <w:rPr>
                <w:color w:val="000000"/>
              </w:rPr>
            </w:pPr>
            <w:r w:rsidRPr="003C7852">
              <w:rPr>
                <w:color w:val="000000"/>
              </w:rPr>
              <w:t>N</w:t>
            </w:r>
            <w:r w:rsidR="003E1D01">
              <w:rPr>
                <w:color w:val="000000"/>
              </w:rPr>
              <w:t>on-</w:t>
            </w:r>
            <w:r w:rsidRPr="003C7852">
              <w:rPr>
                <w:color w:val="000000"/>
              </w:rPr>
              <w:t>H</w:t>
            </w:r>
            <w:r w:rsidR="003E1D01">
              <w:rPr>
                <w:color w:val="000000"/>
              </w:rPr>
              <w:t>ispanic</w:t>
            </w:r>
            <w:r w:rsidRPr="003C7852">
              <w:rPr>
                <w:color w:val="000000"/>
              </w:rPr>
              <w:t xml:space="preserve"> White</w:t>
            </w:r>
          </w:p>
        </w:tc>
        <w:tc>
          <w:tcPr>
            <w:tcW w:w="1475" w:type="dxa"/>
            <w:tcBorders>
              <w:top w:val="nil"/>
            </w:tcBorders>
            <w:shd w:val="clear" w:color="auto" w:fill="auto"/>
            <w:noWrap/>
            <w:vAlign w:val="bottom"/>
            <w:hideMark/>
          </w:tcPr>
          <w:p w:rsidRPr="003C7852" w:rsidR="008C3F7A" w:rsidP="00CB0031" w:rsidRDefault="008C3F7A" w14:paraId="0ECB3D41" w14:textId="77777777">
            <w:pPr>
              <w:jc w:val="right"/>
              <w:rPr>
                <w:color w:val="000000"/>
              </w:rPr>
            </w:pPr>
            <w:r w:rsidRPr="003C7852">
              <w:rPr>
                <w:color w:val="000000"/>
              </w:rPr>
              <w:t>63.14%</w:t>
            </w:r>
          </w:p>
        </w:tc>
        <w:tc>
          <w:tcPr>
            <w:tcW w:w="1440" w:type="dxa"/>
            <w:tcBorders>
              <w:top w:val="nil"/>
            </w:tcBorders>
            <w:shd w:val="clear" w:color="auto" w:fill="auto"/>
            <w:noWrap/>
            <w:vAlign w:val="bottom"/>
            <w:hideMark/>
          </w:tcPr>
          <w:p w:rsidRPr="003C7852" w:rsidR="008C3F7A" w:rsidRDefault="008C3F7A" w14:paraId="25F99884" w14:textId="77777777">
            <w:pPr>
              <w:jc w:val="right"/>
              <w:rPr>
                <w:color w:val="000000"/>
              </w:rPr>
            </w:pPr>
            <w:r w:rsidRPr="003C7852">
              <w:rPr>
                <w:color w:val="000000"/>
              </w:rPr>
              <w:t>1894</w:t>
            </w:r>
          </w:p>
        </w:tc>
      </w:tr>
      <w:tr w:rsidRPr="003C7852" w:rsidR="008C3F7A" w:rsidTr="003F42A1" w14:paraId="77A50152" w14:textId="77777777">
        <w:trPr>
          <w:trHeight w:val="300"/>
          <w:jc w:val="center"/>
        </w:trPr>
        <w:tc>
          <w:tcPr>
            <w:tcW w:w="2160" w:type="dxa"/>
            <w:tcBorders>
              <w:top w:val="nil"/>
            </w:tcBorders>
            <w:shd w:val="clear" w:color="auto" w:fill="auto"/>
            <w:noWrap/>
            <w:vAlign w:val="bottom"/>
            <w:hideMark/>
          </w:tcPr>
          <w:p w:rsidRPr="003C7852" w:rsidR="008C3F7A" w:rsidP="00CB0031" w:rsidRDefault="008C3F7A" w14:paraId="4BF3D43A" w14:textId="77777777">
            <w:pPr>
              <w:rPr>
                <w:color w:val="000000"/>
              </w:rPr>
            </w:pPr>
            <w:r w:rsidRPr="003C7852">
              <w:rPr>
                <w:color w:val="000000"/>
              </w:rPr>
              <w:t> </w:t>
            </w:r>
          </w:p>
        </w:tc>
        <w:tc>
          <w:tcPr>
            <w:tcW w:w="2390" w:type="dxa"/>
            <w:tcBorders>
              <w:top w:val="nil"/>
            </w:tcBorders>
            <w:shd w:val="clear" w:color="auto" w:fill="auto"/>
            <w:noWrap/>
            <w:vAlign w:val="bottom"/>
            <w:hideMark/>
          </w:tcPr>
          <w:p w:rsidRPr="003C7852" w:rsidR="008C3F7A" w:rsidP="00CB0031" w:rsidRDefault="008C3F7A" w14:paraId="6421A1CA" w14:textId="77777777">
            <w:pPr>
              <w:rPr>
                <w:color w:val="000000"/>
              </w:rPr>
            </w:pPr>
            <w:r w:rsidRPr="003C7852">
              <w:rPr>
                <w:color w:val="000000"/>
              </w:rPr>
              <w:t>All Other</w:t>
            </w:r>
          </w:p>
        </w:tc>
        <w:tc>
          <w:tcPr>
            <w:tcW w:w="1475" w:type="dxa"/>
            <w:tcBorders>
              <w:top w:val="nil"/>
            </w:tcBorders>
            <w:shd w:val="clear" w:color="auto" w:fill="auto"/>
            <w:noWrap/>
            <w:vAlign w:val="bottom"/>
            <w:hideMark/>
          </w:tcPr>
          <w:p w:rsidRPr="003C7852" w:rsidR="008C3F7A" w:rsidP="00CB0031" w:rsidRDefault="008C3F7A" w14:paraId="7948B1B9" w14:textId="77777777">
            <w:pPr>
              <w:jc w:val="right"/>
              <w:rPr>
                <w:color w:val="000000"/>
              </w:rPr>
            </w:pPr>
            <w:r w:rsidRPr="003C7852">
              <w:rPr>
                <w:color w:val="000000"/>
              </w:rPr>
              <w:t>36.86%</w:t>
            </w:r>
          </w:p>
        </w:tc>
        <w:tc>
          <w:tcPr>
            <w:tcW w:w="1440" w:type="dxa"/>
            <w:tcBorders>
              <w:top w:val="nil"/>
            </w:tcBorders>
            <w:shd w:val="clear" w:color="auto" w:fill="auto"/>
            <w:noWrap/>
            <w:vAlign w:val="bottom"/>
            <w:hideMark/>
          </w:tcPr>
          <w:p w:rsidRPr="003C7852" w:rsidR="008C3F7A" w:rsidRDefault="008C3F7A" w14:paraId="74D70342" w14:textId="77777777">
            <w:pPr>
              <w:jc w:val="right"/>
              <w:rPr>
                <w:color w:val="000000"/>
              </w:rPr>
            </w:pPr>
            <w:r w:rsidRPr="003C7852">
              <w:rPr>
                <w:color w:val="000000"/>
              </w:rPr>
              <w:t>1106</w:t>
            </w:r>
          </w:p>
        </w:tc>
      </w:tr>
      <w:tr w:rsidRPr="003C7852" w:rsidR="008C3F7A" w:rsidTr="003F42A1" w14:paraId="6B80DC7D" w14:textId="77777777">
        <w:trPr>
          <w:trHeight w:val="300"/>
          <w:jc w:val="center"/>
        </w:trPr>
        <w:tc>
          <w:tcPr>
            <w:tcW w:w="2160" w:type="dxa"/>
            <w:tcBorders>
              <w:top w:val="nil"/>
            </w:tcBorders>
            <w:shd w:val="clear" w:color="auto" w:fill="auto"/>
            <w:noWrap/>
            <w:vAlign w:val="bottom"/>
            <w:hideMark/>
          </w:tcPr>
          <w:p w:rsidRPr="003C7852" w:rsidR="008C3F7A" w:rsidP="00CB0031" w:rsidRDefault="008C3F7A" w14:paraId="10309ADB" w14:textId="77777777">
            <w:pPr>
              <w:rPr>
                <w:color w:val="000000"/>
              </w:rPr>
            </w:pPr>
            <w:r w:rsidRPr="003C7852">
              <w:rPr>
                <w:color w:val="000000"/>
              </w:rPr>
              <w:t> </w:t>
            </w:r>
          </w:p>
        </w:tc>
        <w:tc>
          <w:tcPr>
            <w:tcW w:w="2390" w:type="dxa"/>
            <w:tcBorders>
              <w:top w:val="nil"/>
            </w:tcBorders>
            <w:shd w:val="clear" w:color="auto" w:fill="auto"/>
            <w:noWrap/>
            <w:vAlign w:val="bottom"/>
            <w:hideMark/>
          </w:tcPr>
          <w:p w:rsidRPr="003C7852" w:rsidR="008C3F7A" w:rsidP="00CB0031" w:rsidRDefault="008C3F7A" w14:paraId="33B184F9" w14:textId="77777777">
            <w:pPr>
              <w:rPr>
                <w:color w:val="000000"/>
              </w:rPr>
            </w:pPr>
            <w:r w:rsidRPr="003C7852">
              <w:rPr>
                <w:color w:val="000000"/>
              </w:rPr>
              <w:t> </w:t>
            </w:r>
          </w:p>
        </w:tc>
        <w:tc>
          <w:tcPr>
            <w:tcW w:w="1475" w:type="dxa"/>
            <w:tcBorders>
              <w:top w:val="nil"/>
            </w:tcBorders>
            <w:shd w:val="clear" w:color="auto" w:fill="auto"/>
            <w:noWrap/>
            <w:vAlign w:val="bottom"/>
            <w:hideMark/>
          </w:tcPr>
          <w:p w:rsidRPr="003C7852" w:rsidR="008C3F7A" w:rsidP="00CB0031" w:rsidRDefault="008C3F7A" w14:paraId="3C470DE3" w14:textId="77777777">
            <w:pPr>
              <w:rPr>
                <w:color w:val="000000"/>
              </w:rPr>
            </w:pPr>
            <w:r w:rsidRPr="003C7852">
              <w:rPr>
                <w:color w:val="000000"/>
              </w:rPr>
              <w:t> </w:t>
            </w:r>
          </w:p>
        </w:tc>
        <w:tc>
          <w:tcPr>
            <w:tcW w:w="1440" w:type="dxa"/>
            <w:tcBorders>
              <w:top w:val="nil"/>
            </w:tcBorders>
            <w:shd w:val="clear" w:color="auto" w:fill="auto"/>
            <w:noWrap/>
            <w:vAlign w:val="bottom"/>
            <w:hideMark/>
          </w:tcPr>
          <w:p w:rsidRPr="003C7852" w:rsidR="008C3F7A" w:rsidP="003F42A1" w:rsidRDefault="008C3F7A" w14:paraId="0CEC979B" w14:textId="77777777">
            <w:pPr>
              <w:jc w:val="right"/>
              <w:rPr>
                <w:color w:val="000000"/>
              </w:rPr>
            </w:pPr>
          </w:p>
        </w:tc>
      </w:tr>
      <w:tr w:rsidRPr="003C7852" w:rsidR="008C3F7A" w:rsidTr="003F42A1" w14:paraId="5D027FAF" w14:textId="77777777">
        <w:trPr>
          <w:trHeight w:val="300"/>
          <w:jc w:val="center"/>
        </w:trPr>
        <w:tc>
          <w:tcPr>
            <w:tcW w:w="2160" w:type="dxa"/>
            <w:tcBorders>
              <w:top w:val="nil"/>
            </w:tcBorders>
            <w:shd w:val="clear" w:color="auto" w:fill="auto"/>
            <w:noWrap/>
            <w:vAlign w:val="bottom"/>
            <w:hideMark/>
          </w:tcPr>
          <w:p w:rsidRPr="003C7852" w:rsidR="008C3F7A" w:rsidP="00CB0031" w:rsidRDefault="008C3F7A" w14:paraId="499796AE" w14:textId="77777777">
            <w:pPr>
              <w:rPr>
                <w:color w:val="000000"/>
              </w:rPr>
            </w:pPr>
            <w:r w:rsidRPr="003C7852">
              <w:rPr>
                <w:color w:val="000000"/>
              </w:rPr>
              <w:t>Education Level</w:t>
            </w:r>
          </w:p>
        </w:tc>
        <w:tc>
          <w:tcPr>
            <w:tcW w:w="2390" w:type="dxa"/>
            <w:tcBorders>
              <w:top w:val="nil"/>
            </w:tcBorders>
            <w:shd w:val="clear" w:color="auto" w:fill="auto"/>
            <w:noWrap/>
            <w:vAlign w:val="bottom"/>
            <w:hideMark/>
          </w:tcPr>
          <w:p w:rsidRPr="003C7852" w:rsidR="008C3F7A" w:rsidP="00CB0031" w:rsidRDefault="008C3F7A" w14:paraId="577C6102" w14:textId="77777777">
            <w:pPr>
              <w:rPr>
                <w:color w:val="000000"/>
              </w:rPr>
            </w:pPr>
            <w:r w:rsidRPr="003C7852">
              <w:rPr>
                <w:color w:val="000000"/>
              </w:rPr>
              <w:t>Some college or less</w:t>
            </w:r>
          </w:p>
        </w:tc>
        <w:tc>
          <w:tcPr>
            <w:tcW w:w="1475" w:type="dxa"/>
            <w:tcBorders>
              <w:top w:val="nil"/>
            </w:tcBorders>
            <w:shd w:val="clear" w:color="auto" w:fill="auto"/>
            <w:noWrap/>
            <w:vAlign w:val="bottom"/>
            <w:hideMark/>
          </w:tcPr>
          <w:p w:rsidRPr="003C7852" w:rsidR="008C3F7A" w:rsidP="00CB0031" w:rsidRDefault="008C3F7A" w14:paraId="59A274B9" w14:textId="77777777">
            <w:pPr>
              <w:jc w:val="right"/>
              <w:rPr>
                <w:color w:val="000000"/>
              </w:rPr>
            </w:pPr>
            <w:r w:rsidRPr="003C7852">
              <w:rPr>
                <w:color w:val="000000"/>
              </w:rPr>
              <w:t>66.68%</w:t>
            </w:r>
          </w:p>
        </w:tc>
        <w:tc>
          <w:tcPr>
            <w:tcW w:w="1440" w:type="dxa"/>
            <w:tcBorders>
              <w:top w:val="nil"/>
            </w:tcBorders>
            <w:shd w:val="clear" w:color="auto" w:fill="auto"/>
            <w:noWrap/>
            <w:vAlign w:val="bottom"/>
            <w:hideMark/>
          </w:tcPr>
          <w:p w:rsidRPr="003C7852" w:rsidR="008C3F7A" w:rsidRDefault="008C3F7A" w14:paraId="4864C5BB" w14:textId="77777777">
            <w:pPr>
              <w:jc w:val="right"/>
              <w:rPr>
                <w:color w:val="000000"/>
              </w:rPr>
            </w:pPr>
            <w:r w:rsidRPr="003C7852">
              <w:rPr>
                <w:color w:val="000000"/>
              </w:rPr>
              <w:t>2000</w:t>
            </w:r>
          </w:p>
        </w:tc>
      </w:tr>
      <w:tr w:rsidRPr="003C7852" w:rsidR="008C3F7A" w:rsidTr="003F42A1" w14:paraId="7781C6B0" w14:textId="77777777">
        <w:trPr>
          <w:trHeight w:val="300"/>
          <w:jc w:val="center"/>
        </w:trPr>
        <w:tc>
          <w:tcPr>
            <w:tcW w:w="2160" w:type="dxa"/>
            <w:tcBorders>
              <w:top w:val="nil"/>
            </w:tcBorders>
            <w:shd w:val="clear" w:color="auto" w:fill="auto"/>
            <w:noWrap/>
            <w:vAlign w:val="bottom"/>
            <w:hideMark/>
          </w:tcPr>
          <w:p w:rsidRPr="003C7852" w:rsidR="008C3F7A" w:rsidP="00CB0031" w:rsidRDefault="008C3F7A" w14:paraId="43E933DE" w14:textId="77777777">
            <w:pPr>
              <w:rPr>
                <w:color w:val="000000"/>
              </w:rPr>
            </w:pPr>
            <w:r w:rsidRPr="003C7852">
              <w:rPr>
                <w:color w:val="000000"/>
              </w:rPr>
              <w:t> </w:t>
            </w:r>
          </w:p>
        </w:tc>
        <w:tc>
          <w:tcPr>
            <w:tcW w:w="2390" w:type="dxa"/>
            <w:tcBorders>
              <w:top w:val="nil"/>
            </w:tcBorders>
            <w:shd w:val="clear" w:color="auto" w:fill="auto"/>
            <w:noWrap/>
            <w:vAlign w:val="bottom"/>
            <w:hideMark/>
          </w:tcPr>
          <w:p w:rsidRPr="003C7852" w:rsidR="008C3F7A" w:rsidP="00CB0031" w:rsidRDefault="008C3F7A" w14:paraId="64779693" w14:textId="77777777">
            <w:pPr>
              <w:rPr>
                <w:color w:val="000000"/>
              </w:rPr>
            </w:pPr>
            <w:r w:rsidRPr="003C7852">
              <w:rPr>
                <w:color w:val="000000"/>
              </w:rPr>
              <w:t>Bachelor's or Above</w:t>
            </w:r>
          </w:p>
        </w:tc>
        <w:tc>
          <w:tcPr>
            <w:tcW w:w="1475" w:type="dxa"/>
            <w:tcBorders>
              <w:top w:val="nil"/>
            </w:tcBorders>
            <w:shd w:val="clear" w:color="auto" w:fill="auto"/>
            <w:noWrap/>
            <w:vAlign w:val="bottom"/>
            <w:hideMark/>
          </w:tcPr>
          <w:p w:rsidRPr="003C7852" w:rsidR="008C3F7A" w:rsidP="00CB0031" w:rsidRDefault="008C3F7A" w14:paraId="5AD877D1" w14:textId="77777777">
            <w:pPr>
              <w:jc w:val="right"/>
              <w:rPr>
                <w:color w:val="000000"/>
              </w:rPr>
            </w:pPr>
            <w:r w:rsidRPr="003C7852">
              <w:rPr>
                <w:color w:val="000000"/>
              </w:rPr>
              <w:t>33.32%</w:t>
            </w:r>
          </w:p>
        </w:tc>
        <w:tc>
          <w:tcPr>
            <w:tcW w:w="1440" w:type="dxa"/>
            <w:tcBorders>
              <w:top w:val="nil"/>
            </w:tcBorders>
            <w:shd w:val="clear" w:color="auto" w:fill="auto"/>
            <w:noWrap/>
            <w:vAlign w:val="bottom"/>
            <w:hideMark/>
          </w:tcPr>
          <w:p w:rsidRPr="003C7852" w:rsidR="008C3F7A" w:rsidRDefault="008C3F7A" w14:paraId="3D7974C7" w14:textId="77777777">
            <w:pPr>
              <w:jc w:val="right"/>
              <w:rPr>
                <w:color w:val="000000"/>
              </w:rPr>
            </w:pPr>
            <w:r w:rsidRPr="003C7852">
              <w:rPr>
                <w:color w:val="000000"/>
              </w:rPr>
              <w:t>1000</w:t>
            </w:r>
          </w:p>
        </w:tc>
      </w:tr>
      <w:tr w:rsidRPr="003C7852" w:rsidR="008C3F7A" w:rsidTr="003F42A1" w14:paraId="4C29AE45" w14:textId="77777777">
        <w:trPr>
          <w:trHeight w:val="300"/>
          <w:jc w:val="center"/>
        </w:trPr>
        <w:tc>
          <w:tcPr>
            <w:tcW w:w="2160" w:type="dxa"/>
            <w:tcBorders>
              <w:top w:val="nil"/>
            </w:tcBorders>
            <w:shd w:val="clear" w:color="auto" w:fill="auto"/>
            <w:noWrap/>
            <w:vAlign w:val="bottom"/>
            <w:hideMark/>
          </w:tcPr>
          <w:p w:rsidRPr="003C7852" w:rsidR="008C3F7A" w:rsidP="00CB0031" w:rsidRDefault="008C3F7A" w14:paraId="48B04A51" w14:textId="77777777">
            <w:pPr>
              <w:rPr>
                <w:color w:val="000000"/>
              </w:rPr>
            </w:pPr>
            <w:r w:rsidRPr="003C7852">
              <w:rPr>
                <w:color w:val="000000"/>
              </w:rPr>
              <w:t> </w:t>
            </w:r>
          </w:p>
        </w:tc>
        <w:tc>
          <w:tcPr>
            <w:tcW w:w="2390" w:type="dxa"/>
            <w:tcBorders>
              <w:top w:val="nil"/>
            </w:tcBorders>
            <w:shd w:val="clear" w:color="auto" w:fill="auto"/>
            <w:noWrap/>
            <w:vAlign w:val="bottom"/>
            <w:hideMark/>
          </w:tcPr>
          <w:p w:rsidRPr="003C7852" w:rsidR="008C3F7A" w:rsidP="00CB0031" w:rsidRDefault="008C3F7A" w14:paraId="2E1FF359" w14:textId="77777777">
            <w:pPr>
              <w:rPr>
                <w:color w:val="000000"/>
              </w:rPr>
            </w:pPr>
            <w:r w:rsidRPr="003C7852">
              <w:rPr>
                <w:color w:val="000000"/>
              </w:rPr>
              <w:t> </w:t>
            </w:r>
          </w:p>
        </w:tc>
        <w:tc>
          <w:tcPr>
            <w:tcW w:w="1475" w:type="dxa"/>
            <w:tcBorders>
              <w:top w:val="nil"/>
            </w:tcBorders>
            <w:shd w:val="clear" w:color="auto" w:fill="auto"/>
            <w:noWrap/>
            <w:vAlign w:val="bottom"/>
            <w:hideMark/>
          </w:tcPr>
          <w:p w:rsidRPr="003C7852" w:rsidR="008C3F7A" w:rsidP="00CB0031" w:rsidRDefault="008C3F7A" w14:paraId="1AC762B8" w14:textId="77777777">
            <w:pPr>
              <w:rPr>
                <w:color w:val="000000"/>
              </w:rPr>
            </w:pPr>
            <w:r w:rsidRPr="003C7852">
              <w:rPr>
                <w:color w:val="000000"/>
              </w:rPr>
              <w:t> </w:t>
            </w:r>
          </w:p>
        </w:tc>
        <w:tc>
          <w:tcPr>
            <w:tcW w:w="1440" w:type="dxa"/>
            <w:tcBorders>
              <w:top w:val="nil"/>
            </w:tcBorders>
            <w:shd w:val="clear" w:color="auto" w:fill="auto"/>
            <w:noWrap/>
            <w:vAlign w:val="bottom"/>
            <w:hideMark/>
          </w:tcPr>
          <w:p w:rsidRPr="003C7852" w:rsidR="008C3F7A" w:rsidP="003F42A1" w:rsidRDefault="008C3F7A" w14:paraId="6E22E7F6" w14:textId="77777777">
            <w:pPr>
              <w:jc w:val="right"/>
              <w:rPr>
                <w:color w:val="000000"/>
              </w:rPr>
            </w:pPr>
          </w:p>
        </w:tc>
      </w:tr>
      <w:tr w:rsidRPr="003C7852" w:rsidR="008C3F7A" w:rsidTr="003F42A1" w14:paraId="0CE8F3CB" w14:textId="77777777">
        <w:trPr>
          <w:trHeight w:val="300"/>
          <w:jc w:val="center"/>
        </w:trPr>
        <w:tc>
          <w:tcPr>
            <w:tcW w:w="2160" w:type="dxa"/>
            <w:tcBorders>
              <w:top w:val="nil"/>
            </w:tcBorders>
            <w:shd w:val="clear" w:color="auto" w:fill="auto"/>
            <w:noWrap/>
            <w:vAlign w:val="bottom"/>
            <w:hideMark/>
          </w:tcPr>
          <w:p w:rsidRPr="003C7852" w:rsidR="008C3F7A" w:rsidP="00CB0031" w:rsidRDefault="008C3F7A" w14:paraId="760F681A" w14:textId="77777777">
            <w:pPr>
              <w:rPr>
                <w:color w:val="000000"/>
              </w:rPr>
            </w:pPr>
            <w:r w:rsidRPr="003C7852">
              <w:rPr>
                <w:color w:val="000000"/>
              </w:rPr>
              <w:t>Gender</w:t>
            </w:r>
          </w:p>
        </w:tc>
        <w:tc>
          <w:tcPr>
            <w:tcW w:w="2390" w:type="dxa"/>
            <w:tcBorders>
              <w:top w:val="nil"/>
            </w:tcBorders>
            <w:shd w:val="clear" w:color="auto" w:fill="auto"/>
            <w:noWrap/>
            <w:vAlign w:val="bottom"/>
            <w:hideMark/>
          </w:tcPr>
          <w:p w:rsidRPr="003C7852" w:rsidR="008C3F7A" w:rsidP="00CB0031" w:rsidRDefault="008C3F7A" w14:paraId="4819A1E2" w14:textId="77777777">
            <w:pPr>
              <w:rPr>
                <w:color w:val="000000"/>
              </w:rPr>
            </w:pPr>
            <w:r w:rsidRPr="003C7852">
              <w:rPr>
                <w:color w:val="000000"/>
              </w:rPr>
              <w:t>Male</w:t>
            </w:r>
          </w:p>
        </w:tc>
        <w:tc>
          <w:tcPr>
            <w:tcW w:w="1475" w:type="dxa"/>
            <w:tcBorders>
              <w:top w:val="nil"/>
            </w:tcBorders>
            <w:shd w:val="clear" w:color="auto" w:fill="auto"/>
            <w:noWrap/>
            <w:vAlign w:val="bottom"/>
            <w:hideMark/>
          </w:tcPr>
          <w:p w:rsidRPr="003C7852" w:rsidR="008C3F7A" w:rsidP="00CB0031" w:rsidRDefault="008C3F7A" w14:paraId="1A643F6F" w14:textId="77777777">
            <w:pPr>
              <w:jc w:val="right"/>
              <w:rPr>
                <w:color w:val="000000"/>
              </w:rPr>
            </w:pPr>
            <w:r w:rsidRPr="003C7852">
              <w:rPr>
                <w:color w:val="000000"/>
              </w:rPr>
              <w:t>48.41%</w:t>
            </w:r>
          </w:p>
        </w:tc>
        <w:tc>
          <w:tcPr>
            <w:tcW w:w="1440" w:type="dxa"/>
            <w:tcBorders>
              <w:top w:val="nil"/>
            </w:tcBorders>
            <w:shd w:val="clear" w:color="auto" w:fill="auto"/>
            <w:noWrap/>
            <w:vAlign w:val="bottom"/>
            <w:hideMark/>
          </w:tcPr>
          <w:p w:rsidRPr="003C7852" w:rsidR="008C3F7A" w:rsidRDefault="008C3F7A" w14:paraId="12E2411F" w14:textId="77777777">
            <w:pPr>
              <w:jc w:val="right"/>
              <w:rPr>
                <w:color w:val="000000"/>
              </w:rPr>
            </w:pPr>
            <w:r w:rsidRPr="003C7852">
              <w:rPr>
                <w:color w:val="000000"/>
              </w:rPr>
              <w:t>1452</w:t>
            </w:r>
          </w:p>
        </w:tc>
      </w:tr>
      <w:tr w:rsidRPr="003C7852" w:rsidR="008C3F7A" w:rsidTr="003F42A1" w14:paraId="0E91756A" w14:textId="77777777">
        <w:trPr>
          <w:trHeight w:val="300"/>
          <w:jc w:val="center"/>
        </w:trPr>
        <w:tc>
          <w:tcPr>
            <w:tcW w:w="2160" w:type="dxa"/>
            <w:tcBorders>
              <w:top w:val="nil"/>
              <w:bottom w:val="single" w:color="auto" w:sz="4" w:space="0"/>
            </w:tcBorders>
            <w:shd w:val="clear" w:color="auto" w:fill="auto"/>
            <w:noWrap/>
            <w:vAlign w:val="bottom"/>
            <w:hideMark/>
          </w:tcPr>
          <w:p w:rsidRPr="003C7852" w:rsidR="008C3F7A" w:rsidP="00CB0031" w:rsidRDefault="008C3F7A" w14:paraId="5FDD68B1" w14:textId="77777777">
            <w:pPr>
              <w:rPr>
                <w:color w:val="000000"/>
              </w:rPr>
            </w:pPr>
            <w:r w:rsidRPr="003C7852">
              <w:rPr>
                <w:color w:val="000000"/>
              </w:rPr>
              <w:t> </w:t>
            </w:r>
          </w:p>
        </w:tc>
        <w:tc>
          <w:tcPr>
            <w:tcW w:w="2390" w:type="dxa"/>
            <w:tcBorders>
              <w:top w:val="nil"/>
              <w:bottom w:val="single" w:color="auto" w:sz="4" w:space="0"/>
            </w:tcBorders>
            <w:shd w:val="clear" w:color="auto" w:fill="auto"/>
            <w:noWrap/>
            <w:vAlign w:val="bottom"/>
            <w:hideMark/>
          </w:tcPr>
          <w:p w:rsidRPr="003C7852" w:rsidR="008C3F7A" w:rsidP="00CB0031" w:rsidRDefault="008C3F7A" w14:paraId="4C06461C" w14:textId="77777777">
            <w:pPr>
              <w:rPr>
                <w:color w:val="000000"/>
              </w:rPr>
            </w:pPr>
            <w:r w:rsidRPr="003C7852">
              <w:rPr>
                <w:color w:val="000000"/>
              </w:rPr>
              <w:t>Female</w:t>
            </w:r>
          </w:p>
        </w:tc>
        <w:tc>
          <w:tcPr>
            <w:tcW w:w="1475" w:type="dxa"/>
            <w:tcBorders>
              <w:top w:val="nil"/>
              <w:bottom w:val="single" w:color="auto" w:sz="4" w:space="0"/>
            </w:tcBorders>
            <w:shd w:val="clear" w:color="auto" w:fill="auto"/>
            <w:noWrap/>
            <w:vAlign w:val="bottom"/>
            <w:hideMark/>
          </w:tcPr>
          <w:p w:rsidRPr="003C7852" w:rsidR="008C3F7A" w:rsidP="00CB0031" w:rsidRDefault="008C3F7A" w14:paraId="27BC8B05" w14:textId="77777777">
            <w:pPr>
              <w:jc w:val="right"/>
              <w:rPr>
                <w:color w:val="000000"/>
              </w:rPr>
            </w:pPr>
            <w:r w:rsidRPr="003C7852">
              <w:rPr>
                <w:color w:val="000000"/>
              </w:rPr>
              <w:t>51.59%</w:t>
            </w:r>
          </w:p>
        </w:tc>
        <w:tc>
          <w:tcPr>
            <w:tcW w:w="1440" w:type="dxa"/>
            <w:tcBorders>
              <w:top w:val="nil"/>
              <w:bottom w:val="single" w:color="auto" w:sz="4" w:space="0"/>
            </w:tcBorders>
            <w:shd w:val="clear" w:color="auto" w:fill="auto"/>
            <w:noWrap/>
            <w:vAlign w:val="bottom"/>
            <w:hideMark/>
          </w:tcPr>
          <w:p w:rsidRPr="003C7852" w:rsidR="008C3F7A" w:rsidRDefault="008C3F7A" w14:paraId="072E1969" w14:textId="77777777">
            <w:pPr>
              <w:jc w:val="right"/>
              <w:rPr>
                <w:color w:val="000000"/>
              </w:rPr>
            </w:pPr>
            <w:r w:rsidRPr="003C7852">
              <w:rPr>
                <w:color w:val="000000"/>
              </w:rPr>
              <w:t>1548</w:t>
            </w:r>
          </w:p>
        </w:tc>
      </w:tr>
    </w:tbl>
    <w:p w:rsidR="008C3F7A" w:rsidP="00E04B00" w:rsidRDefault="008C3F7A" w14:paraId="7D5213AF" w14:textId="77777777"/>
    <w:p w:rsidR="00F244A3" w:rsidP="00D511E4" w:rsidRDefault="00974D71" w14:paraId="50CA18E9" w14:textId="77777777">
      <w:pPr>
        <w:rPr>
          <w:rFonts w:eastAsia="Calibri"/>
        </w:rPr>
      </w:pPr>
      <w:r>
        <w:tab/>
      </w:r>
      <w:r w:rsidRPr="00C2562B" w:rsidR="00B92D71">
        <w:rPr>
          <w:rFonts w:eastAsia="Calibri"/>
          <w:b/>
        </w:rPr>
        <w:t xml:space="preserve">Study </w:t>
      </w:r>
      <w:r w:rsidR="00B92D71">
        <w:rPr>
          <w:rFonts w:eastAsia="Calibri"/>
          <w:b/>
        </w:rPr>
        <w:t>2</w:t>
      </w:r>
      <w:r w:rsidRPr="00C2562B" w:rsidR="00B92D71">
        <w:rPr>
          <w:rFonts w:eastAsia="Calibri"/>
          <w:b/>
        </w:rPr>
        <w:t xml:space="preserve">: </w:t>
      </w:r>
      <w:r w:rsidR="00B92D71">
        <w:rPr>
          <w:rFonts w:eastAsia="Calibri"/>
          <w:b/>
        </w:rPr>
        <w:t>Community</w:t>
      </w:r>
      <w:r w:rsidRPr="00C2562B" w:rsidR="00B92D71">
        <w:rPr>
          <w:rFonts w:eastAsia="Calibri"/>
          <w:b/>
        </w:rPr>
        <w:t xml:space="preserve"> Survey.</w:t>
      </w:r>
      <w:r w:rsidR="00D47259">
        <w:rPr>
          <w:rFonts w:eastAsia="Calibri"/>
          <w:b/>
        </w:rPr>
        <w:t xml:space="preserve"> </w:t>
      </w:r>
      <w:r w:rsidRPr="00D47259" w:rsidR="00D47259">
        <w:rPr>
          <w:rFonts w:eastAsia="Calibri"/>
        </w:rPr>
        <w:t xml:space="preserve">The potential respondent universe </w:t>
      </w:r>
      <w:r>
        <w:rPr>
          <w:rFonts w:eastAsia="Calibri"/>
        </w:rPr>
        <w:t xml:space="preserve">for the </w:t>
      </w:r>
      <w:r w:rsidR="00673573">
        <w:rPr>
          <w:rFonts w:eastAsia="Calibri"/>
        </w:rPr>
        <w:t>test c</w:t>
      </w:r>
      <w:r>
        <w:rPr>
          <w:rFonts w:eastAsia="Calibri"/>
        </w:rPr>
        <w:t xml:space="preserve">ommunity </w:t>
      </w:r>
      <w:r w:rsidR="00673573">
        <w:rPr>
          <w:rFonts w:eastAsia="Calibri"/>
        </w:rPr>
        <w:t>s</w:t>
      </w:r>
      <w:r>
        <w:rPr>
          <w:rFonts w:eastAsia="Calibri"/>
        </w:rPr>
        <w:t xml:space="preserve">urveys </w:t>
      </w:r>
      <w:r w:rsidRPr="00D47259" w:rsidR="00D47259">
        <w:rPr>
          <w:rFonts w:eastAsia="Calibri"/>
        </w:rPr>
        <w:t xml:space="preserve">includes all </w:t>
      </w:r>
      <w:r w:rsidRPr="002F584F">
        <w:rPr>
          <w:rFonts w:eastAsia="Calibri"/>
        </w:rPr>
        <w:t>drivers</w:t>
      </w:r>
      <w:r>
        <w:rPr>
          <w:rFonts w:eastAsia="Calibri"/>
        </w:rPr>
        <w:t xml:space="preserve"> 18 years of age and older who speak English and </w:t>
      </w:r>
      <w:r w:rsidR="00C66B5F">
        <w:rPr>
          <w:rFonts w:eastAsia="Calibri"/>
        </w:rPr>
        <w:t xml:space="preserve">are driving </w:t>
      </w:r>
      <w:r>
        <w:rPr>
          <w:rFonts w:eastAsia="Calibri"/>
        </w:rPr>
        <w:t xml:space="preserve">in the test communities. </w:t>
      </w:r>
      <w:r w:rsidR="00673573">
        <w:rPr>
          <w:rFonts w:eastAsia="Calibri"/>
        </w:rPr>
        <w:t xml:space="preserve">These drivers will be sampled at </w:t>
      </w:r>
      <w:r w:rsidR="00673573">
        <w:t>locations such as malls</w:t>
      </w:r>
      <w:r w:rsidR="00C66B5F">
        <w:t>, gas stations,</w:t>
      </w:r>
      <w:r w:rsidR="00673573">
        <w:t xml:space="preserve"> motor vehicle</w:t>
      </w:r>
      <w:r w:rsidR="00C66B5F">
        <w:t xml:space="preserve"> licensing</w:t>
      </w:r>
      <w:r w:rsidR="00673573">
        <w:t xml:space="preserve"> offices</w:t>
      </w:r>
      <w:r w:rsidR="00C66B5F">
        <w:t xml:space="preserve">, or other public </w:t>
      </w:r>
      <w:r w:rsidR="002522A3">
        <w:t>venues</w:t>
      </w:r>
      <w:r w:rsidR="00673573">
        <w:t xml:space="preserve">. </w:t>
      </w:r>
      <w:r w:rsidR="007A6255">
        <w:t xml:space="preserve">The same locations will be used </w:t>
      </w:r>
      <w:r w:rsidR="00AF166D">
        <w:t xml:space="preserve">for both </w:t>
      </w:r>
      <w:r w:rsidR="00D24EFB">
        <w:t xml:space="preserve">data collection </w:t>
      </w:r>
      <w:r w:rsidR="007A6255">
        <w:t>waves in each community. Recruitment will involve research staff intercepting a potential respondent</w:t>
      </w:r>
      <w:r w:rsidR="00E23D7D">
        <w:t>, explaining the study and remuneration, and asking the individual to volunteer</w:t>
      </w:r>
      <w:r w:rsidR="007A6255">
        <w:t xml:space="preserve">. </w:t>
      </w:r>
      <w:r w:rsidR="00E23D7D">
        <w:t>Participants</w:t>
      </w:r>
      <w:r w:rsidR="002522A3">
        <w:t xml:space="preserve"> will complete a</w:t>
      </w:r>
      <w:r w:rsidR="00E23D7D">
        <w:t>n Internet-hosted</w:t>
      </w:r>
      <w:r w:rsidR="002522A3">
        <w:t xml:space="preserve"> survey on a computer device provided by the research team.</w:t>
      </w:r>
    </w:p>
    <w:p w:rsidR="000A5E77" w:rsidP="000A5E77" w:rsidRDefault="000A5E77" w14:paraId="742A71B1" w14:textId="77777777">
      <w:pPr>
        <w:ind w:firstLine="720"/>
        <w:contextualSpacing/>
      </w:pPr>
    </w:p>
    <w:p w:rsidR="000A5E77" w:rsidP="000A5E77" w:rsidRDefault="006A2F45" w14:paraId="1B588558" w14:textId="77777777">
      <w:pPr>
        <w:contextualSpacing/>
        <w:rPr>
          <w:b/>
        </w:rPr>
      </w:pPr>
      <w:r w:rsidRPr="006A2F45">
        <w:rPr>
          <w:b/>
        </w:rPr>
        <w:t xml:space="preserve">Sample Size </w:t>
      </w:r>
      <w:r w:rsidR="00B60076">
        <w:rPr>
          <w:b/>
        </w:rPr>
        <w:t>Considerations</w:t>
      </w:r>
      <w:r>
        <w:rPr>
          <w:b/>
        </w:rPr>
        <w:t xml:space="preserve"> </w:t>
      </w:r>
    </w:p>
    <w:p w:rsidR="000A5E77" w:rsidP="000A5E77" w:rsidRDefault="000A5E77" w14:paraId="2E004621" w14:textId="77777777">
      <w:pPr>
        <w:ind w:firstLine="720"/>
        <w:contextualSpacing/>
        <w:rPr>
          <w:b/>
        </w:rPr>
      </w:pPr>
    </w:p>
    <w:p w:rsidR="003E5F84" w:rsidP="003F42A1" w:rsidRDefault="00B7282D" w14:paraId="5B8F2C90" w14:textId="77777777">
      <w:pPr>
        <w:ind w:firstLine="720"/>
      </w:pPr>
      <w:r w:rsidRPr="00B7282D">
        <w:rPr>
          <w:b/>
        </w:rPr>
        <w:t>Study 1: National Survey</w:t>
      </w:r>
      <w:r>
        <w:rPr>
          <w:b/>
        </w:rPr>
        <w:t>.</w:t>
      </w:r>
      <w:r>
        <w:t xml:space="preserve"> </w:t>
      </w:r>
      <w:r w:rsidRPr="000A5E77" w:rsidR="00756F32">
        <w:t xml:space="preserve">In any study of this type, it is critical to minimize </w:t>
      </w:r>
      <w:r w:rsidR="00756F32">
        <w:t>m</w:t>
      </w:r>
      <w:r w:rsidRPr="000A5E77" w:rsidR="00756F32">
        <w:t>argin of error (MOE)</w:t>
      </w:r>
      <w:r w:rsidR="00756F32">
        <w:t xml:space="preserve"> to ensure the survey results reflect the </w:t>
      </w:r>
      <w:r w:rsidR="007D02E9">
        <w:t xml:space="preserve">true </w:t>
      </w:r>
      <w:r w:rsidR="00756F32">
        <w:t>knowledge and opinions of the population. M</w:t>
      </w:r>
      <w:r w:rsidRPr="000A5E77" w:rsidR="00756F32">
        <w:t>OE</w:t>
      </w:r>
      <w:r w:rsidR="00AD6F6D">
        <w:t>s</w:t>
      </w:r>
      <w:r w:rsidR="003E5F84">
        <w:t xml:space="preserve"> </w:t>
      </w:r>
      <w:r w:rsidR="00A34F19">
        <w:t>at</w:t>
      </w:r>
      <w:r w:rsidR="003E5F84">
        <w:t xml:space="preserve"> 90%, 95%, and 99%</w:t>
      </w:r>
      <w:r w:rsidR="00A34F19">
        <w:t xml:space="preserve"> confidence levels</w:t>
      </w:r>
      <w:r w:rsidR="003E5F84">
        <w:t xml:space="preserve"> were calculated with the constants of </w:t>
      </w:r>
      <w:r w:rsidRPr="00AD6F6D" w:rsidR="00AD6F6D">
        <w:t xml:space="preserve">population parameter = 0.5, </w:t>
      </w:r>
      <w:r w:rsidR="003E5F84">
        <w:t>standard deviation = 0.5,</w:t>
      </w:r>
      <w:r w:rsidR="00160109">
        <w:t xml:space="preserve"> DEFF </w:t>
      </w:r>
      <w:r w:rsidRPr="00AD6F6D" w:rsidR="00AD6F6D">
        <w:t xml:space="preserve">= 2 </w:t>
      </w:r>
      <w:r w:rsidR="003E5F84">
        <w:t>and sample size</w:t>
      </w:r>
      <w:r w:rsidR="00A34F19">
        <w:t xml:space="preserve"> varied from 1,000 to 4,000</w:t>
      </w:r>
      <w:r w:rsidR="003E5F84">
        <w:t xml:space="preserve">. </w:t>
      </w:r>
      <w:r w:rsidR="00756F32">
        <w:t xml:space="preserve">Table 2 </w:t>
      </w:r>
      <w:r w:rsidRPr="00E71D21" w:rsidR="00756F32">
        <w:t xml:space="preserve">summarizes the </w:t>
      </w:r>
      <w:r w:rsidR="00756F32">
        <w:t xml:space="preserve">expected </w:t>
      </w:r>
      <w:r w:rsidR="00B60076">
        <w:t>MOEs</w:t>
      </w:r>
      <w:r w:rsidR="00756F32">
        <w:t xml:space="preserve"> </w:t>
      </w:r>
      <w:r w:rsidRPr="00E71D21" w:rsidR="00756F32">
        <w:t xml:space="preserve">under </w:t>
      </w:r>
      <w:r w:rsidR="00360346">
        <w:t>th</w:t>
      </w:r>
      <w:r w:rsidR="00B60076">
        <w:t>ese</w:t>
      </w:r>
      <w:r w:rsidR="00360346">
        <w:t xml:space="preserve"> </w:t>
      </w:r>
      <w:r w:rsidR="00A34F19">
        <w:t>conditions</w:t>
      </w:r>
      <w:r w:rsidRPr="00E71D21" w:rsidR="00756F32">
        <w:t>.</w:t>
      </w:r>
      <w:r w:rsidR="00A34F19">
        <w:t xml:space="preserve"> As shown in the table,</w:t>
      </w:r>
      <w:r w:rsidR="00BD1CA5">
        <w:t xml:space="preserve"> the proposed </w:t>
      </w:r>
      <w:r w:rsidR="00A34F19">
        <w:t xml:space="preserve">sample size of 3,000 will </w:t>
      </w:r>
      <w:r w:rsidR="00BD1CA5">
        <w:t xml:space="preserve">result in an MOE of </w:t>
      </w:r>
      <w:r w:rsidRPr="003F42A1" w:rsidR="00BD1CA5">
        <w:rPr>
          <w:u w:val="single"/>
        </w:rPr>
        <w:t>+</w:t>
      </w:r>
      <w:r w:rsidR="00BD1CA5">
        <w:t>2.5% at a 95% confidence level.</w:t>
      </w:r>
    </w:p>
    <w:p w:rsidR="003E5F84" w:rsidP="00AA32A8" w:rsidRDefault="00756F32" w14:paraId="1EAD8295" w14:textId="77777777">
      <w:r w:rsidRPr="00E71D21">
        <w:t xml:space="preserve"> </w:t>
      </w:r>
    </w:p>
    <w:p w:rsidR="00AA32A8" w:rsidP="00B52709" w:rsidRDefault="00B52709" w14:paraId="017741AF" w14:textId="77777777">
      <w:pPr>
        <w:pStyle w:val="Table"/>
        <w:keepNext/>
        <w:numPr>
          <w:ilvl w:val="0"/>
          <w:numId w:val="43"/>
        </w:numPr>
        <w:spacing w:after="120"/>
      </w:pPr>
      <w:r w:rsidRPr="003F42A1">
        <w:rPr>
          <w:b w:val="0"/>
          <w:u w:val="single"/>
        </w:rPr>
        <w:t>+</w:t>
      </w:r>
      <w:r w:rsidR="00160109">
        <w:t xml:space="preserve"> </w:t>
      </w:r>
      <w:r w:rsidR="003E5F84">
        <w:t xml:space="preserve">Margin of Error </w:t>
      </w:r>
      <w:r w:rsidR="00160109">
        <w:t>for Various Samples Sizes</w:t>
      </w:r>
      <w:r w:rsidR="00A34F19">
        <w:t xml:space="preserve"> and Confidence Levels</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5"/>
        <w:gridCol w:w="1195"/>
        <w:gridCol w:w="1031"/>
        <w:gridCol w:w="1031"/>
        <w:gridCol w:w="1031"/>
      </w:tblGrid>
      <w:tr w:rsidRPr="004A7D35" w:rsidR="00160109" w:rsidTr="003F42A1" w14:paraId="62CFF74B" w14:textId="77777777">
        <w:trPr>
          <w:trHeight w:val="455" w:hRule="exact"/>
          <w:jc w:val="center"/>
        </w:trPr>
        <w:tc>
          <w:tcPr>
            <w:tcW w:w="1895" w:type="dxa"/>
            <w:tcBorders>
              <w:top w:val="single" w:color="auto" w:sz="4" w:space="0"/>
            </w:tcBorders>
            <w:vAlign w:val="center"/>
          </w:tcPr>
          <w:p w:rsidRPr="00160109" w:rsidR="00160109" w:rsidP="00160109" w:rsidRDefault="00160109" w14:paraId="571F88DA" w14:textId="77777777">
            <w:pPr>
              <w:pStyle w:val="ListParagraph"/>
              <w:ind w:left="0"/>
              <w:jc w:val="center"/>
              <w:rPr>
                <w:rFonts w:ascii="Times New Roman" w:hAnsi="Times New Roman" w:cs="Times New Roman"/>
                <w:sz w:val="24"/>
                <w:szCs w:val="24"/>
              </w:rPr>
            </w:pPr>
          </w:p>
        </w:tc>
        <w:tc>
          <w:tcPr>
            <w:tcW w:w="4288" w:type="dxa"/>
            <w:gridSpan w:val="4"/>
            <w:tcBorders>
              <w:top w:val="single" w:color="auto" w:sz="4" w:space="0"/>
            </w:tcBorders>
            <w:vAlign w:val="center"/>
          </w:tcPr>
          <w:p w:rsidRPr="00160109" w:rsidR="00160109" w:rsidP="00160109" w:rsidRDefault="00160109" w14:paraId="6FD1E876" w14:textId="77777777">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Sample Size</w:t>
            </w:r>
          </w:p>
        </w:tc>
      </w:tr>
      <w:tr w:rsidRPr="004A7D35" w:rsidR="00AA32A8" w:rsidTr="003F42A1" w14:paraId="6F8BF92B" w14:textId="77777777">
        <w:trPr>
          <w:trHeight w:val="342" w:hRule="exact"/>
          <w:jc w:val="center"/>
        </w:trPr>
        <w:tc>
          <w:tcPr>
            <w:tcW w:w="1895" w:type="dxa"/>
            <w:tcBorders>
              <w:bottom w:val="single" w:color="auto" w:sz="4" w:space="0"/>
            </w:tcBorders>
            <w:vAlign w:val="center"/>
          </w:tcPr>
          <w:p w:rsidRPr="00160109" w:rsidR="00AA32A8" w:rsidP="003F42A1" w:rsidRDefault="00160109" w14:paraId="5F4EDEF9"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Confidence</w:t>
            </w:r>
          </w:p>
        </w:tc>
        <w:tc>
          <w:tcPr>
            <w:tcW w:w="1195" w:type="dxa"/>
            <w:tcBorders>
              <w:bottom w:val="single" w:color="auto" w:sz="4" w:space="0"/>
            </w:tcBorders>
            <w:vAlign w:val="center"/>
          </w:tcPr>
          <w:p w:rsidRPr="003F42A1" w:rsidR="00AA32A8" w:rsidP="00160109" w:rsidRDefault="00AA32A8" w14:paraId="6FCCD16B" w14:textId="77777777">
            <w:pPr>
              <w:pStyle w:val="ListParagraph"/>
              <w:ind w:left="0"/>
              <w:jc w:val="center"/>
              <w:rPr>
                <w:rFonts w:ascii="Times New Roman" w:hAnsi="Times New Roman" w:cs="Times New Roman"/>
                <w:bCs/>
                <w:sz w:val="24"/>
                <w:szCs w:val="24"/>
              </w:rPr>
            </w:pPr>
            <w:r w:rsidRPr="003F42A1">
              <w:rPr>
                <w:rFonts w:ascii="Times New Roman" w:hAnsi="Times New Roman" w:cs="Times New Roman"/>
                <w:bCs/>
                <w:sz w:val="24"/>
                <w:szCs w:val="24"/>
              </w:rPr>
              <w:t>1000</w:t>
            </w:r>
          </w:p>
        </w:tc>
        <w:tc>
          <w:tcPr>
            <w:tcW w:w="1031" w:type="dxa"/>
            <w:tcBorders>
              <w:bottom w:val="single" w:color="auto" w:sz="4" w:space="0"/>
            </w:tcBorders>
            <w:vAlign w:val="center"/>
          </w:tcPr>
          <w:p w:rsidRPr="003F42A1" w:rsidR="00AA32A8" w:rsidP="00160109" w:rsidRDefault="00AA32A8" w14:paraId="1F8AE358" w14:textId="77777777">
            <w:pPr>
              <w:pStyle w:val="ListParagraph"/>
              <w:ind w:left="0"/>
              <w:jc w:val="center"/>
              <w:rPr>
                <w:rFonts w:ascii="Times New Roman" w:hAnsi="Times New Roman" w:cs="Times New Roman"/>
                <w:bCs/>
                <w:sz w:val="24"/>
                <w:szCs w:val="24"/>
              </w:rPr>
            </w:pPr>
            <w:r w:rsidRPr="003F42A1">
              <w:rPr>
                <w:rFonts w:ascii="Times New Roman" w:hAnsi="Times New Roman" w:cs="Times New Roman"/>
                <w:bCs/>
                <w:sz w:val="24"/>
                <w:szCs w:val="24"/>
              </w:rPr>
              <w:t>2000</w:t>
            </w:r>
          </w:p>
        </w:tc>
        <w:tc>
          <w:tcPr>
            <w:tcW w:w="1031" w:type="dxa"/>
            <w:tcBorders>
              <w:bottom w:val="single" w:color="auto" w:sz="4" w:space="0"/>
            </w:tcBorders>
            <w:vAlign w:val="center"/>
          </w:tcPr>
          <w:p w:rsidRPr="003F42A1" w:rsidR="00AA32A8" w:rsidP="00160109" w:rsidRDefault="00AA32A8" w14:paraId="2E4068FB" w14:textId="77777777">
            <w:pPr>
              <w:pStyle w:val="ListParagraph"/>
              <w:ind w:left="0"/>
              <w:jc w:val="center"/>
              <w:rPr>
                <w:rFonts w:ascii="Times New Roman" w:hAnsi="Times New Roman" w:cs="Times New Roman"/>
                <w:bCs/>
                <w:sz w:val="24"/>
                <w:szCs w:val="24"/>
              </w:rPr>
            </w:pPr>
            <w:r w:rsidRPr="003F42A1">
              <w:rPr>
                <w:rFonts w:ascii="Times New Roman" w:hAnsi="Times New Roman" w:cs="Times New Roman"/>
                <w:bCs/>
                <w:sz w:val="24"/>
                <w:szCs w:val="24"/>
              </w:rPr>
              <w:t>3000</w:t>
            </w:r>
          </w:p>
        </w:tc>
        <w:tc>
          <w:tcPr>
            <w:tcW w:w="1031" w:type="dxa"/>
            <w:tcBorders>
              <w:bottom w:val="single" w:color="auto" w:sz="4" w:space="0"/>
            </w:tcBorders>
            <w:vAlign w:val="center"/>
          </w:tcPr>
          <w:p w:rsidRPr="003F42A1" w:rsidR="00AA32A8" w:rsidP="00160109" w:rsidRDefault="00AA32A8" w14:paraId="78083FFE" w14:textId="77777777">
            <w:pPr>
              <w:pStyle w:val="ListParagraph"/>
              <w:ind w:left="0"/>
              <w:jc w:val="center"/>
              <w:rPr>
                <w:rFonts w:ascii="Times New Roman" w:hAnsi="Times New Roman" w:cs="Times New Roman"/>
                <w:bCs/>
                <w:sz w:val="24"/>
                <w:szCs w:val="24"/>
              </w:rPr>
            </w:pPr>
            <w:r w:rsidRPr="003F42A1">
              <w:rPr>
                <w:rFonts w:ascii="Times New Roman" w:hAnsi="Times New Roman" w:cs="Times New Roman"/>
                <w:bCs/>
                <w:sz w:val="24"/>
                <w:szCs w:val="24"/>
              </w:rPr>
              <w:t>4000</w:t>
            </w:r>
          </w:p>
        </w:tc>
      </w:tr>
      <w:tr w:rsidRPr="00160109" w:rsidR="00AA32A8" w:rsidTr="003F42A1" w14:paraId="55E3152C" w14:textId="77777777">
        <w:trPr>
          <w:trHeight w:val="455" w:hRule="exact"/>
          <w:jc w:val="center"/>
        </w:trPr>
        <w:tc>
          <w:tcPr>
            <w:tcW w:w="1895" w:type="dxa"/>
            <w:vAlign w:val="center"/>
          </w:tcPr>
          <w:p w:rsidRPr="003F42A1" w:rsidR="00AA32A8" w:rsidP="001F3BB7" w:rsidRDefault="00AA32A8" w14:paraId="67E2D73C" w14:textId="77777777">
            <w:pPr>
              <w:pStyle w:val="ListParagraph"/>
              <w:ind w:left="0"/>
              <w:jc w:val="center"/>
              <w:rPr>
                <w:rFonts w:ascii="Times New Roman" w:hAnsi="Times New Roman" w:cs="Times New Roman"/>
                <w:sz w:val="24"/>
                <w:szCs w:val="24"/>
              </w:rPr>
            </w:pPr>
            <w:r w:rsidRPr="003F42A1">
              <w:rPr>
                <w:rFonts w:ascii="Times New Roman" w:hAnsi="Times New Roman" w:cs="Times New Roman"/>
                <w:sz w:val="24"/>
                <w:szCs w:val="24"/>
              </w:rPr>
              <w:t>90</w:t>
            </w:r>
            <w:r w:rsidR="00160109">
              <w:rPr>
                <w:rFonts w:ascii="Times New Roman" w:hAnsi="Times New Roman" w:cs="Times New Roman"/>
                <w:sz w:val="24"/>
                <w:szCs w:val="24"/>
              </w:rPr>
              <w:t>%</w:t>
            </w:r>
          </w:p>
        </w:tc>
        <w:tc>
          <w:tcPr>
            <w:tcW w:w="1195" w:type="dxa"/>
            <w:vAlign w:val="center"/>
          </w:tcPr>
          <w:p w:rsidRPr="00160109" w:rsidR="00AA32A8" w:rsidP="001F3BB7" w:rsidRDefault="00160109" w14:paraId="0468194E" w14:textId="777777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1031" w:type="dxa"/>
            <w:shd w:val="clear" w:color="auto" w:fill="auto"/>
            <w:vAlign w:val="center"/>
          </w:tcPr>
          <w:p w:rsidRPr="00160109" w:rsidR="00AA32A8" w:rsidP="001F3BB7" w:rsidRDefault="00160109" w14:paraId="289F6628"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2.6</w:t>
            </w:r>
          </w:p>
        </w:tc>
        <w:tc>
          <w:tcPr>
            <w:tcW w:w="1031" w:type="dxa"/>
            <w:shd w:val="clear" w:color="auto" w:fill="auto"/>
            <w:vAlign w:val="center"/>
          </w:tcPr>
          <w:p w:rsidRPr="00160109" w:rsidR="00AA32A8" w:rsidP="001F3BB7" w:rsidRDefault="00160109" w14:paraId="061ED571"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2.1</w:t>
            </w:r>
          </w:p>
        </w:tc>
        <w:tc>
          <w:tcPr>
            <w:tcW w:w="1031" w:type="dxa"/>
            <w:shd w:val="clear" w:color="auto" w:fill="auto"/>
            <w:vAlign w:val="center"/>
          </w:tcPr>
          <w:p w:rsidRPr="00160109" w:rsidR="00AA32A8" w:rsidP="001F3BB7" w:rsidRDefault="00160109" w14:paraId="67EEF969"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1.8</w:t>
            </w:r>
          </w:p>
        </w:tc>
      </w:tr>
      <w:tr w:rsidRPr="00160109" w:rsidR="00AA32A8" w:rsidTr="003F42A1" w14:paraId="6FDE06DD" w14:textId="77777777">
        <w:trPr>
          <w:trHeight w:val="455" w:hRule="exact"/>
          <w:jc w:val="center"/>
        </w:trPr>
        <w:tc>
          <w:tcPr>
            <w:tcW w:w="1895" w:type="dxa"/>
            <w:vAlign w:val="center"/>
          </w:tcPr>
          <w:p w:rsidRPr="003F42A1" w:rsidR="00AA32A8" w:rsidP="001F3BB7" w:rsidRDefault="00AA32A8" w14:paraId="03B025A2" w14:textId="77777777">
            <w:pPr>
              <w:pStyle w:val="ListParagraph"/>
              <w:ind w:left="0"/>
              <w:jc w:val="center"/>
              <w:rPr>
                <w:rFonts w:ascii="Times New Roman" w:hAnsi="Times New Roman" w:cs="Times New Roman"/>
                <w:sz w:val="24"/>
                <w:szCs w:val="24"/>
              </w:rPr>
            </w:pPr>
            <w:r w:rsidRPr="003F42A1">
              <w:rPr>
                <w:rFonts w:ascii="Times New Roman" w:hAnsi="Times New Roman" w:cs="Times New Roman"/>
                <w:sz w:val="24"/>
                <w:szCs w:val="24"/>
              </w:rPr>
              <w:t>95</w:t>
            </w:r>
            <w:r w:rsidR="00160109">
              <w:rPr>
                <w:rFonts w:ascii="Times New Roman" w:hAnsi="Times New Roman" w:cs="Times New Roman"/>
                <w:sz w:val="24"/>
                <w:szCs w:val="24"/>
              </w:rPr>
              <w:t>%</w:t>
            </w:r>
          </w:p>
        </w:tc>
        <w:tc>
          <w:tcPr>
            <w:tcW w:w="1195" w:type="dxa"/>
            <w:vAlign w:val="center"/>
          </w:tcPr>
          <w:p w:rsidRPr="00160109" w:rsidR="00AA32A8" w:rsidP="001F3BB7" w:rsidRDefault="00160109" w14:paraId="17A079DE" w14:textId="777777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4.4</w:t>
            </w:r>
          </w:p>
        </w:tc>
        <w:tc>
          <w:tcPr>
            <w:tcW w:w="1031" w:type="dxa"/>
            <w:shd w:val="clear" w:color="auto" w:fill="auto"/>
            <w:vAlign w:val="center"/>
          </w:tcPr>
          <w:p w:rsidRPr="00160109" w:rsidR="00AA32A8" w:rsidP="001F3BB7" w:rsidRDefault="00160109" w14:paraId="026FEE1A"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3.1</w:t>
            </w:r>
          </w:p>
        </w:tc>
        <w:tc>
          <w:tcPr>
            <w:tcW w:w="1031" w:type="dxa"/>
            <w:shd w:val="clear" w:color="auto" w:fill="auto"/>
            <w:vAlign w:val="center"/>
          </w:tcPr>
          <w:p w:rsidRPr="00160109" w:rsidR="00AA32A8" w:rsidP="001F3BB7" w:rsidRDefault="00160109" w14:paraId="1B0E149E"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2.5</w:t>
            </w:r>
          </w:p>
        </w:tc>
        <w:tc>
          <w:tcPr>
            <w:tcW w:w="1031" w:type="dxa"/>
            <w:shd w:val="clear" w:color="auto" w:fill="auto"/>
            <w:vAlign w:val="center"/>
          </w:tcPr>
          <w:p w:rsidRPr="00160109" w:rsidR="00AA32A8" w:rsidP="001F3BB7" w:rsidRDefault="00160109" w14:paraId="0639BB95"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2.2</w:t>
            </w:r>
          </w:p>
        </w:tc>
      </w:tr>
      <w:tr w:rsidRPr="00160109" w:rsidR="00AA32A8" w:rsidTr="003F42A1" w14:paraId="0F6F1458" w14:textId="77777777">
        <w:trPr>
          <w:trHeight w:val="342" w:hRule="exact"/>
          <w:jc w:val="center"/>
        </w:trPr>
        <w:tc>
          <w:tcPr>
            <w:tcW w:w="1895" w:type="dxa"/>
            <w:tcBorders>
              <w:bottom w:val="single" w:color="auto" w:sz="4" w:space="0"/>
            </w:tcBorders>
            <w:vAlign w:val="center"/>
          </w:tcPr>
          <w:p w:rsidRPr="003F42A1" w:rsidR="00AA32A8" w:rsidP="001F3BB7" w:rsidRDefault="00160109" w14:paraId="33BA2DEB"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99</w:t>
            </w:r>
            <w:r>
              <w:rPr>
                <w:rFonts w:ascii="Times New Roman" w:hAnsi="Times New Roman" w:cs="Times New Roman"/>
                <w:sz w:val="24"/>
                <w:szCs w:val="24"/>
              </w:rPr>
              <w:t>%</w:t>
            </w:r>
          </w:p>
          <w:p w:rsidRPr="003F42A1" w:rsidR="00AA32A8" w:rsidP="001F3BB7" w:rsidRDefault="00AA32A8" w14:paraId="08805DED" w14:textId="77777777">
            <w:pPr>
              <w:pStyle w:val="ListParagraph"/>
              <w:ind w:left="0"/>
              <w:jc w:val="center"/>
              <w:rPr>
                <w:rFonts w:ascii="Times New Roman" w:hAnsi="Times New Roman" w:cs="Times New Roman"/>
                <w:sz w:val="24"/>
                <w:szCs w:val="24"/>
              </w:rPr>
            </w:pPr>
          </w:p>
        </w:tc>
        <w:tc>
          <w:tcPr>
            <w:tcW w:w="1195" w:type="dxa"/>
            <w:tcBorders>
              <w:bottom w:val="single" w:color="auto" w:sz="4" w:space="0"/>
            </w:tcBorders>
            <w:vAlign w:val="center"/>
          </w:tcPr>
          <w:p w:rsidRPr="00160109" w:rsidR="00AA32A8" w:rsidP="001F3BB7" w:rsidRDefault="00160109" w14:paraId="3FA00080" w14:textId="777777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1031" w:type="dxa"/>
            <w:tcBorders>
              <w:bottom w:val="single" w:color="auto" w:sz="4" w:space="0"/>
            </w:tcBorders>
            <w:shd w:val="clear" w:color="auto" w:fill="auto"/>
            <w:vAlign w:val="center"/>
          </w:tcPr>
          <w:p w:rsidRPr="00160109" w:rsidR="00AA32A8" w:rsidP="001F3BB7" w:rsidRDefault="00160109" w14:paraId="783FF933"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4.1</w:t>
            </w:r>
          </w:p>
        </w:tc>
        <w:tc>
          <w:tcPr>
            <w:tcW w:w="1031" w:type="dxa"/>
            <w:tcBorders>
              <w:bottom w:val="single" w:color="auto" w:sz="4" w:space="0"/>
            </w:tcBorders>
            <w:shd w:val="clear" w:color="auto" w:fill="auto"/>
            <w:vAlign w:val="center"/>
          </w:tcPr>
          <w:p w:rsidRPr="00160109" w:rsidR="00AA32A8" w:rsidP="001F3BB7" w:rsidRDefault="00160109" w14:paraId="49481D67"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3.3</w:t>
            </w:r>
          </w:p>
        </w:tc>
        <w:tc>
          <w:tcPr>
            <w:tcW w:w="1031" w:type="dxa"/>
            <w:tcBorders>
              <w:bottom w:val="single" w:color="auto" w:sz="4" w:space="0"/>
            </w:tcBorders>
            <w:shd w:val="clear" w:color="auto" w:fill="auto"/>
            <w:vAlign w:val="center"/>
          </w:tcPr>
          <w:p w:rsidRPr="00160109" w:rsidR="00AA32A8" w:rsidP="001F3BB7" w:rsidRDefault="00160109" w14:paraId="6E9CC644" w14:textId="77777777">
            <w:pPr>
              <w:pStyle w:val="ListParagraph"/>
              <w:ind w:left="0"/>
              <w:jc w:val="center"/>
              <w:rPr>
                <w:rFonts w:ascii="Times New Roman" w:hAnsi="Times New Roman" w:cs="Times New Roman"/>
                <w:sz w:val="24"/>
                <w:szCs w:val="24"/>
              </w:rPr>
            </w:pPr>
            <w:r w:rsidRPr="00160109">
              <w:rPr>
                <w:rFonts w:ascii="Times New Roman" w:hAnsi="Times New Roman" w:cs="Times New Roman"/>
                <w:sz w:val="24"/>
                <w:szCs w:val="24"/>
              </w:rPr>
              <w:t>2.9</w:t>
            </w:r>
          </w:p>
        </w:tc>
      </w:tr>
    </w:tbl>
    <w:p w:rsidRPr="003F42A1" w:rsidR="00C47C53" w:rsidRDefault="00C47C53" w14:paraId="336C2E57" w14:textId="77777777">
      <w:pPr>
        <w:rPr>
          <w:rFonts w:eastAsia="Calibri"/>
        </w:rPr>
      </w:pPr>
    </w:p>
    <w:p w:rsidR="00CF7093" w:rsidP="00D00E69" w:rsidRDefault="00CF7093" w14:paraId="583A8630" w14:textId="77777777">
      <w:pPr>
        <w:pStyle w:val="Table"/>
        <w:keepNext/>
        <w:tabs>
          <w:tab w:val="clear" w:pos="1440"/>
        </w:tabs>
        <w:spacing w:after="120"/>
        <w:ind w:left="0" w:firstLine="0"/>
        <w:jc w:val="left"/>
        <w:rPr>
          <w:rFonts w:eastAsia="Calibri"/>
          <w:b w:val="0"/>
        </w:rPr>
      </w:pPr>
      <w:r>
        <w:rPr>
          <w:rFonts w:eastAsia="Calibri"/>
        </w:rPr>
        <w:tab/>
      </w:r>
      <w:r w:rsidRPr="00C2562B" w:rsidR="00B7282D">
        <w:rPr>
          <w:rFonts w:eastAsia="Calibri"/>
        </w:rPr>
        <w:t xml:space="preserve">Study </w:t>
      </w:r>
      <w:r w:rsidR="00B7282D">
        <w:rPr>
          <w:rFonts w:eastAsia="Calibri"/>
        </w:rPr>
        <w:t>2</w:t>
      </w:r>
      <w:r w:rsidRPr="00C2562B" w:rsidR="00B7282D">
        <w:rPr>
          <w:rFonts w:eastAsia="Calibri"/>
        </w:rPr>
        <w:t xml:space="preserve">: </w:t>
      </w:r>
      <w:r w:rsidR="00B7282D">
        <w:rPr>
          <w:rFonts w:eastAsia="Calibri"/>
        </w:rPr>
        <w:t>Community</w:t>
      </w:r>
      <w:r w:rsidRPr="00C2562B" w:rsidR="00B7282D">
        <w:rPr>
          <w:rFonts w:eastAsia="Calibri"/>
        </w:rPr>
        <w:t xml:space="preserve"> Survey.</w:t>
      </w:r>
      <w:r w:rsidR="008D3290">
        <w:rPr>
          <w:rFonts w:eastAsia="Calibri"/>
        </w:rPr>
        <w:t xml:space="preserve"> </w:t>
      </w:r>
      <w:r w:rsidR="000D2695">
        <w:rPr>
          <w:rFonts w:eastAsia="Calibri"/>
          <w:b w:val="0"/>
        </w:rPr>
        <w:t xml:space="preserve">The </w:t>
      </w:r>
      <w:r w:rsidR="00576F3C">
        <w:rPr>
          <w:rFonts w:eastAsia="Calibri"/>
          <w:b w:val="0"/>
        </w:rPr>
        <w:t>study expects to utilize</w:t>
      </w:r>
      <w:r w:rsidR="000D2695">
        <w:rPr>
          <w:rFonts w:eastAsia="Calibri"/>
          <w:b w:val="0"/>
        </w:rPr>
        <w:t xml:space="preserve"> Chi</w:t>
      </w:r>
      <w:r w:rsidR="00657359">
        <w:rPr>
          <w:rFonts w:eastAsia="Calibri"/>
          <w:b w:val="0"/>
        </w:rPr>
        <w:t>-</w:t>
      </w:r>
      <w:r w:rsidR="000D2695">
        <w:rPr>
          <w:rFonts w:eastAsia="Calibri"/>
          <w:b w:val="0"/>
        </w:rPr>
        <w:t>Square</w:t>
      </w:r>
      <w:r w:rsidR="00657359">
        <w:rPr>
          <w:rFonts w:eastAsia="Calibri"/>
          <w:b w:val="0"/>
        </w:rPr>
        <w:t xml:space="preserve"> Statistical</w:t>
      </w:r>
      <w:r w:rsidR="000D2695">
        <w:rPr>
          <w:rFonts w:eastAsia="Calibri"/>
          <w:b w:val="0"/>
        </w:rPr>
        <w:t xml:space="preserve"> Tests </w:t>
      </w:r>
      <w:r w:rsidR="00534976">
        <w:rPr>
          <w:rFonts w:eastAsia="Calibri"/>
          <w:b w:val="0"/>
        </w:rPr>
        <w:t xml:space="preserve">to </w:t>
      </w:r>
      <w:r w:rsidR="00576F3C">
        <w:rPr>
          <w:rFonts w:eastAsia="Calibri"/>
          <w:b w:val="0"/>
        </w:rPr>
        <w:t xml:space="preserve">determine if the </w:t>
      </w:r>
      <w:r w:rsidR="00534976">
        <w:rPr>
          <w:rFonts w:eastAsia="Calibri"/>
          <w:b w:val="0"/>
        </w:rPr>
        <w:t xml:space="preserve">proportion of responses among independent samples </w:t>
      </w:r>
      <w:r w:rsidR="00576F3C">
        <w:rPr>
          <w:rFonts w:eastAsia="Calibri"/>
          <w:b w:val="0"/>
        </w:rPr>
        <w:t xml:space="preserve">changed </w:t>
      </w:r>
      <w:r w:rsidR="00534976">
        <w:rPr>
          <w:rFonts w:eastAsia="Calibri"/>
          <w:b w:val="0"/>
        </w:rPr>
        <w:t>in the test community from before to after the enforcement program.</w:t>
      </w:r>
      <w:r w:rsidR="000D2695">
        <w:rPr>
          <w:rFonts w:eastAsia="Calibri"/>
          <w:b w:val="0"/>
        </w:rPr>
        <w:t xml:space="preserve"> A power analysis </w:t>
      </w:r>
      <w:r w:rsidR="009E3720">
        <w:rPr>
          <w:rFonts w:eastAsia="Calibri"/>
          <w:b w:val="0"/>
        </w:rPr>
        <w:t xml:space="preserve">for the goodness-of-fit-test </w:t>
      </w:r>
      <w:r w:rsidR="000D2695">
        <w:rPr>
          <w:rFonts w:eastAsia="Calibri"/>
          <w:b w:val="0"/>
        </w:rPr>
        <w:t>was conducted with df = 1 and α = .05</w:t>
      </w:r>
      <w:r w:rsidR="00576F3C">
        <w:rPr>
          <w:rFonts w:eastAsia="Calibri"/>
          <w:b w:val="0"/>
        </w:rPr>
        <w:t xml:space="preserve"> held constant</w:t>
      </w:r>
      <w:r w:rsidR="000D2695">
        <w:rPr>
          <w:rFonts w:eastAsia="Calibri"/>
          <w:b w:val="0"/>
        </w:rPr>
        <w:t>.</w:t>
      </w:r>
      <w:r w:rsidR="00534976">
        <w:rPr>
          <w:rFonts w:eastAsia="Calibri"/>
          <w:b w:val="0"/>
        </w:rPr>
        <w:t xml:space="preserve"> </w:t>
      </w:r>
      <w:r w:rsidR="005A0A71">
        <w:rPr>
          <w:rFonts w:eastAsia="Calibri"/>
          <w:b w:val="0"/>
        </w:rPr>
        <w:t xml:space="preserve">Table 3 provides </w:t>
      </w:r>
      <w:r w:rsidR="00576F3C">
        <w:rPr>
          <w:rFonts w:eastAsia="Calibri"/>
          <w:b w:val="0"/>
        </w:rPr>
        <w:t xml:space="preserve">the </w:t>
      </w:r>
      <w:r w:rsidR="000D2695">
        <w:rPr>
          <w:rFonts w:eastAsia="Calibri"/>
          <w:b w:val="0"/>
        </w:rPr>
        <w:t>number of respondents needed to</w:t>
      </w:r>
      <w:r w:rsidR="009E3720">
        <w:rPr>
          <w:rFonts w:eastAsia="Calibri"/>
          <w:b w:val="0"/>
        </w:rPr>
        <w:t xml:space="preserve"> detect a</w:t>
      </w:r>
      <w:r w:rsidR="00657359">
        <w:rPr>
          <w:rFonts w:eastAsia="Calibri"/>
          <w:b w:val="0"/>
        </w:rPr>
        <w:t xml:space="preserve"> given</w:t>
      </w:r>
      <w:r w:rsidR="009E3720">
        <w:rPr>
          <w:rFonts w:eastAsia="Calibri"/>
          <w:b w:val="0"/>
        </w:rPr>
        <w:t xml:space="preserve"> effect</w:t>
      </w:r>
      <w:r w:rsidR="00657359">
        <w:rPr>
          <w:rFonts w:eastAsia="Calibri"/>
          <w:b w:val="0"/>
        </w:rPr>
        <w:t xml:space="preserve"> size</w:t>
      </w:r>
      <w:r w:rsidR="009E3720">
        <w:rPr>
          <w:rFonts w:eastAsia="Calibri"/>
          <w:b w:val="0"/>
        </w:rPr>
        <w:t xml:space="preserve"> </w:t>
      </w:r>
      <w:r w:rsidR="00657359">
        <w:rPr>
          <w:rFonts w:eastAsia="Calibri"/>
          <w:b w:val="0"/>
        </w:rPr>
        <w:t xml:space="preserve">with </w:t>
      </w:r>
      <w:r w:rsidR="009E3720">
        <w:rPr>
          <w:rFonts w:eastAsia="Calibri"/>
          <w:b w:val="0"/>
        </w:rPr>
        <w:t>power</w:t>
      </w:r>
      <w:r w:rsidR="00657359">
        <w:rPr>
          <w:rFonts w:eastAsia="Calibri"/>
          <w:b w:val="0"/>
        </w:rPr>
        <w:t xml:space="preserve"> set at .80 or .90</w:t>
      </w:r>
      <w:r w:rsidR="009E3720">
        <w:rPr>
          <w:rFonts w:eastAsia="Calibri"/>
          <w:b w:val="0"/>
        </w:rPr>
        <w:t>.</w:t>
      </w:r>
      <w:r w:rsidR="000D2695">
        <w:rPr>
          <w:rFonts w:eastAsia="Calibri"/>
          <w:b w:val="0"/>
        </w:rPr>
        <w:t xml:space="preserve"> </w:t>
      </w:r>
      <w:r w:rsidR="00576F3C">
        <w:rPr>
          <w:rFonts w:eastAsia="Calibri"/>
          <w:b w:val="0"/>
        </w:rPr>
        <w:t xml:space="preserve">As shown in the table, the proposed sample size of 300 per wave (600 total across both waves) for the intervention site will be sufficient to detect relatively small effect sizes at both .80 and .90 power levels. </w:t>
      </w:r>
    </w:p>
    <w:p w:rsidRPr="00570FE2" w:rsidR="00CF7093" w:rsidP="00CF7093" w:rsidRDefault="00CF7093" w14:paraId="583ABD52" w14:textId="77777777">
      <w:pPr>
        <w:pStyle w:val="BodyText"/>
        <w:keepNext/>
        <w:spacing w:before="0" w:after="0"/>
        <w:rPr>
          <w:b/>
          <w:highlight w:val="yellow"/>
        </w:rPr>
      </w:pPr>
    </w:p>
    <w:p w:rsidRPr="00C8214E" w:rsidR="00CF7093" w:rsidP="003F42A1" w:rsidRDefault="00657359" w14:paraId="607DE37B" w14:textId="77777777">
      <w:pPr>
        <w:pStyle w:val="Table"/>
        <w:keepNext/>
        <w:numPr>
          <w:ilvl w:val="0"/>
          <w:numId w:val="18"/>
        </w:numPr>
        <w:spacing w:after="120"/>
      </w:pPr>
      <w:r>
        <w:t>Total Sample Size Required to Detect Effect Sizes at .80 or .90 Power</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5"/>
        <w:gridCol w:w="1195"/>
        <w:gridCol w:w="1031"/>
        <w:gridCol w:w="1031"/>
        <w:gridCol w:w="1031"/>
        <w:gridCol w:w="1032"/>
      </w:tblGrid>
      <w:tr w:rsidRPr="004A7D35" w:rsidR="00CF7093" w:rsidTr="003F42A1" w14:paraId="231E9097" w14:textId="77777777">
        <w:trPr>
          <w:trHeight w:val="432" w:hRule="exact"/>
          <w:jc w:val="center"/>
        </w:trPr>
        <w:tc>
          <w:tcPr>
            <w:tcW w:w="1895" w:type="dxa"/>
            <w:vMerge w:val="restart"/>
            <w:tcBorders>
              <w:top w:val="single" w:color="auto" w:sz="4" w:space="0"/>
              <w:bottom w:val="single" w:color="auto" w:sz="4" w:space="0"/>
            </w:tcBorders>
            <w:vAlign w:val="bottom"/>
          </w:tcPr>
          <w:p w:rsidRPr="003F42A1" w:rsidR="00CF7093" w:rsidP="00CF7093" w:rsidRDefault="00CF7093" w14:paraId="588CC6B7" w14:textId="77777777">
            <w:pPr>
              <w:pStyle w:val="ListParagraph"/>
              <w:ind w:left="0"/>
              <w:jc w:val="center"/>
              <w:rPr>
                <w:rFonts w:ascii="Times New Roman" w:hAnsi="Times New Roman" w:cs="Times New Roman"/>
                <w:sz w:val="24"/>
                <w:szCs w:val="24"/>
              </w:rPr>
            </w:pPr>
            <w:r w:rsidRPr="003F42A1">
              <w:rPr>
                <w:rFonts w:ascii="Times New Roman" w:hAnsi="Times New Roman" w:cs="Times New Roman"/>
                <w:sz w:val="24"/>
                <w:szCs w:val="24"/>
              </w:rPr>
              <w:t xml:space="preserve">Power (1- </w:t>
            </w:r>
            <w:r w:rsidRPr="003F42A1">
              <w:rPr>
                <w:rFonts w:ascii="Times New Roman" w:hAnsi="Times New Roman" w:cs="Times New Roman"/>
                <w:i/>
                <w:sz w:val="24"/>
                <w:szCs w:val="24"/>
              </w:rPr>
              <w:t>β</w:t>
            </w:r>
            <w:r w:rsidRPr="003F42A1">
              <w:rPr>
                <w:rFonts w:ascii="Times New Roman" w:hAnsi="Times New Roman" w:cs="Times New Roman"/>
                <w:sz w:val="24"/>
                <w:szCs w:val="24"/>
              </w:rPr>
              <w:t>)</w:t>
            </w:r>
          </w:p>
        </w:tc>
        <w:tc>
          <w:tcPr>
            <w:tcW w:w="5320" w:type="dxa"/>
            <w:gridSpan w:val="5"/>
            <w:tcBorders>
              <w:top w:val="single" w:color="auto" w:sz="4" w:space="0"/>
            </w:tcBorders>
          </w:tcPr>
          <w:p w:rsidRPr="003F42A1" w:rsidR="00CF7093" w:rsidP="00CF7093" w:rsidRDefault="00CF7093" w14:paraId="2BB03CF0" w14:textId="77777777">
            <w:pPr>
              <w:pStyle w:val="ListParagraph"/>
              <w:ind w:left="0"/>
              <w:jc w:val="center"/>
              <w:rPr>
                <w:rFonts w:ascii="Times New Roman" w:hAnsi="Times New Roman" w:cs="Times New Roman"/>
                <w:sz w:val="24"/>
                <w:szCs w:val="24"/>
              </w:rPr>
            </w:pPr>
            <w:r w:rsidRPr="003F42A1">
              <w:rPr>
                <w:rFonts w:ascii="Times New Roman" w:hAnsi="Times New Roman" w:cs="Times New Roman"/>
                <w:sz w:val="24"/>
                <w:szCs w:val="24"/>
              </w:rPr>
              <w:t>Effect Size (</w:t>
            </w:r>
            <w:r w:rsidRPr="003F42A1">
              <w:rPr>
                <w:rFonts w:ascii="Times New Roman" w:hAnsi="Times New Roman" w:cs="Times New Roman"/>
                <w:i/>
                <w:sz w:val="24"/>
                <w:szCs w:val="24"/>
              </w:rPr>
              <w:t>w</w:t>
            </w:r>
            <w:r w:rsidRPr="003F42A1">
              <w:rPr>
                <w:rFonts w:ascii="Times New Roman" w:hAnsi="Times New Roman" w:cs="Times New Roman"/>
                <w:sz w:val="24"/>
                <w:szCs w:val="24"/>
              </w:rPr>
              <w:t>)</w:t>
            </w:r>
          </w:p>
        </w:tc>
      </w:tr>
      <w:tr w:rsidRPr="004A7D35" w:rsidR="00CF7093" w:rsidTr="003F42A1" w14:paraId="243E16D2" w14:textId="77777777">
        <w:trPr>
          <w:trHeight w:val="352" w:hRule="exact"/>
          <w:jc w:val="center"/>
        </w:trPr>
        <w:tc>
          <w:tcPr>
            <w:tcW w:w="1895" w:type="dxa"/>
            <w:vMerge/>
            <w:tcBorders>
              <w:top w:val="single" w:color="auto" w:sz="4" w:space="0"/>
              <w:bottom w:val="single" w:color="auto" w:sz="4" w:space="0"/>
            </w:tcBorders>
          </w:tcPr>
          <w:p w:rsidRPr="000D2695" w:rsidR="00CF7093" w:rsidP="00570FE2" w:rsidRDefault="00CF7093" w14:paraId="669DBCAE" w14:textId="77777777">
            <w:pPr>
              <w:pStyle w:val="ListParagraph"/>
              <w:ind w:left="0"/>
              <w:rPr>
                <w:rFonts w:ascii="Times New Roman" w:hAnsi="Times New Roman" w:cs="Times New Roman"/>
                <w:sz w:val="24"/>
                <w:szCs w:val="24"/>
              </w:rPr>
            </w:pPr>
          </w:p>
        </w:tc>
        <w:tc>
          <w:tcPr>
            <w:tcW w:w="1195" w:type="dxa"/>
          </w:tcPr>
          <w:p w:rsidRPr="003F42A1" w:rsidR="00CF7093" w:rsidP="00570FE2" w:rsidRDefault="00CF7093" w14:paraId="4C5C5885" w14:textId="77777777">
            <w:pPr>
              <w:pStyle w:val="ListParagraph"/>
              <w:ind w:left="0"/>
              <w:jc w:val="center"/>
              <w:rPr>
                <w:rFonts w:ascii="Times New Roman" w:hAnsi="Times New Roman" w:cs="Times New Roman"/>
                <w:bCs/>
                <w:sz w:val="24"/>
                <w:szCs w:val="24"/>
              </w:rPr>
            </w:pPr>
            <w:r w:rsidRPr="003F42A1">
              <w:rPr>
                <w:rFonts w:ascii="Times New Roman" w:hAnsi="Times New Roman" w:cs="Times New Roman"/>
                <w:bCs/>
                <w:sz w:val="24"/>
                <w:szCs w:val="24"/>
              </w:rPr>
              <w:t>0.1</w:t>
            </w:r>
          </w:p>
        </w:tc>
        <w:tc>
          <w:tcPr>
            <w:tcW w:w="1031" w:type="dxa"/>
          </w:tcPr>
          <w:p w:rsidRPr="003F42A1" w:rsidR="00CF7093" w:rsidP="00570FE2" w:rsidRDefault="00CF7093" w14:paraId="0DBCC315" w14:textId="77777777">
            <w:pPr>
              <w:pStyle w:val="ListParagraph"/>
              <w:ind w:left="0"/>
              <w:jc w:val="center"/>
              <w:rPr>
                <w:rFonts w:ascii="Times New Roman" w:hAnsi="Times New Roman" w:cs="Times New Roman"/>
                <w:bCs/>
                <w:sz w:val="24"/>
                <w:szCs w:val="24"/>
              </w:rPr>
            </w:pPr>
            <w:r w:rsidRPr="003F42A1">
              <w:rPr>
                <w:rFonts w:ascii="Times New Roman" w:hAnsi="Times New Roman" w:cs="Times New Roman"/>
                <w:bCs/>
                <w:sz w:val="24"/>
                <w:szCs w:val="24"/>
              </w:rPr>
              <w:t>0.2</w:t>
            </w:r>
          </w:p>
        </w:tc>
        <w:tc>
          <w:tcPr>
            <w:tcW w:w="1031" w:type="dxa"/>
          </w:tcPr>
          <w:p w:rsidRPr="003F42A1" w:rsidR="00CF7093" w:rsidP="00570FE2" w:rsidRDefault="00CF7093" w14:paraId="1D94AB29" w14:textId="77777777">
            <w:pPr>
              <w:pStyle w:val="ListParagraph"/>
              <w:ind w:left="0"/>
              <w:jc w:val="center"/>
              <w:rPr>
                <w:rFonts w:ascii="Times New Roman" w:hAnsi="Times New Roman" w:cs="Times New Roman"/>
                <w:bCs/>
                <w:sz w:val="24"/>
                <w:szCs w:val="24"/>
              </w:rPr>
            </w:pPr>
            <w:r w:rsidRPr="003F42A1">
              <w:rPr>
                <w:rFonts w:ascii="Times New Roman" w:hAnsi="Times New Roman" w:cs="Times New Roman"/>
                <w:bCs/>
                <w:sz w:val="24"/>
                <w:szCs w:val="24"/>
              </w:rPr>
              <w:t>0.3</w:t>
            </w:r>
          </w:p>
        </w:tc>
        <w:tc>
          <w:tcPr>
            <w:tcW w:w="1031" w:type="dxa"/>
          </w:tcPr>
          <w:p w:rsidRPr="003F42A1" w:rsidR="00CF7093" w:rsidP="00570FE2" w:rsidRDefault="00CF7093" w14:paraId="6B771603" w14:textId="77777777">
            <w:pPr>
              <w:pStyle w:val="ListParagraph"/>
              <w:ind w:left="0"/>
              <w:jc w:val="center"/>
              <w:rPr>
                <w:rFonts w:ascii="Times New Roman" w:hAnsi="Times New Roman" w:cs="Times New Roman"/>
                <w:bCs/>
                <w:sz w:val="24"/>
                <w:szCs w:val="24"/>
              </w:rPr>
            </w:pPr>
            <w:r w:rsidRPr="003F42A1">
              <w:rPr>
                <w:rFonts w:ascii="Times New Roman" w:hAnsi="Times New Roman" w:cs="Times New Roman"/>
                <w:bCs/>
                <w:sz w:val="24"/>
                <w:szCs w:val="24"/>
              </w:rPr>
              <w:t>0.4</w:t>
            </w:r>
          </w:p>
        </w:tc>
        <w:tc>
          <w:tcPr>
            <w:tcW w:w="1032" w:type="dxa"/>
          </w:tcPr>
          <w:p w:rsidRPr="003F42A1" w:rsidR="00CF7093" w:rsidP="00570FE2" w:rsidRDefault="00CF7093" w14:paraId="5294744A" w14:textId="77777777">
            <w:pPr>
              <w:pStyle w:val="ListParagraph"/>
              <w:ind w:left="0"/>
              <w:jc w:val="center"/>
              <w:rPr>
                <w:rFonts w:ascii="Times New Roman" w:hAnsi="Times New Roman" w:cs="Times New Roman"/>
                <w:bCs/>
                <w:sz w:val="24"/>
                <w:szCs w:val="24"/>
              </w:rPr>
            </w:pPr>
            <w:r w:rsidRPr="003F42A1">
              <w:rPr>
                <w:rFonts w:ascii="Times New Roman" w:hAnsi="Times New Roman" w:cs="Times New Roman"/>
                <w:bCs/>
                <w:sz w:val="24"/>
                <w:szCs w:val="24"/>
              </w:rPr>
              <w:t>0.5</w:t>
            </w:r>
          </w:p>
        </w:tc>
      </w:tr>
      <w:tr w:rsidRPr="004A7D35" w:rsidR="00CF7093" w:rsidTr="003F42A1" w14:paraId="3544B8CC" w14:textId="77777777">
        <w:trPr>
          <w:trHeight w:val="455" w:hRule="exact"/>
          <w:jc w:val="center"/>
        </w:trPr>
        <w:tc>
          <w:tcPr>
            <w:tcW w:w="1895" w:type="dxa"/>
            <w:tcBorders>
              <w:top w:val="single" w:color="auto" w:sz="4" w:space="0"/>
            </w:tcBorders>
          </w:tcPr>
          <w:p w:rsidRPr="003F42A1" w:rsidR="00CF7093" w:rsidP="00570FE2" w:rsidRDefault="00CF7093" w14:paraId="7CFE4B41" w14:textId="77777777">
            <w:pPr>
              <w:pStyle w:val="ListParagraph"/>
              <w:ind w:left="0"/>
              <w:jc w:val="center"/>
              <w:rPr>
                <w:rFonts w:ascii="Times New Roman" w:hAnsi="Times New Roman" w:cs="Times New Roman"/>
                <w:sz w:val="24"/>
                <w:szCs w:val="24"/>
              </w:rPr>
            </w:pPr>
            <w:r w:rsidRPr="003F42A1">
              <w:rPr>
                <w:rFonts w:ascii="Times New Roman" w:hAnsi="Times New Roman" w:cs="Times New Roman"/>
                <w:sz w:val="24"/>
                <w:szCs w:val="24"/>
              </w:rPr>
              <w:t>0.80</w:t>
            </w:r>
          </w:p>
        </w:tc>
        <w:tc>
          <w:tcPr>
            <w:tcW w:w="1195" w:type="dxa"/>
            <w:tcBorders>
              <w:top w:val="single" w:color="auto" w:sz="4" w:space="0"/>
            </w:tcBorders>
          </w:tcPr>
          <w:p w:rsidRPr="000D2695" w:rsidR="00CF7093" w:rsidP="00834677" w:rsidRDefault="00CF7093" w14:paraId="4299FC11" w14:textId="77777777">
            <w:pPr>
              <w:pStyle w:val="ListParagraph"/>
              <w:ind w:left="0"/>
              <w:jc w:val="center"/>
              <w:rPr>
                <w:rFonts w:ascii="Times New Roman" w:hAnsi="Times New Roman" w:cs="Times New Roman"/>
                <w:sz w:val="24"/>
                <w:szCs w:val="24"/>
              </w:rPr>
            </w:pPr>
            <w:r w:rsidRPr="000D2695">
              <w:rPr>
                <w:rFonts w:ascii="Times New Roman" w:hAnsi="Times New Roman" w:cs="Times New Roman"/>
                <w:sz w:val="24"/>
                <w:szCs w:val="24"/>
              </w:rPr>
              <w:t>785</w:t>
            </w:r>
          </w:p>
        </w:tc>
        <w:tc>
          <w:tcPr>
            <w:tcW w:w="1031" w:type="dxa"/>
            <w:tcBorders>
              <w:top w:val="single" w:color="auto" w:sz="4" w:space="0"/>
            </w:tcBorders>
            <w:shd w:val="clear" w:color="auto" w:fill="auto"/>
          </w:tcPr>
          <w:p w:rsidRPr="000D2695" w:rsidR="00CF7093" w:rsidP="003F42A1" w:rsidRDefault="00CF7093" w14:paraId="2867F0F8" w14:textId="77777777">
            <w:pPr>
              <w:pStyle w:val="ListParagraph"/>
              <w:ind w:left="0"/>
              <w:jc w:val="center"/>
              <w:rPr>
                <w:rFonts w:ascii="Times New Roman" w:hAnsi="Times New Roman" w:cs="Times New Roman"/>
                <w:sz w:val="24"/>
                <w:szCs w:val="24"/>
              </w:rPr>
            </w:pPr>
            <w:r w:rsidRPr="000D2695">
              <w:rPr>
                <w:rFonts w:ascii="Times New Roman" w:hAnsi="Times New Roman" w:cs="Times New Roman"/>
                <w:sz w:val="24"/>
                <w:szCs w:val="24"/>
              </w:rPr>
              <w:t>197</w:t>
            </w:r>
          </w:p>
        </w:tc>
        <w:tc>
          <w:tcPr>
            <w:tcW w:w="1031" w:type="dxa"/>
            <w:tcBorders>
              <w:top w:val="single" w:color="auto" w:sz="4" w:space="0"/>
            </w:tcBorders>
            <w:shd w:val="clear" w:color="auto" w:fill="auto"/>
          </w:tcPr>
          <w:p w:rsidRPr="000D2695" w:rsidR="00CF7093" w:rsidP="00834677" w:rsidRDefault="00CF7093" w14:paraId="369416F0" w14:textId="77777777">
            <w:pPr>
              <w:pStyle w:val="ListParagraph"/>
              <w:ind w:left="0"/>
              <w:jc w:val="center"/>
              <w:rPr>
                <w:rFonts w:ascii="Times New Roman" w:hAnsi="Times New Roman" w:cs="Times New Roman"/>
                <w:sz w:val="24"/>
                <w:szCs w:val="24"/>
              </w:rPr>
            </w:pPr>
            <w:r w:rsidRPr="000D2695">
              <w:rPr>
                <w:rFonts w:ascii="Times New Roman" w:hAnsi="Times New Roman" w:cs="Times New Roman"/>
                <w:sz w:val="24"/>
                <w:szCs w:val="24"/>
              </w:rPr>
              <w:t>88</w:t>
            </w:r>
          </w:p>
        </w:tc>
        <w:tc>
          <w:tcPr>
            <w:tcW w:w="1031" w:type="dxa"/>
            <w:tcBorders>
              <w:top w:val="single" w:color="auto" w:sz="4" w:space="0"/>
            </w:tcBorders>
            <w:shd w:val="clear" w:color="auto" w:fill="auto"/>
          </w:tcPr>
          <w:p w:rsidRPr="000D2695" w:rsidR="00CF7093" w:rsidP="00834677" w:rsidRDefault="00CF7093" w14:paraId="6A40BB8B" w14:textId="77777777">
            <w:pPr>
              <w:pStyle w:val="ListParagraph"/>
              <w:ind w:left="0"/>
              <w:jc w:val="center"/>
              <w:rPr>
                <w:rFonts w:ascii="Times New Roman" w:hAnsi="Times New Roman" w:cs="Times New Roman"/>
                <w:sz w:val="24"/>
                <w:szCs w:val="24"/>
              </w:rPr>
            </w:pPr>
            <w:r w:rsidRPr="000D2695">
              <w:rPr>
                <w:rFonts w:ascii="Times New Roman" w:hAnsi="Times New Roman" w:cs="Times New Roman"/>
                <w:sz w:val="24"/>
                <w:szCs w:val="24"/>
              </w:rPr>
              <w:t>50</w:t>
            </w:r>
          </w:p>
        </w:tc>
        <w:tc>
          <w:tcPr>
            <w:tcW w:w="1032" w:type="dxa"/>
            <w:tcBorders>
              <w:top w:val="single" w:color="auto" w:sz="4" w:space="0"/>
            </w:tcBorders>
            <w:shd w:val="clear" w:color="auto" w:fill="auto"/>
          </w:tcPr>
          <w:p w:rsidRPr="000D2695" w:rsidR="00CF7093" w:rsidP="00834677" w:rsidRDefault="00CF7093" w14:paraId="5067B2D7" w14:textId="77777777">
            <w:pPr>
              <w:pStyle w:val="ListParagraph"/>
              <w:ind w:left="0"/>
              <w:jc w:val="center"/>
              <w:rPr>
                <w:rFonts w:ascii="Times New Roman" w:hAnsi="Times New Roman" w:cs="Times New Roman"/>
                <w:sz w:val="24"/>
                <w:szCs w:val="24"/>
              </w:rPr>
            </w:pPr>
            <w:r w:rsidRPr="000D2695">
              <w:rPr>
                <w:rFonts w:ascii="Times New Roman" w:hAnsi="Times New Roman" w:cs="Times New Roman"/>
                <w:sz w:val="24"/>
                <w:szCs w:val="24"/>
              </w:rPr>
              <w:t>32</w:t>
            </w:r>
          </w:p>
        </w:tc>
      </w:tr>
      <w:tr w:rsidRPr="004A7D35" w:rsidR="00CF7093" w:rsidTr="003F42A1" w14:paraId="5900E790" w14:textId="77777777">
        <w:trPr>
          <w:trHeight w:val="342" w:hRule="exact"/>
          <w:jc w:val="center"/>
        </w:trPr>
        <w:tc>
          <w:tcPr>
            <w:tcW w:w="1895" w:type="dxa"/>
            <w:tcBorders>
              <w:bottom w:val="single" w:color="auto" w:sz="4" w:space="0"/>
            </w:tcBorders>
          </w:tcPr>
          <w:p w:rsidRPr="003F42A1" w:rsidR="00CF7093" w:rsidP="00834677" w:rsidRDefault="00CF7093" w14:paraId="28724A05" w14:textId="77777777">
            <w:pPr>
              <w:pStyle w:val="ListParagraph"/>
              <w:ind w:left="0"/>
              <w:jc w:val="center"/>
              <w:rPr>
                <w:rFonts w:ascii="Times New Roman" w:hAnsi="Times New Roman" w:cs="Times New Roman"/>
                <w:sz w:val="24"/>
                <w:szCs w:val="24"/>
              </w:rPr>
            </w:pPr>
            <w:r w:rsidRPr="003F42A1">
              <w:rPr>
                <w:rFonts w:ascii="Times New Roman" w:hAnsi="Times New Roman" w:cs="Times New Roman"/>
                <w:sz w:val="24"/>
                <w:szCs w:val="24"/>
              </w:rPr>
              <w:t>0.90</w:t>
            </w:r>
          </w:p>
        </w:tc>
        <w:tc>
          <w:tcPr>
            <w:tcW w:w="1195" w:type="dxa"/>
            <w:tcBorders>
              <w:bottom w:val="single" w:color="auto" w:sz="4" w:space="0"/>
            </w:tcBorders>
          </w:tcPr>
          <w:p w:rsidRPr="000D2695" w:rsidR="00CF7093" w:rsidP="00834677" w:rsidRDefault="00CF7093" w14:paraId="438E6879" w14:textId="77777777">
            <w:pPr>
              <w:pStyle w:val="ListParagraph"/>
              <w:ind w:left="0"/>
              <w:jc w:val="center"/>
              <w:rPr>
                <w:rFonts w:ascii="Times New Roman" w:hAnsi="Times New Roman" w:cs="Times New Roman"/>
                <w:sz w:val="24"/>
                <w:szCs w:val="24"/>
              </w:rPr>
            </w:pPr>
            <w:r w:rsidRPr="000D2695">
              <w:rPr>
                <w:rFonts w:ascii="Times New Roman" w:hAnsi="Times New Roman" w:cs="Times New Roman"/>
                <w:sz w:val="24"/>
                <w:szCs w:val="24"/>
              </w:rPr>
              <w:t>1,051</w:t>
            </w:r>
          </w:p>
        </w:tc>
        <w:tc>
          <w:tcPr>
            <w:tcW w:w="1031" w:type="dxa"/>
            <w:tcBorders>
              <w:bottom w:val="single" w:color="auto" w:sz="4" w:space="0"/>
            </w:tcBorders>
            <w:shd w:val="clear" w:color="auto" w:fill="auto"/>
          </w:tcPr>
          <w:p w:rsidRPr="000D2695" w:rsidR="00CF7093" w:rsidP="00834677" w:rsidRDefault="00CF7093" w14:paraId="494ACECF" w14:textId="77777777">
            <w:pPr>
              <w:pStyle w:val="ListParagraph"/>
              <w:ind w:left="0"/>
              <w:jc w:val="center"/>
              <w:rPr>
                <w:rFonts w:ascii="Times New Roman" w:hAnsi="Times New Roman" w:cs="Times New Roman"/>
                <w:sz w:val="24"/>
                <w:szCs w:val="24"/>
              </w:rPr>
            </w:pPr>
            <w:r w:rsidRPr="000D2695">
              <w:rPr>
                <w:rFonts w:ascii="Times New Roman" w:hAnsi="Times New Roman" w:cs="Times New Roman"/>
                <w:sz w:val="24"/>
                <w:szCs w:val="24"/>
              </w:rPr>
              <w:t>263</w:t>
            </w:r>
          </w:p>
        </w:tc>
        <w:tc>
          <w:tcPr>
            <w:tcW w:w="1031" w:type="dxa"/>
            <w:tcBorders>
              <w:bottom w:val="single" w:color="auto" w:sz="4" w:space="0"/>
            </w:tcBorders>
            <w:shd w:val="clear" w:color="auto" w:fill="auto"/>
          </w:tcPr>
          <w:p w:rsidRPr="000D2695" w:rsidR="00CF7093" w:rsidP="00834677" w:rsidRDefault="00CF7093" w14:paraId="55ECC7C5" w14:textId="77777777">
            <w:pPr>
              <w:pStyle w:val="ListParagraph"/>
              <w:ind w:left="0"/>
              <w:jc w:val="center"/>
              <w:rPr>
                <w:rFonts w:ascii="Times New Roman" w:hAnsi="Times New Roman" w:cs="Times New Roman"/>
                <w:sz w:val="24"/>
                <w:szCs w:val="24"/>
              </w:rPr>
            </w:pPr>
            <w:r w:rsidRPr="000D2695">
              <w:rPr>
                <w:rFonts w:ascii="Times New Roman" w:hAnsi="Times New Roman" w:cs="Times New Roman"/>
                <w:sz w:val="24"/>
                <w:szCs w:val="24"/>
              </w:rPr>
              <w:t>117</w:t>
            </w:r>
          </w:p>
        </w:tc>
        <w:tc>
          <w:tcPr>
            <w:tcW w:w="1031" w:type="dxa"/>
            <w:tcBorders>
              <w:bottom w:val="single" w:color="auto" w:sz="4" w:space="0"/>
            </w:tcBorders>
            <w:shd w:val="clear" w:color="auto" w:fill="auto"/>
          </w:tcPr>
          <w:p w:rsidRPr="000D2695" w:rsidR="00CF7093" w:rsidP="00834677" w:rsidRDefault="00CF7093" w14:paraId="77B8B1F8" w14:textId="77777777">
            <w:pPr>
              <w:pStyle w:val="ListParagraph"/>
              <w:ind w:left="0"/>
              <w:jc w:val="center"/>
              <w:rPr>
                <w:rFonts w:ascii="Times New Roman" w:hAnsi="Times New Roman" w:cs="Times New Roman"/>
                <w:sz w:val="24"/>
                <w:szCs w:val="24"/>
              </w:rPr>
            </w:pPr>
            <w:r w:rsidRPr="000D2695">
              <w:rPr>
                <w:rFonts w:ascii="Times New Roman" w:hAnsi="Times New Roman" w:cs="Times New Roman"/>
                <w:sz w:val="24"/>
                <w:szCs w:val="24"/>
              </w:rPr>
              <w:t>66</w:t>
            </w:r>
          </w:p>
        </w:tc>
        <w:tc>
          <w:tcPr>
            <w:tcW w:w="1032" w:type="dxa"/>
            <w:tcBorders>
              <w:bottom w:val="single" w:color="auto" w:sz="4" w:space="0"/>
            </w:tcBorders>
            <w:shd w:val="clear" w:color="auto" w:fill="auto"/>
          </w:tcPr>
          <w:p w:rsidRPr="000D2695" w:rsidR="00CF7093" w:rsidP="00834677" w:rsidRDefault="00CF7093" w14:paraId="03907C65" w14:textId="77777777">
            <w:pPr>
              <w:pStyle w:val="ListParagraph"/>
              <w:ind w:left="0"/>
              <w:jc w:val="center"/>
              <w:rPr>
                <w:rFonts w:ascii="Times New Roman" w:hAnsi="Times New Roman" w:cs="Times New Roman"/>
                <w:sz w:val="24"/>
                <w:szCs w:val="24"/>
              </w:rPr>
            </w:pPr>
            <w:r w:rsidRPr="000D2695">
              <w:rPr>
                <w:rFonts w:ascii="Times New Roman" w:hAnsi="Times New Roman" w:cs="Times New Roman"/>
                <w:sz w:val="24"/>
                <w:szCs w:val="24"/>
              </w:rPr>
              <w:t>43</w:t>
            </w:r>
          </w:p>
        </w:tc>
      </w:tr>
    </w:tbl>
    <w:p w:rsidRPr="00C8214E" w:rsidR="00756F32" w:rsidP="00D00E69" w:rsidRDefault="00756F32" w14:paraId="12C053FC" w14:textId="77777777">
      <w:pPr>
        <w:pStyle w:val="Table"/>
        <w:keepNext/>
        <w:tabs>
          <w:tab w:val="clear" w:pos="1440"/>
        </w:tabs>
        <w:spacing w:after="120"/>
        <w:ind w:left="0" w:firstLine="0"/>
        <w:jc w:val="left"/>
      </w:pPr>
    </w:p>
    <w:p w:rsidRPr="00586E56" w:rsidR="001074FF" w:rsidP="008E2390" w:rsidRDefault="003767CA" w14:paraId="6528D35E" w14:textId="77777777">
      <w:r w:rsidRPr="00FD06AE">
        <w:t>Statistical Analysis Plan</w:t>
      </w:r>
    </w:p>
    <w:p w:rsidR="00B92D71" w:rsidP="006556CE" w:rsidRDefault="00B92D71" w14:paraId="6A41BC13" w14:textId="77777777">
      <w:pPr>
        <w:ind w:right="-360" w:firstLine="720"/>
      </w:pPr>
    </w:p>
    <w:p w:rsidR="00B92D71" w:rsidP="00D47259" w:rsidRDefault="007A6255" w14:paraId="76D91990" w14:textId="77777777">
      <w:pPr>
        <w:ind w:firstLine="720"/>
      </w:pPr>
      <w:r>
        <w:rPr>
          <w:b/>
        </w:rPr>
        <w:t>Study 1: National Survey</w:t>
      </w:r>
      <w:r w:rsidRPr="00D47259" w:rsidR="00B92D71">
        <w:rPr>
          <w:b/>
        </w:rPr>
        <w:t>.</w:t>
      </w:r>
      <w:r w:rsidR="00B92D71">
        <w:t xml:space="preserve"> </w:t>
      </w:r>
      <w:r w:rsidR="000A3962">
        <w:t xml:space="preserve">The primary objective of the national survey is to obtain a nationally representative estimate of </w:t>
      </w:r>
      <w:r w:rsidR="00DE1769">
        <w:t xml:space="preserve">correct </w:t>
      </w:r>
      <w:r w:rsidR="000A3962">
        <w:t xml:space="preserve">knowledge of laws related to passing of </w:t>
      </w:r>
      <w:r w:rsidR="00657359">
        <w:t xml:space="preserve">stopped </w:t>
      </w:r>
      <w:r w:rsidR="000A3962">
        <w:t>school buses for English-speaking drivers</w:t>
      </w:r>
      <w:r w:rsidR="00183DC5">
        <w:t>,</w:t>
      </w:r>
      <w:r w:rsidR="000A3962">
        <w:t xml:space="preserve"> 18+ years of age. </w:t>
      </w:r>
      <w:r w:rsidRPr="006323FC" w:rsidR="00B92D71">
        <w:t xml:space="preserve">To maintain representativeness of the target population, various stages of sample design and weighting adjustments are required to derive the final survey weights. The </w:t>
      </w:r>
      <w:r w:rsidR="00B92D71">
        <w:t>national</w:t>
      </w:r>
      <w:r w:rsidRPr="006323FC" w:rsidR="00B92D71">
        <w:t xml:space="preserve"> sample weights will reflect the following design features from both the </w:t>
      </w:r>
      <w:proofErr w:type="spellStart"/>
      <w:r w:rsidRPr="006323FC" w:rsidR="00B92D71">
        <w:t>AmeriSpeak</w:t>
      </w:r>
      <w:proofErr w:type="spellEnd"/>
      <w:r w:rsidRPr="006323FC" w:rsidR="00B92D71">
        <w:t xml:space="preserve"> Panel and application of weighting adjustments</w:t>
      </w:r>
      <w:r w:rsidR="00B92D71">
        <w:t>:</w:t>
      </w:r>
      <w:r w:rsidRPr="006323FC" w:rsidR="00B92D71">
        <w:t xml:space="preserve"> </w:t>
      </w:r>
    </w:p>
    <w:p w:rsidR="00FE5FB5" w:rsidP="00D47259" w:rsidRDefault="00FE5FB5" w14:paraId="01B6A267" w14:textId="77777777">
      <w:pPr>
        <w:ind w:firstLine="720"/>
      </w:pPr>
    </w:p>
    <w:p w:rsidR="00FE5FB5" w:rsidP="00FE5FB5" w:rsidRDefault="00657359" w14:paraId="5680EAE9" w14:textId="77777777">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C2562B" w:rsidR="00B92D71">
        <w:rPr>
          <w:rFonts w:ascii="Times New Roman" w:hAnsi="Times New Roman" w:cs="Times New Roman"/>
          <w:sz w:val="24"/>
          <w:szCs w:val="24"/>
        </w:rPr>
        <w:t xml:space="preserve">robability of selection of the housing unit in the Panel, </w:t>
      </w:r>
    </w:p>
    <w:p w:rsidR="00FE5FB5" w:rsidP="00FE5FB5" w:rsidRDefault="00657359" w14:paraId="2AC0CDE8" w14:textId="77777777">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C2562B" w:rsidR="00B92D71">
        <w:rPr>
          <w:rFonts w:ascii="Times New Roman" w:hAnsi="Times New Roman" w:cs="Times New Roman"/>
          <w:sz w:val="24"/>
          <w:szCs w:val="24"/>
        </w:rPr>
        <w:t xml:space="preserve">djustments for unknown eligibility of the housing unit in the Panel, </w:t>
      </w:r>
    </w:p>
    <w:p w:rsidR="00FE5FB5" w:rsidP="00FE5FB5" w:rsidRDefault="00657359" w14:paraId="41A7FEEB" w14:textId="77777777">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C2562B" w:rsidR="00B92D71">
        <w:rPr>
          <w:rFonts w:ascii="Times New Roman" w:hAnsi="Times New Roman" w:cs="Times New Roman"/>
          <w:sz w:val="24"/>
          <w:szCs w:val="24"/>
        </w:rPr>
        <w:t>onresponse asso</w:t>
      </w:r>
      <w:r w:rsidR="00FE5FB5">
        <w:rPr>
          <w:rFonts w:ascii="Times New Roman" w:hAnsi="Times New Roman" w:cs="Times New Roman"/>
          <w:sz w:val="24"/>
          <w:szCs w:val="24"/>
        </w:rPr>
        <w:t>ciated with Panel recruitment</w:t>
      </w:r>
      <w:r w:rsidR="00B52709">
        <w:rPr>
          <w:rFonts w:ascii="Times New Roman" w:hAnsi="Times New Roman" w:cs="Times New Roman"/>
          <w:sz w:val="24"/>
          <w:szCs w:val="24"/>
        </w:rPr>
        <w:t>,</w:t>
      </w:r>
    </w:p>
    <w:p w:rsidR="00FE5FB5" w:rsidP="00FE5FB5" w:rsidRDefault="00FE5FB5" w14:paraId="64EB5BB4" w14:textId="77777777">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Panel attrition</w:t>
      </w:r>
      <w:r w:rsidR="00B52709">
        <w:rPr>
          <w:rFonts w:ascii="Times New Roman" w:hAnsi="Times New Roman" w:cs="Times New Roman"/>
          <w:sz w:val="24"/>
          <w:szCs w:val="24"/>
        </w:rPr>
        <w:t>,</w:t>
      </w:r>
    </w:p>
    <w:p w:rsidR="00FE5FB5" w:rsidP="00FE5FB5" w:rsidRDefault="00657359" w14:paraId="3429FC88" w14:textId="77777777">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C2562B" w:rsidR="00B92D71">
        <w:rPr>
          <w:rFonts w:ascii="Times New Roman" w:hAnsi="Times New Roman" w:cs="Times New Roman"/>
          <w:sz w:val="24"/>
          <w:szCs w:val="24"/>
        </w:rPr>
        <w:t>onresponse from eligible adults in households where at</w:t>
      </w:r>
      <w:r w:rsidR="00FE5FB5">
        <w:rPr>
          <w:rFonts w:ascii="Times New Roman" w:hAnsi="Times New Roman" w:cs="Times New Roman"/>
          <w:sz w:val="24"/>
          <w:szCs w:val="24"/>
        </w:rPr>
        <w:t xml:space="preserve"> least one adult was recruited</w:t>
      </w:r>
      <w:r w:rsidR="00B52709">
        <w:rPr>
          <w:rFonts w:ascii="Times New Roman" w:hAnsi="Times New Roman" w:cs="Times New Roman"/>
          <w:sz w:val="24"/>
          <w:szCs w:val="24"/>
        </w:rPr>
        <w:t>,</w:t>
      </w:r>
    </w:p>
    <w:p w:rsidR="00FE5FB5" w:rsidP="00FE5FB5" w:rsidRDefault="00657359" w14:paraId="49C9B5B6" w14:textId="77777777">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C2562B" w:rsidR="00B92D71">
        <w:rPr>
          <w:rFonts w:ascii="Times New Roman" w:hAnsi="Times New Roman" w:cs="Times New Roman"/>
          <w:sz w:val="24"/>
          <w:szCs w:val="24"/>
        </w:rPr>
        <w:t>robability of selection of the national sample from the Panel</w:t>
      </w:r>
      <w:r w:rsidR="00B52709">
        <w:rPr>
          <w:rFonts w:ascii="Times New Roman" w:hAnsi="Times New Roman" w:cs="Times New Roman"/>
          <w:sz w:val="24"/>
          <w:szCs w:val="24"/>
        </w:rPr>
        <w:t>,</w:t>
      </w:r>
    </w:p>
    <w:p w:rsidR="00FE5FB5" w:rsidP="00FE5FB5" w:rsidRDefault="00657359" w14:paraId="5A4CEBD2" w14:textId="77777777">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C2562B" w:rsidR="00B92D71">
        <w:rPr>
          <w:rFonts w:ascii="Times New Roman" w:hAnsi="Times New Roman" w:cs="Times New Roman"/>
          <w:sz w:val="24"/>
          <w:szCs w:val="24"/>
        </w:rPr>
        <w:t xml:space="preserve">onresponse associated with the selected </w:t>
      </w:r>
      <w:r w:rsidR="00FE5FB5">
        <w:rPr>
          <w:rFonts w:ascii="Times New Roman" w:hAnsi="Times New Roman" w:cs="Times New Roman"/>
          <w:sz w:val="24"/>
          <w:szCs w:val="24"/>
        </w:rPr>
        <w:t>sample for the national survey</w:t>
      </w:r>
      <w:r w:rsidR="00B52709">
        <w:rPr>
          <w:rFonts w:ascii="Times New Roman" w:hAnsi="Times New Roman" w:cs="Times New Roman"/>
          <w:sz w:val="24"/>
          <w:szCs w:val="24"/>
        </w:rPr>
        <w:t>, and</w:t>
      </w:r>
    </w:p>
    <w:p w:rsidR="00FE5FB5" w:rsidP="00FE5FB5" w:rsidRDefault="00657359" w14:paraId="53FFB5EC" w14:textId="77777777">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C2562B" w:rsidR="00B92D71">
        <w:rPr>
          <w:rFonts w:ascii="Times New Roman" w:hAnsi="Times New Roman" w:cs="Times New Roman"/>
          <w:sz w:val="24"/>
          <w:szCs w:val="24"/>
        </w:rPr>
        <w:t xml:space="preserve"> raking ratio adjustment of national survey respondents to external population control totals (from the Current Population Survey) for the population drivers 18+ by age-group, sex, Census Division, Education, Race/Hispanic ethnicity, Housing tenure, and Household phone status. </w:t>
      </w:r>
    </w:p>
    <w:p w:rsidR="007A6255" w:rsidP="007A6255" w:rsidRDefault="007A6255" w14:paraId="13F30863" w14:textId="77777777"/>
    <w:p w:rsidR="00834677" w:rsidP="007A6255" w:rsidRDefault="00657359" w14:paraId="6D9575C9" w14:textId="77777777">
      <w:r>
        <w:t>These weights will be applied to arrive at final estimate</w:t>
      </w:r>
      <w:r w:rsidR="00834677">
        <w:t>s</w:t>
      </w:r>
      <w:r>
        <w:t xml:space="preserve"> of knowledge for each item </w:t>
      </w:r>
      <w:r w:rsidR="00834677">
        <w:t xml:space="preserve">with an MOE of </w:t>
      </w:r>
      <w:r w:rsidRPr="003F42A1">
        <w:rPr>
          <w:u w:val="single"/>
        </w:rPr>
        <w:t>+</w:t>
      </w:r>
      <w:r w:rsidRPr="003F42A1">
        <w:t>2.5%</w:t>
      </w:r>
      <w:r w:rsidR="00834677">
        <w:t>. For example, the results are expected to include statements such as, “XX% (</w:t>
      </w:r>
      <w:r w:rsidRPr="003F42A1" w:rsidR="00834677">
        <w:rPr>
          <w:u w:val="single"/>
        </w:rPr>
        <w:t>+</w:t>
      </w:r>
      <w:r w:rsidR="00834677">
        <w:t xml:space="preserve"> 2.5%) of English-speaking Americans over the age of 18 </w:t>
      </w:r>
      <w:r w:rsidR="003D3A95">
        <w:t xml:space="preserve">correctly </w:t>
      </w:r>
      <w:r w:rsidR="00834677">
        <w:t xml:space="preserve">identified the </w:t>
      </w:r>
      <w:r w:rsidR="00CE2DCA">
        <w:t xml:space="preserve">legally required </w:t>
      </w:r>
      <w:r w:rsidR="00834677">
        <w:t xml:space="preserve">behavior (stop or go) when presented with the item involving a stopped school bus on a divided four-lane highway.” </w:t>
      </w:r>
    </w:p>
    <w:p w:rsidR="00834677" w:rsidP="007A6255" w:rsidRDefault="00834677" w14:paraId="19D48639" w14:textId="77777777"/>
    <w:p w:rsidR="00657359" w:rsidP="003F42A1" w:rsidRDefault="00834677" w14:paraId="092E0942" w14:textId="77777777">
      <w:pPr>
        <w:ind w:firstLine="720"/>
      </w:pPr>
      <w:r>
        <w:t>Descriptive results will be provided for the various demographic information being collected</w:t>
      </w:r>
      <w:r w:rsidR="00CE2DCA">
        <w:t>.</w:t>
      </w:r>
      <w:r>
        <w:t xml:space="preserve"> </w:t>
      </w:r>
      <w:r w:rsidR="003E74F0">
        <w:t>Minimal</w:t>
      </w:r>
      <w:r>
        <w:t xml:space="preserve"> statistical analyses comparing groups will be performed</w:t>
      </w:r>
      <w:r w:rsidR="003E74F0">
        <w:t xml:space="preserve"> to describe whether significant differences in knowledge and attitudes exist between major subgroups of the sample (e.g., sex, age), but the primary</w:t>
      </w:r>
      <w:r w:rsidR="00471E1A">
        <w:t xml:space="preserve"> focus of sampling </w:t>
      </w:r>
      <w:r w:rsidR="003E74F0">
        <w:t>remains the</w:t>
      </w:r>
      <w:r w:rsidR="00471E1A">
        <w:t xml:space="preserve"> acqui</w:t>
      </w:r>
      <w:r w:rsidR="003E74F0">
        <w:t>sition of</w:t>
      </w:r>
      <w:r w:rsidR="00471E1A">
        <w:t xml:space="preserve"> a nationally representative sample </w:t>
      </w:r>
      <w:r w:rsidR="003E74F0">
        <w:t xml:space="preserve">of drivers </w:t>
      </w:r>
      <w:r w:rsidR="00471E1A">
        <w:t>to provide a stable estimate of knowledge at the national level</w:t>
      </w:r>
      <w:r>
        <w:t>.</w:t>
      </w:r>
    </w:p>
    <w:p w:rsidR="00834677" w:rsidP="007A6255" w:rsidRDefault="00834677" w14:paraId="4625E691" w14:textId="77777777"/>
    <w:p w:rsidR="00E43982" w:rsidP="007A6255" w:rsidRDefault="007A6255" w14:paraId="370B2E5B" w14:textId="77777777">
      <w:pPr>
        <w:ind w:right="-360" w:firstLine="720"/>
        <w:rPr>
          <w:rFonts w:eastAsia="Calibri"/>
        </w:rPr>
      </w:pPr>
      <w:r>
        <w:rPr>
          <w:b/>
        </w:rPr>
        <w:t>Study 2: Community Survey</w:t>
      </w:r>
      <w:r w:rsidRPr="00D47259">
        <w:rPr>
          <w:b/>
        </w:rPr>
        <w:t>.</w:t>
      </w:r>
      <w:r>
        <w:rPr>
          <w:b/>
        </w:rPr>
        <w:t xml:space="preserve"> </w:t>
      </w:r>
      <w:r w:rsidR="00834677">
        <w:rPr>
          <w:rFonts w:eastAsia="Calibri"/>
        </w:rPr>
        <w:t>The study expects to utilize</w:t>
      </w:r>
      <w:r w:rsidR="00E84892">
        <w:rPr>
          <w:rFonts w:eastAsia="Calibri"/>
        </w:rPr>
        <w:t xml:space="preserve"> a series of</w:t>
      </w:r>
      <w:r w:rsidR="00834677">
        <w:rPr>
          <w:rFonts w:eastAsia="Calibri"/>
        </w:rPr>
        <w:t xml:space="preserve"> </w:t>
      </w:r>
      <w:r w:rsidR="00C77C1D">
        <w:rPr>
          <w:rFonts w:eastAsia="Calibri"/>
        </w:rPr>
        <w:t xml:space="preserve">2 x 2 </w:t>
      </w:r>
      <w:r w:rsidR="00834677">
        <w:rPr>
          <w:rFonts w:eastAsia="Calibri"/>
        </w:rPr>
        <w:t>Chi</w:t>
      </w:r>
      <w:r w:rsidR="00834677">
        <w:rPr>
          <w:rFonts w:eastAsia="Calibri"/>
          <w:b/>
        </w:rPr>
        <w:t>-</w:t>
      </w:r>
      <w:r w:rsidR="00834677">
        <w:rPr>
          <w:rFonts w:eastAsia="Calibri"/>
        </w:rPr>
        <w:t>Square Tests to determine if the proportion of correct responses among independent samples</w:t>
      </w:r>
      <w:r w:rsidR="0091479C">
        <w:rPr>
          <w:rFonts w:eastAsia="Calibri"/>
        </w:rPr>
        <w:t xml:space="preserve"> (i.e., the study does not expect to sample the same participants more than once)</w:t>
      </w:r>
      <w:r w:rsidR="00834677">
        <w:rPr>
          <w:rFonts w:eastAsia="Calibri"/>
        </w:rPr>
        <w:t xml:space="preserve"> changed in the test community from before to after the enforcement program</w:t>
      </w:r>
      <w:r w:rsidR="0091479C">
        <w:rPr>
          <w:rFonts w:eastAsia="Calibri"/>
        </w:rPr>
        <w:t xml:space="preserve"> in a manner that was different </w:t>
      </w:r>
      <w:r w:rsidR="000A604B">
        <w:rPr>
          <w:rFonts w:eastAsia="Calibri"/>
        </w:rPr>
        <w:t>than</w:t>
      </w:r>
      <w:r w:rsidR="0091479C">
        <w:rPr>
          <w:rFonts w:eastAsia="Calibri"/>
        </w:rPr>
        <w:t xml:space="preserve"> the </w:t>
      </w:r>
      <w:r w:rsidR="00CC431D">
        <w:rPr>
          <w:rFonts w:eastAsia="Calibri"/>
        </w:rPr>
        <w:t>comparison</w:t>
      </w:r>
      <w:r w:rsidR="0091479C">
        <w:rPr>
          <w:rFonts w:eastAsia="Calibri"/>
        </w:rPr>
        <w:t xml:space="preserve"> community that received no intervention</w:t>
      </w:r>
      <w:r w:rsidR="00CC431D">
        <w:rPr>
          <w:rFonts w:eastAsia="Calibri"/>
        </w:rPr>
        <w:t xml:space="preserve"> from the study</w:t>
      </w:r>
      <w:r w:rsidR="00834677">
        <w:rPr>
          <w:rFonts w:eastAsia="Calibri"/>
        </w:rPr>
        <w:t>.</w:t>
      </w:r>
      <w:r w:rsidR="0091479C">
        <w:rPr>
          <w:rFonts w:eastAsia="Calibri"/>
        </w:rPr>
        <w:t xml:space="preserve"> Changes over time in each community will be </w:t>
      </w:r>
      <w:r w:rsidR="00E43982">
        <w:rPr>
          <w:rFonts w:eastAsia="Calibri"/>
        </w:rPr>
        <w:t>tested</w:t>
      </w:r>
      <w:r w:rsidR="0091479C">
        <w:rPr>
          <w:rFonts w:eastAsia="Calibri"/>
        </w:rPr>
        <w:t xml:space="preserve"> </w:t>
      </w:r>
      <w:r w:rsidR="00E43982">
        <w:rPr>
          <w:rFonts w:eastAsia="Calibri"/>
        </w:rPr>
        <w:t>by separate analyses</w:t>
      </w:r>
      <w:r w:rsidR="0091479C">
        <w:rPr>
          <w:rFonts w:eastAsia="Calibri"/>
        </w:rPr>
        <w:t xml:space="preserve">. </w:t>
      </w:r>
    </w:p>
    <w:p w:rsidR="00E43982" w:rsidP="007A6255" w:rsidRDefault="00E43982" w14:paraId="42FE1F31" w14:textId="77777777">
      <w:pPr>
        <w:ind w:right="-360" w:firstLine="720"/>
        <w:rPr>
          <w:rFonts w:eastAsia="Calibri"/>
        </w:rPr>
      </w:pPr>
    </w:p>
    <w:p w:rsidR="00C77C1D" w:rsidP="007A6255" w:rsidRDefault="00E43982" w14:paraId="29FF753E" w14:textId="77777777">
      <w:pPr>
        <w:ind w:right="-360" w:firstLine="720"/>
      </w:pPr>
      <w:r>
        <w:t xml:space="preserve">While it is expected the </w:t>
      </w:r>
      <w:r w:rsidR="00CC431D">
        <w:t>comparison</w:t>
      </w:r>
      <w:r>
        <w:t xml:space="preserve"> community will show no change over time, additional </w:t>
      </w:r>
      <w:r w:rsidR="003D3A95">
        <w:t xml:space="preserve">analyses </w:t>
      </w:r>
      <w:r>
        <w:t xml:space="preserve">may be warranted if an increase in knowledge </w:t>
      </w:r>
      <w:r w:rsidR="00CC431D">
        <w:t xml:space="preserve">in the comparison community </w:t>
      </w:r>
      <w:r>
        <w:t>is observed</w:t>
      </w:r>
      <w:r w:rsidR="00CE2DCA">
        <w:t>.</w:t>
      </w:r>
      <w:r>
        <w:t xml:space="preserve"> </w:t>
      </w:r>
      <w:r w:rsidR="00CE2DCA">
        <w:t>Such an increase could</w:t>
      </w:r>
      <w:r>
        <w:t xml:space="preserve"> </w:t>
      </w:r>
      <w:r w:rsidR="00CC431D">
        <w:t xml:space="preserve">theoretically </w:t>
      </w:r>
      <w:r>
        <w:t xml:space="preserve">indicate some general change in knowledge not associated with the intervention program </w:t>
      </w:r>
      <w:r w:rsidR="00CC431D">
        <w:t>or</w:t>
      </w:r>
      <w:r>
        <w:t xml:space="preserve"> a spillover effect. Should this situation occur, </w:t>
      </w:r>
      <w:r w:rsidR="00C77C1D">
        <w:t xml:space="preserve">a more sophisticated multi-way frequency analysis will be </w:t>
      </w:r>
      <w:r w:rsidR="00F67D1E">
        <w:t>undertaken</w:t>
      </w:r>
      <w:r w:rsidR="00C77C1D">
        <w:t xml:space="preserve">. </w:t>
      </w:r>
    </w:p>
    <w:p w:rsidR="00C77C1D" w:rsidP="007A6255" w:rsidRDefault="00C77C1D" w14:paraId="48418837" w14:textId="77777777">
      <w:pPr>
        <w:ind w:right="-360" w:firstLine="720"/>
      </w:pPr>
    </w:p>
    <w:p w:rsidRPr="007A6255" w:rsidR="007A6255" w:rsidP="007A6255" w:rsidRDefault="00C77C1D" w14:paraId="151384C5" w14:textId="77777777">
      <w:pPr>
        <w:ind w:right="-360" w:firstLine="720"/>
      </w:pPr>
      <w:r>
        <w:t>Alternatively, the study may utilize logistic regression with community and time period entered as predictors of the binary outcome</w:t>
      </w:r>
      <w:r w:rsidR="00CE2DCA">
        <w:t>s</w:t>
      </w:r>
      <w:r>
        <w:t xml:space="preserve"> of correct/incorrect responses as the dependent variables. </w:t>
      </w:r>
      <w:r w:rsidR="006352EB">
        <w:t>Available demographics would be entered as predictors as well with a variety of models executed to arrive at the most parsimonious model. This more complicated analysis would only be conducted if a review of the descriptive statistics for demographics and the baseline knowledge rates indicate</w:t>
      </w:r>
      <w:r w:rsidR="000B2416">
        <w:t>s</w:t>
      </w:r>
      <w:r w:rsidR="006352EB">
        <w:t xml:space="preserve"> some apparently meaningful differences in the populations sampled that could be contributing to any observed effects. In any case, n</w:t>
      </w:r>
      <w:r w:rsidRPr="00A96022" w:rsidR="007A6255">
        <w:t xml:space="preserve">o inferences will be made to populations beyond the </w:t>
      </w:r>
      <w:r w:rsidRPr="00A96022" w:rsidR="00A96022">
        <w:t>test communities</w:t>
      </w:r>
      <w:r w:rsidRPr="00A96022" w:rsidR="007A6255">
        <w:t>.</w:t>
      </w:r>
    </w:p>
    <w:p w:rsidR="00FE5FB5" w:rsidP="00FE5FB5" w:rsidRDefault="00FE5FB5" w14:paraId="28D9246D" w14:textId="77777777">
      <w:pPr>
        <w:pStyle w:val="ListParagraph"/>
        <w:spacing w:after="0" w:line="240" w:lineRule="auto"/>
        <w:rPr>
          <w:rFonts w:ascii="Times New Roman" w:hAnsi="Times New Roman" w:cs="Times New Roman"/>
          <w:sz w:val="24"/>
          <w:szCs w:val="24"/>
        </w:rPr>
      </w:pPr>
    </w:p>
    <w:p w:rsidRPr="00FD06AE" w:rsidR="001074FF" w:rsidP="00591FFD" w:rsidRDefault="001074FF" w14:paraId="2D573F8B" w14:textId="77777777">
      <w:pPr>
        <w:pStyle w:val="Heading3"/>
        <w:spacing w:before="0"/>
      </w:pPr>
      <w:bookmarkStart w:name="_Toc125278833" w:id="4"/>
      <w:bookmarkStart w:name="_Toc125341756" w:id="5"/>
      <w:bookmarkStart w:name="_Toc125447314" w:id="6"/>
      <w:bookmarkStart w:name="_Toc126394141" w:id="7"/>
      <w:r w:rsidRPr="00FD06AE">
        <w:t>B.2.</w:t>
      </w:r>
      <w:r w:rsidRPr="00FD06AE">
        <w:tab/>
        <w:t>Describe the procedures for the collection of information.</w:t>
      </w:r>
      <w:bookmarkEnd w:id="4"/>
      <w:bookmarkEnd w:id="5"/>
      <w:bookmarkEnd w:id="6"/>
      <w:bookmarkEnd w:id="7"/>
    </w:p>
    <w:p w:rsidR="00E4187D" w:rsidP="00E4187D" w:rsidRDefault="00D036DE" w14:paraId="072D7817" w14:textId="0E5CE97C">
      <w:r>
        <w:tab/>
      </w:r>
      <w:r w:rsidRPr="00D511E4" w:rsidR="00FE19A3">
        <w:rPr>
          <w:b/>
        </w:rPr>
        <w:t>Study 1: National Survey.</w:t>
      </w:r>
      <w:r w:rsidR="00FE19A3">
        <w:t xml:space="preserve"> </w:t>
      </w:r>
      <w:r w:rsidRPr="00562771" w:rsidR="00562771">
        <w:t xml:space="preserve">NORC </w:t>
      </w:r>
      <w:r w:rsidR="00562771">
        <w:t>will send</w:t>
      </w:r>
      <w:r w:rsidRPr="00562771" w:rsidR="00562771">
        <w:t xml:space="preserve"> email</w:t>
      </w:r>
      <w:r w:rsidR="00600460">
        <w:t xml:space="preserve"> invitations and reminders if necessary</w:t>
      </w:r>
      <w:r w:rsidRPr="00562771" w:rsidR="00562771">
        <w:t xml:space="preserve"> to the sampled web-mode </w:t>
      </w:r>
      <w:proofErr w:type="spellStart"/>
      <w:r w:rsidRPr="00562771" w:rsidR="00562771">
        <w:t>AmeriSpeak</w:t>
      </w:r>
      <w:proofErr w:type="spellEnd"/>
      <w:r w:rsidRPr="00562771" w:rsidR="00562771">
        <w:t xml:space="preserve"> panelists. </w:t>
      </w:r>
      <w:r w:rsidR="00600460">
        <w:t xml:space="preserve">The Attachment contains the format of the standard </w:t>
      </w:r>
      <w:proofErr w:type="spellStart"/>
      <w:r w:rsidR="00600460">
        <w:t>AmeriSpeak</w:t>
      </w:r>
      <w:proofErr w:type="spellEnd"/>
      <w:r w:rsidR="00600460">
        <w:t xml:space="preserve"> invitation and reminder. </w:t>
      </w:r>
      <w:r w:rsidRPr="00562771" w:rsidR="00562771">
        <w:t xml:space="preserve">In some cases, SMS </w:t>
      </w:r>
      <w:r w:rsidR="000B2416">
        <w:t xml:space="preserve">(text message) </w:t>
      </w:r>
      <w:r w:rsidRPr="00562771" w:rsidR="00562771">
        <w:t xml:space="preserve">reminder(s) </w:t>
      </w:r>
      <w:r w:rsidR="00562771">
        <w:t>will also be</w:t>
      </w:r>
      <w:r w:rsidRPr="00562771" w:rsidR="00562771">
        <w:t xml:space="preserve"> sent</w:t>
      </w:r>
      <w:r w:rsidR="00C21C9C">
        <w:t xml:space="preserve"> if the participant opted-in for these messages</w:t>
      </w:r>
      <w:r w:rsidRPr="00562771" w:rsidR="00562771">
        <w:t xml:space="preserve">. In addition, for the panelists with </w:t>
      </w:r>
      <w:proofErr w:type="spellStart"/>
      <w:r w:rsidRPr="00562771" w:rsidR="00562771">
        <w:t>AmeriSpeak</w:t>
      </w:r>
      <w:proofErr w:type="spellEnd"/>
      <w:r w:rsidRPr="00562771" w:rsidR="00562771">
        <w:t xml:space="preserve"> online member accounts, survey invitations can be viewed at the online member portal (amerispeak.org) or on the </w:t>
      </w:r>
      <w:proofErr w:type="spellStart"/>
      <w:r w:rsidRPr="00562771" w:rsidR="00562771">
        <w:t>AmeriSpeak</w:t>
      </w:r>
      <w:proofErr w:type="spellEnd"/>
      <w:r w:rsidRPr="00562771" w:rsidR="00562771">
        <w:t xml:space="preserve"> mobile app. </w:t>
      </w:r>
      <w:r w:rsidR="00C21C9C">
        <w:t xml:space="preserve">The </w:t>
      </w:r>
      <w:r w:rsidRPr="00562771" w:rsidR="00562771">
        <w:t xml:space="preserve">recruitment </w:t>
      </w:r>
      <w:r w:rsidR="00C21C9C">
        <w:t>emails</w:t>
      </w:r>
      <w:r w:rsidRPr="00562771" w:rsidR="00562771">
        <w:t xml:space="preserve"> </w:t>
      </w:r>
      <w:r w:rsidR="00562771">
        <w:t>will provide</w:t>
      </w:r>
      <w:r w:rsidRPr="00562771" w:rsidR="00562771">
        <w:t xml:space="preserve"> </w:t>
      </w:r>
      <w:r w:rsidR="000B2416">
        <w:t xml:space="preserve">potential respondents with </w:t>
      </w:r>
      <w:r w:rsidRPr="00562771" w:rsidR="00562771">
        <w:t>the survey link</w:t>
      </w:r>
      <w:r w:rsidR="00C21C9C">
        <w:t xml:space="preserve"> </w:t>
      </w:r>
      <w:r w:rsidR="000B2416">
        <w:t>and</w:t>
      </w:r>
      <w:r w:rsidRPr="00562771" w:rsidR="00562771">
        <w:t xml:space="preserve"> informat</w:t>
      </w:r>
      <w:r w:rsidR="00562771">
        <w:t xml:space="preserve">ion about the </w:t>
      </w:r>
      <w:proofErr w:type="spellStart"/>
      <w:r w:rsidR="000B2416">
        <w:t>AmeriSpeak</w:t>
      </w:r>
      <w:proofErr w:type="spellEnd"/>
      <w:r w:rsidR="000B2416">
        <w:t xml:space="preserve"> </w:t>
      </w:r>
      <w:r w:rsidR="00562771">
        <w:t>incentive</w:t>
      </w:r>
      <w:r w:rsidR="000B2416">
        <w:t xml:space="preserve"> that applies to participation in the survey</w:t>
      </w:r>
      <w:r w:rsidRPr="00562771" w:rsidR="00562771">
        <w:t xml:space="preserve">. No topic or </w:t>
      </w:r>
      <w:r w:rsidR="00C21C9C">
        <w:t xml:space="preserve">survey </w:t>
      </w:r>
      <w:r w:rsidRPr="00562771" w:rsidR="00562771">
        <w:t xml:space="preserve">length </w:t>
      </w:r>
      <w:r w:rsidR="00562771">
        <w:t>will be</w:t>
      </w:r>
      <w:r w:rsidRPr="00562771" w:rsidR="00562771">
        <w:t xml:space="preserve"> mentioned within the </w:t>
      </w:r>
      <w:r w:rsidR="00C21C9C">
        <w:t>recruitment</w:t>
      </w:r>
      <w:r w:rsidRPr="00562771" w:rsidR="00C21C9C">
        <w:t xml:space="preserve"> </w:t>
      </w:r>
      <w:r w:rsidRPr="00562771" w:rsidR="00562771">
        <w:t xml:space="preserve">materials. The participant </w:t>
      </w:r>
      <w:r w:rsidR="00562771">
        <w:t>will have</w:t>
      </w:r>
      <w:r w:rsidRPr="00562771" w:rsidR="00562771">
        <w:t xml:space="preserve"> the option of completing the survey through the mobile app which works on most mobile devices or through an Internet browser on a computer. </w:t>
      </w:r>
      <w:bookmarkStart w:name="_Toc438121660" w:id="8"/>
      <w:bookmarkStart w:name="_Ref520359868" w:id="9"/>
      <w:r w:rsidR="00C21C9C">
        <w:t xml:space="preserve">The incentive will be deposited in the participant’s </w:t>
      </w:r>
      <w:proofErr w:type="spellStart"/>
      <w:r w:rsidR="00C21C9C">
        <w:t>AmeriSpeak</w:t>
      </w:r>
      <w:proofErr w:type="spellEnd"/>
      <w:r w:rsidR="00C21C9C">
        <w:t xml:space="preserve"> account upon completion of the survey.</w:t>
      </w:r>
      <w:r w:rsidR="000B2416">
        <w:t xml:space="preserve"> These are normal procedures for the </w:t>
      </w:r>
      <w:proofErr w:type="spellStart"/>
      <w:r w:rsidR="000B2416">
        <w:t>AmeriSpeak</w:t>
      </w:r>
      <w:proofErr w:type="spellEnd"/>
      <w:r w:rsidR="000B2416">
        <w:t xml:space="preserve"> Panel.</w:t>
      </w:r>
    </w:p>
    <w:p w:rsidRPr="006C4226" w:rsidR="00974D71" w:rsidP="00E4187D" w:rsidRDefault="00974D71" w14:paraId="7664AD7E" w14:textId="77777777"/>
    <w:bookmarkEnd w:id="8"/>
    <w:bookmarkEnd w:id="9"/>
    <w:p w:rsidR="009E1246" w:rsidP="006F769B" w:rsidRDefault="00782A80" w14:paraId="0F60C23F" w14:textId="77777777">
      <w:pPr>
        <w:spacing w:before="120" w:after="120"/>
      </w:pPr>
      <w:r>
        <w:rPr>
          <w:b/>
        </w:rPr>
        <w:tab/>
      </w:r>
      <w:r w:rsidRPr="00D511E4" w:rsidR="00FE19A3">
        <w:rPr>
          <w:b/>
        </w:rPr>
        <w:t>Study 2: Community Survey</w:t>
      </w:r>
      <w:r w:rsidR="00FE19A3">
        <w:t xml:space="preserve">. </w:t>
      </w:r>
      <w:r w:rsidR="0001070A">
        <w:t>Community survey participants will be contacted in</w:t>
      </w:r>
      <w:r w:rsidR="00FE19A3">
        <w:t>-</w:t>
      </w:r>
      <w:r w:rsidR="0001070A">
        <w:t xml:space="preserve">person </w:t>
      </w:r>
      <w:r w:rsidR="0076506C">
        <w:t xml:space="preserve">by project researchers trained in human subject protocols </w:t>
      </w:r>
      <w:r w:rsidR="0001070A">
        <w:t xml:space="preserve">at selected locations </w:t>
      </w:r>
      <w:r w:rsidR="00C21C9C">
        <w:t xml:space="preserve">such as malls, gas stations, motor vehicle licensing offices, or other public locations. </w:t>
      </w:r>
      <w:r>
        <w:t xml:space="preserve">Prospective respondents will be approached and </w:t>
      </w:r>
      <w:r w:rsidR="00C47C53">
        <w:t>screened</w:t>
      </w:r>
      <w:r w:rsidR="0076506C">
        <w:t xml:space="preserve"> verbally</w:t>
      </w:r>
      <w:r w:rsidR="00C47C53">
        <w:t xml:space="preserve"> to determine </w:t>
      </w:r>
      <w:r>
        <w:t xml:space="preserve">if they meet the sampling requirements (i.e., </w:t>
      </w:r>
      <w:r w:rsidR="006F769B">
        <w:t>age 18 or above</w:t>
      </w:r>
      <w:r w:rsidR="000A604B">
        <w:t>, English-speaking,</w:t>
      </w:r>
      <w:r w:rsidR="006F769B">
        <w:t xml:space="preserve"> and </w:t>
      </w:r>
      <w:r w:rsidR="000A604B">
        <w:t xml:space="preserve">a </w:t>
      </w:r>
      <w:r w:rsidR="006F769B">
        <w:t>current</w:t>
      </w:r>
      <w:r>
        <w:t xml:space="preserve"> driver). </w:t>
      </w:r>
      <w:r w:rsidR="009E1246">
        <w:t xml:space="preserve">Before beginning the survey, participants will review a brief description of the study </w:t>
      </w:r>
      <w:r w:rsidR="0076506C">
        <w:t xml:space="preserve">on the study-provided computer device </w:t>
      </w:r>
      <w:r w:rsidR="009E1246">
        <w:t>and indicate the</w:t>
      </w:r>
      <w:r w:rsidR="0076506C">
        <w:t>ir</w:t>
      </w:r>
      <w:r w:rsidR="009E1246">
        <w:t xml:space="preserve"> consent to participate </w:t>
      </w:r>
      <w:r w:rsidR="000A604B">
        <w:t>by</w:t>
      </w:r>
      <w:r w:rsidR="009E1246">
        <w:t xml:space="preserve"> </w:t>
      </w:r>
      <w:r w:rsidR="00C21C9C">
        <w:t xml:space="preserve">tapping/clicking </w:t>
      </w:r>
      <w:r w:rsidR="009E1246">
        <w:t xml:space="preserve">a button on the opening survey screen. </w:t>
      </w:r>
      <w:r w:rsidR="00EA6FF0">
        <w:t xml:space="preserve">Participants will </w:t>
      </w:r>
      <w:r w:rsidR="0076506C">
        <w:t>provide their responses</w:t>
      </w:r>
      <w:r w:rsidR="00EA6FF0">
        <w:t xml:space="preserve"> in a private area at the sampling site. A researcher will monitor their progress</w:t>
      </w:r>
      <w:r w:rsidR="00C21C9C">
        <w:t xml:space="preserve"> and be available to answer any questions about how to </w:t>
      </w:r>
      <w:r w:rsidR="0076506C">
        <w:t>proceed through</w:t>
      </w:r>
      <w:r w:rsidR="00C21C9C">
        <w:t xml:space="preserve"> the survey. Researchers will not answer any questions about survey content</w:t>
      </w:r>
      <w:r w:rsidR="00EA6FF0">
        <w:t>.</w:t>
      </w:r>
      <w:r w:rsidR="00C21C9C">
        <w:t xml:space="preserve"> The respondent will receive the </w:t>
      </w:r>
      <w:r w:rsidR="0076506C">
        <w:t xml:space="preserve">$10.00 </w:t>
      </w:r>
      <w:r w:rsidR="00C21C9C">
        <w:t>survey incentive upon completion</w:t>
      </w:r>
      <w:r w:rsidR="0076506C">
        <w:t xml:space="preserve"> in the form of a voucher, coupon, or cash (to be </w:t>
      </w:r>
      <w:r w:rsidR="003D3A95">
        <w:t xml:space="preserve">determined </w:t>
      </w:r>
      <w:r w:rsidR="0076506C">
        <w:t>after sites are selected)</w:t>
      </w:r>
      <w:r w:rsidR="00C21C9C">
        <w:t>.</w:t>
      </w:r>
      <w:r>
        <w:t xml:space="preserve"> </w:t>
      </w:r>
    </w:p>
    <w:p w:rsidRPr="00FD06AE" w:rsidR="001074FF" w:rsidP="00354ED9" w:rsidRDefault="001074FF" w14:paraId="0E08ADF3" w14:textId="77777777">
      <w:pPr>
        <w:pStyle w:val="BodyText"/>
        <w:spacing w:after="240"/>
        <w:rPr>
          <w:color w:val="4F81BD"/>
        </w:rPr>
      </w:pPr>
      <w:bookmarkStart w:name="_Toc125278839" w:id="10"/>
      <w:bookmarkStart w:name="_Toc125341762" w:id="11"/>
      <w:bookmarkStart w:name="_Toc125447320" w:id="12"/>
      <w:bookmarkStart w:name="_Toc126394143" w:id="13"/>
      <w:r w:rsidRPr="00FD06AE">
        <w:rPr>
          <w:b/>
        </w:rPr>
        <w:t>B.3.</w:t>
      </w:r>
      <w:r w:rsidRPr="00FD06AE">
        <w:rPr>
          <w:b/>
        </w:rPr>
        <w:tab/>
        <w:t>Describe methods to maximize response rates</w:t>
      </w:r>
      <w:r w:rsidRPr="00FD06AE">
        <w:t>.</w:t>
      </w:r>
      <w:bookmarkStart w:name="_Toc125278840" w:id="14"/>
      <w:bookmarkStart w:name="_Toc125341763" w:id="15"/>
      <w:bookmarkStart w:name="_Toc125447321" w:id="16"/>
      <w:bookmarkStart w:name="_Toc126394144" w:id="17"/>
      <w:bookmarkEnd w:id="10"/>
      <w:bookmarkEnd w:id="11"/>
      <w:bookmarkEnd w:id="12"/>
      <w:bookmarkEnd w:id="13"/>
      <w:r w:rsidRPr="00FD06AE">
        <w:rPr>
          <w:color w:val="4F81BD"/>
        </w:rPr>
        <w:tab/>
      </w:r>
    </w:p>
    <w:p w:rsidRPr="00EA6FF0" w:rsidR="003739A2" w:rsidP="003F42A1" w:rsidRDefault="007A6255" w14:paraId="7E060C8E" w14:textId="77777777">
      <w:pPr>
        <w:pStyle w:val="BodyText"/>
        <w:spacing w:after="240"/>
        <w:ind w:firstLine="720"/>
        <w:rPr>
          <w:highlight w:val="yellow"/>
        </w:rPr>
      </w:pPr>
      <w:r w:rsidRPr="007A6255">
        <w:rPr>
          <w:b/>
        </w:rPr>
        <w:t>Study 1: National Survey.</w:t>
      </w:r>
      <w:r>
        <w:t xml:space="preserve"> </w:t>
      </w:r>
      <w:proofErr w:type="spellStart"/>
      <w:r w:rsidR="00C020ED">
        <w:t>AmeriSpeak</w:t>
      </w:r>
      <w:proofErr w:type="spellEnd"/>
      <w:r w:rsidR="00C020ED">
        <w:t xml:space="preserve"> motivates panel members to participate through a rewards program. </w:t>
      </w:r>
      <w:r w:rsidRPr="003739A2" w:rsidR="003739A2">
        <w:t xml:space="preserve">Participants </w:t>
      </w:r>
      <w:r w:rsidR="00C020ED">
        <w:t>in</w:t>
      </w:r>
      <w:r w:rsidRPr="003739A2" w:rsidR="00C020ED">
        <w:t xml:space="preserve"> </w:t>
      </w:r>
      <w:r w:rsidRPr="003739A2" w:rsidR="003739A2">
        <w:t xml:space="preserve">the </w:t>
      </w:r>
      <w:r w:rsidR="00C020ED">
        <w:t>N</w:t>
      </w:r>
      <w:r w:rsidR="003739A2">
        <w:t>ational</w:t>
      </w:r>
      <w:r w:rsidR="00C020ED">
        <w:t xml:space="preserve"> S</w:t>
      </w:r>
      <w:r w:rsidR="003739A2">
        <w:t>urvey</w:t>
      </w:r>
      <w:r w:rsidRPr="003739A2" w:rsidR="003739A2">
        <w:t xml:space="preserve"> </w:t>
      </w:r>
      <w:r w:rsidR="00C020ED">
        <w:t>will already be</w:t>
      </w:r>
      <w:r w:rsidRPr="003739A2" w:rsidR="00C020ED">
        <w:t xml:space="preserve"> </w:t>
      </w:r>
      <w:r w:rsidRPr="003739A2" w:rsidR="003739A2">
        <w:t xml:space="preserve">registered with </w:t>
      </w:r>
      <w:proofErr w:type="spellStart"/>
      <w:r w:rsidRPr="003739A2" w:rsidR="003739A2">
        <w:t>AmeriSpeak</w:t>
      </w:r>
      <w:proofErr w:type="spellEnd"/>
      <w:r w:rsidR="004B402F">
        <w:t>,</w:t>
      </w:r>
      <w:r w:rsidRPr="003739A2" w:rsidR="003739A2">
        <w:t xml:space="preserve"> and will be offered “points”</w:t>
      </w:r>
      <w:r w:rsidR="00C020ED">
        <w:t xml:space="preserve"> that can be</w:t>
      </w:r>
      <w:r w:rsidRPr="003739A2" w:rsidR="003739A2">
        <w:t xml:space="preserve"> redeem</w:t>
      </w:r>
      <w:r w:rsidR="00C020ED">
        <w:t>ed</w:t>
      </w:r>
      <w:r w:rsidRPr="003739A2" w:rsidR="003739A2">
        <w:t xml:space="preserve"> for </w:t>
      </w:r>
      <w:r w:rsidR="00C020ED">
        <w:t>rewards such as</w:t>
      </w:r>
      <w:r w:rsidR="00C47C53">
        <w:t xml:space="preserve"> gift cards for retailers. </w:t>
      </w:r>
      <w:r w:rsidR="003739A2">
        <w:t xml:space="preserve">For this project, points </w:t>
      </w:r>
      <w:r w:rsidR="00C020ED">
        <w:t xml:space="preserve">will be </w:t>
      </w:r>
      <w:r w:rsidR="003739A2">
        <w:t>worth</w:t>
      </w:r>
      <w:r w:rsidR="00C020ED">
        <w:t xml:space="preserve"> approximately</w:t>
      </w:r>
      <w:r w:rsidR="003739A2">
        <w:t xml:space="preserve"> </w:t>
      </w:r>
      <w:r w:rsidR="00CD4736">
        <w:t>$</w:t>
      </w:r>
      <w:r w:rsidR="00EA6FF0">
        <w:t>1</w:t>
      </w:r>
      <w:r w:rsidR="00CD4736">
        <w:t>0</w:t>
      </w:r>
      <w:r w:rsidR="003739A2">
        <w:t xml:space="preserve"> </w:t>
      </w:r>
      <w:r w:rsidR="00C020ED">
        <w:t>cash value.</w:t>
      </w:r>
      <w:r>
        <w:t xml:space="preserve"> </w:t>
      </w:r>
      <w:r w:rsidRPr="00BE0D7D" w:rsidR="003739A2">
        <w:t>Panelists who do not respond to the initial survey invitation within three weeks will receive a reminder email</w:t>
      </w:r>
      <w:r w:rsidR="004B402F">
        <w:t>/message</w:t>
      </w:r>
      <w:r w:rsidRPr="00BE0D7D" w:rsidR="003739A2">
        <w:t xml:space="preserve"> emphasizing the importance of their participation in the project. </w:t>
      </w:r>
      <w:r w:rsidR="004B402F">
        <w:t>Additional reminders will be sent every two weeks until the desired sample size is achieved.</w:t>
      </w:r>
      <w:r w:rsidR="003739A2">
        <w:t xml:space="preserve"> </w:t>
      </w:r>
    </w:p>
    <w:p w:rsidRPr="00A96022" w:rsidR="007A6255" w:rsidP="007935EC" w:rsidRDefault="003739A2" w14:paraId="491C9627" w14:textId="77777777">
      <w:r>
        <w:t xml:space="preserve"> </w:t>
      </w:r>
      <w:r w:rsidR="007A6255">
        <w:tab/>
      </w:r>
      <w:r w:rsidRPr="007A6255" w:rsidR="007A6255">
        <w:rPr>
          <w:b/>
        </w:rPr>
        <w:t>Study 2: Community Survey.</w:t>
      </w:r>
      <w:r w:rsidR="00A96022">
        <w:rPr>
          <w:b/>
        </w:rPr>
        <w:t xml:space="preserve"> </w:t>
      </w:r>
      <w:r w:rsidR="00A96022">
        <w:t xml:space="preserve">Respondents </w:t>
      </w:r>
      <w:r w:rsidR="00C020ED">
        <w:t xml:space="preserve">in </w:t>
      </w:r>
      <w:r w:rsidR="00A96022">
        <w:t xml:space="preserve">the test communities will receive </w:t>
      </w:r>
      <w:r w:rsidR="003B7A02">
        <w:t xml:space="preserve">an incentive of </w:t>
      </w:r>
      <w:r w:rsidR="00A96022">
        <w:t>$10</w:t>
      </w:r>
      <w:r w:rsidR="00C020ED">
        <w:t xml:space="preserve"> </w:t>
      </w:r>
      <w:r w:rsidR="003D2DED">
        <w:t xml:space="preserve">in </w:t>
      </w:r>
      <w:r w:rsidR="00C020ED">
        <w:t xml:space="preserve">cash </w:t>
      </w:r>
      <w:r w:rsidR="00EE6A55">
        <w:t xml:space="preserve">or a cash equivalent </w:t>
      </w:r>
      <w:r w:rsidR="00C020ED">
        <w:t>for completing the survey.</w:t>
      </w:r>
    </w:p>
    <w:p w:rsidR="003D2DED" w:rsidP="00083749" w:rsidRDefault="003D2DED" w14:paraId="68B925AA" w14:textId="77777777">
      <w:pPr>
        <w:pStyle w:val="Heading3"/>
      </w:pPr>
    </w:p>
    <w:p w:rsidRPr="00FD06AE" w:rsidR="001074FF" w:rsidP="00083749" w:rsidRDefault="001074FF" w14:paraId="21E6E03F" w14:textId="77777777">
      <w:pPr>
        <w:pStyle w:val="Heading3"/>
      </w:pPr>
      <w:r w:rsidRPr="00FD06AE">
        <w:t>B.4.</w:t>
      </w:r>
      <w:r w:rsidRPr="00FD06AE">
        <w:tab/>
        <w:t>Describe any tests of procedures or methods to be undertaken.</w:t>
      </w:r>
      <w:bookmarkEnd w:id="14"/>
      <w:bookmarkEnd w:id="15"/>
      <w:bookmarkEnd w:id="16"/>
      <w:bookmarkEnd w:id="17"/>
    </w:p>
    <w:p w:rsidR="00925257" w:rsidP="007935EC" w:rsidRDefault="001074FF" w14:paraId="3135A389" w14:textId="77777777">
      <w:bookmarkStart w:name="_Toc125278841" w:id="18"/>
      <w:bookmarkStart w:name="_Toc125341764" w:id="19"/>
      <w:bookmarkStart w:name="_Toc125447322" w:id="20"/>
      <w:bookmarkStart w:name="_Toc126394145" w:id="21"/>
      <w:r w:rsidRPr="00FD06AE">
        <w:rPr>
          <w:color w:val="4F81BD"/>
        </w:rPr>
        <w:tab/>
      </w:r>
      <w:r w:rsidRPr="003F42A1" w:rsidR="00C020ED">
        <w:t xml:space="preserve">Study staff will conduct extensive internal pilot testing of both surveys. The National Survey will be tested on a wide variety of portable electronic devices and web browsers to ensure it works on as many platforms as possible. </w:t>
      </w:r>
      <w:r w:rsidR="00C020ED">
        <w:t xml:space="preserve">Testing of the </w:t>
      </w:r>
      <w:r w:rsidR="00460579">
        <w:t>c</w:t>
      </w:r>
      <w:r w:rsidR="00C020ED">
        <w:t>ommunity survey will be limited to the singl</w:t>
      </w:r>
      <w:r w:rsidR="00925257">
        <w:t>e device</w:t>
      </w:r>
      <w:r w:rsidR="00C020ED">
        <w:t xml:space="preserve"> chosen for administration in the field. Pilot </w:t>
      </w:r>
      <w:r w:rsidR="00BE0D7D">
        <w:t xml:space="preserve">testing of the </w:t>
      </w:r>
      <w:r w:rsidR="00BC04C2">
        <w:t>national and community</w:t>
      </w:r>
      <w:r w:rsidR="00BE0D7D">
        <w:t xml:space="preserve"> survey</w:t>
      </w:r>
      <w:r w:rsidR="00C020ED">
        <w:t>s</w:t>
      </w:r>
      <w:r w:rsidR="00BE0D7D">
        <w:t xml:space="preserve"> w</w:t>
      </w:r>
      <w:r w:rsidR="00AB0471">
        <w:t>ill be</w:t>
      </w:r>
      <w:r w:rsidR="00BE0D7D">
        <w:t xml:space="preserve"> conducted </w:t>
      </w:r>
      <w:r w:rsidR="00C020ED">
        <w:t>with up to</w:t>
      </w:r>
      <w:r w:rsidR="00BE0D7D">
        <w:t xml:space="preserve"> eight </w:t>
      </w:r>
      <w:r w:rsidR="00C020ED">
        <w:t xml:space="preserve">non-staff members. This pilot testing will evaluate the amount of time needed to complete the surveys </w:t>
      </w:r>
      <w:r w:rsidR="00BE0D7D">
        <w:t>as</w:t>
      </w:r>
      <w:r w:rsidR="00C020ED">
        <w:t xml:space="preserve"> well as</w:t>
      </w:r>
      <w:r w:rsidR="00BE0D7D">
        <w:t xml:space="preserve"> </w:t>
      </w:r>
      <w:r w:rsidR="00C020ED">
        <w:t xml:space="preserve">participant </w:t>
      </w:r>
      <w:r w:rsidR="00BE0D7D">
        <w:t>comprehension</w:t>
      </w:r>
      <w:r w:rsidR="00C020ED">
        <w:t xml:space="preserve"> of items</w:t>
      </w:r>
      <w:r w:rsidR="00BE0D7D">
        <w:t xml:space="preserve">. </w:t>
      </w:r>
      <w:r w:rsidR="00C020ED">
        <w:t xml:space="preserve">Pilot </w:t>
      </w:r>
      <w:r w:rsidR="00BE0D7D">
        <w:t xml:space="preserve">test data will be reviewed for inconsistent responses that </w:t>
      </w:r>
      <w:r w:rsidR="00C020ED">
        <w:t xml:space="preserve">could </w:t>
      </w:r>
      <w:r w:rsidR="00BE0D7D">
        <w:t xml:space="preserve">signal problems </w:t>
      </w:r>
      <w:r w:rsidR="00C020ED">
        <w:t>with</w:t>
      </w:r>
      <w:r w:rsidR="00BE0D7D">
        <w:t xml:space="preserve"> </w:t>
      </w:r>
      <w:r w:rsidR="00C020ED">
        <w:t>item structure</w:t>
      </w:r>
      <w:r w:rsidR="00BE0D7D">
        <w:t xml:space="preserve">. These findings will be used to identify potential improvements to the survey prior to beginning actual data collection. </w:t>
      </w:r>
    </w:p>
    <w:p w:rsidR="00925257" w:rsidP="007935EC" w:rsidRDefault="00925257" w14:paraId="71CF7FA8" w14:textId="77777777"/>
    <w:p w:rsidRPr="007935EC" w:rsidR="00970AEE" w:rsidP="007935EC" w:rsidRDefault="00970AEE" w14:paraId="40613569" w14:textId="77777777">
      <w:pPr>
        <w:rPr>
          <w:b/>
        </w:rPr>
      </w:pPr>
    </w:p>
    <w:p w:rsidR="00925257" w:rsidRDefault="00925257" w14:paraId="6C4ACDD7" w14:textId="77777777">
      <w:pPr>
        <w:rPr>
          <w:b/>
        </w:rPr>
      </w:pPr>
      <w:r>
        <w:br w:type="page"/>
      </w:r>
    </w:p>
    <w:p w:rsidRPr="00FD06AE" w:rsidR="0026677E" w:rsidP="0013776B" w:rsidRDefault="001074FF" w14:paraId="0CC7A300" w14:textId="77777777">
      <w:pPr>
        <w:pStyle w:val="Heading3"/>
        <w:spacing w:after="240"/>
      </w:pPr>
      <w:r w:rsidRPr="00FD06AE">
        <w:t>B.5.</w:t>
      </w:r>
      <w:r w:rsidRPr="00FD06AE">
        <w:tab/>
        <w:t>Provide the name and telephone number of individuals consulted on statistical aspects of the design</w:t>
      </w:r>
      <w:bookmarkEnd w:id="18"/>
      <w:bookmarkEnd w:id="19"/>
      <w:bookmarkEnd w:id="20"/>
      <w:bookmarkEnd w:id="21"/>
    </w:p>
    <w:p w:rsidRPr="00970AEE" w:rsidR="001074FF" w:rsidP="00FF1BBE" w:rsidRDefault="001074FF" w14:paraId="61C4EE12" w14:textId="77777777">
      <w:pPr>
        <w:pStyle w:val="BodyText"/>
      </w:pPr>
      <w:r w:rsidRPr="00970AEE">
        <w:t>The following individuals have reviewed technical aspects of this research plan:</w:t>
      </w:r>
    </w:p>
    <w:p w:rsidRPr="00BC04C2" w:rsidR="00BC04C2" w:rsidP="00BC04C2" w:rsidRDefault="00BC04C2" w14:paraId="5AEE15C8" w14:textId="77777777">
      <w:pPr>
        <w:autoSpaceDE w:val="0"/>
        <w:autoSpaceDN w:val="0"/>
        <w:adjustRightInd w:val="0"/>
      </w:pPr>
      <w:r>
        <w:tab/>
      </w:r>
      <w:r w:rsidRPr="00BC04C2">
        <w:t xml:space="preserve">Kristin </w:t>
      </w:r>
      <w:r w:rsidRPr="00BC04C2">
        <w:rPr>
          <w:bCs/>
        </w:rPr>
        <w:t>Rosenthal</w:t>
      </w:r>
      <w:r w:rsidRPr="00BC04C2">
        <w:t xml:space="preserve"> </w:t>
      </w:r>
    </w:p>
    <w:p w:rsidRPr="00BC04C2" w:rsidR="00BC04C2" w:rsidP="00BC04C2" w:rsidRDefault="00BC04C2" w14:paraId="7AC69369" w14:textId="77777777">
      <w:pPr>
        <w:widowControl w:val="0"/>
        <w:autoSpaceDE w:val="0"/>
        <w:autoSpaceDN w:val="0"/>
        <w:adjustRightInd w:val="0"/>
      </w:pPr>
      <w:r>
        <w:tab/>
      </w:r>
      <w:r w:rsidRPr="00BC04C2">
        <w:t>Highway Safety Specialist</w:t>
      </w:r>
    </w:p>
    <w:p w:rsidRPr="00BC04C2" w:rsidR="00BC04C2" w:rsidP="00BC04C2" w:rsidRDefault="00BC04C2" w14:paraId="2F1229B8" w14:textId="77777777">
      <w:pPr>
        <w:widowControl w:val="0"/>
        <w:autoSpaceDE w:val="0"/>
        <w:autoSpaceDN w:val="0"/>
        <w:adjustRightInd w:val="0"/>
        <w:rPr>
          <w:bCs/>
        </w:rPr>
      </w:pPr>
      <w:r>
        <w:rPr>
          <w:bCs/>
        </w:rPr>
        <w:tab/>
      </w:r>
      <w:r w:rsidRPr="00BC04C2">
        <w:rPr>
          <w:bCs/>
        </w:rPr>
        <w:t>U.S. Department of Transportation</w:t>
      </w:r>
    </w:p>
    <w:p w:rsidRPr="00BC04C2" w:rsidR="00BC04C2" w:rsidP="00BC04C2" w:rsidRDefault="00BC04C2" w14:paraId="66D73402" w14:textId="77777777">
      <w:pPr>
        <w:widowControl w:val="0"/>
        <w:autoSpaceDE w:val="0"/>
        <w:autoSpaceDN w:val="0"/>
        <w:adjustRightInd w:val="0"/>
        <w:rPr>
          <w:bCs/>
        </w:rPr>
      </w:pPr>
      <w:r>
        <w:rPr>
          <w:bCs/>
        </w:rPr>
        <w:tab/>
      </w:r>
      <w:r w:rsidRPr="00BC04C2">
        <w:rPr>
          <w:bCs/>
        </w:rPr>
        <w:t>National Highway Traffic Safety Administration</w:t>
      </w:r>
    </w:p>
    <w:p w:rsidRPr="00BC04C2" w:rsidR="00BC04C2" w:rsidP="00BC04C2" w:rsidRDefault="00BC04C2" w14:paraId="68F32B75" w14:textId="77777777">
      <w:pPr>
        <w:widowControl w:val="0"/>
        <w:autoSpaceDE w:val="0"/>
        <w:autoSpaceDN w:val="0"/>
        <w:adjustRightInd w:val="0"/>
      </w:pPr>
      <w:r>
        <w:tab/>
      </w:r>
      <w:r w:rsidRPr="00BC04C2">
        <w:t>1200 New Jersey Avenue</w:t>
      </w:r>
      <w:r w:rsidR="00B26AA1">
        <w:t>,</w:t>
      </w:r>
      <w:r w:rsidRPr="00BC04C2">
        <w:t xml:space="preserve"> SE </w:t>
      </w:r>
      <w:r w:rsidR="003D2DED">
        <w:t>W44-245</w:t>
      </w:r>
    </w:p>
    <w:p w:rsidR="00BC04C2" w:rsidP="00BC04C2" w:rsidRDefault="00BC04C2" w14:paraId="53D71593" w14:textId="77777777">
      <w:pPr>
        <w:autoSpaceDE w:val="0"/>
        <w:autoSpaceDN w:val="0"/>
        <w:adjustRightInd w:val="0"/>
      </w:pPr>
      <w:r>
        <w:tab/>
      </w:r>
      <w:r w:rsidRPr="00BC04C2">
        <w:t>Washington, DC 20590</w:t>
      </w:r>
    </w:p>
    <w:p w:rsidRPr="00BC04C2" w:rsidR="00BC04C2" w:rsidP="00BC04C2" w:rsidRDefault="00BC04C2" w14:paraId="7D637BB8" w14:textId="77777777">
      <w:pPr>
        <w:autoSpaceDE w:val="0"/>
        <w:autoSpaceDN w:val="0"/>
        <w:adjustRightInd w:val="0"/>
      </w:pPr>
      <w:r>
        <w:tab/>
      </w:r>
      <w:r w:rsidRPr="00BC04C2">
        <w:t>202-366-8995</w:t>
      </w:r>
    </w:p>
    <w:p w:rsidRPr="007935EC" w:rsidR="0013776B" w:rsidRDefault="0013776B" w14:paraId="6C8E4172" w14:textId="77777777">
      <w:pPr>
        <w:rPr>
          <w:highlight w:val="yellow"/>
        </w:rPr>
      </w:pPr>
    </w:p>
    <w:p w:rsidRPr="007935EC" w:rsidR="00FE4CE2" w:rsidRDefault="00FE4CE2" w14:paraId="28719924" w14:textId="77777777">
      <w:pPr>
        <w:rPr>
          <w:highlight w:val="yellow"/>
        </w:rPr>
      </w:pPr>
      <w:r w:rsidRPr="003F0E19">
        <w:tab/>
      </w:r>
      <w:r w:rsidRPr="00A52B7A" w:rsidR="00A52B7A">
        <w:t>Michelle Atwell</w:t>
      </w:r>
    </w:p>
    <w:p w:rsidRPr="003F0E19" w:rsidR="00FE4CE2" w:rsidRDefault="00F36EA1" w14:paraId="290CD51E" w14:textId="77777777">
      <w:r w:rsidRPr="003F0E19">
        <w:tab/>
        <w:t xml:space="preserve">Chief, </w:t>
      </w:r>
      <w:r w:rsidRPr="003F0E19" w:rsidR="00A52B7A">
        <w:t>Safety Countermeasures</w:t>
      </w:r>
    </w:p>
    <w:p w:rsidRPr="003F0E19" w:rsidR="00F36EA1" w:rsidRDefault="00F36EA1" w14:paraId="6C58ADF9" w14:textId="77777777">
      <w:r w:rsidRPr="003F0E19">
        <w:tab/>
        <w:t xml:space="preserve">Office of Safety </w:t>
      </w:r>
      <w:r w:rsidRPr="003F0E19" w:rsidR="00A52B7A">
        <w:t>Programs</w:t>
      </w:r>
    </w:p>
    <w:p w:rsidRPr="003F0E19" w:rsidR="00F36EA1" w:rsidRDefault="00F36EA1" w14:paraId="21170DA3" w14:textId="77777777">
      <w:r w:rsidRPr="003F0E19">
        <w:tab/>
        <w:t>National Highway Traffic Safety Administration</w:t>
      </w:r>
    </w:p>
    <w:p w:rsidRPr="003F0E19" w:rsidR="00F36EA1" w:rsidRDefault="00F36EA1" w14:paraId="0C72FA83" w14:textId="77777777">
      <w:r w:rsidRPr="003F0E19">
        <w:tab/>
        <w:t>Washington, DC</w:t>
      </w:r>
    </w:p>
    <w:p w:rsidRPr="003F0E19" w:rsidR="00FE4CE2" w:rsidRDefault="00F36EA1" w14:paraId="32013454" w14:textId="77777777">
      <w:r w:rsidRPr="003F0E19">
        <w:tab/>
        <w:t>202-366-</w:t>
      </w:r>
      <w:r w:rsidRPr="003F0E19" w:rsidR="00A52B7A">
        <w:t>2084</w:t>
      </w:r>
    </w:p>
    <w:p w:rsidRPr="007935EC" w:rsidR="00F36EA1" w:rsidRDefault="00F36EA1" w14:paraId="734151F4" w14:textId="77777777">
      <w:pPr>
        <w:rPr>
          <w:highlight w:val="yellow"/>
        </w:rPr>
      </w:pPr>
    </w:p>
    <w:p w:rsidRPr="003F0E19" w:rsidR="004027A1" w:rsidP="00706A4A" w:rsidRDefault="00A52B7A" w14:paraId="2BF1FCDF" w14:textId="77777777">
      <w:pPr>
        <w:pStyle w:val="BodyText"/>
        <w:spacing w:before="0" w:after="0"/>
        <w:ind w:firstLine="720"/>
      </w:pPr>
      <w:r w:rsidRPr="003F0E19">
        <w:t>Kristie L. Johnson</w:t>
      </w:r>
      <w:r w:rsidRPr="003F0E19" w:rsidR="004027A1">
        <w:t xml:space="preserve">, PhD </w:t>
      </w:r>
    </w:p>
    <w:p w:rsidRPr="003F0E19" w:rsidR="00FE4CE2" w:rsidP="00706A4A" w:rsidRDefault="00A52B7A" w14:paraId="7D7EBAF8" w14:textId="77777777">
      <w:pPr>
        <w:pStyle w:val="BodyText"/>
        <w:spacing w:before="0" w:after="0"/>
        <w:ind w:firstLine="720"/>
      </w:pPr>
      <w:r w:rsidRPr="003F0E19">
        <w:t>Research Psychologist</w:t>
      </w:r>
    </w:p>
    <w:p w:rsidRPr="003F0E19" w:rsidR="004027A1" w:rsidP="00706A4A" w:rsidRDefault="00FE4CE2" w14:paraId="01D7B2A2" w14:textId="77777777">
      <w:pPr>
        <w:pStyle w:val="BodyText"/>
        <w:spacing w:before="0" w:after="0"/>
        <w:ind w:firstLine="720"/>
      </w:pPr>
      <w:r w:rsidRPr="003F0E19">
        <w:t xml:space="preserve">Office of Behavioral Safety Research </w:t>
      </w:r>
    </w:p>
    <w:p w:rsidRPr="003F0E19" w:rsidR="004027A1" w:rsidP="00706A4A" w:rsidRDefault="00A52B7A" w14:paraId="4AECB21D" w14:textId="77777777">
      <w:pPr>
        <w:pStyle w:val="BodyText"/>
        <w:spacing w:before="0" w:after="0"/>
        <w:ind w:firstLine="720"/>
      </w:pPr>
      <w:r w:rsidRPr="003F0E19">
        <w:t>Department of Transportation</w:t>
      </w:r>
    </w:p>
    <w:p w:rsidRPr="003F0E19" w:rsidR="004027A1" w:rsidP="00706A4A" w:rsidRDefault="00A52B7A" w14:paraId="7579E464" w14:textId="77777777">
      <w:pPr>
        <w:pStyle w:val="BodyText"/>
        <w:spacing w:before="0" w:after="0"/>
        <w:ind w:firstLine="720"/>
      </w:pPr>
      <w:r w:rsidRPr="003F0E19">
        <w:t xml:space="preserve">Office: </w:t>
      </w:r>
      <w:r w:rsidRPr="003F0E19" w:rsidR="004027A1">
        <w:t>202-366-</w:t>
      </w:r>
      <w:r w:rsidRPr="003F0E19">
        <w:t>2755</w:t>
      </w:r>
    </w:p>
    <w:p w:rsidR="001921D9" w:rsidP="00706A4A" w:rsidRDefault="001921D9" w14:paraId="603BC9B6" w14:textId="77777777">
      <w:pPr>
        <w:pStyle w:val="BodyText"/>
        <w:spacing w:before="0" w:after="0"/>
        <w:ind w:firstLine="720"/>
        <w:rPr>
          <w:highlight w:val="yellow"/>
        </w:rPr>
      </w:pPr>
    </w:p>
    <w:p w:rsidRPr="007935EC" w:rsidR="00BC04C2" w:rsidP="00706A4A" w:rsidRDefault="00BC04C2" w14:paraId="70B62ED8" w14:textId="77777777">
      <w:pPr>
        <w:pStyle w:val="BodyText"/>
        <w:spacing w:before="0" w:after="0"/>
        <w:ind w:firstLine="720"/>
      </w:pPr>
      <w:r w:rsidRPr="007935EC">
        <w:t>Timothy Wright, PhD, MS</w:t>
      </w:r>
    </w:p>
    <w:p w:rsidRPr="007935EC" w:rsidR="00BC04C2" w:rsidP="00706A4A" w:rsidRDefault="00BC04C2" w14:paraId="18300B9C" w14:textId="77777777">
      <w:pPr>
        <w:pStyle w:val="BodyText"/>
        <w:spacing w:before="0" w:after="0"/>
        <w:ind w:firstLine="720"/>
      </w:pPr>
      <w:r w:rsidRPr="007935EC">
        <w:t>Principal Associate, Dunlap and Associates, Inc.</w:t>
      </w:r>
    </w:p>
    <w:p w:rsidRPr="00BC04C2" w:rsidR="00BC04C2" w:rsidP="00706A4A" w:rsidRDefault="00BC04C2" w14:paraId="063A0BF5" w14:textId="77777777">
      <w:pPr>
        <w:pStyle w:val="BodyText"/>
        <w:spacing w:before="0" w:after="0"/>
        <w:ind w:firstLine="720"/>
      </w:pPr>
      <w:r w:rsidRPr="00BC04C2">
        <w:t>203-323-8464 (ext. 105)</w:t>
      </w:r>
    </w:p>
    <w:p w:rsidRPr="00B67AA3" w:rsidR="004027A1" w:rsidP="00706A4A" w:rsidRDefault="004027A1" w14:paraId="7BE976E3" w14:textId="77777777">
      <w:pPr>
        <w:pStyle w:val="BodyText"/>
        <w:spacing w:before="0" w:after="0"/>
        <w:ind w:firstLine="720"/>
        <w:rPr>
          <w:highlight w:val="yellow"/>
        </w:rPr>
      </w:pPr>
    </w:p>
    <w:p w:rsidRPr="00970AEE" w:rsidR="001074FF" w:rsidP="00706A4A" w:rsidRDefault="001074FF" w14:paraId="4682EE35" w14:textId="77777777">
      <w:pPr>
        <w:pStyle w:val="BodyText"/>
        <w:spacing w:before="0" w:after="0"/>
        <w:ind w:firstLine="720"/>
      </w:pPr>
      <w:r w:rsidRPr="00970AEE">
        <w:t>Dennis Thomas, PhD</w:t>
      </w:r>
      <w:r w:rsidRPr="00970AEE" w:rsidR="007154FB">
        <w:t>, M</w:t>
      </w:r>
      <w:r w:rsidRPr="00970AEE" w:rsidR="001455DC">
        <w:t>A</w:t>
      </w:r>
    </w:p>
    <w:p w:rsidRPr="00970AEE" w:rsidR="001074FF" w:rsidP="00706A4A" w:rsidRDefault="001074FF" w14:paraId="27F937F4" w14:textId="77777777">
      <w:pPr>
        <w:pStyle w:val="BodyText"/>
        <w:spacing w:before="0" w:after="0"/>
        <w:ind w:firstLine="720"/>
      </w:pPr>
      <w:r w:rsidRPr="00970AEE">
        <w:t>Vice President, Dunlap and Associates, Inc.</w:t>
      </w:r>
    </w:p>
    <w:p w:rsidRPr="00970AEE" w:rsidR="001074FF" w:rsidP="00706A4A" w:rsidRDefault="001074FF" w14:paraId="1EE4572C" w14:textId="77777777">
      <w:pPr>
        <w:pStyle w:val="BodyText"/>
        <w:spacing w:before="0" w:after="0"/>
        <w:ind w:firstLine="720"/>
      </w:pPr>
      <w:r w:rsidRPr="00970AEE">
        <w:t>203-323-8464 (ext. 104)</w:t>
      </w:r>
    </w:p>
    <w:p w:rsidRPr="007935EC" w:rsidR="00965FCF" w:rsidP="00706A4A" w:rsidRDefault="00965FCF" w14:paraId="38F0EA0F" w14:textId="77777777">
      <w:pPr>
        <w:pStyle w:val="BodyText"/>
        <w:spacing w:before="0" w:after="0"/>
        <w:ind w:firstLine="720"/>
        <w:rPr>
          <w:highlight w:val="yellow"/>
        </w:rPr>
      </w:pPr>
    </w:p>
    <w:p w:rsidRPr="00970AEE" w:rsidR="001074FF" w:rsidP="00706A4A" w:rsidRDefault="001074FF" w14:paraId="0D500856" w14:textId="77777777">
      <w:pPr>
        <w:pStyle w:val="BodyText"/>
        <w:spacing w:before="0" w:after="0"/>
        <w:ind w:firstLine="720"/>
      </w:pPr>
      <w:r w:rsidRPr="00970AEE">
        <w:t>Richard Blomberg</w:t>
      </w:r>
      <w:r w:rsidRPr="00970AEE" w:rsidR="007D02F0">
        <w:t>, MS</w:t>
      </w:r>
    </w:p>
    <w:p w:rsidRPr="00970AEE" w:rsidR="001074FF" w:rsidP="00706A4A" w:rsidRDefault="001074FF" w14:paraId="525C7846" w14:textId="77777777">
      <w:pPr>
        <w:pStyle w:val="BodyText"/>
        <w:spacing w:before="0" w:after="0"/>
        <w:ind w:firstLine="720"/>
      </w:pPr>
      <w:r w:rsidRPr="00970AEE">
        <w:t>President, Dunlap and Associates, Inc.</w:t>
      </w:r>
    </w:p>
    <w:p w:rsidRPr="00757933" w:rsidR="001074FF" w:rsidP="00706A4A" w:rsidRDefault="001074FF" w14:paraId="407EF5A3" w14:textId="77777777">
      <w:pPr>
        <w:pStyle w:val="BodyText"/>
        <w:spacing w:before="0" w:after="0"/>
        <w:ind w:firstLine="720"/>
      </w:pPr>
      <w:r w:rsidRPr="00757933">
        <w:t>203-323-8464 (ext. 101)</w:t>
      </w:r>
    </w:p>
    <w:p w:rsidRPr="00757933" w:rsidR="00AD7D25" w:rsidP="00AD7D25" w:rsidRDefault="00AD7D25" w14:paraId="61A250BE" w14:textId="77777777">
      <w:pPr>
        <w:pStyle w:val="BodyText"/>
        <w:spacing w:before="0" w:after="0"/>
        <w:ind w:firstLine="720"/>
      </w:pPr>
    </w:p>
    <w:p w:rsidRPr="00757933" w:rsidR="00AD7D25" w:rsidP="00AD7D25" w:rsidRDefault="00AD7D25" w14:paraId="2B0083C2" w14:textId="77777777">
      <w:pPr>
        <w:pStyle w:val="BodyText"/>
        <w:spacing w:before="0" w:after="0"/>
        <w:ind w:firstLine="720"/>
      </w:pPr>
      <w:r w:rsidRPr="00757933">
        <w:t>J. Michael Dennis, Ph.D.</w:t>
      </w:r>
    </w:p>
    <w:p w:rsidR="00AD7D25" w:rsidP="00AD7D25" w:rsidRDefault="00AD7D25" w14:paraId="4DCB712F" w14:textId="77777777">
      <w:pPr>
        <w:pStyle w:val="BodyText"/>
        <w:spacing w:before="0" w:after="0"/>
        <w:ind w:firstLine="720"/>
      </w:pPr>
      <w:r>
        <w:t xml:space="preserve">Senior Vice President &amp; Executive Director, </w:t>
      </w:r>
      <w:proofErr w:type="spellStart"/>
      <w:r>
        <w:t>AmeriSpeak</w:t>
      </w:r>
      <w:proofErr w:type="spellEnd"/>
    </w:p>
    <w:p w:rsidR="00AD7D25" w:rsidP="00AD7D25" w:rsidRDefault="00AD7D25" w14:paraId="10C1EB66" w14:textId="77777777">
      <w:pPr>
        <w:pStyle w:val="BodyText"/>
        <w:spacing w:before="0" w:after="0"/>
        <w:ind w:firstLine="720"/>
      </w:pPr>
      <w:r>
        <w:t>NORC at the University of Chicago</w:t>
      </w:r>
    </w:p>
    <w:p w:rsidR="00AD7D25" w:rsidP="00AD7D25" w:rsidRDefault="00AD7D25" w14:paraId="7A705AEE" w14:textId="77777777">
      <w:pPr>
        <w:pStyle w:val="BodyText"/>
        <w:spacing w:before="0" w:after="0"/>
        <w:ind w:firstLine="720"/>
      </w:pPr>
      <w:r>
        <w:t xml:space="preserve">1250 </w:t>
      </w:r>
      <w:proofErr w:type="spellStart"/>
      <w:r>
        <w:t>Borregas</w:t>
      </w:r>
      <w:proofErr w:type="spellEnd"/>
      <w:r>
        <w:t xml:space="preserve"> Avenue, #135 </w:t>
      </w:r>
    </w:p>
    <w:p w:rsidR="00AD7D25" w:rsidP="00AD7D25" w:rsidRDefault="00AD7D25" w14:paraId="435D431D" w14:textId="77777777">
      <w:pPr>
        <w:pStyle w:val="BodyText"/>
        <w:spacing w:before="0" w:after="0"/>
        <w:ind w:firstLine="720"/>
      </w:pPr>
      <w:r>
        <w:t>Sunnyvale, CA 94089</w:t>
      </w:r>
    </w:p>
    <w:p w:rsidR="00556C15" w:rsidP="00AD7D25" w:rsidRDefault="00AD7D25" w14:paraId="6BE483AD" w14:textId="7898FDFD">
      <w:pPr>
        <w:pStyle w:val="BodyText"/>
        <w:spacing w:before="0" w:after="0"/>
        <w:ind w:firstLine="720"/>
      </w:pPr>
      <w:r>
        <w:t>415-315-3800</w:t>
      </w:r>
    </w:p>
    <w:p w:rsidR="00556C15" w:rsidRDefault="00556C15" w14:paraId="2054D25E" w14:textId="77777777">
      <w:r>
        <w:br w:type="page"/>
      </w:r>
    </w:p>
    <w:p w:rsidR="00556C15" w:rsidP="00556C15" w:rsidRDefault="00556C15" w14:paraId="78B21151" w14:textId="77777777">
      <w:pPr>
        <w:jc w:val="center"/>
        <w:rPr>
          <w:b/>
          <w:bCs/>
        </w:rPr>
      </w:pPr>
      <w:r>
        <w:rPr>
          <w:b/>
          <w:bCs/>
        </w:rPr>
        <w:t>Attachment</w:t>
      </w:r>
    </w:p>
    <w:p w:rsidR="00556C15" w:rsidP="00556C15" w:rsidRDefault="00556C15" w14:paraId="624F5439" w14:textId="77777777">
      <w:pPr>
        <w:jc w:val="center"/>
      </w:pPr>
      <w:proofErr w:type="spellStart"/>
      <w:r>
        <w:rPr>
          <w:b/>
          <w:bCs/>
        </w:rPr>
        <w:t>AmeriSpeak</w:t>
      </w:r>
      <w:proofErr w:type="spellEnd"/>
      <w:r>
        <w:rPr>
          <w:b/>
          <w:bCs/>
        </w:rPr>
        <w:t xml:space="preserve"> Standard Invitation to Selected Respondents and Reminder</w:t>
      </w:r>
    </w:p>
    <w:p w:rsidR="00556C15" w:rsidP="00556C15" w:rsidRDefault="00556C15" w14:paraId="185EFC08" w14:textId="77777777">
      <w:pPr>
        <w:jc w:val="center"/>
      </w:pPr>
    </w:p>
    <w:p w:rsidR="00556C15" w:rsidP="00556C15" w:rsidRDefault="00556C15" w14:paraId="0EF772E9" w14:textId="77777777">
      <w:pPr>
        <w:spacing w:after="160" w:line="259" w:lineRule="auto"/>
        <w:rPr>
          <w:rFonts w:ascii="Calibri" w:hAnsi="Calibri" w:eastAsia="Calibri"/>
          <w:b/>
          <w:sz w:val="22"/>
          <w:szCs w:val="22"/>
        </w:rPr>
      </w:pPr>
    </w:p>
    <w:p w:rsidRPr="00B2016B" w:rsidR="00556C15" w:rsidP="00556C15" w:rsidRDefault="00556C15" w14:paraId="46000A5E" w14:textId="77777777">
      <w:pPr>
        <w:pBdr>
          <w:top w:val="single" w:color="auto" w:sz="4" w:space="1"/>
          <w:left w:val="single" w:color="auto" w:sz="4" w:space="4"/>
          <w:bottom w:val="single" w:color="auto" w:sz="4" w:space="1"/>
          <w:right w:val="single" w:color="auto" w:sz="4" w:space="4"/>
        </w:pBdr>
        <w:spacing w:after="160" w:line="259" w:lineRule="auto"/>
        <w:jc w:val="center"/>
        <w:rPr>
          <w:rFonts w:ascii="Calibri" w:hAnsi="Calibri" w:eastAsia="Calibri"/>
          <w:b/>
          <w:sz w:val="22"/>
          <w:szCs w:val="22"/>
        </w:rPr>
      </w:pPr>
      <w:proofErr w:type="spellStart"/>
      <w:r w:rsidRPr="00B2016B">
        <w:rPr>
          <w:rFonts w:ascii="Calibri" w:hAnsi="Calibri" w:eastAsia="Calibri"/>
          <w:b/>
          <w:sz w:val="22"/>
          <w:szCs w:val="22"/>
        </w:rPr>
        <w:t>AmeriSpeak</w:t>
      </w:r>
      <w:proofErr w:type="spellEnd"/>
      <w:r w:rsidRPr="00B2016B">
        <w:rPr>
          <w:rFonts w:ascii="Calibri" w:hAnsi="Calibri" w:eastAsia="Calibri"/>
          <w:b/>
          <w:sz w:val="22"/>
          <w:szCs w:val="22"/>
        </w:rPr>
        <w:t xml:space="preserve"> Standard Survey Invitation Text</w:t>
      </w:r>
    </w:p>
    <w:p w:rsidRPr="00B2016B" w:rsidR="00556C15" w:rsidP="00556C15" w:rsidRDefault="00556C15" w14:paraId="0A9A9B0F"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Subject line: You're invited to complete your new </w:t>
      </w:r>
      <w:proofErr w:type="spellStart"/>
      <w:r w:rsidRPr="00B2016B">
        <w:rPr>
          <w:rFonts w:ascii="Calibri" w:hAnsi="Calibri" w:eastAsia="Calibri"/>
          <w:sz w:val="22"/>
          <w:szCs w:val="22"/>
        </w:rPr>
        <w:t>AmeriSpeak</w:t>
      </w:r>
      <w:proofErr w:type="spellEnd"/>
      <w:r w:rsidRPr="00B2016B">
        <w:rPr>
          <w:rFonts w:ascii="Calibri" w:hAnsi="Calibri" w:eastAsia="Calibri"/>
          <w:sz w:val="22"/>
          <w:szCs w:val="22"/>
        </w:rPr>
        <w:t xml:space="preserve"> survey (SID: [$Survey.ID]). </w:t>
      </w:r>
    </w:p>
    <w:p w:rsidRPr="00B2016B" w:rsidR="00556C15" w:rsidP="00556C15" w:rsidRDefault="00556C15" w14:paraId="683B38EE"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BEGIN YOUR SURVEY </w:t>
      </w:r>
    </w:p>
    <w:p w:rsidRPr="00B2016B" w:rsidR="00556C15" w:rsidP="00556C15" w:rsidRDefault="00556C15" w14:paraId="4304024A"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and, if you are eligible, get X,000 </w:t>
      </w:r>
      <w:proofErr w:type="spellStart"/>
      <w:r w:rsidRPr="00B2016B">
        <w:rPr>
          <w:rFonts w:ascii="Calibri" w:hAnsi="Calibri" w:eastAsia="Calibri"/>
          <w:sz w:val="22"/>
          <w:szCs w:val="22"/>
        </w:rPr>
        <w:t>AmeriPoints</w:t>
      </w:r>
      <w:proofErr w:type="spellEnd"/>
      <w:r w:rsidRPr="00B2016B">
        <w:rPr>
          <w:rFonts w:ascii="Calibri" w:hAnsi="Calibri" w:eastAsia="Calibri"/>
          <w:sz w:val="22"/>
          <w:szCs w:val="22"/>
        </w:rPr>
        <w:t xml:space="preserve">. </w:t>
      </w:r>
    </w:p>
    <w:p w:rsidRPr="00B2016B" w:rsidR="00556C15" w:rsidP="00556C15" w:rsidRDefault="00556C15" w14:paraId="0BD8A614"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Dear FIRSTNAME, </w:t>
      </w:r>
    </w:p>
    <w:p w:rsidRPr="00B2016B" w:rsidR="00556C15" w:rsidP="00556C15" w:rsidRDefault="00556C15" w14:paraId="116814E6"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Thank you for the valuable insights you provide to us at </w:t>
      </w:r>
      <w:proofErr w:type="spellStart"/>
      <w:r w:rsidRPr="00B2016B">
        <w:rPr>
          <w:rFonts w:ascii="Calibri" w:hAnsi="Calibri" w:eastAsia="Calibri"/>
          <w:sz w:val="22"/>
          <w:szCs w:val="22"/>
        </w:rPr>
        <w:t>AmeriSpeak</w:t>
      </w:r>
      <w:proofErr w:type="spellEnd"/>
      <w:r w:rsidRPr="00B2016B">
        <w:rPr>
          <w:rFonts w:ascii="Calibri" w:hAnsi="Calibri" w:eastAsia="Calibri"/>
          <w:sz w:val="22"/>
          <w:szCs w:val="22"/>
        </w:rPr>
        <w:t xml:space="preserve">®. </w:t>
      </w:r>
    </w:p>
    <w:p w:rsidRPr="00B2016B" w:rsidR="00556C15" w:rsidP="00556C15" w:rsidRDefault="00556C15" w14:paraId="60F687E8"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We have a new survey for you. Please complete it at your earliest convenience, and if you are eligible, get X,000 </w:t>
      </w:r>
      <w:proofErr w:type="spellStart"/>
      <w:r w:rsidRPr="00B2016B">
        <w:rPr>
          <w:rFonts w:ascii="Calibri" w:hAnsi="Calibri" w:eastAsia="Calibri"/>
          <w:sz w:val="22"/>
          <w:szCs w:val="22"/>
        </w:rPr>
        <w:t>AmeriPoints</w:t>
      </w:r>
      <w:proofErr w:type="spellEnd"/>
      <w:r w:rsidRPr="00B2016B">
        <w:rPr>
          <w:rFonts w:ascii="Calibri" w:hAnsi="Calibri" w:eastAsia="Calibri"/>
          <w:sz w:val="22"/>
          <w:szCs w:val="22"/>
        </w:rPr>
        <w:t xml:space="preserve">. </w:t>
      </w:r>
    </w:p>
    <w:p w:rsidRPr="00B2016B" w:rsidR="00556C15" w:rsidP="00556C15" w:rsidRDefault="00556C15" w14:paraId="6CC8ACA4"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Remember, once you have 10,000 </w:t>
      </w:r>
      <w:proofErr w:type="spellStart"/>
      <w:r w:rsidRPr="00B2016B">
        <w:rPr>
          <w:rFonts w:ascii="Calibri" w:hAnsi="Calibri" w:eastAsia="Calibri"/>
          <w:sz w:val="22"/>
          <w:szCs w:val="22"/>
        </w:rPr>
        <w:t>AmeriPoints</w:t>
      </w:r>
      <w:proofErr w:type="spellEnd"/>
      <w:r w:rsidRPr="00B2016B">
        <w:rPr>
          <w:rFonts w:ascii="Calibri" w:hAnsi="Calibri" w:eastAsia="Calibri"/>
          <w:sz w:val="22"/>
          <w:szCs w:val="22"/>
        </w:rPr>
        <w:t xml:space="preserve">, you can redeem them for a variety of things, such as a Mastercard® Reward Card or an Amazon.com gift card. </w:t>
      </w:r>
    </w:p>
    <w:p w:rsidRPr="00B2016B" w:rsidR="00556C15" w:rsidP="00556C15" w:rsidRDefault="00556C15" w14:paraId="6993F5DA"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BEGIN YOUR SURVEY </w:t>
      </w:r>
      <w:r>
        <w:rPr>
          <w:rFonts w:ascii="Calibri" w:hAnsi="Calibri" w:eastAsia="Calibri"/>
          <w:sz w:val="22"/>
          <w:szCs w:val="22"/>
        </w:rPr>
        <w:t>[Hyperlink]</w:t>
      </w:r>
    </w:p>
    <w:p w:rsidRPr="00B2016B" w:rsidR="00556C15" w:rsidP="00556C15" w:rsidRDefault="00556C15" w14:paraId="6C4BAA26"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Thank you for your time today. We look forward to hearing from you — and hearing your opinions! </w:t>
      </w:r>
    </w:p>
    <w:p w:rsidRPr="00B2016B" w:rsidR="00556C15" w:rsidP="00556C15" w:rsidRDefault="00556C15" w14:paraId="2DCB5A9C"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Sincerely, </w:t>
      </w:r>
    </w:p>
    <w:p w:rsidRPr="00B2016B" w:rsidR="00556C15" w:rsidP="00556C15" w:rsidRDefault="00556C15" w14:paraId="6D5FCE3D"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The </w:t>
      </w:r>
      <w:proofErr w:type="spellStart"/>
      <w:r w:rsidRPr="00B2016B">
        <w:rPr>
          <w:rFonts w:ascii="Calibri" w:hAnsi="Calibri" w:eastAsia="Calibri"/>
          <w:sz w:val="22"/>
          <w:szCs w:val="22"/>
        </w:rPr>
        <w:t>AmeriSpeak</w:t>
      </w:r>
      <w:proofErr w:type="spellEnd"/>
      <w:r w:rsidRPr="00B2016B">
        <w:rPr>
          <w:rFonts w:ascii="Calibri" w:hAnsi="Calibri" w:eastAsia="Calibri"/>
          <w:sz w:val="22"/>
          <w:szCs w:val="22"/>
        </w:rPr>
        <w:t xml:space="preserve"> Support Team </w:t>
      </w:r>
    </w:p>
    <w:p w:rsidRPr="00B2016B" w:rsidR="00556C15" w:rsidP="00556C15" w:rsidRDefault="00556C15" w14:paraId="0F77E383"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This email is intended for FIRSTNAME (PMID#). </w:t>
      </w:r>
    </w:p>
    <w:p w:rsidRPr="00B2016B" w:rsidR="00556C15" w:rsidP="00556C15" w:rsidRDefault="00556C15" w14:paraId="055FDB0E"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Having trouble with the link? You can copy and paste this into your browser: </w:t>
      </w:r>
      <w:proofErr w:type="spellStart"/>
      <w:r w:rsidRPr="00B2016B">
        <w:rPr>
          <w:rFonts w:ascii="Calibri" w:hAnsi="Calibri" w:eastAsia="Calibri"/>
          <w:sz w:val="22"/>
          <w:szCs w:val="22"/>
        </w:rPr>
        <w:t>URL.You</w:t>
      </w:r>
      <w:proofErr w:type="spellEnd"/>
      <w:r w:rsidRPr="00B2016B">
        <w:rPr>
          <w:rFonts w:ascii="Calibri" w:hAnsi="Calibri" w:eastAsia="Calibri"/>
          <w:sz w:val="22"/>
          <w:szCs w:val="22"/>
        </w:rPr>
        <w:t xml:space="preserve"> can also go to my.AmeriSpeak.org or the </w:t>
      </w:r>
      <w:proofErr w:type="spellStart"/>
      <w:r w:rsidRPr="00B2016B">
        <w:rPr>
          <w:rFonts w:ascii="Calibri" w:hAnsi="Calibri" w:eastAsia="Calibri"/>
          <w:sz w:val="22"/>
          <w:szCs w:val="22"/>
        </w:rPr>
        <w:t>AmeriSpeak</w:t>
      </w:r>
      <w:proofErr w:type="spellEnd"/>
      <w:r w:rsidRPr="00B2016B">
        <w:rPr>
          <w:rFonts w:ascii="Calibri" w:hAnsi="Calibri" w:eastAsia="Calibri"/>
          <w:sz w:val="22"/>
          <w:szCs w:val="22"/>
        </w:rPr>
        <w:t xml:space="preserve"> app, log in using your member credentials, and click on the "Start Survey" button in your dashboard page. </w:t>
      </w:r>
    </w:p>
    <w:p w:rsidRPr="00B2016B" w:rsidR="00556C15" w:rsidP="00556C15" w:rsidRDefault="00556C15" w14:paraId="49635FFB"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Need more help or have questions? Email the </w:t>
      </w:r>
      <w:proofErr w:type="spellStart"/>
      <w:r w:rsidRPr="00B2016B">
        <w:rPr>
          <w:rFonts w:ascii="Calibri" w:hAnsi="Calibri" w:eastAsia="Calibri"/>
          <w:sz w:val="22"/>
          <w:szCs w:val="22"/>
        </w:rPr>
        <w:t>AmeriSpeak</w:t>
      </w:r>
      <w:proofErr w:type="spellEnd"/>
      <w:r w:rsidRPr="00B2016B">
        <w:rPr>
          <w:rFonts w:ascii="Calibri" w:hAnsi="Calibri" w:eastAsia="Calibri"/>
          <w:sz w:val="22"/>
          <w:szCs w:val="22"/>
        </w:rPr>
        <w:t xml:space="preserve"> Support Team at </w:t>
      </w:r>
    </w:p>
    <w:p w:rsidRPr="00B2016B" w:rsidR="00556C15" w:rsidP="00556C15" w:rsidRDefault="00556C15" w14:paraId="04660D5C"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support@AmeriSpeak.org or call toll-free (888) 326-9424. </w:t>
      </w:r>
      <w:proofErr w:type="spellStart"/>
      <w:r w:rsidRPr="00B2016B">
        <w:rPr>
          <w:rFonts w:ascii="Calibri" w:hAnsi="Calibri" w:eastAsia="Calibri"/>
          <w:sz w:val="22"/>
          <w:szCs w:val="22"/>
        </w:rPr>
        <w:t>AmeriSpeak</w:t>
      </w:r>
      <w:proofErr w:type="spellEnd"/>
      <w:r w:rsidRPr="00B2016B">
        <w:rPr>
          <w:rFonts w:ascii="Calibri" w:hAnsi="Calibri" w:eastAsia="Calibri"/>
          <w:sz w:val="22"/>
          <w:szCs w:val="22"/>
        </w:rPr>
        <w:t xml:space="preserve"> Support: 55 E Monroe St, 19th Floor, Chicago, IL 60603. Copyright </w:t>
      </w:r>
      <w:proofErr w:type="spellStart"/>
      <w:r w:rsidRPr="00B2016B">
        <w:rPr>
          <w:rFonts w:ascii="Calibri" w:hAnsi="Calibri" w:eastAsia="Calibri"/>
          <w:sz w:val="22"/>
          <w:szCs w:val="22"/>
        </w:rPr>
        <w:t>AmeriSpeak</w:t>
      </w:r>
      <w:proofErr w:type="spellEnd"/>
      <w:r w:rsidRPr="00B2016B">
        <w:rPr>
          <w:rFonts w:ascii="Calibri" w:hAnsi="Calibri" w:eastAsia="Calibri"/>
          <w:sz w:val="22"/>
          <w:szCs w:val="22"/>
        </w:rPr>
        <w:t xml:space="preserve"> 2019. Use of any content or images is prohibited without prior written approval.</w:t>
      </w:r>
    </w:p>
    <w:p w:rsidR="00556C15" w:rsidP="00556C15" w:rsidRDefault="00556C15" w14:paraId="5A1B287C" w14:textId="77777777">
      <w:pPr>
        <w:spacing w:after="160" w:line="259" w:lineRule="auto"/>
      </w:pPr>
      <w:r>
        <w:br w:type="page"/>
      </w:r>
    </w:p>
    <w:p w:rsidRPr="00CE4218" w:rsidR="00556C15" w:rsidP="00556C15" w:rsidRDefault="00556C15" w14:paraId="5EED0160" w14:textId="77777777">
      <w:pPr>
        <w:pBdr>
          <w:top w:val="single" w:color="auto" w:sz="4" w:space="1"/>
          <w:left w:val="single" w:color="auto" w:sz="4" w:space="4"/>
          <w:bottom w:val="single" w:color="auto" w:sz="4" w:space="1"/>
          <w:right w:val="single" w:color="auto" w:sz="4" w:space="4"/>
        </w:pBdr>
        <w:spacing w:after="160" w:line="259" w:lineRule="auto"/>
        <w:jc w:val="center"/>
        <w:rPr>
          <w:rFonts w:ascii="Calibri" w:hAnsi="Calibri" w:eastAsia="Calibri"/>
          <w:b/>
          <w:sz w:val="22"/>
          <w:szCs w:val="22"/>
        </w:rPr>
      </w:pPr>
      <w:proofErr w:type="spellStart"/>
      <w:r w:rsidRPr="00CE4218">
        <w:rPr>
          <w:rFonts w:ascii="Calibri" w:hAnsi="Calibri" w:eastAsia="Calibri"/>
          <w:b/>
          <w:sz w:val="22"/>
          <w:szCs w:val="22"/>
        </w:rPr>
        <w:t>AmeriSpeak</w:t>
      </w:r>
      <w:proofErr w:type="spellEnd"/>
      <w:r w:rsidRPr="00CE4218">
        <w:rPr>
          <w:rFonts w:ascii="Calibri" w:hAnsi="Calibri" w:eastAsia="Calibri"/>
          <w:b/>
          <w:sz w:val="22"/>
          <w:szCs w:val="22"/>
        </w:rPr>
        <w:t xml:space="preserve"> Standard Survey Reminder Text</w:t>
      </w:r>
    </w:p>
    <w:p w:rsidRPr="00CE4218" w:rsidR="00556C15" w:rsidP="00556C15" w:rsidRDefault="00556C15" w14:paraId="455AA208"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Subject line: A reminder to complete your new </w:t>
      </w:r>
      <w:proofErr w:type="spellStart"/>
      <w:r w:rsidRPr="00CE4218">
        <w:rPr>
          <w:rFonts w:ascii="Calibri" w:hAnsi="Calibri" w:eastAsia="Calibri"/>
          <w:sz w:val="22"/>
          <w:szCs w:val="22"/>
        </w:rPr>
        <w:t>AmeriSpeak</w:t>
      </w:r>
      <w:proofErr w:type="spellEnd"/>
      <w:r w:rsidRPr="00CE4218">
        <w:rPr>
          <w:rFonts w:ascii="Calibri" w:hAnsi="Calibri" w:eastAsia="Calibri"/>
          <w:sz w:val="22"/>
          <w:szCs w:val="22"/>
        </w:rPr>
        <w:t xml:space="preserve"> survey (SID: [$Survey.ID]). </w:t>
      </w:r>
    </w:p>
    <w:p w:rsidRPr="00CE4218" w:rsidR="00556C15" w:rsidP="00556C15" w:rsidRDefault="00556C15" w14:paraId="4106E4CC"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BEGIN YOUR SURVEY </w:t>
      </w:r>
    </w:p>
    <w:p w:rsidRPr="00CE4218" w:rsidR="00556C15" w:rsidP="00556C15" w:rsidRDefault="00556C15" w14:paraId="4084426C"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and, if you are eligible, get X,000 </w:t>
      </w:r>
      <w:proofErr w:type="spellStart"/>
      <w:r w:rsidRPr="00CE4218">
        <w:rPr>
          <w:rFonts w:ascii="Calibri" w:hAnsi="Calibri" w:eastAsia="Calibri"/>
          <w:sz w:val="22"/>
          <w:szCs w:val="22"/>
        </w:rPr>
        <w:t>AmeriPoints</w:t>
      </w:r>
      <w:proofErr w:type="spellEnd"/>
      <w:r w:rsidRPr="00CE4218">
        <w:rPr>
          <w:rFonts w:ascii="Calibri" w:hAnsi="Calibri" w:eastAsia="Calibri"/>
          <w:sz w:val="22"/>
          <w:szCs w:val="22"/>
        </w:rPr>
        <w:t xml:space="preserve">. </w:t>
      </w:r>
    </w:p>
    <w:p w:rsidRPr="00CE4218" w:rsidR="00556C15" w:rsidP="00556C15" w:rsidRDefault="00556C15" w14:paraId="2CF4FAAF"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Dear FIRSTNAME, </w:t>
      </w:r>
    </w:p>
    <w:p w:rsidRPr="00CE4218" w:rsidR="00556C15" w:rsidP="00556C15" w:rsidRDefault="00556C15" w14:paraId="4D41D00F"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Please do not forget to take your latest </w:t>
      </w:r>
      <w:proofErr w:type="spellStart"/>
      <w:r w:rsidRPr="00CE4218">
        <w:rPr>
          <w:rFonts w:ascii="Calibri" w:hAnsi="Calibri" w:eastAsia="Calibri"/>
          <w:sz w:val="22"/>
          <w:szCs w:val="22"/>
        </w:rPr>
        <w:t>AmeriSpeak</w:t>
      </w:r>
      <w:proofErr w:type="spellEnd"/>
      <w:r w:rsidRPr="00CE4218">
        <w:rPr>
          <w:rFonts w:ascii="Calibri" w:hAnsi="Calibri" w:eastAsia="Calibri"/>
          <w:sz w:val="22"/>
          <w:szCs w:val="22"/>
        </w:rPr>
        <w:t xml:space="preserve"> survey. </w:t>
      </w:r>
    </w:p>
    <w:p w:rsidRPr="00CE4218" w:rsidR="00556C15" w:rsidP="00556C15" w:rsidRDefault="00556C15" w14:paraId="70D7AA09"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BEGIN YOUR SURVEY </w:t>
      </w:r>
      <w:r>
        <w:rPr>
          <w:rFonts w:ascii="Calibri" w:hAnsi="Calibri" w:eastAsia="Calibri"/>
          <w:sz w:val="22"/>
          <w:szCs w:val="22"/>
        </w:rPr>
        <w:t>[Hyperlink]</w:t>
      </w:r>
    </w:p>
    <w:p w:rsidRPr="00CE4218" w:rsidR="00556C15" w:rsidP="00556C15" w:rsidRDefault="00556C15" w14:paraId="1CA30C44"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Thank you for your time today. We look forward to hearing from you — and hearing your opinions! </w:t>
      </w:r>
    </w:p>
    <w:p w:rsidRPr="00CE4218" w:rsidR="00556C15" w:rsidP="00556C15" w:rsidRDefault="00556C15" w14:paraId="361A3CE2"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Sincerely, </w:t>
      </w:r>
    </w:p>
    <w:p w:rsidRPr="00CE4218" w:rsidR="00556C15" w:rsidP="00556C15" w:rsidRDefault="00556C15" w14:paraId="279E7C13"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The </w:t>
      </w:r>
      <w:proofErr w:type="spellStart"/>
      <w:r w:rsidRPr="00CE4218">
        <w:rPr>
          <w:rFonts w:ascii="Calibri" w:hAnsi="Calibri" w:eastAsia="Calibri"/>
          <w:sz w:val="22"/>
          <w:szCs w:val="22"/>
        </w:rPr>
        <w:t>AmeriSpeak</w:t>
      </w:r>
      <w:proofErr w:type="spellEnd"/>
      <w:r w:rsidRPr="00CE4218">
        <w:rPr>
          <w:rFonts w:ascii="Calibri" w:hAnsi="Calibri" w:eastAsia="Calibri"/>
          <w:sz w:val="22"/>
          <w:szCs w:val="22"/>
        </w:rPr>
        <w:t xml:space="preserve"> Support Team </w:t>
      </w:r>
    </w:p>
    <w:p w:rsidRPr="00CE4218" w:rsidR="00556C15" w:rsidP="00556C15" w:rsidRDefault="00556C15" w14:paraId="060AB3CE"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This email is intended for FIRSTNAME (PMID#). </w:t>
      </w:r>
    </w:p>
    <w:p w:rsidRPr="00CE4218" w:rsidR="00556C15" w:rsidP="00556C15" w:rsidRDefault="00556C15" w14:paraId="63A0A393"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Having trouble with the link? You can copy and paste this into your browser: </w:t>
      </w:r>
      <w:proofErr w:type="spellStart"/>
      <w:r w:rsidRPr="00CE4218">
        <w:rPr>
          <w:rFonts w:ascii="Calibri" w:hAnsi="Calibri" w:eastAsia="Calibri"/>
          <w:sz w:val="22"/>
          <w:szCs w:val="22"/>
        </w:rPr>
        <w:t>URL.You</w:t>
      </w:r>
      <w:proofErr w:type="spellEnd"/>
      <w:r w:rsidRPr="00CE4218">
        <w:rPr>
          <w:rFonts w:ascii="Calibri" w:hAnsi="Calibri" w:eastAsia="Calibri"/>
          <w:sz w:val="22"/>
          <w:szCs w:val="22"/>
        </w:rPr>
        <w:t xml:space="preserve"> can also go to my.AmeriSpeak.org or the </w:t>
      </w:r>
      <w:proofErr w:type="spellStart"/>
      <w:r w:rsidRPr="00CE4218">
        <w:rPr>
          <w:rFonts w:ascii="Calibri" w:hAnsi="Calibri" w:eastAsia="Calibri"/>
          <w:sz w:val="22"/>
          <w:szCs w:val="22"/>
        </w:rPr>
        <w:t>AmeriSpeak</w:t>
      </w:r>
      <w:proofErr w:type="spellEnd"/>
      <w:r w:rsidRPr="00CE4218">
        <w:rPr>
          <w:rFonts w:ascii="Calibri" w:hAnsi="Calibri" w:eastAsia="Calibri"/>
          <w:sz w:val="22"/>
          <w:szCs w:val="22"/>
        </w:rPr>
        <w:t xml:space="preserve"> app, log in using your member credentials, and click on the "Start Survey" button in your dashboard page. </w:t>
      </w:r>
    </w:p>
    <w:p w:rsidRPr="00CE4218" w:rsidR="00556C15" w:rsidP="00556C15" w:rsidRDefault="00556C15" w14:paraId="24B03205" w14:textId="77777777">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Need more help or have questions? Email the </w:t>
      </w:r>
      <w:proofErr w:type="spellStart"/>
      <w:r w:rsidRPr="00CE4218">
        <w:rPr>
          <w:rFonts w:ascii="Calibri" w:hAnsi="Calibri" w:eastAsia="Calibri"/>
          <w:sz w:val="22"/>
          <w:szCs w:val="22"/>
        </w:rPr>
        <w:t>AmeriSpeak</w:t>
      </w:r>
      <w:proofErr w:type="spellEnd"/>
      <w:r w:rsidRPr="00CE4218">
        <w:rPr>
          <w:rFonts w:ascii="Calibri" w:hAnsi="Calibri" w:eastAsia="Calibri"/>
          <w:sz w:val="22"/>
          <w:szCs w:val="22"/>
        </w:rPr>
        <w:t xml:space="preserve"> Support Team at </w:t>
      </w:r>
    </w:p>
    <w:p w:rsidR="00556C15" w:rsidP="00556C15" w:rsidRDefault="00556C15" w14:paraId="167BA7B6" w14:textId="77777777">
      <w:pPr>
        <w:pBdr>
          <w:top w:val="single" w:color="auto" w:sz="4" w:space="1"/>
          <w:left w:val="single" w:color="auto" w:sz="4" w:space="4"/>
          <w:bottom w:val="single" w:color="auto" w:sz="4" w:space="1"/>
          <w:right w:val="single" w:color="auto" w:sz="4" w:space="4"/>
        </w:pBdr>
      </w:pPr>
      <w:r w:rsidRPr="00CE4218">
        <w:rPr>
          <w:rFonts w:ascii="Calibri" w:hAnsi="Calibri" w:eastAsia="Calibri"/>
          <w:sz w:val="22"/>
          <w:szCs w:val="22"/>
        </w:rPr>
        <w:t xml:space="preserve">support@AmeriSpeak.org or call toll-free (888) 326-9424. </w:t>
      </w:r>
      <w:proofErr w:type="spellStart"/>
      <w:r w:rsidRPr="00CE4218">
        <w:rPr>
          <w:rFonts w:ascii="Calibri" w:hAnsi="Calibri" w:eastAsia="Calibri"/>
          <w:sz w:val="22"/>
          <w:szCs w:val="22"/>
        </w:rPr>
        <w:t>AmeriSpeak</w:t>
      </w:r>
      <w:proofErr w:type="spellEnd"/>
      <w:r w:rsidRPr="00CE4218">
        <w:rPr>
          <w:rFonts w:ascii="Calibri" w:hAnsi="Calibri" w:eastAsia="Calibri"/>
          <w:sz w:val="22"/>
          <w:szCs w:val="22"/>
        </w:rPr>
        <w:t xml:space="preserve"> Support: 55 E Monroe St, 19th Floor, Chicago, IL 60603. Copyright </w:t>
      </w:r>
      <w:proofErr w:type="spellStart"/>
      <w:r w:rsidRPr="00CE4218">
        <w:rPr>
          <w:rFonts w:ascii="Calibri" w:hAnsi="Calibri" w:eastAsia="Calibri"/>
          <w:sz w:val="22"/>
          <w:szCs w:val="22"/>
        </w:rPr>
        <w:t>AmeriSpeak</w:t>
      </w:r>
      <w:proofErr w:type="spellEnd"/>
      <w:r w:rsidRPr="00CE4218">
        <w:rPr>
          <w:rFonts w:ascii="Calibri" w:hAnsi="Calibri" w:eastAsia="Calibri"/>
          <w:sz w:val="22"/>
          <w:szCs w:val="22"/>
        </w:rPr>
        <w:t xml:space="preserve"> 2019. Use of any content or images is prohibited without prior written approval.</w:t>
      </w:r>
    </w:p>
    <w:p w:rsidR="00AD7D25" w:rsidP="00AD7D25" w:rsidRDefault="00AD7D25" w14:paraId="06D370BF" w14:textId="77777777">
      <w:pPr>
        <w:pStyle w:val="BodyText"/>
        <w:spacing w:before="0" w:after="0"/>
        <w:ind w:firstLine="720"/>
      </w:pPr>
    </w:p>
    <w:sectPr w:rsidR="00AD7D25" w:rsidSect="002C4B2F">
      <w:footerReference w:type="first" r:id="rId8"/>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C2E1D" w14:textId="77777777" w:rsidR="00EC63A3" w:rsidRDefault="00EC63A3">
      <w:r>
        <w:separator/>
      </w:r>
    </w:p>
  </w:endnote>
  <w:endnote w:type="continuationSeparator" w:id="0">
    <w:p w14:paraId="709AE20C" w14:textId="77777777" w:rsidR="00EC63A3" w:rsidRDefault="00EC63A3">
      <w:r>
        <w:continuationSeparator/>
      </w:r>
    </w:p>
  </w:endnote>
  <w:endnote w:type="continuationNotice" w:id="1">
    <w:p w14:paraId="030EEAC0" w14:textId="77777777" w:rsidR="00EC63A3" w:rsidRDefault="00EC6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7FB2E" w14:textId="77777777" w:rsidR="00CC01E9" w:rsidRPr="00CC01E9" w:rsidRDefault="00CC01E9">
    <w:pPr>
      <w:pStyle w:val="Footer"/>
      <w:jc w:val="right"/>
      <w:rPr>
        <w:sz w:val="16"/>
        <w:szCs w:val="16"/>
      </w:rPr>
    </w:pPr>
  </w:p>
  <w:p w14:paraId="718BFE08" w14:textId="77777777" w:rsidR="00CC01E9" w:rsidRDefault="00CC0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5F349" w14:textId="77777777" w:rsidR="00EC63A3" w:rsidRDefault="00EC63A3">
      <w:r>
        <w:separator/>
      </w:r>
    </w:p>
  </w:footnote>
  <w:footnote w:type="continuationSeparator" w:id="0">
    <w:p w14:paraId="29B40437" w14:textId="77777777" w:rsidR="00EC63A3" w:rsidRDefault="00EC63A3">
      <w:r>
        <w:continuationSeparator/>
      </w:r>
    </w:p>
  </w:footnote>
  <w:footnote w:type="continuationNotice" w:id="1">
    <w:p w14:paraId="3331D87B" w14:textId="77777777" w:rsidR="00EC63A3" w:rsidRDefault="00EC63A3"/>
  </w:footnote>
  <w:footnote w:id="2">
    <w:p w14:paraId="1C50B3B5" w14:textId="77777777" w:rsidR="00BC04C2" w:rsidRPr="001C5E09" w:rsidRDefault="00BC04C2" w:rsidP="00BC04C2">
      <w:pPr>
        <w:pStyle w:val="FootnoteText"/>
      </w:pPr>
      <w:r w:rsidRPr="001C5E09">
        <w:rPr>
          <w:rStyle w:val="FootnoteReference"/>
        </w:rPr>
        <w:footnoteRef/>
      </w:r>
      <w:r w:rsidRPr="001C5E09">
        <w:t xml:space="preserve"> National Association of State Directors of Pupil Transportation Services. (2019). </w:t>
      </w:r>
      <w:r w:rsidRPr="001C5E09">
        <w:rPr>
          <w:i/>
        </w:rPr>
        <w:t>2019 Survey on Illegal Passing of School Buses</w:t>
      </w:r>
      <w:r w:rsidRPr="001C5E09">
        <w:t>. NASDPTS.</w:t>
      </w:r>
    </w:p>
  </w:footnote>
  <w:footnote w:id="3">
    <w:p w14:paraId="5F0AE2C5" w14:textId="77777777" w:rsidR="00BC04C2" w:rsidRDefault="00BC04C2" w:rsidP="00BC04C2">
      <w:pPr>
        <w:pStyle w:val="FootnoteText"/>
      </w:pPr>
      <w:r w:rsidRPr="008F0DB8">
        <w:rPr>
          <w:rStyle w:val="FootnoteReference"/>
        </w:rPr>
        <w:footnoteRef/>
      </w:r>
      <w:r w:rsidRPr="008F0DB8">
        <w:t xml:space="preserve"> </w:t>
      </w:r>
      <w:r w:rsidRPr="003F42A1">
        <w:rPr>
          <w:shd w:val="clear" w:color="auto" w:fill="FFFFFF"/>
        </w:rPr>
        <w:t xml:space="preserve">Baltes, M. R. (1998). Measuring </w:t>
      </w:r>
      <w:r w:rsidR="009E063C" w:rsidRPr="003F42A1">
        <w:rPr>
          <w:shd w:val="clear" w:color="auto" w:fill="FFFFFF"/>
        </w:rPr>
        <w:t>Motorist Comprehensio</w:t>
      </w:r>
      <w:r w:rsidRPr="003F42A1">
        <w:rPr>
          <w:shd w:val="clear" w:color="auto" w:fill="FFFFFF"/>
        </w:rPr>
        <w:t xml:space="preserve">n of Florida’s </w:t>
      </w:r>
      <w:r w:rsidR="009E063C" w:rsidRPr="003F42A1">
        <w:rPr>
          <w:shd w:val="clear" w:color="auto" w:fill="FFFFFF"/>
        </w:rPr>
        <w:t>School Bus Stop La</w:t>
      </w:r>
      <w:r w:rsidRPr="003F42A1">
        <w:rPr>
          <w:shd w:val="clear" w:color="auto" w:fill="FFFFFF"/>
        </w:rPr>
        <w:t xml:space="preserve">w and </w:t>
      </w:r>
      <w:r w:rsidR="00DC77F2" w:rsidRPr="003F42A1">
        <w:rPr>
          <w:shd w:val="clear" w:color="auto" w:fill="FFFFFF"/>
        </w:rPr>
        <w:t>School Bus Signalization Dev</w:t>
      </w:r>
      <w:r w:rsidRPr="003F42A1">
        <w:rPr>
          <w:shd w:val="clear" w:color="auto" w:fill="FFFFFF"/>
        </w:rPr>
        <w:t>ices. </w:t>
      </w:r>
      <w:r w:rsidRPr="003F42A1">
        <w:rPr>
          <w:i/>
          <w:iCs/>
          <w:shd w:val="clear" w:color="auto" w:fill="FFFFFF"/>
        </w:rPr>
        <w:t>Transportation Research Record</w:t>
      </w:r>
      <w:r w:rsidR="00D6299B">
        <w:rPr>
          <w:i/>
          <w:iCs/>
          <w:shd w:val="clear" w:color="auto" w:fill="FFFFFF"/>
        </w:rPr>
        <w:t>: Journal of the Transportation Research Board</w:t>
      </w:r>
      <w:r w:rsidRPr="003F42A1">
        <w:rPr>
          <w:shd w:val="clear" w:color="auto" w:fill="FFFFFF"/>
        </w:rPr>
        <w:t>, </w:t>
      </w:r>
      <w:r w:rsidRPr="003F42A1">
        <w:rPr>
          <w:i/>
          <w:iCs/>
          <w:shd w:val="clear" w:color="auto" w:fill="FFFFFF"/>
        </w:rPr>
        <w:t>1640</w:t>
      </w:r>
      <w:r w:rsidRPr="003F42A1">
        <w:rPr>
          <w:shd w:val="clear" w:color="auto" w:fill="FFFFFF"/>
        </w:rPr>
        <w:t>(1), 10-16.</w:t>
      </w:r>
    </w:p>
  </w:footnote>
  <w:footnote w:id="4">
    <w:p w14:paraId="3FAA8C5D" w14:textId="77777777" w:rsidR="007A3622" w:rsidRDefault="007A3622">
      <w:pPr>
        <w:pStyle w:val="FootnoteText"/>
      </w:pPr>
      <w:r>
        <w:rPr>
          <w:rStyle w:val="FootnoteReference"/>
        </w:rPr>
        <w:footnoteRef/>
      </w:r>
      <w:r>
        <w:t xml:space="preserve"> </w:t>
      </w:r>
      <w:r w:rsidRPr="007A3622">
        <w:t>NORC at the University of Chicago is an independent research institution that delivers reliable data and rigorous analysis.</w:t>
      </w:r>
      <w:r>
        <w:t xml:space="preserve"> NORC was f</w:t>
      </w:r>
      <w:r w:rsidRPr="007A3622">
        <w:t>ounded and incorporated in 1941 as the National Opinion Research Center</w:t>
      </w:r>
      <w:r w:rsidR="00757933">
        <w:t>,</w:t>
      </w:r>
      <w:r w:rsidRPr="007A3622">
        <w:t xml:space="preserve"> and this remains </w:t>
      </w:r>
      <w:r>
        <w:t>their</w:t>
      </w:r>
      <w:r w:rsidRPr="007A3622">
        <w:t xml:space="preserve"> legal name</w:t>
      </w:r>
      <w:r w:rsidR="00757933">
        <w:t>,</w:t>
      </w:r>
      <w:r>
        <w:t xml:space="preserve"> although they use the registered name “</w:t>
      </w:r>
      <w:r w:rsidRPr="007A3622">
        <w:t>NORC</w:t>
      </w:r>
      <w:r>
        <w:t>”</w:t>
      </w:r>
      <w:r w:rsidRPr="007A3622">
        <w:t xml:space="preserve"> as </w:t>
      </w:r>
      <w:r>
        <w:t>their</w:t>
      </w:r>
      <w:r w:rsidRPr="007A3622">
        <w:t xml:space="preserve"> externally facing, to-do-business (TDB) name</w:t>
      </w:r>
      <w:r>
        <w:t>.</w:t>
      </w:r>
    </w:p>
  </w:footnote>
  <w:footnote w:id="5">
    <w:p w14:paraId="0CD79BBD" w14:textId="77777777" w:rsidR="00F244A3" w:rsidRDefault="00F244A3" w:rsidP="00F244A3">
      <w:pPr>
        <w:pStyle w:val="FootnoteText"/>
      </w:pPr>
      <w:r>
        <w:rPr>
          <w:rStyle w:val="FootnoteReference"/>
        </w:rPr>
        <w:footnoteRef/>
      </w:r>
      <w:r>
        <w:t xml:space="preserve"> NORC at the University of Chicago: 2010 National Sample Frame. Available at: </w:t>
      </w:r>
      <w:hyperlink r:id="rId1" w:history="1">
        <w:r w:rsidRPr="00BA2C48">
          <w:rPr>
            <w:rStyle w:val="Hyperlink"/>
          </w:rPr>
          <w:t>http://www.norc.org/Research/Projects/Pages/2010-national-sample-frame.aspx</w:t>
        </w:r>
      </w:hyperlink>
    </w:p>
  </w:footnote>
  <w:footnote w:id="6">
    <w:p w14:paraId="467E4DDE" w14:textId="77777777" w:rsidR="00F244A3" w:rsidRDefault="00F244A3" w:rsidP="00F244A3">
      <w:pPr>
        <w:pStyle w:val="FootnoteText"/>
      </w:pPr>
      <w:r>
        <w:rPr>
          <w:rStyle w:val="FootnoteReference"/>
        </w:rPr>
        <w:footnoteRef/>
      </w:r>
      <w:r>
        <w:t xml:space="preserve"> Montgomery, R., Dennis, J.M., &amp; Ganesh, N. (2016). Response </w:t>
      </w:r>
      <w:r w:rsidR="00B347BC">
        <w:t>r</w:t>
      </w:r>
      <w:r>
        <w:t xml:space="preserve">ate </w:t>
      </w:r>
      <w:r w:rsidR="00B347BC">
        <w:t>c</w:t>
      </w:r>
      <w:r>
        <w:t xml:space="preserve">alculation </w:t>
      </w:r>
      <w:r w:rsidR="00B347BC">
        <w:t>m</w:t>
      </w:r>
      <w:r>
        <w:t xml:space="preserve">ethodology for </w:t>
      </w:r>
      <w:r w:rsidR="00B347BC">
        <w:t>r</w:t>
      </w:r>
      <w:r>
        <w:t xml:space="preserve">ecruitment of a </w:t>
      </w:r>
      <w:r w:rsidR="00B347BC">
        <w:t>t</w:t>
      </w:r>
      <w:r>
        <w:t>wo-</w:t>
      </w:r>
      <w:r w:rsidR="00B347BC">
        <w:t>p</w:t>
      </w:r>
      <w:r>
        <w:t xml:space="preserve">hase </w:t>
      </w:r>
      <w:r w:rsidR="00B347BC">
        <w:t>p</w:t>
      </w:r>
      <w:r>
        <w:t>robability-</w:t>
      </w:r>
      <w:r w:rsidR="00B347BC">
        <w:t>b</w:t>
      </w:r>
      <w:r>
        <w:t xml:space="preserve">ased </w:t>
      </w:r>
      <w:r w:rsidR="00B347BC">
        <w:t>p</w:t>
      </w:r>
      <w:r>
        <w:t xml:space="preserve">anel: The </w:t>
      </w:r>
      <w:r w:rsidR="003D2630">
        <w:t>c</w:t>
      </w:r>
      <w:r>
        <w:t xml:space="preserve">ase of </w:t>
      </w:r>
      <w:proofErr w:type="spellStart"/>
      <w:r>
        <w:t>AmeriSpeak</w:t>
      </w:r>
      <w:proofErr w:type="spellEnd"/>
      <w:r w:rsidR="00B347BC">
        <w:t xml:space="preserve"> [White paper]</w:t>
      </w:r>
      <w:r>
        <w:t xml:space="preserve">. </w:t>
      </w:r>
      <w:r w:rsidR="00B347BC">
        <w:t xml:space="preserve">Retrieved June 16, 2020 from </w:t>
      </w:r>
      <w:proofErr w:type="spellStart"/>
      <w:r w:rsidR="00C10BE7">
        <w:t>AmeriSpeak</w:t>
      </w:r>
      <w:proofErr w:type="spellEnd"/>
      <w:r w:rsidR="00C10BE7">
        <w:t>, NORC at the University of Chicago:</w:t>
      </w:r>
      <w:r w:rsidR="00B347BC">
        <w:t xml:space="preserve"> </w:t>
      </w:r>
      <w:hyperlink r:id="rId2" w:history="1">
        <w:r w:rsidRPr="00BA2C48">
          <w:rPr>
            <w:rStyle w:val="Hyperlink"/>
          </w:rPr>
          <w:t>http://d3qi0qp55mx5f5.cloudfront.net/amerispeak/i/research/WhitePaper_ResponseRateCalculation_AmeriSpeak_2016.pdf</w:t>
        </w:r>
      </w:hyperlink>
      <w:r>
        <w:t xml:space="preserve"> </w:t>
      </w:r>
    </w:p>
  </w:footnote>
  <w:footnote w:id="7">
    <w:p w14:paraId="767E1DEE" w14:textId="77777777" w:rsidR="00CA2D27" w:rsidRPr="006760C9" w:rsidRDefault="00CA2D27" w:rsidP="003F42A1">
      <w:r w:rsidRPr="00CA2D27">
        <w:rPr>
          <w:rStyle w:val="FootnoteReference"/>
          <w:sz w:val="20"/>
          <w:szCs w:val="20"/>
        </w:rPr>
        <w:footnoteRef/>
      </w:r>
      <w:r w:rsidRPr="00CA2D27">
        <w:rPr>
          <w:sz w:val="20"/>
          <w:szCs w:val="20"/>
        </w:rPr>
        <w:t xml:space="preserve"> U.S. Census Bureau (2019). </w:t>
      </w:r>
      <w:r w:rsidRPr="00CA2D27">
        <w:rPr>
          <w:i/>
          <w:sz w:val="20"/>
          <w:szCs w:val="20"/>
        </w:rPr>
        <w:t>National Population by Characteristics: 2010-2019</w:t>
      </w:r>
      <w:r w:rsidRPr="00CA2D27">
        <w:rPr>
          <w:sz w:val="20"/>
          <w:szCs w:val="20"/>
        </w:rPr>
        <w:t xml:space="preserve">. </w:t>
      </w:r>
      <w:hyperlink r:id="rId3" w:history="1">
        <w:r w:rsidRPr="003F42A1">
          <w:t>https://www.census.gov/content/census/en/data/datasets/time-series/demo/popest/2010s-national-detail.html</w:t>
        </w:r>
      </w:hyperlink>
      <w:r w:rsidRPr="00CA2D27">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ACA9CA"/>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388768"/>
    <w:lvl w:ilvl="0">
      <w:start w:val="1"/>
      <w:numFmt w:val="decimal"/>
      <w:pStyle w:val="ListBullet2"/>
      <w:lvlText w:val="%1."/>
      <w:lvlJc w:val="left"/>
      <w:pPr>
        <w:tabs>
          <w:tab w:val="num" w:pos="1080"/>
        </w:tabs>
        <w:ind w:left="1080" w:hanging="360"/>
      </w:pPr>
    </w:lvl>
  </w:abstractNum>
  <w:abstractNum w:abstractNumId="2" w15:restartNumberingAfterBreak="0">
    <w:nsid w:val="FFFFFF7F"/>
    <w:multiLevelType w:val="singleLevel"/>
    <w:tmpl w:val="D128769E"/>
    <w:lvl w:ilvl="0">
      <w:start w:val="1"/>
      <w:numFmt w:val="decimal"/>
      <w:pStyle w:val="ListNumber2"/>
      <w:lvlText w:val="%1."/>
      <w:lvlJc w:val="left"/>
      <w:pPr>
        <w:tabs>
          <w:tab w:val="num" w:pos="720"/>
        </w:tabs>
        <w:ind w:left="720" w:hanging="360"/>
      </w:pPr>
    </w:lvl>
  </w:abstractNum>
  <w:abstractNum w:abstractNumId="3" w15:restartNumberingAfterBreak="0">
    <w:nsid w:val="FFFFFF83"/>
    <w:multiLevelType w:val="singleLevel"/>
    <w:tmpl w:val="30605CCC"/>
    <w:lvl w:ilvl="0">
      <w:start w:val="1"/>
      <w:numFmt w:val="bullet"/>
      <w:pStyle w:val="ListNumber3"/>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194503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402"/>
    <w:multiLevelType w:val="multilevel"/>
    <w:tmpl w:val="00000885"/>
    <w:lvl w:ilvl="0">
      <w:numFmt w:val="bullet"/>
      <w:lvlText w:val="•"/>
      <w:lvlJc w:val="left"/>
      <w:pPr>
        <w:ind w:hanging="360"/>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3DB0BB5"/>
    <w:multiLevelType w:val="hybridMultilevel"/>
    <w:tmpl w:val="8C22612A"/>
    <w:lvl w:ilvl="0" w:tplc="0ACA26F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05275E3A"/>
    <w:multiLevelType w:val="hybridMultilevel"/>
    <w:tmpl w:val="C1985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8943A32"/>
    <w:multiLevelType w:val="hybridMultilevel"/>
    <w:tmpl w:val="B252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A050E70"/>
    <w:multiLevelType w:val="hybridMultilevel"/>
    <w:tmpl w:val="315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20D41"/>
    <w:multiLevelType w:val="hybridMultilevel"/>
    <w:tmpl w:val="2B826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5C1CDA"/>
    <w:multiLevelType w:val="hybridMultilevel"/>
    <w:tmpl w:val="F88E0AF0"/>
    <w:lvl w:ilvl="0" w:tplc="04090011">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557357"/>
    <w:multiLevelType w:val="hybridMultilevel"/>
    <w:tmpl w:val="7D4A01CA"/>
    <w:lvl w:ilvl="0" w:tplc="13B2E46A">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77645"/>
    <w:multiLevelType w:val="multilevel"/>
    <w:tmpl w:val="EB8A90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78129F"/>
    <w:multiLevelType w:val="hybridMultilevel"/>
    <w:tmpl w:val="9D8A48F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2524F67"/>
    <w:multiLevelType w:val="multilevel"/>
    <w:tmpl w:val="E7320F12"/>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7" w15:restartNumberingAfterBreak="0">
    <w:nsid w:val="2D960796"/>
    <w:multiLevelType w:val="hybridMultilevel"/>
    <w:tmpl w:val="BA14435E"/>
    <w:lvl w:ilvl="0" w:tplc="50CAC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E0FC1"/>
    <w:multiLevelType w:val="hybridMultilevel"/>
    <w:tmpl w:val="38A4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474CD"/>
    <w:multiLevelType w:val="multilevel"/>
    <w:tmpl w:val="4E906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697BA8"/>
    <w:multiLevelType w:val="hybridMultilevel"/>
    <w:tmpl w:val="7C7ACC3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A64E20"/>
    <w:multiLevelType w:val="hybridMultilevel"/>
    <w:tmpl w:val="DCF0A3BA"/>
    <w:lvl w:ilvl="0" w:tplc="2CE8240E">
      <w:start w:val="1"/>
      <w:numFmt w:val="decimal"/>
      <w:pStyle w:val="Figure"/>
      <w:lvlText w:val="Figure %1."/>
      <w:lvlJc w:val="left"/>
      <w:pPr>
        <w:tabs>
          <w:tab w:val="num" w:pos="1440"/>
        </w:tabs>
        <w:ind w:left="72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20DD9"/>
    <w:multiLevelType w:val="hybridMultilevel"/>
    <w:tmpl w:val="C1985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4FA07C74"/>
    <w:multiLevelType w:val="hybridMultilevel"/>
    <w:tmpl w:val="71846CB8"/>
    <w:lvl w:ilvl="0" w:tplc="3722A046">
      <w:start w:val="1"/>
      <w:numFmt w:val="decimal"/>
      <w:lvlText w:val="Table %1."/>
      <w:lvlJc w:val="left"/>
      <w:pPr>
        <w:tabs>
          <w:tab w:val="num" w:pos="1440"/>
        </w:tabs>
        <w:ind w:left="720" w:hanging="360"/>
      </w:pPr>
      <w:rPr>
        <w:rFonts w:ascii="Times New Roman" w:hAnsi="Times New Roman" w:hint="default"/>
        <w:b/>
        <w:i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6245C4"/>
    <w:multiLevelType w:val="hybridMultilevel"/>
    <w:tmpl w:val="AEEAD03E"/>
    <w:lvl w:ilvl="0" w:tplc="3722A046">
      <w:start w:val="1"/>
      <w:numFmt w:val="decimal"/>
      <w:lvlText w:val="Table %1."/>
      <w:lvlJc w:val="left"/>
      <w:pPr>
        <w:tabs>
          <w:tab w:val="num" w:pos="1440"/>
        </w:tabs>
        <w:ind w:left="720" w:hanging="360"/>
      </w:pPr>
      <w:rPr>
        <w:rFonts w:ascii="Times New Roman" w:hAnsi="Times New Roman" w:hint="default"/>
        <w:b/>
        <w:i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07372C"/>
    <w:multiLevelType w:val="hybridMultilevel"/>
    <w:tmpl w:val="82A44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BB3BFB"/>
    <w:multiLevelType w:val="multilevel"/>
    <w:tmpl w:val="91FC0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E147A1C"/>
    <w:multiLevelType w:val="hybridMultilevel"/>
    <w:tmpl w:val="F6247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A28ED"/>
    <w:multiLevelType w:val="hybridMultilevel"/>
    <w:tmpl w:val="6B9C96B8"/>
    <w:lvl w:ilvl="0" w:tplc="3722A046">
      <w:start w:val="1"/>
      <w:numFmt w:val="decimal"/>
      <w:lvlText w:val="Table %1."/>
      <w:lvlJc w:val="left"/>
      <w:pPr>
        <w:tabs>
          <w:tab w:val="num" w:pos="1440"/>
        </w:tabs>
        <w:ind w:left="720" w:hanging="360"/>
      </w:pPr>
      <w:rPr>
        <w:rFonts w:ascii="Times New Roman" w:hAnsi="Times New Roman" w:hint="default"/>
        <w:b/>
        <w:i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AD6532"/>
    <w:multiLevelType w:val="hybridMultilevel"/>
    <w:tmpl w:val="F26010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686B94"/>
    <w:multiLevelType w:val="hybridMultilevel"/>
    <w:tmpl w:val="61BE3F26"/>
    <w:lvl w:ilvl="0" w:tplc="3722A046">
      <w:start w:val="1"/>
      <w:numFmt w:val="decimal"/>
      <w:lvlText w:val="Table %1."/>
      <w:lvlJc w:val="left"/>
      <w:pPr>
        <w:tabs>
          <w:tab w:val="num" w:pos="1440"/>
        </w:tabs>
        <w:ind w:left="720" w:hanging="360"/>
      </w:pPr>
      <w:rPr>
        <w:rFonts w:ascii="Times New Roman" w:hAnsi="Times New Roman" w:hint="default"/>
        <w:b/>
        <w:i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B31707"/>
    <w:multiLevelType w:val="hybridMultilevel"/>
    <w:tmpl w:val="5F2A5D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B42F40"/>
    <w:multiLevelType w:val="hybridMultilevel"/>
    <w:tmpl w:val="EB34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F2783"/>
    <w:multiLevelType w:val="hybridMultilevel"/>
    <w:tmpl w:val="0164C2AA"/>
    <w:lvl w:ilvl="0" w:tplc="EABA9CFA">
      <w:start w:val="1"/>
      <w:numFmt w:val="decimal"/>
      <w:pStyle w:val="bioref"/>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6F2F256C"/>
    <w:multiLevelType w:val="hybridMultilevel"/>
    <w:tmpl w:val="D81650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ED1CCC"/>
    <w:multiLevelType w:val="hybridMultilevel"/>
    <w:tmpl w:val="3E6AD6C0"/>
    <w:lvl w:ilvl="0" w:tplc="3722A046">
      <w:start w:val="1"/>
      <w:numFmt w:val="decimal"/>
      <w:lvlText w:val="Table %1."/>
      <w:lvlJc w:val="left"/>
      <w:pPr>
        <w:tabs>
          <w:tab w:val="num" w:pos="1440"/>
        </w:tabs>
        <w:ind w:left="720" w:hanging="360"/>
      </w:pPr>
      <w:rPr>
        <w:rFonts w:ascii="Times New Roman" w:hAnsi="Times New Roman" w:hint="default"/>
        <w:b/>
        <w:i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016B62"/>
    <w:multiLevelType w:val="hybridMultilevel"/>
    <w:tmpl w:val="A768C91C"/>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77803170"/>
    <w:multiLevelType w:val="hybridMultilevel"/>
    <w:tmpl w:val="A092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12"/>
  </w:num>
  <w:num w:numId="7">
    <w:abstractNumId w:val="27"/>
  </w:num>
  <w:num w:numId="8">
    <w:abstractNumId w:val="21"/>
  </w:num>
  <w:num w:numId="9">
    <w:abstractNumId w:val="23"/>
  </w:num>
  <w:num w:numId="10">
    <w:abstractNumId w:val="5"/>
  </w:num>
  <w:num w:numId="11">
    <w:abstractNumId w:val="37"/>
  </w:num>
  <w:num w:numId="12">
    <w:abstractNumId w:val="40"/>
  </w:num>
  <w:num w:numId="13">
    <w:abstractNumId w:val="10"/>
  </w:num>
  <w:num w:numId="14">
    <w:abstractNumId w:val="15"/>
  </w:num>
  <w:num w:numId="15">
    <w:abstractNumId w:val="38"/>
  </w:num>
  <w:num w:numId="16">
    <w:abstractNumId w:val="30"/>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2"/>
  </w:num>
  <w:num w:numId="20">
    <w:abstractNumId w:val="6"/>
  </w:num>
  <w:num w:numId="21">
    <w:abstractNumId w:val="24"/>
  </w:num>
  <w:num w:numId="22">
    <w:abstractNumId w:val="31"/>
  </w:num>
  <w:num w:numId="23">
    <w:abstractNumId w:val="8"/>
  </w:num>
  <w:num w:numId="24">
    <w:abstractNumId w:val="41"/>
  </w:num>
  <w:num w:numId="25">
    <w:abstractNumId w:val="16"/>
  </w:num>
  <w:num w:numId="26">
    <w:abstractNumId w:val="19"/>
  </w:num>
  <w:num w:numId="27">
    <w:abstractNumId w:val="11"/>
  </w:num>
  <w:num w:numId="28">
    <w:abstractNumId w:val="13"/>
  </w:num>
  <w:num w:numId="29">
    <w:abstractNumId w:val="20"/>
  </w:num>
  <w:num w:numId="30">
    <w:abstractNumId w:val="14"/>
  </w:num>
  <w:num w:numId="31">
    <w:abstractNumId w:val="35"/>
  </w:num>
  <w:num w:numId="32">
    <w:abstractNumId w:val="33"/>
  </w:num>
  <w:num w:numId="33">
    <w:abstractNumId w:val="29"/>
  </w:num>
  <w:num w:numId="34">
    <w:abstractNumId w:val="7"/>
  </w:num>
  <w:num w:numId="35">
    <w:abstractNumId w:val="9"/>
  </w:num>
  <w:num w:numId="36">
    <w:abstractNumId w:val="0"/>
  </w:num>
  <w:num w:numId="37">
    <w:abstractNumId w:val="36"/>
  </w:num>
  <w:num w:numId="38">
    <w:abstractNumId w:val="17"/>
  </w:num>
  <w:num w:numId="39">
    <w:abstractNumId w:val="18"/>
  </w:num>
  <w:num w:numId="40">
    <w:abstractNumId w:val="26"/>
  </w:num>
  <w:num w:numId="41">
    <w:abstractNumId w:val="34"/>
  </w:num>
  <w:num w:numId="42">
    <w:abstractNumId w:val="39"/>
  </w:num>
  <w:num w:numId="4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ED"/>
    <w:rsid w:val="00001284"/>
    <w:rsid w:val="00003281"/>
    <w:rsid w:val="00003727"/>
    <w:rsid w:val="0000450E"/>
    <w:rsid w:val="000058C2"/>
    <w:rsid w:val="00005E5B"/>
    <w:rsid w:val="000064B7"/>
    <w:rsid w:val="000067A7"/>
    <w:rsid w:val="00007F10"/>
    <w:rsid w:val="0001070A"/>
    <w:rsid w:val="00010AFE"/>
    <w:rsid w:val="00011905"/>
    <w:rsid w:val="00011D15"/>
    <w:rsid w:val="00013B0B"/>
    <w:rsid w:val="00020B2E"/>
    <w:rsid w:val="00024342"/>
    <w:rsid w:val="00024366"/>
    <w:rsid w:val="0002438C"/>
    <w:rsid w:val="000244FC"/>
    <w:rsid w:val="00024CAB"/>
    <w:rsid w:val="00024F6C"/>
    <w:rsid w:val="00025F18"/>
    <w:rsid w:val="0002697A"/>
    <w:rsid w:val="000306FF"/>
    <w:rsid w:val="000327D2"/>
    <w:rsid w:val="000334A1"/>
    <w:rsid w:val="00034259"/>
    <w:rsid w:val="0003484A"/>
    <w:rsid w:val="00036054"/>
    <w:rsid w:val="00042086"/>
    <w:rsid w:val="0004577B"/>
    <w:rsid w:val="00045EDB"/>
    <w:rsid w:val="00046487"/>
    <w:rsid w:val="000465C4"/>
    <w:rsid w:val="000474C6"/>
    <w:rsid w:val="000509FA"/>
    <w:rsid w:val="0005144D"/>
    <w:rsid w:val="00054254"/>
    <w:rsid w:val="00060174"/>
    <w:rsid w:val="000607E3"/>
    <w:rsid w:val="00060BF6"/>
    <w:rsid w:val="00060E35"/>
    <w:rsid w:val="0006191A"/>
    <w:rsid w:val="00061E0B"/>
    <w:rsid w:val="000624D2"/>
    <w:rsid w:val="00063277"/>
    <w:rsid w:val="000639D3"/>
    <w:rsid w:val="00063B1D"/>
    <w:rsid w:val="00064325"/>
    <w:rsid w:val="00065652"/>
    <w:rsid w:val="000657DA"/>
    <w:rsid w:val="00065AFF"/>
    <w:rsid w:val="000665A4"/>
    <w:rsid w:val="000676A2"/>
    <w:rsid w:val="00067F2B"/>
    <w:rsid w:val="000707C9"/>
    <w:rsid w:val="00070A6C"/>
    <w:rsid w:val="000717BC"/>
    <w:rsid w:val="00071858"/>
    <w:rsid w:val="000721AD"/>
    <w:rsid w:val="000727CB"/>
    <w:rsid w:val="00074D91"/>
    <w:rsid w:val="00076EE2"/>
    <w:rsid w:val="000770DC"/>
    <w:rsid w:val="000827D9"/>
    <w:rsid w:val="00083749"/>
    <w:rsid w:val="0008408B"/>
    <w:rsid w:val="0008444E"/>
    <w:rsid w:val="000851B9"/>
    <w:rsid w:val="0008549A"/>
    <w:rsid w:val="00085A15"/>
    <w:rsid w:val="00085CAD"/>
    <w:rsid w:val="00086888"/>
    <w:rsid w:val="00087365"/>
    <w:rsid w:val="000877A1"/>
    <w:rsid w:val="00087D79"/>
    <w:rsid w:val="00090D42"/>
    <w:rsid w:val="00092002"/>
    <w:rsid w:val="00092CBC"/>
    <w:rsid w:val="00093DA1"/>
    <w:rsid w:val="000942B8"/>
    <w:rsid w:val="000942FA"/>
    <w:rsid w:val="00096AF3"/>
    <w:rsid w:val="000A1204"/>
    <w:rsid w:val="000A225D"/>
    <w:rsid w:val="000A2B18"/>
    <w:rsid w:val="000A305F"/>
    <w:rsid w:val="000A38C6"/>
    <w:rsid w:val="000A3962"/>
    <w:rsid w:val="000A5E77"/>
    <w:rsid w:val="000A604B"/>
    <w:rsid w:val="000A6A85"/>
    <w:rsid w:val="000A6ECE"/>
    <w:rsid w:val="000B2416"/>
    <w:rsid w:val="000B320B"/>
    <w:rsid w:val="000B3C3C"/>
    <w:rsid w:val="000B3E51"/>
    <w:rsid w:val="000B7CE1"/>
    <w:rsid w:val="000C019C"/>
    <w:rsid w:val="000C0516"/>
    <w:rsid w:val="000C16DC"/>
    <w:rsid w:val="000C1E0F"/>
    <w:rsid w:val="000C3A05"/>
    <w:rsid w:val="000C3A5D"/>
    <w:rsid w:val="000C43CB"/>
    <w:rsid w:val="000C43F0"/>
    <w:rsid w:val="000C5629"/>
    <w:rsid w:val="000C5F0E"/>
    <w:rsid w:val="000D1285"/>
    <w:rsid w:val="000D24DC"/>
    <w:rsid w:val="000D2695"/>
    <w:rsid w:val="000D5FAA"/>
    <w:rsid w:val="000D7D66"/>
    <w:rsid w:val="000E3A02"/>
    <w:rsid w:val="000E44AC"/>
    <w:rsid w:val="000E6F8B"/>
    <w:rsid w:val="000F0B8B"/>
    <w:rsid w:val="000F114B"/>
    <w:rsid w:val="000F124C"/>
    <w:rsid w:val="000F1E21"/>
    <w:rsid w:val="000F341A"/>
    <w:rsid w:val="000F59DB"/>
    <w:rsid w:val="000F6CBC"/>
    <w:rsid w:val="00100D16"/>
    <w:rsid w:val="00102A41"/>
    <w:rsid w:val="00102A61"/>
    <w:rsid w:val="00103554"/>
    <w:rsid w:val="0010502A"/>
    <w:rsid w:val="0010572F"/>
    <w:rsid w:val="001074FF"/>
    <w:rsid w:val="00110E4E"/>
    <w:rsid w:val="001113A3"/>
    <w:rsid w:val="0011176A"/>
    <w:rsid w:val="00111A32"/>
    <w:rsid w:val="00115B34"/>
    <w:rsid w:val="00115BFE"/>
    <w:rsid w:val="0011631C"/>
    <w:rsid w:val="00116794"/>
    <w:rsid w:val="001171C5"/>
    <w:rsid w:val="00117AB9"/>
    <w:rsid w:val="00117C47"/>
    <w:rsid w:val="001203B3"/>
    <w:rsid w:val="00120B50"/>
    <w:rsid w:val="001217EB"/>
    <w:rsid w:val="001227F0"/>
    <w:rsid w:val="001233E2"/>
    <w:rsid w:val="00127093"/>
    <w:rsid w:val="0012748C"/>
    <w:rsid w:val="001276B2"/>
    <w:rsid w:val="001304A5"/>
    <w:rsid w:val="001306C9"/>
    <w:rsid w:val="0013211B"/>
    <w:rsid w:val="00133FA9"/>
    <w:rsid w:val="001347BE"/>
    <w:rsid w:val="00136ADC"/>
    <w:rsid w:val="00136BE7"/>
    <w:rsid w:val="0013776B"/>
    <w:rsid w:val="00141020"/>
    <w:rsid w:val="00142303"/>
    <w:rsid w:val="00143A28"/>
    <w:rsid w:val="00143CE0"/>
    <w:rsid w:val="001446F0"/>
    <w:rsid w:val="001455DC"/>
    <w:rsid w:val="001455FB"/>
    <w:rsid w:val="00145771"/>
    <w:rsid w:val="00146204"/>
    <w:rsid w:val="001476BB"/>
    <w:rsid w:val="0015174A"/>
    <w:rsid w:val="00152CE0"/>
    <w:rsid w:val="00152E5C"/>
    <w:rsid w:val="001532A9"/>
    <w:rsid w:val="00153BF6"/>
    <w:rsid w:val="00156FFF"/>
    <w:rsid w:val="00157439"/>
    <w:rsid w:val="001600CD"/>
    <w:rsid w:val="00160109"/>
    <w:rsid w:val="00164ADA"/>
    <w:rsid w:val="00164DA0"/>
    <w:rsid w:val="00165B14"/>
    <w:rsid w:val="00165DDB"/>
    <w:rsid w:val="00170C39"/>
    <w:rsid w:val="0017183B"/>
    <w:rsid w:val="0017221C"/>
    <w:rsid w:val="0017314D"/>
    <w:rsid w:val="00174262"/>
    <w:rsid w:val="001771CC"/>
    <w:rsid w:val="001774F2"/>
    <w:rsid w:val="00181C08"/>
    <w:rsid w:val="001827F2"/>
    <w:rsid w:val="001839C9"/>
    <w:rsid w:val="00183A60"/>
    <w:rsid w:val="00183AFA"/>
    <w:rsid w:val="00183DC5"/>
    <w:rsid w:val="001851A2"/>
    <w:rsid w:val="00185BDA"/>
    <w:rsid w:val="00186409"/>
    <w:rsid w:val="00186E97"/>
    <w:rsid w:val="00187B5E"/>
    <w:rsid w:val="00192192"/>
    <w:rsid w:val="001921D9"/>
    <w:rsid w:val="001926D6"/>
    <w:rsid w:val="00192EEB"/>
    <w:rsid w:val="00193D28"/>
    <w:rsid w:val="00193E69"/>
    <w:rsid w:val="00195C28"/>
    <w:rsid w:val="00196387"/>
    <w:rsid w:val="00196690"/>
    <w:rsid w:val="001A08C8"/>
    <w:rsid w:val="001A0B41"/>
    <w:rsid w:val="001A199C"/>
    <w:rsid w:val="001A252B"/>
    <w:rsid w:val="001A2560"/>
    <w:rsid w:val="001A3C31"/>
    <w:rsid w:val="001A40F3"/>
    <w:rsid w:val="001A51FA"/>
    <w:rsid w:val="001A58F8"/>
    <w:rsid w:val="001A648D"/>
    <w:rsid w:val="001A6584"/>
    <w:rsid w:val="001A73D3"/>
    <w:rsid w:val="001A7B44"/>
    <w:rsid w:val="001B05E2"/>
    <w:rsid w:val="001B368A"/>
    <w:rsid w:val="001B473F"/>
    <w:rsid w:val="001C0617"/>
    <w:rsid w:val="001C0AA3"/>
    <w:rsid w:val="001C60CD"/>
    <w:rsid w:val="001D3A1B"/>
    <w:rsid w:val="001D4221"/>
    <w:rsid w:val="001D496D"/>
    <w:rsid w:val="001D7CB0"/>
    <w:rsid w:val="001E0B26"/>
    <w:rsid w:val="001E3C28"/>
    <w:rsid w:val="001E4536"/>
    <w:rsid w:val="001E4FF4"/>
    <w:rsid w:val="001E5C9E"/>
    <w:rsid w:val="001E7EA4"/>
    <w:rsid w:val="001F0C90"/>
    <w:rsid w:val="001F1204"/>
    <w:rsid w:val="001F2018"/>
    <w:rsid w:val="001F529E"/>
    <w:rsid w:val="001F73F3"/>
    <w:rsid w:val="002007C0"/>
    <w:rsid w:val="0020098A"/>
    <w:rsid w:val="00200C94"/>
    <w:rsid w:val="00203160"/>
    <w:rsid w:val="00206DB1"/>
    <w:rsid w:val="00207029"/>
    <w:rsid w:val="0020774B"/>
    <w:rsid w:val="00211461"/>
    <w:rsid w:val="00214261"/>
    <w:rsid w:val="00215CE5"/>
    <w:rsid w:val="0021689E"/>
    <w:rsid w:val="00217CBD"/>
    <w:rsid w:val="00217D4C"/>
    <w:rsid w:val="00221A57"/>
    <w:rsid w:val="00224CB1"/>
    <w:rsid w:val="00224DF4"/>
    <w:rsid w:val="002255C6"/>
    <w:rsid w:val="00227720"/>
    <w:rsid w:val="0022783E"/>
    <w:rsid w:val="00227CB5"/>
    <w:rsid w:val="00230727"/>
    <w:rsid w:val="00232B40"/>
    <w:rsid w:val="00232C09"/>
    <w:rsid w:val="00233021"/>
    <w:rsid w:val="0023449C"/>
    <w:rsid w:val="0023551C"/>
    <w:rsid w:val="00235928"/>
    <w:rsid w:val="00235EB0"/>
    <w:rsid w:val="00236671"/>
    <w:rsid w:val="00240C71"/>
    <w:rsid w:val="002421CB"/>
    <w:rsid w:val="00243EEC"/>
    <w:rsid w:val="002457BF"/>
    <w:rsid w:val="00245DC0"/>
    <w:rsid w:val="002467C5"/>
    <w:rsid w:val="00246939"/>
    <w:rsid w:val="002470A8"/>
    <w:rsid w:val="00250889"/>
    <w:rsid w:val="00250E96"/>
    <w:rsid w:val="002518F8"/>
    <w:rsid w:val="002522A3"/>
    <w:rsid w:val="002528F1"/>
    <w:rsid w:val="00252C70"/>
    <w:rsid w:val="00252D90"/>
    <w:rsid w:val="00253135"/>
    <w:rsid w:val="002552E4"/>
    <w:rsid w:val="00255E1F"/>
    <w:rsid w:val="002569E1"/>
    <w:rsid w:val="00256A49"/>
    <w:rsid w:val="00257142"/>
    <w:rsid w:val="00262923"/>
    <w:rsid w:val="0026510A"/>
    <w:rsid w:val="0026677E"/>
    <w:rsid w:val="00266D9C"/>
    <w:rsid w:val="00267883"/>
    <w:rsid w:val="002679B7"/>
    <w:rsid w:val="00267D66"/>
    <w:rsid w:val="00270C0D"/>
    <w:rsid w:val="00271DA2"/>
    <w:rsid w:val="00273A11"/>
    <w:rsid w:val="00274FF5"/>
    <w:rsid w:val="00276141"/>
    <w:rsid w:val="00277BC6"/>
    <w:rsid w:val="00280951"/>
    <w:rsid w:val="002812C9"/>
    <w:rsid w:val="00282AC1"/>
    <w:rsid w:val="00283ECB"/>
    <w:rsid w:val="002842B6"/>
    <w:rsid w:val="002847EB"/>
    <w:rsid w:val="00287830"/>
    <w:rsid w:val="002912DA"/>
    <w:rsid w:val="00293145"/>
    <w:rsid w:val="00293945"/>
    <w:rsid w:val="0029462A"/>
    <w:rsid w:val="00294B78"/>
    <w:rsid w:val="002963BC"/>
    <w:rsid w:val="00297BB9"/>
    <w:rsid w:val="002A06FD"/>
    <w:rsid w:val="002A2D2F"/>
    <w:rsid w:val="002A4213"/>
    <w:rsid w:val="002A550C"/>
    <w:rsid w:val="002A5908"/>
    <w:rsid w:val="002B0E4F"/>
    <w:rsid w:val="002B1F3D"/>
    <w:rsid w:val="002B27FD"/>
    <w:rsid w:val="002B2AB9"/>
    <w:rsid w:val="002B3117"/>
    <w:rsid w:val="002B3E6A"/>
    <w:rsid w:val="002B4979"/>
    <w:rsid w:val="002B51C8"/>
    <w:rsid w:val="002B58C9"/>
    <w:rsid w:val="002B66C3"/>
    <w:rsid w:val="002B741E"/>
    <w:rsid w:val="002C2035"/>
    <w:rsid w:val="002C3800"/>
    <w:rsid w:val="002C4B2F"/>
    <w:rsid w:val="002C51FB"/>
    <w:rsid w:val="002C63EC"/>
    <w:rsid w:val="002C6665"/>
    <w:rsid w:val="002C7F7F"/>
    <w:rsid w:val="002D1B43"/>
    <w:rsid w:val="002D1C34"/>
    <w:rsid w:val="002D2D26"/>
    <w:rsid w:val="002D2F31"/>
    <w:rsid w:val="002D4E08"/>
    <w:rsid w:val="002D529A"/>
    <w:rsid w:val="002D5424"/>
    <w:rsid w:val="002D797E"/>
    <w:rsid w:val="002E2A04"/>
    <w:rsid w:val="002E2C83"/>
    <w:rsid w:val="002E32AF"/>
    <w:rsid w:val="002E363C"/>
    <w:rsid w:val="002E606B"/>
    <w:rsid w:val="002E65A7"/>
    <w:rsid w:val="002E6CF0"/>
    <w:rsid w:val="002E7890"/>
    <w:rsid w:val="002F02CC"/>
    <w:rsid w:val="002F054C"/>
    <w:rsid w:val="002F0C93"/>
    <w:rsid w:val="002F3222"/>
    <w:rsid w:val="002F3472"/>
    <w:rsid w:val="002F4163"/>
    <w:rsid w:val="002F4C9C"/>
    <w:rsid w:val="002F55F7"/>
    <w:rsid w:val="002F69FF"/>
    <w:rsid w:val="002F7816"/>
    <w:rsid w:val="002F7CDE"/>
    <w:rsid w:val="00300171"/>
    <w:rsid w:val="003017EB"/>
    <w:rsid w:val="00301EC1"/>
    <w:rsid w:val="0030294C"/>
    <w:rsid w:val="00302EDC"/>
    <w:rsid w:val="003032DC"/>
    <w:rsid w:val="00303932"/>
    <w:rsid w:val="00304E44"/>
    <w:rsid w:val="00305770"/>
    <w:rsid w:val="00306567"/>
    <w:rsid w:val="003067C5"/>
    <w:rsid w:val="00307BC8"/>
    <w:rsid w:val="00310160"/>
    <w:rsid w:val="003103E4"/>
    <w:rsid w:val="00310DE6"/>
    <w:rsid w:val="00311045"/>
    <w:rsid w:val="00311393"/>
    <w:rsid w:val="00311A05"/>
    <w:rsid w:val="00311F1D"/>
    <w:rsid w:val="0031228D"/>
    <w:rsid w:val="00313CD5"/>
    <w:rsid w:val="00313D5A"/>
    <w:rsid w:val="00314319"/>
    <w:rsid w:val="0031476A"/>
    <w:rsid w:val="003162B8"/>
    <w:rsid w:val="00316A2D"/>
    <w:rsid w:val="003207ED"/>
    <w:rsid w:val="00321A34"/>
    <w:rsid w:val="00321B9E"/>
    <w:rsid w:val="00322664"/>
    <w:rsid w:val="00324B86"/>
    <w:rsid w:val="0032572C"/>
    <w:rsid w:val="00325CEA"/>
    <w:rsid w:val="003261C4"/>
    <w:rsid w:val="0032721B"/>
    <w:rsid w:val="003274A9"/>
    <w:rsid w:val="00330F31"/>
    <w:rsid w:val="003338B0"/>
    <w:rsid w:val="00333B6D"/>
    <w:rsid w:val="00334405"/>
    <w:rsid w:val="00334DC3"/>
    <w:rsid w:val="00334DC9"/>
    <w:rsid w:val="00337D1C"/>
    <w:rsid w:val="003408D4"/>
    <w:rsid w:val="00341CC4"/>
    <w:rsid w:val="00342409"/>
    <w:rsid w:val="00342809"/>
    <w:rsid w:val="00345900"/>
    <w:rsid w:val="00347372"/>
    <w:rsid w:val="00350B5F"/>
    <w:rsid w:val="00351153"/>
    <w:rsid w:val="0035363C"/>
    <w:rsid w:val="00354232"/>
    <w:rsid w:val="003542E4"/>
    <w:rsid w:val="003547CA"/>
    <w:rsid w:val="00354ED9"/>
    <w:rsid w:val="0035560D"/>
    <w:rsid w:val="003574F3"/>
    <w:rsid w:val="00357AE7"/>
    <w:rsid w:val="003600E9"/>
    <w:rsid w:val="00360346"/>
    <w:rsid w:val="00361718"/>
    <w:rsid w:val="00363491"/>
    <w:rsid w:val="003649A2"/>
    <w:rsid w:val="00364C3C"/>
    <w:rsid w:val="0036560B"/>
    <w:rsid w:val="0036569A"/>
    <w:rsid w:val="0036588B"/>
    <w:rsid w:val="00366692"/>
    <w:rsid w:val="003671A7"/>
    <w:rsid w:val="00367637"/>
    <w:rsid w:val="00367CC5"/>
    <w:rsid w:val="003707E1"/>
    <w:rsid w:val="00371F6E"/>
    <w:rsid w:val="003739A2"/>
    <w:rsid w:val="00373B6D"/>
    <w:rsid w:val="003741C2"/>
    <w:rsid w:val="003743EE"/>
    <w:rsid w:val="003761FE"/>
    <w:rsid w:val="003767CA"/>
    <w:rsid w:val="003773D1"/>
    <w:rsid w:val="00377EF2"/>
    <w:rsid w:val="00381DED"/>
    <w:rsid w:val="00383EAB"/>
    <w:rsid w:val="003842BF"/>
    <w:rsid w:val="0038749C"/>
    <w:rsid w:val="00387F7C"/>
    <w:rsid w:val="00394AD5"/>
    <w:rsid w:val="00395E04"/>
    <w:rsid w:val="003967DE"/>
    <w:rsid w:val="00396A70"/>
    <w:rsid w:val="00396CB7"/>
    <w:rsid w:val="003A0AA1"/>
    <w:rsid w:val="003A0FEF"/>
    <w:rsid w:val="003A3D0F"/>
    <w:rsid w:val="003A5B73"/>
    <w:rsid w:val="003A657E"/>
    <w:rsid w:val="003A670F"/>
    <w:rsid w:val="003A710E"/>
    <w:rsid w:val="003B0677"/>
    <w:rsid w:val="003B0CB6"/>
    <w:rsid w:val="003B0E85"/>
    <w:rsid w:val="003B171E"/>
    <w:rsid w:val="003B1E88"/>
    <w:rsid w:val="003B26C1"/>
    <w:rsid w:val="003B2BCF"/>
    <w:rsid w:val="003B45C3"/>
    <w:rsid w:val="003B5A7C"/>
    <w:rsid w:val="003B5DC8"/>
    <w:rsid w:val="003B6432"/>
    <w:rsid w:val="003B6833"/>
    <w:rsid w:val="003B6CD5"/>
    <w:rsid w:val="003B7A02"/>
    <w:rsid w:val="003C1041"/>
    <w:rsid w:val="003C20E9"/>
    <w:rsid w:val="003C27A2"/>
    <w:rsid w:val="003C4CB4"/>
    <w:rsid w:val="003C6414"/>
    <w:rsid w:val="003C7782"/>
    <w:rsid w:val="003C7F57"/>
    <w:rsid w:val="003D262E"/>
    <w:rsid w:val="003D2630"/>
    <w:rsid w:val="003D2DED"/>
    <w:rsid w:val="003D3A95"/>
    <w:rsid w:val="003D627D"/>
    <w:rsid w:val="003D7843"/>
    <w:rsid w:val="003E092C"/>
    <w:rsid w:val="003E0A75"/>
    <w:rsid w:val="003E1D01"/>
    <w:rsid w:val="003E2BAD"/>
    <w:rsid w:val="003E4747"/>
    <w:rsid w:val="003E482C"/>
    <w:rsid w:val="003E5443"/>
    <w:rsid w:val="003E5EEE"/>
    <w:rsid w:val="003E5F84"/>
    <w:rsid w:val="003E74F0"/>
    <w:rsid w:val="003E7D36"/>
    <w:rsid w:val="003F00EA"/>
    <w:rsid w:val="003F0E19"/>
    <w:rsid w:val="003F3196"/>
    <w:rsid w:val="003F42A1"/>
    <w:rsid w:val="003F4507"/>
    <w:rsid w:val="003F5F28"/>
    <w:rsid w:val="003F64A0"/>
    <w:rsid w:val="003F7079"/>
    <w:rsid w:val="00400D43"/>
    <w:rsid w:val="0040117D"/>
    <w:rsid w:val="00401328"/>
    <w:rsid w:val="00402525"/>
    <w:rsid w:val="004027A1"/>
    <w:rsid w:val="00403BD0"/>
    <w:rsid w:val="00404673"/>
    <w:rsid w:val="004058C8"/>
    <w:rsid w:val="00406405"/>
    <w:rsid w:val="004065DA"/>
    <w:rsid w:val="0041044D"/>
    <w:rsid w:val="00410962"/>
    <w:rsid w:val="0041103F"/>
    <w:rsid w:val="00417AA6"/>
    <w:rsid w:val="00420E41"/>
    <w:rsid w:val="00421DDA"/>
    <w:rsid w:val="00422A8C"/>
    <w:rsid w:val="00422EF5"/>
    <w:rsid w:val="00424275"/>
    <w:rsid w:val="00424A82"/>
    <w:rsid w:val="00425178"/>
    <w:rsid w:val="00430458"/>
    <w:rsid w:val="004314A7"/>
    <w:rsid w:val="00432BBC"/>
    <w:rsid w:val="00433131"/>
    <w:rsid w:val="00433DBD"/>
    <w:rsid w:val="0043471D"/>
    <w:rsid w:val="00437BC7"/>
    <w:rsid w:val="0044165E"/>
    <w:rsid w:val="004416C8"/>
    <w:rsid w:val="00441F89"/>
    <w:rsid w:val="004421BF"/>
    <w:rsid w:val="00442E5D"/>
    <w:rsid w:val="00443243"/>
    <w:rsid w:val="0044515E"/>
    <w:rsid w:val="00445602"/>
    <w:rsid w:val="004457A9"/>
    <w:rsid w:val="0044583D"/>
    <w:rsid w:val="004466BA"/>
    <w:rsid w:val="00446834"/>
    <w:rsid w:val="004468C1"/>
    <w:rsid w:val="00446980"/>
    <w:rsid w:val="004509B1"/>
    <w:rsid w:val="00451825"/>
    <w:rsid w:val="00451D99"/>
    <w:rsid w:val="0045394F"/>
    <w:rsid w:val="00453F6D"/>
    <w:rsid w:val="00454BAC"/>
    <w:rsid w:val="00460579"/>
    <w:rsid w:val="00460D32"/>
    <w:rsid w:val="004617C9"/>
    <w:rsid w:val="00463D8B"/>
    <w:rsid w:val="004642B5"/>
    <w:rsid w:val="00465D3C"/>
    <w:rsid w:val="00466642"/>
    <w:rsid w:val="004675ED"/>
    <w:rsid w:val="00470C13"/>
    <w:rsid w:val="00470C53"/>
    <w:rsid w:val="00471E1A"/>
    <w:rsid w:val="00472092"/>
    <w:rsid w:val="0047275C"/>
    <w:rsid w:val="004747EF"/>
    <w:rsid w:val="00475A8F"/>
    <w:rsid w:val="004767CA"/>
    <w:rsid w:val="00476CCF"/>
    <w:rsid w:val="004776C1"/>
    <w:rsid w:val="0048003A"/>
    <w:rsid w:val="004812A4"/>
    <w:rsid w:val="00482A8F"/>
    <w:rsid w:val="00484731"/>
    <w:rsid w:val="00485EF8"/>
    <w:rsid w:val="00491B6D"/>
    <w:rsid w:val="00494004"/>
    <w:rsid w:val="00496C83"/>
    <w:rsid w:val="004A0621"/>
    <w:rsid w:val="004A07F5"/>
    <w:rsid w:val="004A0BCA"/>
    <w:rsid w:val="004A17A0"/>
    <w:rsid w:val="004A2F0F"/>
    <w:rsid w:val="004A4102"/>
    <w:rsid w:val="004A541C"/>
    <w:rsid w:val="004A6EC0"/>
    <w:rsid w:val="004B093E"/>
    <w:rsid w:val="004B2260"/>
    <w:rsid w:val="004B2CDC"/>
    <w:rsid w:val="004B3CE2"/>
    <w:rsid w:val="004B402F"/>
    <w:rsid w:val="004C02EA"/>
    <w:rsid w:val="004C044C"/>
    <w:rsid w:val="004C189C"/>
    <w:rsid w:val="004C29D8"/>
    <w:rsid w:val="004C3FD6"/>
    <w:rsid w:val="004C47D2"/>
    <w:rsid w:val="004C569A"/>
    <w:rsid w:val="004C6431"/>
    <w:rsid w:val="004C6E93"/>
    <w:rsid w:val="004D009F"/>
    <w:rsid w:val="004D16D1"/>
    <w:rsid w:val="004D1DD6"/>
    <w:rsid w:val="004D2988"/>
    <w:rsid w:val="004D3636"/>
    <w:rsid w:val="004D3845"/>
    <w:rsid w:val="004D3DC6"/>
    <w:rsid w:val="004D3F1D"/>
    <w:rsid w:val="004D5593"/>
    <w:rsid w:val="004D58B2"/>
    <w:rsid w:val="004D79E9"/>
    <w:rsid w:val="004D7C67"/>
    <w:rsid w:val="004D7F24"/>
    <w:rsid w:val="004E0DDD"/>
    <w:rsid w:val="004E1B6E"/>
    <w:rsid w:val="004E27B9"/>
    <w:rsid w:val="004E27E0"/>
    <w:rsid w:val="004E285E"/>
    <w:rsid w:val="004E2F53"/>
    <w:rsid w:val="004E3B88"/>
    <w:rsid w:val="004E4730"/>
    <w:rsid w:val="004E5C23"/>
    <w:rsid w:val="004E61A1"/>
    <w:rsid w:val="004E6521"/>
    <w:rsid w:val="004E6775"/>
    <w:rsid w:val="004E70C2"/>
    <w:rsid w:val="004E744A"/>
    <w:rsid w:val="004F1507"/>
    <w:rsid w:val="004F1D59"/>
    <w:rsid w:val="004F38C4"/>
    <w:rsid w:val="004F3C0A"/>
    <w:rsid w:val="004F4A71"/>
    <w:rsid w:val="004F4AAF"/>
    <w:rsid w:val="004F5B4E"/>
    <w:rsid w:val="004F6023"/>
    <w:rsid w:val="004F63A9"/>
    <w:rsid w:val="00501540"/>
    <w:rsid w:val="005042B5"/>
    <w:rsid w:val="005046D5"/>
    <w:rsid w:val="00504CE0"/>
    <w:rsid w:val="00505FDD"/>
    <w:rsid w:val="0051038B"/>
    <w:rsid w:val="00510B32"/>
    <w:rsid w:val="00512907"/>
    <w:rsid w:val="00513AB7"/>
    <w:rsid w:val="00514FE1"/>
    <w:rsid w:val="005172B2"/>
    <w:rsid w:val="00520BC0"/>
    <w:rsid w:val="005210B5"/>
    <w:rsid w:val="005224C7"/>
    <w:rsid w:val="00523180"/>
    <w:rsid w:val="00523326"/>
    <w:rsid w:val="00524026"/>
    <w:rsid w:val="005241B3"/>
    <w:rsid w:val="005256C0"/>
    <w:rsid w:val="00525A95"/>
    <w:rsid w:val="005270A5"/>
    <w:rsid w:val="00527E0E"/>
    <w:rsid w:val="00530FDC"/>
    <w:rsid w:val="00532D08"/>
    <w:rsid w:val="00532EEE"/>
    <w:rsid w:val="005333A1"/>
    <w:rsid w:val="00533B77"/>
    <w:rsid w:val="00534454"/>
    <w:rsid w:val="00534569"/>
    <w:rsid w:val="00534976"/>
    <w:rsid w:val="00535C4B"/>
    <w:rsid w:val="00536437"/>
    <w:rsid w:val="0053660C"/>
    <w:rsid w:val="00540AD9"/>
    <w:rsid w:val="00540BD3"/>
    <w:rsid w:val="0054103E"/>
    <w:rsid w:val="00541106"/>
    <w:rsid w:val="00543159"/>
    <w:rsid w:val="00543F15"/>
    <w:rsid w:val="00544D91"/>
    <w:rsid w:val="00545F0D"/>
    <w:rsid w:val="00546C64"/>
    <w:rsid w:val="00551284"/>
    <w:rsid w:val="00551491"/>
    <w:rsid w:val="00551C42"/>
    <w:rsid w:val="00553793"/>
    <w:rsid w:val="00553B68"/>
    <w:rsid w:val="0055430C"/>
    <w:rsid w:val="00556C15"/>
    <w:rsid w:val="00557A13"/>
    <w:rsid w:val="005617AD"/>
    <w:rsid w:val="00561933"/>
    <w:rsid w:val="00561FCC"/>
    <w:rsid w:val="00562771"/>
    <w:rsid w:val="00563B58"/>
    <w:rsid w:val="00564172"/>
    <w:rsid w:val="00564E5A"/>
    <w:rsid w:val="00565419"/>
    <w:rsid w:val="00566C9E"/>
    <w:rsid w:val="005679E4"/>
    <w:rsid w:val="00570CC1"/>
    <w:rsid w:val="00571271"/>
    <w:rsid w:val="00571710"/>
    <w:rsid w:val="005756BB"/>
    <w:rsid w:val="00575F9A"/>
    <w:rsid w:val="005760AC"/>
    <w:rsid w:val="00576F3C"/>
    <w:rsid w:val="00580CFB"/>
    <w:rsid w:val="00581623"/>
    <w:rsid w:val="00581F2F"/>
    <w:rsid w:val="0058299E"/>
    <w:rsid w:val="005839DC"/>
    <w:rsid w:val="005842D5"/>
    <w:rsid w:val="00584B32"/>
    <w:rsid w:val="00584BE8"/>
    <w:rsid w:val="00586E56"/>
    <w:rsid w:val="00590613"/>
    <w:rsid w:val="00590C77"/>
    <w:rsid w:val="005911C4"/>
    <w:rsid w:val="00591B14"/>
    <w:rsid w:val="00591FFD"/>
    <w:rsid w:val="00593E41"/>
    <w:rsid w:val="0059413D"/>
    <w:rsid w:val="00594347"/>
    <w:rsid w:val="00596CB2"/>
    <w:rsid w:val="005972F5"/>
    <w:rsid w:val="0059760F"/>
    <w:rsid w:val="005A0A71"/>
    <w:rsid w:val="005A1A96"/>
    <w:rsid w:val="005A1CF4"/>
    <w:rsid w:val="005A394F"/>
    <w:rsid w:val="005A5D38"/>
    <w:rsid w:val="005A66F3"/>
    <w:rsid w:val="005B0910"/>
    <w:rsid w:val="005B316E"/>
    <w:rsid w:val="005B3FB4"/>
    <w:rsid w:val="005B5760"/>
    <w:rsid w:val="005B5D09"/>
    <w:rsid w:val="005B656E"/>
    <w:rsid w:val="005C051C"/>
    <w:rsid w:val="005C0D08"/>
    <w:rsid w:val="005C1362"/>
    <w:rsid w:val="005C13AB"/>
    <w:rsid w:val="005C2E46"/>
    <w:rsid w:val="005C3493"/>
    <w:rsid w:val="005C6426"/>
    <w:rsid w:val="005C7700"/>
    <w:rsid w:val="005D0237"/>
    <w:rsid w:val="005D12C9"/>
    <w:rsid w:val="005D164B"/>
    <w:rsid w:val="005D1846"/>
    <w:rsid w:val="005D7E51"/>
    <w:rsid w:val="005E2536"/>
    <w:rsid w:val="005E59DD"/>
    <w:rsid w:val="005E655E"/>
    <w:rsid w:val="005E7DAE"/>
    <w:rsid w:val="005E7F5E"/>
    <w:rsid w:val="005F41B9"/>
    <w:rsid w:val="005F55E6"/>
    <w:rsid w:val="006000C8"/>
    <w:rsid w:val="00600460"/>
    <w:rsid w:val="00600C3E"/>
    <w:rsid w:val="00601194"/>
    <w:rsid w:val="00601933"/>
    <w:rsid w:val="006040A2"/>
    <w:rsid w:val="0060429E"/>
    <w:rsid w:val="006042B3"/>
    <w:rsid w:val="0060560F"/>
    <w:rsid w:val="0061000B"/>
    <w:rsid w:val="0061122E"/>
    <w:rsid w:val="006123B7"/>
    <w:rsid w:val="006150B3"/>
    <w:rsid w:val="006166FE"/>
    <w:rsid w:val="0061721A"/>
    <w:rsid w:val="00617993"/>
    <w:rsid w:val="006224FE"/>
    <w:rsid w:val="0062363F"/>
    <w:rsid w:val="00624205"/>
    <w:rsid w:val="006242AA"/>
    <w:rsid w:val="006247B7"/>
    <w:rsid w:val="00626198"/>
    <w:rsid w:val="00626B14"/>
    <w:rsid w:val="00626C90"/>
    <w:rsid w:val="0063030E"/>
    <w:rsid w:val="006308A9"/>
    <w:rsid w:val="00631571"/>
    <w:rsid w:val="00631E3B"/>
    <w:rsid w:val="006324CA"/>
    <w:rsid w:val="00632DBD"/>
    <w:rsid w:val="00632DF9"/>
    <w:rsid w:val="00632E1C"/>
    <w:rsid w:val="006333F5"/>
    <w:rsid w:val="006352EB"/>
    <w:rsid w:val="006360F2"/>
    <w:rsid w:val="00637A17"/>
    <w:rsid w:val="006413D2"/>
    <w:rsid w:val="006425A9"/>
    <w:rsid w:val="00642F67"/>
    <w:rsid w:val="0064326A"/>
    <w:rsid w:val="00643D27"/>
    <w:rsid w:val="0064434B"/>
    <w:rsid w:val="00644888"/>
    <w:rsid w:val="00645532"/>
    <w:rsid w:val="00645E58"/>
    <w:rsid w:val="00647DAA"/>
    <w:rsid w:val="00647F0C"/>
    <w:rsid w:val="00650D25"/>
    <w:rsid w:val="00651317"/>
    <w:rsid w:val="0065151D"/>
    <w:rsid w:val="00652D33"/>
    <w:rsid w:val="006530AD"/>
    <w:rsid w:val="006545D6"/>
    <w:rsid w:val="00654CCC"/>
    <w:rsid w:val="006556CE"/>
    <w:rsid w:val="006559B3"/>
    <w:rsid w:val="00656945"/>
    <w:rsid w:val="00657359"/>
    <w:rsid w:val="0065745C"/>
    <w:rsid w:val="006578A1"/>
    <w:rsid w:val="006614F5"/>
    <w:rsid w:val="00661B58"/>
    <w:rsid w:val="006626F3"/>
    <w:rsid w:val="0066337C"/>
    <w:rsid w:val="00664148"/>
    <w:rsid w:val="00665549"/>
    <w:rsid w:val="00666BAA"/>
    <w:rsid w:val="00667618"/>
    <w:rsid w:val="0066798F"/>
    <w:rsid w:val="0067059A"/>
    <w:rsid w:val="00671395"/>
    <w:rsid w:val="00671551"/>
    <w:rsid w:val="00672019"/>
    <w:rsid w:val="00673260"/>
    <w:rsid w:val="00673573"/>
    <w:rsid w:val="00674101"/>
    <w:rsid w:val="00675B19"/>
    <w:rsid w:val="006760C9"/>
    <w:rsid w:val="006763B9"/>
    <w:rsid w:val="0068056D"/>
    <w:rsid w:val="00681381"/>
    <w:rsid w:val="006813F1"/>
    <w:rsid w:val="00681ADF"/>
    <w:rsid w:val="00682385"/>
    <w:rsid w:val="00683A21"/>
    <w:rsid w:val="00684C3E"/>
    <w:rsid w:val="00686A0C"/>
    <w:rsid w:val="00686C42"/>
    <w:rsid w:val="006907C0"/>
    <w:rsid w:val="006911D7"/>
    <w:rsid w:val="00692691"/>
    <w:rsid w:val="00693061"/>
    <w:rsid w:val="00695215"/>
    <w:rsid w:val="00695D9A"/>
    <w:rsid w:val="00696AAE"/>
    <w:rsid w:val="006A0BF2"/>
    <w:rsid w:val="006A1091"/>
    <w:rsid w:val="006A2470"/>
    <w:rsid w:val="006A2F45"/>
    <w:rsid w:val="006B0D3B"/>
    <w:rsid w:val="006B36A2"/>
    <w:rsid w:val="006B4C63"/>
    <w:rsid w:val="006B57CA"/>
    <w:rsid w:val="006B633E"/>
    <w:rsid w:val="006C01D4"/>
    <w:rsid w:val="006C0FDE"/>
    <w:rsid w:val="006C1631"/>
    <w:rsid w:val="006C42EA"/>
    <w:rsid w:val="006C656D"/>
    <w:rsid w:val="006C7D93"/>
    <w:rsid w:val="006C7E19"/>
    <w:rsid w:val="006C7F3B"/>
    <w:rsid w:val="006D0F88"/>
    <w:rsid w:val="006D1581"/>
    <w:rsid w:val="006D1A1C"/>
    <w:rsid w:val="006D1DA3"/>
    <w:rsid w:val="006D34CD"/>
    <w:rsid w:val="006D34F3"/>
    <w:rsid w:val="006D35CC"/>
    <w:rsid w:val="006D732D"/>
    <w:rsid w:val="006E300A"/>
    <w:rsid w:val="006E3CAA"/>
    <w:rsid w:val="006E5331"/>
    <w:rsid w:val="006E597C"/>
    <w:rsid w:val="006E5E77"/>
    <w:rsid w:val="006E6768"/>
    <w:rsid w:val="006E6D99"/>
    <w:rsid w:val="006E75A2"/>
    <w:rsid w:val="006F20CF"/>
    <w:rsid w:val="006F272D"/>
    <w:rsid w:val="006F5E06"/>
    <w:rsid w:val="006F769B"/>
    <w:rsid w:val="007005AF"/>
    <w:rsid w:val="0070093F"/>
    <w:rsid w:val="00702CD9"/>
    <w:rsid w:val="00703563"/>
    <w:rsid w:val="00703DE5"/>
    <w:rsid w:val="0070464F"/>
    <w:rsid w:val="00704E27"/>
    <w:rsid w:val="00704F1E"/>
    <w:rsid w:val="00705D63"/>
    <w:rsid w:val="00706737"/>
    <w:rsid w:val="00706A4A"/>
    <w:rsid w:val="007073AC"/>
    <w:rsid w:val="007113B7"/>
    <w:rsid w:val="00711ADF"/>
    <w:rsid w:val="00711C71"/>
    <w:rsid w:val="007128F3"/>
    <w:rsid w:val="00713432"/>
    <w:rsid w:val="007154FB"/>
    <w:rsid w:val="00720011"/>
    <w:rsid w:val="0072250B"/>
    <w:rsid w:val="00722922"/>
    <w:rsid w:val="00723713"/>
    <w:rsid w:val="0072487E"/>
    <w:rsid w:val="00725BB2"/>
    <w:rsid w:val="00732269"/>
    <w:rsid w:val="007329B1"/>
    <w:rsid w:val="00732CDA"/>
    <w:rsid w:val="00734606"/>
    <w:rsid w:val="00734A73"/>
    <w:rsid w:val="00734CF4"/>
    <w:rsid w:val="00734E3A"/>
    <w:rsid w:val="00736FC0"/>
    <w:rsid w:val="00737914"/>
    <w:rsid w:val="00740D92"/>
    <w:rsid w:val="00741D44"/>
    <w:rsid w:val="007434E1"/>
    <w:rsid w:val="00744347"/>
    <w:rsid w:val="0074505D"/>
    <w:rsid w:val="007457F9"/>
    <w:rsid w:val="00745F25"/>
    <w:rsid w:val="00746955"/>
    <w:rsid w:val="007474D1"/>
    <w:rsid w:val="00752032"/>
    <w:rsid w:val="007536F0"/>
    <w:rsid w:val="0075370C"/>
    <w:rsid w:val="00755458"/>
    <w:rsid w:val="00755594"/>
    <w:rsid w:val="00756104"/>
    <w:rsid w:val="007564E2"/>
    <w:rsid w:val="00756D9A"/>
    <w:rsid w:val="00756F32"/>
    <w:rsid w:val="00757933"/>
    <w:rsid w:val="00757C32"/>
    <w:rsid w:val="00760089"/>
    <w:rsid w:val="00760A04"/>
    <w:rsid w:val="00761541"/>
    <w:rsid w:val="00761872"/>
    <w:rsid w:val="007629E9"/>
    <w:rsid w:val="00763952"/>
    <w:rsid w:val="00763AE9"/>
    <w:rsid w:val="0076506C"/>
    <w:rsid w:val="007651DD"/>
    <w:rsid w:val="00766E67"/>
    <w:rsid w:val="00772111"/>
    <w:rsid w:val="007724C8"/>
    <w:rsid w:val="00773C25"/>
    <w:rsid w:val="00773CAC"/>
    <w:rsid w:val="00774022"/>
    <w:rsid w:val="0077404A"/>
    <w:rsid w:val="007752AC"/>
    <w:rsid w:val="00775A66"/>
    <w:rsid w:val="0077629D"/>
    <w:rsid w:val="0077637B"/>
    <w:rsid w:val="00777283"/>
    <w:rsid w:val="007773B9"/>
    <w:rsid w:val="00782A80"/>
    <w:rsid w:val="00783142"/>
    <w:rsid w:val="00783678"/>
    <w:rsid w:val="00785B36"/>
    <w:rsid w:val="00786168"/>
    <w:rsid w:val="00786E37"/>
    <w:rsid w:val="00786F58"/>
    <w:rsid w:val="007876F0"/>
    <w:rsid w:val="00792503"/>
    <w:rsid w:val="007935EC"/>
    <w:rsid w:val="007946D6"/>
    <w:rsid w:val="00795A44"/>
    <w:rsid w:val="00796057"/>
    <w:rsid w:val="00796197"/>
    <w:rsid w:val="007966E0"/>
    <w:rsid w:val="00796ABC"/>
    <w:rsid w:val="00797CC1"/>
    <w:rsid w:val="007A0603"/>
    <w:rsid w:val="007A091E"/>
    <w:rsid w:val="007A0E1D"/>
    <w:rsid w:val="007A0E5C"/>
    <w:rsid w:val="007A1A1C"/>
    <w:rsid w:val="007A298B"/>
    <w:rsid w:val="007A298C"/>
    <w:rsid w:val="007A3622"/>
    <w:rsid w:val="007A4EC0"/>
    <w:rsid w:val="007A502E"/>
    <w:rsid w:val="007A521A"/>
    <w:rsid w:val="007A5ED9"/>
    <w:rsid w:val="007A6255"/>
    <w:rsid w:val="007A78B5"/>
    <w:rsid w:val="007A7D39"/>
    <w:rsid w:val="007B32CC"/>
    <w:rsid w:val="007B5278"/>
    <w:rsid w:val="007B6360"/>
    <w:rsid w:val="007B7AAF"/>
    <w:rsid w:val="007C0C9A"/>
    <w:rsid w:val="007C174E"/>
    <w:rsid w:val="007C2812"/>
    <w:rsid w:val="007C2F1A"/>
    <w:rsid w:val="007C3712"/>
    <w:rsid w:val="007C4BE0"/>
    <w:rsid w:val="007C64BC"/>
    <w:rsid w:val="007C68FE"/>
    <w:rsid w:val="007D02E9"/>
    <w:rsid w:val="007D02F0"/>
    <w:rsid w:val="007D0914"/>
    <w:rsid w:val="007D0C3B"/>
    <w:rsid w:val="007D4836"/>
    <w:rsid w:val="007D4E5B"/>
    <w:rsid w:val="007D525A"/>
    <w:rsid w:val="007D5AB8"/>
    <w:rsid w:val="007D672F"/>
    <w:rsid w:val="007D70F6"/>
    <w:rsid w:val="007E1534"/>
    <w:rsid w:val="007E1993"/>
    <w:rsid w:val="007E50A5"/>
    <w:rsid w:val="007E5133"/>
    <w:rsid w:val="007E5B18"/>
    <w:rsid w:val="007E703C"/>
    <w:rsid w:val="007E78B2"/>
    <w:rsid w:val="007F3156"/>
    <w:rsid w:val="007F46AC"/>
    <w:rsid w:val="007F61C9"/>
    <w:rsid w:val="007F797C"/>
    <w:rsid w:val="00800205"/>
    <w:rsid w:val="008017CF"/>
    <w:rsid w:val="008032CE"/>
    <w:rsid w:val="00804CBC"/>
    <w:rsid w:val="00805306"/>
    <w:rsid w:val="00807CF0"/>
    <w:rsid w:val="008107AA"/>
    <w:rsid w:val="00812C05"/>
    <w:rsid w:val="0081305A"/>
    <w:rsid w:val="00813521"/>
    <w:rsid w:val="00813803"/>
    <w:rsid w:val="0081392C"/>
    <w:rsid w:val="00813A8E"/>
    <w:rsid w:val="008150D9"/>
    <w:rsid w:val="00815329"/>
    <w:rsid w:val="00816F6C"/>
    <w:rsid w:val="008175AA"/>
    <w:rsid w:val="00817A5E"/>
    <w:rsid w:val="0082086E"/>
    <w:rsid w:val="00820B74"/>
    <w:rsid w:val="00820FD0"/>
    <w:rsid w:val="0082160C"/>
    <w:rsid w:val="00822692"/>
    <w:rsid w:val="00826EDB"/>
    <w:rsid w:val="0083137A"/>
    <w:rsid w:val="00831BC7"/>
    <w:rsid w:val="0083220C"/>
    <w:rsid w:val="00833F78"/>
    <w:rsid w:val="008341EF"/>
    <w:rsid w:val="00834677"/>
    <w:rsid w:val="008357B3"/>
    <w:rsid w:val="00837CE4"/>
    <w:rsid w:val="00837EEF"/>
    <w:rsid w:val="00837F0F"/>
    <w:rsid w:val="00841123"/>
    <w:rsid w:val="00845530"/>
    <w:rsid w:val="00846653"/>
    <w:rsid w:val="00846D43"/>
    <w:rsid w:val="00850956"/>
    <w:rsid w:val="00850CAD"/>
    <w:rsid w:val="00850E1C"/>
    <w:rsid w:val="00852D86"/>
    <w:rsid w:val="00853940"/>
    <w:rsid w:val="00856ECB"/>
    <w:rsid w:val="008611D4"/>
    <w:rsid w:val="00864748"/>
    <w:rsid w:val="008665EB"/>
    <w:rsid w:val="00867A63"/>
    <w:rsid w:val="0087031F"/>
    <w:rsid w:val="00871D81"/>
    <w:rsid w:val="00872DD2"/>
    <w:rsid w:val="008731B5"/>
    <w:rsid w:val="00875085"/>
    <w:rsid w:val="00875189"/>
    <w:rsid w:val="00875F71"/>
    <w:rsid w:val="0088026A"/>
    <w:rsid w:val="00882B8F"/>
    <w:rsid w:val="00882BC2"/>
    <w:rsid w:val="008830BC"/>
    <w:rsid w:val="00883B5E"/>
    <w:rsid w:val="008843C2"/>
    <w:rsid w:val="00884F76"/>
    <w:rsid w:val="008856B1"/>
    <w:rsid w:val="00886746"/>
    <w:rsid w:val="00887D2A"/>
    <w:rsid w:val="008903BC"/>
    <w:rsid w:val="008910DA"/>
    <w:rsid w:val="00891D5B"/>
    <w:rsid w:val="00892534"/>
    <w:rsid w:val="008940F5"/>
    <w:rsid w:val="0089454F"/>
    <w:rsid w:val="008946AE"/>
    <w:rsid w:val="00895D6D"/>
    <w:rsid w:val="008964A7"/>
    <w:rsid w:val="00896617"/>
    <w:rsid w:val="008A06A0"/>
    <w:rsid w:val="008A0A9A"/>
    <w:rsid w:val="008A1076"/>
    <w:rsid w:val="008A119A"/>
    <w:rsid w:val="008A1EB2"/>
    <w:rsid w:val="008A210C"/>
    <w:rsid w:val="008A27BC"/>
    <w:rsid w:val="008A4B24"/>
    <w:rsid w:val="008A599D"/>
    <w:rsid w:val="008A5CE6"/>
    <w:rsid w:val="008A6056"/>
    <w:rsid w:val="008A6B40"/>
    <w:rsid w:val="008A6B7E"/>
    <w:rsid w:val="008A6DE8"/>
    <w:rsid w:val="008A6EE1"/>
    <w:rsid w:val="008A73EF"/>
    <w:rsid w:val="008A7817"/>
    <w:rsid w:val="008A782F"/>
    <w:rsid w:val="008A7EF0"/>
    <w:rsid w:val="008B0171"/>
    <w:rsid w:val="008B029B"/>
    <w:rsid w:val="008B1B27"/>
    <w:rsid w:val="008B1E03"/>
    <w:rsid w:val="008B3761"/>
    <w:rsid w:val="008B3876"/>
    <w:rsid w:val="008B44B1"/>
    <w:rsid w:val="008B5AAC"/>
    <w:rsid w:val="008B6F14"/>
    <w:rsid w:val="008B7FA9"/>
    <w:rsid w:val="008C0383"/>
    <w:rsid w:val="008C14F4"/>
    <w:rsid w:val="008C25C6"/>
    <w:rsid w:val="008C2D44"/>
    <w:rsid w:val="008C368E"/>
    <w:rsid w:val="008C3A81"/>
    <w:rsid w:val="008C3F7A"/>
    <w:rsid w:val="008C6DBF"/>
    <w:rsid w:val="008C72CD"/>
    <w:rsid w:val="008C744F"/>
    <w:rsid w:val="008D3290"/>
    <w:rsid w:val="008D47D1"/>
    <w:rsid w:val="008E0D1F"/>
    <w:rsid w:val="008E2329"/>
    <w:rsid w:val="008E2390"/>
    <w:rsid w:val="008E30FF"/>
    <w:rsid w:val="008E341E"/>
    <w:rsid w:val="008E48C1"/>
    <w:rsid w:val="008E68B6"/>
    <w:rsid w:val="008F017C"/>
    <w:rsid w:val="008F0DB8"/>
    <w:rsid w:val="008F1D20"/>
    <w:rsid w:val="008F3DEF"/>
    <w:rsid w:val="008F5131"/>
    <w:rsid w:val="008F5341"/>
    <w:rsid w:val="008F56E2"/>
    <w:rsid w:val="009008E5"/>
    <w:rsid w:val="00901C14"/>
    <w:rsid w:val="00903AA1"/>
    <w:rsid w:val="0090448D"/>
    <w:rsid w:val="00904D80"/>
    <w:rsid w:val="009073CF"/>
    <w:rsid w:val="009101FC"/>
    <w:rsid w:val="00910D84"/>
    <w:rsid w:val="00910F43"/>
    <w:rsid w:val="00913524"/>
    <w:rsid w:val="0091479C"/>
    <w:rsid w:val="009161DD"/>
    <w:rsid w:val="00917943"/>
    <w:rsid w:val="00920A1A"/>
    <w:rsid w:val="00922814"/>
    <w:rsid w:val="00922A47"/>
    <w:rsid w:val="00922AD2"/>
    <w:rsid w:val="009245EB"/>
    <w:rsid w:val="00924DBE"/>
    <w:rsid w:val="00925257"/>
    <w:rsid w:val="00926C87"/>
    <w:rsid w:val="00926E0B"/>
    <w:rsid w:val="0093020E"/>
    <w:rsid w:val="009345A2"/>
    <w:rsid w:val="00935CBC"/>
    <w:rsid w:val="00937F45"/>
    <w:rsid w:val="009406A0"/>
    <w:rsid w:val="0094119F"/>
    <w:rsid w:val="0094571B"/>
    <w:rsid w:val="00945810"/>
    <w:rsid w:val="00946BB1"/>
    <w:rsid w:val="00952082"/>
    <w:rsid w:val="00952182"/>
    <w:rsid w:val="009528B1"/>
    <w:rsid w:val="00953E65"/>
    <w:rsid w:val="009545F2"/>
    <w:rsid w:val="00954DE8"/>
    <w:rsid w:val="00955E3C"/>
    <w:rsid w:val="009575F2"/>
    <w:rsid w:val="00960298"/>
    <w:rsid w:val="00960EE2"/>
    <w:rsid w:val="00962030"/>
    <w:rsid w:val="0096221C"/>
    <w:rsid w:val="009632CA"/>
    <w:rsid w:val="00965503"/>
    <w:rsid w:val="009656CE"/>
    <w:rsid w:val="00965FCF"/>
    <w:rsid w:val="00967C5A"/>
    <w:rsid w:val="00970AEE"/>
    <w:rsid w:val="009710F4"/>
    <w:rsid w:val="0097165E"/>
    <w:rsid w:val="00971BA4"/>
    <w:rsid w:val="00971D28"/>
    <w:rsid w:val="00972C0B"/>
    <w:rsid w:val="00973473"/>
    <w:rsid w:val="00973B52"/>
    <w:rsid w:val="00973D5A"/>
    <w:rsid w:val="00974D71"/>
    <w:rsid w:val="0097687F"/>
    <w:rsid w:val="009771E3"/>
    <w:rsid w:val="009807F0"/>
    <w:rsid w:val="0098483C"/>
    <w:rsid w:val="009848F0"/>
    <w:rsid w:val="009859AF"/>
    <w:rsid w:val="0099264E"/>
    <w:rsid w:val="00992C71"/>
    <w:rsid w:val="00993077"/>
    <w:rsid w:val="00994902"/>
    <w:rsid w:val="00994A58"/>
    <w:rsid w:val="0099500E"/>
    <w:rsid w:val="009951D0"/>
    <w:rsid w:val="00995480"/>
    <w:rsid w:val="0099558B"/>
    <w:rsid w:val="009955E0"/>
    <w:rsid w:val="00997830"/>
    <w:rsid w:val="00997D6D"/>
    <w:rsid w:val="009A03EA"/>
    <w:rsid w:val="009A0774"/>
    <w:rsid w:val="009A10BD"/>
    <w:rsid w:val="009A1896"/>
    <w:rsid w:val="009A3D9C"/>
    <w:rsid w:val="009A3DB8"/>
    <w:rsid w:val="009A600F"/>
    <w:rsid w:val="009B169A"/>
    <w:rsid w:val="009B3326"/>
    <w:rsid w:val="009B5523"/>
    <w:rsid w:val="009B5D20"/>
    <w:rsid w:val="009B6A45"/>
    <w:rsid w:val="009B79F9"/>
    <w:rsid w:val="009C00E4"/>
    <w:rsid w:val="009C0700"/>
    <w:rsid w:val="009C14A9"/>
    <w:rsid w:val="009C3165"/>
    <w:rsid w:val="009C3695"/>
    <w:rsid w:val="009C3FB1"/>
    <w:rsid w:val="009C4AF0"/>
    <w:rsid w:val="009C627C"/>
    <w:rsid w:val="009D06E1"/>
    <w:rsid w:val="009D15B6"/>
    <w:rsid w:val="009D1C79"/>
    <w:rsid w:val="009D1CCC"/>
    <w:rsid w:val="009D2B16"/>
    <w:rsid w:val="009D30FA"/>
    <w:rsid w:val="009D3447"/>
    <w:rsid w:val="009D36FD"/>
    <w:rsid w:val="009D47F3"/>
    <w:rsid w:val="009D4A03"/>
    <w:rsid w:val="009D4CBF"/>
    <w:rsid w:val="009D5430"/>
    <w:rsid w:val="009D554C"/>
    <w:rsid w:val="009D5AAB"/>
    <w:rsid w:val="009D636D"/>
    <w:rsid w:val="009D765B"/>
    <w:rsid w:val="009E063C"/>
    <w:rsid w:val="009E1246"/>
    <w:rsid w:val="009E23E8"/>
    <w:rsid w:val="009E2895"/>
    <w:rsid w:val="009E28AD"/>
    <w:rsid w:val="009E2F53"/>
    <w:rsid w:val="009E321B"/>
    <w:rsid w:val="009E3720"/>
    <w:rsid w:val="009E4CF9"/>
    <w:rsid w:val="009E720B"/>
    <w:rsid w:val="009E73CA"/>
    <w:rsid w:val="009F285E"/>
    <w:rsid w:val="009F3D6E"/>
    <w:rsid w:val="009F491E"/>
    <w:rsid w:val="009F5D0A"/>
    <w:rsid w:val="009F5F5B"/>
    <w:rsid w:val="009F6C1A"/>
    <w:rsid w:val="00A00AD7"/>
    <w:rsid w:val="00A010EE"/>
    <w:rsid w:val="00A01ADD"/>
    <w:rsid w:val="00A02EAC"/>
    <w:rsid w:val="00A032CA"/>
    <w:rsid w:val="00A03D8C"/>
    <w:rsid w:val="00A04297"/>
    <w:rsid w:val="00A042BA"/>
    <w:rsid w:val="00A05EE4"/>
    <w:rsid w:val="00A07978"/>
    <w:rsid w:val="00A1054F"/>
    <w:rsid w:val="00A10AC3"/>
    <w:rsid w:val="00A13357"/>
    <w:rsid w:val="00A13DB0"/>
    <w:rsid w:val="00A15508"/>
    <w:rsid w:val="00A16B91"/>
    <w:rsid w:val="00A16B93"/>
    <w:rsid w:val="00A16C2A"/>
    <w:rsid w:val="00A16D09"/>
    <w:rsid w:val="00A1710C"/>
    <w:rsid w:val="00A179BE"/>
    <w:rsid w:val="00A201E4"/>
    <w:rsid w:val="00A20AC9"/>
    <w:rsid w:val="00A214D9"/>
    <w:rsid w:val="00A2180F"/>
    <w:rsid w:val="00A22237"/>
    <w:rsid w:val="00A22399"/>
    <w:rsid w:val="00A24375"/>
    <w:rsid w:val="00A25AC7"/>
    <w:rsid w:val="00A26F36"/>
    <w:rsid w:val="00A327B5"/>
    <w:rsid w:val="00A34F19"/>
    <w:rsid w:val="00A3540F"/>
    <w:rsid w:val="00A3580A"/>
    <w:rsid w:val="00A35C67"/>
    <w:rsid w:val="00A368E8"/>
    <w:rsid w:val="00A36E78"/>
    <w:rsid w:val="00A37C91"/>
    <w:rsid w:val="00A40806"/>
    <w:rsid w:val="00A408BE"/>
    <w:rsid w:val="00A41C2C"/>
    <w:rsid w:val="00A4262E"/>
    <w:rsid w:val="00A42B7F"/>
    <w:rsid w:val="00A45BEF"/>
    <w:rsid w:val="00A516C3"/>
    <w:rsid w:val="00A51C1F"/>
    <w:rsid w:val="00A52B7A"/>
    <w:rsid w:val="00A5473A"/>
    <w:rsid w:val="00A54874"/>
    <w:rsid w:val="00A559B1"/>
    <w:rsid w:val="00A55DF3"/>
    <w:rsid w:val="00A569FA"/>
    <w:rsid w:val="00A60070"/>
    <w:rsid w:val="00A60337"/>
    <w:rsid w:val="00A60923"/>
    <w:rsid w:val="00A61686"/>
    <w:rsid w:val="00A627E9"/>
    <w:rsid w:val="00A65A03"/>
    <w:rsid w:val="00A6713D"/>
    <w:rsid w:val="00A67DA7"/>
    <w:rsid w:val="00A7113B"/>
    <w:rsid w:val="00A714A6"/>
    <w:rsid w:val="00A72A66"/>
    <w:rsid w:val="00A73F1F"/>
    <w:rsid w:val="00A75678"/>
    <w:rsid w:val="00A76A37"/>
    <w:rsid w:val="00A76B69"/>
    <w:rsid w:val="00A80D85"/>
    <w:rsid w:val="00A823E9"/>
    <w:rsid w:val="00A8269E"/>
    <w:rsid w:val="00A8506C"/>
    <w:rsid w:val="00A85B47"/>
    <w:rsid w:val="00A86FB7"/>
    <w:rsid w:val="00A87658"/>
    <w:rsid w:val="00A902DA"/>
    <w:rsid w:val="00A94C80"/>
    <w:rsid w:val="00A96022"/>
    <w:rsid w:val="00A96380"/>
    <w:rsid w:val="00AA04DC"/>
    <w:rsid w:val="00AA32A8"/>
    <w:rsid w:val="00AA34D2"/>
    <w:rsid w:val="00AA3CAF"/>
    <w:rsid w:val="00AA453B"/>
    <w:rsid w:val="00AA5C79"/>
    <w:rsid w:val="00AA6250"/>
    <w:rsid w:val="00AA74F9"/>
    <w:rsid w:val="00AA7591"/>
    <w:rsid w:val="00AB03A5"/>
    <w:rsid w:val="00AB0471"/>
    <w:rsid w:val="00AB1B64"/>
    <w:rsid w:val="00AB1C58"/>
    <w:rsid w:val="00AB2EF6"/>
    <w:rsid w:val="00AB33BF"/>
    <w:rsid w:val="00AB3575"/>
    <w:rsid w:val="00AB36BD"/>
    <w:rsid w:val="00AB3C29"/>
    <w:rsid w:val="00AB44A3"/>
    <w:rsid w:val="00AB52C6"/>
    <w:rsid w:val="00AB6068"/>
    <w:rsid w:val="00AB7243"/>
    <w:rsid w:val="00AB7260"/>
    <w:rsid w:val="00AB79DD"/>
    <w:rsid w:val="00AC153B"/>
    <w:rsid w:val="00AC30FC"/>
    <w:rsid w:val="00AC3A25"/>
    <w:rsid w:val="00AC42FE"/>
    <w:rsid w:val="00AC5844"/>
    <w:rsid w:val="00AC7FE6"/>
    <w:rsid w:val="00AD0482"/>
    <w:rsid w:val="00AD061E"/>
    <w:rsid w:val="00AD402F"/>
    <w:rsid w:val="00AD424A"/>
    <w:rsid w:val="00AD4622"/>
    <w:rsid w:val="00AD4DB6"/>
    <w:rsid w:val="00AD5B7E"/>
    <w:rsid w:val="00AD6001"/>
    <w:rsid w:val="00AD61B5"/>
    <w:rsid w:val="00AD6C52"/>
    <w:rsid w:val="00AD6F6D"/>
    <w:rsid w:val="00AD7D25"/>
    <w:rsid w:val="00AE0D45"/>
    <w:rsid w:val="00AE3792"/>
    <w:rsid w:val="00AE3D9C"/>
    <w:rsid w:val="00AE41D0"/>
    <w:rsid w:val="00AE6E73"/>
    <w:rsid w:val="00AF166D"/>
    <w:rsid w:val="00AF229F"/>
    <w:rsid w:val="00AF2F50"/>
    <w:rsid w:val="00AF473D"/>
    <w:rsid w:val="00AF4C91"/>
    <w:rsid w:val="00AF4F4D"/>
    <w:rsid w:val="00AF5D5C"/>
    <w:rsid w:val="00AF6E67"/>
    <w:rsid w:val="00B015DF"/>
    <w:rsid w:val="00B016A8"/>
    <w:rsid w:val="00B0257F"/>
    <w:rsid w:val="00B027E9"/>
    <w:rsid w:val="00B02F1B"/>
    <w:rsid w:val="00B03218"/>
    <w:rsid w:val="00B03550"/>
    <w:rsid w:val="00B03FC3"/>
    <w:rsid w:val="00B04325"/>
    <w:rsid w:val="00B0617B"/>
    <w:rsid w:val="00B06629"/>
    <w:rsid w:val="00B0678E"/>
    <w:rsid w:val="00B10A9D"/>
    <w:rsid w:val="00B1141C"/>
    <w:rsid w:val="00B11594"/>
    <w:rsid w:val="00B11F89"/>
    <w:rsid w:val="00B14028"/>
    <w:rsid w:val="00B14668"/>
    <w:rsid w:val="00B15F75"/>
    <w:rsid w:val="00B1648E"/>
    <w:rsid w:val="00B1665B"/>
    <w:rsid w:val="00B1684E"/>
    <w:rsid w:val="00B21F4D"/>
    <w:rsid w:val="00B22559"/>
    <w:rsid w:val="00B22937"/>
    <w:rsid w:val="00B25FD1"/>
    <w:rsid w:val="00B26AA1"/>
    <w:rsid w:val="00B31B20"/>
    <w:rsid w:val="00B344BE"/>
    <w:rsid w:val="00B347BC"/>
    <w:rsid w:val="00B36796"/>
    <w:rsid w:val="00B37739"/>
    <w:rsid w:val="00B426E8"/>
    <w:rsid w:val="00B4696F"/>
    <w:rsid w:val="00B46E7A"/>
    <w:rsid w:val="00B47C16"/>
    <w:rsid w:val="00B50C52"/>
    <w:rsid w:val="00B522DC"/>
    <w:rsid w:val="00B52709"/>
    <w:rsid w:val="00B52AF7"/>
    <w:rsid w:val="00B547CE"/>
    <w:rsid w:val="00B55C84"/>
    <w:rsid w:val="00B567FC"/>
    <w:rsid w:val="00B570FA"/>
    <w:rsid w:val="00B57131"/>
    <w:rsid w:val="00B573AB"/>
    <w:rsid w:val="00B60076"/>
    <w:rsid w:val="00B62DA4"/>
    <w:rsid w:val="00B6305E"/>
    <w:rsid w:val="00B63109"/>
    <w:rsid w:val="00B6332E"/>
    <w:rsid w:val="00B638ED"/>
    <w:rsid w:val="00B65D0F"/>
    <w:rsid w:val="00B65E27"/>
    <w:rsid w:val="00B666CA"/>
    <w:rsid w:val="00B67AA3"/>
    <w:rsid w:val="00B7111D"/>
    <w:rsid w:val="00B71A9B"/>
    <w:rsid w:val="00B71F0B"/>
    <w:rsid w:val="00B7282D"/>
    <w:rsid w:val="00B74A98"/>
    <w:rsid w:val="00B75BEB"/>
    <w:rsid w:val="00B769EC"/>
    <w:rsid w:val="00B77B44"/>
    <w:rsid w:val="00B800EF"/>
    <w:rsid w:val="00B807E5"/>
    <w:rsid w:val="00B81589"/>
    <w:rsid w:val="00B82E48"/>
    <w:rsid w:val="00B87305"/>
    <w:rsid w:val="00B90DAA"/>
    <w:rsid w:val="00B910A2"/>
    <w:rsid w:val="00B92BC3"/>
    <w:rsid w:val="00B92D71"/>
    <w:rsid w:val="00B935CB"/>
    <w:rsid w:val="00B93628"/>
    <w:rsid w:val="00B937E6"/>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B4C30"/>
    <w:rsid w:val="00BB58D2"/>
    <w:rsid w:val="00BB7F14"/>
    <w:rsid w:val="00BC04C2"/>
    <w:rsid w:val="00BC11BB"/>
    <w:rsid w:val="00BC1AD9"/>
    <w:rsid w:val="00BC1F5C"/>
    <w:rsid w:val="00BC3587"/>
    <w:rsid w:val="00BC3914"/>
    <w:rsid w:val="00BC4149"/>
    <w:rsid w:val="00BC44C1"/>
    <w:rsid w:val="00BC470B"/>
    <w:rsid w:val="00BC5444"/>
    <w:rsid w:val="00BC6CC0"/>
    <w:rsid w:val="00BC7E0F"/>
    <w:rsid w:val="00BD0038"/>
    <w:rsid w:val="00BD0083"/>
    <w:rsid w:val="00BD0DFC"/>
    <w:rsid w:val="00BD1CA5"/>
    <w:rsid w:val="00BD1E5D"/>
    <w:rsid w:val="00BD2D61"/>
    <w:rsid w:val="00BD2D91"/>
    <w:rsid w:val="00BD31FD"/>
    <w:rsid w:val="00BD3A0C"/>
    <w:rsid w:val="00BD3AA2"/>
    <w:rsid w:val="00BD3CBE"/>
    <w:rsid w:val="00BD3F81"/>
    <w:rsid w:val="00BD5A20"/>
    <w:rsid w:val="00BD5DE2"/>
    <w:rsid w:val="00BD6802"/>
    <w:rsid w:val="00BD703F"/>
    <w:rsid w:val="00BD70FF"/>
    <w:rsid w:val="00BE0475"/>
    <w:rsid w:val="00BE0D7D"/>
    <w:rsid w:val="00BE1C93"/>
    <w:rsid w:val="00BE2F59"/>
    <w:rsid w:val="00BE41AC"/>
    <w:rsid w:val="00BE41F4"/>
    <w:rsid w:val="00BE4BDE"/>
    <w:rsid w:val="00BE57F5"/>
    <w:rsid w:val="00BE6FC6"/>
    <w:rsid w:val="00BF0FEA"/>
    <w:rsid w:val="00BF14C8"/>
    <w:rsid w:val="00BF18C0"/>
    <w:rsid w:val="00BF1F32"/>
    <w:rsid w:val="00BF62E4"/>
    <w:rsid w:val="00BF6EB6"/>
    <w:rsid w:val="00BF7853"/>
    <w:rsid w:val="00BF789D"/>
    <w:rsid w:val="00BF7FC0"/>
    <w:rsid w:val="00C01521"/>
    <w:rsid w:val="00C020ED"/>
    <w:rsid w:val="00C02721"/>
    <w:rsid w:val="00C0544B"/>
    <w:rsid w:val="00C05ED3"/>
    <w:rsid w:val="00C10BE7"/>
    <w:rsid w:val="00C10CFA"/>
    <w:rsid w:val="00C115B5"/>
    <w:rsid w:val="00C116DA"/>
    <w:rsid w:val="00C11A61"/>
    <w:rsid w:val="00C11D80"/>
    <w:rsid w:val="00C12C51"/>
    <w:rsid w:val="00C13E95"/>
    <w:rsid w:val="00C15D28"/>
    <w:rsid w:val="00C15D87"/>
    <w:rsid w:val="00C1664F"/>
    <w:rsid w:val="00C20797"/>
    <w:rsid w:val="00C21C9C"/>
    <w:rsid w:val="00C23401"/>
    <w:rsid w:val="00C247B2"/>
    <w:rsid w:val="00C24BA3"/>
    <w:rsid w:val="00C256C5"/>
    <w:rsid w:val="00C25E02"/>
    <w:rsid w:val="00C276C1"/>
    <w:rsid w:val="00C30B4C"/>
    <w:rsid w:val="00C32B25"/>
    <w:rsid w:val="00C33F7F"/>
    <w:rsid w:val="00C3443F"/>
    <w:rsid w:val="00C3577F"/>
    <w:rsid w:val="00C374A2"/>
    <w:rsid w:val="00C37E53"/>
    <w:rsid w:val="00C411A0"/>
    <w:rsid w:val="00C43F21"/>
    <w:rsid w:val="00C44D73"/>
    <w:rsid w:val="00C4511F"/>
    <w:rsid w:val="00C466BE"/>
    <w:rsid w:val="00C46E07"/>
    <w:rsid w:val="00C47C53"/>
    <w:rsid w:val="00C527E7"/>
    <w:rsid w:val="00C52BE2"/>
    <w:rsid w:val="00C53D67"/>
    <w:rsid w:val="00C549CA"/>
    <w:rsid w:val="00C54D7E"/>
    <w:rsid w:val="00C56887"/>
    <w:rsid w:val="00C57450"/>
    <w:rsid w:val="00C604EC"/>
    <w:rsid w:val="00C6183B"/>
    <w:rsid w:val="00C61D54"/>
    <w:rsid w:val="00C62927"/>
    <w:rsid w:val="00C630A1"/>
    <w:rsid w:val="00C6434F"/>
    <w:rsid w:val="00C6435D"/>
    <w:rsid w:val="00C64ACA"/>
    <w:rsid w:val="00C65730"/>
    <w:rsid w:val="00C65893"/>
    <w:rsid w:val="00C65DF5"/>
    <w:rsid w:val="00C66B5F"/>
    <w:rsid w:val="00C66D27"/>
    <w:rsid w:val="00C70F9B"/>
    <w:rsid w:val="00C740D1"/>
    <w:rsid w:val="00C747E2"/>
    <w:rsid w:val="00C75606"/>
    <w:rsid w:val="00C759B7"/>
    <w:rsid w:val="00C7683F"/>
    <w:rsid w:val="00C769F8"/>
    <w:rsid w:val="00C76E67"/>
    <w:rsid w:val="00C77C1D"/>
    <w:rsid w:val="00C800ED"/>
    <w:rsid w:val="00C8019E"/>
    <w:rsid w:val="00C857FB"/>
    <w:rsid w:val="00C86082"/>
    <w:rsid w:val="00C87174"/>
    <w:rsid w:val="00C8755C"/>
    <w:rsid w:val="00C9008E"/>
    <w:rsid w:val="00C90E29"/>
    <w:rsid w:val="00C912BD"/>
    <w:rsid w:val="00C92DA1"/>
    <w:rsid w:val="00C933EC"/>
    <w:rsid w:val="00C941B0"/>
    <w:rsid w:val="00C97B2F"/>
    <w:rsid w:val="00CA056A"/>
    <w:rsid w:val="00CA0B08"/>
    <w:rsid w:val="00CA2C59"/>
    <w:rsid w:val="00CA2D27"/>
    <w:rsid w:val="00CA319D"/>
    <w:rsid w:val="00CA33ED"/>
    <w:rsid w:val="00CA37AF"/>
    <w:rsid w:val="00CA3922"/>
    <w:rsid w:val="00CA4464"/>
    <w:rsid w:val="00CA679B"/>
    <w:rsid w:val="00CA67DB"/>
    <w:rsid w:val="00CB01B8"/>
    <w:rsid w:val="00CB1BAE"/>
    <w:rsid w:val="00CB2F32"/>
    <w:rsid w:val="00CB4E25"/>
    <w:rsid w:val="00CB5933"/>
    <w:rsid w:val="00CB691C"/>
    <w:rsid w:val="00CB75A5"/>
    <w:rsid w:val="00CC01E9"/>
    <w:rsid w:val="00CC08BA"/>
    <w:rsid w:val="00CC3AD7"/>
    <w:rsid w:val="00CC431D"/>
    <w:rsid w:val="00CC4F21"/>
    <w:rsid w:val="00CC6143"/>
    <w:rsid w:val="00CC69DA"/>
    <w:rsid w:val="00CC6C5D"/>
    <w:rsid w:val="00CD0829"/>
    <w:rsid w:val="00CD0A13"/>
    <w:rsid w:val="00CD4736"/>
    <w:rsid w:val="00CD495A"/>
    <w:rsid w:val="00CD5AC2"/>
    <w:rsid w:val="00CD6CEF"/>
    <w:rsid w:val="00CE1691"/>
    <w:rsid w:val="00CE17CC"/>
    <w:rsid w:val="00CE1FA6"/>
    <w:rsid w:val="00CE2DCA"/>
    <w:rsid w:val="00CE3C0F"/>
    <w:rsid w:val="00CE476F"/>
    <w:rsid w:val="00CE666B"/>
    <w:rsid w:val="00CE69DA"/>
    <w:rsid w:val="00CE7053"/>
    <w:rsid w:val="00CF0F39"/>
    <w:rsid w:val="00CF181C"/>
    <w:rsid w:val="00CF240B"/>
    <w:rsid w:val="00CF2BDB"/>
    <w:rsid w:val="00CF3DDC"/>
    <w:rsid w:val="00CF3E93"/>
    <w:rsid w:val="00CF4445"/>
    <w:rsid w:val="00CF7093"/>
    <w:rsid w:val="00D00A9A"/>
    <w:rsid w:val="00D00E69"/>
    <w:rsid w:val="00D036DE"/>
    <w:rsid w:val="00D03DC1"/>
    <w:rsid w:val="00D04323"/>
    <w:rsid w:val="00D05496"/>
    <w:rsid w:val="00D054C0"/>
    <w:rsid w:val="00D10051"/>
    <w:rsid w:val="00D10291"/>
    <w:rsid w:val="00D103D7"/>
    <w:rsid w:val="00D10761"/>
    <w:rsid w:val="00D1444F"/>
    <w:rsid w:val="00D174E5"/>
    <w:rsid w:val="00D17BA6"/>
    <w:rsid w:val="00D17E3E"/>
    <w:rsid w:val="00D201F3"/>
    <w:rsid w:val="00D209F0"/>
    <w:rsid w:val="00D2431D"/>
    <w:rsid w:val="00D24EFB"/>
    <w:rsid w:val="00D2704D"/>
    <w:rsid w:val="00D276CA"/>
    <w:rsid w:val="00D30DDB"/>
    <w:rsid w:val="00D34E9D"/>
    <w:rsid w:val="00D35321"/>
    <w:rsid w:val="00D3592A"/>
    <w:rsid w:val="00D37DB3"/>
    <w:rsid w:val="00D40BA1"/>
    <w:rsid w:val="00D40E91"/>
    <w:rsid w:val="00D417EF"/>
    <w:rsid w:val="00D41E88"/>
    <w:rsid w:val="00D4253A"/>
    <w:rsid w:val="00D449B5"/>
    <w:rsid w:val="00D449E7"/>
    <w:rsid w:val="00D4631F"/>
    <w:rsid w:val="00D4661D"/>
    <w:rsid w:val="00D46B57"/>
    <w:rsid w:val="00D47259"/>
    <w:rsid w:val="00D50F82"/>
    <w:rsid w:val="00D511E4"/>
    <w:rsid w:val="00D52275"/>
    <w:rsid w:val="00D529EF"/>
    <w:rsid w:val="00D52CF8"/>
    <w:rsid w:val="00D536A6"/>
    <w:rsid w:val="00D536C8"/>
    <w:rsid w:val="00D54585"/>
    <w:rsid w:val="00D54C1A"/>
    <w:rsid w:val="00D573FC"/>
    <w:rsid w:val="00D6167E"/>
    <w:rsid w:val="00D6196A"/>
    <w:rsid w:val="00D6299B"/>
    <w:rsid w:val="00D6437B"/>
    <w:rsid w:val="00D64F8A"/>
    <w:rsid w:val="00D658DE"/>
    <w:rsid w:val="00D66C69"/>
    <w:rsid w:val="00D70193"/>
    <w:rsid w:val="00D72B0A"/>
    <w:rsid w:val="00D733A8"/>
    <w:rsid w:val="00D74D72"/>
    <w:rsid w:val="00D76808"/>
    <w:rsid w:val="00D77B13"/>
    <w:rsid w:val="00D77E47"/>
    <w:rsid w:val="00D800BE"/>
    <w:rsid w:val="00D80441"/>
    <w:rsid w:val="00D80710"/>
    <w:rsid w:val="00D80C84"/>
    <w:rsid w:val="00D811C1"/>
    <w:rsid w:val="00D81316"/>
    <w:rsid w:val="00D814B2"/>
    <w:rsid w:val="00D81CDA"/>
    <w:rsid w:val="00D82D73"/>
    <w:rsid w:val="00D85074"/>
    <w:rsid w:val="00D85834"/>
    <w:rsid w:val="00D85EB5"/>
    <w:rsid w:val="00D8682E"/>
    <w:rsid w:val="00D868D7"/>
    <w:rsid w:val="00D86ADA"/>
    <w:rsid w:val="00D90804"/>
    <w:rsid w:val="00D9085E"/>
    <w:rsid w:val="00D915A0"/>
    <w:rsid w:val="00D9165C"/>
    <w:rsid w:val="00D93C42"/>
    <w:rsid w:val="00D95427"/>
    <w:rsid w:val="00D9651B"/>
    <w:rsid w:val="00DA06B7"/>
    <w:rsid w:val="00DA071B"/>
    <w:rsid w:val="00DA0BF7"/>
    <w:rsid w:val="00DA186A"/>
    <w:rsid w:val="00DA4A29"/>
    <w:rsid w:val="00DA52D9"/>
    <w:rsid w:val="00DA5F1F"/>
    <w:rsid w:val="00DB0F62"/>
    <w:rsid w:val="00DB1DAB"/>
    <w:rsid w:val="00DB4075"/>
    <w:rsid w:val="00DB6671"/>
    <w:rsid w:val="00DB71C7"/>
    <w:rsid w:val="00DC0999"/>
    <w:rsid w:val="00DC1564"/>
    <w:rsid w:val="00DC156C"/>
    <w:rsid w:val="00DC3184"/>
    <w:rsid w:val="00DC3886"/>
    <w:rsid w:val="00DC4820"/>
    <w:rsid w:val="00DC516C"/>
    <w:rsid w:val="00DC77F2"/>
    <w:rsid w:val="00DC7EF5"/>
    <w:rsid w:val="00DD010D"/>
    <w:rsid w:val="00DD1233"/>
    <w:rsid w:val="00DD295D"/>
    <w:rsid w:val="00DD2A16"/>
    <w:rsid w:val="00DD5E85"/>
    <w:rsid w:val="00DD71F8"/>
    <w:rsid w:val="00DD7836"/>
    <w:rsid w:val="00DE084E"/>
    <w:rsid w:val="00DE1358"/>
    <w:rsid w:val="00DE1769"/>
    <w:rsid w:val="00DE1962"/>
    <w:rsid w:val="00DE1ACD"/>
    <w:rsid w:val="00DE4E1F"/>
    <w:rsid w:val="00DE5D6D"/>
    <w:rsid w:val="00DE71C3"/>
    <w:rsid w:val="00DE78C1"/>
    <w:rsid w:val="00DF0DA2"/>
    <w:rsid w:val="00DF13F2"/>
    <w:rsid w:val="00DF2BC3"/>
    <w:rsid w:val="00DF72D4"/>
    <w:rsid w:val="00DF7763"/>
    <w:rsid w:val="00DF7ECB"/>
    <w:rsid w:val="00E0136B"/>
    <w:rsid w:val="00E0175D"/>
    <w:rsid w:val="00E02492"/>
    <w:rsid w:val="00E026C1"/>
    <w:rsid w:val="00E03BB7"/>
    <w:rsid w:val="00E03BE1"/>
    <w:rsid w:val="00E046AE"/>
    <w:rsid w:val="00E04B00"/>
    <w:rsid w:val="00E05010"/>
    <w:rsid w:val="00E07788"/>
    <w:rsid w:val="00E11A72"/>
    <w:rsid w:val="00E122AC"/>
    <w:rsid w:val="00E12475"/>
    <w:rsid w:val="00E129B8"/>
    <w:rsid w:val="00E13909"/>
    <w:rsid w:val="00E1437D"/>
    <w:rsid w:val="00E14DAE"/>
    <w:rsid w:val="00E150C9"/>
    <w:rsid w:val="00E150D1"/>
    <w:rsid w:val="00E156BD"/>
    <w:rsid w:val="00E168EE"/>
    <w:rsid w:val="00E17CE3"/>
    <w:rsid w:val="00E17F6D"/>
    <w:rsid w:val="00E17F9A"/>
    <w:rsid w:val="00E21A19"/>
    <w:rsid w:val="00E21CDC"/>
    <w:rsid w:val="00E21D29"/>
    <w:rsid w:val="00E23D7D"/>
    <w:rsid w:val="00E23FEA"/>
    <w:rsid w:val="00E24C42"/>
    <w:rsid w:val="00E252CA"/>
    <w:rsid w:val="00E25823"/>
    <w:rsid w:val="00E26475"/>
    <w:rsid w:val="00E26865"/>
    <w:rsid w:val="00E26A11"/>
    <w:rsid w:val="00E26C61"/>
    <w:rsid w:val="00E26FC7"/>
    <w:rsid w:val="00E278AE"/>
    <w:rsid w:val="00E302B6"/>
    <w:rsid w:val="00E309FA"/>
    <w:rsid w:val="00E318A4"/>
    <w:rsid w:val="00E32E14"/>
    <w:rsid w:val="00E34282"/>
    <w:rsid w:val="00E35C58"/>
    <w:rsid w:val="00E36992"/>
    <w:rsid w:val="00E37472"/>
    <w:rsid w:val="00E4187D"/>
    <w:rsid w:val="00E418C0"/>
    <w:rsid w:val="00E41A6E"/>
    <w:rsid w:val="00E41B2B"/>
    <w:rsid w:val="00E43919"/>
    <w:rsid w:val="00E43982"/>
    <w:rsid w:val="00E43FF8"/>
    <w:rsid w:val="00E46CC0"/>
    <w:rsid w:val="00E50055"/>
    <w:rsid w:val="00E5019F"/>
    <w:rsid w:val="00E50859"/>
    <w:rsid w:val="00E50D6B"/>
    <w:rsid w:val="00E5108B"/>
    <w:rsid w:val="00E51BF5"/>
    <w:rsid w:val="00E52D7C"/>
    <w:rsid w:val="00E53BD5"/>
    <w:rsid w:val="00E5541D"/>
    <w:rsid w:val="00E55428"/>
    <w:rsid w:val="00E558B7"/>
    <w:rsid w:val="00E60614"/>
    <w:rsid w:val="00E63671"/>
    <w:rsid w:val="00E655A0"/>
    <w:rsid w:val="00E70E98"/>
    <w:rsid w:val="00E716CC"/>
    <w:rsid w:val="00E72B57"/>
    <w:rsid w:val="00E732FC"/>
    <w:rsid w:val="00E75843"/>
    <w:rsid w:val="00E759F0"/>
    <w:rsid w:val="00E75EE2"/>
    <w:rsid w:val="00E7651F"/>
    <w:rsid w:val="00E7680C"/>
    <w:rsid w:val="00E773A5"/>
    <w:rsid w:val="00E778A3"/>
    <w:rsid w:val="00E815C7"/>
    <w:rsid w:val="00E81915"/>
    <w:rsid w:val="00E81E8F"/>
    <w:rsid w:val="00E84892"/>
    <w:rsid w:val="00E84FB1"/>
    <w:rsid w:val="00E852F6"/>
    <w:rsid w:val="00E87570"/>
    <w:rsid w:val="00E90DF7"/>
    <w:rsid w:val="00E91661"/>
    <w:rsid w:val="00E91FCE"/>
    <w:rsid w:val="00E94C71"/>
    <w:rsid w:val="00E97295"/>
    <w:rsid w:val="00EA07A7"/>
    <w:rsid w:val="00EA0C55"/>
    <w:rsid w:val="00EA2146"/>
    <w:rsid w:val="00EA2AFA"/>
    <w:rsid w:val="00EA3039"/>
    <w:rsid w:val="00EA36F6"/>
    <w:rsid w:val="00EA3882"/>
    <w:rsid w:val="00EA47AA"/>
    <w:rsid w:val="00EA5290"/>
    <w:rsid w:val="00EA696E"/>
    <w:rsid w:val="00EA6EBF"/>
    <w:rsid w:val="00EA6FF0"/>
    <w:rsid w:val="00EB1597"/>
    <w:rsid w:val="00EB1AA8"/>
    <w:rsid w:val="00EB3E33"/>
    <w:rsid w:val="00EB505C"/>
    <w:rsid w:val="00EB524E"/>
    <w:rsid w:val="00EB5E9C"/>
    <w:rsid w:val="00EC0B00"/>
    <w:rsid w:val="00EC0F5E"/>
    <w:rsid w:val="00EC15A4"/>
    <w:rsid w:val="00EC18FB"/>
    <w:rsid w:val="00EC1EDF"/>
    <w:rsid w:val="00EC26E2"/>
    <w:rsid w:val="00EC32E6"/>
    <w:rsid w:val="00EC3770"/>
    <w:rsid w:val="00EC465D"/>
    <w:rsid w:val="00EC4EF1"/>
    <w:rsid w:val="00EC5B79"/>
    <w:rsid w:val="00EC5FCF"/>
    <w:rsid w:val="00EC62D0"/>
    <w:rsid w:val="00EC63A3"/>
    <w:rsid w:val="00EC6484"/>
    <w:rsid w:val="00EC6CE0"/>
    <w:rsid w:val="00EC7FE2"/>
    <w:rsid w:val="00ED0647"/>
    <w:rsid w:val="00ED0CA4"/>
    <w:rsid w:val="00ED3244"/>
    <w:rsid w:val="00ED4419"/>
    <w:rsid w:val="00ED607B"/>
    <w:rsid w:val="00ED618C"/>
    <w:rsid w:val="00ED69C4"/>
    <w:rsid w:val="00EE021B"/>
    <w:rsid w:val="00EE0425"/>
    <w:rsid w:val="00EE33A2"/>
    <w:rsid w:val="00EE4378"/>
    <w:rsid w:val="00EE4590"/>
    <w:rsid w:val="00EE6A55"/>
    <w:rsid w:val="00EE6DA8"/>
    <w:rsid w:val="00EF1BF1"/>
    <w:rsid w:val="00EF255E"/>
    <w:rsid w:val="00EF4C55"/>
    <w:rsid w:val="00EF5603"/>
    <w:rsid w:val="00EF7432"/>
    <w:rsid w:val="00EF7C4D"/>
    <w:rsid w:val="00EF7F04"/>
    <w:rsid w:val="00F001CF"/>
    <w:rsid w:val="00F004EA"/>
    <w:rsid w:val="00F01DBB"/>
    <w:rsid w:val="00F01E7D"/>
    <w:rsid w:val="00F03114"/>
    <w:rsid w:val="00F06AE7"/>
    <w:rsid w:val="00F070DE"/>
    <w:rsid w:val="00F07354"/>
    <w:rsid w:val="00F0756D"/>
    <w:rsid w:val="00F07A14"/>
    <w:rsid w:val="00F10584"/>
    <w:rsid w:val="00F119C6"/>
    <w:rsid w:val="00F11D15"/>
    <w:rsid w:val="00F12236"/>
    <w:rsid w:val="00F12732"/>
    <w:rsid w:val="00F12FC5"/>
    <w:rsid w:val="00F13384"/>
    <w:rsid w:val="00F13E59"/>
    <w:rsid w:val="00F16646"/>
    <w:rsid w:val="00F16EFD"/>
    <w:rsid w:val="00F20CB5"/>
    <w:rsid w:val="00F23762"/>
    <w:rsid w:val="00F244A3"/>
    <w:rsid w:val="00F25CBA"/>
    <w:rsid w:val="00F263A6"/>
    <w:rsid w:val="00F31DF4"/>
    <w:rsid w:val="00F321F5"/>
    <w:rsid w:val="00F3249D"/>
    <w:rsid w:val="00F3340C"/>
    <w:rsid w:val="00F34282"/>
    <w:rsid w:val="00F347A2"/>
    <w:rsid w:val="00F34BC3"/>
    <w:rsid w:val="00F34BE2"/>
    <w:rsid w:val="00F36E44"/>
    <w:rsid w:val="00F36EA1"/>
    <w:rsid w:val="00F40DA8"/>
    <w:rsid w:val="00F41BDE"/>
    <w:rsid w:val="00F42386"/>
    <w:rsid w:val="00F42CD2"/>
    <w:rsid w:val="00F43193"/>
    <w:rsid w:val="00F43CFE"/>
    <w:rsid w:val="00F447A2"/>
    <w:rsid w:val="00F44AE8"/>
    <w:rsid w:val="00F45353"/>
    <w:rsid w:val="00F51BC7"/>
    <w:rsid w:val="00F5410C"/>
    <w:rsid w:val="00F546CC"/>
    <w:rsid w:val="00F54E60"/>
    <w:rsid w:val="00F57078"/>
    <w:rsid w:val="00F5734C"/>
    <w:rsid w:val="00F57D00"/>
    <w:rsid w:val="00F57E0C"/>
    <w:rsid w:val="00F57FAC"/>
    <w:rsid w:val="00F60469"/>
    <w:rsid w:val="00F60ED5"/>
    <w:rsid w:val="00F6215D"/>
    <w:rsid w:val="00F62780"/>
    <w:rsid w:val="00F630FB"/>
    <w:rsid w:val="00F66600"/>
    <w:rsid w:val="00F67476"/>
    <w:rsid w:val="00F67619"/>
    <w:rsid w:val="00F67D1E"/>
    <w:rsid w:val="00F7121E"/>
    <w:rsid w:val="00F73B68"/>
    <w:rsid w:val="00F74A03"/>
    <w:rsid w:val="00F75EB2"/>
    <w:rsid w:val="00F7663F"/>
    <w:rsid w:val="00F774F5"/>
    <w:rsid w:val="00F77CAD"/>
    <w:rsid w:val="00F80076"/>
    <w:rsid w:val="00F8132B"/>
    <w:rsid w:val="00F8214B"/>
    <w:rsid w:val="00F83481"/>
    <w:rsid w:val="00F8358C"/>
    <w:rsid w:val="00F83C92"/>
    <w:rsid w:val="00F84A4D"/>
    <w:rsid w:val="00F84BA1"/>
    <w:rsid w:val="00F85DEE"/>
    <w:rsid w:val="00F87027"/>
    <w:rsid w:val="00F87EA4"/>
    <w:rsid w:val="00F87EA9"/>
    <w:rsid w:val="00F913F5"/>
    <w:rsid w:val="00F92B35"/>
    <w:rsid w:val="00F942C3"/>
    <w:rsid w:val="00F94935"/>
    <w:rsid w:val="00F9499C"/>
    <w:rsid w:val="00F9500F"/>
    <w:rsid w:val="00F9509C"/>
    <w:rsid w:val="00FA0EDE"/>
    <w:rsid w:val="00FA1ABE"/>
    <w:rsid w:val="00FA299C"/>
    <w:rsid w:val="00FA362F"/>
    <w:rsid w:val="00FA3666"/>
    <w:rsid w:val="00FA4648"/>
    <w:rsid w:val="00FA5796"/>
    <w:rsid w:val="00FA58AD"/>
    <w:rsid w:val="00FA68C1"/>
    <w:rsid w:val="00FA6B8B"/>
    <w:rsid w:val="00FA7854"/>
    <w:rsid w:val="00FA7D3E"/>
    <w:rsid w:val="00FB005E"/>
    <w:rsid w:val="00FB018D"/>
    <w:rsid w:val="00FB2356"/>
    <w:rsid w:val="00FB2F8A"/>
    <w:rsid w:val="00FB3808"/>
    <w:rsid w:val="00FB38C2"/>
    <w:rsid w:val="00FB4E55"/>
    <w:rsid w:val="00FB513D"/>
    <w:rsid w:val="00FB74B1"/>
    <w:rsid w:val="00FB79C9"/>
    <w:rsid w:val="00FC00B3"/>
    <w:rsid w:val="00FC062B"/>
    <w:rsid w:val="00FC0CE4"/>
    <w:rsid w:val="00FC1A15"/>
    <w:rsid w:val="00FC42C2"/>
    <w:rsid w:val="00FC5124"/>
    <w:rsid w:val="00FD0630"/>
    <w:rsid w:val="00FD06AE"/>
    <w:rsid w:val="00FD171A"/>
    <w:rsid w:val="00FD225B"/>
    <w:rsid w:val="00FD42E7"/>
    <w:rsid w:val="00FD507D"/>
    <w:rsid w:val="00FD6A36"/>
    <w:rsid w:val="00FE04E2"/>
    <w:rsid w:val="00FE19A3"/>
    <w:rsid w:val="00FE4CE2"/>
    <w:rsid w:val="00FE5FB5"/>
    <w:rsid w:val="00FE60C1"/>
    <w:rsid w:val="00FE6D5B"/>
    <w:rsid w:val="00FE6E70"/>
    <w:rsid w:val="00FE74E5"/>
    <w:rsid w:val="00FE7D60"/>
    <w:rsid w:val="00FF028D"/>
    <w:rsid w:val="00FF0EA0"/>
    <w:rsid w:val="00FF1BBE"/>
    <w:rsid w:val="00FF24AD"/>
    <w:rsid w:val="00FF3EEA"/>
    <w:rsid w:val="00FF3F0B"/>
    <w:rsid w:val="00FF4214"/>
    <w:rsid w:val="00FF4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74A7A"/>
  <w15:docId w15:val="{46A73158-6958-49F3-ADB9-2D24E004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83749"/>
    <w:rPr>
      <w:sz w:val="24"/>
      <w:szCs w:val="24"/>
    </w:rPr>
  </w:style>
  <w:style w:type="paragraph" w:styleId="Heading1">
    <w:name w:val="heading 1"/>
    <w:basedOn w:val="Normal"/>
    <w:next w:val="Normal"/>
    <w:link w:val="Heading1Char"/>
    <w:uiPriority w:val="99"/>
    <w:qFormat/>
    <w:rsid w:val="00092002"/>
    <w:pPr>
      <w:keepNext/>
      <w:spacing w:line="360" w:lineRule="auto"/>
      <w:ind w:left="360"/>
      <w:jc w:val="center"/>
      <w:outlineLvl w:val="0"/>
    </w:pPr>
    <w:rPr>
      <w:b/>
    </w:rPr>
  </w:style>
  <w:style w:type="paragraph" w:styleId="Heading2">
    <w:name w:val="heading 2"/>
    <w:basedOn w:val="Normal"/>
    <w:next w:val="Normal"/>
    <w:link w:val="Heading2Char"/>
    <w:uiPriority w:val="99"/>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2002"/>
    <w:rPr>
      <w:rFonts w:cs="Times New Roman"/>
      <w:b/>
      <w:sz w:val="24"/>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sid w:val="00EB505C"/>
    <w:rPr>
      <w:rFonts w:cs="Times New Roman"/>
      <w:b/>
      <w:sz w:val="24"/>
    </w:rPr>
  </w:style>
  <w:style w:type="paragraph" w:styleId="BodyTextIndent2">
    <w:name w:val="Body Text Indent 2"/>
    <w:basedOn w:val="Normal"/>
    <w:link w:val="BodyTextIndent2Char"/>
    <w:uiPriority w:val="99"/>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1"/>
    <w:qFormat/>
    <w:rsid w:val="00EB505C"/>
    <w:pPr>
      <w:spacing w:before="120" w:after="120"/>
    </w:pPr>
  </w:style>
  <w:style w:type="character" w:customStyle="1" w:styleId="BodyTextChar">
    <w:name w:val="Body Text Char"/>
    <w:link w:val="BodyText"/>
    <w:uiPriority w:val="1"/>
    <w:locked/>
    <w:rsid w:val="00EB505C"/>
    <w:rPr>
      <w:rFonts w:cs="Times New Roman"/>
      <w:sz w:val="24"/>
    </w:rPr>
  </w:style>
  <w:style w:type="character" w:styleId="Hyperlink">
    <w:name w:val="Hyperlink"/>
    <w:uiPriority w:val="99"/>
    <w:rsid w:val="00C800ED"/>
    <w:rPr>
      <w:rFonts w:cs="Times New Roman"/>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rsid w:val="00C800ED"/>
    <w:rPr>
      <w:rFonts w:cs="Times New Roman"/>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locked/>
    <w:rPr>
      <w:rFonts w:cs="Times New Roman"/>
      <w:sz w:val="20"/>
      <w:szCs w:val="20"/>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6C42EA"/>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uiPriority w:val="22"/>
    <w:qFormat/>
    <w:rsid w:val="00C800ED"/>
    <w:rPr>
      <w:rFonts w:cs="Times New Roman"/>
      <w:b/>
    </w:rPr>
  </w:style>
  <w:style w:type="table" w:styleId="TableGrid">
    <w:name w:val="Table Grid"/>
    <w:aliases w:val="RDB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uiPriority w:val="99"/>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uiPriority w:val="99"/>
    <w:rsid w:val="00AF4C91"/>
    <w:rPr>
      <w:rFonts w:ascii="Tahoma" w:hAnsi="Tahoma"/>
      <w:sz w:val="16"/>
      <w:szCs w:val="16"/>
    </w:rPr>
  </w:style>
  <w:style w:type="character" w:customStyle="1" w:styleId="BalloonTextChar">
    <w:name w:val="Balloon Text Char"/>
    <w:link w:val="BalloonText"/>
    <w:uiPriority w:val="99"/>
    <w:locked/>
    <w:rsid w:val="00AF4C91"/>
    <w:rPr>
      <w:rFonts w:ascii="Tahoma" w:hAnsi="Tahoma" w:cs="Times New Roman"/>
      <w:sz w:val="16"/>
    </w:rPr>
  </w:style>
  <w:style w:type="paragraph" w:customStyle="1" w:styleId="Default">
    <w:name w:val="Default"/>
    <w:uiPriority w:val="99"/>
    <w:rsid w:val="008A6DE8"/>
    <w:pPr>
      <w:autoSpaceDE w:val="0"/>
      <w:autoSpaceDN w:val="0"/>
      <w:adjustRightInd w:val="0"/>
    </w:pPr>
    <w:rPr>
      <w:rFonts w:ascii="Cambria" w:hAnsi="Cambria" w:cs="Cambria"/>
      <w:color w:val="000000"/>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link w:val="CaptionChar"/>
    <w:uiPriority w:val="35"/>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rFonts w:cs="Times New Roman"/>
      <w:sz w:val="16"/>
    </w:rPr>
  </w:style>
  <w:style w:type="paragraph" w:styleId="CommentSubject">
    <w:name w:val="annotation subject"/>
    <w:basedOn w:val="CommentText"/>
    <w:next w:val="CommentText"/>
    <w:link w:val="CommentSubjectChar"/>
    <w:uiPriority w:val="99"/>
    <w:rsid w:val="006C42EA"/>
    <w:rPr>
      <w:b/>
      <w:bCs/>
    </w:rPr>
  </w:style>
  <w:style w:type="character" w:customStyle="1" w:styleId="CommentSubjectChar">
    <w:name w:val="Comment Subject Char"/>
    <w:basedOn w:val="CommentTextChar"/>
    <w:link w:val="CommentSubject"/>
    <w:uiPriority w:val="99"/>
    <w:locked/>
    <w:rsid w:val="006C42EA"/>
    <w:rPr>
      <w:rFonts w:cs="Times New Roman"/>
    </w:rPr>
  </w:style>
  <w:style w:type="paragraph" w:styleId="ListNumber">
    <w:name w:val="List Number"/>
    <w:basedOn w:val="Normal"/>
    <w:uiPriority w:val="99"/>
    <w:rsid w:val="00692691"/>
    <w:pPr>
      <w:numPr>
        <w:numId w:val="1"/>
      </w:numPr>
      <w:tabs>
        <w:tab w:val="clear" w:pos="360"/>
        <w:tab w:val="num" w:pos="1440"/>
        <w:tab w:val="num" w:pos="1560"/>
      </w:tabs>
      <w:spacing w:after="120"/>
      <w:ind w:left="504"/>
    </w:pPr>
    <w:rPr>
      <w:rFonts w:ascii="Arial" w:hAnsi="Arial"/>
      <w:sz w:val="20"/>
    </w:rPr>
  </w:style>
  <w:style w:type="paragraph" w:styleId="ListBullet">
    <w:name w:val="List Bullet"/>
    <w:basedOn w:val="Normal"/>
    <w:autoRedefine/>
    <w:uiPriority w:val="99"/>
    <w:rsid w:val="003E0A75"/>
    <w:pPr>
      <w:numPr>
        <w:numId w:val="2"/>
      </w:numPr>
      <w:spacing w:before="120" w:after="120"/>
      <w:ind w:left="792" w:hanging="432"/>
    </w:pPr>
  </w:style>
  <w:style w:type="paragraph" w:styleId="ListNumber2">
    <w:name w:val="List Number 2"/>
    <w:basedOn w:val="Normal"/>
    <w:uiPriority w:val="99"/>
    <w:rsid w:val="00424275"/>
    <w:pPr>
      <w:numPr>
        <w:numId w:val="3"/>
      </w:numPr>
      <w:tabs>
        <w:tab w:val="clear" w:pos="720"/>
      </w:tabs>
      <w:spacing w:after="60"/>
      <w:ind w:left="360" w:firstLine="0"/>
    </w:pPr>
    <w:rPr>
      <w:b/>
      <w:i/>
    </w:rPr>
  </w:style>
  <w:style w:type="paragraph" w:customStyle="1" w:styleId="StyleHeading1Centered">
    <w:name w:val="Style Heading 1 + Centered"/>
    <w:basedOn w:val="Heading1"/>
    <w:uiPriority w:val="99"/>
    <w:rsid w:val="00250889"/>
    <w:pPr>
      <w:spacing w:after="120"/>
      <w:ind w:left="0"/>
    </w:pPr>
    <w:rPr>
      <w:rFonts w:ascii="Arial Narrow" w:hAnsi="Arial Narrow"/>
      <w:kern w:val="32"/>
      <w:sz w:val="32"/>
      <w:szCs w:val="20"/>
    </w:rPr>
  </w:style>
  <w:style w:type="paragraph" w:customStyle="1" w:styleId="StyleLeft05">
    <w:name w:val="Style Left:  0.5&quot;"/>
    <w:basedOn w:val="Normal"/>
    <w:uiPriority w:val="99"/>
    <w:rsid w:val="00EB505C"/>
    <w:pPr>
      <w:spacing w:before="120" w:after="120"/>
      <w:ind w:left="720"/>
    </w:pPr>
    <w:rPr>
      <w:szCs w:val="20"/>
    </w:rPr>
  </w:style>
  <w:style w:type="paragraph" w:customStyle="1" w:styleId="StyleLeft025Hanging05">
    <w:name w:val="Style Left:  0.25&quot; Hanging:  0.5&quot;"/>
    <w:basedOn w:val="Normal"/>
    <w:uiPriority w:val="99"/>
    <w:rsid w:val="00EB505C"/>
    <w:pPr>
      <w:spacing w:before="120" w:after="120"/>
      <w:ind w:left="1080" w:hanging="720"/>
    </w:pPr>
    <w:rPr>
      <w:szCs w:val="20"/>
    </w:rPr>
  </w:style>
  <w:style w:type="paragraph" w:styleId="ListNumber3">
    <w:name w:val="List Number 3"/>
    <w:basedOn w:val="Normal"/>
    <w:uiPriority w:val="99"/>
    <w:rsid w:val="00083749"/>
    <w:pPr>
      <w:numPr>
        <w:numId w:val="5"/>
      </w:numPr>
      <w:tabs>
        <w:tab w:val="clear" w:pos="720"/>
      </w:tabs>
      <w:ind w:left="432" w:firstLine="0"/>
      <w:contextualSpacing/>
    </w:pPr>
  </w:style>
  <w:style w:type="paragraph" w:styleId="ListBullet2">
    <w:name w:val="List Bullet 2"/>
    <w:basedOn w:val="Normal"/>
    <w:uiPriority w:val="99"/>
    <w:rsid w:val="00083749"/>
    <w:pPr>
      <w:numPr>
        <w:numId w:val="4"/>
      </w:numPr>
      <w:tabs>
        <w:tab w:val="clear" w:pos="1080"/>
        <w:tab w:val="num" w:pos="720"/>
      </w:tabs>
      <w:ind w:left="720"/>
      <w:contextualSpacing/>
    </w:pPr>
  </w:style>
  <w:style w:type="paragraph" w:styleId="EndnoteText">
    <w:name w:val="endnote text"/>
    <w:basedOn w:val="Normal"/>
    <w:link w:val="EndnoteTextChar"/>
    <w:uiPriority w:val="99"/>
    <w:rsid w:val="00E24C42"/>
    <w:rPr>
      <w:sz w:val="20"/>
      <w:szCs w:val="20"/>
    </w:rPr>
  </w:style>
  <w:style w:type="character" w:customStyle="1" w:styleId="EndnoteTextChar">
    <w:name w:val="Endnote Text Char"/>
    <w:link w:val="EndnoteText"/>
    <w:uiPriority w:val="99"/>
    <w:locked/>
    <w:rsid w:val="00E24C42"/>
    <w:rPr>
      <w:rFonts w:cs="Times New Roman"/>
    </w:rPr>
  </w:style>
  <w:style w:type="character" w:styleId="EndnoteReference">
    <w:name w:val="endnote reference"/>
    <w:uiPriority w:val="99"/>
    <w:rsid w:val="00E24C42"/>
    <w:rPr>
      <w:rFonts w:cs="Times New Roman"/>
      <w:vertAlign w:val="superscript"/>
    </w:rPr>
  </w:style>
  <w:style w:type="character" w:customStyle="1" w:styleId="BodyTextChar1">
    <w:name w:val="Body Text Char1"/>
    <w:uiPriority w:val="99"/>
    <w:rsid w:val="00695D9A"/>
    <w:rPr>
      <w:rFonts w:ascii="Georgia" w:hAnsi="Georgia"/>
      <w:sz w:val="20"/>
    </w:rPr>
  </w:style>
  <w:style w:type="paragraph" w:customStyle="1" w:styleId="bioref">
    <w:name w:val="bio ref"/>
    <w:link w:val="biorefChar"/>
    <w:uiPriority w:val="99"/>
    <w:rsid w:val="00695D9A"/>
    <w:pPr>
      <w:numPr>
        <w:numId w:val="11"/>
      </w:numPr>
      <w:spacing w:before="30" w:after="30" w:line="266" w:lineRule="exact"/>
      <w:ind w:left="480" w:hanging="480"/>
    </w:pPr>
    <w:rPr>
      <w:noProof/>
      <w:sz w:val="24"/>
      <w:szCs w:val="22"/>
    </w:rPr>
  </w:style>
  <w:style w:type="character" w:customStyle="1" w:styleId="biorefChar">
    <w:name w:val="bio ref Char"/>
    <w:link w:val="bioref"/>
    <w:uiPriority w:val="99"/>
    <w:locked/>
    <w:rsid w:val="00695D9A"/>
    <w:rPr>
      <w:noProof/>
      <w:sz w:val="24"/>
    </w:rPr>
  </w:style>
  <w:style w:type="character" w:styleId="FollowedHyperlink">
    <w:name w:val="FollowedHyperlink"/>
    <w:uiPriority w:val="99"/>
    <w:rsid w:val="006247B7"/>
    <w:rPr>
      <w:rFonts w:cs="Times New Roman"/>
      <w:color w:val="800080"/>
      <w:u w:val="single"/>
    </w:rPr>
  </w:style>
  <w:style w:type="paragraph" w:styleId="Revision">
    <w:name w:val="Revision"/>
    <w:hidden/>
    <w:uiPriority w:val="99"/>
    <w:semiHidden/>
    <w:rsid w:val="00805306"/>
    <w:rPr>
      <w:sz w:val="24"/>
      <w:szCs w:val="24"/>
    </w:rPr>
  </w:style>
  <w:style w:type="paragraph" w:customStyle="1" w:styleId="Table">
    <w:name w:val="Table"/>
    <w:basedOn w:val="Normal"/>
    <w:next w:val="Normal"/>
    <w:link w:val="TableChar"/>
    <w:rsid w:val="003C4CB4"/>
    <w:pPr>
      <w:tabs>
        <w:tab w:val="num" w:pos="1440"/>
      </w:tabs>
      <w:ind w:left="720" w:hanging="360"/>
      <w:jc w:val="center"/>
    </w:pPr>
    <w:rPr>
      <w:b/>
      <w:szCs w:val="20"/>
    </w:rPr>
  </w:style>
  <w:style w:type="character" w:customStyle="1" w:styleId="TableChar">
    <w:name w:val="Table Char"/>
    <w:link w:val="Table"/>
    <w:rsid w:val="003C4CB4"/>
    <w:rPr>
      <w:b/>
      <w:sz w:val="24"/>
    </w:rPr>
  </w:style>
  <w:style w:type="paragraph" w:customStyle="1" w:styleId="Figure">
    <w:name w:val="Figure"/>
    <w:basedOn w:val="Normal"/>
    <w:next w:val="Normal"/>
    <w:link w:val="FigureChar"/>
    <w:rsid w:val="003C4CB4"/>
    <w:pPr>
      <w:numPr>
        <w:numId w:val="19"/>
      </w:numPr>
      <w:jc w:val="center"/>
    </w:pPr>
    <w:rPr>
      <w:b/>
      <w:szCs w:val="20"/>
    </w:rPr>
  </w:style>
  <w:style w:type="character" w:customStyle="1" w:styleId="FigureChar">
    <w:name w:val="Figure Char"/>
    <w:link w:val="Figure"/>
    <w:rsid w:val="003C4CB4"/>
    <w:rPr>
      <w:b/>
      <w:sz w:val="24"/>
    </w:rPr>
  </w:style>
  <w:style w:type="paragraph" w:customStyle="1" w:styleId="TableParagraph">
    <w:name w:val="Table Paragraph"/>
    <w:basedOn w:val="Normal"/>
    <w:uiPriority w:val="1"/>
    <w:qFormat/>
    <w:rsid w:val="00D85EB5"/>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113B7"/>
  </w:style>
  <w:style w:type="numbering" w:customStyle="1" w:styleId="NoList2">
    <w:name w:val="No List2"/>
    <w:next w:val="NoList"/>
    <w:uiPriority w:val="99"/>
    <w:semiHidden/>
    <w:unhideWhenUsed/>
    <w:rsid w:val="007113B7"/>
  </w:style>
  <w:style w:type="table" w:customStyle="1" w:styleId="TableGrid1">
    <w:name w:val="Table Grid1"/>
    <w:basedOn w:val="TableNormal"/>
    <w:next w:val="TableGrid"/>
    <w:uiPriority w:val="59"/>
    <w:rsid w:val="005D18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52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156B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156BD"/>
    <w:rPr>
      <w:rFonts w:asciiTheme="minorHAnsi" w:eastAsiaTheme="minorEastAsia" w:hAnsiTheme="minorHAnsi" w:cstheme="minorBidi"/>
      <w:sz w:val="22"/>
      <w:szCs w:val="22"/>
    </w:rPr>
  </w:style>
  <w:style w:type="character" w:customStyle="1" w:styleId="Mention1">
    <w:name w:val="Mention1"/>
    <w:basedOn w:val="DefaultParagraphFont"/>
    <w:uiPriority w:val="99"/>
    <w:semiHidden/>
    <w:unhideWhenUsed/>
    <w:rsid w:val="00EA3882"/>
    <w:rPr>
      <w:color w:val="2B579A"/>
      <w:shd w:val="clear" w:color="auto" w:fill="E6E6E6"/>
    </w:rPr>
  </w:style>
  <w:style w:type="character" w:customStyle="1" w:styleId="CaptionChar">
    <w:name w:val="Caption Char"/>
    <w:link w:val="Caption"/>
    <w:uiPriority w:val="35"/>
    <w:rsid w:val="004D3DC6"/>
    <w:rPr>
      <w:rFonts w:ascii="Arial" w:hAnsi="Arial"/>
      <w:b/>
      <w:sz w:val="18"/>
      <w:szCs w:val="24"/>
    </w:rPr>
  </w:style>
  <w:style w:type="paragraph" w:styleId="Date">
    <w:name w:val="Date"/>
    <w:basedOn w:val="Normal"/>
    <w:next w:val="Normal"/>
    <w:link w:val="DateChar"/>
    <w:uiPriority w:val="99"/>
    <w:semiHidden/>
    <w:unhideWhenUsed/>
    <w:rsid w:val="00BC04C2"/>
  </w:style>
  <w:style w:type="character" w:customStyle="1" w:styleId="DateChar">
    <w:name w:val="Date Char"/>
    <w:basedOn w:val="DefaultParagraphFont"/>
    <w:link w:val="Date"/>
    <w:uiPriority w:val="99"/>
    <w:semiHidden/>
    <w:rsid w:val="00BC04C2"/>
    <w:rPr>
      <w:sz w:val="24"/>
      <w:szCs w:val="24"/>
    </w:rPr>
  </w:style>
  <w:style w:type="paragraph" w:customStyle="1" w:styleId="heading1nobordersnarrow">
    <w:name w:val="heading1nobordersnarrow"/>
    <w:basedOn w:val="Normal"/>
    <w:uiPriority w:val="99"/>
    <w:rsid w:val="00783678"/>
    <w:pPr>
      <w:spacing w:after="240"/>
    </w:pPr>
    <w:rPr>
      <w:rFonts w:ascii="Arial" w:eastAsiaTheme="minorHAnsi" w:hAnsi="Arial" w:cs="Arial"/>
      <w:b/>
      <w:bCs/>
      <w:caps/>
      <w:color w:val="E87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1350">
      <w:bodyDiv w:val="1"/>
      <w:marLeft w:val="0"/>
      <w:marRight w:val="0"/>
      <w:marTop w:val="0"/>
      <w:marBottom w:val="0"/>
      <w:divBdr>
        <w:top w:val="none" w:sz="0" w:space="0" w:color="auto"/>
        <w:left w:val="none" w:sz="0" w:space="0" w:color="auto"/>
        <w:bottom w:val="none" w:sz="0" w:space="0" w:color="auto"/>
        <w:right w:val="none" w:sz="0" w:space="0" w:color="auto"/>
      </w:divBdr>
    </w:div>
    <w:div w:id="288973497">
      <w:bodyDiv w:val="1"/>
      <w:marLeft w:val="0"/>
      <w:marRight w:val="0"/>
      <w:marTop w:val="0"/>
      <w:marBottom w:val="0"/>
      <w:divBdr>
        <w:top w:val="none" w:sz="0" w:space="0" w:color="auto"/>
        <w:left w:val="none" w:sz="0" w:space="0" w:color="auto"/>
        <w:bottom w:val="none" w:sz="0" w:space="0" w:color="auto"/>
        <w:right w:val="none" w:sz="0" w:space="0" w:color="auto"/>
      </w:divBdr>
    </w:div>
    <w:div w:id="396325118">
      <w:bodyDiv w:val="1"/>
      <w:marLeft w:val="0"/>
      <w:marRight w:val="0"/>
      <w:marTop w:val="0"/>
      <w:marBottom w:val="0"/>
      <w:divBdr>
        <w:top w:val="none" w:sz="0" w:space="0" w:color="auto"/>
        <w:left w:val="none" w:sz="0" w:space="0" w:color="auto"/>
        <w:bottom w:val="none" w:sz="0" w:space="0" w:color="auto"/>
        <w:right w:val="none" w:sz="0" w:space="0" w:color="auto"/>
      </w:divBdr>
    </w:div>
    <w:div w:id="655963579">
      <w:bodyDiv w:val="1"/>
      <w:marLeft w:val="0"/>
      <w:marRight w:val="0"/>
      <w:marTop w:val="0"/>
      <w:marBottom w:val="0"/>
      <w:divBdr>
        <w:top w:val="none" w:sz="0" w:space="0" w:color="auto"/>
        <w:left w:val="none" w:sz="0" w:space="0" w:color="auto"/>
        <w:bottom w:val="none" w:sz="0" w:space="0" w:color="auto"/>
        <w:right w:val="none" w:sz="0" w:space="0" w:color="auto"/>
      </w:divBdr>
    </w:div>
    <w:div w:id="808592061">
      <w:marLeft w:val="0"/>
      <w:marRight w:val="0"/>
      <w:marTop w:val="0"/>
      <w:marBottom w:val="0"/>
      <w:divBdr>
        <w:top w:val="none" w:sz="0" w:space="0" w:color="auto"/>
        <w:left w:val="none" w:sz="0" w:space="0" w:color="auto"/>
        <w:bottom w:val="none" w:sz="0" w:space="0" w:color="auto"/>
        <w:right w:val="none" w:sz="0" w:space="0" w:color="auto"/>
      </w:divBdr>
    </w:div>
    <w:div w:id="808592062">
      <w:marLeft w:val="0"/>
      <w:marRight w:val="0"/>
      <w:marTop w:val="0"/>
      <w:marBottom w:val="0"/>
      <w:divBdr>
        <w:top w:val="none" w:sz="0" w:space="0" w:color="auto"/>
        <w:left w:val="none" w:sz="0" w:space="0" w:color="auto"/>
        <w:bottom w:val="none" w:sz="0" w:space="0" w:color="auto"/>
        <w:right w:val="none" w:sz="0" w:space="0" w:color="auto"/>
      </w:divBdr>
    </w:div>
    <w:div w:id="808592063">
      <w:marLeft w:val="0"/>
      <w:marRight w:val="0"/>
      <w:marTop w:val="0"/>
      <w:marBottom w:val="0"/>
      <w:divBdr>
        <w:top w:val="none" w:sz="0" w:space="0" w:color="auto"/>
        <w:left w:val="none" w:sz="0" w:space="0" w:color="auto"/>
        <w:bottom w:val="none" w:sz="0" w:space="0" w:color="auto"/>
        <w:right w:val="none" w:sz="0" w:space="0" w:color="auto"/>
      </w:divBdr>
    </w:div>
    <w:div w:id="808592064">
      <w:marLeft w:val="0"/>
      <w:marRight w:val="0"/>
      <w:marTop w:val="0"/>
      <w:marBottom w:val="0"/>
      <w:divBdr>
        <w:top w:val="none" w:sz="0" w:space="0" w:color="auto"/>
        <w:left w:val="none" w:sz="0" w:space="0" w:color="auto"/>
        <w:bottom w:val="none" w:sz="0" w:space="0" w:color="auto"/>
        <w:right w:val="none" w:sz="0" w:space="0" w:color="auto"/>
      </w:divBdr>
    </w:div>
    <w:div w:id="808592066">
      <w:marLeft w:val="0"/>
      <w:marRight w:val="0"/>
      <w:marTop w:val="0"/>
      <w:marBottom w:val="0"/>
      <w:divBdr>
        <w:top w:val="none" w:sz="0" w:space="0" w:color="auto"/>
        <w:left w:val="none" w:sz="0" w:space="0" w:color="auto"/>
        <w:bottom w:val="none" w:sz="0" w:space="0" w:color="auto"/>
        <w:right w:val="none" w:sz="0" w:space="0" w:color="auto"/>
      </w:divBdr>
      <w:divsChild>
        <w:div w:id="808592070">
          <w:marLeft w:val="0"/>
          <w:marRight w:val="0"/>
          <w:marTop w:val="0"/>
          <w:marBottom w:val="0"/>
          <w:divBdr>
            <w:top w:val="none" w:sz="0" w:space="0" w:color="auto"/>
            <w:left w:val="none" w:sz="0" w:space="0" w:color="auto"/>
            <w:bottom w:val="none" w:sz="0" w:space="0" w:color="auto"/>
            <w:right w:val="none" w:sz="0" w:space="0" w:color="auto"/>
          </w:divBdr>
          <w:divsChild>
            <w:div w:id="808592065">
              <w:marLeft w:val="0"/>
              <w:marRight w:val="0"/>
              <w:marTop w:val="0"/>
              <w:marBottom w:val="0"/>
              <w:divBdr>
                <w:top w:val="none" w:sz="0" w:space="0" w:color="auto"/>
                <w:left w:val="none" w:sz="0" w:space="0" w:color="auto"/>
                <w:bottom w:val="none" w:sz="0" w:space="0" w:color="auto"/>
                <w:right w:val="none" w:sz="0" w:space="0" w:color="auto"/>
              </w:divBdr>
              <w:divsChild>
                <w:div w:id="80859207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08592067">
      <w:marLeft w:val="0"/>
      <w:marRight w:val="0"/>
      <w:marTop w:val="0"/>
      <w:marBottom w:val="0"/>
      <w:divBdr>
        <w:top w:val="none" w:sz="0" w:space="0" w:color="auto"/>
        <w:left w:val="none" w:sz="0" w:space="0" w:color="auto"/>
        <w:bottom w:val="none" w:sz="0" w:space="0" w:color="auto"/>
        <w:right w:val="none" w:sz="0" w:space="0" w:color="auto"/>
      </w:divBdr>
    </w:div>
    <w:div w:id="808592068">
      <w:marLeft w:val="0"/>
      <w:marRight w:val="0"/>
      <w:marTop w:val="0"/>
      <w:marBottom w:val="0"/>
      <w:divBdr>
        <w:top w:val="none" w:sz="0" w:space="0" w:color="auto"/>
        <w:left w:val="none" w:sz="0" w:space="0" w:color="auto"/>
        <w:bottom w:val="none" w:sz="0" w:space="0" w:color="auto"/>
        <w:right w:val="none" w:sz="0" w:space="0" w:color="auto"/>
      </w:divBdr>
    </w:div>
    <w:div w:id="808592069">
      <w:marLeft w:val="0"/>
      <w:marRight w:val="0"/>
      <w:marTop w:val="0"/>
      <w:marBottom w:val="0"/>
      <w:divBdr>
        <w:top w:val="none" w:sz="0" w:space="0" w:color="auto"/>
        <w:left w:val="none" w:sz="0" w:space="0" w:color="auto"/>
        <w:bottom w:val="none" w:sz="0" w:space="0" w:color="auto"/>
        <w:right w:val="none" w:sz="0" w:space="0" w:color="auto"/>
      </w:divBdr>
    </w:div>
    <w:div w:id="808592071">
      <w:marLeft w:val="0"/>
      <w:marRight w:val="0"/>
      <w:marTop w:val="0"/>
      <w:marBottom w:val="0"/>
      <w:divBdr>
        <w:top w:val="none" w:sz="0" w:space="0" w:color="auto"/>
        <w:left w:val="none" w:sz="0" w:space="0" w:color="auto"/>
        <w:bottom w:val="none" w:sz="0" w:space="0" w:color="auto"/>
        <w:right w:val="none" w:sz="0" w:space="0" w:color="auto"/>
      </w:divBdr>
    </w:div>
    <w:div w:id="808592072">
      <w:marLeft w:val="0"/>
      <w:marRight w:val="0"/>
      <w:marTop w:val="0"/>
      <w:marBottom w:val="0"/>
      <w:divBdr>
        <w:top w:val="none" w:sz="0" w:space="0" w:color="auto"/>
        <w:left w:val="none" w:sz="0" w:space="0" w:color="auto"/>
        <w:bottom w:val="none" w:sz="0" w:space="0" w:color="auto"/>
        <w:right w:val="none" w:sz="0" w:space="0" w:color="auto"/>
      </w:divBdr>
    </w:div>
    <w:div w:id="836728821">
      <w:bodyDiv w:val="1"/>
      <w:marLeft w:val="0"/>
      <w:marRight w:val="0"/>
      <w:marTop w:val="0"/>
      <w:marBottom w:val="0"/>
      <w:divBdr>
        <w:top w:val="none" w:sz="0" w:space="0" w:color="auto"/>
        <w:left w:val="none" w:sz="0" w:space="0" w:color="auto"/>
        <w:bottom w:val="none" w:sz="0" w:space="0" w:color="auto"/>
        <w:right w:val="none" w:sz="0" w:space="0" w:color="auto"/>
      </w:divBdr>
    </w:div>
    <w:div w:id="878855765">
      <w:bodyDiv w:val="1"/>
      <w:marLeft w:val="0"/>
      <w:marRight w:val="0"/>
      <w:marTop w:val="0"/>
      <w:marBottom w:val="0"/>
      <w:divBdr>
        <w:top w:val="none" w:sz="0" w:space="0" w:color="auto"/>
        <w:left w:val="none" w:sz="0" w:space="0" w:color="auto"/>
        <w:bottom w:val="none" w:sz="0" w:space="0" w:color="auto"/>
        <w:right w:val="none" w:sz="0" w:space="0" w:color="auto"/>
      </w:divBdr>
    </w:div>
    <w:div w:id="899555530">
      <w:bodyDiv w:val="1"/>
      <w:marLeft w:val="0"/>
      <w:marRight w:val="0"/>
      <w:marTop w:val="0"/>
      <w:marBottom w:val="0"/>
      <w:divBdr>
        <w:top w:val="none" w:sz="0" w:space="0" w:color="auto"/>
        <w:left w:val="none" w:sz="0" w:space="0" w:color="auto"/>
        <w:bottom w:val="none" w:sz="0" w:space="0" w:color="auto"/>
        <w:right w:val="none" w:sz="0" w:space="0" w:color="auto"/>
      </w:divBdr>
    </w:div>
    <w:div w:id="1122460361">
      <w:bodyDiv w:val="1"/>
      <w:marLeft w:val="0"/>
      <w:marRight w:val="0"/>
      <w:marTop w:val="0"/>
      <w:marBottom w:val="0"/>
      <w:divBdr>
        <w:top w:val="none" w:sz="0" w:space="0" w:color="auto"/>
        <w:left w:val="none" w:sz="0" w:space="0" w:color="auto"/>
        <w:bottom w:val="none" w:sz="0" w:space="0" w:color="auto"/>
        <w:right w:val="none" w:sz="0" w:space="0" w:color="auto"/>
      </w:divBdr>
    </w:div>
    <w:div w:id="1553618974">
      <w:bodyDiv w:val="1"/>
      <w:marLeft w:val="0"/>
      <w:marRight w:val="0"/>
      <w:marTop w:val="0"/>
      <w:marBottom w:val="0"/>
      <w:divBdr>
        <w:top w:val="none" w:sz="0" w:space="0" w:color="auto"/>
        <w:left w:val="none" w:sz="0" w:space="0" w:color="auto"/>
        <w:bottom w:val="none" w:sz="0" w:space="0" w:color="auto"/>
        <w:right w:val="none" w:sz="0" w:space="0" w:color="auto"/>
      </w:divBdr>
    </w:div>
    <w:div w:id="16006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content/census/en/data/datasets/time-series/demo/popest/2010s-national-detail.html"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49C0A-12A6-4627-9835-C98DCF26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3113</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Lindsey Graham</dc:creator>
  <cp:lastModifiedBy>Rosenthal, Kristin (NHTSA)</cp:lastModifiedBy>
  <cp:revision>8</cp:revision>
  <cp:lastPrinted>2020-03-02T16:12:00Z</cp:lastPrinted>
  <dcterms:created xsi:type="dcterms:W3CDTF">2020-09-03T19:16:00Z</dcterms:created>
  <dcterms:modified xsi:type="dcterms:W3CDTF">2020-09-09T16:18:00Z</dcterms:modified>
</cp:coreProperties>
</file>