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7BAF" w:rsidR="00E06FB3" w:rsidP="00E06FB3" w:rsidRDefault="001069B7" w14:paraId="2306E9BE" w14:textId="77777777">
      <w:pPr>
        <w:widowControl w:val="0"/>
        <w:tabs>
          <w:tab w:val="center" w:pos="4680"/>
        </w:tabs>
        <w:jc w:val="center"/>
        <w:rPr>
          <w:b/>
          <w:szCs w:val="24"/>
        </w:rPr>
      </w:pPr>
      <w:r w:rsidRPr="000C2D40">
        <w:rPr>
          <w:b/>
        </w:rPr>
        <w:fldChar w:fldCharType="begin"/>
      </w:r>
      <w:r w:rsidRPr="000C2D40">
        <w:rPr>
          <w:b/>
        </w:rPr>
        <w:instrText xml:space="preserve"> SEQ CHAPTER \h \r 1</w:instrText>
      </w:r>
      <w:r w:rsidRPr="000C2D40">
        <w:rPr>
          <w:b/>
        </w:rPr>
        <w:fldChar w:fldCharType="end"/>
      </w:r>
      <w:r w:rsidRPr="000C2D40" w:rsidR="00E06FB3">
        <w:rPr>
          <w:b/>
        </w:rPr>
        <w:fldChar w:fldCharType="begin"/>
      </w:r>
      <w:r w:rsidRPr="000C2D40" w:rsidR="00E06FB3">
        <w:rPr>
          <w:b/>
        </w:rPr>
        <w:instrText xml:space="preserve"> SEQ CHAPTER \h \r 1</w:instrText>
      </w:r>
      <w:r w:rsidRPr="000C2D40" w:rsidR="00E06FB3">
        <w:rPr>
          <w:b/>
        </w:rPr>
        <w:fldChar w:fldCharType="end"/>
      </w:r>
      <w:r w:rsidRPr="000C2D40" w:rsidR="00E06FB3">
        <w:rPr>
          <w:b/>
        </w:rPr>
        <w:fldChar w:fldCharType="begin"/>
      </w:r>
      <w:r w:rsidRPr="000C2D40" w:rsidR="00E06FB3">
        <w:rPr>
          <w:b/>
        </w:rPr>
        <w:instrText xml:space="preserve"> SEQ CHAPTER \h \r 1</w:instrText>
      </w:r>
      <w:r w:rsidRPr="000C2D40" w:rsidR="00E06FB3">
        <w:rPr>
          <w:b/>
        </w:rPr>
        <w:fldChar w:fldCharType="end"/>
      </w:r>
      <w:r w:rsidRPr="000C2D40" w:rsidR="00E06FB3">
        <w:rPr>
          <w:b/>
        </w:rPr>
        <w:fldChar w:fldCharType="begin"/>
      </w:r>
      <w:r w:rsidRPr="000C2D40" w:rsidR="00E06FB3">
        <w:rPr>
          <w:b/>
        </w:rPr>
        <w:instrText xml:space="preserve"> SEQ CHAPTER \h \r 1</w:instrText>
      </w:r>
      <w:r w:rsidRPr="000C2D40" w:rsidR="00E06FB3">
        <w:rPr>
          <w:b/>
        </w:rPr>
        <w:fldChar w:fldCharType="end"/>
      </w:r>
      <w:r w:rsidRPr="000C2D40" w:rsidR="00E06FB3">
        <w:rPr>
          <w:b/>
        </w:rPr>
        <w:fldChar w:fldCharType="begin"/>
      </w:r>
      <w:r w:rsidRPr="000C2D40" w:rsidR="00E06FB3">
        <w:rPr>
          <w:b/>
        </w:rPr>
        <w:instrText xml:space="preserve"> SEQ CHAPTER \h \r 1</w:instrText>
      </w:r>
      <w:r w:rsidRPr="000C2D40" w:rsidR="00E06FB3">
        <w:rPr>
          <w:b/>
        </w:rPr>
        <w:fldChar w:fldCharType="end"/>
      </w:r>
      <w:r w:rsidRPr="000C2D40" w:rsidR="000C2D40">
        <w:rPr>
          <w:b/>
        </w:rPr>
        <w:t>FE</w:t>
      </w:r>
      <w:r w:rsidRPr="00D07BAF" w:rsidR="00E06FB3">
        <w:rPr>
          <w:b/>
          <w:szCs w:val="24"/>
        </w:rPr>
        <w:t>DERAL RAILROAD ADMINISTRATION</w:t>
      </w:r>
    </w:p>
    <w:p w:rsidRPr="00D07BAF" w:rsidR="00E06FB3" w:rsidP="00E06FB3" w:rsidRDefault="00E06FB3" w14:paraId="5B41D41F" w14:textId="77777777">
      <w:pPr>
        <w:widowControl w:val="0"/>
        <w:tabs>
          <w:tab w:val="center" w:pos="4680"/>
        </w:tabs>
        <w:jc w:val="center"/>
        <w:rPr>
          <w:b/>
          <w:szCs w:val="24"/>
        </w:rPr>
      </w:pPr>
      <w:r>
        <w:rPr>
          <w:b/>
          <w:szCs w:val="24"/>
        </w:rPr>
        <w:t>Reflectorization of Rail Freight Rolling Stock</w:t>
      </w:r>
    </w:p>
    <w:p w:rsidRPr="00D07BAF" w:rsidR="00E06FB3" w:rsidP="00E06FB3" w:rsidRDefault="00E06FB3" w14:paraId="077388A6" w14:textId="77777777">
      <w:pPr>
        <w:widowControl w:val="0"/>
        <w:tabs>
          <w:tab w:val="center" w:pos="4680"/>
        </w:tabs>
        <w:jc w:val="center"/>
        <w:rPr>
          <w:b/>
          <w:szCs w:val="24"/>
        </w:rPr>
      </w:pPr>
      <w:r w:rsidRPr="00D07BAF">
        <w:rPr>
          <w:b/>
          <w:szCs w:val="24"/>
        </w:rPr>
        <w:t xml:space="preserve">(Title 49 </w:t>
      </w:r>
      <w:bookmarkStart w:name="_Hlk42544345" w:id="0"/>
      <w:r w:rsidRPr="00D07BAF">
        <w:rPr>
          <w:b/>
          <w:szCs w:val="24"/>
        </w:rPr>
        <w:t xml:space="preserve">Code of Federal Regulations </w:t>
      </w:r>
      <w:bookmarkEnd w:id="0"/>
      <w:r w:rsidRPr="00D07BAF">
        <w:rPr>
          <w:b/>
          <w:szCs w:val="24"/>
        </w:rPr>
        <w:t>Part</w:t>
      </w:r>
      <w:r>
        <w:rPr>
          <w:b/>
          <w:szCs w:val="24"/>
        </w:rPr>
        <w:t xml:space="preserve"> 224</w:t>
      </w:r>
      <w:r w:rsidRPr="00D07BAF">
        <w:rPr>
          <w:b/>
          <w:szCs w:val="24"/>
        </w:rPr>
        <w:t>)</w:t>
      </w:r>
    </w:p>
    <w:p w:rsidRPr="00D07BAF" w:rsidR="00E06FB3" w:rsidP="00E06FB3" w:rsidRDefault="00E06FB3" w14:paraId="764E048B" w14:textId="77777777">
      <w:pPr>
        <w:widowControl w:val="0"/>
        <w:tabs>
          <w:tab w:val="center" w:pos="4680"/>
        </w:tabs>
        <w:jc w:val="center"/>
        <w:rPr>
          <w:szCs w:val="24"/>
        </w:rPr>
      </w:pPr>
      <w:r w:rsidRPr="00D07BAF">
        <w:rPr>
          <w:b/>
          <w:szCs w:val="24"/>
        </w:rPr>
        <w:t>SUPPORTING JUSTIFICATION</w:t>
      </w:r>
    </w:p>
    <w:p w:rsidRPr="00D07BAF" w:rsidR="00E06FB3" w:rsidP="00E06FB3" w:rsidRDefault="00E06FB3" w14:paraId="2A114A33" w14:textId="77777777">
      <w:pPr>
        <w:widowControl w:val="0"/>
        <w:tabs>
          <w:tab w:val="center" w:pos="4680"/>
        </w:tabs>
        <w:jc w:val="center"/>
        <w:rPr>
          <w:b/>
          <w:sz w:val="28"/>
        </w:rPr>
      </w:pPr>
      <w:r>
        <w:rPr>
          <w:b/>
          <w:szCs w:val="24"/>
        </w:rPr>
        <w:t>OMB Control No. 2130-0566</w:t>
      </w:r>
    </w:p>
    <w:p w:rsidR="001069B7" w:rsidRDefault="001069B7" w14:paraId="74584A2F" w14:textId="77777777">
      <w:pPr>
        <w:rPr>
          <w:rFonts w:ascii="Univers" w:hAnsi="Univers"/>
          <w:b/>
        </w:rPr>
      </w:pPr>
    </w:p>
    <w:p w:rsidR="00E06FB3" w:rsidP="00E06FB3" w:rsidRDefault="00E06FB3" w14:paraId="7A22EE19" w14:textId="77777777">
      <w:pPr>
        <w:widowControl w:val="0"/>
        <w:ind w:left="720"/>
        <w:rPr>
          <w:u w:val="single"/>
        </w:rPr>
      </w:pPr>
      <w:r w:rsidRPr="00095D9C">
        <w:rPr>
          <w:u w:val="single"/>
        </w:rPr>
        <w:t>Summary</w:t>
      </w:r>
      <w:r>
        <w:rPr>
          <w:u w:val="single"/>
        </w:rPr>
        <w:t xml:space="preserve"> of Submission</w:t>
      </w:r>
    </w:p>
    <w:p w:rsidR="00E06FB3" w:rsidP="00E06FB3" w:rsidRDefault="00E06FB3" w14:paraId="29152D32" w14:textId="77777777">
      <w:pPr>
        <w:widowControl w:val="0"/>
        <w:ind w:left="720"/>
        <w:rPr>
          <w:u w:val="single"/>
        </w:rPr>
      </w:pPr>
    </w:p>
    <w:p w:rsidRPr="00CC1F9A" w:rsidR="00E06FB3" w:rsidP="00E06FB3" w:rsidRDefault="00E06FB3" w14:paraId="2C73913C" w14:textId="2D55C06B">
      <w:pPr>
        <w:widowControl w:val="0"/>
        <w:numPr>
          <w:ilvl w:val="1"/>
          <w:numId w:val="5"/>
        </w:numPr>
      </w:pPr>
      <w:r>
        <w:t xml:space="preserve">This submission is a request for an </w:t>
      </w:r>
      <w:r w:rsidRPr="003B7FC9">
        <w:t>extension with</w:t>
      </w:r>
      <w:r w:rsidR="00416D3A">
        <w:t>out</w:t>
      </w:r>
      <w:r w:rsidRPr="003B7FC9">
        <w:t xml:space="preserve"> change </w:t>
      </w:r>
      <w:r w:rsidR="00416D3A">
        <w:t>(</w:t>
      </w:r>
      <w:r w:rsidRPr="00BD3E97" w:rsidR="00416D3A">
        <w:t>with changes in estimates</w:t>
      </w:r>
      <w:r w:rsidR="00416D3A">
        <w:t>)</w:t>
      </w:r>
      <w:r w:rsidR="00416D3A">
        <w:t xml:space="preserve"> </w:t>
      </w:r>
      <w:r w:rsidRPr="003B7FC9">
        <w:t>of the last three-year approval granted by the Office of</w:t>
      </w:r>
      <w:r>
        <w:t xml:space="preserve"> Management and Budget (OMB) </w:t>
      </w:r>
      <w:r w:rsidRPr="00CC1F9A">
        <w:t xml:space="preserve">on </w:t>
      </w:r>
      <w:r w:rsidR="00576974">
        <w:t>November 21</w:t>
      </w:r>
      <w:r w:rsidRPr="00CC1F9A">
        <w:t xml:space="preserve">, 2017, and which expires </w:t>
      </w:r>
      <w:r w:rsidR="00576974">
        <w:t>November 30</w:t>
      </w:r>
      <w:r w:rsidRPr="00CC1F9A">
        <w:t xml:space="preserve">, 2020.   </w:t>
      </w:r>
    </w:p>
    <w:p w:rsidR="00E06FB3" w:rsidP="00E06FB3" w:rsidRDefault="00E06FB3" w14:paraId="68977BDE" w14:textId="77777777">
      <w:pPr>
        <w:widowControl w:val="0"/>
        <w:ind w:left="1080"/>
      </w:pPr>
    </w:p>
    <w:p w:rsidRPr="003B7FC9" w:rsidR="00E06FB3" w:rsidP="009C16B1" w:rsidRDefault="00E06FB3" w14:paraId="1677E205" w14:textId="2D328C93">
      <w:pPr>
        <w:widowControl w:val="0"/>
        <w:numPr>
          <w:ilvl w:val="1"/>
          <w:numId w:val="5"/>
        </w:numPr>
      </w:pPr>
      <w:r>
        <w:t>The Federal Railroad Administration</w:t>
      </w:r>
      <w:r w:rsidRPr="003B7FC9">
        <w:t xml:space="preserve"> </w:t>
      </w:r>
      <w:r>
        <w:t>(</w:t>
      </w:r>
      <w:r w:rsidRPr="003B7FC9">
        <w:t>FRA</w:t>
      </w:r>
      <w:r>
        <w:t>)</w:t>
      </w:r>
      <w:r w:rsidRPr="003B7FC9">
        <w:t xml:space="preserve"> published the required 60-day </w:t>
      </w:r>
      <w:r w:rsidRPr="003B7FC9">
        <w:rPr>
          <w:i/>
        </w:rPr>
        <w:t>Federal Register</w:t>
      </w:r>
      <w:r>
        <w:t xml:space="preserve"> Notice on </w:t>
      </w:r>
      <w:r w:rsidRPr="009C16B1" w:rsidR="00857388">
        <w:t>July 22</w:t>
      </w:r>
      <w:r w:rsidRPr="009C16B1">
        <w:t xml:space="preserve">, 2020.  </w:t>
      </w:r>
      <w:r w:rsidRPr="009C16B1">
        <w:rPr>
          <w:u w:val="single"/>
        </w:rPr>
        <w:t>See</w:t>
      </w:r>
      <w:r w:rsidRPr="009C16B1" w:rsidR="00576974">
        <w:t xml:space="preserve"> </w:t>
      </w:r>
      <w:r w:rsidRPr="009C16B1" w:rsidR="00857388">
        <w:t xml:space="preserve">85 FR </w:t>
      </w:r>
      <w:r w:rsidRPr="009C16B1" w:rsidR="009C16B1">
        <w:t>44357</w:t>
      </w:r>
      <w:r w:rsidRPr="009C16B1">
        <w:t>.</w:t>
      </w:r>
      <w:r w:rsidRPr="003B7FC9">
        <w:t xml:space="preserve">  </w:t>
      </w:r>
      <w:r w:rsidRPr="00DA6AFC">
        <w:t xml:space="preserve">FRA received </w:t>
      </w:r>
      <w:r w:rsidRPr="00DA6AFC">
        <w:rPr>
          <w:u w:val="single"/>
        </w:rPr>
        <w:t>no</w:t>
      </w:r>
      <w:r w:rsidRPr="00DA6AFC">
        <w:t xml:space="preserve"> comments in response to this Notice.</w:t>
      </w:r>
      <w:r w:rsidRPr="003B7FC9">
        <w:t xml:space="preserve">  </w:t>
      </w:r>
    </w:p>
    <w:p w:rsidRPr="003B7FC9" w:rsidR="00E06FB3" w:rsidP="00E06FB3" w:rsidRDefault="00E06FB3" w14:paraId="1026A2A6" w14:textId="77777777">
      <w:pPr>
        <w:widowControl w:val="0"/>
        <w:ind w:left="1080"/>
      </w:pPr>
    </w:p>
    <w:p w:rsidRPr="003B7FC9" w:rsidR="00E06FB3" w:rsidP="00405C09" w:rsidRDefault="00E06FB3" w14:paraId="353A8310" w14:textId="77777777">
      <w:pPr>
        <w:widowControl w:val="0"/>
        <w:numPr>
          <w:ilvl w:val="1"/>
          <w:numId w:val="5"/>
        </w:numPr>
        <w:rPr>
          <w:szCs w:val="24"/>
        </w:rPr>
      </w:pPr>
      <w:r w:rsidRPr="003B7FC9">
        <w:rPr>
          <w:szCs w:val="24"/>
        </w:rPr>
        <w:t>The total number of burden hours requested for thi</w:t>
      </w:r>
      <w:r>
        <w:rPr>
          <w:szCs w:val="24"/>
        </w:rPr>
        <w:t xml:space="preserve">s information collection is </w:t>
      </w:r>
      <w:r w:rsidRPr="00405C09" w:rsidR="00405C09">
        <w:rPr>
          <w:szCs w:val="24"/>
        </w:rPr>
        <w:t>3,159</w:t>
      </w:r>
      <w:r>
        <w:rPr>
          <w:szCs w:val="24"/>
        </w:rPr>
        <w:t xml:space="preserve"> </w:t>
      </w:r>
      <w:r w:rsidRPr="003B7FC9">
        <w:rPr>
          <w:szCs w:val="24"/>
        </w:rPr>
        <w:t>hours.</w:t>
      </w:r>
      <w:r>
        <w:rPr>
          <w:szCs w:val="24"/>
        </w:rPr>
        <w:t xml:space="preserve"> </w:t>
      </w:r>
      <w:r w:rsidRPr="003B7FC9">
        <w:rPr>
          <w:szCs w:val="24"/>
        </w:rPr>
        <w:t xml:space="preserve"> The total number of burden hours previously approved by OMB was </w:t>
      </w:r>
      <w:r w:rsidR="005F4D1C">
        <w:t>8,467</w:t>
      </w:r>
      <w:r>
        <w:t xml:space="preserve"> </w:t>
      </w:r>
      <w:r w:rsidRPr="003B7FC9">
        <w:rPr>
          <w:szCs w:val="24"/>
        </w:rPr>
        <w:t>hours.</w:t>
      </w:r>
    </w:p>
    <w:p w:rsidRPr="003B7FC9" w:rsidR="00E06FB3" w:rsidP="00E06FB3" w:rsidRDefault="00E06FB3" w14:paraId="20C2BE9A" w14:textId="77777777">
      <w:pPr>
        <w:widowControl w:val="0"/>
        <w:rPr>
          <w:szCs w:val="24"/>
        </w:rPr>
      </w:pPr>
    </w:p>
    <w:p w:rsidRPr="003B7FC9" w:rsidR="00E06FB3" w:rsidP="00405C09" w:rsidRDefault="00E06FB3" w14:paraId="6A16DFDA" w14:textId="77777777">
      <w:pPr>
        <w:widowControl w:val="0"/>
        <w:numPr>
          <w:ilvl w:val="1"/>
          <w:numId w:val="5"/>
        </w:numPr>
        <w:rPr>
          <w:szCs w:val="24"/>
        </w:rPr>
      </w:pPr>
      <w:r w:rsidRPr="003B7FC9">
        <w:rPr>
          <w:szCs w:val="24"/>
        </w:rPr>
        <w:t>The total number of responses requested for this information collection is</w:t>
      </w:r>
      <w:r w:rsidR="00405C09">
        <w:rPr>
          <w:szCs w:val="24"/>
        </w:rPr>
        <w:t xml:space="preserve"> </w:t>
      </w:r>
      <w:r w:rsidRPr="00405C09" w:rsidR="00405C09">
        <w:rPr>
          <w:szCs w:val="24"/>
        </w:rPr>
        <w:t>36,001</w:t>
      </w:r>
      <w:r w:rsidRPr="003B7FC9">
        <w:rPr>
          <w:szCs w:val="24"/>
        </w:rPr>
        <w:t xml:space="preserve">. </w:t>
      </w:r>
      <w:r>
        <w:rPr>
          <w:szCs w:val="24"/>
        </w:rPr>
        <w:t xml:space="preserve"> </w:t>
      </w:r>
      <w:r w:rsidRPr="003B7FC9">
        <w:rPr>
          <w:szCs w:val="24"/>
        </w:rPr>
        <w:t xml:space="preserve">The total number of responses previously approved by OMB was </w:t>
      </w:r>
      <w:r w:rsidR="005F4D1C">
        <w:t>34,675</w:t>
      </w:r>
      <w:r w:rsidRPr="003B7FC9">
        <w:rPr>
          <w:szCs w:val="24"/>
        </w:rPr>
        <w:t>.</w:t>
      </w:r>
    </w:p>
    <w:p w:rsidRPr="00D1295D" w:rsidR="00E06FB3" w:rsidP="00E06FB3" w:rsidRDefault="00E06FB3" w14:paraId="0A969A18" w14:textId="77777777">
      <w:pPr>
        <w:pStyle w:val="ListParagraph"/>
      </w:pPr>
    </w:p>
    <w:p w:rsidRPr="00D1295D" w:rsidR="00E06FB3" w:rsidP="00405C09" w:rsidRDefault="00E06FB3" w14:paraId="4EA253C6" w14:textId="57783F0E">
      <w:pPr>
        <w:widowControl w:val="0"/>
        <w:numPr>
          <w:ilvl w:val="1"/>
          <w:numId w:val="5"/>
        </w:numPr>
        <w:rPr>
          <w:szCs w:val="24"/>
        </w:rPr>
      </w:pPr>
      <w:r w:rsidRPr="00D1295D">
        <w:rPr>
          <w:szCs w:val="24"/>
        </w:rPr>
        <w:t xml:space="preserve">Overall, the adjustments decreased the burden by </w:t>
      </w:r>
      <w:r w:rsidRPr="00405C09" w:rsidR="00405C09">
        <w:rPr>
          <w:szCs w:val="24"/>
        </w:rPr>
        <w:t>5,308</w:t>
      </w:r>
      <w:r w:rsidR="005F4D1C">
        <w:rPr>
          <w:szCs w:val="24"/>
        </w:rPr>
        <w:t xml:space="preserve"> </w:t>
      </w:r>
      <w:r>
        <w:rPr>
          <w:szCs w:val="24"/>
        </w:rPr>
        <w:t xml:space="preserve">hours and </w:t>
      </w:r>
      <w:r w:rsidR="00405C09">
        <w:rPr>
          <w:szCs w:val="24"/>
        </w:rPr>
        <w:t>in</w:t>
      </w:r>
      <w:r w:rsidRPr="00D1295D">
        <w:rPr>
          <w:szCs w:val="24"/>
        </w:rPr>
        <w:t xml:space="preserve">creased responses by </w:t>
      </w:r>
      <w:r w:rsidR="00C773A6">
        <w:rPr>
          <w:szCs w:val="24"/>
        </w:rPr>
        <w:t>1,326</w:t>
      </w:r>
      <w:r>
        <w:rPr>
          <w:szCs w:val="24"/>
        </w:rPr>
        <w:t xml:space="preserve"> </w:t>
      </w:r>
      <w:r w:rsidRPr="00D1295D">
        <w:rPr>
          <w:szCs w:val="24"/>
        </w:rPr>
        <w:t xml:space="preserve">after a thorough review of the data.  </w:t>
      </w:r>
    </w:p>
    <w:p w:rsidRPr="00D1295D" w:rsidR="00E06FB3" w:rsidP="00E06FB3" w:rsidRDefault="00E06FB3" w14:paraId="4474B097" w14:textId="77777777">
      <w:pPr>
        <w:widowControl w:val="0"/>
        <w:rPr>
          <w:szCs w:val="24"/>
        </w:rPr>
      </w:pPr>
    </w:p>
    <w:p w:rsidRPr="00D1295D" w:rsidR="00E06FB3" w:rsidP="00E06FB3" w:rsidRDefault="00E06FB3" w14:paraId="4BA76CA4" w14:textId="5A76A501">
      <w:pPr>
        <w:widowControl w:val="0"/>
        <w:numPr>
          <w:ilvl w:val="1"/>
          <w:numId w:val="5"/>
        </w:numPr>
        <w:rPr>
          <w:szCs w:val="24"/>
        </w:rPr>
      </w:pPr>
      <w:r w:rsidRPr="00D1295D">
        <w:rPr>
          <w:szCs w:val="24"/>
        </w:rPr>
        <w:t xml:space="preserve">The answer to question </w:t>
      </w:r>
      <w:r w:rsidRPr="00D1295D">
        <w:rPr>
          <w:szCs w:val="24"/>
          <w:u w:val="single"/>
        </w:rPr>
        <w:t>number 12</w:t>
      </w:r>
      <w:r w:rsidRPr="00D1295D">
        <w:rPr>
          <w:szCs w:val="24"/>
        </w:rPr>
        <w:t xml:space="preserve"> </w:t>
      </w:r>
      <w:r w:rsidRPr="00D1295D">
        <w:t>itemizes information collection requirements</w:t>
      </w:r>
      <w:r w:rsidR="001744D3">
        <w:t>.</w:t>
      </w:r>
      <w:r w:rsidRPr="00D1295D">
        <w:t xml:space="preserve"> </w:t>
      </w:r>
    </w:p>
    <w:p w:rsidRPr="00D1295D" w:rsidR="00E06FB3" w:rsidP="00E06FB3" w:rsidRDefault="00E06FB3" w14:paraId="70FFBCF9" w14:textId="77777777">
      <w:pPr>
        <w:widowControl w:val="0"/>
        <w:ind w:left="1080"/>
        <w:rPr>
          <w:szCs w:val="24"/>
        </w:rPr>
      </w:pPr>
    </w:p>
    <w:p w:rsidRPr="00D1295D" w:rsidR="00E06FB3" w:rsidP="00E06FB3" w:rsidRDefault="00E06FB3" w14:paraId="1E017DCB" w14:textId="19EB055B">
      <w:pPr>
        <w:widowControl w:val="0"/>
        <w:numPr>
          <w:ilvl w:val="1"/>
          <w:numId w:val="5"/>
        </w:numPr>
        <w:rPr>
          <w:szCs w:val="24"/>
        </w:rPr>
      </w:pPr>
      <w:r w:rsidRPr="00D1295D">
        <w:rPr>
          <w:szCs w:val="24"/>
        </w:rPr>
        <w:t xml:space="preserve">The answer to question </w:t>
      </w:r>
      <w:r w:rsidRPr="00D1295D">
        <w:rPr>
          <w:szCs w:val="24"/>
          <w:u w:val="single"/>
        </w:rPr>
        <w:t>number 15</w:t>
      </w:r>
      <w:r w:rsidRPr="00D1295D">
        <w:rPr>
          <w:szCs w:val="24"/>
        </w:rPr>
        <w:t xml:space="preserve"> itemizes adjustments.  </w:t>
      </w:r>
    </w:p>
    <w:p w:rsidR="00E06FB3" w:rsidP="00E06FB3" w:rsidRDefault="00E06FB3" w14:paraId="3A43866D" w14:textId="77777777">
      <w:pPr>
        <w:widowControl w:val="0"/>
        <w:ind w:left="1080"/>
        <w:outlineLvl w:val="0"/>
      </w:pPr>
    </w:p>
    <w:p w:rsidRPr="00230903" w:rsidR="00E06FB3" w:rsidP="00E06FB3" w:rsidRDefault="00E06FB3" w14:paraId="4B88C77B" w14:textId="77777777">
      <w:pPr>
        <w:widowControl w:val="0"/>
        <w:numPr>
          <w:ilvl w:val="1"/>
          <w:numId w:val="5"/>
        </w:numPr>
        <w:outlineLvl w:val="0"/>
        <w:rPr>
          <w:b/>
        </w:rPr>
      </w:pPr>
      <w:r>
        <w:t xml:space="preserve">There are </w:t>
      </w:r>
      <w:r w:rsidRPr="009B7098">
        <w:rPr>
          <w:u w:val="single"/>
        </w:rPr>
        <w:t>no</w:t>
      </w:r>
      <w:r w:rsidRPr="009B7098">
        <w:t xml:space="preserve"> program changes </w:t>
      </w:r>
      <w:proofErr w:type="gramStart"/>
      <w:r w:rsidRPr="009B7098">
        <w:t>at</w:t>
      </w:r>
      <w:r w:rsidRPr="0090127D">
        <w:t xml:space="preserve"> this time</w:t>
      </w:r>
      <w:proofErr w:type="gramEnd"/>
      <w:r>
        <w:t>.</w:t>
      </w:r>
    </w:p>
    <w:p w:rsidR="0038285F" w:rsidP="0038285F" w:rsidRDefault="0038285F" w14:paraId="5959A940" w14:textId="77777777">
      <w:pPr>
        <w:pStyle w:val="ListParagraph"/>
      </w:pPr>
    </w:p>
    <w:p w:rsidRPr="00AB778D" w:rsidR="006728C5" w:rsidP="006728C5" w:rsidRDefault="006728C5" w14:paraId="5FBEE7D8" w14:textId="77777777">
      <w:pPr>
        <w:widowControl w:val="0"/>
        <w:ind w:left="720" w:hanging="720"/>
        <w:rPr>
          <w:b/>
          <w:sz w:val="20"/>
        </w:rPr>
      </w:pPr>
      <w:r w:rsidRPr="00EC1455">
        <w:rPr>
          <w:b/>
        </w:rPr>
        <w:t>1.</w:t>
      </w:r>
      <w:r>
        <w:rPr>
          <w:b/>
        </w:rPr>
        <w:tab/>
      </w:r>
      <w:r w:rsidRPr="00787FC6">
        <w:rPr>
          <w:b/>
          <w:u w:val="single"/>
        </w:rPr>
        <w:t>Circumstances that make collection of the information necessary.</w:t>
      </w:r>
    </w:p>
    <w:p w:rsidR="001069B7" w:rsidRDefault="001069B7" w14:paraId="2C12A805" w14:textId="77777777"/>
    <w:p w:rsidR="001069B7" w:rsidRDefault="007900F1" w14:paraId="62C4A21A" w14:textId="77777777">
      <w:pPr>
        <w:ind w:left="720"/>
      </w:pPr>
      <w:r>
        <w:t>In</w:t>
      </w:r>
      <w:r w:rsidR="001069B7">
        <w:t xml:space="preserve"> 1994, Congress passed the Federal Railroad Safety Authorization Act of 1994, Public Law 103-440 (“Act”).  The Act added § 20148 to Title 49 of the United States Code.  Section 20148 required FRA to conduct a review of the Department of Transportation’s rules with respect to visibility of railroad cars, and mandated that, if the review established that enhanced railroad visibility would likely improve safety in a cost-effective manner, the Secretary of Transportation initiate a rulemaking proceeding to prescribe regulations requiring enhanced visibility standards for railroad cars.  Section 20148 specifically directed the Secretary to examine the use of reflectors. (</w:t>
      </w:r>
      <w:r w:rsidR="001069B7">
        <w:rPr>
          <w:i/>
        </w:rPr>
        <w:t xml:space="preserve">See </w:t>
      </w:r>
      <w:r w:rsidR="001069B7">
        <w:t xml:space="preserve">49 U.S.C. 20148(b)(3)).  Accordingly, FRA, as the Federal agency responsible for ensuring that America’s railroads are safe for the traveling public – and in direct response to a Congressional mandate – </w:t>
      </w:r>
      <w:r w:rsidR="000C2D40">
        <w:t>issued a</w:t>
      </w:r>
      <w:r w:rsidR="001069B7">
        <w:t xml:space="preserve"> final rule to require use of r</w:t>
      </w:r>
      <w:r w:rsidR="00483BC8">
        <w:t>etror</w:t>
      </w:r>
      <w:r w:rsidR="001069B7">
        <w:t xml:space="preserve">eflective material on </w:t>
      </w:r>
      <w:r w:rsidR="001069B7">
        <w:lastRenderedPageBreak/>
        <w:t xml:space="preserve">the sides of rail freight cars and locomotives to enhance the visibility of trains </w:t>
      </w:r>
      <w:proofErr w:type="gramStart"/>
      <w:r w:rsidR="001069B7">
        <w:t>in order to</w:t>
      </w:r>
      <w:proofErr w:type="gramEnd"/>
      <w:r w:rsidR="001069B7">
        <w:t xml:space="preserve"> reduce the number of accidents at highway-rail grade crossings where train visibility is a contributing factor.</w:t>
      </w:r>
      <w:r w:rsidR="000C2D40">
        <w:rPr>
          <w:rStyle w:val="FootnoteReference"/>
        </w:rPr>
        <w:footnoteReference w:id="1"/>
      </w:r>
    </w:p>
    <w:p w:rsidR="00FC6236" w:rsidP="003970C5" w:rsidRDefault="00FC6236" w14:paraId="2C8BBAEE" w14:textId="77777777"/>
    <w:p w:rsidR="00FA0BD5" w:rsidP="00FA0BD5" w:rsidRDefault="00FA0BD5" w14:paraId="078EFD21" w14:textId="77777777">
      <w:pPr>
        <w:widowControl w:val="0"/>
        <w:ind w:left="720" w:hanging="720"/>
        <w:rPr>
          <w:b/>
        </w:rPr>
      </w:pPr>
      <w:r>
        <w:rPr>
          <w:b/>
        </w:rPr>
        <w:t>2.</w:t>
      </w:r>
      <w:r>
        <w:rPr>
          <w:b/>
        </w:rPr>
        <w:tab/>
      </w:r>
      <w:r w:rsidRPr="00AD423C">
        <w:rPr>
          <w:b/>
          <w:u w:val="single"/>
        </w:rPr>
        <w:t>How, by whom, and for what purpose the information is to be used</w:t>
      </w:r>
      <w:r w:rsidRPr="00AD423C">
        <w:rPr>
          <w:b/>
        </w:rPr>
        <w:t>.</w:t>
      </w:r>
    </w:p>
    <w:p w:rsidR="001069B7" w:rsidRDefault="001069B7" w14:paraId="1391851A" w14:textId="77777777">
      <w:pPr>
        <w:rPr>
          <w:b/>
        </w:rPr>
      </w:pPr>
    </w:p>
    <w:p w:rsidR="00346C3E" w:rsidP="006158AE" w:rsidRDefault="001069B7" w14:paraId="50ABED11" w14:textId="32FBC038">
      <w:pPr>
        <w:ind w:left="720"/>
      </w:pPr>
      <w:r>
        <w:t xml:space="preserve">The information is used by FRA to ensure that freight rolling stock owners follow </w:t>
      </w:r>
      <w:r w:rsidR="00346C3E">
        <w:t>the stipulated timeframe</w:t>
      </w:r>
      <w:r>
        <w:t xml:space="preserve"> for </w:t>
      </w:r>
      <w:r w:rsidR="00346C3E">
        <w:t>re</w:t>
      </w:r>
      <w:r>
        <w:t>placing</w:t>
      </w:r>
      <w:r w:rsidR="00346C3E">
        <w:t>/repairing</w:t>
      </w:r>
      <w:r>
        <w:t xml:space="preserve"> retroreflective material on the sides of freight rolling stock (freight cars and locomotives) </w:t>
      </w:r>
      <w:r w:rsidR="00346C3E">
        <w:t xml:space="preserve">that is damaged, obscured, or missing </w:t>
      </w:r>
      <w:proofErr w:type="gramStart"/>
      <w:r>
        <w:t>in order to</w:t>
      </w:r>
      <w:proofErr w:type="gramEnd"/>
      <w:r>
        <w:t xml:space="preserve"> enhance the visibi</w:t>
      </w:r>
      <w:r w:rsidR="00346C3E">
        <w:t xml:space="preserve">lity of trains.  Under section 224.109, retroreflective sheeting on freight cars (and locomotives) subject to this part must be inspected for presence and condition whenever a car </w:t>
      </w:r>
      <w:r w:rsidR="00BF4EDE">
        <w:t xml:space="preserve">undergoes a single air brake test required under 49 CFR 232.305.  </w:t>
      </w:r>
      <w:r w:rsidR="00F87CA1">
        <w:t>If at the time of inspection less than 80 percent of the amount of sheeting required under §</w:t>
      </w:r>
      <w:r w:rsidR="006158AE">
        <w:t> 224.105</w:t>
      </w:r>
      <w:r w:rsidR="00F87CA1">
        <w:t xml:space="preserve"> on either side of a car is present, not damaged, and not obscured, the inspecting railroad or contractor shall promptly notify the person responsible for the reporting mark, as indicated in the Universal Machine Language Equipment Register, of the damaged, obscured, or missing sheeting (unless the inspecting railroad or contractor is the person responsible for the reporting mark).  </w:t>
      </w:r>
      <w:r w:rsidR="006158AE">
        <w:t xml:space="preserve">The inspecting railroad or contractor shall retain a written or electronic copy of each such notification made for at least two years from the date of the notice and shall make these records available for inspection and copying by the FRA upon request. Any person notified of a defect under this section shall have nine months (270 calendar days) from the date of notification to repair or replace the damaged, obscured, or missing sheeting. Where the inspecting railroad or contractor is the person responsible for the reporting mark, the person shall have nine months (270 calendar days) from the date of the inspection to repair or replace the damaged, obscured, or missing sheeting.  </w:t>
      </w:r>
      <w:r w:rsidR="002F735D">
        <w:t xml:space="preserve">Since notification records must be furnished to FRA inspectors upon request, agency inspectors review them as part of their routine duties to ensure compliance Part 224.  </w:t>
      </w:r>
      <w:r w:rsidR="008D5915">
        <w:t xml:space="preserve">  </w:t>
      </w:r>
      <w:r w:rsidR="003B0ED0">
        <w:t xml:space="preserve"> </w:t>
      </w:r>
      <w:r w:rsidR="00051A8F">
        <w:t xml:space="preserve"> </w:t>
      </w:r>
      <w:r w:rsidR="008D5915">
        <w:tab/>
      </w:r>
    </w:p>
    <w:p w:rsidR="00346C3E" w:rsidRDefault="00346C3E" w14:paraId="6EB28EF9" w14:textId="77777777">
      <w:pPr>
        <w:ind w:left="720"/>
      </w:pPr>
    </w:p>
    <w:p w:rsidR="001069B7" w:rsidRDefault="002F735D" w14:paraId="5323D294" w14:textId="77777777">
      <w:pPr>
        <w:ind w:left="720"/>
      </w:pPr>
      <w:r>
        <w:t xml:space="preserve">Also, </w:t>
      </w:r>
      <w:r w:rsidR="001069B7">
        <w:t xml:space="preserve">FRA reviews waiver petitions from railroads and car owners to </w:t>
      </w:r>
      <w:proofErr w:type="gramStart"/>
      <w:r w:rsidR="001069B7">
        <w:t>make a determination</w:t>
      </w:r>
      <w:proofErr w:type="gramEnd"/>
      <w:r w:rsidR="001069B7">
        <w:t xml:space="preserve"> whether it is appropriate, safe, and consistent with the public interest to grant an exception to any of the requirements of this Part.  Moreover, FRA reviews petitions for special approval of alternative standards to ensure that appropriate data and analysis are provided by railroads/freight rolling stock owners regarding a proposed alternative standard, and to verify that any proposed alternative standard </w:t>
      </w:r>
      <w:proofErr w:type="gramStart"/>
      <w:r w:rsidR="001069B7">
        <w:t>actually provides</w:t>
      </w:r>
      <w:proofErr w:type="gramEnd"/>
      <w:r w:rsidR="001069B7">
        <w:t xml:space="preserve"> at least an equivalent level of safety and meets the requirements of this Part.</w:t>
      </w:r>
    </w:p>
    <w:p w:rsidR="001069B7" w:rsidRDefault="001069B7" w14:paraId="205255CE" w14:textId="77777777"/>
    <w:p w:rsidR="001069B7" w:rsidRDefault="001069B7" w14:paraId="11B271BE" w14:textId="77777777">
      <w:pPr>
        <w:ind w:left="720"/>
        <w:rPr>
          <w:b/>
        </w:rPr>
      </w:pPr>
      <w:r>
        <w:t xml:space="preserve">In sum, the information collected </w:t>
      </w:r>
      <w:r w:rsidR="002F735D">
        <w:t>enables</w:t>
      </w:r>
      <w:r>
        <w:t xml:space="preserve"> FRA to </w:t>
      </w:r>
      <w:r w:rsidR="002F735D">
        <w:t xml:space="preserve">promote and enhance railroad safety.  The information collected allows FRA to </w:t>
      </w:r>
      <w:r>
        <w:t xml:space="preserve">closely monitor </w:t>
      </w:r>
      <w:r w:rsidR="002F735D">
        <w:t xml:space="preserve">the efforts of </w:t>
      </w:r>
      <w:r>
        <w:t xml:space="preserve">railroads/freight rolling stock owners to fully reflectorize their fleets, and </w:t>
      </w:r>
      <w:r w:rsidR="002F735D">
        <w:t xml:space="preserve">maintain in good condition these reflectorized freight cars and locomotives.  </w:t>
      </w:r>
      <w:r>
        <w:t>Full implementation</w:t>
      </w:r>
      <w:r w:rsidR="002F735D">
        <w:t>/maintenance</w:t>
      </w:r>
      <w:r>
        <w:t xml:space="preserve"> of freight rolling stock fleet reflectorization </w:t>
      </w:r>
      <w:r w:rsidR="003C34FE">
        <w:t xml:space="preserve">serves </w:t>
      </w:r>
      <w:r>
        <w:t>t</w:t>
      </w:r>
      <w:r w:rsidR="003C34FE">
        <w:t xml:space="preserve">o provide </w:t>
      </w:r>
      <w:r>
        <w:t>much greater visibility of rail cars</w:t>
      </w:r>
      <w:r w:rsidR="003C34FE">
        <w:t xml:space="preserve">/ </w:t>
      </w:r>
      <w:r w:rsidR="003C34FE">
        <w:lastRenderedPageBreak/>
        <w:t>locomotives</w:t>
      </w:r>
      <w:r>
        <w:t xml:space="preserve"> to motorists, and help</w:t>
      </w:r>
      <w:r w:rsidR="003C34FE">
        <w:t>s</w:t>
      </w:r>
      <w:r>
        <w:t xml:space="preserve"> to reduce the </w:t>
      </w:r>
      <w:r w:rsidR="003C34FE">
        <w:t xml:space="preserve">risk </w:t>
      </w:r>
      <w:r>
        <w:t xml:space="preserve">of accidents/incidents at highway-rail grade crossings nationwide in which </w:t>
      </w:r>
      <w:r w:rsidR="00D52E0A">
        <w:t xml:space="preserve">poor </w:t>
      </w:r>
      <w:r>
        <w:t xml:space="preserve">visibility of rail cars acts as a main or contributing factor. </w:t>
      </w:r>
    </w:p>
    <w:p w:rsidR="001069B7" w:rsidRDefault="001069B7" w14:paraId="05C23874" w14:textId="77777777">
      <w:pPr>
        <w:rPr>
          <w:b/>
        </w:rPr>
      </w:pPr>
    </w:p>
    <w:p w:rsidRPr="00AD423C" w:rsidR="00AF2129" w:rsidP="00AF2129" w:rsidRDefault="00AF2129" w14:paraId="06FC76FC" w14:textId="77777777">
      <w:pPr>
        <w:widowControl w:val="0"/>
        <w:ind w:left="720" w:hanging="720"/>
        <w:rPr>
          <w:b/>
        </w:rPr>
      </w:pPr>
      <w:r w:rsidRPr="00AD423C">
        <w:rPr>
          <w:b/>
        </w:rPr>
        <w:t>3.</w:t>
      </w:r>
      <w:r w:rsidRPr="00AD423C">
        <w:rPr>
          <w:b/>
        </w:rPr>
        <w:tab/>
      </w:r>
      <w:r w:rsidRPr="00AD423C">
        <w:rPr>
          <w:b/>
          <w:u w:val="single"/>
        </w:rPr>
        <w:t>Extent of automated information collection</w:t>
      </w:r>
      <w:r w:rsidRPr="00AD423C">
        <w:rPr>
          <w:b/>
        </w:rPr>
        <w:t>.</w:t>
      </w:r>
    </w:p>
    <w:p w:rsidR="001069B7" w:rsidRDefault="001069B7" w14:paraId="1E6D67E8" w14:textId="77777777">
      <w:pPr>
        <w:rPr>
          <w:b/>
        </w:rPr>
      </w:pPr>
    </w:p>
    <w:p w:rsidR="001069B7" w:rsidRDefault="001069B7" w14:paraId="6637F842" w14:textId="77777777">
      <w:pPr>
        <w:ind w:left="720"/>
      </w:pPr>
      <w:r>
        <w:t>FRA highly encourages the use of advanced information technology, wherever possible, to reduce burden</w:t>
      </w:r>
      <w:r w:rsidR="00AC5F3D">
        <w:t xml:space="preserve"> on respondents</w:t>
      </w:r>
      <w:r>
        <w:t>.  In keeping with the requirements of the Pap</w:t>
      </w:r>
      <w:r w:rsidR="00C5033F">
        <w:t>erwork Reduction Act</w:t>
      </w:r>
      <w:r>
        <w:t xml:space="preserve"> and the Government </w:t>
      </w:r>
      <w:r w:rsidR="00C5033F">
        <w:t>Paperwork Elimination Act</w:t>
      </w:r>
      <w:r>
        <w:t>, FRA has provided respondents with the option for electronic submission of required information.  Specifically, under § 224.109(a), railroad freight rolling stock owners must be notified by the inspecting railroad or contractor whenever freight cars undergoing single car air brake test inspections have more than 20 percent of the amount of retroreflective sheeting (required under § 224.105) located on either side of the car that is damaged, obscured, or missing.  The inspecting railroad or contractor has the option to retain the required record (copy) of each such notification either in writing or electronically.</w:t>
      </w:r>
    </w:p>
    <w:p w:rsidR="001069B7" w:rsidRDefault="001069B7" w14:paraId="0C3BF909" w14:textId="77777777"/>
    <w:p w:rsidR="001069B7" w:rsidRDefault="001069B7" w14:paraId="73CD87D0" w14:textId="77777777">
      <w:pPr>
        <w:ind w:left="720"/>
      </w:pPr>
      <w:r>
        <w:t>Under § 224.109(b), locomotives undergoing the annual inspection required under 49 CFR 229.27 must have the retroreflective sheeting visually inspected for presence and condition.  Locomotives that have more than 20 percent of the amount of retroreflective sheeting required under § 224.105 that is damaged, obscured, or missing must have that damaged, obscured, or missing sheeting repaired or replaced.  If conditions at the time of inspection are</w:t>
      </w:r>
      <w:r w:rsidR="003970C5">
        <w:t xml:space="preserve"> such that adequate repairs can</w:t>
      </w:r>
      <w:r>
        <w:t xml:space="preserve">not be applied, or if sufficient material is not available, such application can be completed at the next forward location where conditions permit, provided a record is maintained.  This record may be maintained either in the locomotive cab or in a secure and accessible electronic database that is available to FRA upon request.  </w:t>
      </w:r>
    </w:p>
    <w:p w:rsidR="001069B7" w:rsidRDefault="001069B7" w14:paraId="2EE02396" w14:textId="77777777"/>
    <w:p w:rsidR="006A68FE" w:rsidRDefault="00772F55" w14:paraId="67C1F00E" w14:textId="77777777">
      <w:pPr>
        <w:ind w:left="720"/>
      </w:pPr>
      <w:r>
        <w:t xml:space="preserve">According to FRA’s Part 224 (Reflectorization) program specialist, </w:t>
      </w:r>
      <w:r w:rsidR="001069B7">
        <w:t xml:space="preserve">approximately </w:t>
      </w:r>
      <w:r w:rsidR="003970C5">
        <w:t xml:space="preserve">100 </w:t>
      </w:r>
      <w:r w:rsidR="001069B7">
        <w:t xml:space="preserve">percent of responses </w:t>
      </w:r>
      <w:r>
        <w:t xml:space="preserve">are now </w:t>
      </w:r>
      <w:r w:rsidR="001069B7">
        <w:t>submitted electronically</w:t>
      </w:r>
      <w:r>
        <w:t xml:space="preserve"> to FRA</w:t>
      </w:r>
      <w:r w:rsidR="003970C5">
        <w:t xml:space="preserve"> upon request</w:t>
      </w:r>
      <w:r w:rsidR="001069B7">
        <w:t>.</w:t>
      </w:r>
    </w:p>
    <w:p w:rsidR="007900F1" w:rsidRDefault="007900F1" w14:paraId="16233CA1" w14:textId="77777777">
      <w:pPr>
        <w:ind w:left="720"/>
        <w:rPr>
          <w:b/>
        </w:rPr>
      </w:pPr>
    </w:p>
    <w:p w:rsidR="001069B7" w:rsidRDefault="00423EBD" w14:paraId="60D9A369" w14:textId="77777777">
      <w:pPr>
        <w:ind w:left="720" w:hanging="720"/>
        <w:rPr>
          <w:b/>
        </w:rPr>
      </w:pPr>
      <w:r w:rsidRPr="00AD423C">
        <w:rPr>
          <w:b/>
        </w:rPr>
        <w:t>4.</w:t>
      </w:r>
      <w:r w:rsidRPr="00AD423C">
        <w:rPr>
          <w:b/>
        </w:rPr>
        <w:tab/>
      </w:r>
      <w:r w:rsidRPr="00AD423C">
        <w:rPr>
          <w:b/>
          <w:u w:val="single"/>
        </w:rPr>
        <w:t>Efforts to identify duplication</w:t>
      </w:r>
      <w:r w:rsidRPr="00AD423C">
        <w:rPr>
          <w:b/>
        </w:rPr>
        <w:t>.</w:t>
      </w:r>
    </w:p>
    <w:p w:rsidR="001069B7" w:rsidP="001B39CF" w:rsidRDefault="001069B7" w14:paraId="185ED275" w14:textId="77777777">
      <w:pPr>
        <w:ind w:firstLine="720"/>
        <w:rPr>
          <w:b/>
        </w:rPr>
      </w:pPr>
    </w:p>
    <w:p w:rsidR="001069B7" w:rsidRDefault="001B39CF" w14:paraId="08BC87C8" w14:textId="77777777">
      <w:pPr>
        <w:ind w:left="720"/>
      </w:pPr>
      <w:r>
        <w:t xml:space="preserve">The information </w:t>
      </w:r>
      <w:r w:rsidR="001069B7">
        <w:t xml:space="preserve">collection requirements </w:t>
      </w:r>
      <w:r>
        <w:t xml:space="preserve">– to FRA’s </w:t>
      </w:r>
      <w:r w:rsidR="001069B7">
        <w:t>knowledge</w:t>
      </w:r>
      <w:r>
        <w:t xml:space="preserve"> – are </w:t>
      </w:r>
      <w:r w:rsidR="001069B7">
        <w:t>not duplicated anywhere.</w:t>
      </w:r>
    </w:p>
    <w:p w:rsidR="001069B7" w:rsidRDefault="001069B7" w14:paraId="43B1BCC0" w14:textId="77777777"/>
    <w:p w:rsidR="001069B7" w:rsidP="00367E8A" w:rsidRDefault="001069B7" w14:paraId="14A2FB54" w14:textId="77777777">
      <w:pPr>
        <w:ind w:left="720"/>
      </w:pPr>
      <w:r>
        <w:t xml:space="preserve">Similar data are not available from any other source </w:t>
      </w:r>
      <w:proofErr w:type="gramStart"/>
      <w:r>
        <w:t>at this time</w:t>
      </w:r>
      <w:proofErr w:type="gramEnd"/>
      <w:r>
        <w:t xml:space="preserve">.  </w:t>
      </w:r>
    </w:p>
    <w:p w:rsidR="001069B7" w:rsidP="000A220E" w:rsidRDefault="001069B7" w14:paraId="4B90765E" w14:textId="77777777">
      <w:pPr>
        <w:ind w:left="720"/>
        <w:rPr>
          <w:b/>
        </w:rPr>
      </w:pPr>
    </w:p>
    <w:p w:rsidR="0086189C" w:rsidP="0086189C" w:rsidRDefault="0086189C" w14:paraId="0019DE7A" w14:textId="77777777">
      <w:pPr>
        <w:widowControl w:val="0"/>
        <w:rPr>
          <w:color w:val="000000"/>
        </w:rPr>
      </w:pPr>
      <w:r w:rsidRPr="00AD423C">
        <w:rPr>
          <w:b/>
        </w:rPr>
        <w:t>5.</w:t>
      </w:r>
      <w:r w:rsidRPr="00AD423C">
        <w:rPr>
          <w:b/>
        </w:rPr>
        <w:tab/>
      </w:r>
      <w:r w:rsidRPr="00AD423C">
        <w:rPr>
          <w:b/>
          <w:u w:val="single"/>
        </w:rPr>
        <w:t>Efforts to minimize the burden on small businesses</w:t>
      </w:r>
      <w:r w:rsidRPr="00AD423C">
        <w:rPr>
          <w:b/>
        </w:rPr>
        <w:t>.</w:t>
      </w:r>
    </w:p>
    <w:p w:rsidR="001069B7" w:rsidRDefault="001069B7" w14:paraId="7B789821" w14:textId="77777777">
      <w:pPr>
        <w:ind w:left="720" w:hanging="720"/>
        <w:rPr>
          <w:b/>
        </w:rPr>
      </w:pPr>
      <w:r>
        <w:rPr>
          <w:b/>
        </w:rPr>
        <w:tab/>
      </w:r>
      <w:r>
        <w:rPr>
          <w:b/>
        </w:rPr>
        <w:tab/>
      </w:r>
      <w:r>
        <w:rPr>
          <w:b/>
        </w:rPr>
        <w:tab/>
      </w:r>
      <w:r>
        <w:rPr>
          <w:b/>
        </w:rPr>
        <w:tab/>
      </w:r>
    </w:p>
    <w:p w:rsidR="001069B7" w:rsidP="002C2CE6" w:rsidRDefault="001069B7" w14:paraId="5C711177" w14:textId="06ABD067">
      <w:pPr>
        <w:ind w:left="720"/>
      </w:pPr>
      <w:r>
        <w:t xml:space="preserve">The requirements of this Part do not apply to freight railroads that operate only on track inside an installation that is not part of the general railroad system of transportation, rapid transit operations within an urban area that are not connected to the general system of transportation, or locomotives or passenger cars used exclusively in passenger service.  </w:t>
      </w:r>
    </w:p>
    <w:p w:rsidR="001069B7" w:rsidP="002C2CE6" w:rsidRDefault="001069B7" w14:paraId="78B7E3DC" w14:textId="77777777">
      <w:pPr>
        <w:ind w:left="720" w:hanging="720"/>
      </w:pPr>
      <w:r>
        <w:lastRenderedPageBreak/>
        <w:t xml:space="preserve"> </w:t>
      </w:r>
      <w:r>
        <w:tab/>
      </w:r>
    </w:p>
    <w:p w:rsidR="001069B7" w:rsidRDefault="005C069A" w14:paraId="41AD62C3" w14:textId="77777777">
      <w:pPr>
        <w:rPr>
          <w:b/>
        </w:rPr>
      </w:pPr>
      <w:r w:rsidRPr="00AD423C">
        <w:rPr>
          <w:b/>
        </w:rPr>
        <w:t>6.</w:t>
      </w:r>
      <w:r w:rsidRPr="00AD423C">
        <w:rPr>
          <w:b/>
        </w:rPr>
        <w:tab/>
      </w:r>
      <w:r w:rsidRPr="00AD423C">
        <w:rPr>
          <w:b/>
          <w:u w:val="single"/>
        </w:rPr>
        <w:t>Impact of less frequent collection of information</w:t>
      </w:r>
      <w:r w:rsidRPr="00AD423C">
        <w:rPr>
          <w:b/>
        </w:rPr>
        <w:t>.</w:t>
      </w:r>
    </w:p>
    <w:p w:rsidR="005C069A" w:rsidRDefault="005C069A" w14:paraId="33B2A5C9" w14:textId="77777777">
      <w:pPr>
        <w:rPr>
          <w:b/>
        </w:rPr>
      </w:pPr>
    </w:p>
    <w:p w:rsidR="001069B7" w:rsidRDefault="001069B7" w14:paraId="678EECC7" w14:textId="77777777">
      <w:pPr>
        <w:ind w:left="720"/>
      </w:pPr>
      <w:r>
        <w:t>If this information is not conducted or is conducted less frequently, FRA’s national rail safety program will be considerably hampered.  Sp</w:t>
      </w:r>
      <w:r w:rsidR="00123287">
        <w:t>ecifically, without this</w:t>
      </w:r>
      <w:r>
        <w:t xml:space="preserve"> collection of information, FRA </w:t>
      </w:r>
      <w:r w:rsidR="00123287">
        <w:t>would have</w:t>
      </w:r>
      <w:r>
        <w:t xml:space="preserve"> no means to monitor and, where necessary, enforce railroads/car owners</w:t>
      </w:r>
      <w:r w:rsidR="00376552">
        <w:t>’</w:t>
      </w:r>
      <w:r>
        <w:t xml:space="preserve"> compliance with </w:t>
      </w:r>
      <w:r w:rsidR="00376552">
        <w:t xml:space="preserve">Part 224 requirements for </w:t>
      </w:r>
      <w:r>
        <w:t>the reflectorization</w:t>
      </w:r>
      <w:r w:rsidRPr="00376552" w:rsidR="00376552">
        <w:t xml:space="preserve"> </w:t>
      </w:r>
      <w:r w:rsidR="00376552">
        <w:t>of their freight cars/locomotives</w:t>
      </w:r>
      <w:r w:rsidRPr="00376552" w:rsidR="00376552">
        <w:t xml:space="preserve"> </w:t>
      </w:r>
      <w:r w:rsidR="00376552">
        <w:t>and maintenance of the reflectorization on these cars/ locomotives in good condition</w:t>
      </w:r>
      <w:r w:rsidR="00D93302">
        <w:t xml:space="preserve">.  </w:t>
      </w:r>
      <w:r>
        <w:t xml:space="preserve"> The consequence of such a failure is likely to be a greater number of collisions between motorists and train cars at highway-rail grade crossings, particu</w:t>
      </w:r>
      <w:r w:rsidR="003970C5">
        <w:t>larly collisions where cars run-into-</w:t>
      </w:r>
      <w:r>
        <w:t xml:space="preserve">trains (“RIT” accidents) at night time or during other times of limited visibility, in which lack of conspicuity or visibility played a decisive or contributing role in the causation of the accident/incident.  </w:t>
      </w:r>
    </w:p>
    <w:p w:rsidR="00DB480E" w:rsidRDefault="001069B7" w14:paraId="711E898C" w14:textId="77777777">
      <w:pPr>
        <w:ind w:left="720" w:hanging="720"/>
      </w:pPr>
      <w:r>
        <w:t xml:space="preserve"> </w:t>
      </w:r>
      <w:r>
        <w:tab/>
      </w:r>
    </w:p>
    <w:p w:rsidR="003970C5" w:rsidP="004A1C10" w:rsidRDefault="001069B7" w14:paraId="3B8FB858" w14:textId="77777777">
      <w:pPr>
        <w:ind w:left="720"/>
      </w:pPr>
      <w:r>
        <w:t xml:space="preserve">Moreover, collisions between trains and motor vehicles may result in damage to the rail equipment and often cause significant delays and disruptions to rail operations along that segment of track.  Such collisions then have a variety of human and economic consequences.  </w:t>
      </w:r>
    </w:p>
    <w:p w:rsidR="001069B7" w:rsidP="004A1C10" w:rsidRDefault="001069B7" w14:paraId="139FE4CF" w14:textId="77777777">
      <w:pPr>
        <w:ind w:left="720"/>
      </w:pPr>
    </w:p>
    <w:p w:rsidR="004766A3" w:rsidRDefault="001069B7" w14:paraId="78198EB2" w14:textId="77777777">
      <w:pPr>
        <w:ind w:left="5040" w:hanging="4320"/>
      </w:pPr>
      <w:r>
        <w:t>In sum, this collection of information is another tool that enhances FRA’s ability to</w:t>
      </w:r>
    </w:p>
    <w:p w:rsidR="004766A3" w:rsidRDefault="001069B7" w14:paraId="07843708" w14:textId="77777777">
      <w:pPr>
        <w:ind w:left="5040" w:hanging="4320"/>
      </w:pPr>
      <w:r>
        <w:t>promote and augment national rail safety, save lives, and reduce property damage by</w:t>
      </w:r>
    </w:p>
    <w:p w:rsidR="004766A3" w:rsidRDefault="001069B7" w14:paraId="763FE4D3" w14:textId="77777777">
      <w:pPr>
        <w:ind w:left="5040" w:hanging="4320"/>
      </w:pPr>
      <w:r>
        <w:t>monitoring and enforcing, where necessary, the full reflectorization of freight cars and</w:t>
      </w:r>
    </w:p>
    <w:p w:rsidR="004766A3" w:rsidRDefault="001069B7" w14:paraId="0C3A7854" w14:textId="77777777">
      <w:pPr>
        <w:ind w:left="5040" w:hanging="4320"/>
      </w:pPr>
      <w:r>
        <w:t xml:space="preserve">locomotive fleets by railroads and </w:t>
      </w:r>
      <w:r w:rsidR="000F61EF">
        <w:t xml:space="preserve">other </w:t>
      </w:r>
      <w:r>
        <w:t>car owners.  Installation of reflective tape</w:t>
      </w:r>
    </w:p>
    <w:p w:rsidR="004766A3" w:rsidRDefault="001069B7" w14:paraId="3A26E3CA" w14:textId="77777777">
      <w:pPr>
        <w:ind w:left="5040" w:hanging="4320"/>
      </w:pPr>
      <w:r>
        <w:t>(reflectorization) increases the conspicuity/visibility</w:t>
      </w:r>
      <w:r w:rsidR="002B56B3">
        <w:t xml:space="preserve"> </w:t>
      </w:r>
      <w:r>
        <w:t>of freight cars so that motorists can</w:t>
      </w:r>
    </w:p>
    <w:p w:rsidR="008C24EE" w:rsidRDefault="001069B7" w14:paraId="00FD9BD8" w14:textId="77777777">
      <w:pPr>
        <w:ind w:left="5040" w:hanging="4320"/>
      </w:pPr>
      <w:r>
        <w:t>more readily identify them and better judge their speed and distance.  This greater</w:t>
      </w:r>
    </w:p>
    <w:p w:rsidR="008C24EE" w:rsidRDefault="001069B7" w14:paraId="1C5070AF" w14:textId="77777777">
      <w:pPr>
        <w:ind w:left="5040" w:hanging="4320"/>
      </w:pPr>
      <w:r>
        <w:t>visibility</w:t>
      </w:r>
      <w:r w:rsidR="00F2473B">
        <w:t xml:space="preserve"> </w:t>
      </w:r>
      <w:r>
        <w:t>will help prevent some accidents at highway-rail grade crossings, and will help</w:t>
      </w:r>
    </w:p>
    <w:p w:rsidR="008C24EE" w:rsidRDefault="001069B7" w14:paraId="54FF9A6D" w14:textId="77777777">
      <w:pPr>
        <w:ind w:left="5040" w:hanging="4320"/>
      </w:pPr>
      <w:r>
        <w:t>to mitigate others by reducing the severity of those accidents which are unavoidable.  The</w:t>
      </w:r>
    </w:p>
    <w:p w:rsidR="008C24EE" w:rsidRDefault="001069B7" w14:paraId="6CD43D6C" w14:textId="77777777">
      <w:pPr>
        <w:ind w:left="5040" w:hanging="4320"/>
      </w:pPr>
      <w:r>
        <w:t>collection of information then aids both FRA’s main mission and DOT’s number one</w:t>
      </w:r>
    </w:p>
    <w:p w:rsidR="008C24EE" w:rsidRDefault="001069B7" w14:paraId="25453718" w14:textId="77777777">
      <w:pPr>
        <w:ind w:left="5040" w:hanging="4320"/>
      </w:pPr>
      <w:r>
        <w:t>Strategic Goal</w:t>
      </w:r>
      <w:r w:rsidR="00E92ADD">
        <w:t xml:space="preserve"> (</w:t>
      </w:r>
      <w:r w:rsidR="007131AC">
        <w:t>i.e.</w:t>
      </w:r>
      <w:r>
        <w:t>, safe transportation of people and goods and the reduction of the</w:t>
      </w:r>
    </w:p>
    <w:p w:rsidR="008C24EE" w:rsidRDefault="001069B7" w14:paraId="6B5F6C0F" w14:textId="77777777">
      <w:pPr>
        <w:ind w:left="5040" w:hanging="4320"/>
      </w:pPr>
      <w:r>
        <w:t>number of injuries and fatalities and corresponding property damage which ensue from</w:t>
      </w:r>
    </w:p>
    <w:p w:rsidR="001069B7" w:rsidRDefault="001069B7" w14:paraId="46C15B35" w14:textId="77777777">
      <w:pPr>
        <w:ind w:left="5040" w:hanging="4320"/>
        <w:rPr>
          <w:b/>
        </w:rPr>
      </w:pPr>
      <w:r>
        <w:t>transportation related accidents/incidents</w:t>
      </w:r>
      <w:r w:rsidR="00E92ADD">
        <w:t>)</w:t>
      </w:r>
      <w:r>
        <w:t xml:space="preserve">. </w:t>
      </w:r>
      <w:r>
        <w:tab/>
      </w:r>
    </w:p>
    <w:p w:rsidR="001069B7" w:rsidRDefault="001069B7" w14:paraId="02D4DF7E" w14:textId="77777777">
      <w:pPr>
        <w:rPr>
          <w:b/>
        </w:rPr>
      </w:pPr>
    </w:p>
    <w:p w:rsidR="00B85B41" w:rsidP="00B85B41" w:rsidRDefault="00B85B41" w14:paraId="3B8E9314" w14:textId="77777777">
      <w:pPr>
        <w:widowControl w:val="0"/>
        <w:rPr>
          <w:b/>
        </w:rPr>
      </w:pPr>
      <w:r w:rsidRPr="00AD423C">
        <w:rPr>
          <w:b/>
        </w:rPr>
        <w:t>7.</w:t>
      </w:r>
      <w:r w:rsidRPr="00AD423C">
        <w:rPr>
          <w:b/>
        </w:rPr>
        <w:tab/>
      </w:r>
      <w:r w:rsidRPr="00AD423C">
        <w:rPr>
          <w:b/>
          <w:u w:val="single"/>
        </w:rPr>
        <w:t>Special circumstances</w:t>
      </w:r>
      <w:r w:rsidRPr="00AD423C">
        <w:rPr>
          <w:b/>
        </w:rPr>
        <w:t>.</w:t>
      </w:r>
    </w:p>
    <w:p w:rsidR="001069B7" w:rsidRDefault="001069B7" w14:paraId="67AD49D8" w14:textId="77777777">
      <w:pPr>
        <w:ind w:left="1440"/>
        <w:rPr>
          <w:b/>
        </w:rPr>
      </w:pPr>
    </w:p>
    <w:p w:rsidR="001069B7" w:rsidRDefault="001069B7" w14:paraId="7DF6E3AB" w14:textId="77777777">
      <w:pPr>
        <w:ind w:left="720"/>
        <w:rPr>
          <w:b/>
        </w:rPr>
      </w:pPr>
      <w:r>
        <w:t xml:space="preserve">All information collection requirements </w:t>
      </w:r>
      <w:proofErr w:type="gramStart"/>
      <w:r>
        <w:t>are in compliance with</w:t>
      </w:r>
      <w:proofErr w:type="gramEnd"/>
      <w:r>
        <w:t xml:space="preserve"> this section.</w:t>
      </w:r>
    </w:p>
    <w:p w:rsidR="001069B7" w:rsidRDefault="001069B7" w14:paraId="03890F29" w14:textId="77777777">
      <w:pPr>
        <w:rPr>
          <w:b/>
        </w:rPr>
      </w:pPr>
    </w:p>
    <w:p w:rsidR="001069B7" w:rsidP="00355B14" w:rsidRDefault="007C7FB4" w14:paraId="3C174B12" w14:textId="77777777">
      <w:pPr>
        <w:ind w:left="720" w:hanging="720"/>
        <w:rPr>
          <w:b/>
        </w:rPr>
      </w:pPr>
      <w:r w:rsidRPr="00AD423C">
        <w:rPr>
          <w:b/>
        </w:rPr>
        <w:t>8.</w:t>
      </w:r>
      <w:r w:rsidRPr="00AD423C">
        <w:rPr>
          <w:b/>
        </w:rPr>
        <w:tab/>
      </w:r>
      <w:r w:rsidRPr="00AD423C">
        <w:rPr>
          <w:b/>
          <w:u w:val="single"/>
        </w:rPr>
        <w:t>Compliance with 5 CFR 1320.8</w:t>
      </w:r>
      <w:r w:rsidRPr="00AD423C">
        <w:rPr>
          <w:b/>
        </w:rPr>
        <w:t>.</w:t>
      </w:r>
    </w:p>
    <w:p w:rsidR="001069B7" w:rsidRDefault="001069B7" w14:paraId="64A7CDB3" w14:textId="77777777">
      <w:pPr>
        <w:rPr>
          <w:b/>
        </w:rPr>
      </w:pPr>
    </w:p>
    <w:p w:rsidRPr="00D07BAF" w:rsidR="00C5033F" w:rsidP="00C5033F" w:rsidRDefault="00C5033F" w14:paraId="148B35E7" w14:textId="5FF1EBC1">
      <w:pPr>
        <w:ind w:left="720"/>
      </w:pPr>
      <w:r w:rsidRPr="00D07BAF">
        <w:t xml:space="preserve">As required by the Paperwork Reduction Act of 1995, FRA published a notice in the </w:t>
      </w:r>
      <w:r w:rsidRPr="00D07BAF">
        <w:rPr>
          <w:u w:val="single"/>
        </w:rPr>
        <w:t>Federa</w:t>
      </w:r>
      <w:r w:rsidRPr="00D07BAF">
        <w:t xml:space="preserve">l </w:t>
      </w:r>
      <w:r w:rsidRPr="00D07BAF">
        <w:rPr>
          <w:u w:val="single"/>
        </w:rPr>
        <w:t>Register</w:t>
      </w:r>
      <w:r w:rsidRPr="00D07BAF">
        <w:t xml:space="preserve"> on </w:t>
      </w:r>
      <w:r w:rsidR="009C16B1">
        <w:t>July 22</w:t>
      </w:r>
      <w:r w:rsidRPr="00D07BAF">
        <w:t xml:space="preserve">, 2020, soliciting comment on this </w:t>
      </w:r>
      <w:proofErr w:type="gramStart"/>
      <w:r w:rsidRPr="00D07BAF">
        <w:t>particular information</w:t>
      </w:r>
      <w:proofErr w:type="gramEnd"/>
      <w:r w:rsidRPr="00D07BAF">
        <w:t xml:space="preserve"> collection.</w:t>
      </w:r>
      <w:r w:rsidRPr="00B8030B">
        <w:rPr>
          <w:rStyle w:val="FootnoteReference"/>
        </w:rPr>
        <w:footnoteReference w:id="2"/>
      </w:r>
      <w:r w:rsidRPr="00D07BAF">
        <w:rPr>
          <w:i/>
        </w:rPr>
        <w:t xml:space="preserve">  </w:t>
      </w:r>
      <w:r w:rsidRPr="00D07BAF">
        <w:t xml:space="preserve">FRA received </w:t>
      </w:r>
      <w:r w:rsidRPr="00D07BAF">
        <w:rPr>
          <w:u w:val="single"/>
        </w:rPr>
        <w:t>no</w:t>
      </w:r>
      <w:r w:rsidRPr="00D07BAF">
        <w:t xml:space="preserve"> comments pertaining to this collection of information in response to this notice.</w:t>
      </w:r>
      <w:r w:rsidR="009C16B1">
        <w:t xml:space="preserve"> </w:t>
      </w:r>
    </w:p>
    <w:p w:rsidR="008F6353" w:rsidRDefault="008F6353" w14:paraId="3B9FABA5" w14:textId="77777777">
      <w:pPr>
        <w:ind w:left="720"/>
        <w:rPr>
          <w:u w:val="single"/>
        </w:rPr>
      </w:pPr>
    </w:p>
    <w:p w:rsidR="001069B7" w:rsidRDefault="007B5B95" w14:paraId="7788B2C7" w14:textId="77777777">
      <w:pPr>
        <w:ind w:left="720" w:hanging="720"/>
        <w:rPr>
          <w:b/>
        </w:rPr>
      </w:pPr>
      <w:r w:rsidRPr="00AD423C">
        <w:rPr>
          <w:b/>
        </w:rPr>
        <w:t>9.</w:t>
      </w:r>
      <w:r w:rsidRPr="00AD423C">
        <w:rPr>
          <w:b/>
        </w:rPr>
        <w:tab/>
      </w:r>
      <w:r w:rsidRPr="00AD423C">
        <w:rPr>
          <w:b/>
          <w:u w:val="single"/>
        </w:rPr>
        <w:t>Payments or gifts to respondents</w:t>
      </w:r>
      <w:r w:rsidRPr="00AD423C">
        <w:rPr>
          <w:b/>
        </w:rPr>
        <w:t>.</w:t>
      </w:r>
    </w:p>
    <w:p w:rsidR="001069B7" w:rsidRDefault="001069B7" w14:paraId="523F7454" w14:textId="77777777">
      <w:pPr>
        <w:rPr>
          <w:b/>
        </w:rPr>
      </w:pPr>
    </w:p>
    <w:p w:rsidR="001069B7" w:rsidRDefault="001069B7" w14:paraId="675E940E" w14:textId="77777777">
      <w:pPr>
        <w:ind w:left="720"/>
        <w:rPr>
          <w:b/>
        </w:rPr>
      </w:pPr>
      <w:r>
        <w:t>There are no monetary payments provided or gifts made to respondents associated with the information collection requirements contained in this regulation.</w:t>
      </w:r>
    </w:p>
    <w:p w:rsidR="001069B7" w:rsidRDefault="001069B7" w14:paraId="3262B940" w14:textId="77777777">
      <w:pPr>
        <w:rPr>
          <w:b/>
        </w:rPr>
      </w:pPr>
    </w:p>
    <w:p w:rsidR="007D08C5" w:rsidP="007D08C5" w:rsidRDefault="007D08C5" w14:paraId="10698FC3" w14:textId="77777777">
      <w:pPr>
        <w:widowControl w:val="0"/>
        <w:rPr>
          <w:b/>
        </w:rPr>
      </w:pPr>
      <w:r w:rsidRPr="00AD423C">
        <w:rPr>
          <w:b/>
        </w:rPr>
        <w:t>10.</w:t>
      </w:r>
      <w:r w:rsidRPr="00AD423C">
        <w:rPr>
          <w:b/>
        </w:rPr>
        <w:tab/>
      </w:r>
      <w:r w:rsidRPr="00AD423C">
        <w:rPr>
          <w:b/>
          <w:u w:val="single"/>
        </w:rPr>
        <w:t>Assurance of confidentiality</w:t>
      </w:r>
      <w:r w:rsidRPr="00AD423C">
        <w:rPr>
          <w:b/>
        </w:rPr>
        <w:t>.</w:t>
      </w:r>
    </w:p>
    <w:p w:rsidR="0091450D" w:rsidP="0091450D" w:rsidRDefault="0091450D" w14:paraId="3CBCF891" w14:textId="77777777">
      <w:pPr>
        <w:ind w:left="720"/>
        <w:rPr>
          <w:b/>
        </w:rPr>
      </w:pPr>
    </w:p>
    <w:p w:rsidRPr="0091450D" w:rsidR="001069B7" w:rsidP="0091450D" w:rsidRDefault="0091450D" w14:paraId="3898AC84" w14:textId="77777777">
      <w:pPr>
        <w:ind w:left="720"/>
      </w:pPr>
      <w:r w:rsidRPr="0091450D">
        <w:t>No assurances of confidentiality were made by FRA.  Information collected is not of a private nature.</w:t>
      </w:r>
    </w:p>
    <w:p w:rsidR="001069B7" w:rsidRDefault="001069B7" w14:paraId="541F15A0" w14:textId="77777777">
      <w:pPr>
        <w:rPr>
          <w:b/>
        </w:rPr>
      </w:pPr>
    </w:p>
    <w:p w:rsidR="001069B7" w:rsidRDefault="00402501" w14:paraId="478D7484" w14:textId="77777777">
      <w:pPr>
        <w:ind w:left="720" w:hanging="720"/>
        <w:rPr>
          <w:b/>
        </w:rPr>
      </w:pPr>
      <w:r w:rsidRPr="00AD423C">
        <w:rPr>
          <w:b/>
        </w:rPr>
        <w:t>11.</w:t>
      </w:r>
      <w:r w:rsidRPr="00AD423C">
        <w:rPr>
          <w:b/>
        </w:rPr>
        <w:tab/>
      </w:r>
      <w:r w:rsidRPr="00AD423C">
        <w:rPr>
          <w:b/>
          <w:u w:val="single"/>
        </w:rPr>
        <w:t>Justification for any questions of a sensitive nature</w:t>
      </w:r>
      <w:r w:rsidRPr="00AD423C">
        <w:rPr>
          <w:b/>
        </w:rPr>
        <w:t>.</w:t>
      </w:r>
    </w:p>
    <w:p w:rsidR="001069B7" w:rsidRDefault="001069B7" w14:paraId="18BBBA2E" w14:textId="77777777">
      <w:pPr>
        <w:rPr>
          <w:b/>
        </w:rPr>
      </w:pPr>
    </w:p>
    <w:p w:rsidR="001069B7" w:rsidRDefault="001069B7" w14:paraId="74E24276" w14:textId="77777777">
      <w:pPr>
        <w:ind w:left="720"/>
      </w:pPr>
      <w:r>
        <w:t>There are no questions or information of a sensitive nature, or data that would normally be considered private matters contained in this collection of information.</w:t>
      </w:r>
    </w:p>
    <w:p w:rsidR="00F501B1" w:rsidP="004B2288" w:rsidRDefault="00F501B1" w14:paraId="271C9B36" w14:textId="77777777"/>
    <w:p w:rsidR="005B00D0" w:rsidP="001A35CF" w:rsidRDefault="005B00D0" w14:paraId="0F7B214A" w14:textId="77777777">
      <w:pPr>
        <w:ind w:left="720" w:hanging="720"/>
        <w:rPr>
          <w:b/>
          <w:bCs/>
        </w:rPr>
      </w:pPr>
      <w:r w:rsidRPr="00AD423C">
        <w:rPr>
          <w:b/>
          <w:bCs/>
        </w:rPr>
        <w:t>12.        </w:t>
      </w:r>
      <w:r w:rsidRPr="00AD423C">
        <w:rPr>
          <w:b/>
          <w:bCs/>
          <w:u w:val="single"/>
        </w:rPr>
        <w:t>Estimate of burden hours for information collected</w:t>
      </w:r>
      <w:r w:rsidRPr="00AD423C">
        <w:rPr>
          <w:b/>
          <w:bCs/>
        </w:rPr>
        <w:t>.</w:t>
      </w:r>
    </w:p>
    <w:p w:rsidR="004B2288" w:rsidP="001A35CF" w:rsidRDefault="004B2288" w14:paraId="01B8CFFB" w14:textId="77777777">
      <w:pPr>
        <w:ind w:left="720" w:hanging="720"/>
      </w:pPr>
    </w:p>
    <w:p w:rsidR="004B2288" w:rsidP="004B2288" w:rsidRDefault="004B2288" w14:paraId="2A0F7739" w14:textId="77777777">
      <w:pPr>
        <w:ind w:left="720"/>
        <w:rPr>
          <w:bCs/>
        </w:rPr>
      </w:pPr>
      <w:r>
        <w:rPr>
          <w:bCs/>
        </w:rPr>
        <w:t>The</w:t>
      </w:r>
      <w:r w:rsidRPr="00667DDF">
        <w:rPr>
          <w:bCs/>
        </w:rPr>
        <w:t xml:space="preserve"> estimates for the respondent universe, annual responses, and average time per responses are based on the experience and expertise of FRA’s </w:t>
      </w:r>
      <w:r>
        <w:rPr>
          <w:bCs/>
        </w:rPr>
        <w:t xml:space="preserve">Office of Railroad Infrastructure and </w:t>
      </w:r>
      <w:r w:rsidRPr="003B478C">
        <w:rPr>
          <w:bCs/>
        </w:rPr>
        <w:t>Mechanical</w:t>
      </w:r>
      <w:r>
        <w:rPr>
          <w:bCs/>
        </w:rPr>
        <w:t xml:space="preserve"> Equipment</w:t>
      </w:r>
      <w:r w:rsidRPr="00667DDF">
        <w:rPr>
          <w:bCs/>
        </w:rPr>
        <w:t>.</w:t>
      </w:r>
      <w:r>
        <w:rPr>
          <w:bCs/>
        </w:rPr>
        <w:t xml:space="preserve">  </w:t>
      </w:r>
    </w:p>
    <w:p w:rsidR="004B2288" w:rsidP="004B2288" w:rsidRDefault="004B2288" w14:paraId="2E5D918A" w14:textId="77777777">
      <w:pPr>
        <w:ind w:left="720"/>
        <w:rPr>
          <w:bCs/>
        </w:rPr>
      </w:pPr>
    </w:p>
    <w:p w:rsidRPr="003730FE" w:rsidR="004B2288" w:rsidP="004B2288" w:rsidRDefault="004B2288" w14:paraId="56A51EB8" w14:textId="77777777">
      <w:pPr>
        <w:ind w:left="720"/>
      </w:pPr>
      <w:r w:rsidRPr="003730FE">
        <w:t>The number of United States retro-reflective manufacture</w:t>
      </w:r>
      <w:r>
        <w:t>rs is estimated at two</w:t>
      </w:r>
      <w:r w:rsidRPr="003730FE">
        <w:t>.  Both make retro-reflective material that complies with FRA’s regulation.  According to the Association of American Railroads (AAR) publication Railroad Facts (2019), the number of freight cars in the United States is 1</w:t>
      </w:r>
      <w:r>
        <w:t>,</w:t>
      </w:r>
      <w:r w:rsidRPr="003730FE">
        <w:t>669</w:t>
      </w:r>
      <w:r>
        <w:t>,</w:t>
      </w:r>
      <w:r w:rsidRPr="003730FE">
        <w:t>000, while the number of locomotives is 26,086.</w:t>
      </w:r>
    </w:p>
    <w:p w:rsidR="004B2288" w:rsidP="004B2288" w:rsidRDefault="004B2288" w14:paraId="17984C8B" w14:textId="77777777">
      <w:pPr>
        <w:ind w:left="720"/>
        <w:rPr>
          <w:bCs/>
        </w:rPr>
      </w:pPr>
    </w:p>
    <w:p w:rsidR="004B2288" w:rsidP="004B2288" w:rsidRDefault="004B2288" w14:paraId="48BD1FDA" w14:textId="77777777">
      <w:pPr>
        <w:ind w:left="720"/>
        <w:rPr>
          <w:bCs/>
        </w:rPr>
      </w:pPr>
      <w:r w:rsidRPr="00667DDF">
        <w:rPr>
          <w:bCs/>
        </w:rPr>
        <w:t xml:space="preserve">FRA is including the dollar equivalent cost for each of the itemized hours below using </w:t>
      </w:r>
      <w:r>
        <w:rPr>
          <w:bCs/>
        </w:rPr>
        <w:t>STB’s</w:t>
      </w:r>
      <w:r w:rsidRPr="00667DDF">
        <w:rPr>
          <w:bCs/>
        </w:rPr>
        <w:t xml:space="preserve"> Full-Year Wage A&amp;B data series as the basis for each cost calculation.  For professional and administrative st</w:t>
      </w:r>
      <w:r>
        <w:rPr>
          <w:bCs/>
        </w:rPr>
        <w:t>aff, the hourly wage rate is $77</w:t>
      </w:r>
      <w:r w:rsidRPr="00667DDF">
        <w:rPr>
          <w:bCs/>
        </w:rPr>
        <w:t xml:space="preserve"> per hour ($</w:t>
      </w:r>
      <w:r>
        <w:rPr>
          <w:bCs/>
        </w:rPr>
        <w:t>44.2</w:t>
      </w:r>
      <w:r w:rsidRPr="00667DDF">
        <w:rPr>
          <w:bCs/>
        </w:rPr>
        <w:t>7 * 1.75 = $</w:t>
      </w:r>
      <w:r>
        <w:rPr>
          <w:bCs/>
        </w:rPr>
        <w:t>77</w:t>
      </w:r>
      <w:r w:rsidRPr="00667DDF">
        <w:rPr>
          <w:bCs/>
        </w:rPr>
        <w:t xml:space="preserve">).  </w:t>
      </w:r>
      <w:r w:rsidRPr="003730FE">
        <w:rPr>
          <w:bCs/>
        </w:rPr>
        <w:t>For maintenance of equipment and stores, the hourly wage rate is $61</w:t>
      </w:r>
      <w:r>
        <w:rPr>
          <w:bCs/>
        </w:rPr>
        <w:t xml:space="preserve"> (</w:t>
      </w:r>
      <w:r w:rsidRPr="003730FE">
        <w:rPr>
          <w:bCs/>
        </w:rPr>
        <w:t>$33.37</w:t>
      </w:r>
      <w:r>
        <w:rPr>
          <w:bCs/>
        </w:rPr>
        <w:t xml:space="preserve"> * 1.75)</w:t>
      </w:r>
      <w:r w:rsidRPr="003730FE">
        <w:rPr>
          <w:bCs/>
        </w:rPr>
        <w:t>.</w:t>
      </w:r>
    </w:p>
    <w:p w:rsidR="004B2288" w:rsidP="004B2288" w:rsidRDefault="004B2288" w14:paraId="1A7BC03F" w14:textId="77777777">
      <w:pPr>
        <w:ind w:left="720"/>
        <w:rPr>
          <w:i/>
        </w:rPr>
      </w:pPr>
    </w:p>
    <w:p w:rsidR="004B2288" w:rsidP="004B2288" w:rsidRDefault="004B2288" w14:paraId="188AE065" w14:textId="77777777">
      <w:pPr>
        <w:ind w:left="720"/>
      </w:pPr>
      <w:r>
        <w:rPr>
          <w:b/>
        </w:rPr>
        <w:t xml:space="preserve">§ 224.7 Waivers </w:t>
      </w:r>
    </w:p>
    <w:p w:rsidR="004B2288" w:rsidP="004B2288" w:rsidRDefault="004B2288" w14:paraId="22CF3C50" w14:textId="77777777"/>
    <w:p w:rsidR="004B2288" w:rsidP="004B2288" w:rsidRDefault="004B2288" w14:paraId="034996B1" w14:textId="77777777">
      <w:pPr>
        <w:ind w:left="720"/>
      </w:pPr>
      <w:r>
        <w:t>Any person subject to a requirement of this Part may petition the Administrator for a waiver of compliance with such a requirement.  The filing of such a petition does not affect that person’s responsibility for compliance with that requirement while the petition is being considered.  Each petition for waiver under this section must be filed in the manner and contain the information required by Part 211 of this chapter.</w:t>
      </w:r>
    </w:p>
    <w:p w:rsidR="004B2288" w:rsidP="004B2288" w:rsidRDefault="004B2288" w14:paraId="3926BEAC" w14:textId="77777777"/>
    <w:p w:rsidR="004B2288" w:rsidP="004B2288" w:rsidRDefault="004B2288" w14:paraId="1E6D9312" w14:textId="77777777">
      <w:pPr>
        <w:ind w:left="720"/>
      </w:pPr>
      <w:r>
        <w:t xml:space="preserve">FRA estimates that approximately 10 waiver petitions will be filed by railroads/car owners each year under the above requirement.  It is estimated that it will take </w:t>
      </w:r>
      <w:r>
        <w:lastRenderedPageBreak/>
        <w:t>approximately eight (8) hours to complete each waiver petition and send it to FRA.  Total annual burden for this requirement is 80 hours.</w:t>
      </w:r>
    </w:p>
    <w:p w:rsidR="004B2288" w:rsidP="004B2288" w:rsidRDefault="004B2288" w14:paraId="6CAFE810" w14:textId="77777777"/>
    <w:p w:rsidR="004B2288" w:rsidP="004B2288" w:rsidRDefault="004B2288" w14:paraId="33669570" w14:textId="77777777">
      <w:pPr>
        <w:ind w:left="720" w:firstLine="720"/>
      </w:pPr>
      <w:r>
        <w:t>Respondent Universe:</w:t>
      </w:r>
      <w:r>
        <w:tab/>
      </w:r>
      <w:r>
        <w:tab/>
      </w:r>
      <w:r>
        <w:tab/>
        <w:t xml:space="preserve">746 Railroads/Freight Rolling Stock Owners </w:t>
      </w:r>
    </w:p>
    <w:p w:rsidR="004B2288" w:rsidP="004B2288" w:rsidRDefault="004B2288" w14:paraId="017FCB9F" w14:textId="77777777">
      <w:pPr>
        <w:ind w:left="720" w:firstLine="720"/>
      </w:pPr>
      <w:r>
        <w:t xml:space="preserve">Burden time per response: </w:t>
      </w:r>
      <w:r>
        <w:tab/>
      </w:r>
      <w:r>
        <w:tab/>
        <w:t xml:space="preserve">8 hours    </w:t>
      </w:r>
    </w:p>
    <w:p w:rsidR="004B2288" w:rsidP="004B2288" w:rsidRDefault="004B2288" w14:paraId="1EB355C0" w14:textId="77777777">
      <w:pPr>
        <w:ind w:left="720" w:firstLine="720"/>
      </w:pPr>
      <w:r>
        <w:t>Frequency of Response:</w:t>
      </w:r>
      <w:r>
        <w:tab/>
      </w:r>
      <w:r>
        <w:tab/>
        <w:t>On occasion</w:t>
      </w:r>
    </w:p>
    <w:p w:rsidR="004B2288" w:rsidP="004B2288" w:rsidRDefault="004B2288" w14:paraId="60ED6910" w14:textId="77777777">
      <w:pPr>
        <w:ind w:left="720" w:firstLine="720"/>
      </w:pPr>
      <w:r>
        <w:t>Annual number of Responses:</w:t>
      </w:r>
      <w:r>
        <w:tab/>
        <w:t>10 waiver petitions</w:t>
      </w:r>
    </w:p>
    <w:p w:rsidR="004B2288" w:rsidP="004B2288" w:rsidRDefault="004B2288" w14:paraId="0EE466A4" w14:textId="77777777">
      <w:pPr>
        <w:ind w:left="720" w:firstLine="720"/>
      </w:pPr>
      <w:r>
        <w:t xml:space="preserve">Annual Burden: </w:t>
      </w:r>
      <w:r>
        <w:tab/>
      </w:r>
      <w:r>
        <w:tab/>
      </w:r>
      <w:r>
        <w:tab/>
        <w:t>80 hours</w:t>
      </w:r>
    </w:p>
    <w:p w:rsidR="004B2288" w:rsidP="004B2288" w:rsidRDefault="004B2288" w14:paraId="6B4258DF" w14:textId="77777777">
      <w:r>
        <w:tab/>
      </w:r>
      <w:r>
        <w:tab/>
        <w:t>Annual Cost:</w:t>
      </w:r>
      <w:r>
        <w:tab/>
      </w:r>
      <w:r>
        <w:tab/>
      </w:r>
      <w:r>
        <w:tab/>
      </w:r>
      <w:r>
        <w:tab/>
      </w:r>
      <w:r w:rsidRPr="00E67FED">
        <w:t xml:space="preserve">$6,160 </w:t>
      </w:r>
      <w:r>
        <w:t xml:space="preserve">($77 x 80 </w:t>
      </w:r>
      <w:r w:rsidR="00A2126D">
        <w:t>hours</w:t>
      </w:r>
      <w:r>
        <w:t>)</w:t>
      </w:r>
    </w:p>
    <w:p w:rsidRPr="004B2288" w:rsidR="004B2288" w:rsidP="004B2288" w:rsidRDefault="004B2288" w14:paraId="6B586529" w14:textId="77777777">
      <w:pPr>
        <w:ind w:left="3600" w:hanging="1440"/>
        <w:rPr>
          <w:u w:val="single"/>
        </w:rPr>
      </w:pPr>
    </w:p>
    <w:p w:rsidR="004B2288" w:rsidP="004B2288" w:rsidRDefault="004B2288" w14:paraId="392DC35E" w14:textId="77777777">
      <w:pPr>
        <w:ind w:left="720" w:firstLine="720"/>
      </w:pPr>
      <w:r w:rsidRPr="004B2288">
        <w:rPr>
          <w:u w:val="single"/>
        </w:rPr>
        <w:t>Calculation</w:t>
      </w:r>
      <w:r w:rsidRPr="004B2288">
        <w:t>:</w:t>
      </w:r>
      <w:r w:rsidRPr="004B2288">
        <w:tab/>
      </w:r>
      <w:r>
        <w:t xml:space="preserve">10 waiver petitions x 8 </w:t>
      </w:r>
      <w:r w:rsidR="00A2126D">
        <w:t>hours</w:t>
      </w:r>
      <w:r>
        <w:t xml:space="preserve"> = 80 hours</w:t>
      </w:r>
    </w:p>
    <w:p w:rsidR="004B2288" w:rsidP="004B2288" w:rsidRDefault="004B2288" w14:paraId="2BACAF29" w14:textId="77777777"/>
    <w:p w:rsidR="004B2288" w:rsidP="004B2288" w:rsidRDefault="004B2288" w14:paraId="1AC892B6" w14:textId="77777777">
      <w:pPr>
        <w:ind w:left="720"/>
      </w:pPr>
      <w:r>
        <w:rPr>
          <w:b/>
        </w:rPr>
        <w:t>§ 224.15 Special Approval Procedures</w:t>
      </w:r>
      <w:r>
        <w:rPr>
          <w:rStyle w:val="FootnoteReference"/>
          <w:b/>
        </w:rPr>
        <w:footnoteReference w:id="3"/>
      </w:r>
    </w:p>
    <w:p w:rsidR="004B2288" w:rsidP="004B2288" w:rsidRDefault="004B2288" w14:paraId="1BB1094A" w14:textId="77777777"/>
    <w:p w:rsidR="004B2288" w:rsidP="004B2288" w:rsidRDefault="004B2288" w14:paraId="71BE260F" w14:textId="77777777">
      <w:pPr>
        <w:ind w:left="720"/>
      </w:pPr>
      <w:r>
        <w:t xml:space="preserve">(b) </w:t>
      </w:r>
      <w:r>
        <w:rPr>
          <w:u w:val="single"/>
        </w:rPr>
        <w:t>Petitions</w:t>
      </w:r>
      <w:r>
        <w:t>. Each petition for special approval of an alternative standard must contain the following: (</w:t>
      </w:r>
      <w:proofErr w:type="spellStart"/>
      <w:r>
        <w:t>i</w:t>
      </w:r>
      <w:proofErr w:type="spellEnd"/>
      <w:r>
        <w:t xml:space="preserve">) The name, title, address, and telephone number of the primary person to be contacted </w:t>
      </w:r>
      <w:proofErr w:type="gramStart"/>
      <w:r>
        <w:t>with regard to</w:t>
      </w:r>
      <w:proofErr w:type="gramEnd"/>
      <w:r>
        <w:t xml:space="preserve"> the petition; (ii) The alternative proposed, in detail, to be substituted for the particular requirements of this Part; and (iii) Appropriate data and analysis establishing that the alternative will provide at least an equivalent level of safety and meet the requirements of § 224.103(e).</w:t>
      </w:r>
    </w:p>
    <w:p w:rsidR="004B2288" w:rsidP="004B2288" w:rsidRDefault="004B2288" w14:paraId="26C706E9" w14:textId="77777777">
      <w:pPr>
        <w:ind w:left="720"/>
      </w:pPr>
      <w:r>
        <w:t xml:space="preserve">  </w:t>
      </w:r>
    </w:p>
    <w:p w:rsidR="004B2288" w:rsidP="004B2288" w:rsidRDefault="004B2288" w14:paraId="3C60DD0E" w14:textId="77777777">
      <w:pPr>
        <w:ind w:left="720"/>
      </w:pPr>
      <w:r>
        <w:t>Each petition for special approval of an alternative standard must be submitted to the Docket Clerk, Office of Chief Counsel, Federal Railroad Administration, RCC-10, Mail Stop-10, 1200 New Jersey Avenue, SE, Washington, D.C. 20590.</w:t>
      </w:r>
    </w:p>
    <w:p w:rsidR="004B2288" w:rsidP="004B2288" w:rsidRDefault="004B2288" w14:paraId="6B0D35B4" w14:textId="77777777"/>
    <w:p w:rsidR="004B2288" w:rsidP="004B2288" w:rsidRDefault="004B2288" w14:paraId="74D22F80" w14:textId="6928B2FF">
      <w:pPr>
        <w:ind w:left="720"/>
      </w:pPr>
      <w:r>
        <w:t xml:space="preserve">FRA estimates that approximately </w:t>
      </w:r>
      <w:r w:rsidR="00854707">
        <w:t xml:space="preserve">two </w:t>
      </w:r>
      <w:r>
        <w:t>(</w:t>
      </w:r>
      <w:r w:rsidR="00854707">
        <w:t>2</w:t>
      </w:r>
      <w:r>
        <w:t xml:space="preserve">) petitions for special approval of an alternative standard will be filed each year under the above requirement.  It is estimated that it will take approximately 40 hours to complete each petition for special approval.  Total annual burden for this requirement is 240 hours. </w:t>
      </w:r>
    </w:p>
    <w:p w:rsidR="004B2288" w:rsidP="004B2288" w:rsidRDefault="004B2288" w14:paraId="3E753E1B" w14:textId="77777777"/>
    <w:p w:rsidR="004B2288" w:rsidP="00A2126D" w:rsidRDefault="004B2288" w14:paraId="32DC6E59" w14:textId="77777777">
      <w:pPr>
        <w:ind w:left="720" w:firstLine="720"/>
      </w:pPr>
      <w:r>
        <w:t>Respondent Universe:</w:t>
      </w:r>
      <w:r>
        <w:tab/>
      </w:r>
      <w:r w:rsidR="00A2126D">
        <w:tab/>
      </w:r>
      <w:r w:rsidR="00A2126D">
        <w:tab/>
      </w:r>
      <w:r>
        <w:t>2 Manufacturers</w:t>
      </w:r>
    </w:p>
    <w:p w:rsidR="004B2288" w:rsidP="00A2126D" w:rsidRDefault="004B2288" w14:paraId="4D820C52" w14:textId="77777777">
      <w:pPr>
        <w:ind w:left="720" w:firstLine="720"/>
      </w:pPr>
      <w:r>
        <w:t xml:space="preserve">Burden time per response: </w:t>
      </w:r>
      <w:r>
        <w:tab/>
      </w:r>
      <w:r w:rsidR="00A2126D">
        <w:tab/>
      </w:r>
      <w:r>
        <w:t>40 hours</w:t>
      </w:r>
    </w:p>
    <w:p w:rsidR="004B2288" w:rsidP="00A2126D" w:rsidRDefault="004B2288" w14:paraId="111F8447" w14:textId="77777777">
      <w:pPr>
        <w:ind w:left="720" w:firstLine="720"/>
      </w:pPr>
      <w:r>
        <w:t>Frequency of Response:</w:t>
      </w:r>
      <w:r>
        <w:tab/>
      </w:r>
      <w:r w:rsidR="00A2126D">
        <w:tab/>
      </w:r>
      <w:r>
        <w:t>On occasion</w:t>
      </w:r>
    </w:p>
    <w:p w:rsidR="004B2288" w:rsidP="00A2126D" w:rsidRDefault="004B2288" w14:paraId="01224D25" w14:textId="77777777">
      <w:pPr>
        <w:ind w:left="720" w:firstLine="720"/>
      </w:pPr>
      <w:r>
        <w:t>Annual number of Responses:</w:t>
      </w:r>
      <w:r>
        <w:tab/>
        <w:t>2 petitions for special approval</w:t>
      </w:r>
    </w:p>
    <w:p w:rsidR="004B2288" w:rsidP="00A2126D" w:rsidRDefault="004B2288" w14:paraId="1BF64482" w14:textId="77777777">
      <w:pPr>
        <w:ind w:left="720" w:firstLine="720"/>
      </w:pPr>
      <w:r>
        <w:t xml:space="preserve">Annual Burden: </w:t>
      </w:r>
      <w:r>
        <w:tab/>
      </w:r>
      <w:r w:rsidR="00A2126D">
        <w:tab/>
      </w:r>
      <w:r w:rsidR="00A2126D">
        <w:tab/>
      </w:r>
      <w:r>
        <w:t>80 hours</w:t>
      </w:r>
    </w:p>
    <w:p w:rsidR="004B2288" w:rsidP="00A2126D" w:rsidRDefault="004B2288" w14:paraId="51AEEE51" w14:textId="77777777">
      <w:pPr>
        <w:ind w:left="720" w:firstLine="720"/>
      </w:pPr>
      <w:r>
        <w:t>Annual Cost:</w:t>
      </w:r>
      <w:r>
        <w:tab/>
      </w:r>
      <w:r w:rsidR="00A2126D">
        <w:tab/>
      </w:r>
      <w:r w:rsidR="00A2126D">
        <w:tab/>
      </w:r>
      <w:r w:rsidR="00A2126D">
        <w:tab/>
      </w:r>
      <w:r>
        <w:t xml:space="preserve">$6,160 ($77 x 80 </w:t>
      </w:r>
      <w:r w:rsidR="00A2126D">
        <w:t>hours</w:t>
      </w:r>
      <w:r>
        <w:t>)</w:t>
      </w:r>
    </w:p>
    <w:p w:rsidR="004B2288" w:rsidP="004B2288" w:rsidRDefault="004B2288" w14:paraId="3EF97C85" w14:textId="77777777">
      <w:pPr>
        <w:ind w:left="5760" w:hanging="3600"/>
      </w:pPr>
    </w:p>
    <w:p w:rsidR="004B2288" w:rsidP="00A2126D" w:rsidRDefault="004B2288" w14:paraId="042AC972" w14:textId="77777777">
      <w:pPr>
        <w:ind w:left="720" w:firstLine="720"/>
      </w:pPr>
      <w:r w:rsidRPr="00A2126D">
        <w:rPr>
          <w:u w:val="single"/>
        </w:rPr>
        <w:t>Calculation</w:t>
      </w:r>
      <w:r w:rsidRPr="00A2126D">
        <w:t>:</w:t>
      </w:r>
      <w:r w:rsidRPr="00A2126D">
        <w:tab/>
      </w:r>
      <w:r>
        <w:t xml:space="preserve">2 petitions for special approval x 40 </w:t>
      </w:r>
      <w:r w:rsidR="00A2126D">
        <w:t>hours</w:t>
      </w:r>
      <w:r>
        <w:t xml:space="preserve"> = 80 hours</w:t>
      </w:r>
    </w:p>
    <w:p w:rsidR="004B2288" w:rsidP="004B2288" w:rsidRDefault="004B2288" w14:paraId="787EC6B2" w14:textId="77777777">
      <w:pPr>
        <w:ind w:left="720"/>
      </w:pPr>
      <w:r>
        <w:tab/>
      </w:r>
      <w:r>
        <w:tab/>
      </w:r>
      <w:r>
        <w:tab/>
      </w:r>
      <w:r>
        <w:tab/>
      </w:r>
      <w:r>
        <w:tab/>
      </w:r>
      <w:r>
        <w:tab/>
      </w:r>
      <w:r>
        <w:tab/>
      </w:r>
      <w:r>
        <w:tab/>
      </w:r>
    </w:p>
    <w:p w:rsidRPr="00976E1A" w:rsidR="004B2288" w:rsidP="004B2288" w:rsidRDefault="004B2288" w14:paraId="329981EB" w14:textId="77777777">
      <w:pPr>
        <w:ind w:left="720"/>
      </w:pPr>
      <w:r>
        <w:t>(d)</w:t>
      </w:r>
      <w:r w:rsidRPr="00976E1A">
        <w:t xml:space="preserve"> </w:t>
      </w:r>
      <w:r w:rsidRPr="00976E1A">
        <w:rPr>
          <w:u w:val="single"/>
        </w:rPr>
        <w:t>Public comment</w:t>
      </w:r>
      <w:r w:rsidRPr="00976E1A">
        <w:t xml:space="preserve">. FRA will provide a period of not less than 30 days from the date of publication of the notice in the </w:t>
      </w:r>
      <w:r w:rsidRPr="00976E1A">
        <w:rPr>
          <w:u w:val="single"/>
        </w:rPr>
        <w:t>Federal</w:t>
      </w:r>
      <w:r w:rsidRPr="00976E1A">
        <w:t xml:space="preserve"> </w:t>
      </w:r>
      <w:r w:rsidRPr="00976E1A">
        <w:rPr>
          <w:u w:val="single"/>
        </w:rPr>
        <w:t>Register</w:t>
      </w:r>
      <w:r w:rsidRPr="00976E1A">
        <w:t xml:space="preserve"> during which any person may comment on the petition. </w:t>
      </w:r>
    </w:p>
    <w:p w:rsidR="004B2288" w:rsidP="004B2288" w:rsidRDefault="004B2288" w14:paraId="4619D389" w14:textId="77777777">
      <w:pPr>
        <w:rPr>
          <w:color w:val="0000FF"/>
          <w:u w:val="single"/>
        </w:rPr>
      </w:pPr>
      <w:r w:rsidRPr="00976E1A">
        <w:lastRenderedPageBreak/>
        <w:tab/>
      </w:r>
    </w:p>
    <w:p w:rsidRPr="00976E1A" w:rsidR="004B2288" w:rsidP="004B2288" w:rsidRDefault="004B2288" w14:paraId="67D50D54" w14:textId="77777777">
      <w:pPr>
        <w:ind w:left="720"/>
      </w:pPr>
      <w:r w:rsidRPr="00076396">
        <w:rPr>
          <w:i/>
        </w:rPr>
        <w:t>FRA e</w:t>
      </w:r>
      <w:r>
        <w:rPr>
          <w:i/>
        </w:rPr>
        <w:t>stimates that zero comments will be received.</w:t>
      </w:r>
      <w:r w:rsidRPr="00076396">
        <w:rPr>
          <w:i/>
        </w:rPr>
        <w:t xml:space="preserve"> Consequently, there is no burden associated with the above requirement</w:t>
      </w:r>
    </w:p>
    <w:p w:rsidR="004B2288" w:rsidP="004B2288" w:rsidRDefault="004B2288" w14:paraId="736D3232" w14:textId="77777777">
      <w:pPr>
        <w:ind w:left="3600" w:hanging="1440"/>
      </w:pPr>
    </w:p>
    <w:p w:rsidR="004B2288" w:rsidP="004B2288" w:rsidRDefault="004B2288" w14:paraId="3F2B8A78" w14:textId="77777777">
      <w:pPr>
        <w:ind w:left="720" w:hanging="720"/>
      </w:pPr>
      <w:r>
        <w:t xml:space="preserve">   </w:t>
      </w:r>
      <w:r>
        <w:tab/>
        <w:t>(d)(3) In the event FRA determines that it requires additional information to appropriately consider the petition, FRA will conduct a hearing on the petition in accordance with the procedures provided in § 211.25 of this chapter.</w:t>
      </w:r>
    </w:p>
    <w:p w:rsidR="004B2288" w:rsidP="004B2288" w:rsidRDefault="004B2288" w14:paraId="046C036D" w14:textId="77777777">
      <w:pPr>
        <w:ind w:left="720" w:hanging="720"/>
      </w:pPr>
      <w:r>
        <w:tab/>
      </w:r>
      <w:r>
        <w:tab/>
      </w:r>
      <w:r>
        <w:tab/>
      </w:r>
      <w:r>
        <w:tab/>
      </w:r>
      <w:r>
        <w:tab/>
      </w:r>
    </w:p>
    <w:p w:rsidR="004B2288" w:rsidP="004B2288" w:rsidRDefault="004B2288" w14:paraId="3ECC1A4E" w14:textId="77777777">
      <w:pPr>
        <w:ind w:left="720"/>
        <w:rPr>
          <w:i/>
        </w:rPr>
      </w:pPr>
      <w:r>
        <w:rPr>
          <w:i/>
        </w:rPr>
        <w:t>FRA does not believe that it will not need any additional information to consider any submitted petitions and thus will not need to conduct a hearing on any of these petition under the above requirement.  Consequently, there is no burden associated with this provision.</w:t>
      </w:r>
    </w:p>
    <w:p w:rsidR="004B2288" w:rsidP="004B2288" w:rsidRDefault="004B2288" w14:paraId="3719F488" w14:textId="77777777">
      <w:pPr>
        <w:rPr>
          <w:i/>
        </w:rPr>
      </w:pPr>
    </w:p>
    <w:p w:rsidR="004B2288" w:rsidP="004B2288" w:rsidRDefault="004B2288" w14:paraId="79C6E935" w14:textId="77777777">
      <w:pPr>
        <w:ind w:left="720"/>
      </w:pPr>
      <w:r>
        <w:t xml:space="preserve">Total annual burden for this entire requirement is 160 hours (80 + 80).  </w:t>
      </w:r>
    </w:p>
    <w:p w:rsidR="004B2288" w:rsidP="004B2288" w:rsidRDefault="004B2288" w14:paraId="5EED945B" w14:textId="77777777">
      <w:pPr>
        <w:rPr>
          <w:b/>
        </w:rPr>
      </w:pPr>
    </w:p>
    <w:p w:rsidR="004B2288" w:rsidP="004B2288" w:rsidRDefault="004B2288" w14:paraId="5B615BDF" w14:textId="77777777">
      <w:pPr>
        <w:ind w:left="720"/>
      </w:pPr>
      <w:r>
        <w:rPr>
          <w:b/>
        </w:rPr>
        <w:t>§ 224.103 Characteristics of Retroreflective Sheeting</w:t>
      </w:r>
    </w:p>
    <w:p w:rsidR="004B2288" w:rsidP="004B2288" w:rsidRDefault="004B2288" w14:paraId="410E5AAB" w14:textId="77777777"/>
    <w:p w:rsidR="004B2288" w:rsidP="004B2288" w:rsidRDefault="004B2288" w14:paraId="5EB93819" w14:textId="77777777">
      <w:pPr>
        <w:ind w:left="720"/>
      </w:pPr>
      <w:r w:rsidRPr="003730FE">
        <w:t xml:space="preserve">(a) </w:t>
      </w:r>
      <w:r w:rsidRPr="006879A6">
        <w:rPr>
          <w:u w:val="single"/>
        </w:rPr>
        <w:t>Certification</w:t>
      </w:r>
      <w:r>
        <w:t>. The characters “FRA-224", constituting the manufacturer’s certification that the retroreflective sheeting conforms to the requirements of paragraphs (a) through (c) of this section, must appear at least once on the exposed surface of each piece of sheeting in the final application.  The characters must be a minimum of three millimeters high, and must be permanently stamped, etched, molded, or printed within the product, and each certification must be spaced no more than four inches apart.</w:t>
      </w:r>
    </w:p>
    <w:p w:rsidR="004B2288" w:rsidP="004B2288" w:rsidRDefault="004B2288" w14:paraId="02A9F918" w14:textId="77777777">
      <w:pPr>
        <w:ind w:left="720"/>
      </w:pPr>
    </w:p>
    <w:p w:rsidRPr="00E67FED" w:rsidR="004B2288" w:rsidP="004B2288" w:rsidRDefault="004B2288" w14:paraId="4DC5B14F" w14:textId="77777777">
      <w:pPr>
        <w:ind w:left="720"/>
        <w:rPr>
          <w:i/>
        </w:rPr>
      </w:pPr>
      <w:r>
        <w:rPr>
          <w:i/>
        </w:rPr>
        <w:t>T</w:t>
      </w:r>
      <w:r w:rsidRPr="00E67FED">
        <w:rPr>
          <w:i/>
        </w:rPr>
        <w:t>here is zero burde</w:t>
      </w:r>
      <w:r>
        <w:rPr>
          <w:i/>
        </w:rPr>
        <w:t xml:space="preserve">n involved in this requirement because it takes the </w:t>
      </w:r>
      <w:r w:rsidRPr="00E67FED">
        <w:rPr>
          <w:i/>
        </w:rPr>
        <w:t>manufacturers the same amount of time to make the sheeting with or</w:t>
      </w:r>
      <w:r>
        <w:rPr>
          <w:i/>
        </w:rPr>
        <w:t xml:space="preserve"> </w:t>
      </w:r>
      <w:r w:rsidRPr="00E67FED">
        <w:rPr>
          <w:i/>
        </w:rPr>
        <w:t>without the characters stipulated above.  Additionally, there is no cost</w:t>
      </w:r>
      <w:r>
        <w:rPr>
          <w:i/>
        </w:rPr>
        <w:t xml:space="preserve"> </w:t>
      </w:r>
      <w:r w:rsidRPr="00E67FED">
        <w:rPr>
          <w:i/>
        </w:rPr>
        <w:t>involved regarding the above requiremen</w:t>
      </w:r>
      <w:r>
        <w:rPr>
          <w:i/>
        </w:rPr>
        <w:t xml:space="preserve">t because the cost for stamping, etching, </w:t>
      </w:r>
      <w:r w:rsidRPr="00E67FED">
        <w:rPr>
          <w:i/>
        </w:rPr>
        <w:t>molding</w:t>
      </w:r>
      <w:r>
        <w:rPr>
          <w:i/>
        </w:rPr>
        <w:t xml:space="preserve"> or </w:t>
      </w:r>
      <w:r w:rsidRPr="00E67FED">
        <w:rPr>
          <w:i/>
        </w:rPr>
        <w:t xml:space="preserve">printing is included as part of the manufacturing process.  </w:t>
      </w:r>
    </w:p>
    <w:p w:rsidR="004B2288" w:rsidP="004B2288" w:rsidRDefault="004B2288" w14:paraId="34300842" w14:textId="77777777"/>
    <w:p w:rsidR="004B2288" w:rsidP="004B2288" w:rsidRDefault="004B2288" w14:paraId="31B98D51" w14:textId="77777777">
      <w:pPr>
        <w:ind w:left="720"/>
        <w:rPr>
          <w:b/>
        </w:rPr>
      </w:pPr>
      <w:r>
        <w:rPr>
          <w:b/>
        </w:rPr>
        <w:t>§ 224.109 Inspection, Repair, and Replacement</w:t>
      </w:r>
    </w:p>
    <w:p w:rsidR="004B2288" w:rsidP="004B2288" w:rsidRDefault="004B2288" w14:paraId="366F1EE3" w14:textId="77777777">
      <w:pPr>
        <w:rPr>
          <w:b/>
        </w:rPr>
      </w:pPr>
    </w:p>
    <w:p w:rsidR="004B2288" w:rsidP="004B2288" w:rsidRDefault="004B2288" w14:paraId="6000C8B9" w14:textId="7E4F4A9F">
      <w:pPr>
        <w:ind w:left="720"/>
      </w:pPr>
      <w:r>
        <w:t xml:space="preserve">(a) </w:t>
      </w:r>
      <w:r>
        <w:rPr>
          <w:u w:val="single"/>
        </w:rPr>
        <w:t>Railroad Freight Cars</w:t>
      </w:r>
      <w:r>
        <w:t xml:space="preserve">. Retroreflective sheeting on railroad freight cars subject to this part must be visually inspected for presence and condition whenever a car undergoes a single car air brake test required under 49 CFR 232.305.  If at the time of inspection less than 80 percent of the amount of sheeting required under § 224.105 (§ 224.107 in the case of freight cars subject to § 224.107(a)(3)) on either side of a car is present, not damaged, and not obscured, the inspecting railroad or contractor must promptly notify the person responsible for the reporting mark, as indicated in UMLER, of the damaged, obscured, or missing sheeting (unless the inspecting railroad or contractor is the person responsible for the reporting mark).  The inspecting railroad or contractor must retain a written or electronic copy of each such notification made for at least two years from the date of the notice, and must make these records available for inspection and copying by the FRA upon request.  </w:t>
      </w:r>
    </w:p>
    <w:p w:rsidR="004B2288" w:rsidP="004B2288" w:rsidRDefault="004B2288" w14:paraId="19214E61" w14:textId="77777777">
      <w:pPr>
        <w:ind w:left="720"/>
      </w:pPr>
    </w:p>
    <w:p w:rsidR="004B2288" w:rsidP="004B2288" w:rsidRDefault="004B2288" w14:paraId="2DC8ABAB" w14:textId="15B1826B">
      <w:pPr>
        <w:ind w:left="720"/>
      </w:pPr>
      <w:r w:rsidRPr="00161EE9">
        <w:t xml:space="preserve">According to AAR Interchange Rule 3, </w:t>
      </w:r>
      <w:r>
        <w:t>freight cars must</w:t>
      </w:r>
      <w:r w:rsidRPr="00161EE9">
        <w:t xml:space="preserve"> undergo a Single Car Air Brake Test </w:t>
      </w:r>
      <w:r>
        <w:t xml:space="preserve">(SCABT) </w:t>
      </w:r>
      <w:r w:rsidRPr="00161EE9">
        <w:t>once every 5 years.</w:t>
      </w:r>
      <w:r>
        <w:t xml:space="preserve">  FRA estimates a</w:t>
      </w:r>
      <w:r w:rsidRPr="00161EE9">
        <w:t xml:space="preserve">bout 10% of these cars will have missing or damaged retroreflective sheeting repaired or replaced. </w:t>
      </w:r>
      <w:r>
        <w:t xml:space="preserve"> Accordingly, about 33,380 freight cars (1,669,000 freight cars/5 = 33</w:t>
      </w:r>
      <w:r w:rsidRPr="00161EE9">
        <w:t>3</w:t>
      </w:r>
      <w:r>
        <w:t>,</w:t>
      </w:r>
      <w:r w:rsidRPr="00161EE9">
        <w:t>80</w:t>
      </w:r>
      <w:r>
        <w:t>0</w:t>
      </w:r>
      <w:r w:rsidRPr="00161EE9">
        <w:t xml:space="preserve"> </w:t>
      </w:r>
      <w:r>
        <w:t>freight cars * 10%) will undergo a SCABT</w:t>
      </w:r>
      <w:r w:rsidR="00854707">
        <w:t xml:space="preserve"> </w:t>
      </w:r>
      <w:r w:rsidR="00ED414A">
        <w:t>and require</w:t>
      </w:r>
      <w:r w:rsidR="00854707">
        <w:t xml:space="preserve"> replacement of retroreflective sheeting</w:t>
      </w:r>
      <w:r>
        <w:t xml:space="preserve">.  </w:t>
      </w:r>
      <w:r w:rsidRPr="00161EE9">
        <w:t xml:space="preserve">It takes </w:t>
      </w:r>
      <w:r>
        <w:t>5</w:t>
      </w:r>
      <w:r w:rsidRPr="00161EE9">
        <w:t xml:space="preserve"> minutes to complete each notice</w:t>
      </w:r>
      <w:r>
        <w:t xml:space="preserve"> of defects.  Total annual burden for this requirement is </w:t>
      </w:r>
      <w:r w:rsidRPr="00AF3748">
        <w:t>2,782</w:t>
      </w:r>
      <w:r>
        <w:t xml:space="preserve"> hours.</w:t>
      </w:r>
    </w:p>
    <w:p w:rsidR="004B2288" w:rsidP="004B2288" w:rsidRDefault="004B2288" w14:paraId="066E7D17" w14:textId="77777777"/>
    <w:p w:rsidR="004B2288" w:rsidP="00A2126D" w:rsidRDefault="004B2288" w14:paraId="57C19726" w14:textId="77777777">
      <w:pPr>
        <w:ind w:left="5040" w:hanging="3600"/>
      </w:pPr>
      <w:r>
        <w:t>Respondent Universe:</w:t>
      </w:r>
      <w:r>
        <w:tab/>
        <w:t>AAR + 300 Independent Car Shops</w:t>
      </w:r>
    </w:p>
    <w:p w:rsidR="004B2288" w:rsidP="00A2126D" w:rsidRDefault="004B2288" w14:paraId="38D064B2" w14:textId="77777777">
      <w:pPr>
        <w:ind w:left="5040" w:hanging="3600"/>
      </w:pPr>
      <w:r>
        <w:t xml:space="preserve">Burden time per response: </w:t>
      </w:r>
      <w:r>
        <w:tab/>
        <w:t xml:space="preserve">5 minutes </w:t>
      </w:r>
    </w:p>
    <w:p w:rsidR="004B2288" w:rsidP="00A2126D" w:rsidRDefault="004B2288" w14:paraId="2DB3DCFA" w14:textId="77777777">
      <w:pPr>
        <w:ind w:left="5040" w:hanging="3600"/>
      </w:pPr>
      <w:r>
        <w:t>Frequency of Response:</w:t>
      </w:r>
      <w:r>
        <w:tab/>
        <w:t xml:space="preserve">On occasion </w:t>
      </w:r>
    </w:p>
    <w:p w:rsidR="004B2288" w:rsidP="00A2126D" w:rsidRDefault="004B2288" w14:paraId="68313444" w14:textId="77777777">
      <w:pPr>
        <w:ind w:left="5040" w:hanging="3600"/>
      </w:pPr>
      <w:r>
        <w:t>Annual number of Responses:</w:t>
      </w:r>
      <w:r>
        <w:tab/>
        <w:t xml:space="preserve">33,380 notifications    </w:t>
      </w:r>
    </w:p>
    <w:p w:rsidR="004B2288" w:rsidP="00A2126D" w:rsidRDefault="004B2288" w14:paraId="42AEFF8D" w14:textId="77777777">
      <w:pPr>
        <w:ind w:left="5040" w:hanging="3600"/>
      </w:pPr>
      <w:r>
        <w:t xml:space="preserve">Annual Burden: </w:t>
      </w:r>
      <w:r>
        <w:tab/>
      </w:r>
      <w:r w:rsidRPr="00AF3748">
        <w:t>2,782</w:t>
      </w:r>
      <w:r>
        <w:t xml:space="preserve"> hours</w:t>
      </w:r>
    </w:p>
    <w:p w:rsidR="004B2288" w:rsidP="00A2126D" w:rsidRDefault="004B2288" w14:paraId="4E8E9ECF" w14:textId="77777777">
      <w:pPr>
        <w:ind w:left="5040" w:hanging="3600"/>
      </w:pPr>
      <w:r>
        <w:t>Annual Cost:</w:t>
      </w:r>
      <w:r>
        <w:tab/>
      </w:r>
      <w:r w:rsidRPr="00AF3748">
        <w:t xml:space="preserve">$161,356 </w:t>
      </w:r>
      <w:r>
        <w:t xml:space="preserve">($58 x </w:t>
      </w:r>
      <w:r w:rsidRPr="00AF3748">
        <w:t>2,782</w:t>
      </w:r>
      <w:r>
        <w:t xml:space="preserve"> </w:t>
      </w:r>
      <w:r w:rsidR="00A2126D">
        <w:t>hours</w:t>
      </w:r>
      <w:r>
        <w:t>)</w:t>
      </w:r>
    </w:p>
    <w:p w:rsidR="004B2288" w:rsidP="00A2126D" w:rsidRDefault="004B2288" w14:paraId="506F5C31" w14:textId="77777777"/>
    <w:p w:rsidR="004B2288" w:rsidP="00A2126D" w:rsidRDefault="004B2288" w14:paraId="5B309A57" w14:textId="77777777">
      <w:pPr>
        <w:ind w:left="2880" w:hanging="1440"/>
      </w:pPr>
      <w:r w:rsidRPr="00A2126D">
        <w:rPr>
          <w:u w:val="single"/>
        </w:rPr>
        <w:t>Calculation</w:t>
      </w:r>
      <w:r w:rsidRPr="00A2126D">
        <w:t>:</w:t>
      </w:r>
      <w:r w:rsidRPr="00A2126D">
        <w:tab/>
      </w:r>
      <w:r>
        <w:t xml:space="preserve">33,380 notifications x 5 minutes = </w:t>
      </w:r>
      <w:r w:rsidRPr="00AF3748">
        <w:t>2,782</w:t>
      </w:r>
      <w:r>
        <w:t xml:space="preserve"> hours</w:t>
      </w:r>
    </w:p>
    <w:p w:rsidR="004B2288" w:rsidP="004B2288" w:rsidRDefault="004B2288" w14:paraId="729DF3F0" w14:textId="77777777">
      <w:pPr>
        <w:ind w:left="720"/>
      </w:pPr>
    </w:p>
    <w:p w:rsidR="004B2288" w:rsidP="004B2288" w:rsidRDefault="004B2288" w14:paraId="30A43374" w14:textId="5C5A045F">
      <w:pPr>
        <w:ind w:left="720"/>
      </w:pPr>
      <w:r>
        <w:t xml:space="preserve">(b) </w:t>
      </w:r>
      <w:r>
        <w:rPr>
          <w:u w:val="single"/>
        </w:rPr>
        <w:t>Locomotives</w:t>
      </w:r>
      <w:r>
        <w:t>. Retroreflective sheeting must be visually inspected for presence and condition when the locomotive receives the annual inspection required under 49 CFR 229.27 of this chapter.  If at the time of inspection less than 80 percent of the amount of sheeting required under § 224.105 (§ 224.107 in the case of locomotives subject to §</w:t>
      </w:r>
      <w:r w:rsidR="00ED414A">
        <w:t> </w:t>
      </w:r>
      <w:r>
        <w:t>224.107(b)(3)) on either side of a locomotive is present, not damaged, and not obscured, the damaged, obscured or missing sheeting must be repaired or replaced within nine months (270 calendar days) from the date of inspection, provided a record of the defect is maintained in the locomotive cab or in a secure and accessible electronic database to which FRA is provided access upon request.</w:t>
      </w:r>
    </w:p>
    <w:p w:rsidR="004B2288" w:rsidP="004B2288" w:rsidRDefault="004B2288" w14:paraId="2656A6F5" w14:textId="77777777">
      <w:pPr>
        <w:ind w:left="720"/>
      </w:pPr>
    </w:p>
    <w:p w:rsidR="004B2288" w:rsidP="004B2288" w:rsidRDefault="004B2288" w14:paraId="654FD939" w14:textId="6D9707B3">
      <w:pPr>
        <w:ind w:left="720"/>
      </w:pPr>
      <w:r>
        <w:t>FRA estimates that approximately 10% of the</w:t>
      </w:r>
      <w:r w:rsidR="00ED414A">
        <w:t xml:space="preserve"> 26,086</w:t>
      </w:r>
      <w:r>
        <w:t xml:space="preserve"> locomotives</w:t>
      </w:r>
      <w:r w:rsidR="00ED414A">
        <w:t>,</w:t>
      </w:r>
      <w:r>
        <w:t xml:space="preserve"> or approximately 2,609 locomotives</w:t>
      </w:r>
      <w:r w:rsidR="00ED414A">
        <w:t>,</w:t>
      </w:r>
      <w:r>
        <w:t xml:space="preserve"> will have less than 80 percent retroreflective material on them because they are damaged, obscured, or missing at the time of the required</w:t>
      </w:r>
      <w:r w:rsidR="00ED414A">
        <w:t xml:space="preserve"> annual locomotive</w:t>
      </w:r>
      <w:r>
        <w:t xml:space="preserve"> inspection.  </w:t>
      </w:r>
      <w:r w:rsidRPr="00161EE9">
        <w:t xml:space="preserve">It takes </w:t>
      </w:r>
      <w:r>
        <w:t>5 minutes to record each defect.  Total annual burden for this requirement is 217 hours.</w:t>
      </w:r>
    </w:p>
    <w:p w:rsidR="004B2288" w:rsidP="004B2288" w:rsidRDefault="004B2288" w14:paraId="434D3FD7" w14:textId="77777777">
      <w:pPr>
        <w:ind w:left="720"/>
      </w:pPr>
    </w:p>
    <w:p w:rsidR="004B2288" w:rsidP="00A2126D" w:rsidRDefault="004B2288" w14:paraId="0596F6AC" w14:textId="77777777">
      <w:pPr>
        <w:ind w:left="5040" w:hanging="3600"/>
      </w:pPr>
      <w:r>
        <w:t>Respondent Universe:</w:t>
      </w:r>
      <w:r>
        <w:tab/>
        <w:t xml:space="preserve">746 Railroads/Freight Rolling Stock Owners </w:t>
      </w:r>
    </w:p>
    <w:p w:rsidR="004B2288" w:rsidP="00A2126D" w:rsidRDefault="004B2288" w14:paraId="0B81D69D" w14:textId="77777777">
      <w:pPr>
        <w:ind w:left="5040" w:hanging="3600"/>
      </w:pPr>
      <w:r>
        <w:t xml:space="preserve">Burden time per response: </w:t>
      </w:r>
      <w:r>
        <w:tab/>
        <w:t xml:space="preserve">5 minutes  </w:t>
      </w:r>
    </w:p>
    <w:p w:rsidR="004B2288" w:rsidP="00A2126D" w:rsidRDefault="004B2288" w14:paraId="0F130C5F" w14:textId="77777777">
      <w:pPr>
        <w:ind w:left="5040" w:hanging="3600"/>
      </w:pPr>
      <w:r>
        <w:t>Frequency of Response:</w:t>
      </w:r>
      <w:r>
        <w:tab/>
        <w:t>On occasion</w:t>
      </w:r>
    </w:p>
    <w:p w:rsidR="004B2288" w:rsidP="00A2126D" w:rsidRDefault="004B2288" w14:paraId="68CE48FD" w14:textId="77777777">
      <w:pPr>
        <w:ind w:left="5040" w:hanging="3600"/>
      </w:pPr>
      <w:r>
        <w:t>Annual number of Responses:</w:t>
      </w:r>
      <w:r>
        <w:tab/>
        <w:t>2,609 defect/restriction records</w:t>
      </w:r>
    </w:p>
    <w:p w:rsidR="004B2288" w:rsidP="00A2126D" w:rsidRDefault="004B2288" w14:paraId="4CD2FFC1" w14:textId="77777777">
      <w:pPr>
        <w:ind w:left="5040" w:hanging="3600"/>
      </w:pPr>
      <w:r>
        <w:t xml:space="preserve">Annual Burden: </w:t>
      </w:r>
      <w:r>
        <w:tab/>
      </w:r>
      <w:r w:rsidR="00787FC6">
        <w:t>217</w:t>
      </w:r>
      <w:r>
        <w:t xml:space="preserve"> hours</w:t>
      </w:r>
    </w:p>
    <w:p w:rsidR="004B2288" w:rsidP="00A2126D" w:rsidRDefault="004B2288" w14:paraId="55AA73E4" w14:textId="77777777">
      <w:pPr>
        <w:ind w:left="5040" w:hanging="3600"/>
      </w:pPr>
      <w:r>
        <w:t>Annual Cost:</w:t>
      </w:r>
      <w:r>
        <w:tab/>
      </w:r>
      <w:r w:rsidRPr="00787FC6" w:rsidR="00787FC6">
        <w:t xml:space="preserve">$12,586 </w:t>
      </w:r>
      <w:r w:rsidR="00787FC6">
        <w:t>($58 x 217</w:t>
      </w:r>
      <w:r>
        <w:t xml:space="preserve"> </w:t>
      </w:r>
      <w:r w:rsidR="00A2126D">
        <w:t>hours</w:t>
      </w:r>
      <w:r>
        <w:t>)</w:t>
      </w:r>
    </w:p>
    <w:p w:rsidR="00A2126D" w:rsidP="00A2126D" w:rsidRDefault="00A2126D" w14:paraId="072CD76F" w14:textId="77777777">
      <w:pPr>
        <w:ind w:left="5040" w:hanging="3600"/>
      </w:pPr>
    </w:p>
    <w:p w:rsidR="004B2288" w:rsidP="00A2126D" w:rsidRDefault="004B2288" w14:paraId="5E517C7D" w14:textId="77777777">
      <w:pPr>
        <w:ind w:left="2880" w:hanging="1440"/>
      </w:pPr>
      <w:r w:rsidRPr="00A2126D">
        <w:rPr>
          <w:u w:val="single"/>
        </w:rPr>
        <w:t>Calculation</w:t>
      </w:r>
      <w:r w:rsidRPr="00A2126D">
        <w:t>:</w:t>
      </w:r>
      <w:r w:rsidRPr="00A2126D">
        <w:tab/>
      </w:r>
      <w:r>
        <w:t>2,609 defect/restriction records x 5 minutes = 217 hours</w:t>
      </w:r>
    </w:p>
    <w:p w:rsidR="004B2288" w:rsidP="004B2288" w:rsidRDefault="004B2288" w14:paraId="7721A5F7" w14:textId="77777777">
      <w:pPr>
        <w:ind w:left="3600" w:hanging="1440"/>
      </w:pPr>
      <w:r>
        <w:tab/>
        <w:t xml:space="preserve"> </w:t>
      </w:r>
    </w:p>
    <w:p w:rsidR="004B2288" w:rsidP="004B2288" w:rsidRDefault="004B2288" w14:paraId="60E8FDC6" w14:textId="77777777">
      <w:pPr>
        <w:ind w:left="720"/>
      </w:pPr>
      <w:r>
        <w:t>Total annual burden for this entire requirement is 2,999 hours (</w:t>
      </w:r>
      <w:r w:rsidRPr="00D234EC">
        <w:t>2,782</w:t>
      </w:r>
      <w:r>
        <w:t xml:space="preserve"> + 217).</w:t>
      </w:r>
    </w:p>
    <w:p w:rsidR="004B2288" w:rsidP="004B2288" w:rsidRDefault="004B2288" w14:paraId="655C774F" w14:textId="77777777">
      <w:pPr>
        <w:ind w:left="720"/>
      </w:pPr>
    </w:p>
    <w:p w:rsidR="004B2288" w:rsidP="004B2288" w:rsidRDefault="004B2288" w14:paraId="2759FE7F" w14:textId="77777777">
      <w:pPr>
        <w:ind w:left="720"/>
      </w:pPr>
      <w:r>
        <w:lastRenderedPageBreak/>
        <w:t xml:space="preserve">Total annual burden for this entire information collection requirement is </w:t>
      </w:r>
      <w:r>
        <w:rPr>
          <w:b/>
        </w:rPr>
        <w:t>3,159</w:t>
      </w:r>
      <w:r w:rsidRPr="00077CA0">
        <w:rPr>
          <w:b/>
        </w:rPr>
        <w:t xml:space="preserve"> hours</w:t>
      </w:r>
      <w:r>
        <w:t xml:space="preserve">, and the total annual dollar </w:t>
      </w:r>
      <w:r w:rsidRPr="00077CA0">
        <w:rPr>
          <w:u w:val="single"/>
        </w:rPr>
        <w:t>cost</w:t>
      </w:r>
      <w:r>
        <w:t xml:space="preserve"> </w:t>
      </w:r>
      <w:r w:rsidRPr="00077CA0">
        <w:rPr>
          <w:u w:val="single"/>
        </w:rPr>
        <w:t>equivalent</w:t>
      </w:r>
      <w:r>
        <w:t xml:space="preserve"> for these burden hours is </w:t>
      </w:r>
      <w:r w:rsidRPr="00D234EC">
        <w:rPr>
          <w:b/>
        </w:rPr>
        <w:t>$180,</w:t>
      </w:r>
      <w:r>
        <w:rPr>
          <w:b/>
        </w:rPr>
        <w:t>102.</w:t>
      </w:r>
    </w:p>
    <w:p w:rsidRPr="00A2126D" w:rsidR="001078FE" w:rsidP="00A2126D" w:rsidRDefault="001078FE" w14:paraId="42851E16" w14:textId="77777777">
      <w:pPr>
        <w:ind w:left="720" w:hanging="720"/>
        <w:rPr>
          <w:color w:val="000000"/>
        </w:rPr>
      </w:pPr>
    </w:p>
    <w:p w:rsidR="001069B7" w:rsidP="001A35CF" w:rsidRDefault="001A35CF" w14:paraId="07E00491" w14:textId="77777777">
      <w:pPr>
        <w:ind w:left="720" w:hanging="720"/>
        <w:rPr>
          <w:b/>
        </w:rPr>
      </w:pPr>
      <w:r w:rsidRPr="00AD423C">
        <w:rPr>
          <w:b/>
        </w:rPr>
        <w:t>13.</w:t>
      </w:r>
      <w:r w:rsidRPr="00AD423C">
        <w:rPr>
          <w:b/>
        </w:rPr>
        <w:tab/>
      </w:r>
      <w:r w:rsidRPr="00AD423C">
        <w:rPr>
          <w:b/>
          <w:u w:val="single"/>
        </w:rPr>
        <w:t>Estimate of total annual costs to respondents</w:t>
      </w:r>
      <w:r w:rsidRPr="00AD423C">
        <w:t>.</w:t>
      </w:r>
    </w:p>
    <w:p w:rsidR="001069B7" w:rsidRDefault="001069B7" w14:paraId="381BE899" w14:textId="77777777">
      <w:pPr>
        <w:rPr>
          <w:b/>
        </w:rPr>
      </w:pPr>
    </w:p>
    <w:p w:rsidR="005B5182" w:rsidRDefault="001069B7" w14:paraId="21B6F8B8" w14:textId="560F5636">
      <w:pPr>
        <w:ind w:left="3600" w:hanging="2880"/>
      </w:pPr>
      <w:r>
        <w:t xml:space="preserve">There is </w:t>
      </w:r>
      <w:r w:rsidRPr="006A5FA2">
        <w:rPr>
          <w:u w:val="single"/>
        </w:rPr>
        <w:t>no</w:t>
      </w:r>
      <w:r>
        <w:t xml:space="preserve"> additional cost to respondents relating to this collection of information</w:t>
      </w:r>
    </w:p>
    <w:p w:rsidR="00A236AF" w:rsidP="00F977A7" w:rsidRDefault="001069B7" w14:paraId="03707B19" w14:textId="77777777">
      <w:pPr>
        <w:ind w:left="720"/>
      </w:pPr>
      <w:r>
        <w:t>since respondents, who already have the use of advanced information technology</w:t>
      </w:r>
      <w:r w:rsidR="00F977A7">
        <w:t xml:space="preserve"> to transmit notifications and keep required records.  </w:t>
      </w:r>
    </w:p>
    <w:p w:rsidR="001069B7" w:rsidRDefault="001069B7" w14:paraId="0D2F0FCE" w14:textId="77777777">
      <w:pPr>
        <w:ind w:left="720"/>
      </w:pPr>
      <w:r>
        <w:t xml:space="preserve">           </w:t>
      </w:r>
    </w:p>
    <w:p w:rsidR="00ED2F1D" w:rsidP="00ED2F1D" w:rsidRDefault="00ED2F1D" w14:paraId="617DFB45" w14:textId="77777777">
      <w:pPr>
        <w:ind w:left="720" w:hanging="720"/>
      </w:pPr>
      <w:r w:rsidRPr="00AD423C">
        <w:rPr>
          <w:b/>
        </w:rPr>
        <w:t>14.</w:t>
      </w:r>
      <w:r w:rsidRPr="00AD423C">
        <w:rPr>
          <w:b/>
        </w:rPr>
        <w:tab/>
      </w:r>
      <w:r w:rsidRPr="00AD423C">
        <w:rPr>
          <w:b/>
          <w:u w:val="single"/>
        </w:rPr>
        <w:t>Estimate of Cost to Federal Government</w:t>
      </w:r>
      <w:r w:rsidRPr="00AD423C">
        <w:t>.</w:t>
      </w:r>
    </w:p>
    <w:p w:rsidR="001069B7" w:rsidP="00B9723D" w:rsidRDefault="001069B7" w14:paraId="391D7111" w14:textId="77777777">
      <w:pPr>
        <w:ind w:left="720" w:hanging="720"/>
        <w:rPr>
          <w:b/>
        </w:rPr>
      </w:pPr>
    </w:p>
    <w:p w:rsidR="00875223" w:rsidP="00875223" w:rsidRDefault="00875223" w14:paraId="39875B57" w14:textId="256B3CF2">
      <w:pPr>
        <w:widowControl w:val="0"/>
        <w:tabs>
          <w:tab w:val="left" w:pos="0"/>
          <w:tab w:val="left" w:pos="720"/>
          <w:tab w:val="left" w:pos="1440"/>
        </w:tabs>
        <w:ind w:left="720"/>
      </w:pPr>
      <w:r>
        <w:t>To estimate the government administrative cost, the 2020 Office of Personnel Management wage rates were used for the Washington, D.C. area.  FRA uses an hourly wage rate of $115.68 for each government administrative hour</w:t>
      </w:r>
      <w:r w:rsidRPr="00C031B3">
        <w:t>.</w:t>
      </w:r>
      <w:r w:rsidRPr="00C031B3">
        <w:rPr>
          <w:rStyle w:val="FootnoteReference"/>
        </w:rPr>
        <w:footnoteReference w:id="4"/>
      </w:r>
      <w:r w:rsidRPr="00C031B3">
        <w:rPr>
          <w:b/>
        </w:rPr>
        <w:t xml:space="preserve"> </w:t>
      </w:r>
      <w:r>
        <w:t xml:space="preserve"> FRA estimates that it takes approximately 43.5 hours annually to review documents.  </w:t>
      </w:r>
    </w:p>
    <w:p w:rsidR="00875223" w:rsidP="00875223" w:rsidRDefault="00875223" w14:paraId="18C7DAFF" w14:textId="77777777"/>
    <w:p w:rsidR="001069B7" w:rsidRDefault="001069B7" w14:paraId="46291991" w14:textId="77777777">
      <w:pPr>
        <w:ind w:left="720"/>
      </w:pPr>
      <w:r>
        <w:t xml:space="preserve">(1) </w:t>
      </w:r>
      <w:r>
        <w:rPr>
          <w:u w:val="single"/>
        </w:rPr>
        <w:t xml:space="preserve">Annual Review of </w:t>
      </w:r>
      <w:r w:rsidR="00525A56">
        <w:rPr>
          <w:u w:val="single"/>
        </w:rPr>
        <w:t>1</w:t>
      </w:r>
      <w:r w:rsidR="00A54BC6">
        <w:rPr>
          <w:u w:val="single"/>
        </w:rPr>
        <w:t>0</w:t>
      </w:r>
      <w:r>
        <w:rPr>
          <w:u w:val="single"/>
        </w:rPr>
        <w:t xml:space="preserve"> General Petitions </w:t>
      </w:r>
      <w:r w:rsidR="00E854D5">
        <w:rPr>
          <w:u w:val="single"/>
        </w:rPr>
        <w:t>f</w:t>
      </w:r>
      <w:r>
        <w:rPr>
          <w:u w:val="single"/>
        </w:rPr>
        <w:t>or Waivers under § 224.7</w:t>
      </w:r>
      <w:r>
        <w:t>.  FRA estimates that an Office of Safety Staff Specialist spend</w:t>
      </w:r>
      <w:r w:rsidR="00775230">
        <w:t>s</w:t>
      </w:r>
      <w:r>
        <w:t xml:space="preserve"> approximately 15 minutes per petition, or a total of </w:t>
      </w:r>
      <w:r w:rsidR="00F76837">
        <w:t>2.5</w:t>
      </w:r>
      <w:r>
        <w:t xml:space="preserve"> hours annually perusing these petitions</w:t>
      </w:r>
      <w:r w:rsidR="00875223">
        <w:t>.</w:t>
      </w:r>
    </w:p>
    <w:p w:rsidR="0005706B" w:rsidRDefault="0005706B" w14:paraId="31C69A9B" w14:textId="77777777">
      <w:pPr>
        <w:ind w:left="720"/>
      </w:pPr>
    </w:p>
    <w:p w:rsidR="00875223" w:rsidRDefault="001069B7" w14:paraId="2B25F85D" w14:textId="77777777">
      <w:pPr>
        <w:ind w:left="720"/>
      </w:pPr>
      <w:r>
        <w:t xml:space="preserve">(2) </w:t>
      </w:r>
      <w:r>
        <w:rPr>
          <w:u w:val="single"/>
        </w:rPr>
        <w:t xml:space="preserve">Annual Review of </w:t>
      </w:r>
      <w:r w:rsidR="009616DD">
        <w:rPr>
          <w:u w:val="single"/>
        </w:rPr>
        <w:t>Six (</w:t>
      </w:r>
      <w:r w:rsidR="0091450D">
        <w:rPr>
          <w:u w:val="single"/>
        </w:rPr>
        <w:t>2</w:t>
      </w:r>
      <w:r w:rsidR="009616DD">
        <w:rPr>
          <w:u w:val="single"/>
        </w:rPr>
        <w:t>)</w:t>
      </w:r>
      <w:r>
        <w:rPr>
          <w:u w:val="single"/>
        </w:rPr>
        <w:t xml:space="preserve"> Special Approval Procedure Petitions </w:t>
      </w:r>
      <w:r>
        <w:t xml:space="preserve">(for alternative standards) under § 224.15.  </w:t>
      </w:r>
    </w:p>
    <w:p w:rsidR="0091450D" w:rsidP="00875223" w:rsidRDefault="001069B7" w14:paraId="6AB5C945" w14:textId="77777777">
      <w:pPr>
        <w:numPr>
          <w:ilvl w:val="0"/>
          <w:numId w:val="6"/>
        </w:numPr>
      </w:pPr>
      <w:r>
        <w:t>FRA estimates that an Office of Safety Staff Technical Specialist</w:t>
      </w:r>
      <w:r w:rsidR="0091450D">
        <w:t>/Engineer</w:t>
      </w:r>
      <w:r>
        <w:t xml:space="preserve"> spend</w:t>
      </w:r>
      <w:r w:rsidR="00775230">
        <w:t>s</w:t>
      </w:r>
      <w:r>
        <w:t xml:space="preserve"> approximately </w:t>
      </w:r>
      <w:r w:rsidR="0091450D">
        <w:t>20</w:t>
      </w:r>
      <w:r>
        <w:t xml:space="preserve"> hours per petition, or a total of </w:t>
      </w:r>
      <w:r w:rsidR="0091450D">
        <w:t>40</w:t>
      </w:r>
      <w:r>
        <w:t xml:space="preserve"> hours annually thoroughly reviewing and evaluating these petitions</w:t>
      </w:r>
      <w:r w:rsidR="00875223">
        <w:t>.</w:t>
      </w:r>
    </w:p>
    <w:p w:rsidRPr="00A2126D" w:rsidR="001069B7" w:rsidP="00875223" w:rsidRDefault="001069B7" w14:paraId="5AF752D4" w14:textId="77777777">
      <w:pPr>
        <w:numPr>
          <w:ilvl w:val="0"/>
          <w:numId w:val="6"/>
        </w:numPr>
      </w:pPr>
      <w:r w:rsidRPr="00A2126D">
        <w:t>FRA estimates that an agency attorney spend</w:t>
      </w:r>
      <w:r w:rsidRPr="00A2126D" w:rsidR="00775230">
        <w:t>s</w:t>
      </w:r>
      <w:r w:rsidRPr="00A2126D">
        <w:t xml:space="preserve"> approximately </w:t>
      </w:r>
      <w:r w:rsidRPr="00A2126D" w:rsidR="00835078">
        <w:t>30</w:t>
      </w:r>
      <w:r w:rsidRPr="00A2126D">
        <w:t xml:space="preserve"> minutes per petition, or a total of</w:t>
      </w:r>
      <w:r w:rsidRPr="00A2126D" w:rsidR="00835078">
        <w:t xml:space="preserve"> </w:t>
      </w:r>
      <w:r w:rsidRPr="00A2126D" w:rsidR="00875223">
        <w:t>1 hour</w:t>
      </w:r>
      <w:r w:rsidRPr="00A2126D" w:rsidR="009D6357">
        <w:t xml:space="preserve"> </w:t>
      </w:r>
      <w:r w:rsidRPr="00A2126D">
        <w:t xml:space="preserve">annually examining special approval procedures petitions to ensure that they comply with legal requirements and agency regulations.  </w:t>
      </w:r>
    </w:p>
    <w:p w:rsidR="00875223" w:rsidP="00875223" w:rsidRDefault="00875223" w14:paraId="5D316508" w14:textId="77777777">
      <w:pPr>
        <w:widowControl w:val="0"/>
        <w:tabs>
          <w:tab w:val="left" w:pos="0"/>
          <w:tab w:val="left" w:pos="720"/>
          <w:tab w:val="left" w:pos="1440"/>
        </w:tabs>
      </w:pPr>
    </w:p>
    <w:p w:rsidR="00875223" w:rsidP="00875223" w:rsidRDefault="001069B7" w14:paraId="4AFDD1D3" w14:textId="77777777">
      <w:pPr>
        <w:widowControl w:val="0"/>
        <w:tabs>
          <w:tab w:val="left" w:pos="0"/>
          <w:tab w:val="left" w:pos="720"/>
          <w:tab w:val="left" w:pos="1440"/>
        </w:tabs>
        <w:ind w:left="720"/>
      </w:pPr>
      <w:r>
        <w:t xml:space="preserve">The total cost to the Federal Government is </w:t>
      </w:r>
      <w:r w:rsidR="00875223">
        <w:t xml:space="preserve">$5,032 (43.5 hours times $115.68) for this information collection request.  </w:t>
      </w:r>
    </w:p>
    <w:p w:rsidR="001069B7" w:rsidP="002C46BA" w:rsidRDefault="001069B7" w14:paraId="06677767" w14:textId="77777777">
      <w:pPr>
        <w:ind w:left="720"/>
        <w:rPr>
          <w:b/>
        </w:rPr>
      </w:pPr>
      <w:r>
        <w:rPr>
          <w:b/>
        </w:rPr>
        <w:tab/>
      </w:r>
      <w:r>
        <w:rPr>
          <w:b/>
        </w:rPr>
        <w:tab/>
      </w:r>
      <w:r>
        <w:rPr>
          <w:b/>
        </w:rPr>
        <w:tab/>
      </w:r>
    </w:p>
    <w:p w:rsidR="001069B7" w:rsidRDefault="00DA4CF4" w14:paraId="4A5C6589" w14:textId="77777777">
      <w:pPr>
        <w:ind w:left="720" w:hanging="720"/>
        <w:rPr>
          <w:b/>
        </w:rPr>
      </w:pPr>
      <w:r w:rsidRPr="00AD423C">
        <w:rPr>
          <w:b/>
        </w:rPr>
        <w:t>15.</w:t>
      </w:r>
      <w:r w:rsidRPr="00AD423C">
        <w:rPr>
          <w:b/>
        </w:rPr>
        <w:tab/>
      </w:r>
      <w:r w:rsidRPr="00AD423C">
        <w:rPr>
          <w:b/>
          <w:u w:val="single"/>
        </w:rPr>
        <w:t>Explanation of program changes and adjustments</w:t>
      </w:r>
      <w:r w:rsidRPr="00AD423C">
        <w:t>.</w:t>
      </w:r>
    </w:p>
    <w:p w:rsidR="001069B7" w:rsidRDefault="001069B7" w14:paraId="55B01EAC" w14:textId="77777777">
      <w:pPr>
        <w:rPr>
          <w:b/>
        </w:rPr>
      </w:pPr>
      <w:r>
        <w:rPr>
          <w:b/>
        </w:rPr>
        <w:tab/>
      </w:r>
    </w:p>
    <w:p w:rsidR="00416D3A" w:rsidP="007900F1" w:rsidRDefault="00416D3A" w14:paraId="39A7C4A3" w14:textId="69AE9307">
      <w:pPr>
        <w:widowControl w:val="0"/>
        <w:ind w:left="720"/>
      </w:pPr>
      <w:r w:rsidRPr="00183F03">
        <w:t xml:space="preserve">This is an </w:t>
      </w:r>
      <w:bookmarkStart w:name="_GoBack" w:id="1"/>
      <w:r w:rsidRPr="00183F03">
        <w:t>extension</w:t>
      </w:r>
      <w:bookmarkEnd w:id="1"/>
      <w:r w:rsidRPr="00183F03">
        <w:t xml:space="preserve"> with</w:t>
      </w:r>
      <w:r>
        <w:t>out</w:t>
      </w:r>
      <w:r w:rsidRPr="00183F03">
        <w:t xml:space="preserve"> change</w:t>
      </w:r>
      <w:r>
        <w:t xml:space="preserve"> </w:t>
      </w:r>
      <w:r>
        <w:t>(</w:t>
      </w:r>
      <w:r w:rsidRPr="00BD3E97">
        <w:t>with changes in estimates</w:t>
      </w:r>
      <w:r>
        <w:t>)</w:t>
      </w:r>
      <w:r w:rsidRPr="00183F03">
        <w:t xml:space="preserve"> to a current collection of information</w:t>
      </w:r>
      <w:r>
        <w:t>.</w:t>
      </w:r>
    </w:p>
    <w:p w:rsidR="00416D3A" w:rsidP="007900F1" w:rsidRDefault="00416D3A" w14:paraId="3FF4ACD6" w14:textId="77777777">
      <w:pPr>
        <w:widowControl w:val="0"/>
        <w:ind w:left="720"/>
      </w:pPr>
    </w:p>
    <w:p w:rsidRPr="005717EC" w:rsidR="007900F1" w:rsidP="007900F1" w:rsidRDefault="007900F1" w14:paraId="60958785" w14:textId="3F0F1064">
      <w:pPr>
        <w:widowControl w:val="0"/>
        <w:ind w:left="720"/>
      </w:pPr>
      <w:r w:rsidRPr="005717EC">
        <w:t xml:space="preserve">The current OMB agency inventory for this information collection exhibits a total burden of </w:t>
      </w:r>
      <w:r>
        <w:t xml:space="preserve">8,467 </w:t>
      </w:r>
      <w:r w:rsidRPr="002E1C24">
        <w:t xml:space="preserve">hours and </w:t>
      </w:r>
      <w:r>
        <w:t xml:space="preserve">34,675 </w:t>
      </w:r>
      <w:r w:rsidRPr="005717EC">
        <w:t>responses, while the present submission reflects a to</w:t>
      </w:r>
      <w:r w:rsidR="00727FD6">
        <w:t>tal burden of 3,159</w:t>
      </w:r>
      <w:r>
        <w:t xml:space="preserve"> </w:t>
      </w:r>
      <w:r w:rsidRPr="005717EC">
        <w:t xml:space="preserve">hours and </w:t>
      </w:r>
      <w:r w:rsidR="00405C09">
        <w:t>36,001</w:t>
      </w:r>
      <w:r w:rsidRPr="002E1C24">
        <w:t xml:space="preserve"> </w:t>
      </w:r>
      <w:r w:rsidRPr="005717EC">
        <w:t xml:space="preserve">responses.  Hence, there is a total </w:t>
      </w:r>
      <w:r w:rsidRPr="005717EC">
        <w:rPr>
          <w:u w:val="single"/>
        </w:rPr>
        <w:t>decrease</w:t>
      </w:r>
      <w:r w:rsidRPr="005717EC">
        <w:t xml:space="preserve"> in burd</w:t>
      </w:r>
      <w:r>
        <w:t xml:space="preserve">en of </w:t>
      </w:r>
      <w:r w:rsidRPr="00405C09" w:rsidR="00405C09">
        <w:t>5,308</w:t>
      </w:r>
      <w:r>
        <w:t xml:space="preserve"> </w:t>
      </w:r>
      <w:r w:rsidRPr="005717EC">
        <w:t xml:space="preserve">hours and </w:t>
      </w:r>
      <w:r w:rsidR="00405C09">
        <w:t xml:space="preserve">increased responses by </w:t>
      </w:r>
      <w:r w:rsidRPr="00405C09" w:rsidR="00405C09">
        <w:t>1,32</w:t>
      </w:r>
      <w:r w:rsidR="0009703C">
        <w:t>6</w:t>
      </w:r>
      <w:r w:rsidRPr="005717EC">
        <w:t xml:space="preserve">.  </w:t>
      </w:r>
      <w:r w:rsidRPr="0019493A" w:rsidR="0019493A">
        <w:t xml:space="preserve">The decrease in burden is solely the result of </w:t>
      </w:r>
      <w:r w:rsidRPr="0019493A" w:rsidR="0019493A">
        <w:lastRenderedPageBreak/>
        <w:t xml:space="preserve">adjustments, which are completely delineated in the table below.  </w:t>
      </w:r>
    </w:p>
    <w:p w:rsidR="007900F1" w:rsidP="007900F1" w:rsidRDefault="007900F1" w14:paraId="637CEDC1" w14:textId="77777777">
      <w:pPr>
        <w:widowControl w:val="0"/>
        <w:tabs>
          <w:tab w:val="left" w:pos="0"/>
          <w:tab w:val="left" w:pos="720"/>
          <w:tab w:val="left" w:pos="1440"/>
        </w:tabs>
        <w:ind w:left="720"/>
      </w:pPr>
    </w:p>
    <w:p w:rsidR="00926DF4" w:rsidP="00926DF4" w:rsidRDefault="00727FD6" w14:paraId="054EB6D7" w14:textId="716CA7BD">
      <w:pPr>
        <w:ind w:left="720"/>
      </w:pPr>
      <w:r w:rsidRPr="00727FD6">
        <w:t xml:space="preserve">FRA determined many of the estimates were initial estimates and outdated.  Moreover, other estimates were not derived from </w:t>
      </w:r>
      <w:r>
        <w:t>PRA</w:t>
      </w:r>
      <w:r w:rsidRPr="00727FD6">
        <w:t xml:space="preserve"> requirements, thus leading to the increased </w:t>
      </w:r>
      <w:r w:rsidR="00756C6F">
        <w:t>burden hours, which were</w:t>
      </w:r>
      <w:r w:rsidRPr="00727FD6">
        <w:t xml:space="preserve"> decre</w:t>
      </w:r>
      <w:r w:rsidR="0019493A">
        <w:t xml:space="preserve">ased accordingly. </w:t>
      </w:r>
      <w:r w:rsidR="00756C6F">
        <w:t xml:space="preserve"> For the most part, t</w:t>
      </w:r>
      <w:r w:rsidRPr="00756C6F" w:rsidR="00756C6F">
        <w:t>he reduction is due to review of time to complete a notification</w:t>
      </w:r>
      <w:r w:rsidR="00756C6F">
        <w:t xml:space="preserve"> and keep a record</w:t>
      </w:r>
      <w:r w:rsidRPr="00756C6F" w:rsidR="00756C6F">
        <w:t xml:space="preserve">. The previous estimate contained non-PRA estimates, such as, inspection and repair.  </w:t>
      </w:r>
    </w:p>
    <w:p w:rsidR="00727FD6" w:rsidP="001D4F44" w:rsidRDefault="00727FD6" w14:paraId="5937B677" w14:textId="77777777">
      <w:pPr>
        <w:ind w:left="720"/>
      </w:pPr>
    </w:p>
    <w:p w:rsidRPr="003A08DB" w:rsidR="001078FE" w:rsidP="001078FE" w:rsidRDefault="001078FE" w14:paraId="495FD35D" w14:textId="77777777">
      <w:pPr>
        <w:ind w:firstLine="720"/>
        <w:rPr>
          <w:b/>
          <w:u w:val="single"/>
        </w:rPr>
      </w:pPr>
      <w:r w:rsidRPr="003A08DB">
        <w:rPr>
          <w:b/>
          <w:u w:val="single"/>
        </w:rPr>
        <w:t>TABLE FOR ADJUSTMENTS</w:t>
      </w:r>
    </w:p>
    <w:p w:rsidR="001078FE" w:rsidP="001D4F44" w:rsidRDefault="001078FE" w14:paraId="7C3C7258" w14:textId="77777777">
      <w:pPr>
        <w:ind w:left="720"/>
      </w:pPr>
    </w:p>
    <w:tbl>
      <w:tblPr>
        <w:tblW w:w="10165" w:type="dxa"/>
        <w:tblInd w:w="113" w:type="dxa"/>
        <w:tblLook w:val="04A0" w:firstRow="1" w:lastRow="0" w:firstColumn="1" w:lastColumn="0" w:noHBand="0" w:noVBand="1"/>
      </w:tblPr>
      <w:tblGrid>
        <w:gridCol w:w="1838"/>
        <w:gridCol w:w="1217"/>
        <w:gridCol w:w="1249"/>
        <w:gridCol w:w="1228"/>
        <w:gridCol w:w="1530"/>
        <w:gridCol w:w="3103"/>
      </w:tblGrid>
      <w:tr w:rsidRPr="00F501B1" w:rsidR="008E563E" w:rsidTr="008E563E" w14:paraId="287596BF" w14:textId="77777777">
        <w:trPr>
          <w:trHeight w:val="1056"/>
        </w:trPr>
        <w:tc>
          <w:tcPr>
            <w:tcW w:w="1838" w:type="dxa"/>
            <w:tcBorders>
              <w:top w:val="single" w:color="auto" w:sz="4" w:space="0"/>
              <w:left w:val="single" w:color="auto" w:sz="4" w:space="0"/>
              <w:bottom w:val="single" w:color="auto" w:sz="4" w:space="0"/>
              <w:right w:val="single" w:color="auto" w:sz="4" w:space="0"/>
            </w:tcBorders>
            <w:shd w:val="clear" w:color="auto" w:fill="auto"/>
            <w:hideMark/>
          </w:tcPr>
          <w:p w:rsidRPr="00F501B1" w:rsidR="008E563E" w:rsidP="00C54F62" w:rsidRDefault="008E563E" w14:paraId="35FB98D3" w14:textId="77777777">
            <w:pPr>
              <w:jc w:val="center"/>
              <w:rPr>
                <w:color w:val="000000"/>
                <w:sz w:val="20"/>
              </w:rPr>
            </w:pPr>
            <w:r w:rsidRPr="00F501B1">
              <w:rPr>
                <w:color w:val="000000"/>
                <w:sz w:val="20"/>
              </w:rPr>
              <w:t>CFR Section</w:t>
            </w:r>
          </w:p>
        </w:tc>
        <w:tc>
          <w:tcPr>
            <w:tcW w:w="1217" w:type="dxa"/>
            <w:tcBorders>
              <w:top w:val="single" w:color="auto" w:sz="4" w:space="0"/>
              <w:left w:val="nil"/>
              <w:bottom w:val="single" w:color="auto" w:sz="4" w:space="0"/>
              <w:right w:val="single" w:color="auto" w:sz="4" w:space="0"/>
            </w:tcBorders>
            <w:shd w:val="clear" w:color="auto" w:fill="auto"/>
            <w:hideMark/>
          </w:tcPr>
          <w:p w:rsidRPr="00C54F62" w:rsidR="008E563E" w:rsidP="00C54F62" w:rsidRDefault="008E563E" w14:paraId="10229E10" w14:textId="77777777">
            <w:pPr>
              <w:jc w:val="center"/>
              <w:rPr>
                <w:color w:val="000000"/>
                <w:sz w:val="20"/>
              </w:rPr>
            </w:pPr>
            <w:r w:rsidRPr="00C54F62">
              <w:rPr>
                <w:sz w:val="20"/>
              </w:rPr>
              <w:t>Responses &amp; Avg. Time (Previous Submission)</w:t>
            </w:r>
          </w:p>
        </w:tc>
        <w:tc>
          <w:tcPr>
            <w:tcW w:w="1249" w:type="dxa"/>
            <w:tcBorders>
              <w:top w:val="single" w:color="auto" w:sz="4" w:space="0"/>
              <w:left w:val="nil"/>
              <w:bottom w:val="single" w:color="auto" w:sz="4" w:space="0"/>
              <w:right w:val="single" w:color="auto" w:sz="4" w:space="0"/>
            </w:tcBorders>
            <w:shd w:val="clear" w:color="auto" w:fill="auto"/>
            <w:hideMark/>
          </w:tcPr>
          <w:p w:rsidRPr="00C54F62" w:rsidR="008E563E" w:rsidP="00C54F62" w:rsidRDefault="008E563E" w14:paraId="1B168343" w14:textId="77777777">
            <w:pPr>
              <w:jc w:val="center"/>
              <w:rPr>
                <w:color w:val="000000"/>
                <w:sz w:val="20"/>
              </w:rPr>
            </w:pPr>
            <w:r w:rsidRPr="00C54F62">
              <w:rPr>
                <w:sz w:val="20"/>
              </w:rPr>
              <w:t>Responses &amp; Avg. Time (This Submission)</w:t>
            </w:r>
          </w:p>
        </w:tc>
        <w:tc>
          <w:tcPr>
            <w:tcW w:w="1228" w:type="dxa"/>
            <w:tcBorders>
              <w:top w:val="single" w:color="auto" w:sz="4" w:space="0"/>
              <w:left w:val="nil"/>
              <w:bottom w:val="single" w:color="auto" w:sz="4" w:space="0"/>
              <w:right w:val="single" w:color="auto" w:sz="4" w:space="0"/>
            </w:tcBorders>
            <w:shd w:val="clear" w:color="auto" w:fill="auto"/>
            <w:hideMark/>
          </w:tcPr>
          <w:p w:rsidRPr="00C54F62" w:rsidR="008E563E" w:rsidP="00C54F62" w:rsidRDefault="008E563E" w14:paraId="49B664B3" w14:textId="77777777">
            <w:pPr>
              <w:jc w:val="center"/>
              <w:rPr>
                <w:color w:val="000000"/>
                <w:sz w:val="20"/>
              </w:rPr>
            </w:pPr>
            <w:r w:rsidRPr="00C54F62">
              <w:rPr>
                <w:sz w:val="20"/>
              </w:rPr>
              <w:t>Burden Hours (Previous Submission)</w:t>
            </w:r>
          </w:p>
        </w:tc>
        <w:tc>
          <w:tcPr>
            <w:tcW w:w="1530" w:type="dxa"/>
            <w:tcBorders>
              <w:top w:val="single" w:color="auto" w:sz="4" w:space="0"/>
              <w:left w:val="nil"/>
              <w:bottom w:val="single" w:color="auto" w:sz="4" w:space="0"/>
              <w:right w:val="single" w:color="auto" w:sz="4" w:space="0"/>
            </w:tcBorders>
            <w:shd w:val="clear" w:color="auto" w:fill="auto"/>
            <w:hideMark/>
          </w:tcPr>
          <w:p w:rsidRPr="00C54F62" w:rsidR="008E563E" w:rsidP="00C54F62" w:rsidRDefault="008E563E" w14:paraId="75420C2D" w14:textId="77777777">
            <w:pPr>
              <w:jc w:val="center"/>
              <w:rPr>
                <w:color w:val="000000"/>
                <w:sz w:val="20"/>
              </w:rPr>
            </w:pPr>
            <w:r w:rsidRPr="00C54F62">
              <w:rPr>
                <w:sz w:val="20"/>
              </w:rPr>
              <w:t>Burden Hours (This Submission)</w:t>
            </w:r>
          </w:p>
        </w:tc>
        <w:tc>
          <w:tcPr>
            <w:tcW w:w="3103" w:type="dxa"/>
            <w:tcBorders>
              <w:top w:val="single" w:color="auto" w:sz="4" w:space="0"/>
              <w:left w:val="nil"/>
              <w:bottom w:val="single" w:color="auto" w:sz="4" w:space="0"/>
              <w:right w:val="single" w:color="auto" w:sz="4" w:space="0"/>
            </w:tcBorders>
            <w:shd w:val="clear" w:color="auto" w:fill="auto"/>
            <w:hideMark/>
          </w:tcPr>
          <w:p w:rsidRPr="00F501B1" w:rsidR="008E563E" w:rsidP="00C54F62" w:rsidRDefault="008E563E" w14:paraId="01DA22CC" w14:textId="77777777">
            <w:pPr>
              <w:jc w:val="center"/>
              <w:rPr>
                <w:color w:val="000000"/>
                <w:sz w:val="20"/>
              </w:rPr>
            </w:pPr>
            <w:r>
              <w:rPr>
                <w:color w:val="000000"/>
                <w:sz w:val="20"/>
              </w:rPr>
              <w:t>Difference (plus/minus)</w:t>
            </w:r>
          </w:p>
        </w:tc>
      </w:tr>
      <w:tr w:rsidRPr="00F501B1" w:rsidR="008E563E" w:rsidTr="008E563E" w14:paraId="29AAD231" w14:textId="77777777">
        <w:trPr>
          <w:trHeight w:val="1584"/>
        </w:trPr>
        <w:tc>
          <w:tcPr>
            <w:tcW w:w="1838" w:type="dxa"/>
            <w:tcBorders>
              <w:top w:val="nil"/>
              <w:left w:val="single" w:color="auto" w:sz="4" w:space="0"/>
              <w:bottom w:val="single" w:color="auto" w:sz="4" w:space="0"/>
              <w:right w:val="single" w:color="auto" w:sz="4" w:space="0"/>
            </w:tcBorders>
            <w:shd w:val="clear" w:color="auto" w:fill="auto"/>
            <w:hideMark/>
          </w:tcPr>
          <w:p w:rsidRPr="00F501B1" w:rsidR="008E563E" w:rsidP="008E563E" w:rsidRDefault="008E563E" w14:paraId="4224DE6D" w14:textId="77777777">
            <w:pPr>
              <w:rPr>
                <w:color w:val="000000"/>
                <w:sz w:val="20"/>
              </w:rPr>
            </w:pPr>
            <w:r w:rsidRPr="00F501B1">
              <w:rPr>
                <w:color w:val="000000"/>
                <w:sz w:val="20"/>
              </w:rPr>
              <w:t>224.15(b)—Special approval procedures—Petitions for special approval of alternative</w:t>
            </w:r>
            <w:r w:rsidRPr="00F501B1">
              <w:rPr>
                <w:color w:val="000000"/>
                <w:sz w:val="20"/>
              </w:rPr>
              <w:br/>
              <w:t>standard</w:t>
            </w:r>
          </w:p>
        </w:tc>
        <w:tc>
          <w:tcPr>
            <w:tcW w:w="1217" w:type="dxa"/>
            <w:tcBorders>
              <w:top w:val="nil"/>
              <w:left w:val="nil"/>
              <w:bottom w:val="single" w:color="auto" w:sz="4" w:space="0"/>
              <w:right w:val="single" w:color="auto" w:sz="4" w:space="0"/>
            </w:tcBorders>
            <w:shd w:val="clear" w:color="auto" w:fill="auto"/>
            <w:hideMark/>
          </w:tcPr>
          <w:p w:rsidR="008E563E" w:rsidP="008E563E" w:rsidRDefault="008E563E" w14:paraId="1B75DF8E" w14:textId="77777777">
            <w:pPr>
              <w:rPr>
                <w:color w:val="000000"/>
                <w:sz w:val="20"/>
              </w:rPr>
            </w:pPr>
            <w:r w:rsidRPr="00F501B1">
              <w:rPr>
                <w:color w:val="000000"/>
                <w:sz w:val="20"/>
              </w:rPr>
              <w:t>6 petitions</w:t>
            </w:r>
          </w:p>
          <w:p w:rsidRPr="00F501B1" w:rsidR="008E563E" w:rsidP="008E563E" w:rsidRDefault="008E563E" w14:paraId="140E09E7" w14:textId="77777777">
            <w:pPr>
              <w:rPr>
                <w:color w:val="000000"/>
                <w:sz w:val="20"/>
              </w:rPr>
            </w:pPr>
            <w:r>
              <w:rPr>
                <w:color w:val="000000"/>
                <w:sz w:val="20"/>
              </w:rPr>
              <w:t>(40 hours)</w:t>
            </w:r>
          </w:p>
        </w:tc>
        <w:tc>
          <w:tcPr>
            <w:tcW w:w="1249" w:type="dxa"/>
            <w:tcBorders>
              <w:top w:val="nil"/>
              <w:left w:val="nil"/>
              <w:bottom w:val="single" w:color="auto" w:sz="4" w:space="0"/>
              <w:right w:val="single" w:color="auto" w:sz="4" w:space="0"/>
            </w:tcBorders>
            <w:shd w:val="clear" w:color="auto" w:fill="auto"/>
            <w:hideMark/>
          </w:tcPr>
          <w:p w:rsidR="008E563E" w:rsidP="008E563E" w:rsidRDefault="008E563E" w14:paraId="799EA90C" w14:textId="77777777">
            <w:pPr>
              <w:rPr>
                <w:color w:val="000000"/>
                <w:sz w:val="20"/>
              </w:rPr>
            </w:pPr>
            <w:r w:rsidRPr="00F501B1">
              <w:rPr>
                <w:color w:val="000000"/>
                <w:sz w:val="20"/>
              </w:rPr>
              <w:t xml:space="preserve">2 petitions </w:t>
            </w:r>
          </w:p>
          <w:p w:rsidRPr="00F501B1" w:rsidR="008E563E" w:rsidP="008E563E" w:rsidRDefault="008E563E" w14:paraId="56C83229" w14:textId="77777777">
            <w:pPr>
              <w:rPr>
                <w:color w:val="000000"/>
                <w:sz w:val="20"/>
              </w:rPr>
            </w:pPr>
            <w:r>
              <w:rPr>
                <w:color w:val="000000"/>
                <w:sz w:val="20"/>
              </w:rPr>
              <w:t>(40 hours)</w:t>
            </w:r>
          </w:p>
        </w:tc>
        <w:tc>
          <w:tcPr>
            <w:tcW w:w="1228" w:type="dxa"/>
            <w:tcBorders>
              <w:top w:val="nil"/>
              <w:left w:val="nil"/>
              <w:bottom w:val="single" w:color="auto" w:sz="4" w:space="0"/>
              <w:right w:val="single" w:color="auto" w:sz="4" w:space="0"/>
            </w:tcBorders>
            <w:shd w:val="clear" w:color="auto" w:fill="auto"/>
            <w:hideMark/>
          </w:tcPr>
          <w:p w:rsidRPr="00F501B1" w:rsidR="008E563E" w:rsidP="008E563E" w:rsidRDefault="008E563E" w14:paraId="59393206" w14:textId="77777777">
            <w:pPr>
              <w:rPr>
                <w:color w:val="000000"/>
                <w:sz w:val="20"/>
              </w:rPr>
            </w:pPr>
            <w:r w:rsidRPr="00F501B1">
              <w:rPr>
                <w:color w:val="000000"/>
                <w:sz w:val="20"/>
              </w:rPr>
              <w:t>240 hours</w:t>
            </w:r>
          </w:p>
        </w:tc>
        <w:tc>
          <w:tcPr>
            <w:tcW w:w="1530" w:type="dxa"/>
            <w:tcBorders>
              <w:top w:val="nil"/>
              <w:left w:val="nil"/>
              <w:bottom w:val="single" w:color="auto" w:sz="4" w:space="0"/>
              <w:right w:val="single" w:color="auto" w:sz="4" w:space="0"/>
            </w:tcBorders>
            <w:shd w:val="clear" w:color="auto" w:fill="auto"/>
            <w:noWrap/>
            <w:hideMark/>
          </w:tcPr>
          <w:p w:rsidRPr="00F501B1" w:rsidR="008E563E" w:rsidP="008E563E" w:rsidRDefault="008E563E" w14:paraId="0240F5F0" w14:textId="77777777">
            <w:pPr>
              <w:rPr>
                <w:color w:val="000000"/>
                <w:sz w:val="20"/>
              </w:rPr>
            </w:pPr>
            <w:r w:rsidRPr="00F501B1">
              <w:rPr>
                <w:color w:val="000000"/>
                <w:sz w:val="20"/>
              </w:rPr>
              <w:t>80 hours</w:t>
            </w:r>
          </w:p>
        </w:tc>
        <w:tc>
          <w:tcPr>
            <w:tcW w:w="3103" w:type="dxa"/>
            <w:tcBorders>
              <w:top w:val="nil"/>
              <w:left w:val="nil"/>
              <w:bottom w:val="single" w:color="auto" w:sz="4" w:space="0"/>
              <w:right w:val="single" w:color="auto" w:sz="4" w:space="0"/>
            </w:tcBorders>
            <w:shd w:val="clear" w:color="auto" w:fill="auto"/>
            <w:hideMark/>
          </w:tcPr>
          <w:p w:rsidR="008E563E" w:rsidP="008E563E" w:rsidRDefault="008E563E" w14:paraId="11279EEE" w14:textId="77777777">
            <w:pPr>
              <w:rPr>
                <w:color w:val="000000"/>
                <w:sz w:val="20"/>
              </w:rPr>
            </w:pPr>
            <w:r w:rsidRPr="00F501B1">
              <w:rPr>
                <w:color w:val="000000"/>
                <w:sz w:val="20"/>
              </w:rPr>
              <w:t>-160 hours</w:t>
            </w:r>
          </w:p>
          <w:p w:rsidR="008E563E" w:rsidP="008E563E" w:rsidRDefault="008E563E" w14:paraId="3808C06B" w14:textId="77777777">
            <w:pPr>
              <w:rPr>
                <w:color w:val="000000"/>
                <w:sz w:val="20"/>
              </w:rPr>
            </w:pPr>
            <w:r>
              <w:rPr>
                <w:color w:val="000000"/>
                <w:sz w:val="20"/>
              </w:rPr>
              <w:t>-</w:t>
            </w:r>
            <w:r w:rsidRPr="00F501B1">
              <w:rPr>
                <w:color w:val="000000"/>
                <w:sz w:val="20"/>
              </w:rPr>
              <w:t xml:space="preserve">4 </w:t>
            </w:r>
            <w:r>
              <w:rPr>
                <w:color w:val="000000"/>
                <w:sz w:val="20"/>
              </w:rPr>
              <w:t>responses</w:t>
            </w:r>
          </w:p>
          <w:p w:rsidR="008E563E" w:rsidP="008E563E" w:rsidRDefault="008E563E" w14:paraId="42CA9CF1" w14:textId="77777777">
            <w:pPr>
              <w:rPr>
                <w:color w:val="000000"/>
                <w:sz w:val="20"/>
              </w:rPr>
            </w:pPr>
          </w:p>
          <w:p w:rsidRPr="008E563E" w:rsidR="008E563E" w:rsidP="008E563E" w:rsidRDefault="008E563E" w14:paraId="71F39BBF" w14:textId="77777777">
            <w:pPr>
              <w:rPr>
                <w:i/>
                <w:color w:val="000000"/>
                <w:sz w:val="20"/>
              </w:rPr>
            </w:pPr>
            <w:r w:rsidRPr="008E563E">
              <w:rPr>
                <w:i/>
                <w:color w:val="000000"/>
                <w:sz w:val="20"/>
              </w:rPr>
              <w:t>The reduction is due to review of estimated number of submissions expected to be received.</w:t>
            </w:r>
          </w:p>
        </w:tc>
      </w:tr>
      <w:tr w:rsidRPr="00F501B1" w:rsidR="008E563E" w:rsidTr="008E563E" w14:paraId="64029DDA" w14:textId="77777777">
        <w:trPr>
          <w:trHeight w:val="792"/>
        </w:trPr>
        <w:tc>
          <w:tcPr>
            <w:tcW w:w="1838" w:type="dxa"/>
            <w:tcBorders>
              <w:top w:val="nil"/>
              <w:left w:val="single" w:color="auto" w:sz="4" w:space="0"/>
              <w:bottom w:val="single" w:color="auto" w:sz="4" w:space="0"/>
              <w:right w:val="single" w:color="auto" w:sz="4" w:space="0"/>
            </w:tcBorders>
            <w:shd w:val="clear" w:color="auto" w:fill="auto"/>
            <w:hideMark/>
          </w:tcPr>
          <w:p w:rsidRPr="00F501B1" w:rsidR="008E563E" w:rsidP="008E563E" w:rsidRDefault="008E563E" w14:paraId="194E798B" w14:textId="77777777">
            <w:pPr>
              <w:rPr>
                <w:color w:val="000000"/>
                <w:sz w:val="20"/>
              </w:rPr>
            </w:pPr>
            <w:r w:rsidRPr="00F501B1">
              <w:rPr>
                <w:color w:val="000000"/>
                <w:sz w:val="20"/>
              </w:rPr>
              <w:t>—(d) Public comment on special approval procedures/petitions</w:t>
            </w:r>
          </w:p>
        </w:tc>
        <w:tc>
          <w:tcPr>
            <w:tcW w:w="1217" w:type="dxa"/>
            <w:tcBorders>
              <w:top w:val="nil"/>
              <w:left w:val="nil"/>
              <w:bottom w:val="single" w:color="auto" w:sz="4" w:space="0"/>
              <w:right w:val="single" w:color="auto" w:sz="4" w:space="0"/>
            </w:tcBorders>
            <w:shd w:val="clear" w:color="auto" w:fill="auto"/>
            <w:hideMark/>
          </w:tcPr>
          <w:p w:rsidR="008E563E" w:rsidP="008E563E" w:rsidRDefault="008E563E" w14:paraId="729997DE" w14:textId="77777777">
            <w:pPr>
              <w:rPr>
                <w:color w:val="000000"/>
                <w:sz w:val="20"/>
              </w:rPr>
            </w:pPr>
            <w:r w:rsidRPr="00F501B1">
              <w:rPr>
                <w:color w:val="000000"/>
                <w:sz w:val="20"/>
              </w:rPr>
              <w:t>2 comments</w:t>
            </w:r>
          </w:p>
          <w:p w:rsidRPr="00F501B1" w:rsidR="008E563E" w:rsidP="008E563E" w:rsidRDefault="008E563E" w14:paraId="09641FB4" w14:textId="77777777">
            <w:pPr>
              <w:rPr>
                <w:color w:val="000000"/>
                <w:sz w:val="20"/>
              </w:rPr>
            </w:pPr>
            <w:r>
              <w:rPr>
                <w:color w:val="000000"/>
                <w:sz w:val="20"/>
              </w:rPr>
              <w:t>(8 hours)</w:t>
            </w:r>
          </w:p>
        </w:tc>
        <w:tc>
          <w:tcPr>
            <w:tcW w:w="1249" w:type="dxa"/>
            <w:tcBorders>
              <w:top w:val="nil"/>
              <w:left w:val="nil"/>
              <w:bottom w:val="single" w:color="auto" w:sz="4" w:space="0"/>
              <w:right w:val="single" w:color="auto" w:sz="4" w:space="0"/>
            </w:tcBorders>
            <w:shd w:val="clear" w:color="auto" w:fill="auto"/>
            <w:hideMark/>
          </w:tcPr>
          <w:p w:rsidRPr="00F501B1" w:rsidR="008E563E" w:rsidP="008E563E" w:rsidRDefault="008E563E" w14:paraId="61210033" w14:textId="77777777">
            <w:pPr>
              <w:rPr>
                <w:color w:val="000000"/>
                <w:sz w:val="20"/>
              </w:rPr>
            </w:pPr>
            <w:r w:rsidRPr="00F501B1">
              <w:rPr>
                <w:color w:val="000000"/>
                <w:sz w:val="20"/>
              </w:rPr>
              <w:t xml:space="preserve">0 </w:t>
            </w:r>
          </w:p>
        </w:tc>
        <w:tc>
          <w:tcPr>
            <w:tcW w:w="1228" w:type="dxa"/>
            <w:tcBorders>
              <w:top w:val="nil"/>
              <w:left w:val="nil"/>
              <w:bottom w:val="single" w:color="auto" w:sz="4" w:space="0"/>
              <w:right w:val="single" w:color="auto" w:sz="4" w:space="0"/>
            </w:tcBorders>
            <w:shd w:val="clear" w:color="auto" w:fill="auto"/>
            <w:hideMark/>
          </w:tcPr>
          <w:p w:rsidRPr="00F501B1" w:rsidR="008E563E" w:rsidP="008E563E" w:rsidRDefault="008E563E" w14:paraId="4A118D20" w14:textId="77777777">
            <w:pPr>
              <w:rPr>
                <w:color w:val="000000"/>
                <w:sz w:val="20"/>
              </w:rPr>
            </w:pPr>
            <w:r w:rsidRPr="00F501B1">
              <w:rPr>
                <w:color w:val="000000"/>
                <w:sz w:val="20"/>
              </w:rPr>
              <w:t>16 hours</w:t>
            </w:r>
          </w:p>
        </w:tc>
        <w:tc>
          <w:tcPr>
            <w:tcW w:w="1530" w:type="dxa"/>
            <w:tcBorders>
              <w:top w:val="nil"/>
              <w:left w:val="nil"/>
              <w:bottom w:val="single" w:color="auto" w:sz="4" w:space="0"/>
              <w:right w:val="single" w:color="auto" w:sz="4" w:space="0"/>
            </w:tcBorders>
            <w:shd w:val="clear" w:color="auto" w:fill="auto"/>
            <w:noWrap/>
            <w:hideMark/>
          </w:tcPr>
          <w:p w:rsidRPr="00F501B1" w:rsidR="008E563E" w:rsidP="008E563E" w:rsidRDefault="008E563E" w14:paraId="1E5FF458" w14:textId="77777777">
            <w:pPr>
              <w:rPr>
                <w:color w:val="000000"/>
                <w:sz w:val="20"/>
              </w:rPr>
            </w:pPr>
            <w:r w:rsidRPr="00F501B1">
              <w:rPr>
                <w:color w:val="000000"/>
                <w:sz w:val="20"/>
              </w:rPr>
              <w:t xml:space="preserve">0 </w:t>
            </w:r>
          </w:p>
        </w:tc>
        <w:tc>
          <w:tcPr>
            <w:tcW w:w="3103" w:type="dxa"/>
            <w:tcBorders>
              <w:top w:val="nil"/>
              <w:left w:val="nil"/>
              <w:bottom w:val="single" w:color="auto" w:sz="4" w:space="0"/>
              <w:right w:val="single" w:color="auto" w:sz="4" w:space="0"/>
            </w:tcBorders>
            <w:shd w:val="clear" w:color="auto" w:fill="auto"/>
            <w:hideMark/>
          </w:tcPr>
          <w:p w:rsidR="008E563E" w:rsidP="008E563E" w:rsidRDefault="008E563E" w14:paraId="622DA723" w14:textId="77777777">
            <w:pPr>
              <w:rPr>
                <w:color w:val="000000"/>
                <w:sz w:val="20"/>
              </w:rPr>
            </w:pPr>
            <w:r w:rsidRPr="00F501B1">
              <w:rPr>
                <w:color w:val="000000"/>
                <w:sz w:val="20"/>
              </w:rPr>
              <w:t>-16 hours</w:t>
            </w:r>
          </w:p>
          <w:p w:rsidR="008E563E" w:rsidP="008E563E" w:rsidRDefault="008E563E" w14:paraId="0C71DB62" w14:textId="77777777">
            <w:pPr>
              <w:rPr>
                <w:color w:val="000000"/>
                <w:sz w:val="20"/>
              </w:rPr>
            </w:pPr>
            <w:r>
              <w:rPr>
                <w:color w:val="000000"/>
                <w:sz w:val="20"/>
              </w:rPr>
              <w:t>- 2 responses</w:t>
            </w:r>
          </w:p>
          <w:p w:rsidR="008E563E" w:rsidP="008E563E" w:rsidRDefault="008E563E" w14:paraId="06FA0723" w14:textId="77777777">
            <w:pPr>
              <w:rPr>
                <w:color w:val="000000"/>
                <w:sz w:val="20"/>
              </w:rPr>
            </w:pPr>
          </w:p>
          <w:p w:rsidRPr="00F501B1" w:rsidR="008E563E" w:rsidP="008E563E" w:rsidRDefault="008E563E" w14:paraId="40F07699" w14:textId="77777777">
            <w:pPr>
              <w:rPr>
                <w:color w:val="000000"/>
                <w:sz w:val="20"/>
              </w:rPr>
            </w:pPr>
            <w:r w:rsidRPr="0088721B">
              <w:rPr>
                <w:i/>
                <w:sz w:val="20"/>
              </w:rPr>
              <w:t>FRA estimates that zero comments will be received</w:t>
            </w:r>
          </w:p>
        </w:tc>
      </w:tr>
      <w:tr w:rsidRPr="00F501B1" w:rsidR="008E563E" w:rsidTr="008E563E" w14:paraId="5EA29E28" w14:textId="77777777">
        <w:trPr>
          <w:trHeight w:val="3960"/>
        </w:trPr>
        <w:tc>
          <w:tcPr>
            <w:tcW w:w="1838" w:type="dxa"/>
            <w:tcBorders>
              <w:top w:val="nil"/>
              <w:left w:val="single" w:color="auto" w:sz="4" w:space="0"/>
              <w:bottom w:val="single" w:color="auto" w:sz="4" w:space="0"/>
              <w:right w:val="single" w:color="auto" w:sz="4" w:space="0"/>
            </w:tcBorders>
            <w:shd w:val="clear" w:color="auto" w:fill="auto"/>
            <w:hideMark/>
          </w:tcPr>
          <w:p w:rsidRPr="00F501B1" w:rsidR="008E563E" w:rsidP="008E563E" w:rsidRDefault="008E563E" w14:paraId="536E9EF8" w14:textId="77777777">
            <w:pPr>
              <w:rPr>
                <w:color w:val="000000"/>
                <w:sz w:val="20"/>
              </w:rPr>
            </w:pPr>
            <w:r w:rsidRPr="00F501B1">
              <w:rPr>
                <w:color w:val="000000"/>
                <w:sz w:val="20"/>
              </w:rPr>
              <w:t>224.109(a)—Inspection, repair, and replacement—Railroad freight cars—Railroads notification to person responsible for reporting mark after visual inspection for presence and condition when freight car on either side has less than 80% reflective sheeting of the damaged, obscured, or missing sheeting</w:t>
            </w:r>
          </w:p>
        </w:tc>
        <w:tc>
          <w:tcPr>
            <w:tcW w:w="1217" w:type="dxa"/>
            <w:tcBorders>
              <w:top w:val="nil"/>
              <w:left w:val="nil"/>
              <w:bottom w:val="single" w:color="auto" w:sz="4" w:space="0"/>
              <w:right w:val="single" w:color="auto" w:sz="4" w:space="0"/>
            </w:tcBorders>
            <w:shd w:val="clear" w:color="auto" w:fill="auto"/>
            <w:hideMark/>
          </w:tcPr>
          <w:p w:rsidR="008E563E" w:rsidP="008E563E" w:rsidRDefault="008E563E" w14:paraId="55D563B6" w14:textId="77777777">
            <w:pPr>
              <w:rPr>
                <w:color w:val="000000"/>
                <w:sz w:val="20"/>
              </w:rPr>
            </w:pPr>
            <w:r w:rsidRPr="00F501B1">
              <w:rPr>
                <w:color w:val="000000"/>
                <w:sz w:val="20"/>
              </w:rPr>
              <w:t>32,000 notifications</w:t>
            </w:r>
          </w:p>
          <w:p w:rsidRPr="00F501B1" w:rsidR="008E563E" w:rsidP="008E563E" w:rsidRDefault="009D7E78" w14:paraId="765F323A" w14:textId="77777777">
            <w:pPr>
              <w:rPr>
                <w:color w:val="000000"/>
                <w:sz w:val="20"/>
              </w:rPr>
            </w:pPr>
            <w:r>
              <w:rPr>
                <w:color w:val="000000"/>
                <w:sz w:val="20"/>
              </w:rPr>
              <w:t>(14 minutes)</w:t>
            </w:r>
          </w:p>
        </w:tc>
        <w:tc>
          <w:tcPr>
            <w:tcW w:w="1249" w:type="dxa"/>
            <w:tcBorders>
              <w:top w:val="nil"/>
              <w:left w:val="nil"/>
              <w:bottom w:val="single" w:color="auto" w:sz="4" w:space="0"/>
              <w:right w:val="single" w:color="auto" w:sz="4" w:space="0"/>
            </w:tcBorders>
            <w:shd w:val="clear" w:color="auto" w:fill="auto"/>
            <w:hideMark/>
          </w:tcPr>
          <w:p w:rsidRPr="00F501B1" w:rsidR="008E563E" w:rsidP="008E563E" w:rsidRDefault="008E563E" w14:paraId="3D16D79A" w14:textId="77777777">
            <w:pPr>
              <w:rPr>
                <w:color w:val="000000"/>
                <w:sz w:val="20"/>
              </w:rPr>
            </w:pPr>
            <w:r w:rsidRPr="00F501B1">
              <w:rPr>
                <w:color w:val="000000"/>
                <w:sz w:val="20"/>
              </w:rPr>
              <w:t xml:space="preserve">33,380 notifications </w:t>
            </w:r>
            <w:r w:rsidR="009D7E78">
              <w:rPr>
                <w:color w:val="000000"/>
                <w:sz w:val="20"/>
              </w:rPr>
              <w:t>(5 minutes)</w:t>
            </w:r>
          </w:p>
        </w:tc>
        <w:tc>
          <w:tcPr>
            <w:tcW w:w="1228" w:type="dxa"/>
            <w:tcBorders>
              <w:top w:val="nil"/>
              <w:left w:val="nil"/>
              <w:bottom w:val="single" w:color="auto" w:sz="4" w:space="0"/>
              <w:right w:val="single" w:color="auto" w:sz="4" w:space="0"/>
            </w:tcBorders>
            <w:shd w:val="clear" w:color="auto" w:fill="auto"/>
            <w:hideMark/>
          </w:tcPr>
          <w:p w:rsidRPr="00F501B1" w:rsidR="008E563E" w:rsidP="008E563E" w:rsidRDefault="008E563E" w14:paraId="305A0497" w14:textId="77777777">
            <w:pPr>
              <w:rPr>
                <w:color w:val="000000"/>
                <w:sz w:val="20"/>
              </w:rPr>
            </w:pPr>
            <w:r w:rsidRPr="00F501B1">
              <w:rPr>
                <w:color w:val="000000"/>
                <w:sz w:val="20"/>
              </w:rPr>
              <w:t>7,467 hours</w:t>
            </w:r>
          </w:p>
        </w:tc>
        <w:tc>
          <w:tcPr>
            <w:tcW w:w="1530" w:type="dxa"/>
            <w:tcBorders>
              <w:top w:val="nil"/>
              <w:left w:val="nil"/>
              <w:bottom w:val="single" w:color="auto" w:sz="4" w:space="0"/>
              <w:right w:val="single" w:color="auto" w:sz="4" w:space="0"/>
            </w:tcBorders>
            <w:shd w:val="clear" w:color="auto" w:fill="auto"/>
            <w:noWrap/>
            <w:hideMark/>
          </w:tcPr>
          <w:p w:rsidRPr="00F501B1" w:rsidR="008E563E" w:rsidP="008E563E" w:rsidRDefault="008E563E" w14:paraId="086EDFF0" w14:textId="77777777">
            <w:pPr>
              <w:rPr>
                <w:color w:val="000000"/>
                <w:sz w:val="20"/>
              </w:rPr>
            </w:pPr>
            <w:r w:rsidRPr="00F501B1">
              <w:rPr>
                <w:color w:val="000000"/>
                <w:sz w:val="20"/>
              </w:rPr>
              <w:t>2,782 hours</w:t>
            </w:r>
          </w:p>
        </w:tc>
        <w:tc>
          <w:tcPr>
            <w:tcW w:w="3103" w:type="dxa"/>
            <w:tcBorders>
              <w:top w:val="nil"/>
              <w:left w:val="nil"/>
              <w:bottom w:val="single" w:color="auto" w:sz="4" w:space="0"/>
              <w:right w:val="single" w:color="auto" w:sz="4" w:space="0"/>
            </w:tcBorders>
            <w:shd w:val="clear" w:color="auto" w:fill="auto"/>
            <w:hideMark/>
          </w:tcPr>
          <w:p w:rsidR="008E563E" w:rsidP="008E563E" w:rsidRDefault="008E563E" w14:paraId="2091ADD1" w14:textId="77777777">
            <w:pPr>
              <w:rPr>
                <w:color w:val="000000"/>
                <w:sz w:val="20"/>
              </w:rPr>
            </w:pPr>
            <w:r w:rsidRPr="00F501B1">
              <w:rPr>
                <w:color w:val="000000"/>
                <w:sz w:val="20"/>
              </w:rPr>
              <w:t>-4,685 hours</w:t>
            </w:r>
          </w:p>
          <w:p w:rsidR="008E563E" w:rsidP="008E563E" w:rsidRDefault="008E563E" w14:paraId="0FC5E42D" w14:textId="77777777">
            <w:pPr>
              <w:rPr>
                <w:color w:val="000000"/>
                <w:sz w:val="20"/>
              </w:rPr>
            </w:pPr>
            <w:r>
              <w:rPr>
                <w:color w:val="000000"/>
                <w:sz w:val="20"/>
              </w:rPr>
              <w:t xml:space="preserve">+ </w:t>
            </w:r>
            <w:r w:rsidRPr="00F501B1">
              <w:rPr>
                <w:color w:val="000000"/>
                <w:sz w:val="20"/>
              </w:rPr>
              <w:t>1,380</w:t>
            </w:r>
            <w:r>
              <w:rPr>
                <w:color w:val="000000"/>
                <w:sz w:val="20"/>
              </w:rPr>
              <w:t xml:space="preserve"> responses</w:t>
            </w:r>
          </w:p>
          <w:p w:rsidR="008E563E" w:rsidP="008E563E" w:rsidRDefault="008E563E" w14:paraId="35CF3D22" w14:textId="77777777">
            <w:pPr>
              <w:rPr>
                <w:color w:val="000000"/>
                <w:sz w:val="20"/>
              </w:rPr>
            </w:pPr>
          </w:p>
          <w:p w:rsidR="009D7E78" w:rsidP="008E563E" w:rsidRDefault="008E563E" w14:paraId="6A691053" w14:textId="77777777">
            <w:pPr>
              <w:rPr>
                <w:i/>
                <w:sz w:val="20"/>
              </w:rPr>
            </w:pPr>
            <w:r>
              <w:rPr>
                <w:i/>
                <w:sz w:val="20"/>
              </w:rPr>
              <w:t>The r</w:t>
            </w:r>
            <w:r w:rsidRPr="00234E01">
              <w:rPr>
                <w:i/>
                <w:sz w:val="20"/>
              </w:rPr>
              <w:t xml:space="preserve">eduction </w:t>
            </w:r>
            <w:r>
              <w:rPr>
                <w:i/>
                <w:sz w:val="20"/>
              </w:rPr>
              <w:t xml:space="preserve">is </w:t>
            </w:r>
            <w:r w:rsidRPr="00234E01">
              <w:rPr>
                <w:i/>
                <w:sz w:val="20"/>
              </w:rPr>
              <w:t xml:space="preserve">due to review of time to complete </w:t>
            </w:r>
            <w:r>
              <w:rPr>
                <w:i/>
                <w:sz w:val="20"/>
              </w:rPr>
              <w:t>a notification</w:t>
            </w:r>
            <w:r w:rsidRPr="00234E01">
              <w:rPr>
                <w:i/>
                <w:sz w:val="20"/>
              </w:rPr>
              <w:t>.</w:t>
            </w:r>
            <w:r>
              <w:rPr>
                <w:i/>
                <w:sz w:val="20"/>
              </w:rPr>
              <w:t xml:space="preserve"> The previous estimate contained non-PRA estimates, such as, </w:t>
            </w:r>
            <w:r w:rsidR="009D7E78">
              <w:rPr>
                <w:i/>
                <w:sz w:val="20"/>
              </w:rPr>
              <w:t>inspection and repair.  The</w:t>
            </w:r>
            <w:r w:rsidRPr="00234E01">
              <w:rPr>
                <w:i/>
                <w:sz w:val="20"/>
              </w:rPr>
              <w:t xml:space="preserve"> a</w:t>
            </w:r>
            <w:r w:rsidR="009D7E78">
              <w:rPr>
                <w:i/>
                <w:sz w:val="20"/>
              </w:rPr>
              <w:t xml:space="preserve">mount of time it takes to prepare is a notice is about 5 minutes. </w:t>
            </w:r>
          </w:p>
          <w:p w:rsidR="009D7E78" w:rsidP="008E563E" w:rsidRDefault="009D7E78" w14:paraId="5BA42B39" w14:textId="77777777">
            <w:pPr>
              <w:rPr>
                <w:i/>
                <w:sz w:val="20"/>
              </w:rPr>
            </w:pPr>
          </w:p>
          <w:p w:rsidRPr="00F501B1" w:rsidR="008E563E" w:rsidP="008E563E" w:rsidRDefault="009D7E78" w14:paraId="441B1933" w14:textId="77777777">
            <w:pPr>
              <w:rPr>
                <w:color w:val="000000"/>
                <w:sz w:val="20"/>
              </w:rPr>
            </w:pPr>
            <w:r>
              <w:rPr>
                <w:i/>
                <w:sz w:val="20"/>
              </w:rPr>
              <w:t xml:space="preserve">The number of </w:t>
            </w:r>
            <w:r w:rsidR="00727FD6">
              <w:rPr>
                <w:i/>
                <w:sz w:val="20"/>
              </w:rPr>
              <w:t>submissions</w:t>
            </w:r>
            <w:r>
              <w:rPr>
                <w:i/>
                <w:sz w:val="20"/>
              </w:rPr>
              <w:t xml:space="preserve"> has increased after a review of the source data from AAR.</w:t>
            </w:r>
          </w:p>
        </w:tc>
      </w:tr>
      <w:tr w:rsidRPr="00F501B1" w:rsidR="008E563E" w:rsidTr="008E563E" w14:paraId="21799966" w14:textId="77777777">
        <w:trPr>
          <w:trHeight w:val="2640"/>
        </w:trPr>
        <w:tc>
          <w:tcPr>
            <w:tcW w:w="1838" w:type="dxa"/>
            <w:tcBorders>
              <w:top w:val="nil"/>
              <w:left w:val="single" w:color="auto" w:sz="4" w:space="0"/>
              <w:bottom w:val="single" w:color="auto" w:sz="4" w:space="0"/>
              <w:right w:val="single" w:color="auto" w:sz="4" w:space="0"/>
            </w:tcBorders>
            <w:shd w:val="clear" w:color="auto" w:fill="auto"/>
            <w:hideMark/>
          </w:tcPr>
          <w:p w:rsidRPr="00F501B1" w:rsidR="008E563E" w:rsidP="008E563E" w:rsidRDefault="008E563E" w14:paraId="1F9A3C33" w14:textId="77777777">
            <w:pPr>
              <w:rPr>
                <w:color w:val="000000"/>
                <w:sz w:val="20"/>
              </w:rPr>
            </w:pPr>
            <w:r w:rsidRPr="00F501B1">
              <w:rPr>
                <w:color w:val="000000"/>
                <w:sz w:val="20"/>
              </w:rPr>
              <w:lastRenderedPageBreak/>
              <w:t>—(b) Locomotive record of freight retroreflective sheeting defects found after inspection kept in locomotive cab or in railroad accessible electronic database that FRA can access upon request.</w:t>
            </w:r>
          </w:p>
        </w:tc>
        <w:tc>
          <w:tcPr>
            <w:tcW w:w="1217" w:type="dxa"/>
            <w:tcBorders>
              <w:top w:val="nil"/>
              <w:left w:val="nil"/>
              <w:bottom w:val="single" w:color="auto" w:sz="4" w:space="0"/>
              <w:right w:val="single" w:color="auto" w:sz="4" w:space="0"/>
            </w:tcBorders>
            <w:shd w:val="clear" w:color="auto" w:fill="auto"/>
            <w:hideMark/>
          </w:tcPr>
          <w:p w:rsidR="008E563E" w:rsidP="008E563E" w:rsidRDefault="008E563E" w14:paraId="7B0437EE" w14:textId="77777777">
            <w:pPr>
              <w:rPr>
                <w:color w:val="000000"/>
                <w:sz w:val="20"/>
              </w:rPr>
            </w:pPr>
            <w:r w:rsidRPr="00F501B1">
              <w:rPr>
                <w:color w:val="000000"/>
                <w:sz w:val="20"/>
              </w:rPr>
              <w:t>2,657 records</w:t>
            </w:r>
          </w:p>
          <w:p w:rsidRPr="00F501B1" w:rsidR="009D7E78" w:rsidP="008E563E" w:rsidRDefault="009D7E78" w14:paraId="6BE2A9A2" w14:textId="77777777">
            <w:pPr>
              <w:rPr>
                <w:color w:val="000000"/>
                <w:sz w:val="20"/>
              </w:rPr>
            </w:pPr>
            <w:r>
              <w:rPr>
                <w:color w:val="000000"/>
                <w:sz w:val="20"/>
              </w:rPr>
              <w:t>(15 minutes)</w:t>
            </w:r>
          </w:p>
        </w:tc>
        <w:tc>
          <w:tcPr>
            <w:tcW w:w="1249" w:type="dxa"/>
            <w:tcBorders>
              <w:top w:val="nil"/>
              <w:left w:val="nil"/>
              <w:bottom w:val="single" w:color="auto" w:sz="4" w:space="0"/>
              <w:right w:val="single" w:color="auto" w:sz="4" w:space="0"/>
            </w:tcBorders>
            <w:shd w:val="clear" w:color="auto" w:fill="auto"/>
            <w:hideMark/>
          </w:tcPr>
          <w:p w:rsidR="008E563E" w:rsidP="008E563E" w:rsidRDefault="008E563E" w14:paraId="71929593" w14:textId="77777777">
            <w:pPr>
              <w:rPr>
                <w:color w:val="000000"/>
                <w:sz w:val="20"/>
              </w:rPr>
            </w:pPr>
            <w:r w:rsidRPr="00F501B1">
              <w:rPr>
                <w:color w:val="000000"/>
                <w:sz w:val="20"/>
              </w:rPr>
              <w:t xml:space="preserve">2,609 records </w:t>
            </w:r>
          </w:p>
          <w:p w:rsidRPr="00F501B1" w:rsidR="009D7E78" w:rsidP="008E563E" w:rsidRDefault="009D7E78" w14:paraId="1F810DA2" w14:textId="189A2BF7">
            <w:pPr>
              <w:rPr>
                <w:color w:val="000000"/>
                <w:sz w:val="20"/>
              </w:rPr>
            </w:pPr>
            <w:r>
              <w:rPr>
                <w:color w:val="000000"/>
                <w:sz w:val="20"/>
              </w:rPr>
              <w:t>(</w:t>
            </w:r>
            <w:r w:rsidR="00756C6F">
              <w:rPr>
                <w:color w:val="000000"/>
                <w:sz w:val="20"/>
              </w:rPr>
              <w:t xml:space="preserve">5 </w:t>
            </w:r>
            <w:r>
              <w:rPr>
                <w:color w:val="000000"/>
                <w:sz w:val="20"/>
              </w:rPr>
              <w:t>minutes)</w:t>
            </w:r>
          </w:p>
        </w:tc>
        <w:tc>
          <w:tcPr>
            <w:tcW w:w="1228" w:type="dxa"/>
            <w:tcBorders>
              <w:top w:val="nil"/>
              <w:left w:val="nil"/>
              <w:bottom w:val="single" w:color="auto" w:sz="4" w:space="0"/>
              <w:right w:val="single" w:color="auto" w:sz="4" w:space="0"/>
            </w:tcBorders>
            <w:shd w:val="clear" w:color="auto" w:fill="auto"/>
            <w:hideMark/>
          </w:tcPr>
          <w:p w:rsidRPr="00F501B1" w:rsidR="008E563E" w:rsidP="008E563E" w:rsidRDefault="008E563E" w14:paraId="34F4C29D" w14:textId="77777777">
            <w:pPr>
              <w:rPr>
                <w:color w:val="000000"/>
                <w:sz w:val="20"/>
              </w:rPr>
            </w:pPr>
            <w:r w:rsidRPr="00F501B1">
              <w:rPr>
                <w:color w:val="000000"/>
                <w:sz w:val="20"/>
              </w:rPr>
              <w:t>664 hours</w:t>
            </w:r>
          </w:p>
        </w:tc>
        <w:tc>
          <w:tcPr>
            <w:tcW w:w="1530" w:type="dxa"/>
            <w:tcBorders>
              <w:top w:val="nil"/>
              <w:left w:val="nil"/>
              <w:bottom w:val="single" w:color="auto" w:sz="4" w:space="0"/>
              <w:right w:val="single" w:color="auto" w:sz="4" w:space="0"/>
            </w:tcBorders>
            <w:shd w:val="clear" w:color="auto" w:fill="auto"/>
            <w:noWrap/>
            <w:hideMark/>
          </w:tcPr>
          <w:p w:rsidRPr="00F501B1" w:rsidR="008E563E" w:rsidP="008E563E" w:rsidRDefault="008E563E" w14:paraId="2CDAD4CE" w14:textId="77777777">
            <w:pPr>
              <w:rPr>
                <w:color w:val="000000"/>
                <w:sz w:val="20"/>
              </w:rPr>
            </w:pPr>
            <w:r w:rsidRPr="00F501B1">
              <w:rPr>
                <w:color w:val="000000"/>
                <w:sz w:val="20"/>
              </w:rPr>
              <w:t>217 hours</w:t>
            </w:r>
          </w:p>
        </w:tc>
        <w:tc>
          <w:tcPr>
            <w:tcW w:w="3103" w:type="dxa"/>
            <w:tcBorders>
              <w:top w:val="nil"/>
              <w:left w:val="nil"/>
              <w:bottom w:val="single" w:color="auto" w:sz="4" w:space="0"/>
              <w:right w:val="single" w:color="auto" w:sz="4" w:space="0"/>
            </w:tcBorders>
            <w:shd w:val="clear" w:color="auto" w:fill="auto"/>
            <w:hideMark/>
          </w:tcPr>
          <w:p w:rsidR="008E563E" w:rsidP="008E563E" w:rsidRDefault="008E563E" w14:paraId="6222BF85" w14:textId="77777777">
            <w:pPr>
              <w:rPr>
                <w:color w:val="000000"/>
                <w:sz w:val="20"/>
              </w:rPr>
            </w:pPr>
            <w:r w:rsidRPr="00F501B1">
              <w:rPr>
                <w:color w:val="000000"/>
                <w:sz w:val="20"/>
              </w:rPr>
              <w:t>-447 hours</w:t>
            </w:r>
          </w:p>
          <w:p w:rsidR="009D7E78" w:rsidP="008E563E" w:rsidRDefault="008E563E" w14:paraId="6A1A459A" w14:textId="77777777">
            <w:pPr>
              <w:rPr>
                <w:color w:val="000000"/>
                <w:sz w:val="20"/>
              </w:rPr>
            </w:pPr>
            <w:r>
              <w:rPr>
                <w:color w:val="000000"/>
                <w:sz w:val="20"/>
              </w:rPr>
              <w:t>-49 responses</w:t>
            </w:r>
          </w:p>
          <w:p w:rsidR="009D7E78" w:rsidP="008E563E" w:rsidRDefault="009D7E78" w14:paraId="0CED218E" w14:textId="77777777">
            <w:pPr>
              <w:rPr>
                <w:color w:val="000000"/>
                <w:sz w:val="20"/>
              </w:rPr>
            </w:pPr>
          </w:p>
          <w:p w:rsidR="009D7E78" w:rsidP="009D7E78" w:rsidRDefault="009D7E78" w14:paraId="002CFAB0" w14:textId="77777777">
            <w:pPr>
              <w:rPr>
                <w:i/>
                <w:sz w:val="20"/>
              </w:rPr>
            </w:pPr>
            <w:r>
              <w:rPr>
                <w:i/>
                <w:sz w:val="20"/>
              </w:rPr>
              <w:t>The r</w:t>
            </w:r>
            <w:r w:rsidRPr="00234E01">
              <w:rPr>
                <w:i/>
                <w:sz w:val="20"/>
              </w:rPr>
              <w:t xml:space="preserve">eduction </w:t>
            </w:r>
            <w:r>
              <w:rPr>
                <w:i/>
                <w:sz w:val="20"/>
              </w:rPr>
              <w:t xml:space="preserve">is </w:t>
            </w:r>
            <w:r w:rsidRPr="00234E01">
              <w:rPr>
                <w:i/>
                <w:sz w:val="20"/>
              </w:rPr>
              <w:t>due to review of estimated number of submission</w:t>
            </w:r>
            <w:r>
              <w:rPr>
                <w:i/>
                <w:sz w:val="20"/>
              </w:rPr>
              <w:t>s</w:t>
            </w:r>
            <w:r w:rsidRPr="00234E01">
              <w:rPr>
                <w:i/>
                <w:sz w:val="20"/>
              </w:rPr>
              <w:t xml:space="preserve"> expected to be received and </w:t>
            </w:r>
            <w:r>
              <w:rPr>
                <w:i/>
                <w:sz w:val="20"/>
              </w:rPr>
              <w:t>estimated</w:t>
            </w:r>
            <w:r w:rsidRPr="00234E01">
              <w:rPr>
                <w:i/>
                <w:sz w:val="20"/>
              </w:rPr>
              <w:t xml:space="preserve"> time to complete </w:t>
            </w:r>
            <w:r>
              <w:rPr>
                <w:i/>
                <w:sz w:val="20"/>
              </w:rPr>
              <w:t>a record</w:t>
            </w:r>
            <w:r w:rsidRPr="00234E01">
              <w:rPr>
                <w:i/>
                <w:sz w:val="20"/>
              </w:rPr>
              <w:t>.</w:t>
            </w:r>
            <w:r>
              <w:rPr>
                <w:i/>
                <w:sz w:val="20"/>
              </w:rPr>
              <w:t xml:space="preserve"> The previous estimate contained non-PRA estimates, such as, inspection and repair.  The</w:t>
            </w:r>
            <w:r w:rsidRPr="00234E01">
              <w:rPr>
                <w:i/>
                <w:sz w:val="20"/>
              </w:rPr>
              <w:t xml:space="preserve"> a</w:t>
            </w:r>
            <w:r>
              <w:rPr>
                <w:i/>
                <w:sz w:val="20"/>
              </w:rPr>
              <w:t xml:space="preserve">mount of time it takes </w:t>
            </w:r>
            <w:r w:rsidR="00727FD6">
              <w:rPr>
                <w:i/>
                <w:sz w:val="20"/>
              </w:rPr>
              <w:t>to record a defect</w:t>
            </w:r>
            <w:r>
              <w:rPr>
                <w:i/>
                <w:sz w:val="20"/>
              </w:rPr>
              <w:t xml:space="preserve"> is about 5 minutes. </w:t>
            </w:r>
          </w:p>
          <w:p w:rsidR="009D7E78" w:rsidP="009D7E78" w:rsidRDefault="009D7E78" w14:paraId="5899EAF5" w14:textId="77777777">
            <w:pPr>
              <w:rPr>
                <w:i/>
                <w:sz w:val="20"/>
              </w:rPr>
            </w:pPr>
          </w:p>
          <w:p w:rsidRPr="00F501B1" w:rsidR="008E563E" w:rsidP="009D7E78" w:rsidRDefault="009D7E78" w14:paraId="23D79B9D" w14:textId="77777777">
            <w:pPr>
              <w:rPr>
                <w:color w:val="000000"/>
                <w:sz w:val="20"/>
              </w:rPr>
            </w:pPr>
            <w:r>
              <w:rPr>
                <w:i/>
                <w:sz w:val="20"/>
              </w:rPr>
              <w:t xml:space="preserve">The number of </w:t>
            </w:r>
            <w:r w:rsidR="00727FD6">
              <w:rPr>
                <w:i/>
                <w:sz w:val="20"/>
              </w:rPr>
              <w:t>submissions</w:t>
            </w:r>
            <w:r>
              <w:rPr>
                <w:i/>
                <w:sz w:val="20"/>
              </w:rPr>
              <w:t xml:space="preserve"> </w:t>
            </w:r>
            <w:r w:rsidR="00727FD6">
              <w:rPr>
                <w:i/>
                <w:sz w:val="20"/>
              </w:rPr>
              <w:t>has de</w:t>
            </w:r>
            <w:r>
              <w:rPr>
                <w:i/>
                <w:sz w:val="20"/>
              </w:rPr>
              <w:t>creased after a review of the source data from AAR.</w:t>
            </w:r>
          </w:p>
        </w:tc>
      </w:tr>
    </w:tbl>
    <w:p w:rsidR="0019493A" w:rsidP="00C54F62" w:rsidRDefault="0019493A" w14:paraId="50FE9CD8" w14:textId="77777777">
      <w:pPr>
        <w:ind w:firstLine="720"/>
      </w:pPr>
    </w:p>
    <w:p w:rsidRPr="00C54F62" w:rsidR="004B0CF7" w:rsidP="00C54F62" w:rsidRDefault="00FC6CE6" w14:paraId="52D3EC8D" w14:textId="77777777">
      <w:pPr>
        <w:ind w:firstLine="720"/>
      </w:pPr>
      <w:r>
        <w:t>T</w:t>
      </w:r>
      <w:r w:rsidR="00172AB7">
        <w:t xml:space="preserve">here </w:t>
      </w:r>
      <w:r>
        <w:t xml:space="preserve">is </w:t>
      </w:r>
      <w:r w:rsidRPr="00F2731E">
        <w:rPr>
          <w:u w:val="single"/>
        </w:rPr>
        <w:t>no</w:t>
      </w:r>
      <w:r>
        <w:t xml:space="preserve"> change in cost to respondents.</w:t>
      </w:r>
    </w:p>
    <w:p w:rsidR="001069B7" w:rsidRDefault="001069B7" w14:paraId="2726AE26" w14:textId="77777777">
      <w:pPr>
        <w:rPr>
          <w:b/>
        </w:rPr>
      </w:pPr>
      <w:r>
        <w:rPr>
          <w:b/>
        </w:rPr>
        <w:tab/>
      </w:r>
      <w:r>
        <w:rPr>
          <w:b/>
        </w:rPr>
        <w:tab/>
      </w:r>
      <w:r>
        <w:rPr>
          <w:b/>
        </w:rPr>
        <w:tab/>
      </w:r>
      <w:r>
        <w:rPr>
          <w:b/>
        </w:rPr>
        <w:tab/>
      </w:r>
      <w:r>
        <w:rPr>
          <w:b/>
        </w:rPr>
        <w:tab/>
      </w:r>
    </w:p>
    <w:p w:rsidR="001069B7" w:rsidRDefault="00056E03" w14:paraId="11F3A1E1" w14:textId="77777777">
      <w:pPr>
        <w:ind w:left="720" w:hanging="720"/>
        <w:rPr>
          <w:b/>
        </w:rPr>
      </w:pPr>
      <w:r w:rsidRPr="00AD423C">
        <w:rPr>
          <w:b/>
        </w:rPr>
        <w:t>16.</w:t>
      </w:r>
      <w:r w:rsidRPr="00AD423C">
        <w:rPr>
          <w:b/>
        </w:rPr>
        <w:tab/>
      </w:r>
      <w:r w:rsidRPr="00AD423C">
        <w:rPr>
          <w:b/>
          <w:u w:val="single"/>
        </w:rPr>
        <w:t>Publication of results of data collection</w:t>
      </w:r>
      <w:r w:rsidRPr="00AD423C">
        <w:rPr>
          <w:b/>
        </w:rPr>
        <w:t>.</w:t>
      </w:r>
    </w:p>
    <w:p w:rsidR="001069B7" w:rsidRDefault="001069B7" w14:paraId="4A95DF72" w14:textId="77777777">
      <w:pPr>
        <w:rPr>
          <w:b/>
        </w:rPr>
      </w:pPr>
    </w:p>
    <w:p w:rsidR="001069B7" w:rsidRDefault="001069B7" w14:paraId="72AA06C8" w14:textId="77777777">
      <w:pPr>
        <w:ind w:left="720"/>
        <w:rPr>
          <w:b/>
        </w:rPr>
      </w:pPr>
      <w:r>
        <w:t>There are no plans for publication of this submission.</w:t>
      </w:r>
    </w:p>
    <w:p w:rsidR="0016684C" w:rsidRDefault="0016684C" w14:paraId="7FD315D9" w14:textId="77777777">
      <w:pPr>
        <w:ind w:left="720" w:hanging="720"/>
        <w:rPr>
          <w:b/>
        </w:rPr>
      </w:pPr>
    </w:p>
    <w:p w:rsidR="001069B7" w:rsidRDefault="00886B32" w14:paraId="5FFA14F3" w14:textId="77777777">
      <w:pPr>
        <w:ind w:left="720" w:hanging="720"/>
        <w:rPr>
          <w:b/>
        </w:rPr>
      </w:pPr>
      <w:r w:rsidRPr="00AD423C">
        <w:rPr>
          <w:b/>
        </w:rPr>
        <w:t>17.</w:t>
      </w:r>
      <w:r w:rsidRPr="00AD423C">
        <w:rPr>
          <w:b/>
        </w:rPr>
        <w:tab/>
      </w:r>
      <w:r w:rsidRPr="00AD423C">
        <w:rPr>
          <w:b/>
          <w:u w:val="single"/>
        </w:rPr>
        <w:t>Approval for not displaying the expiration date for OMB approval</w:t>
      </w:r>
      <w:r w:rsidRPr="00AD423C">
        <w:rPr>
          <w:b/>
        </w:rPr>
        <w:t>.</w:t>
      </w:r>
    </w:p>
    <w:p w:rsidR="001069B7" w:rsidRDefault="001069B7" w14:paraId="18029681" w14:textId="77777777">
      <w:pPr>
        <w:ind w:left="720"/>
        <w:rPr>
          <w:b/>
        </w:rPr>
      </w:pPr>
    </w:p>
    <w:p w:rsidR="001069B7" w:rsidP="00EB3BDC" w:rsidRDefault="001069B7" w14:paraId="36549FBE" w14:textId="77777777">
      <w:pPr>
        <w:ind w:left="720"/>
      </w:pPr>
      <w:r>
        <w:t xml:space="preserve">Once OMB approval is received, FRA will publish the approval number for these information collection requirements in the </w:t>
      </w:r>
      <w:r>
        <w:rPr>
          <w:u w:val="single"/>
        </w:rPr>
        <w:t>Federal</w:t>
      </w:r>
      <w:r>
        <w:t xml:space="preserve"> </w:t>
      </w:r>
      <w:r>
        <w:rPr>
          <w:u w:val="single"/>
        </w:rPr>
        <w:t>Register</w:t>
      </w:r>
      <w:r>
        <w:t>.</w:t>
      </w:r>
    </w:p>
    <w:p w:rsidR="00886B32" w:rsidP="00EB3BDC" w:rsidRDefault="00886B32" w14:paraId="6780FD6F" w14:textId="77777777">
      <w:pPr>
        <w:ind w:left="720"/>
        <w:rPr>
          <w:b/>
        </w:rPr>
      </w:pPr>
    </w:p>
    <w:p w:rsidR="00A8048F" w:rsidP="00A8048F" w:rsidRDefault="00A8048F" w14:paraId="5A877B1E" w14:textId="77777777">
      <w:pPr>
        <w:rPr>
          <w:color w:val="000000"/>
        </w:rPr>
      </w:pPr>
      <w:r w:rsidRPr="00AD423C">
        <w:rPr>
          <w:b/>
        </w:rPr>
        <w:t>18.</w:t>
      </w:r>
      <w:r w:rsidRPr="00AD423C">
        <w:rPr>
          <w:b/>
        </w:rPr>
        <w:tab/>
      </w:r>
      <w:r w:rsidRPr="00AD423C">
        <w:rPr>
          <w:b/>
          <w:u w:val="single"/>
        </w:rPr>
        <w:t>Exception to certification statement</w:t>
      </w:r>
      <w:r w:rsidRPr="00AD423C">
        <w:rPr>
          <w:b/>
        </w:rPr>
        <w:t>.</w:t>
      </w:r>
    </w:p>
    <w:p w:rsidR="001069B7" w:rsidRDefault="001069B7" w14:paraId="1A8B080A" w14:textId="77777777">
      <w:pPr>
        <w:ind w:left="720" w:hanging="720"/>
        <w:rPr>
          <w:b/>
        </w:rPr>
      </w:pPr>
    </w:p>
    <w:p w:rsidR="001078FE" w:rsidP="001078FE" w:rsidRDefault="001078FE" w14:paraId="62C02ED0" w14:textId="77777777">
      <w:pPr>
        <w:widowControl w:val="0"/>
        <w:ind w:left="720"/>
      </w:pPr>
      <w:bookmarkStart w:name="QuickMark_1" w:id="2"/>
      <w:bookmarkEnd w:id="2"/>
      <w:r>
        <w:t xml:space="preserve">No exceptions are taken </w:t>
      </w:r>
      <w:proofErr w:type="gramStart"/>
      <w:r>
        <w:t>at this time</w:t>
      </w:r>
      <w:proofErr w:type="gramEnd"/>
      <w:r>
        <w:t>.</w:t>
      </w:r>
    </w:p>
    <w:p w:rsidR="001078FE" w:rsidP="001078FE" w:rsidRDefault="001078FE" w14:paraId="01D0D0D6" w14:textId="77777777">
      <w:pPr>
        <w:widowControl w:val="0"/>
        <w:ind w:left="720"/>
      </w:pPr>
    </w:p>
    <w:p w:rsidR="001078FE" w:rsidP="001078FE" w:rsidRDefault="001078FE" w14:paraId="42E84B1A" w14:textId="77777777">
      <w:pPr>
        <w:widowControl w:val="0"/>
        <w:ind w:left="720"/>
      </w:pPr>
      <w:r>
        <w:rPr>
          <w:u w:val="single"/>
        </w:rPr>
        <w:t>Meeting Department of Transportation (DOT) Strategic Goals</w:t>
      </w:r>
    </w:p>
    <w:p w:rsidR="001078FE" w:rsidP="001078FE" w:rsidRDefault="001078FE" w14:paraId="6496087A" w14:textId="77777777">
      <w:pPr>
        <w:widowControl w:val="0"/>
      </w:pPr>
    </w:p>
    <w:p w:rsidR="007900F1" w:rsidP="001078FE" w:rsidRDefault="001078FE" w14:paraId="6AD00D9B" w14:textId="77777777">
      <w:pPr>
        <w:widowControl w:val="0"/>
        <w:ind w:left="720"/>
        <w:rPr>
          <w:rFonts w:ascii="Courier New" w:hAnsi="Courier New"/>
        </w:rPr>
      </w:pPr>
      <w:r>
        <w:t xml:space="preserve">In this information collection, as in all its information collection activities, FRA seeks to do its utmost to fulfill DOT Strategic Goals and to be an integral part of One DOT.  </w:t>
      </w:r>
      <w:r>
        <w:rPr>
          <w:rFonts w:ascii="Courier New" w:hAnsi="Courier New"/>
        </w:rPr>
        <w:t xml:space="preserve"> </w:t>
      </w:r>
    </w:p>
    <w:p w:rsidR="001078FE" w:rsidP="001078FE" w:rsidRDefault="001078FE" w14:paraId="4AA6D29E" w14:textId="77777777">
      <w:pPr>
        <w:widowControl w:val="0"/>
        <w:ind w:left="720"/>
      </w:pPr>
      <w:r>
        <w:rPr>
          <w:rFonts w:ascii="Courier New" w:hAnsi="Courier New"/>
        </w:rPr>
        <w:t xml:space="preserve"> </w:t>
      </w:r>
    </w:p>
    <w:p w:rsidR="001069B7" w:rsidRDefault="001069B7" w14:paraId="7CEAD308" w14:textId="77777777">
      <w:pPr>
        <w:spacing w:line="0" w:lineRule="atLeast"/>
        <w:ind w:left="720"/>
      </w:pPr>
    </w:p>
    <w:sectPr w:rsidR="001069B7" w:rsidSect="004B2288">
      <w:headerReference w:type="even" r:id="rId11"/>
      <w:headerReference w:type="default" r:id="rId12"/>
      <w:footerReference w:type="even" r:id="rId13"/>
      <w:footerReference w:type="default" r:id="rId14"/>
      <w:pgSz w:w="12240" w:h="15840"/>
      <w:pgMar w:top="1350" w:right="1440" w:bottom="1920" w:left="1440" w:header="135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6059" w14:textId="77777777" w:rsidR="009C6103" w:rsidRDefault="009C6103">
      <w:r>
        <w:separator/>
      </w:r>
    </w:p>
  </w:endnote>
  <w:endnote w:type="continuationSeparator" w:id="0">
    <w:p w14:paraId="07E88970" w14:textId="77777777" w:rsidR="009C6103" w:rsidRDefault="009C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F3C7" w14:textId="076513D9" w:rsidR="000136EF" w:rsidRDefault="000136EF" w:rsidP="00106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9A6">
      <w:rPr>
        <w:rStyle w:val="PageNumber"/>
        <w:noProof/>
      </w:rPr>
      <w:t>8</w:t>
    </w:r>
    <w:r>
      <w:rPr>
        <w:rStyle w:val="PageNumber"/>
      </w:rPr>
      <w:fldChar w:fldCharType="end"/>
    </w:r>
  </w:p>
  <w:p w14:paraId="4DACD77C" w14:textId="77777777" w:rsidR="000136EF" w:rsidRDefault="000136EF" w:rsidP="004647C0">
    <w:pPr>
      <w:tabs>
        <w:tab w:val="left" w:pos="-11"/>
        <w:tab w:val="center" w:pos="2390"/>
        <w:tab w:val="left" w:pos="-11"/>
        <w:tab w:val="right" w:pos="2392"/>
        <w:tab w:val="right" w:pos="-10"/>
        <w:tab w:val="decimal" w:pos="2388"/>
        <w:tab w:val="left" w:pos="-10"/>
        <w:tab w:val="right" w:pos="2387"/>
        <w:tab w:val="left" w:pos="-10"/>
        <w:tab w:val="center" w:pos="2389"/>
        <w:tab w:val="left" w:pos="-10"/>
        <w:tab w:val="right" w:pos="2386"/>
        <w:tab w:val="right" w:pos="-8"/>
        <w:tab w:val="right" w:pos="2408"/>
        <w:tab w:val="left" w:pos="-8"/>
        <w:tab w:val="right" w:pos="2406"/>
        <w:tab w:val="left" w:pos="-8"/>
        <w:tab w:val="right" w:pos="2405"/>
        <w:tab w:val="left" w:pos="-8"/>
        <w:tab w:val="right" w:pos="2407"/>
        <w:tab w:val="decimal" w:pos="-7"/>
        <w:tab w:val="center" w:pos="2396"/>
        <w:tab w:val="left" w:pos="-7"/>
        <w:tab w:val="right" w:pos="2395"/>
        <w:tab w:val="left" w:pos="-7"/>
        <w:tab w:val="right" w:pos="2398"/>
        <w:tab w:val="left" w:pos="-7"/>
        <w:tab w:val="right" w:pos="2399"/>
        <w:tab w:val="decimal" w:pos="-6"/>
        <w:tab w:val="left" w:pos="2402"/>
        <w:tab w:val="left" w:pos="-6"/>
        <w:tab w:val="right" w:pos="2404"/>
        <w:tab w:val="left" w:pos="-6"/>
        <w:tab w:val="left" w:pos="2401"/>
        <w:tab w:val="left" w:pos="-6"/>
        <w:tab w:val="right" w:pos="2400"/>
        <w:tab w:val="right" w:pos="-5"/>
        <w:tab w:val="center" w:pos="2416"/>
        <w:tab w:val="left" w:pos="-5"/>
        <w:tab w:val="right" w:pos="2414"/>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EAEB" w14:textId="300FBEA9" w:rsidR="000136EF" w:rsidRDefault="000136EF" w:rsidP="00106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9A6">
      <w:rPr>
        <w:rStyle w:val="PageNumber"/>
        <w:noProof/>
      </w:rPr>
      <w:t>11</w:t>
    </w:r>
    <w:r>
      <w:rPr>
        <w:rStyle w:val="PageNumber"/>
      </w:rPr>
      <w:fldChar w:fldCharType="end"/>
    </w:r>
  </w:p>
  <w:p w14:paraId="3486F072" w14:textId="77777777" w:rsidR="000136EF" w:rsidRDefault="000136EF" w:rsidP="004647C0">
    <w:pPr>
      <w:tabs>
        <w:tab w:val="left" w:pos="-11"/>
        <w:tab w:val="center" w:pos="2390"/>
        <w:tab w:val="left" w:pos="-11"/>
        <w:tab w:val="right" w:pos="2392"/>
        <w:tab w:val="right" w:pos="-10"/>
        <w:tab w:val="decimal" w:pos="2388"/>
        <w:tab w:val="left" w:pos="-10"/>
        <w:tab w:val="right" w:pos="2387"/>
        <w:tab w:val="left" w:pos="-10"/>
        <w:tab w:val="center" w:pos="2389"/>
        <w:tab w:val="left" w:pos="-10"/>
        <w:tab w:val="right" w:pos="2386"/>
        <w:tab w:val="right" w:pos="-8"/>
        <w:tab w:val="right" w:pos="2408"/>
        <w:tab w:val="left" w:pos="-8"/>
        <w:tab w:val="right" w:pos="2406"/>
        <w:tab w:val="left" w:pos="-8"/>
        <w:tab w:val="right" w:pos="2405"/>
        <w:tab w:val="left" w:pos="-8"/>
        <w:tab w:val="right" w:pos="2407"/>
        <w:tab w:val="decimal" w:pos="-7"/>
        <w:tab w:val="center" w:pos="2396"/>
        <w:tab w:val="left" w:pos="-7"/>
        <w:tab w:val="right" w:pos="2395"/>
        <w:tab w:val="left" w:pos="-7"/>
        <w:tab w:val="right" w:pos="2398"/>
        <w:tab w:val="left" w:pos="-7"/>
        <w:tab w:val="right" w:pos="2399"/>
        <w:tab w:val="decimal" w:pos="-6"/>
        <w:tab w:val="left" w:pos="2402"/>
        <w:tab w:val="left" w:pos="-6"/>
        <w:tab w:val="right" w:pos="2404"/>
        <w:tab w:val="left" w:pos="-6"/>
        <w:tab w:val="left" w:pos="2401"/>
        <w:tab w:val="left" w:pos="-6"/>
        <w:tab w:val="right" w:pos="2400"/>
        <w:tab w:val="right" w:pos="-5"/>
        <w:tab w:val="center" w:pos="2416"/>
        <w:tab w:val="left" w:pos="-5"/>
        <w:tab w:val="right" w:pos="2414"/>
      </w:tabs>
      <w:spacing w:line="0" w:lineRule="atLea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6BBC" w14:textId="77777777" w:rsidR="009C6103" w:rsidRDefault="009C6103">
      <w:r>
        <w:separator/>
      </w:r>
    </w:p>
  </w:footnote>
  <w:footnote w:type="continuationSeparator" w:id="0">
    <w:p w14:paraId="4EBB2EF8" w14:textId="77777777" w:rsidR="009C6103" w:rsidRDefault="009C6103">
      <w:r>
        <w:continuationSeparator/>
      </w:r>
    </w:p>
  </w:footnote>
  <w:footnote w:id="1">
    <w:p w14:paraId="47036D92" w14:textId="77777777" w:rsidR="000C2D40" w:rsidRPr="00483BC8" w:rsidRDefault="000C2D40">
      <w:pPr>
        <w:pStyle w:val="FootnoteText"/>
        <w:rPr>
          <w:sz w:val="20"/>
        </w:rPr>
      </w:pPr>
      <w:r w:rsidRPr="0019493A">
        <w:rPr>
          <w:rStyle w:val="FootnoteReference"/>
          <w:sz w:val="20"/>
        </w:rPr>
        <w:footnoteRef/>
      </w:r>
      <w:r w:rsidRPr="0019493A">
        <w:rPr>
          <w:sz w:val="20"/>
        </w:rPr>
        <w:t xml:space="preserve"> </w:t>
      </w:r>
      <w:r w:rsidR="00483BC8" w:rsidRPr="0019493A">
        <w:rPr>
          <w:sz w:val="20"/>
        </w:rPr>
        <w:t>70 FR 62176, Oct. 28, 2005</w:t>
      </w:r>
      <w:r w:rsidRPr="0019493A">
        <w:rPr>
          <w:sz w:val="20"/>
        </w:rPr>
        <w:t>.</w:t>
      </w:r>
    </w:p>
  </w:footnote>
  <w:footnote w:id="2">
    <w:p w14:paraId="698F5C91" w14:textId="1D8775FB" w:rsidR="00C5033F" w:rsidRPr="00D61092" w:rsidRDefault="00C5033F" w:rsidP="00D61092">
      <w:pPr>
        <w:pStyle w:val="FootnoteText"/>
        <w:ind w:firstLine="0"/>
        <w:rPr>
          <w:sz w:val="20"/>
        </w:rPr>
      </w:pPr>
      <w:r w:rsidRPr="00D61092">
        <w:rPr>
          <w:rStyle w:val="FootnoteReference"/>
          <w:sz w:val="20"/>
        </w:rPr>
        <w:footnoteRef/>
      </w:r>
      <w:r w:rsidRPr="00D61092">
        <w:rPr>
          <w:sz w:val="20"/>
        </w:rPr>
        <w:t xml:space="preserve"> </w:t>
      </w:r>
      <w:r w:rsidR="009C16B1" w:rsidRPr="009C16B1">
        <w:rPr>
          <w:i/>
          <w:sz w:val="20"/>
        </w:rPr>
        <w:t xml:space="preserve">85 FR 44357.  </w:t>
      </w:r>
    </w:p>
  </w:footnote>
  <w:footnote w:id="3">
    <w:p w14:paraId="3BDF2169" w14:textId="77777777" w:rsidR="004B2288" w:rsidRDefault="004B2288" w:rsidP="004B2288">
      <w:pPr>
        <w:pStyle w:val="FootnoteText"/>
      </w:pPr>
      <w:r>
        <w:rPr>
          <w:rStyle w:val="FootnoteReference"/>
        </w:rPr>
        <w:footnoteRef/>
      </w:r>
      <w:r>
        <w:t xml:space="preserve"> </w:t>
      </w:r>
      <w:r w:rsidRPr="00A2126D">
        <w:rPr>
          <w:sz w:val="20"/>
        </w:rPr>
        <w:t>Includes burdens associated with §§ 224.101 and 224.103(e).</w:t>
      </w:r>
    </w:p>
  </w:footnote>
  <w:footnote w:id="4">
    <w:p w14:paraId="7A1180D9" w14:textId="77777777" w:rsidR="00875223" w:rsidRPr="00C031B3" w:rsidRDefault="00875223" w:rsidP="00875223">
      <w:pPr>
        <w:pStyle w:val="FootnoteText"/>
        <w:ind w:firstLine="0"/>
        <w:rPr>
          <w:sz w:val="20"/>
        </w:rPr>
      </w:pPr>
      <w:r w:rsidRPr="00C031B3">
        <w:rPr>
          <w:rStyle w:val="FootnoteReference"/>
          <w:sz w:val="20"/>
        </w:rPr>
        <w:footnoteRef/>
      </w:r>
      <w:r w:rsidRPr="00C031B3">
        <w:rPr>
          <w:b/>
          <w:sz w:val="20"/>
        </w:rPr>
        <w:t xml:space="preserve"> </w:t>
      </w:r>
      <w:r>
        <w:rPr>
          <w:sz w:val="20"/>
        </w:rPr>
        <w:t>GS-14, Step 5 annual wage rate of $66.10 x 75% overhead = $115.68.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CAB7" w14:textId="77777777" w:rsidR="000136EF" w:rsidRDefault="000136EF">
    <w:pPr>
      <w:tabs>
        <w:tab w:val="left" w:pos="-11"/>
        <w:tab w:val="center" w:pos="2390"/>
        <w:tab w:val="left" w:pos="-11"/>
        <w:tab w:val="right" w:pos="2392"/>
        <w:tab w:val="right" w:pos="-10"/>
        <w:tab w:val="decimal" w:pos="2388"/>
        <w:tab w:val="left" w:pos="-10"/>
        <w:tab w:val="right" w:pos="2387"/>
        <w:tab w:val="left" w:pos="-10"/>
        <w:tab w:val="center" w:pos="2389"/>
        <w:tab w:val="left" w:pos="-10"/>
        <w:tab w:val="right" w:pos="2386"/>
        <w:tab w:val="right" w:pos="-8"/>
        <w:tab w:val="right" w:pos="2408"/>
        <w:tab w:val="left" w:pos="-8"/>
        <w:tab w:val="right" w:pos="2406"/>
        <w:tab w:val="left" w:pos="-8"/>
        <w:tab w:val="right" w:pos="2405"/>
        <w:tab w:val="left" w:pos="-8"/>
        <w:tab w:val="right" w:pos="2407"/>
        <w:tab w:val="decimal" w:pos="-7"/>
        <w:tab w:val="center" w:pos="2396"/>
        <w:tab w:val="left" w:pos="-7"/>
        <w:tab w:val="right" w:pos="2395"/>
        <w:tab w:val="left" w:pos="-7"/>
        <w:tab w:val="right" w:pos="2398"/>
        <w:tab w:val="left" w:pos="-7"/>
        <w:tab w:val="right" w:pos="2399"/>
        <w:tab w:val="decimal" w:pos="-6"/>
        <w:tab w:val="left" w:pos="2402"/>
        <w:tab w:val="left" w:pos="-6"/>
        <w:tab w:val="right" w:pos="2404"/>
        <w:tab w:val="left" w:pos="-6"/>
        <w:tab w:val="left" w:pos="2401"/>
        <w:tab w:val="left" w:pos="-6"/>
        <w:tab w:val="right" w:pos="2400"/>
        <w:tab w:val="right" w:pos="-5"/>
        <w:tab w:val="center" w:pos="2416"/>
        <w:tab w:val="left" w:pos="-5"/>
        <w:tab w:val="right" w:pos="24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F5659" w14:textId="77777777" w:rsidR="000136EF" w:rsidRDefault="000136EF">
    <w:pPr>
      <w:tabs>
        <w:tab w:val="left" w:pos="-11"/>
        <w:tab w:val="center" w:pos="2390"/>
        <w:tab w:val="left" w:pos="-11"/>
        <w:tab w:val="right" w:pos="2392"/>
        <w:tab w:val="right" w:pos="-10"/>
        <w:tab w:val="decimal" w:pos="2388"/>
        <w:tab w:val="left" w:pos="-10"/>
        <w:tab w:val="right" w:pos="2387"/>
        <w:tab w:val="left" w:pos="-10"/>
        <w:tab w:val="center" w:pos="2389"/>
        <w:tab w:val="left" w:pos="-10"/>
        <w:tab w:val="right" w:pos="2386"/>
        <w:tab w:val="right" w:pos="-8"/>
        <w:tab w:val="right" w:pos="2408"/>
        <w:tab w:val="left" w:pos="-8"/>
        <w:tab w:val="right" w:pos="2406"/>
        <w:tab w:val="left" w:pos="-8"/>
        <w:tab w:val="right" w:pos="2405"/>
        <w:tab w:val="left" w:pos="-8"/>
        <w:tab w:val="right" w:pos="2407"/>
        <w:tab w:val="decimal" w:pos="-7"/>
        <w:tab w:val="center" w:pos="2396"/>
        <w:tab w:val="left" w:pos="-7"/>
        <w:tab w:val="right" w:pos="2395"/>
        <w:tab w:val="left" w:pos="-7"/>
        <w:tab w:val="right" w:pos="2398"/>
        <w:tab w:val="left" w:pos="-7"/>
        <w:tab w:val="right" w:pos="2399"/>
        <w:tab w:val="decimal" w:pos="-6"/>
        <w:tab w:val="left" w:pos="2402"/>
        <w:tab w:val="left" w:pos="-6"/>
        <w:tab w:val="right" w:pos="2404"/>
        <w:tab w:val="left" w:pos="-6"/>
        <w:tab w:val="left" w:pos="2401"/>
        <w:tab w:val="left" w:pos="-6"/>
        <w:tab w:val="right" w:pos="2400"/>
        <w:tab w:val="right" w:pos="-5"/>
        <w:tab w:val="center" w:pos="2416"/>
        <w:tab w:val="left" w:pos="-5"/>
        <w:tab w:val="right" w:pos="24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4"/>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6"/>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15:restartNumberingAfterBreak="0">
    <w:nsid w:val="0E115BAF"/>
    <w:multiLevelType w:val="hybridMultilevel"/>
    <w:tmpl w:val="CC021DC2"/>
    <w:lvl w:ilvl="0" w:tplc="7F3A4B94">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CF55A6"/>
    <w:multiLevelType w:val="hybridMultilevel"/>
    <w:tmpl w:val="23BC4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24"/>
    <w:rsid w:val="00003A45"/>
    <w:rsid w:val="00004383"/>
    <w:rsid w:val="00005FB5"/>
    <w:rsid w:val="00006D65"/>
    <w:rsid w:val="0001213F"/>
    <w:rsid w:val="000122D0"/>
    <w:rsid w:val="000136EF"/>
    <w:rsid w:val="000403A1"/>
    <w:rsid w:val="0004070C"/>
    <w:rsid w:val="00042248"/>
    <w:rsid w:val="00043398"/>
    <w:rsid w:val="000439B9"/>
    <w:rsid w:val="0004610B"/>
    <w:rsid w:val="00046D2F"/>
    <w:rsid w:val="0004794F"/>
    <w:rsid w:val="00051A8F"/>
    <w:rsid w:val="000543B9"/>
    <w:rsid w:val="000547F4"/>
    <w:rsid w:val="000559D6"/>
    <w:rsid w:val="00056BBD"/>
    <w:rsid w:val="00056E03"/>
    <w:rsid w:val="0005706B"/>
    <w:rsid w:val="00057A75"/>
    <w:rsid w:val="0006043C"/>
    <w:rsid w:val="00064AE1"/>
    <w:rsid w:val="0006549A"/>
    <w:rsid w:val="0006552D"/>
    <w:rsid w:val="00065FE3"/>
    <w:rsid w:val="000729C9"/>
    <w:rsid w:val="00073628"/>
    <w:rsid w:val="000741DB"/>
    <w:rsid w:val="00074646"/>
    <w:rsid w:val="00077CA0"/>
    <w:rsid w:val="00077D57"/>
    <w:rsid w:val="00082575"/>
    <w:rsid w:val="00083186"/>
    <w:rsid w:val="000839E4"/>
    <w:rsid w:val="00083D55"/>
    <w:rsid w:val="00084570"/>
    <w:rsid w:val="0008467D"/>
    <w:rsid w:val="00090326"/>
    <w:rsid w:val="00090DB5"/>
    <w:rsid w:val="00094295"/>
    <w:rsid w:val="0009703C"/>
    <w:rsid w:val="000A158A"/>
    <w:rsid w:val="000A220E"/>
    <w:rsid w:val="000A28A6"/>
    <w:rsid w:val="000A3573"/>
    <w:rsid w:val="000B2707"/>
    <w:rsid w:val="000B3526"/>
    <w:rsid w:val="000C2D40"/>
    <w:rsid w:val="000C54DB"/>
    <w:rsid w:val="000D37C0"/>
    <w:rsid w:val="000D41E9"/>
    <w:rsid w:val="000D48A6"/>
    <w:rsid w:val="000D4EF8"/>
    <w:rsid w:val="000D572F"/>
    <w:rsid w:val="000D5C73"/>
    <w:rsid w:val="000D61AE"/>
    <w:rsid w:val="000E3F64"/>
    <w:rsid w:val="000E4D44"/>
    <w:rsid w:val="000E6790"/>
    <w:rsid w:val="000E6D84"/>
    <w:rsid w:val="000F1B24"/>
    <w:rsid w:val="000F209F"/>
    <w:rsid w:val="000F5343"/>
    <w:rsid w:val="000F5FE6"/>
    <w:rsid w:val="000F61EF"/>
    <w:rsid w:val="00100633"/>
    <w:rsid w:val="00103543"/>
    <w:rsid w:val="001069B7"/>
    <w:rsid w:val="001078FE"/>
    <w:rsid w:val="00112107"/>
    <w:rsid w:val="00112C53"/>
    <w:rsid w:val="001159FC"/>
    <w:rsid w:val="00122C98"/>
    <w:rsid w:val="00123287"/>
    <w:rsid w:val="00127C73"/>
    <w:rsid w:val="0013123A"/>
    <w:rsid w:val="0013220E"/>
    <w:rsid w:val="00133610"/>
    <w:rsid w:val="00134AC2"/>
    <w:rsid w:val="001355B7"/>
    <w:rsid w:val="00135EEC"/>
    <w:rsid w:val="00136E75"/>
    <w:rsid w:val="00137294"/>
    <w:rsid w:val="00137BF8"/>
    <w:rsid w:val="00140B7F"/>
    <w:rsid w:val="001412B4"/>
    <w:rsid w:val="00143D77"/>
    <w:rsid w:val="00143F9E"/>
    <w:rsid w:val="001450CB"/>
    <w:rsid w:val="00146B71"/>
    <w:rsid w:val="00147521"/>
    <w:rsid w:val="001522F4"/>
    <w:rsid w:val="00161661"/>
    <w:rsid w:val="00162CBC"/>
    <w:rsid w:val="00162D6A"/>
    <w:rsid w:val="0016684C"/>
    <w:rsid w:val="00166F35"/>
    <w:rsid w:val="0017034A"/>
    <w:rsid w:val="00172AB7"/>
    <w:rsid w:val="001744D3"/>
    <w:rsid w:val="00175ED5"/>
    <w:rsid w:val="00176271"/>
    <w:rsid w:val="00181317"/>
    <w:rsid w:val="0018605D"/>
    <w:rsid w:val="0018667B"/>
    <w:rsid w:val="00192F6B"/>
    <w:rsid w:val="0019372B"/>
    <w:rsid w:val="0019493A"/>
    <w:rsid w:val="00196616"/>
    <w:rsid w:val="00196D7F"/>
    <w:rsid w:val="001A0E69"/>
    <w:rsid w:val="001A17B8"/>
    <w:rsid w:val="001A3443"/>
    <w:rsid w:val="001A35CF"/>
    <w:rsid w:val="001A3F38"/>
    <w:rsid w:val="001A6671"/>
    <w:rsid w:val="001B39CF"/>
    <w:rsid w:val="001B4633"/>
    <w:rsid w:val="001C00A4"/>
    <w:rsid w:val="001C1A28"/>
    <w:rsid w:val="001C1E9D"/>
    <w:rsid w:val="001C2097"/>
    <w:rsid w:val="001C5F37"/>
    <w:rsid w:val="001C647E"/>
    <w:rsid w:val="001C7FA1"/>
    <w:rsid w:val="001D14E5"/>
    <w:rsid w:val="001D4F44"/>
    <w:rsid w:val="001E04FB"/>
    <w:rsid w:val="001E22D4"/>
    <w:rsid w:val="001E27AD"/>
    <w:rsid w:val="001E311C"/>
    <w:rsid w:val="001E3296"/>
    <w:rsid w:val="001E3FF3"/>
    <w:rsid w:val="001E7661"/>
    <w:rsid w:val="001F365C"/>
    <w:rsid w:val="001F4A9C"/>
    <w:rsid w:val="001F5993"/>
    <w:rsid w:val="0020382E"/>
    <w:rsid w:val="00205C43"/>
    <w:rsid w:val="002075AD"/>
    <w:rsid w:val="002079A6"/>
    <w:rsid w:val="002204A1"/>
    <w:rsid w:val="00223E41"/>
    <w:rsid w:val="002245AD"/>
    <w:rsid w:val="002268D8"/>
    <w:rsid w:val="00230FDF"/>
    <w:rsid w:val="00233388"/>
    <w:rsid w:val="00233B61"/>
    <w:rsid w:val="00236BA5"/>
    <w:rsid w:val="00237EAD"/>
    <w:rsid w:val="00240D3B"/>
    <w:rsid w:val="00242DE8"/>
    <w:rsid w:val="00243205"/>
    <w:rsid w:val="002432BC"/>
    <w:rsid w:val="00243595"/>
    <w:rsid w:val="00247E1B"/>
    <w:rsid w:val="00251695"/>
    <w:rsid w:val="002520DE"/>
    <w:rsid w:val="0025386A"/>
    <w:rsid w:val="00253A10"/>
    <w:rsid w:val="00254067"/>
    <w:rsid w:val="0025420A"/>
    <w:rsid w:val="002550F1"/>
    <w:rsid w:val="00255C10"/>
    <w:rsid w:val="00261093"/>
    <w:rsid w:val="00265FD6"/>
    <w:rsid w:val="002708A6"/>
    <w:rsid w:val="00271357"/>
    <w:rsid w:val="00272990"/>
    <w:rsid w:val="00272E30"/>
    <w:rsid w:val="002748F6"/>
    <w:rsid w:val="00275109"/>
    <w:rsid w:val="002755F5"/>
    <w:rsid w:val="00280769"/>
    <w:rsid w:val="00280F9A"/>
    <w:rsid w:val="00281D6D"/>
    <w:rsid w:val="00281EE6"/>
    <w:rsid w:val="0028202B"/>
    <w:rsid w:val="00282776"/>
    <w:rsid w:val="002835EF"/>
    <w:rsid w:val="00286897"/>
    <w:rsid w:val="00290811"/>
    <w:rsid w:val="002935A2"/>
    <w:rsid w:val="0029497B"/>
    <w:rsid w:val="00295F64"/>
    <w:rsid w:val="002970DE"/>
    <w:rsid w:val="00297956"/>
    <w:rsid w:val="002A1829"/>
    <w:rsid w:val="002B09D7"/>
    <w:rsid w:val="002B1778"/>
    <w:rsid w:val="002B35C9"/>
    <w:rsid w:val="002B56B3"/>
    <w:rsid w:val="002C2999"/>
    <w:rsid w:val="002C2CE6"/>
    <w:rsid w:val="002C46BA"/>
    <w:rsid w:val="002D3BAB"/>
    <w:rsid w:val="002D4242"/>
    <w:rsid w:val="002D656B"/>
    <w:rsid w:val="002E7C50"/>
    <w:rsid w:val="002F2E16"/>
    <w:rsid w:val="002F51F1"/>
    <w:rsid w:val="002F732D"/>
    <w:rsid w:val="002F735D"/>
    <w:rsid w:val="002F7CA8"/>
    <w:rsid w:val="00300236"/>
    <w:rsid w:val="00300A5E"/>
    <w:rsid w:val="0030193F"/>
    <w:rsid w:val="00303BD3"/>
    <w:rsid w:val="00304A8F"/>
    <w:rsid w:val="0031433E"/>
    <w:rsid w:val="00314414"/>
    <w:rsid w:val="003160EF"/>
    <w:rsid w:val="00322430"/>
    <w:rsid w:val="00323260"/>
    <w:rsid w:val="003237CA"/>
    <w:rsid w:val="0032476C"/>
    <w:rsid w:val="003304B1"/>
    <w:rsid w:val="00331BB0"/>
    <w:rsid w:val="00333687"/>
    <w:rsid w:val="003367B7"/>
    <w:rsid w:val="0033750A"/>
    <w:rsid w:val="00340917"/>
    <w:rsid w:val="00341519"/>
    <w:rsid w:val="00344CB1"/>
    <w:rsid w:val="003452EC"/>
    <w:rsid w:val="00346147"/>
    <w:rsid w:val="00346191"/>
    <w:rsid w:val="00346C3E"/>
    <w:rsid w:val="003502F1"/>
    <w:rsid w:val="00351D61"/>
    <w:rsid w:val="003528E5"/>
    <w:rsid w:val="00352D28"/>
    <w:rsid w:val="003551E3"/>
    <w:rsid w:val="00355271"/>
    <w:rsid w:val="00355B14"/>
    <w:rsid w:val="003601A3"/>
    <w:rsid w:val="003611E5"/>
    <w:rsid w:val="003655DB"/>
    <w:rsid w:val="00367E8A"/>
    <w:rsid w:val="00370688"/>
    <w:rsid w:val="00371FFB"/>
    <w:rsid w:val="00372BE4"/>
    <w:rsid w:val="00374007"/>
    <w:rsid w:val="00374212"/>
    <w:rsid w:val="003764FF"/>
    <w:rsid w:val="00376552"/>
    <w:rsid w:val="00376C8F"/>
    <w:rsid w:val="003770DA"/>
    <w:rsid w:val="003803BA"/>
    <w:rsid w:val="00381C08"/>
    <w:rsid w:val="0038285F"/>
    <w:rsid w:val="003846D7"/>
    <w:rsid w:val="003850C5"/>
    <w:rsid w:val="00387D0D"/>
    <w:rsid w:val="003908B7"/>
    <w:rsid w:val="00393F3F"/>
    <w:rsid w:val="00395566"/>
    <w:rsid w:val="003970C5"/>
    <w:rsid w:val="003A05C4"/>
    <w:rsid w:val="003A2D45"/>
    <w:rsid w:val="003A5401"/>
    <w:rsid w:val="003B02BB"/>
    <w:rsid w:val="003B0ED0"/>
    <w:rsid w:val="003B1EA5"/>
    <w:rsid w:val="003C1072"/>
    <w:rsid w:val="003C15C2"/>
    <w:rsid w:val="003C34FE"/>
    <w:rsid w:val="003C4BC6"/>
    <w:rsid w:val="003D1894"/>
    <w:rsid w:val="003D4E5C"/>
    <w:rsid w:val="003E044B"/>
    <w:rsid w:val="003E0D4B"/>
    <w:rsid w:val="003E28A7"/>
    <w:rsid w:val="003E495B"/>
    <w:rsid w:val="003F1A42"/>
    <w:rsid w:val="003F1EE9"/>
    <w:rsid w:val="003F47C4"/>
    <w:rsid w:val="003F58D9"/>
    <w:rsid w:val="00400480"/>
    <w:rsid w:val="00402051"/>
    <w:rsid w:val="00402501"/>
    <w:rsid w:val="00405C09"/>
    <w:rsid w:val="00406181"/>
    <w:rsid w:val="00407B54"/>
    <w:rsid w:val="00410BE8"/>
    <w:rsid w:val="004119FF"/>
    <w:rsid w:val="00412D87"/>
    <w:rsid w:val="004144C1"/>
    <w:rsid w:val="00416D3A"/>
    <w:rsid w:val="00416EAE"/>
    <w:rsid w:val="00421BC2"/>
    <w:rsid w:val="00422BAE"/>
    <w:rsid w:val="00423EBD"/>
    <w:rsid w:val="004254BE"/>
    <w:rsid w:val="00426992"/>
    <w:rsid w:val="00430DA9"/>
    <w:rsid w:val="00434EF6"/>
    <w:rsid w:val="00437954"/>
    <w:rsid w:val="00441296"/>
    <w:rsid w:val="0045600D"/>
    <w:rsid w:val="004612DC"/>
    <w:rsid w:val="00461533"/>
    <w:rsid w:val="004616E4"/>
    <w:rsid w:val="00464235"/>
    <w:rsid w:val="004647C0"/>
    <w:rsid w:val="004650A4"/>
    <w:rsid w:val="004663C5"/>
    <w:rsid w:val="00466494"/>
    <w:rsid w:val="00466A77"/>
    <w:rsid w:val="004766A3"/>
    <w:rsid w:val="00480F6B"/>
    <w:rsid w:val="0048129B"/>
    <w:rsid w:val="00483BC8"/>
    <w:rsid w:val="00483E62"/>
    <w:rsid w:val="004917F0"/>
    <w:rsid w:val="00492D58"/>
    <w:rsid w:val="004A1C10"/>
    <w:rsid w:val="004A7F3F"/>
    <w:rsid w:val="004B0CF7"/>
    <w:rsid w:val="004B1B32"/>
    <w:rsid w:val="004B2288"/>
    <w:rsid w:val="004B24E2"/>
    <w:rsid w:val="004B309E"/>
    <w:rsid w:val="004C23B9"/>
    <w:rsid w:val="004C380B"/>
    <w:rsid w:val="004C611C"/>
    <w:rsid w:val="004D466D"/>
    <w:rsid w:val="004D491D"/>
    <w:rsid w:val="004D7D51"/>
    <w:rsid w:val="004E0006"/>
    <w:rsid w:val="004E041F"/>
    <w:rsid w:val="004E387B"/>
    <w:rsid w:val="004E6866"/>
    <w:rsid w:val="004E7AF8"/>
    <w:rsid w:val="004F26FB"/>
    <w:rsid w:val="004F3432"/>
    <w:rsid w:val="004F4BE1"/>
    <w:rsid w:val="004F4F47"/>
    <w:rsid w:val="00500243"/>
    <w:rsid w:val="00502194"/>
    <w:rsid w:val="0050220A"/>
    <w:rsid w:val="005048B8"/>
    <w:rsid w:val="005113F3"/>
    <w:rsid w:val="00514C64"/>
    <w:rsid w:val="00516A2E"/>
    <w:rsid w:val="0052000A"/>
    <w:rsid w:val="00520C6C"/>
    <w:rsid w:val="0052487C"/>
    <w:rsid w:val="00525A56"/>
    <w:rsid w:val="005350B7"/>
    <w:rsid w:val="00547449"/>
    <w:rsid w:val="00553564"/>
    <w:rsid w:val="00562D46"/>
    <w:rsid w:val="00562F30"/>
    <w:rsid w:val="005659E3"/>
    <w:rsid w:val="005677E8"/>
    <w:rsid w:val="00576974"/>
    <w:rsid w:val="00583060"/>
    <w:rsid w:val="005858B9"/>
    <w:rsid w:val="00590840"/>
    <w:rsid w:val="0059553E"/>
    <w:rsid w:val="00595720"/>
    <w:rsid w:val="00596E99"/>
    <w:rsid w:val="005A3DFE"/>
    <w:rsid w:val="005A667C"/>
    <w:rsid w:val="005A753B"/>
    <w:rsid w:val="005B00D0"/>
    <w:rsid w:val="005B0915"/>
    <w:rsid w:val="005B5182"/>
    <w:rsid w:val="005B5D08"/>
    <w:rsid w:val="005B6243"/>
    <w:rsid w:val="005C069A"/>
    <w:rsid w:val="005C1D7B"/>
    <w:rsid w:val="005C26BF"/>
    <w:rsid w:val="005C5473"/>
    <w:rsid w:val="005C715C"/>
    <w:rsid w:val="005D4005"/>
    <w:rsid w:val="005D406B"/>
    <w:rsid w:val="005E1694"/>
    <w:rsid w:val="005E4E40"/>
    <w:rsid w:val="005E7651"/>
    <w:rsid w:val="005E7D90"/>
    <w:rsid w:val="005F06E2"/>
    <w:rsid w:val="005F0A01"/>
    <w:rsid w:val="005F16BF"/>
    <w:rsid w:val="005F4D1C"/>
    <w:rsid w:val="005F6EB5"/>
    <w:rsid w:val="0060559C"/>
    <w:rsid w:val="00605A93"/>
    <w:rsid w:val="00607D48"/>
    <w:rsid w:val="00613D57"/>
    <w:rsid w:val="00614B13"/>
    <w:rsid w:val="006158AE"/>
    <w:rsid w:val="006171B8"/>
    <w:rsid w:val="00622FE8"/>
    <w:rsid w:val="00623AB7"/>
    <w:rsid w:val="0062408B"/>
    <w:rsid w:val="00627820"/>
    <w:rsid w:val="00627900"/>
    <w:rsid w:val="006305EE"/>
    <w:rsid w:val="00634019"/>
    <w:rsid w:val="00635FC2"/>
    <w:rsid w:val="00641892"/>
    <w:rsid w:val="0064197F"/>
    <w:rsid w:val="00642B0E"/>
    <w:rsid w:val="00644082"/>
    <w:rsid w:val="006449BD"/>
    <w:rsid w:val="00647DFC"/>
    <w:rsid w:val="006532DC"/>
    <w:rsid w:val="00653FBF"/>
    <w:rsid w:val="00660950"/>
    <w:rsid w:val="006612FE"/>
    <w:rsid w:val="00663E00"/>
    <w:rsid w:val="0066495C"/>
    <w:rsid w:val="00666266"/>
    <w:rsid w:val="00666949"/>
    <w:rsid w:val="00666C8D"/>
    <w:rsid w:val="006728C5"/>
    <w:rsid w:val="0068179D"/>
    <w:rsid w:val="006870E2"/>
    <w:rsid w:val="006879A6"/>
    <w:rsid w:val="006937CC"/>
    <w:rsid w:val="00694A98"/>
    <w:rsid w:val="00694E5A"/>
    <w:rsid w:val="00696262"/>
    <w:rsid w:val="00696274"/>
    <w:rsid w:val="006A11E6"/>
    <w:rsid w:val="006A1FC7"/>
    <w:rsid w:val="006A5FA2"/>
    <w:rsid w:val="006A6695"/>
    <w:rsid w:val="006A68FE"/>
    <w:rsid w:val="006A7804"/>
    <w:rsid w:val="006B1C0D"/>
    <w:rsid w:val="006B3E11"/>
    <w:rsid w:val="006B5B10"/>
    <w:rsid w:val="006B6392"/>
    <w:rsid w:val="006B64A4"/>
    <w:rsid w:val="006C04C1"/>
    <w:rsid w:val="006C0BCC"/>
    <w:rsid w:val="006C130B"/>
    <w:rsid w:val="006C3221"/>
    <w:rsid w:val="006C36B4"/>
    <w:rsid w:val="006C3760"/>
    <w:rsid w:val="006C3827"/>
    <w:rsid w:val="006C54B0"/>
    <w:rsid w:val="006C6533"/>
    <w:rsid w:val="006C6883"/>
    <w:rsid w:val="006D0A7C"/>
    <w:rsid w:val="006D1BCC"/>
    <w:rsid w:val="006D6450"/>
    <w:rsid w:val="006E0FB2"/>
    <w:rsid w:val="006E26F0"/>
    <w:rsid w:val="006E2952"/>
    <w:rsid w:val="006E3412"/>
    <w:rsid w:val="006E47E5"/>
    <w:rsid w:val="006E4E82"/>
    <w:rsid w:val="006F2030"/>
    <w:rsid w:val="006F644A"/>
    <w:rsid w:val="006F7725"/>
    <w:rsid w:val="00700AD1"/>
    <w:rsid w:val="00702FA4"/>
    <w:rsid w:val="00703F93"/>
    <w:rsid w:val="00710550"/>
    <w:rsid w:val="0071116B"/>
    <w:rsid w:val="007113B0"/>
    <w:rsid w:val="00711CCD"/>
    <w:rsid w:val="007122A9"/>
    <w:rsid w:val="00712480"/>
    <w:rsid w:val="007131AC"/>
    <w:rsid w:val="00713AEF"/>
    <w:rsid w:val="00713F6B"/>
    <w:rsid w:val="00714B37"/>
    <w:rsid w:val="00717AEE"/>
    <w:rsid w:val="007201CF"/>
    <w:rsid w:val="007256D4"/>
    <w:rsid w:val="007266DA"/>
    <w:rsid w:val="00726F64"/>
    <w:rsid w:val="00727FD6"/>
    <w:rsid w:val="00733375"/>
    <w:rsid w:val="007339BB"/>
    <w:rsid w:val="00734CD6"/>
    <w:rsid w:val="00735BAC"/>
    <w:rsid w:val="00740013"/>
    <w:rsid w:val="00740AD3"/>
    <w:rsid w:val="00744183"/>
    <w:rsid w:val="0074491F"/>
    <w:rsid w:val="00746A1B"/>
    <w:rsid w:val="00751F0E"/>
    <w:rsid w:val="0075545F"/>
    <w:rsid w:val="00756C6F"/>
    <w:rsid w:val="007604CC"/>
    <w:rsid w:val="00762BB3"/>
    <w:rsid w:val="007724DE"/>
    <w:rsid w:val="00772DB7"/>
    <w:rsid w:val="00772F55"/>
    <w:rsid w:val="00773769"/>
    <w:rsid w:val="00775230"/>
    <w:rsid w:val="007808DE"/>
    <w:rsid w:val="00780DA8"/>
    <w:rsid w:val="00782A6C"/>
    <w:rsid w:val="00787FC6"/>
    <w:rsid w:val="007900F1"/>
    <w:rsid w:val="0079075A"/>
    <w:rsid w:val="00793E95"/>
    <w:rsid w:val="0079440F"/>
    <w:rsid w:val="007975C3"/>
    <w:rsid w:val="007A1424"/>
    <w:rsid w:val="007A282A"/>
    <w:rsid w:val="007A5D80"/>
    <w:rsid w:val="007B5B95"/>
    <w:rsid w:val="007B5DB4"/>
    <w:rsid w:val="007B7AB7"/>
    <w:rsid w:val="007B7B80"/>
    <w:rsid w:val="007C05EA"/>
    <w:rsid w:val="007C3A71"/>
    <w:rsid w:val="007C4D9A"/>
    <w:rsid w:val="007C538C"/>
    <w:rsid w:val="007C7FB4"/>
    <w:rsid w:val="007D083E"/>
    <w:rsid w:val="007D08C5"/>
    <w:rsid w:val="007D47AB"/>
    <w:rsid w:val="007D4EF7"/>
    <w:rsid w:val="007D61D1"/>
    <w:rsid w:val="007E0D63"/>
    <w:rsid w:val="007E150B"/>
    <w:rsid w:val="007E19A0"/>
    <w:rsid w:val="007E4188"/>
    <w:rsid w:val="007F36A5"/>
    <w:rsid w:val="007F5524"/>
    <w:rsid w:val="007F5CAC"/>
    <w:rsid w:val="007F635C"/>
    <w:rsid w:val="008013EF"/>
    <w:rsid w:val="00804446"/>
    <w:rsid w:val="00804DAD"/>
    <w:rsid w:val="008108CD"/>
    <w:rsid w:val="008111A9"/>
    <w:rsid w:val="008128DD"/>
    <w:rsid w:val="008155AD"/>
    <w:rsid w:val="00816198"/>
    <w:rsid w:val="00816746"/>
    <w:rsid w:val="008175F4"/>
    <w:rsid w:val="008233AD"/>
    <w:rsid w:val="00823586"/>
    <w:rsid w:val="00823C02"/>
    <w:rsid w:val="008241C3"/>
    <w:rsid w:val="00826866"/>
    <w:rsid w:val="00827881"/>
    <w:rsid w:val="008309E8"/>
    <w:rsid w:val="0083108F"/>
    <w:rsid w:val="00832FF1"/>
    <w:rsid w:val="008338EE"/>
    <w:rsid w:val="00834985"/>
    <w:rsid w:val="00835078"/>
    <w:rsid w:val="00835711"/>
    <w:rsid w:val="00837504"/>
    <w:rsid w:val="008403F6"/>
    <w:rsid w:val="00841ADA"/>
    <w:rsid w:val="008433D2"/>
    <w:rsid w:val="00843817"/>
    <w:rsid w:val="00843D12"/>
    <w:rsid w:val="00850267"/>
    <w:rsid w:val="00854707"/>
    <w:rsid w:val="00854CCB"/>
    <w:rsid w:val="00855419"/>
    <w:rsid w:val="0085544F"/>
    <w:rsid w:val="00856295"/>
    <w:rsid w:val="00857388"/>
    <w:rsid w:val="0086189C"/>
    <w:rsid w:val="00864B7D"/>
    <w:rsid w:val="00875223"/>
    <w:rsid w:val="008767A8"/>
    <w:rsid w:val="008774A6"/>
    <w:rsid w:val="00884615"/>
    <w:rsid w:val="00885CE9"/>
    <w:rsid w:val="00886B32"/>
    <w:rsid w:val="00890DA5"/>
    <w:rsid w:val="00891FB6"/>
    <w:rsid w:val="008962DB"/>
    <w:rsid w:val="0089654E"/>
    <w:rsid w:val="00897291"/>
    <w:rsid w:val="008A13BA"/>
    <w:rsid w:val="008A349F"/>
    <w:rsid w:val="008A36A2"/>
    <w:rsid w:val="008A6F44"/>
    <w:rsid w:val="008A79D7"/>
    <w:rsid w:val="008B27AF"/>
    <w:rsid w:val="008C24EE"/>
    <w:rsid w:val="008C2D76"/>
    <w:rsid w:val="008C4744"/>
    <w:rsid w:val="008D5915"/>
    <w:rsid w:val="008D6115"/>
    <w:rsid w:val="008D7C56"/>
    <w:rsid w:val="008E1DDD"/>
    <w:rsid w:val="008E4D00"/>
    <w:rsid w:val="008E51F6"/>
    <w:rsid w:val="008E563E"/>
    <w:rsid w:val="008E7EF0"/>
    <w:rsid w:val="008F2485"/>
    <w:rsid w:val="008F5494"/>
    <w:rsid w:val="008F6353"/>
    <w:rsid w:val="009026FE"/>
    <w:rsid w:val="00904D88"/>
    <w:rsid w:val="0091125C"/>
    <w:rsid w:val="009127ED"/>
    <w:rsid w:val="0091348B"/>
    <w:rsid w:val="009141C8"/>
    <w:rsid w:val="0091450D"/>
    <w:rsid w:val="009163CB"/>
    <w:rsid w:val="009213A1"/>
    <w:rsid w:val="00924154"/>
    <w:rsid w:val="00924AFA"/>
    <w:rsid w:val="00926DF4"/>
    <w:rsid w:val="00933495"/>
    <w:rsid w:val="00940342"/>
    <w:rsid w:val="00941531"/>
    <w:rsid w:val="00941987"/>
    <w:rsid w:val="00941AC6"/>
    <w:rsid w:val="009424A2"/>
    <w:rsid w:val="00944A0B"/>
    <w:rsid w:val="00947DA5"/>
    <w:rsid w:val="00950DAA"/>
    <w:rsid w:val="009521B0"/>
    <w:rsid w:val="009543F2"/>
    <w:rsid w:val="00957166"/>
    <w:rsid w:val="0095791C"/>
    <w:rsid w:val="00960BC0"/>
    <w:rsid w:val="00961312"/>
    <w:rsid w:val="009616DD"/>
    <w:rsid w:val="00961D76"/>
    <w:rsid w:val="009627DF"/>
    <w:rsid w:val="00972848"/>
    <w:rsid w:val="009755B3"/>
    <w:rsid w:val="00976E1A"/>
    <w:rsid w:val="0098201C"/>
    <w:rsid w:val="009860CE"/>
    <w:rsid w:val="00990F86"/>
    <w:rsid w:val="00994F1C"/>
    <w:rsid w:val="00996602"/>
    <w:rsid w:val="00996666"/>
    <w:rsid w:val="0099737F"/>
    <w:rsid w:val="009A7FE4"/>
    <w:rsid w:val="009B5A5E"/>
    <w:rsid w:val="009C01EF"/>
    <w:rsid w:val="009C16B1"/>
    <w:rsid w:val="009C2477"/>
    <w:rsid w:val="009C465F"/>
    <w:rsid w:val="009C6103"/>
    <w:rsid w:val="009C75C9"/>
    <w:rsid w:val="009D6357"/>
    <w:rsid w:val="009D6BFE"/>
    <w:rsid w:val="009D71AE"/>
    <w:rsid w:val="009D7E78"/>
    <w:rsid w:val="009E198C"/>
    <w:rsid w:val="009E3668"/>
    <w:rsid w:val="009E4448"/>
    <w:rsid w:val="009E4CA5"/>
    <w:rsid w:val="009E4E8E"/>
    <w:rsid w:val="009E5C2A"/>
    <w:rsid w:val="009F0C43"/>
    <w:rsid w:val="009F0E92"/>
    <w:rsid w:val="009F7E93"/>
    <w:rsid w:val="00A03EB0"/>
    <w:rsid w:val="00A11567"/>
    <w:rsid w:val="00A12D3A"/>
    <w:rsid w:val="00A142BA"/>
    <w:rsid w:val="00A2126D"/>
    <w:rsid w:val="00A22078"/>
    <w:rsid w:val="00A229A6"/>
    <w:rsid w:val="00A236AF"/>
    <w:rsid w:val="00A26D66"/>
    <w:rsid w:val="00A32F98"/>
    <w:rsid w:val="00A35F94"/>
    <w:rsid w:val="00A37A5A"/>
    <w:rsid w:val="00A429FC"/>
    <w:rsid w:val="00A43022"/>
    <w:rsid w:val="00A50820"/>
    <w:rsid w:val="00A5108D"/>
    <w:rsid w:val="00A534B4"/>
    <w:rsid w:val="00A53837"/>
    <w:rsid w:val="00A54BC6"/>
    <w:rsid w:val="00A607E6"/>
    <w:rsid w:val="00A61645"/>
    <w:rsid w:val="00A647A4"/>
    <w:rsid w:val="00A700DE"/>
    <w:rsid w:val="00A71DB7"/>
    <w:rsid w:val="00A8048F"/>
    <w:rsid w:val="00A80F0E"/>
    <w:rsid w:val="00A80F0F"/>
    <w:rsid w:val="00A834D4"/>
    <w:rsid w:val="00AA1891"/>
    <w:rsid w:val="00AA3B83"/>
    <w:rsid w:val="00AA3FE2"/>
    <w:rsid w:val="00AA5EE4"/>
    <w:rsid w:val="00AB2605"/>
    <w:rsid w:val="00AB27A4"/>
    <w:rsid w:val="00AB3354"/>
    <w:rsid w:val="00AB4C03"/>
    <w:rsid w:val="00AB567F"/>
    <w:rsid w:val="00AB5825"/>
    <w:rsid w:val="00AB59AB"/>
    <w:rsid w:val="00AB6761"/>
    <w:rsid w:val="00AC07C4"/>
    <w:rsid w:val="00AC12C5"/>
    <w:rsid w:val="00AC14CF"/>
    <w:rsid w:val="00AC3283"/>
    <w:rsid w:val="00AC501E"/>
    <w:rsid w:val="00AC5F3D"/>
    <w:rsid w:val="00AD298A"/>
    <w:rsid w:val="00AD36E4"/>
    <w:rsid w:val="00AD5CEC"/>
    <w:rsid w:val="00AD607D"/>
    <w:rsid w:val="00AD6E9D"/>
    <w:rsid w:val="00AE3A2F"/>
    <w:rsid w:val="00AE6CF3"/>
    <w:rsid w:val="00AF09CE"/>
    <w:rsid w:val="00AF2129"/>
    <w:rsid w:val="00AF278D"/>
    <w:rsid w:val="00AF2BE0"/>
    <w:rsid w:val="00AF30BA"/>
    <w:rsid w:val="00AF7474"/>
    <w:rsid w:val="00B03D0B"/>
    <w:rsid w:val="00B03ECC"/>
    <w:rsid w:val="00B14909"/>
    <w:rsid w:val="00B14C4F"/>
    <w:rsid w:val="00B16121"/>
    <w:rsid w:val="00B177FA"/>
    <w:rsid w:val="00B17B5E"/>
    <w:rsid w:val="00B23AB6"/>
    <w:rsid w:val="00B24E35"/>
    <w:rsid w:val="00B258AE"/>
    <w:rsid w:val="00B30781"/>
    <w:rsid w:val="00B33891"/>
    <w:rsid w:val="00B35357"/>
    <w:rsid w:val="00B35D5B"/>
    <w:rsid w:val="00B35EFF"/>
    <w:rsid w:val="00B4017A"/>
    <w:rsid w:val="00B4184C"/>
    <w:rsid w:val="00B45D71"/>
    <w:rsid w:val="00B4637D"/>
    <w:rsid w:val="00B465D5"/>
    <w:rsid w:val="00B4708B"/>
    <w:rsid w:val="00B51BFD"/>
    <w:rsid w:val="00B5263E"/>
    <w:rsid w:val="00B5446A"/>
    <w:rsid w:val="00B56732"/>
    <w:rsid w:val="00B60237"/>
    <w:rsid w:val="00B62533"/>
    <w:rsid w:val="00B62A55"/>
    <w:rsid w:val="00B64783"/>
    <w:rsid w:val="00B6699A"/>
    <w:rsid w:val="00B67619"/>
    <w:rsid w:val="00B67E5C"/>
    <w:rsid w:val="00B74A9D"/>
    <w:rsid w:val="00B74F98"/>
    <w:rsid w:val="00B76CB2"/>
    <w:rsid w:val="00B8232B"/>
    <w:rsid w:val="00B82F42"/>
    <w:rsid w:val="00B85B41"/>
    <w:rsid w:val="00B908D3"/>
    <w:rsid w:val="00B963C1"/>
    <w:rsid w:val="00B96774"/>
    <w:rsid w:val="00B968D4"/>
    <w:rsid w:val="00B9723D"/>
    <w:rsid w:val="00B97333"/>
    <w:rsid w:val="00BA0E66"/>
    <w:rsid w:val="00BA761B"/>
    <w:rsid w:val="00BB0E51"/>
    <w:rsid w:val="00BB2B9E"/>
    <w:rsid w:val="00BB38D5"/>
    <w:rsid w:val="00BB3B9A"/>
    <w:rsid w:val="00BB4A37"/>
    <w:rsid w:val="00BB5BD3"/>
    <w:rsid w:val="00BB60FB"/>
    <w:rsid w:val="00BB7358"/>
    <w:rsid w:val="00BC0643"/>
    <w:rsid w:val="00BC0EB1"/>
    <w:rsid w:val="00BC1AF5"/>
    <w:rsid w:val="00BC3944"/>
    <w:rsid w:val="00BC3A72"/>
    <w:rsid w:val="00BC4CB4"/>
    <w:rsid w:val="00BC4D73"/>
    <w:rsid w:val="00BD0504"/>
    <w:rsid w:val="00BD4B71"/>
    <w:rsid w:val="00BD7F6C"/>
    <w:rsid w:val="00BF1FDE"/>
    <w:rsid w:val="00BF2133"/>
    <w:rsid w:val="00BF2201"/>
    <w:rsid w:val="00BF3D3F"/>
    <w:rsid w:val="00BF4768"/>
    <w:rsid w:val="00BF4EDE"/>
    <w:rsid w:val="00BF4F05"/>
    <w:rsid w:val="00C02350"/>
    <w:rsid w:val="00C02865"/>
    <w:rsid w:val="00C105FF"/>
    <w:rsid w:val="00C145C7"/>
    <w:rsid w:val="00C15AA4"/>
    <w:rsid w:val="00C17988"/>
    <w:rsid w:val="00C2163C"/>
    <w:rsid w:val="00C2226D"/>
    <w:rsid w:val="00C25847"/>
    <w:rsid w:val="00C268BC"/>
    <w:rsid w:val="00C27940"/>
    <w:rsid w:val="00C31184"/>
    <w:rsid w:val="00C339F4"/>
    <w:rsid w:val="00C346BA"/>
    <w:rsid w:val="00C370CD"/>
    <w:rsid w:val="00C37D33"/>
    <w:rsid w:val="00C4366D"/>
    <w:rsid w:val="00C44A59"/>
    <w:rsid w:val="00C45AEF"/>
    <w:rsid w:val="00C5033F"/>
    <w:rsid w:val="00C50787"/>
    <w:rsid w:val="00C51FCD"/>
    <w:rsid w:val="00C54F62"/>
    <w:rsid w:val="00C60856"/>
    <w:rsid w:val="00C6178A"/>
    <w:rsid w:val="00C62DBE"/>
    <w:rsid w:val="00C64DD8"/>
    <w:rsid w:val="00C65512"/>
    <w:rsid w:val="00C66CFD"/>
    <w:rsid w:val="00C66EE8"/>
    <w:rsid w:val="00C67D2E"/>
    <w:rsid w:val="00C773A6"/>
    <w:rsid w:val="00C86CE4"/>
    <w:rsid w:val="00C86F73"/>
    <w:rsid w:val="00C87CB8"/>
    <w:rsid w:val="00C933F4"/>
    <w:rsid w:val="00C95E03"/>
    <w:rsid w:val="00C96398"/>
    <w:rsid w:val="00C97D95"/>
    <w:rsid w:val="00CA68E6"/>
    <w:rsid w:val="00CB18CF"/>
    <w:rsid w:val="00CB1B4A"/>
    <w:rsid w:val="00CB3261"/>
    <w:rsid w:val="00CB3BA2"/>
    <w:rsid w:val="00CB732D"/>
    <w:rsid w:val="00CC0E04"/>
    <w:rsid w:val="00CD42D8"/>
    <w:rsid w:val="00CD47BC"/>
    <w:rsid w:val="00CD4A1B"/>
    <w:rsid w:val="00CD51BF"/>
    <w:rsid w:val="00CE3474"/>
    <w:rsid w:val="00CF17AD"/>
    <w:rsid w:val="00CF74E9"/>
    <w:rsid w:val="00D00DD5"/>
    <w:rsid w:val="00D00DE2"/>
    <w:rsid w:val="00D0247F"/>
    <w:rsid w:val="00D055D9"/>
    <w:rsid w:val="00D068C4"/>
    <w:rsid w:val="00D13907"/>
    <w:rsid w:val="00D15B48"/>
    <w:rsid w:val="00D200F5"/>
    <w:rsid w:val="00D239B6"/>
    <w:rsid w:val="00D25841"/>
    <w:rsid w:val="00D269F1"/>
    <w:rsid w:val="00D304FE"/>
    <w:rsid w:val="00D317C5"/>
    <w:rsid w:val="00D326CD"/>
    <w:rsid w:val="00D33A8F"/>
    <w:rsid w:val="00D33F97"/>
    <w:rsid w:val="00D33FDD"/>
    <w:rsid w:val="00D35E51"/>
    <w:rsid w:val="00D3674D"/>
    <w:rsid w:val="00D3678E"/>
    <w:rsid w:val="00D44816"/>
    <w:rsid w:val="00D4621B"/>
    <w:rsid w:val="00D46617"/>
    <w:rsid w:val="00D46B85"/>
    <w:rsid w:val="00D507AA"/>
    <w:rsid w:val="00D5222B"/>
    <w:rsid w:val="00D52E0A"/>
    <w:rsid w:val="00D57DEB"/>
    <w:rsid w:val="00D60D32"/>
    <w:rsid w:val="00D61092"/>
    <w:rsid w:val="00D61A16"/>
    <w:rsid w:val="00D650AC"/>
    <w:rsid w:val="00D67907"/>
    <w:rsid w:val="00D70328"/>
    <w:rsid w:val="00D717A0"/>
    <w:rsid w:val="00D718AD"/>
    <w:rsid w:val="00D73B68"/>
    <w:rsid w:val="00D82177"/>
    <w:rsid w:val="00D825E9"/>
    <w:rsid w:val="00D82B01"/>
    <w:rsid w:val="00D82F3C"/>
    <w:rsid w:val="00D8698B"/>
    <w:rsid w:val="00D91425"/>
    <w:rsid w:val="00D91DE6"/>
    <w:rsid w:val="00D93302"/>
    <w:rsid w:val="00D96796"/>
    <w:rsid w:val="00D968B9"/>
    <w:rsid w:val="00D9786A"/>
    <w:rsid w:val="00DA0684"/>
    <w:rsid w:val="00DA0C58"/>
    <w:rsid w:val="00DA1B72"/>
    <w:rsid w:val="00DA2707"/>
    <w:rsid w:val="00DA3850"/>
    <w:rsid w:val="00DA41BC"/>
    <w:rsid w:val="00DA4CF4"/>
    <w:rsid w:val="00DA5EF6"/>
    <w:rsid w:val="00DA612E"/>
    <w:rsid w:val="00DA634F"/>
    <w:rsid w:val="00DA738B"/>
    <w:rsid w:val="00DB1AB8"/>
    <w:rsid w:val="00DB3195"/>
    <w:rsid w:val="00DB480E"/>
    <w:rsid w:val="00DB48B8"/>
    <w:rsid w:val="00DB4B2C"/>
    <w:rsid w:val="00DB744F"/>
    <w:rsid w:val="00DB78FD"/>
    <w:rsid w:val="00DC0317"/>
    <w:rsid w:val="00DC17DE"/>
    <w:rsid w:val="00DC42B0"/>
    <w:rsid w:val="00DC430F"/>
    <w:rsid w:val="00DC5BAE"/>
    <w:rsid w:val="00DD030C"/>
    <w:rsid w:val="00DD0B74"/>
    <w:rsid w:val="00DD14AB"/>
    <w:rsid w:val="00DD4F2A"/>
    <w:rsid w:val="00DE29D4"/>
    <w:rsid w:val="00DE3838"/>
    <w:rsid w:val="00DE54D2"/>
    <w:rsid w:val="00DE6196"/>
    <w:rsid w:val="00DF2C08"/>
    <w:rsid w:val="00DF5A50"/>
    <w:rsid w:val="00DF7692"/>
    <w:rsid w:val="00E0004D"/>
    <w:rsid w:val="00E00639"/>
    <w:rsid w:val="00E012E9"/>
    <w:rsid w:val="00E059DF"/>
    <w:rsid w:val="00E066B9"/>
    <w:rsid w:val="00E06E8E"/>
    <w:rsid w:val="00E06FB3"/>
    <w:rsid w:val="00E12E6A"/>
    <w:rsid w:val="00E13240"/>
    <w:rsid w:val="00E1791A"/>
    <w:rsid w:val="00E21339"/>
    <w:rsid w:val="00E232E3"/>
    <w:rsid w:val="00E2374B"/>
    <w:rsid w:val="00E266EE"/>
    <w:rsid w:val="00E30412"/>
    <w:rsid w:val="00E309B2"/>
    <w:rsid w:val="00E31985"/>
    <w:rsid w:val="00E35AD6"/>
    <w:rsid w:val="00E40DCB"/>
    <w:rsid w:val="00E40F0A"/>
    <w:rsid w:val="00E422FA"/>
    <w:rsid w:val="00E47C64"/>
    <w:rsid w:val="00E508A2"/>
    <w:rsid w:val="00E52261"/>
    <w:rsid w:val="00E56363"/>
    <w:rsid w:val="00E57DAD"/>
    <w:rsid w:val="00E60D20"/>
    <w:rsid w:val="00E70CE4"/>
    <w:rsid w:val="00E7268F"/>
    <w:rsid w:val="00E73834"/>
    <w:rsid w:val="00E73B2A"/>
    <w:rsid w:val="00E74B2A"/>
    <w:rsid w:val="00E75861"/>
    <w:rsid w:val="00E75F4B"/>
    <w:rsid w:val="00E81E24"/>
    <w:rsid w:val="00E83666"/>
    <w:rsid w:val="00E8502D"/>
    <w:rsid w:val="00E854D5"/>
    <w:rsid w:val="00E90000"/>
    <w:rsid w:val="00E915AC"/>
    <w:rsid w:val="00E92ADD"/>
    <w:rsid w:val="00E92D8E"/>
    <w:rsid w:val="00E941A8"/>
    <w:rsid w:val="00E94C0D"/>
    <w:rsid w:val="00E97EB5"/>
    <w:rsid w:val="00EA22F9"/>
    <w:rsid w:val="00EA5C49"/>
    <w:rsid w:val="00EA7315"/>
    <w:rsid w:val="00EA7818"/>
    <w:rsid w:val="00EB324F"/>
    <w:rsid w:val="00EB374C"/>
    <w:rsid w:val="00EB3BDC"/>
    <w:rsid w:val="00EB4E5E"/>
    <w:rsid w:val="00EC01DE"/>
    <w:rsid w:val="00EC0FBD"/>
    <w:rsid w:val="00EC15E1"/>
    <w:rsid w:val="00EC2C45"/>
    <w:rsid w:val="00EC2C5D"/>
    <w:rsid w:val="00ED17EF"/>
    <w:rsid w:val="00ED2085"/>
    <w:rsid w:val="00ED21F1"/>
    <w:rsid w:val="00ED2F1D"/>
    <w:rsid w:val="00ED414A"/>
    <w:rsid w:val="00EE21AD"/>
    <w:rsid w:val="00EE5F67"/>
    <w:rsid w:val="00EF0974"/>
    <w:rsid w:val="00EF266A"/>
    <w:rsid w:val="00EF5FBE"/>
    <w:rsid w:val="00EF7AF9"/>
    <w:rsid w:val="00F00FCC"/>
    <w:rsid w:val="00F0232B"/>
    <w:rsid w:val="00F031D0"/>
    <w:rsid w:val="00F06BC5"/>
    <w:rsid w:val="00F07F2B"/>
    <w:rsid w:val="00F111CB"/>
    <w:rsid w:val="00F12B03"/>
    <w:rsid w:val="00F12C32"/>
    <w:rsid w:val="00F2104F"/>
    <w:rsid w:val="00F21788"/>
    <w:rsid w:val="00F21BE8"/>
    <w:rsid w:val="00F2473B"/>
    <w:rsid w:val="00F26470"/>
    <w:rsid w:val="00F2700D"/>
    <w:rsid w:val="00F2731E"/>
    <w:rsid w:val="00F2790D"/>
    <w:rsid w:val="00F3134C"/>
    <w:rsid w:val="00F33498"/>
    <w:rsid w:val="00F346BD"/>
    <w:rsid w:val="00F3631B"/>
    <w:rsid w:val="00F368D2"/>
    <w:rsid w:val="00F36C1F"/>
    <w:rsid w:val="00F37DF6"/>
    <w:rsid w:val="00F40082"/>
    <w:rsid w:val="00F42D43"/>
    <w:rsid w:val="00F43118"/>
    <w:rsid w:val="00F45873"/>
    <w:rsid w:val="00F459FB"/>
    <w:rsid w:val="00F45AAB"/>
    <w:rsid w:val="00F501B1"/>
    <w:rsid w:val="00F513D1"/>
    <w:rsid w:val="00F51487"/>
    <w:rsid w:val="00F522F1"/>
    <w:rsid w:val="00F526F4"/>
    <w:rsid w:val="00F5587A"/>
    <w:rsid w:val="00F633C0"/>
    <w:rsid w:val="00F65924"/>
    <w:rsid w:val="00F71BAF"/>
    <w:rsid w:val="00F71E58"/>
    <w:rsid w:val="00F74DA2"/>
    <w:rsid w:val="00F75AD7"/>
    <w:rsid w:val="00F76837"/>
    <w:rsid w:val="00F76A07"/>
    <w:rsid w:val="00F77676"/>
    <w:rsid w:val="00F776C2"/>
    <w:rsid w:val="00F82637"/>
    <w:rsid w:val="00F836A7"/>
    <w:rsid w:val="00F86A57"/>
    <w:rsid w:val="00F86C18"/>
    <w:rsid w:val="00F86F53"/>
    <w:rsid w:val="00F87CA1"/>
    <w:rsid w:val="00F9068F"/>
    <w:rsid w:val="00F9267F"/>
    <w:rsid w:val="00F93973"/>
    <w:rsid w:val="00F94504"/>
    <w:rsid w:val="00F95473"/>
    <w:rsid w:val="00F977A7"/>
    <w:rsid w:val="00FA0BD5"/>
    <w:rsid w:val="00FA17CE"/>
    <w:rsid w:val="00FA3798"/>
    <w:rsid w:val="00FA5316"/>
    <w:rsid w:val="00FA6065"/>
    <w:rsid w:val="00FB094C"/>
    <w:rsid w:val="00FB3D65"/>
    <w:rsid w:val="00FC210F"/>
    <w:rsid w:val="00FC4A6A"/>
    <w:rsid w:val="00FC6236"/>
    <w:rsid w:val="00FC6CE6"/>
    <w:rsid w:val="00FD0CF3"/>
    <w:rsid w:val="00FE0CF5"/>
    <w:rsid w:val="00FE6424"/>
    <w:rsid w:val="00FE66E8"/>
    <w:rsid w:val="00FF14F8"/>
    <w:rsid w:val="00FF1A8F"/>
    <w:rsid w:val="00FF32EF"/>
    <w:rsid w:val="00FF35F8"/>
    <w:rsid w:val="00FF3CCD"/>
    <w:rsid w:val="00FF3F4F"/>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1F47D"/>
  <w15:chartTrackingRefBased/>
  <w15:docId w15:val="{9AD7443E-4AFA-49EE-97FB-FF9BF332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647C0"/>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FootnoteTex">
    <w:name w:val="Footnote Tex"/>
    <w:basedOn w:val="Normal"/>
    <w:pPr>
      <w:widowControl w:val="0"/>
    </w:pPr>
    <w:rPr>
      <w:rFonts w:ascii="Courier" w:hAnsi="Courier"/>
    </w:rPr>
  </w:style>
  <w:style w:type="character" w:customStyle="1" w:styleId="FootnoteRef">
    <w:name w:val="Footnote Ref"/>
    <w:rPr>
      <w:vertAlign w:val="superscript"/>
    </w:rPr>
  </w:style>
  <w:style w:type="character" w:styleId="FootnoteReference">
    <w:name w:val="footnote reference"/>
    <w:uiPriority w:val="99"/>
    <w:qFormat/>
    <w:rPr>
      <w:vertAlign w:val="superscript"/>
    </w:rPr>
  </w:style>
  <w:style w:type="paragraph" w:styleId="BodyText2">
    <w:name w:val="Body Text 2"/>
    <w:basedOn w:val="Normal"/>
    <w:pPr>
      <w:spacing w:line="480" w:lineRule="auto"/>
      <w:ind w:firstLine="720"/>
    </w:pPr>
    <w:rPr>
      <w:rFonts w:ascii="Courier" w:hAnsi="Courier"/>
    </w:rPr>
  </w:style>
  <w:style w:type="character" w:customStyle="1" w:styleId="SYSHYPERTEXT">
    <w:name w:val="SYS_HYPERTEXT"/>
    <w:rPr>
      <w:color w:val="0000FF"/>
      <w:u w:val="single"/>
    </w:rPr>
  </w:style>
  <w:style w:type="character" w:styleId="PageNumber">
    <w:name w:val="page number"/>
    <w:basedOn w:val="DefaultParagraphFont"/>
    <w:rsid w:val="004647C0"/>
  </w:style>
  <w:style w:type="paragraph" w:styleId="ListParagraph">
    <w:name w:val="List Paragraph"/>
    <w:basedOn w:val="Normal"/>
    <w:uiPriority w:val="34"/>
    <w:qFormat/>
    <w:rsid w:val="006728C5"/>
    <w:pPr>
      <w:ind w:left="720"/>
    </w:pPr>
  </w:style>
  <w:style w:type="character" w:styleId="Hyperlink">
    <w:name w:val="Hyperlink"/>
    <w:rsid w:val="00A32F98"/>
    <w:rPr>
      <w:color w:val="0000FF"/>
      <w:u w:val="single"/>
    </w:rPr>
  </w:style>
  <w:style w:type="character" w:styleId="CommentReference">
    <w:name w:val="annotation reference"/>
    <w:rsid w:val="00A700DE"/>
    <w:rPr>
      <w:sz w:val="16"/>
      <w:szCs w:val="16"/>
    </w:rPr>
  </w:style>
  <w:style w:type="paragraph" w:styleId="CommentText">
    <w:name w:val="annotation text"/>
    <w:basedOn w:val="Normal"/>
    <w:link w:val="CommentTextChar"/>
    <w:rsid w:val="00A700DE"/>
    <w:rPr>
      <w:sz w:val="20"/>
    </w:rPr>
  </w:style>
  <w:style w:type="character" w:customStyle="1" w:styleId="CommentTextChar">
    <w:name w:val="Comment Text Char"/>
    <w:basedOn w:val="DefaultParagraphFont"/>
    <w:link w:val="CommentText"/>
    <w:rsid w:val="00A700DE"/>
  </w:style>
  <w:style w:type="paragraph" w:styleId="CommentSubject">
    <w:name w:val="annotation subject"/>
    <w:basedOn w:val="CommentText"/>
    <w:next w:val="CommentText"/>
    <w:link w:val="CommentSubjectChar"/>
    <w:rsid w:val="00A700DE"/>
    <w:rPr>
      <w:b/>
      <w:bCs/>
    </w:rPr>
  </w:style>
  <w:style w:type="character" w:customStyle="1" w:styleId="CommentSubjectChar">
    <w:name w:val="Comment Subject Char"/>
    <w:link w:val="CommentSubject"/>
    <w:rsid w:val="00A700DE"/>
    <w:rPr>
      <w:b/>
      <w:bCs/>
    </w:rPr>
  </w:style>
  <w:style w:type="paragraph" w:styleId="BalloonText">
    <w:name w:val="Balloon Text"/>
    <w:basedOn w:val="Normal"/>
    <w:link w:val="BalloonTextChar"/>
    <w:rsid w:val="00A700DE"/>
    <w:rPr>
      <w:rFonts w:ascii="Segoe UI" w:hAnsi="Segoe UI" w:cs="Segoe UI"/>
      <w:sz w:val="18"/>
      <w:szCs w:val="18"/>
    </w:rPr>
  </w:style>
  <w:style w:type="character" w:customStyle="1" w:styleId="BalloonTextChar">
    <w:name w:val="Balloon Text Char"/>
    <w:link w:val="BalloonText"/>
    <w:rsid w:val="00A700DE"/>
    <w:rPr>
      <w:rFonts w:ascii="Segoe UI" w:hAnsi="Segoe UI" w:cs="Segoe UI"/>
      <w:sz w:val="18"/>
      <w:szCs w:val="18"/>
    </w:rPr>
  </w:style>
  <w:style w:type="paragraph" w:styleId="FootnoteText">
    <w:name w:val="footnote text"/>
    <w:basedOn w:val="Normal"/>
    <w:link w:val="FootnoteTextChar"/>
    <w:uiPriority w:val="99"/>
    <w:qFormat/>
    <w:rsid w:val="00C5033F"/>
    <w:pPr>
      <w:widowControl w:val="0"/>
      <w:ind w:firstLine="720"/>
    </w:pPr>
  </w:style>
  <w:style w:type="character" w:customStyle="1" w:styleId="FootnoteTextChar">
    <w:name w:val="Footnote Text Char"/>
    <w:link w:val="FootnoteText"/>
    <w:uiPriority w:val="99"/>
    <w:rsid w:val="00C5033F"/>
    <w:rPr>
      <w:sz w:val="24"/>
    </w:rPr>
  </w:style>
  <w:style w:type="paragraph" w:styleId="Header">
    <w:name w:val="header"/>
    <w:basedOn w:val="Normal"/>
    <w:link w:val="HeaderChar"/>
    <w:rsid w:val="004B2288"/>
    <w:pPr>
      <w:tabs>
        <w:tab w:val="center" w:pos="4680"/>
        <w:tab w:val="right" w:pos="9360"/>
      </w:tabs>
    </w:pPr>
  </w:style>
  <w:style w:type="character" w:customStyle="1" w:styleId="HeaderChar">
    <w:name w:val="Header Char"/>
    <w:link w:val="Header"/>
    <w:rsid w:val="004B22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09906">
      <w:bodyDiv w:val="1"/>
      <w:marLeft w:val="0"/>
      <w:marRight w:val="0"/>
      <w:marTop w:val="0"/>
      <w:marBottom w:val="0"/>
      <w:divBdr>
        <w:top w:val="none" w:sz="0" w:space="0" w:color="auto"/>
        <w:left w:val="none" w:sz="0" w:space="0" w:color="auto"/>
        <w:bottom w:val="none" w:sz="0" w:space="0" w:color="auto"/>
        <w:right w:val="none" w:sz="0" w:space="0" w:color="auto"/>
      </w:divBdr>
    </w:div>
    <w:div w:id="89504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5F44C0773F744B44EDDB706635A40" ma:contentTypeVersion="2" ma:contentTypeDescription="Create a new document." ma:contentTypeScope="" ma:versionID="da5d60cb60745e1ab3646ebc9ba33569">
  <xsd:schema xmlns:xsd="http://www.w3.org/2001/XMLSchema" xmlns:xs="http://www.w3.org/2001/XMLSchema" xmlns:p="http://schemas.microsoft.com/office/2006/metadata/properties" targetNamespace="http://schemas.microsoft.com/office/2006/metadata/properties" ma:root="true" ma:fieldsID="d30b648a99f382dab78d4dad0ded7f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4153-59C5-4473-930B-D9EB152487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9556FC-B90F-4D37-BFE6-7505AA0EB3E8}">
  <ds:schemaRefs>
    <ds:schemaRef ds:uri="http://schemas.microsoft.com/sharepoint/v3/contenttype/forms"/>
  </ds:schemaRefs>
</ds:datastoreItem>
</file>

<file path=customXml/itemProps3.xml><?xml version="1.0" encoding="utf-8"?>
<ds:datastoreItem xmlns:ds="http://schemas.openxmlformats.org/officeDocument/2006/customXml" ds:itemID="{B341398F-4B72-43FC-BA7C-B6F6A21E2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50434D-4E60-4B9A-871B-693CCBD3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3857</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25595</CharactersWithSpaces>
  <SharedDoc>false</SharedDoc>
  <HLinks>
    <vt:vector size="12" baseType="variant">
      <vt:variant>
        <vt:i4>262217</vt:i4>
      </vt:variant>
      <vt:variant>
        <vt:i4>5</vt:i4>
      </vt:variant>
      <vt:variant>
        <vt:i4>0</vt:i4>
      </vt:variant>
      <vt:variant>
        <vt:i4>5</vt:i4>
      </vt:variant>
      <vt:variant>
        <vt:lpwstr>http://www.regulations.gov./</vt:lpwstr>
      </vt:variant>
      <vt:variant>
        <vt:lpwstr/>
      </vt:variant>
      <vt:variant>
        <vt:i4>196696</vt:i4>
      </vt:variant>
      <vt:variant>
        <vt:i4>2</vt:i4>
      </vt:variant>
      <vt:variant>
        <vt:i4>0</vt:i4>
      </vt:variant>
      <vt:variant>
        <vt:i4>5</vt:i4>
      </vt:variant>
      <vt:variant>
        <vt:lpwstr>https://www.aar.org/Pages/Product-Details.aspx?ProductCode=RFB2016Web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 User</dc:creator>
  <cp:keywords/>
  <cp:lastModifiedBy>Wells, Hodan (FRA)</cp:lastModifiedBy>
  <cp:revision>3</cp:revision>
  <cp:lastPrinted>2017-07-12T21:21:00Z</cp:lastPrinted>
  <dcterms:created xsi:type="dcterms:W3CDTF">2021-01-07T17:37:00Z</dcterms:created>
  <dcterms:modified xsi:type="dcterms:W3CDTF">2021-01-07T17:38:00Z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0x0101009A25F44C0773F744B44EDDB706635A40</vt:lpwstr>
  </property>
</Properties>
</file>