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16DA8" w:rsidR="009E118C" w:rsidP="00FA2F70" w:rsidRDefault="009E118C" w14:paraId="45CC85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Cs/>
          <w:color w:val="000000"/>
          <w:sz w:val="28"/>
        </w:rPr>
      </w:pPr>
      <w:r w:rsidRPr="00416DA8">
        <w:rPr>
          <w:rFonts w:ascii="Helvetica" w:hAnsi="Helvetica"/>
          <w:bCs/>
          <w:color w:val="000000"/>
          <w:sz w:val="28"/>
        </w:rPr>
        <w:t>Supporting Statement for Paperwork Reduction Act Submissions</w:t>
      </w:r>
    </w:p>
    <w:p w:rsidR="00265B70" w:rsidP="00FA2F70" w:rsidRDefault="00265B70" w14:paraId="18C6C53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b/>
          <w:bCs/>
          <w:sz w:val="28"/>
          <w:szCs w:val="28"/>
        </w:rPr>
      </w:pPr>
    </w:p>
    <w:p w:rsidRPr="00E87594" w:rsidR="00E87594" w:rsidP="00FA2F70" w:rsidRDefault="00E87594" w14:paraId="5229624D" w14:textId="6B6B91D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bCs/>
          <w:color w:val="000000"/>
          <w:sz w:val="28"/>
          <w:szCs w:val="28"/>
        </w:rPr>
      </w:pPr>
      <w:r w:rsidRPr="00E87594">
        <w:rPr>
          <w:b/>
          <w:bCs/>
          <w:sz w:val="28"/>
          <w:szCs w:val="28"/>
        </w:rPr>
        <w:t xml:space="preserve">Mortgagee’s Application for Partial Settlement </w:t>
      </w:r>
      <w:r w:rsidR="005A47C1">
        <w:rPr>
          <w:b/>
          <w:bCs/>
          <w:sz w:val="28"/>
          <w:szCs w:val="28"/>
        </w:rPr>
        <w:t>(Multifamily Mortgage)</w:t>
      </w:r>
    </w:p>
    <w:p w:rsidRPr="00C879B4" w:rsidR="009E118C" w:rsidP="00FA2F70" w:rsidRDefault="0050120C" w14:paraId="18ACFAA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OMB Control Number</w:t>
      </w:r>
      <w:r w:rsidR="00294E98">
        <w:rPr>
          <w:rFonts w:ascii="Helvetica" w:hAnsi="Helvetica"/>
          <w:b/>
          <w:color w:val="000000"/>
          <w:sz w:val="24"/>
        </w:rPr>
        <w:t>:</w:t>
      </w:r>
      <w:r w:rsidRPr="00C879B4">
        <w:rPr>
          <w:rFonts w:ascii="Helvetica" w:hAnsi="Helvetica"/>
          <w:b/>
          <w:color w:val="000000"/>
          <w:sz w:val="24"/>
        </w:rPr>
        <w:t xml:space="preserve"> 2502-</w:t>
      </w:r>
      <w:r w:rsidR="00E87594">
        <w:rPr>
          <w:rFonts w:ascii="Helvetica" w:hAnsi="Helvetica"/>
          <w:b/>
          <w:color w:val="000000"/>
          <w:sz w:val="24"/>
        </w:rPr>
        <w:t>0427</w:t>
      </w:r>
    </w:p>
    <w:p w:rsidRPr="00C879B4" w:rsidR="009E118C" w:rsidP="009F71C2" w:rsidRDefault="00265B70" w14:paraId="3F192BAB" w14:textId="04BECB7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Pr>
          <w:rFonts w:ascii="Helvetica" w:hAnsi="Helvetica"/>
          <w:b/>
          <w:color w:val="000000"/>
          <w:sz w:val="24"/>
        </w:rPr>
        <w:t>Form</w:t>
      </w:r>
      <w:r w:rsidR="00C76FE9">
        <w:rPr>
          <w:rFonts w:ascii="Helvetica" w:hAnsi="Helvetica"/>
          <w:b/>
          <w:color w:val="000000"/>
          <w:sz w:val="24"/>
        </w:rPr>
        <w:t>s</w:t>
      </w:r>
      <w:r>
        <w:rPr>
          <w:rFonts w:ascii="Helvetica" w:hAnsi="Helvetica"/>
          <w:b/>
          <w:color w:val="000000"/>
          <w:sz w:val="24"/>
        </w:rPr>
        <w:t xml:space="preserve">: </w:t>
      </w:r>
      <w:r w:rsidR="00E87594">
        <w:rPr>
          <w:rFonts w:ascii="Helvetica" w:hAnsi="Helvetica"/>
          <w:b/>
          <w:color w:val="000000"/>
          <w:sz w:val="24"/>
        </w:rPr>
        <w:t>HUD-2537</w:t>
      </w:r>
      <w:r w:rsidR="00C942E7">
        <w:rPr>
          <w:rFonts w:ascii="Helvetica" w:hAnsi="Helvetica"/>
          <w:b/>
          <w:color w:val="000000"/>
          <w:sz w:val="24"/>
        </w:rPr>
        <w:t xml:space="preserve">, </w:t>
      </w:r>
      <w:r w:rsidRPr="00616D18" w:rsidR="00C942E7">
        <w:rPr>
          <w:rFonts w:ascii="Helvetica" w:hAnsi="Helvetica"/>
          <w:b/>
          <w:color w:val="000000"/>
          <w:sz w:val="24"/>
        </w:rPr>
        <w:t>HUD-2747,</w:t>
      </w:r>
      <w:r w:rsidRPr="00616D18" w:rsidR="00F80921">
        <w:rPr>
          <w:rFonts w:ascii="Helvetica" w:hAnsi="Helvetica"/>
          <w:b/>
          <w:color w:val="000000"/>
          <w:sz w:val="24"/>
        </w:rPr>
        <w:t xml:space="preserve"> </w:t>
      </w:r>
      <w:r w:rsidRPr="00616D18" w:rsidR="00C942E7">
        <w:rPr>
          <w:rFonts w:ascii="Helvetica" w:hAnsi="Helvetica"/>
          <w:b/>
          <w:color w:val="000000"/>
          <w:sz w:val="24"/>
        </w:rPr>
        <w:t>HUD-</w:t>
      </w:r>
      <w:r w:rsidR="00C942E7">
        <w:rPr>
          <w:rFonts w:ascii="Helvetica" w:hAnsi="Helvetica"/>
          <w:b/>
          <w:color w:val="000000"/>
          <w:sz w:val="24"/>
        </w:rPr>
        <w:t>1044D</w:t>
      </w:r>
    </w:p>
    <w:p w:rsidR="009E118C" w:rsidP="00FA2F70" w:rsidRDefault="009E118C" w14:paraId="43AD05C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002D1CAB" w:rsidP="00FA2F70" w:rsidRDefault="002D1CAB" w14:paraId="5FC3882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Pr="00C879B4" w:rsidR="002D1CAB" w:rsidP="00FA2F70" w:rsidRDefault="002D1CAB" w14:paraId="6B4AE00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tbl>
      <w:tblPr>
        <w:tblW w:w="0" w:type="auto"/>
        <w:tblInd w:w="108" w:type="dxa"/>
        <w:tblLook w:val="04A0" w:firstRow="1" w:lastRow="0" w:firstColumn="1" w:lastColumn="0" w:noHBand="0" w:noVBand="1"/>
      </w:tblPr>
      <w:tblGrid>
        <w:gridCol w:w="9252"/>
      </w:tblGrid>
      <w:tr w:rsidRPr="00C879B4" w:rsidR="002D1CAB" w:rsidTr="00802125" w14:paraId="29E1D0B3" w14:textId="77777777">
        <w:tc>
          <w:tcPr>
            <w:tcW w:w="9360" w:type="dxa"/>
            <w:shd w:val="clear" w:color="auto" w:fill="auto"/>
          </w:tcPr>
          <w:p w:rsidRPr="00C879B4" w:rsidR="002D1CAB" w:rsidP="00802125" w:rsidRDefault="002D1CAB" w14:paraId="3280B47F"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C879B4" w:rsidR="002D1CAB" w:rsidP="00802125" w:rsidRDefault="002D1CAB" w14:paraId="0E994B1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CC0526" w:rsidR="00FA2F70" w:rsidTr="00D35DDB" w14:paraId="5044FFAF" w14:textId="77777777">
        <w:tc>
          <w:tcPr>
            <w:tcW w:w="9360" w:type="dxa"/>
            <w:shd w:val="clear" w:color="auto" w:fill="auto"/>
          </w:tcPr>
          <w:p w:rsidRPr="00014CE6" w:rsidR="001133FA" w:rsidP="002D1CAB" w:rsidRDefault="00660FAB" w14:paraId="571030BA" w14:textId="77777777">
            <w:pPr>
              <w:overflowPunct w:val="0"/>
              <w:autoSpaceDE w:val="0"/>
              <w:autoSpaceDN w:val="0"/>
              <w:adjustRightInd w:val="0"/>
              <w:spacing w:after="0" w:line="240" w:lineRule="auto"/>
              <w:ind w:left="360"/>
              <w:textAlignment w:val="baseline"/>
              <w:rPr>
                <w:rFonts w:ascii="Times New Roman" w:hAnsi="Times New Roman"/>
                <w:sz w:val="24"/>
              </w:rPr>
            </w:pPr>
            <w:r w:rsidRPr="00014CE6">
              <w:rPr>
                <w:rFonts w:ascii="Times New Roman" w:hAnsi="Times New Roman"/>
                <w:sz w:val="24"/>
              </w:rPr>
              <w:t>When a FHA-insured Multifamily mortgage goes into default, the Mortgagee may file a claim with the Secretary to receive the insurance benefits</w:t>
            </w:r>
            <w:r w:rsidRPr="00014CE6" w:rsidR="001133FA">
              <w:rPr>
                <w:rFonts w:ascii="Times New Roman" w:hAnsi="Times New Roman"/>
                <w:sz w:val="24"/>
              </w:rPr>
              <w:t>.</w:t>
            </w:r>
            <w:r w:rsidRPr="00014CE6" w:rsidR="001133FA">
              <w:rPr>
                <w:rFonts w:ascii="Times New Roman" w:hAnsi="Times New Roman" w:eastAsia="Arial Unicode MS"/>
                <w:color w:val="000000"/>
                <w:sz w:val="24"/>
                <w:szCs w:val="24"/>
              </w:rPr>
              <w:t xml:space="preserve"> </w:t>
            </w:r>
          </w:p>
          <w:p w:rsidRPr="00014CE6" w:rsidR="001133FA" w:rsidP="001133FA" w:rsidRDefault="001133FA" w14:paraId="232A3746" w14:textId="77777777">
            <w:pPr>
              <w:overflowPunct w:val="0"/>
              <w:autoSpaceDE w:val="0"/>
              <w:autoSpaceDN w:val="0"/>
              <w:adjustRightInd w:val="0"/>
              <w:spacing w:after="0" w:line="240" w:lineRule="auto"/>
              <w:ind w:left="360"/>
              <w:textAlignment w:val="baseline"/>
              <w:rPr>
                <w:rFonts w:ascii="Times New Roman" w:hAnsi="Times New Roman"/>
                <w:sz w:val="24"/>
              </w:rPr>
            </w:pPr>
            <w:r w:rsidRPr="00014CE6">
              <w:rPr>
                <w:rFonts w:ascii="Times New Roman" w:hAnsi="Times New Roman" w:eastAsia="Arial Unicode MS"/>
                <w:color w:val="000000"/>
                <w:sz w:val="24"/>
                <w:szCs w:val="24"/>
              </w:rPr>
              <w:t xml:space="preserve">The law which supports this action is Title II, Section 207(g), of the National Housing Act (12 USC 1713(g)) (the “Statute”)). </w:t>
            </w:r>
            <w:r w:rsidRPr="00014CE6">
              <w:rPr>
                <w:rFonts w:ascii="Times New Roman" w:hAnsi="Times New Roman"/>
                <w:sz w:val="24"/>
              </w:rPr>
              <w:t xml:space="preserve">  </w:t>
            </w:r>
          </w:p>
          <w:p w:rsidRPr="00014CE6" w:rsidR="001133FA" w:rsidP="001133FA" w:rsidRDefault="001133FA" w14:paraId="25973AE5" w14:textId="77777777">
            <w:pPr>
              <w:overflowPunct w:val="0"/>
              <w:autoSpaceDE w:val="0"/>
              <w:autoSpaceDN w:val="0"/>
              <w:adjustRightInd w:val="0"/>
              <w:spacing w:after="0" w:line="240" w:lineRule="auto"/>
              <w:ind w:left="360"/>
              <w:textAlignment w:val="baseline"/>
              <w:rPr>
                <w:rFonts w:ascii="Times New Roman" w:hAnsi="Times New Roman"/>
                <w:sz w:val="24"/>
              </w:rPr>
            </w:pPr>
          </w:p>
          <w:p w:rsidRPr="00CC0526" w:rsidR="00CC0526" w:rsidP="007F226E" w:rsidRDefault="001133FA" w14:paraId="660B0829" w14:textId="59B05AD0">
            <w:pPr>
              <w:overflowPunct w:val="0"/>
              <w:autoSpaceDE w:val="0"/>
              <w:autoSpaceDN w:val="0"/>
              <w:adjustRightInd w:val="0"/>
              <w:spacing w:after="0" w:line="240" w:lineRule="auto"/>
              <w:ind w:left="360"/>
              <w:textAlignment w:val="baseline"/>
              <w:rPr>
                <w:rFonts w:ascii="Courier" w:hAnsi="Courier"/>
                <w:color w:val="000000"/>
                <w:sz w:val="24"/>
                <w:highlight w:val="yellow"/>
              </w:rPr>
            </w:pPr>
            <w:r w:rsidRPr="00014CE6">
              <w:rPr>
                <w:rFonts w:ascii="Times New Roman" w:hAnsi="Times New Roman"/>
                <w:sz w:val="24"/>
              </w:rPr>
              <w:t xml:space="preserve">The </w:t>
            </w:r>
            <w:r w:rsidRPr="00014CE6" w:rsidR="00660FAB">
              <w:rPr>
                <w:rFonts w:ascii="Times New Roman" w:hAnsi="Times New Roman"/>
                <w:sz w:val="24"/>
              </w:rPr>
              <w:t xml:space="preserve">Statute </w:t>
            </w:r>
            <w:r w:rsidRPr="00014CE6">
              <w:rPr>
                <w:rFonts w:ascii="Times New Roman" w:hAnsi="Times New Roman"/>
                <w:sz w:val="24"/>
              </w:rPr>
              <w:t>provides in part.”.</w:t>
            </w:r>
            <w:r w:rsidR="00014CE6">
              <w:rPr>
                <w:rFonts w:ascii="Times New Roman" w:hAnsi="Times New Roman"/>
                <w:sz w:val="24"/>
              </w:rPr>
              <w:t>.</w:t>
            </w:r>
            <w:r w:rsidRPr="00014CE6">
              <w:rPr>
                <w:rFonts w:ascii="Times New Roman" w:hAnsi="Times New Roman"/>
                <w:sz w:val="24"/>
              </w:rPr>
              <w:t xml:space="preserve">. </w:t>
            </w:r>
            <w:r w:rsidRPr="00014CE6" w:rsidR="00660FAB">
              <w:rPr>
                <w:rFonts w:ascii="Times New Roman" w:hAnsi="Times New Roman"/>
                <w:sz w:val="24"/>
              </w:rPr>
              <w:t>the Mortgagee shall be entitled to receive the benefits of the insurance as hereinafter provided, upon assignment, transfer, and delivery to the Secretary, within a period and in accordance with rules and regulations to be prescribed by the Secretary of all rights and interest arising under the mortgage so in default… at its option and in accordance with regulation, and in a period to be determined by the Secretary, proceed to foreclosure on and obtain possession of or otherwise acquired such property after default and receive the benefits of the insurance as herein provided upon prompt conveyance to the Secretary the title of the property…” The Mortgagee may receive a portion of the benefits immediately after the assignment or conveyance.</w:t>
            </w:r>
          </w:p>
        </w:tc>
      </w:tr>
      <w:tr w:rsidRPr="00CC0526" w:rsidR="00FA2F70" w:rsidTr="00D35DDB" w14:paraId="7E224012" w14:textId="77777777">
        <w:tc>
          <w:tcPr>
            <w:tcW w:w="9360" w:type="dxa"/>
            <w:shd w:val="clear" w:color="auto" w:fill="auto"/>
          </w:tcPr>
          <w:p w:rsidRPr="00CC0526" w:rsidR="00FA2F70" w:rsidP="001B4FB5" w:rsidRDefault="00FA2F70" w14:paraId="0211C0E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highlight w:val="yellow"/>
              </w:rPr>
            </w:pPr>
          </w:p>
        </w:tc>
      </w:tr>
    </w:tbl>
    <w:p w:rsidRPr="00CC0526" w:rsidR="00FA2F70" w:rsidP="00FA2F70" w:rsidRDefault="00FA2F70" w14:paraId="0300F0C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highlight w:val="yellow"/>
        </w:rPr>
      </w:pPr>
    </w:p>
    <w:tbl>
      <w:tblPr>
        <w:tblW w:w="0" w:type="auto"/>
        <w:tblInd w:w="108" w:type="dxa"/>
        <w:tblLook w:val="04A0" w:firstRow="1" w:lastRow="0" w:firstColumn="1" w:lastColumn="0" w:noHBand="0" w:noVBand="1"/>
      </w:tblPr>
      <w:tblGrid>
        <w:gridCol w:w="9252"/>
      </w:tblGrid>
      <w:tr w:rsidRPr="00CC0526" w:rsidR="00FA2F70" w:rsidTr="00D35DDB" w14:paraId="6994AE0C" w14:textId="77777777">
        <w:tc>
          <w:tcPr>
            <w:tcW w:w="9360" w:type="dxa"/>
            <w:shd w:val="clear" w:color="auto" w:fill="auto"/>
          </w:tcPr>
          <w:p w:rsidR="00FA2F70" w:rsidP="001B4FB5" w:rsidRDefault="00FA2F70" w14:paraId="56228F0F" w14:textId="77777777">
            <w:pPr>
              <w:spacing w:after="0" w:line="240" w:lineRule="auto"/>
              <w:rPr>
                <w:rFonts w:ascii="Times New Roman" w:hAnsi="Times New Roman"/>
                <w:b/>
                <w:color w:val="000000"/>
                <w:sz w:val="24"/>
                <w:szCs w:val="24"/>
                <w:highlight w:val="yellow"/>
              </w:rPr>
            </w:pPr>
            <w:r w:rsidRPr="005A594F">
              <w:rPr>
                <w:rFonts w:ascii="Times New Roman" w:hAnsi="Times New Roman"/>
                <w:b/>
                <w:color w:val="000000"/>
                <w:sz w:val="24"/>
                <w:szCs w:val="24"/>
              </w:rPr>
              <w:t xml:space="preserve">2. Indicate how, by whom, and for what purpose the information is to be used. Except for </w:t>
            </w:r>
            <w:r w:rsidR="005A594F">
              <w:rPr>
                <w:rFonts w:ascii="Times New Roman" w:hAnsi="Times New Roman"/>
                <w:b/>
                <w:color w:val="000000"/>
                <w:sz w:val="24"/>
                <w:szCs w:val="24"/>
              </w:rPr>
              <w:t xml:space="preserve">    </w:t>
            </w:r>
            <w:r w:rsidRPr="005A594F">
              <w:rPr>
                <w:rFonts w:ascii="Times New Roman" w:hAnsi="Times New Roman"/>
                <w:b/>
                <w:color w:val="000000"/>
                <w:sz w:val="24"/>
                <w:szCs w:val="24"/>
              </w:rPr>
              <w:t xml:space="preserve">a new collection, indicate the actual use the agency has made of the information received from the current collection. </w:t>
            </w:r>
          </w:p>
          <w:p w:rsidRPr="00CC0526" w:rsidR="00D7767E" w:rsidP="001B4FB5" w:rsidRDefault="00D7767E" w14:paraId="06D72133" w14:textId="77777777">
            <w:pPr>
              <w:spacing w:after="0" w:line="240" w:lineRule="auto"/>
              <w:rPr>
                <w:rFonts w:ascii="Times New Roman" w:hAnsi="Times New Roman"/>
                <w:b/>
                <w:color w:val="000000"/>
                <w:sz w:val="24"/>
                <w:szCs w:val="24"/>
                <w:highlight w:val="yellow"/>
              </w:rPr>
            </w:pPr>
          </w:p>
          <w:p w:rsidRPr="00CC0526" w:rsidR="00D7767E" w:rsidP="00014CE6" w:rsidRDefault="00D7767E" w14:paraId="4825B4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highlight w:val="yellow"/>
              </w:rPr>
            </w:pPr>
          </w:p>
        </w:tc>
      </w:tr>
      <w:tr w:rsidRPr="00C879B4" w:rsidR="00FA2F70" w:rsidTr="00D35DDB" w14:paraId="618102D7" w14:textId="77777777">
        <w:tc>
          <w:tcPr>
            <w:tcW w:w="9360" w:type="dxa"/>
            <w:shd w:val="clear" w:color="auto" w:fill="auto"/>
          </w:tcPr>
          <w:p w:rsidRPr="00014CE6" w:rsidR="00834B34" w:rsidP="005A47C1" w:rsidRDefault="008839DF" w14:paraId="07E60351" w14:textId="16A84D38">
            <w:pPr>
              <w:jc w:val="both"/>
              <w:rPr>
                <w:rFonts w:ascii="Times New Roman" w:hAnsi="Times New Roman"/>
                <w:color w:val="000000"/>
                <w:sz w:val="24"/>
                <w:szCs w:val="24"/>
              </w:rPr>
            </w:pPr>
            <w:r w:rsidRPr="00014CE6">
              <w:rPr>
                <w:rFonts w:ascii="Times New Roman" w:hAnsi="Times New Roman"/>
                <w:sz w:val="24"/>
                <w:szCs w:val="24"/>
              </w:rPr>
              <w:t xml:space="preserve">Form </w:t>
            </w:r>
            <w:r w:rsidRPr="00014CE6" w:rsidR="00CC0526">
              <w:rPr>
                <w:rFonts w:ascii="Times New Roman" w:hAnsi="Times New Roman"/>
                <w:sz w:val="24"/>
                <w:szCs w:val="24"/>
              </w:rPr>
              <w:t>HUD-2</w:t>
            </w:r>
            <w:r w:rsidRPr="00014CE6" w:rsidR="00D7767E">
              <w:rPr>
                <w:rFonts w:ascii="Times New Roman" w:hAnsi="Times New Roman"/>
                <w:sz w:val="24"/>
                <w:szCs w:val="24"/>
              </w:rPr>
              <w:t xml:space="preserve">537 Mortgagee’s Application for Partial Settlement </w:t>
            </w:r>
            <w:r w:rsidRPr="00014CE6" w:rsidR="00790F5F">
              <w:rPr>
                <w:rFonts w:ascii="Times New Roman" w:hAnsi="Times New Roman"/>
                <w:sz w:val="24"/>
                <w:szCs w:val="24"/>
              </w:rPr>
              <w:t>(</w:t>
            </w:r>
            <w:r w:rsidRPr="00014CE6" w:rsidR="00D7767E">
              <w:rPr>
                <w:rFonts w:ascii="Times New Roman" w:hAnsi="Times New Roman"/>
                <w:sz w:val="24"/>
                <w:szCs w:val="24"/>
              </w:rPr>
              <w:t>Multifamily Mortgage</w:t>
            </w:r>
            <w:r w:rsidRPr="00014CE6" w:rsidR="00790F5F">
              <w:rPr>
                <w:rFonts w:ascii="Times New Roman" w:hAnsi="Times New Roman"/>
                <w:sz w:val="24"/>
                <w:szCs w:val="24"/>
              </w:rPr>
              <w:t>)</w:t>
            </w:r>
            <w:r w:rsidRPr="00014CE6" w:rsidR="00D7767E">
              <w:rPr>
                <w:rFonts w:ascii="Times New Roman" w:hAnsi="Times New Roman"/>
                <w:sz w:val="24"/>
                <w:szCs w:val="24"/>
              </w:rPr>
              <w:t xml:space="preserve"> is used by HUD to </w:t>
            </w:r>
            <w:r w:rsidRPr="00014CE6" w:rsidR="009E5990">
              <w:rPr>
                <w:rFonts w:ascii="Times New Roman" w:hAnsi="Times New Roman"/>
                <w:sz w:val="24"/>
                <w:szCs w:val="24"/>
              </w:rPr>
              <w:t>obtain required fiscal data for HUD to compute a partial settlement of insurance benefits prior to a completion examination of the claim.</w:t>
            </w:r>
            <w:r w:rsidRPr="00014CE6" w:rsidR="002203C5">
              <w:rPr>
                <w:rFonts w:ascii="Times New Roman" w:hAnsi="Times New Roman"/>
                <w:sz w:val="24"/>
                <w:szCs w:val="24"/>
              </w:rPr>
              <w:t xml:space="preserve"> To apply for a partial settlement, the mortgagee must send form HUD-2537, form HUD-2747 (OMB Control No. 2502-0419), form HUD-1044-D (OMB Control No. 2502-0418)</w:t>
            </w:r>
            <w:r w:rsidRPr="00014CE6" w:rsidR="000C0E13">
              <w:rPr>
                <w:rFonts w:ascii="Times New Roman" w:hAnsi="Times New Roman"/>
                <w:sz w:val="24"/>
                <w:szCs w:val="24"/>
              </w:rPr>
              <w:t xml:space="preserve">, a copy of the Debenture Lock Agreement (if applicable), </w:t>
            </w:r>
            <w:r w:rsidRPr="00014CE6" w:rsidR="002B34E4">
              <w:rPr>
                <w:rFonts w:ascii="Times New Roman" w:hAnsi="Times New Roman"/>
                <w:sz w:val="24"/>
                <w:szCs w:val="24"/>
              </w:rPr>
              <w:t xml:space="preserve">and all information </w:t>
            </w:r>
            <w:r w:rsidRPr="00014CE6" w:rsidR="002B34E4">
              <w:rPr>
                <w:rFonts w:ascii="Times New Roman" w:hAnsi="Times New Roman"/>
                <w:color w:val="000000"/>
                <w:sz w:val="24"/>
                <w:szCs w:val="24"/>
              </w:rPr>
              <w:t>require</w:t>
            </w:r>
            <w:r w:rsidRPr="00014CE6" w:rsidR="000C0E13">
              <w:rPr>
                <w:rFonts w:ascii="Times New Roman" w:hAnsi="Times New Roman"/>
                <w:color w:val="000000"/>
                <w:sz w:val="24"/>
                <w:szCs w:val="24"/>
              </w:rPr>
              <w:t>d</w:t>
            </w:r>
            <w:r w:rsidRPr="00014CE6" w:rsidR="002973BA">
              <w:rPr>
                <w:rFonts w:ascii="Times New Roman" w:hAnsi="Times New Roman"/>
                <w:color w:val="000000"/>
                <w:sz w:val="24"/>
                <w:szCs w:val="24"/>
              </w:rPr>
              <w:t xml:space="preserve"> </w:t>
            </w:r>
            <w:r w:rsidRPr="00014CE6" w:rsidR="00B91040">
              <w:rPr>
                <w:rFonts w:ascii="Times New Roman" w:hAnsi="Times New Roman"/>
                <w:color w:val="000000"/>
                <w:sz w:val="24"/>
                <w:szCs w:val="24"/>
              </w:rPr>
              <w:t xml:space="preserve">in </w:t>
            </w:r>
            <w:r w:rsidRPr="00014CE6" w:rsidR="000C0E13">
              <w:rPr>
                <w:rFonts w:ascii="Times New Roman" w:hAnsi="Times New Roman"/>
                <w:color w:val="000000"/>
                <w:sz w:val="24"/>
                <w:szCs w:val="24"/>
              </w:rPr>
              <w:t>the</w:t>
            </w:r>
            <w:r w:rsidRPr="00014CE6" w:rsidR="00D42C7B">
              <w:rPr>
                <w:rFonts w:ascii="Times New Roman" w:hAnsi="Times New Roman"/>
                <w:color w:val="000000"/>
                <w:sz w:val="24"/>
                <w:szCs w:val="24"/>
              </w:rPr>
              <w:t xml:space="preserve"> HUD</w:t>
            </w:r>
            <w:r w:rsidRPr="00014CE6" w:rsidR="002D1CAB">
              <w:rPr>
                <w:rFonts w:ascii="Times New Roman" w:hAnsi="Times New Roman"/>
                <w:color w:val="000000"/>
                <w:sz w:val="24"/>
                <w:szCs w:val="24"/>
              </w:rPr>
              <w:t xml:space="preserve"> </w:t>
            </w:r>
            <w:r w:rsidRPr="00014CE6" w:rsidR="000C0E13">
              <w:rPr>
                <w:rFonts w:ascii="Times New Roman" w:hAnsi="Times New Roman"/>
                <w:color w:val="000000"/>
                <w:sz w:val="24"/>
                <w:szCs w:val="24"/>
              </w:rPr>
              <w:t>form</w:t>
            </w:r>
            <w:r w:rsidRPr="00014CE6" w:rsidR="00D42C7B">
              <w:rPr>
                <w:rFonts w:ascii="Times New Roman" w:hAnsi="Times New Roman"/>
                <w:color w:val="000000"/>
                <w:sz w:val="24"/>
                <w:szCs w:val="24"/>
              </w:rPr>
              <w:t>s</w:t>
            </w:r>
            <w:r w:rsidRPr="00014CE6" w:rsidR="000C0E13">
              <w:rPr>
                <w:rFonts w:ascii="Times New Roman" w:hAnsi="Times New Roman"/>
                <w:color w:val="000000"/>
                <w:sz w:val="24"/>
                <w:szCs w:val="24"/>
              </w:rPr>
              <w:t>.</w:t>
            </w:r>
            <w:r w:rsidRPr="00014CE6" w:rsidR="002203C5">
              <w:rPr>
                <w:rFonts w:ascii="Times New Roman" w:hAnsi="Times New Roman"/>
                <w:color w:val="000000"/>
                <w:sz w:val="24"/>
                <w:szCs w:val="24"/>
              </w:rPr>
              <w:t xml:space="preserve"> </w:t>
            </w:r>
            <w:r w:rsidRPr="00014CE6" w:rsidR="002D1CAB">
              <w:rPr>
                <w:rFonts w:ascii="Times New Roman" w:hAnsi="Times New Roman"/>
                <w:sz w:val="24"/>
                <w:szCs w:val="24"/>
              </w:rPr>
              <w:t xml:space="preserve">Immediately upon receipt of the acceptance email sent by HUD, the mortgagee must send via hard copy an original and one copy of the three forms and all the information requested </w:t>
            </w:r>
            <w:r w:rsidRPr="00014CE6" w:rsidR="00862DAD">
              <w:rPr>
                <w:rFonts w:ascii="Times New Roman" w:hAnsi="Times New Roman"/>
                <w:sz w:val="24"/>
                <w:szCs w:val="24"/>
              </w:rPr>
              <w:t xml:space="preserve">in </w:t>
            </w:r>
            <w:r w:rsidRPr="00014CE6" w:rsidR="002D1CAB">
              <w:rPr>
                <w:rFonts w:ascii="Times New Roman" w:hAnsi="Times New Roman"/>
                <w:sz w:val="24"/>
                <w:szCs w:val="24"/>
              </w:rPr>
              <w:t xml:space="preserve">the </w:t>
            </w:r>
            <w:r w:rsidRPr="00014CE6" w:rsidR="001350FA">
              <w:rPr>
                <w:rFonts w:ascii="Times New Roman" w:hAnsi="Times New Roman"/>
                <w:sz w:val="24"/>
                <w:szCs w:val="24"/>
              </w:rPr>
              <w:t>HUD -</w:t>
            </w:r>
            <w:r w:rsidRPr="00014CE6" w:rsidR="002D1CAB">
              <w:rPr>
                <w:rFonts w:ascii="Times New Roman" w:hAnsi="Times New Roman"/>
                <w:sz w:val="24"/>
                <w:szCs w:val="24"/>
              </w:rPr>
              <w:t>forms. On the date the assignment of mortgage is filed for record, mortgagees must send a</w:t>
            </w:r>
            <w:r w:rsidR="00235475">
              <w:rPr>
                <w:rFonts w:ascii="Times New Roman" w:hAnsi="Times New Roman"/>
                <w:sz w:val="24"/>
                <w:szCs w:val="24"/>
              </w:rPr>
              <w:t>n email</w:t>
            </w:r>
            <w:r w:rsidRPr="00014CE6" w:rsidR="002D1CAB">
              <w:rPr>
                <w:rFonts w:ascii="Times New Roman" w:hAnsi="Times New Roman"/>
                <w:sz w:val="24"/>
                <w:szCs w:val="24"/>
              </w:rPr>
              <w:t xml:space="preserve"> to the Chief, Multifamily Claims Branch, at (202) 619-8259 or email scanned documents to </w:t>
            </w:r>
            <w:hyperlink w:history="1" r:id="rId8">
              <w:r w:rsidRPr="00014CE6" w:rsidR="002D1CAB">
                <w:rPr>
                  <w:rStyle w:val="Hyperlink"/>
                  <w:rFonts w:ascii="Times New Roman" w:hAnsi="Times New Roman"/>
                  <w:sz w:val="24"/>
                  <w:szCs w:val="24"/>
                </w:rPr>
                <w:t>multifamilyclaimsbranch@hud.gov</w:t>
              </w:r>
            </w:hyperlink>
            <w:r w:rsidRPr="00014CE6" w:rsidR="002D1CAB">
              <w:rPr>
                <w:rFonts w:ascii="Times New Roman" w:hAnsi="Times New Roman"/>
                <w:sz w:val="24"/>
                <w:szCs w:val="24"/>
              </w:rPr>
              <w:t xml:space="preserve">.  The email must contain the three forms and all the </w:t>
            </w:r>
            <w:r w:rsidRPr="00014CE6" w:rsidR="002D1CAB">
              <w:rPr>
                <w:rFonts w:ascii="Times New Roman" w:hAnsi="Times New Roman"/>
                <w:sz w:val="24"/>
                <w:szCs w:val="24"/>
              </w:rPr>
              <w:lastRenderedPageBreak/>
              <w:t xml:space="preserve">information requested from the forms.  </w:t>
            </w:r>
            <w:r w:rsidRPr="00014CE6" w:rsidR="002D1CAB">
              <w:rPr>
                <w:rFonts w:ascii="Times New Roman" w:hAnsi="Times New Roman"/>
                <w:color w:val="000000"/>
                <w:sz w:val="24"/>
                <w:szCs w:val="24"/>
              </w:rPr>
              <w:t>It is estimated that 65% of respondents are private business; 35% of respondents are state agencies.</w:t>
            </w:r>
          </w:p>
          <w:p w:rsidRPr="00C879B4" w:rsidR="00FA2F70" w:rsidP="00014CE6" w:rsidRDefault="00014CE6" w14:paraId="1E19DEB2" w14:textId="318C5EB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8A1587">
              <w:rPr>
                <w:rFonts w:ascii="Times New Roman" w:hAnsi="Times New Roman"/>
                <w:color w:val="000000"/>
                <w:sz w:val="24"/>
              </w:rPr>
              <w:t>Links to each form are provided within the narrative for each form</w:t>
            </w:r>
            <w:r>
              <w:rPr>
                <w:rFonts w:ascii="Times New Roman" w:hAnsi="Times New Roman"/>
                <w:color w:val="000000"/>
                <w:sz w:val="24"/>
              </w:rPr>
              <w:t xml:space="preserve"> (</w:t>
            </w:r>
            <w:hyperlink w:history="1" r:id="rId9">
              <w:r w:rsidRPr="008A1587">
                <w:rPr>
                  <w:rFonts w:ascii="Times New Roman" w:hAnsi="Times New Roman"/>
                  <w:color w:val="0000FF"/>
                  <w:sz w:val="24"/>
                  <w:u w:val="single"/>
                </w:rPr>
                <w:t>https://www.hud.gov/program_offices/administration/hudclips/forms/hud2</w:t>
              </w:r>
            </w:hyperlink>
            <w:r>
              <w:rPr>
                <w:rFonts w:ascii="Times New Roman" w:hAnsi="Times New Roman"/>
                <w:color w:val="000000"/>
                <w:sz w:val="24"/>
              </w:rPr>
              <w:t>)</w:t>
            </w:r>
            <w:r w:rsidRPr="008A1587">
              <w:rPr>
                <w:rFonts w:ascii="Times New Roman" w:hAnsi="Times New Roman"/>
                <w:color w:val="000000"/>
                <w:sz w:val="24"/>
              </w:rPr>
              <w:t>.  HUD is also able to email any needed forms upon request.</w:t>
            </w:r>
          </w:p>
        </w:tc>
      </w:tr>
    </w:tbl>
    <w:p w:rsidRPr="00C879B4" w:rsidR="00FA2F70" w:rsidP="00FA2F70" w:rsidRDefault="00FA2F70" w14:paraId="2D56EA7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36FDC9DA" w14:textId="77777777">
        <w:tc>
          <w:tcPr>
            <w:tcW w:w="9360" w:type="dxa"/>
            <w:shd w:val="clear" w:color="auto" w:fill="auto"/>
          </w:tcPr>
          <w:p w:rsidRPr="00C879B4" w:rsidR="00FA2F70" w:rsidP="001B4FB5" w:rsidRDefault="00FA2F70" w14:paraId="7A6CBFF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C879B4" w:rsidR="00FA2F70" w:rsidP="001B4FB5" w:rsidRDefault="00FA2F70" w14:paraId="390CB162" w14:textId="77777777">
            <w:pPr>
              <w:spacing w:after="0" w:line="240" w:lineRule="auto"/>
              <w:rPr>
                <w:rFonts w:ascii="Times New Roman" w:hAnsi="Times New Roman"/>
                <w:b/>
                <w:color w:val="000000"/>
                <w:sz w:val="24"/>
                <w:szCs w:val="24"/>
              </w:rPr>
            </w:pPr>
          </w:p>
        </w:tc>
      </w:tr>
      <w:tr w:rsidRPr="00C879B4" w:rsidR="00FA2F70" w:rsidTr="00D35DDB" w14:paraId="19B911BF" w14:textId="77777777">
        <w:tc>
          <w:tcPr>
            <w:tcW w:w="9360" w:type="dxa"/>
            <w:shd w:val="clear" w:color="auto" w:fill="auto"/>
          </w:tcPr>
          <w:p w:rsidRPr="0075381C" w:rsidR="00CC0526" w:rsidP="00E37D38" w:rsidRDefault="00E26AC1" w14:paraId="41359473" w14:textId="77777777">
            <w:pPr>
              <w:pStyle w:val="HTMLPreformatted"/>
              <w:tabs>
                <w:tab w:val="left" w:pos="630"/>
              </w:tabs>
              <w:rPr>
                <w:rFonts w:ascii="Times New Roman" w:hAnsi="Times New Roman" w:cs="Times New Roman"/>
                <w:sz w:val="24"/>
                <w:szCs w:val="24"/>
              </w:rPr>
            </w:pPr>
            <w:r w:rsidRPr="0075381C">
              <w:rPr>
                <w:rFonts w:ascii="Times New Roman" w:hAnsi="Times New Roman" w:eastAsia="Arial Unicode MS"/>
                <w:sz w:val="24"/>
                <w:szCs w:val="24"/>
              </w:rPr>
              <w:t xml:space="preserve">The collection of information does require the use of technological collection techniques sometimes. </w:t>
            </w:r>
            <w:r w:rsidRPr="0075381C" w:rsidR="00E37D38">
              <w:rPr>
                <w:rFonts w:ascii="Times New Roman" w:hAnsi="Times New Roman" w:eastAsia="Arial Unicode MS"/>
                <w:sz w:val="24"/>
                <w:szCs w:val="24"/>
              </w:rPr>
              <w:t>T</w:t>
            </w:r>
            <w:r w:rsidRPr="0075381C" w:rsidR="00E37D38">
              <w:rPr>
                <w:rFonts w:ascii="Times New Roman" w:hAnsi="Times New Roman" w:cs="Times New Roman"/>
                <w:sz w:val="24"/>
                <w:szCs w:val="24"/>
              </w:rPr>
              <w:t>he respondents are able to complete the fillable form and email it back to HUD for processing.</w:t>
            </w:r>
            <w:r w:rsidRPr="0075381C" w:rsidR="00CC0526">
              <w:rPr>
                <w:rFonts w:ascii="Times New Roman" w:hAnsi="Times New Roman" w:cs="Times New Roman"/>
                <w:sz w:val="24"/>
                <w:szCs w:val="24"/>
              </w:rPr>
              <w:t xml:space="preserve">  Due to the small number of annual responses, conversion to an electronic system process is not cost effective at this time.  </w:t>
            </w:r>
          </w:p>
          <w:p w:rsidRPr="00C879B4" w:rsidR="00FA2F70" w:rsidP="001B4FB5" w:rsidRDefault="00FA2F70" w14:paraId="3F8CDAF7" w14:textId="77777777">
            <w:pPr>
              <w:spacing w:after="0" w:line="240" w:lineRule="auto"/>
              <w:rPr>
                <w:rFonts w:ascii="Times New Roman" w:hAnsi="Times New Roman"/>
                <w:b/>
                <w:color w:val="000000"/>
                <w:sz w:val="24"/>
                <w:szCs w:val="24"/>
              </w:rPr>
            </w:pPr>
          </w:p>
        </w:tc>
      </w:tr>
    </w:tbl>
    <w:p w:rsidRPr="00C879B4" w:rsidR="00FA2F70" w:rsidP="00FA2F70" w:rsidRDefault="00FA2F70" w14:paraId="6BEA81F5"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412BE856" w14:textId="77777777">
        <w:tc>
          <w:tcPr>
            <w:tcW w:w="9360" w:type="dxa"/>
            <w:shd w:val="clear" w:color="auto" w:fill="auto"/>
          </w:tcPr>
          <w:p w:rsidRPr="00C879B4" w:rsidR="00FA2F70" w:rsidP="001B4FB5" w:rsidRDefault="00FA2F70" w14:paraId="1E888F5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Pr="00C879B4" w:rsidR="00FA2F70" w:rsidP="001B4FB5" w:rsidRDefault="00FA2F70" w14:paraId="77EFAF7B" w14:textId="77777777">
            <w:pPr>
              <w:spacing w:after="0" w:line="240" w:lineRule="auto"/>
              <w:rPr>
                <w:rFonts w:ascii="Times New Roman" w:hAnsi="Times New Roman"/>
                <w:b/>
                <w:color w:val="000000"/>
                <w:sz w:val="24"/>
                <w:szCs w:val="24"/>
              </w:rPr>
            </w:pPr>
          </w:p>
        </w:tc>
      </w:tr>
      <w:tr w:rsidRPr="00C879B4" w:rsidR="00FA2F70" w:rsidTr="00D35DDB" w14:paraId="27819BAC" w14:textId="77777777">
        <w:tc>
          <w:tcPr>
            <w:tcW w:w="9360" w:type="dxa"/>
            <w:shd w:val="clear" w:color="auto" w:fill="auto"/>
          </w:tcPr>
          <w:p w:rsidRPr="002973BA" w:rsidR="00FA2F70" w:rsidP="001B4FB5" w:rsidRDefault="002A11D1" w14:paraId="4C7CFF63" w14:textId="77777777">
            <w:pPr>
              <w:spacing w:after="0" w:line="240" w:lineRule="auto"/>
              <w:rPr>
                <w:rFonts w:ascii="Times New Roman" w:hAnsi="Times New Roman"/>
                <w:sz w:val="24"/>
                <w:szCs w:val="24"/>
              </w:rPr>
            </w:pPr>
            <w:r w:rsidRPr="002973BA">
              <w:rPr>
                <w:rFonts w:ascii="Times New Roman" w:hAnsi="Times New Roman"/>
                <w:sz w:val="24"/>
              </w:rPr>
              <w:t>Duplication is identified and prevented by the uniqueness of the project number and name.  No similar information is being collected.</w:t>
            </w:r>
          </w:p>
          <w:p w:rsidRPr="00C879B4" w:rsidR="002A11D1" w:rsidP="001B4FB5" w:rsidRDefault="002A11D1" w14:paraId="725E5220" w14:textId="77777777">
            <w:pPr>
              <w:spacing w:after="0" w:line="240" w:lineRule="auto"/>
              <w:rPr>
                <w:rFonts w:ascii="Times New Roman" w:hAnsi="Times New Roman"/>
                <w:b/>
                <w:color w:val="000000"/>
                <w:sz w:val="24"/>
                <w:szCs w:val="24"/>
              </w:rPr>
            </w:pPr>
          </w:p>
        </w:tc>
      </w:tr>
    </w:tbl>
    <w:p w:rsidRPr="00C879B4" w:rsidR="00FA2F70" w:rsidP="00FA2F70" w:rsidRDefault="00FA2F70" w14:paraId="323DEDAD"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6113B8E7" w14:textId="77777777">
        <w:tc>
          <w:tcPr>
            <w:tcW w:w="9360" w:type="dxa"/>
            <w:shd w:val="clear" w:color="auto" w:fill="auto"/>
          </w:tcPr>
          <w:p w:rsidRPr="00C879B4" w:rsidR="00FA2F70" w:rsidP="001B4FB5" w:rsidRDefault="00FA2F70" w14:paraId="0CD3D7AC"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00FA2F70" w:rsidP="001B4FB5" w:rsidRDefault="00FA2F70" w14:paraId="3605A273" w14:textId="77777777">
            <w:pPr>
              <w:spacing w:after="0" w:line="240" w:lineRule="auto"/>
              <w:rPr>
                <w:rFonts w:ascii="Times New Roman" w:hAnsi="Times New Roman"/>
                <w:b/>
                <w:color w:val="000000"/>
                <w:sz w:val="24"/>
                <w:szCs w:val="24"/>
              </w:rPr>
            </w:pPr>
          </w:p>
          <w:p w:rsidRPr="00F434C9" w:rsidR="00EC3574" w:rsidP="00EC3574" w:rsidRDefault="00EC3574" w14:paraId="1135DBC3" w14:textId="77777777">
            <w:pPr>
              <w:spacing w:after="0" w:line="240" w:lineRule="auto"/>
              <w:rPr>
                <w:rFonts w:ascii="Times New Roman" w:hAnsi="Times New Roman" w:eastAsia="Arial Unicode MS"/>
                <w:color w:val="4472C4"/>
                <w:sz w:val="24"/>
                <w:szCs w:val="24"/>
              </w:rPr>
            </w:pPr>
            <w:r w:rsidRPr="002973BA">
              <w:rPr>
                <w:rFonts w:ascii="Times New Roman" w:hAnsi="Times New Roman" w:eastAsia="Arial Unicode MS"/>
                <w:sz w:val="24"/>
                <w:szCs w:val="24"/>
              </w:rPr>
              <w:t>This information collection does not have an impact on small businesses or other small entities</w:t>
            </w:r>
            <w:r w:rsidRPr="00F434C9">
              <w:rPr>
                <w:rFonts w:ascii="Times New Roman" w:hAnsi="Times New Roman" w:eastAsia="Arial Unicode MS"/>
                <w:color w:val="4472C4"/>
                <w:sz w:val="24"/>
                <w:szCs w:val="24"/>
              </w:rPr>
              <w:t>.</w:t>
            </w:r>
          </w:p>
          <w:p w:rsidRPr="00C879B4" w:rsidR="00EC3574" w:rsidP="001B4FB5" w:rsidRDefault="00EC3574" w14:paraId="5A3C9457" w14:textId="77777777">
            <w:pPr>
              <w:spacing w:after="0" w:line="240" w:lineRule="auto"/>
              <w:rPr>
                <w:rFonts w:ascii="Times New Roman" w:hAnsi="Times New Roman"/>
                <w:b/>
                <w:color w:val="000000"/>
                <w:sz w:val="24"/>
                <w:szCs w:val="24"/>
              </w:rPr>
            </w:pPr>
          </w:p>
        </w:tc>
      </w:tr>
      <w:tr w:rsidRPr="00C879B4" w:rsidR="00FA2F70" w:rsidTr="00D35DDB" w14:paraId="17068FE9" w14:textId="77777777">
        <w:tc>
          <w:tcPr>
            <w:tcW w:w="9360" w:type="dxa"/>
            <w:shd w:val="clear" w:color="auto" w:fill="auto"/>
          </w:tcPr>
          <w:p w:rsidRPr="00C879B4" w:rsidR="00FA2F70" w:rsidP="001B4FB5" w:rsidRDefault="00FA2F70" w14:paraId="4CA953F4" w14:textId="77777777">
            <w:pPr>
              <w:spacing w:after="0" w:line="240" w:lineRule="auto"/>
              <w:rPr>
                <w:rFonts w:ascii="Times New Roman" w:hAnsi="Times New Roman"/>
                <w:b/>
                <w:color w:val="000000"/>
                <w:sz w:val="24"/>
                <w:szCs w:val="24"/>
              </w:rPr>
            </w:pPr>
          </w:p>
        </w:tc>
      </w:tr>
    </w:tbl>
    <w:p w:rsidRPr="00C879B4" w:rsidR="00FA2F70" w:rsidP="00FA2F70" w:rsidRDefault="00FA2F70" w14:paraId="71CB9012"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41DE6A17" w14:textId="77777777">
        <w:tc>
          <w:tcPr>
            <w:tcW w:w="9360" w:type="dxa"/>
            <w:shd w:val="clear" w:color="auto" w:fill="auto"/>
          </w:tcPr>
          <w:p w:rsidR="00FA2F70" w:rsidP="001B4FB5" w:rsidRDefault="00FA2F70" w14:paraId="2962E5BF"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Pr="00C879B4" w:rsidR="00EB7C54" w:rsidP="001B4FB5" w:rsidRDefault="00EB7C54" w14:paraId="521496BE" w14:textId="77777777">
            <w:pPr>
              <w:spacing w:after="0" w:line="240" w:lineRule="auto"/>
              <w:rPr>
                <w:rFonts w:ascii="Times New Roman" w:hAnsi="Times New Roman"/>
                <w:b/>
                <w:color w:val="000000"/>
                <w:sz w:val="24"/>
                <w:szCs w:val="24"/>
              </w:rPr>
            </w:pPr>
          </w:p>
          <w:p w:rsidRPr="00F434C9" w:rsidR="00BF7BBD" w:rsidP="002A11D1" w:rsidRDefault="00BF7BBD" w14:paraId="7AE7E65D" w14:textId="77777777">
            <w:pPr>
              <w:overflowPunct w:val="0"/>
              <w:autoSpaceDE w:val="0"/>
              <w:autoSpaceDN w:val="0"/>
              <w:adjustRightInd w:val="0"/>
              <w:spacing w:after="0" w:line="240" w:lineRule="auto"/>
              <w:textAlignment w:val="baseline"/>
              <w:rPr>
                <w:color w:val="4472C4"/>
                <w:sz w:val="24"/>
              </w:rPr>
            </w:pPr>
            <w:r w:rsidRPr="0039364C">
              <w:rPr>
                <w:rFonts w:ascii="Times New Roman" w:hAnsi="Times New Roman"/>
                <w:sz w:val="24"/>
              </w:rPr>
              <w:t>If collection is not conducted as currently required, the Multifamily Program will incur a substantial increase in interest expenses.  With the information collected, up to 90% of insurance benefits are paid within 24 to 48 hours after assignment or conveyance. The balances of the benefits are paid after the Mortgagee submits its completed claim. The Mortgagee is given 45 days after assignment to submit a claim. Without this collection information, additional accrued interest (90% of benefits for 42 or 43 days) would be paid in insurance benefits</w:t>
            </w:r>
            <w:r w:rsidRPr="00F434C9">
              <w:rPr>
                <w:color w:val="4472C4"/>
                <w:sz w:val="24"/>
              </w:rPr>
              <w:t>.</w:t>
            </w:r>
          </w:p>
          <w:p w:rsidRPr="00C879B4" w:rsidR="00FA2F70" w:rsidP="001B4FB5" w:rsidRDefault="00FA2F70" w14:paraId="2D7D7AD8" w14:textId="77777777">
            <w:pPr>
              <w:spacing w:after="0" w:line="240" w:lineRule="auto"/>
              <w:rPr>
                <w:rFonts w:ascii="Times New Roman" w:hAnsi="Times New Roman"/>
                <w:b/>
                <w:color w:val="000000"/>
                <w:sz w:val="24"/>
                <w:szCs w:val="24"/>
              </w:rPr>
            </w:pPr>
          </w:p>
        </w:tc>
      </w:tr>
      <w:tr w:rsidRPr="00C879B4" w:rsidR="00FA2F70" w:rsidTr="00D35DDB" w14:paraId="5B569AEA" w14:textId="77777777">
        <w:tc>
          <w:tcPr>
            <w:tcW w:w="9360" w:type="dxa"/>
            <w:shd w:val="clear" w:color="auto" w:fill="auto"/>
          </w:tcPr>
          <w:p w:rsidRPr="00C879B4" w:rsidR="00FA2F70" w:rsidP="001B4FB5" w:rsidRDefault="00FA2F70" w14:paraId="0C98C1FC" w14:textId="77777777">
            <w:pPr>
              <w:spacing w:after="0" w:line="240" w:lineRule="auto"/>
              <w:rPr>
                <w:rFonts w:ascii="Times New Roman" w:hAnsi="Times New Roman"/>
                <w:b/>
                <w:color w:val="000000"/>
                <w:sz w:val="24"/>
                <w:szCs w:val="24"/>
              </w:rPr>
            </w:pPr>
          </w:p>
        </w:tc>
      </w:tr>
    </w:tbl>
    <w:p w:rsidRPr="00C879B4" w:rsidR="00FA2F70" w:rsidP="00FA2F70" w:rsidRDefault="00FA2F70" w14:paraId="2481EFF5"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7265F210" w14:textId="77777777">
        <w:tc>
          <w:tcPr>
            <w:tcW w:w="9360" w:type="dxa"/>
            <w:shd w:val="clear" w:color="auto" w:fill="auto"/>
          </w:tcPr>
          <w:p w:rsidRPr="00C879B4" w:rsidR="00FA2F70" w:rsidP="001B4FB5" w:rsidRDefault="00FA2F70" w14:paraId="27DF418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lastRenderedPageBreak/>
              <w:t xml:space="preserve">7. Explain any special circumstances that would cause an information collection to be conducted in a manner: </w:t>
            </w:r>
            <w:r w:rsidRPr="00C879B4" w:rsidR="00695EEE">
              <w:rPr>
                <w:rFonts w:ascii="Times New Roman" w:hAnsi="Times New Roman"/>
                <w:b/>
                <w:color w:val="000000"/>
                <w:sz w:val="24"/>
                <w:szCs w:val="24"/>
              </w:rPr>
              <w:t>(PLEASE ANSWER EACH BULLET SEPARATELY)</w:t>
            </w:r>
          </w:p>
          <w:p w:rsidRPr="00C879B4" w:rsidR="00FA2F70" w:rsidP="001B4FB5" w:rsidRDefault="00FA2F70" w14:paraId="3AE1A25F" w14:textId="77777777">
            <w:pPr>
              <w:spacing w:after="0" w:line="240" w:lineRule="auto"/>
              <w:rPr>
                <w:rFonts w:ascii="Times New Roman" w:hAnsi="Times New Roman"/>
                <w:b/>
                <w:color w:val="000000"/>
                <w:sz w:val="24"/>
                <w:szCs w:val="24"/>
              </w:rPr>
            </w:pPr>
          </w:p>
          <w:p w:rsidRPr="00DE0CFF" w:rsidR="00FA2F70" w:rsidP="001B4FB5" w:rsidRDefault="00FA2F70" w14:paraId="7D1EF78A" w14:textId="77777777">
            <w:pPr>
              <w:spacing w:after="0" w:line="240" w:lineRule="auto"/>
              <w:rPr>
                <w:rFonts w:ascii="Times New Roman" w:hAnsi="Times New Roman"/>
                <w:sz w:val="24"/>
                <w:szCs w:val="24"/>
              </w:rPr>
            </w:pPr>
            <w:r w:rsidRPr="00C879B4">
              <w:rPr>
                <w:rFonts w:ascii="Times New Roman" w:hAnsi="Times New Roman"/>
                <w:color w:val="000000"/>
                <w:sz w:val="24"/>
                <w:szCs w:val="24"/>
              </w:rPr>
              <w:t xml:space="preserve">* </w:t>
            </w:r>
            <w:r w:rsidRPr="00DE0CFF">
              <w:rPr>
                <w:rFonts w:ascii="Times New Roman" w:hAnsi="Times New Roman"/>
                <w:sz w:val="24"/>
                <w:szCs w:val="24"/>
              </w:rPr>
              <w:t xml:space="preserve">requiring respondents to report information to the agency more often than </w:t>
            </w:r>
            <w:r w:rsidRPr="00DE0CFF" w:rsidR="001350FA">
              <w:rPr>
                <w:rFonts w:ascii="Times New Roman" w:hAnsi="Times New Roman"/>
                <w:sz w:val="24"/>
                <w:szCs w:val="24"/>
              </w:rPr>
              <w:t>quarterly.</w:t>
            </w:r>
            <w:r w:rsidRPr="00DE0CFF">
              <w:rPr>
                <w:rFonts w:ascii="Times New Roman" w:hAnsi="Times New Roman"/>
                <w:sz w:val="24"/>
                <w:szCs w:val="24"/>
              </w:rPr>
              <w:t xml:space="preserve"> </w:t>
            </w:r>
          </w:p>
          <w:p w:rsidRPr="00DE0CFF" w:rsidR="00BD5D44" w:rsidP="001B4FB5" w:rsidRDefault="00BD5D44" w14:paraId="280B71F4" w14:textId="77777777">
            <w:pPr>
              <w:spacing w:after="0" w:line="240" w:lineRule="auto"/>
              <w:rPr>
                <w:rFonts w:ascii="Times New Roman" w:hAnsi="Times New Roman"/>
                <w:sz w:val="24"/>
                <w:szCs w:val="24"/>
              </w:rPr>
            </w:pPr>
          </w:p>
          <w:p w:rsidR="00D35DDB" w:rsidP="001B4FB5" w:rsidRDefault="00BD5D44" w14:paraId="5A1F6B31" w14:textId="77777777">
            <w:pPr>
              <w:spacing w:after="0" w:line="240" w:lineRule="auto"/>
              <w:rPr>
                <w:rFonts w:ascii="Times New Roman" w:hAnsi="Times New Roman" w:eastAsia="Arial Unicode MS"/>
                <w:color w:val="000000"/>
                <w:sz w:val="24"/>
                <w:szCs w:val="24"/>
              </w:rPr>
            </w:pPr>
            <w:r w:rsidRPr="00327F26">
              <w:rPr>
                <w:rFonts w:ascii="Times New Roman" w:hAnsi="Times New Roman" w:eastAsia="Arial Unicode MS"/>
                <w:color w:val="000000"/>
                <w:sz w:val="24"/>
                <w:szCs w:val="24"/>
              </w:rPr>
              <w:t>A respondent may be required to submit collection information more often than quarterly. Regulation requires a mortgagee to submit this information in order to receive insurance benefits.</w:t>
            </w:r>
          </w:p>
          <w:p w:rsidRPr="00F434C9" w:rsidR="00BD5D44" w:rsidP="001B4FB5" w:rsidRDefault="00BD5D44" w14:paraId="02601092" w14:textId="77777777">
            <w:pPr>
              <w:spacing w:after="0" w:line="240" w:lineRule="auto"/>
              <w:rPr>
                <w:rFonts w:ascii="Times New Roman" w:hAnsi="Times New Roman"/>
                <w:color w:val="44546A"/>
                <w:sz w:val="24"/>
                <w:szCs w:val="24"/>
              </w:rPr>
            </w:pPr>
          </w:p>
          <w:p w:rsidRPr="00DE0CFF" w:rsidR="00FA2F70" w:rsidP="001B4FB5" w:rsidRDefault="00FA2F70" w14:paraId="3A685561" w14:textId="77777777">
            <w:pPr>
              <w:spacing w:after="0" w:line="240" w:lineRule="auto"/>
              <w:rPr>
                <w:rFonts w:ascii="Times New Roman" w:hAnsi="Times New Roman"/>
                <w:sz w:val="24"/>
                <w:szCs w:val="24"/>
              </w:rPr>
            </w:pPr>
            <w:r w:rsidRPr="00F434C9">
              <w:rPr>
                <w:rFonts w:ascii="Times New Roman" w:hAnsi="Times New Roman"/>
                <w:color w:val="44546A"/>
                <w:sz w:val="24"/>
                <w:szCs w:val="24"/>
              </w:rPr>
              <w:t xml:space="preserve">* requiring respondents to prepare a written response to a collection of information in fewer than 30 days after receipt </w:t>
            </w:r>
            <w:r w:rsidRPr="00DE0CFF">
              <w:rPr>
                <w:rFonts w:ascii="Times New Roman" w:hAnsi="Times New Roman"/>
                <w:sz w:val="24"/>
                <w:szCs w:val="24"/>
              </w:rPr>
              <w:t xml:space="preserve">of it; </w:t>
            </w:r>
          </w:p>
          <w:p w:rsidRPr="00F434C9" w:rsidR="00BD5D44" w:rsidP="001B4FB5" w:rsidRDefault="00BD5D44" w14:paraId="4FA047C0" w14:textId="77777777">
            <w:pPr>
              <w:spacing w:after="0" w:line="240" w:lineRule="auto"/>
              <w:rPr>
                <w:rFonts w:ascii="Times New Roman" w:hAnsi="Times New Roman"/>
                <w:color w:val="4472C4"/>
                <w:sz w:val="24"/>
                <w:szCs w:val="24"/>
              </w:rPr>
            </w:pPr>
          </w:p>
          <w:p w:rsidRPr="00DE0CFF" w:rsidR="00BD5D44" w:rsidP="001B4FB5" w:rsidRDefault="00BD5D44" w14:paraId="52ED759A" w14:textId="77777777">
            <w:pPr>
              <w:spacing w:after="0" w:line="240" w:lineRule="auto"/>
              <w:rPr>
                <w:rFonts w:ascii="Times New Roman" w:hAnsi="Times New Roman"/>
                <w:sz w:val="24"/>
                <w:szCs w:val="24"/>
              </w:rPr>
            </w:pPr>
            <w:r w:rsidRPr="00DE0CFF">
              <w:rPr>
                <w:rFonts w:ascii="Times New Roman" w:hAnsi="Times New Roman"/>
                <w:bCs/>
                <w:sz w:val="24"/>
                <w:szCs w:val="24"/>
              </w:rPr>
              <w:t xml:space="preserve">Respondents must submit the information collection </w:t>
            </w:r>
            <w:r w:rsidRPr="00DE0CFF">
              <w:rPr>
                <w:rFonts w:ascii="Times New Roman" w:hAnsi="Times New Roman" w:eastAsia="Arial Unicode MS"/>
                <w:sz w:val="24"/>
                <w:szCs w:val="24"/>
              </w:rPr>
              <w:t>within 45 days after the mortgage is assigned or within an extended deadline, if any, in order to obtain insurance benefits</w:t>
            </w:r>
          </w:p>
          <w:p w:rsidRPr="00DE0CFF" w:rsidR="00D35DDB" w:rsidP="001B4FB5" w:rsidRDefault="00D35DDB" w14:paraId="7AC58183" w14:textId="77777777">
            <w:pPr>
              <w:spacing w:after="0" w:line="240" w:lineRule="auto"/>
              <w:rPr>
                <w:rFonts w:ascii="Times New Roman" w:hAnsi="Times New Roman"/>
                <w:sz w:val="24"/>
                <w:szCs w:val="24"/>
              </w:rPr>
            </w:pPr>
          </w:p>
          <w:p w:rsidR="006A2A0E" w:rsidP="006A2A0E" w:rsidRDefault="00FA2F70" w14:paraId="0606865D" w14:textId="77777777">
            <w:pPr>
              <w:spacing w:after="0" w:line="240" w:lineRule="auto"/>
              <w:rPr>
                <w:rFonts w:ascii="Times New Roman" w:hAnsi="Times New Roman"/>
                <w:bCs/>
                <w:color w:val="000000"/>
                <w:sz w:val="24"/>
                <w:szCs w:val="24"/>
              </w:rPr>
            </w:pPr>
            <w:r w:rsidRPr="00C879B4">
              <w:rPr>
                <w:rFonts w:ascii="Times New Roman" w:hAnsi="Times New Roman"/>
                <w:color w:val="000000"/>
                <w:sz w:val="24"/>
                <w:szCs w:val="24"/>
              </w:rPr>
              <w:t xml:space="preserve">* requiring respondents to submit more than an original and two copies of any document; </w:t>
            </w:r>
            <w:r w:rsidR="00BD5D44">
              <w:rPr>
                <w:rFonts w:ascii="Times New Roman" w:hAnsi="Times New Roman"/>
                <w:bCs/>
                <w:color w:val="000000"/>
                <w:sz w:val="24"/>
                <w:szCs w:val="24"/>
              </w:rPr>
              <w:t xml:space="preserve">   </w:t>
            </w:r>
          </w:p>
          <w:p w:rsidR="006A2A0E" w:rsidP="006A2A0E" w:rsidRDefault="006A2A0E" w14:paraId="435D565B" w14:textId="77777777">
            <w:pPr>
              <w:spacing w:after="0" w:line="240" w:lineRule="auto"/>
              <w:rPr>
                <w:rFonts w:ascii="Times New Roman" w:hAnsi="Times New Roman"/>
                <w:bCs/>
                <w:color w:val="000000"/>
                <w:sz w:val="24"/>
                <w:szCs w:val="24"/>
              </w:rPr>
            </w:pPr>
          </w:p>
          <w:p w:rsidRPr="00F434C9" w:rsidR="006A2A0E" w:rsidP="006A2A0E" w:rsidRDefault="006A2A0E" w14:paraId="6EC6C037" w14:textId="77777777">
            <w:pPr>
              <w:spacing w:after="0" w:line="240" w:lineRule="auto"/>
              <w:rPr>
                <w:rFonts w:ascii="Times New Roman" w:hAnsi="Times New Roman"/>
                <w:color w:val="4472C4"/>
                <w:sz w:val="24"/>
                <w:szCs w:val="24"/>
              </w:rPr>
            </w:pPr>
            <w:r w:rsidRPr="00DE0CFF">
              <w:rPr>
                <w:rFonts w:ascii="Times New Roman" w:hAnsi="Times New Roman"/>
                <w:sz w:val="24"/>
                <w:szCs w:val="24"/>
              </w:rPr>
              <w:t xml:space="preserve">Mortgagee is required to submit an original and one copy of forms (only one copy is required if delivery by fax or e-mail, with an original and one copy to follow to:  </w:t>
            </w:r>
            <w:r w:rsidRPr="00DE0CFF">
              <w:rPr>
                <w:rFonts w:ascii="Times New Roman" w:hAnsi="Times New Roman"/>
                <w:sz w:val="24"/>
                <w:szCs w:val="24"/>
                <w:u w:val="single"/>
              </w:rPr>
              <w:t>HUD, Multifamily Claims Branch</w:t>
            </w:r>
            <w:r w:rsidRPr="00F434C9">
              <w:rPr>
                <w:rFonts w:ascii="Times New Roman" w:hAnsi="Times New Roman"/>
                <w:color w:val="4472C4"/>
                <w:sz w:val="24"/>
                <w:szCs w:val="24"/>
                <w:u w:val="single"/>
              </w:rPr>
              <w:t>.</w:t>
            </w:r>
          </w:p>
          <w:p w:rsidRPr="00C879B4" w:rsidR="00695EEE" w:rsidP="001B4FB5" w:rsidRDefault="00695EEE" w14:paraId="59C8F20B" w14:textId="77777777">
            <w:pPr>
              <w:spacing w:after="0" w:line="240" w:lineRule="auto"/>
              <w:rPr>
                <w:rFonts w:ascii="Times New Roman" w:hAnsi="Times New Roman"/>
                <w:color w:val="000000"/>
                <w:sz w:val="24"/>
                <w:szCs w:val="24"/>
              </w:rPr>
            </w:pPr>
          </w:p>
          <w:p w:rsidR="00FA2F70" w:rsidP="001B4FB5" w:rsidRDefault="00FA2F70" w14:paraId="0CFA77C6"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retain records, other than health, medical, government contract, grant-in-aid, or tax records, for more than three years; </w:t>
            </w:r>
          </w:p>
          <w:p w:rsidRPr="00C879B4" w:rsidR="00BD5D44" w:rsidP="001B4FB5" w:rsidRDefault="00BD5D44" w14:paraId="7FD1B05B" w14:textId="77777777">
            <w:pPr>
              <w:spacing w:after="0" w:line="240" w:lineRule="auto"/>
              <w:rPr>
                <w:rFonts w:ascii="Times New Roman" w:hAnsi="Times New Roman"/>
                <w:color w:val="000000"/>
                <w:sz w:val="24"/>
                <w:szCs w:val="24"/>
              </w:rPr>
            </w:pPr>
          </w:p>
          <w:p w:rsidRPr="00F434C9" w:rsidR="00BD5D44" w:rsidP="00EA3A63" w:rsidRDefault="00BD5D44" w14:paraId="2A679390" w14:textId="77777777">
            <w:pPr>
              <w:spacing w:after="0" w:line="240" w:lineRule="auto"/>
              <w:rPr>
                <w:rFonts w:ascii="Times New Roman" w:hAnsi="Times New Roman"/>
                <w:color w:val="4472C4"/>
                <w:sz w:val="24"/>
                <w:szCs w:val="24"/>
              </w:rPr>
            </w:pPr>
            <w:r w:rsidRPr="00DE0CFF">
              <w:rPr>
                <w:rFonts w:ascii="Times New Roman" w:hAnsi="Times New Roman"/>
                <w:bCs/>
                <w:sz w:val="24"/>
                <w:szCs w:val="24"/>
              </w:rPr>
              <w:t>Record retention for the loan history must begin from the date the claimant became the holding mortgagee</w:t>
            </w:r>
            <w:r w:rsidRPr="00F434C9">
              <w:rPr>
                <w:rFonts w:ascii="Times New Roman" w:hAnsi="Times New Roman"/>
                <w:bCs/>
                <w:color w:val="4472C4"/>
                <w:sz w:val="24"/>
                <w:szCs w:val="24"/>
              </w:rPr>
              <w:t>.</w:t>
            </w:r>
          </w:p>
          <w:p w:rsidRPr="00C879B4" w:rsidR="00BD5D44" w:rsidP="001B4FB5" w:rsidRDefault="00BD5D44" w14:paraId="6294C291" w14:textId="77777777">
            <w:pPr>
              <w:spacing w:after="0" w:line="240" w:lineRule="auto"/>
              <w:rPr>
                <w:rFonts w:ascii="Times New Roman" w:hAnsi="Times New Roman"/>
                <w:color w:val="000000"/>
                <w:sz w:val="24"/>
                <w:szCs w:val="24"/>
              </w:rPr>
            </w:pPr>
          </w:p>
          <w:p w:rsidR="00FA2F70" w:rsidP="001B4FB5" w:rsidRDefault="00FA2F70" w14:paraId="7FF92AE9"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p>
          <w:p w:rsidR="00EA3A63" w:rsidP="001B4FB5" w:rsidRDefault="00EA3A63" w14:paraId="14F01E9D" w14:textId="77777777">
            <w:pPr>
              <w:spacing w:after="0" w:line="240" w:lineRule="auto"/>
              <w:rPr>
                <w:rFonts w:ascii="Times New Roman" w:hAnsi="Times New Roman"/>
                <w:color w:val="000000"/>
                <w:sz w:val="24"/>
                <w:szCs w:val="24"/>
              </w:rPr>
            </w:pPr>
          </w:p>
          <w:p w:rsidRPr="00DE0CFF" w:rsidR="00EA3A63" w:rsidP="00EA3A63" w:rsidRDefault="00EA3A63" w14:paraId="5AD32B26" w14:textId="77777777">
            <w:pPr>
              <w:tabs>
                <w:tab w:val="left" w:pos="-720"/>
                <w:tab w:val="left" w:pos="720"/>
              </w:tabs>
              <w:suppressAutoHyphens/>
              <w:spacing w:after="0" w:line="240" w:lineRule="auto"/>
              <w:rPr>
                <w:rFonts w:ascii="Times New Roman" w:hAnsi="Times New Roman"/>
                <w:bCs/>
                <w:sz w:val="24"/>
                <w:szCs w:val="24"/>
              </w:rPr>
            </w:pPr>
            <w:r w:rsidRPr="00DE0CFF">
              <w:rPr>
                <w:rFonts w:ascii="Times New Roman" w:hAnsi="Times New Roman"/>
                <w:bCs/>
                <w:sz w:val="24"/>
                <w:szCs w:val="24"/>
              </w:rPr>
              <w:t>No statistical data is collected.</w:t>
            </w:r>
          </w:p>
          <w:p w:rsidRPr="00C879B4" w:rsidR="00EA3A63" w:rsidP="001B4FB5" w:rsidRDefault="00EA3A63" w14:paraId="722B40E5" w14:textId="77777777">
            <w:pPr>
              <w:spacing w:after="0" w:line="240" w:lineRule="auto"/>
              <w:rPr>
                <w:rFonts w:ascii="Times New Roman" w:hAnsi="Times New Roman"/>
                <w:color w:val="000000"/>
                <w:sz w:val="24"/>
                <w:szCs w:val="24"/>
              </w:rPr>
            </w:pPr>
          </w:p>
          <w:p w:rsidR="00FA2F70" w:rsidP="001B4FB5" w:rsidRDefault="00FA2F70" w14:paraId="00658735"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the use of a statistical data classification that has not been reviewed and approved by OMB; </w:t>
            </w:r>
          </w:p>
          <w:p w:rsidRPr="00C879B4" w:rsidR="00DC6175" w:rsidP="001B4FB5" w:rsidRDefault="00DC6175" w14:paraId="5200B307" w14:textId="77777777">
            <w:pPr>
              <w:spacing w:after="0" w:line="240" w:lineRule="auto"/>
              <w:rPr>
                <w:rFonts w:ascii="Times New Roman" w:hAnsi="Times New Roman"/>
                <w:color w:val="000000"/>
                <w:sz w:val="24"/>
                <w:szCs w:val="24"/>
              </w:rPr>
            </w:pPr>
          </w:p>
          <w:p w:rsidRPr="00F434C9" w:rsidR="00DC6175" w:rsidP="00EA3A63" w:rsidRDefault="00DC6175" w14:paraId="7FE0E4EA" w14:textId="77777777">
            <w:pPr>
              <w:tabs>
                <w:tab w:val="left" w:pos="-720"/>
                <w:tab w:val="left" w:pos="720"/>
              </w:tabs>
              <w:suppressAutoHyphens/>
              <w:spacing w:after="0" w:line="240" w:lineRule="auto"/>
              <w:rPr>
                <w:rFonts w:ascii="Times New Roman" w:hAnsi="Times New Roman"/>
                <w:bCs/>
                <w:color w:val="4472C4"/>
                <w:sz w:val="24"/>
                <w:szCs w:val="24"/>
              </w:rPr>
            </w:pPr>
            <w:r w:rsidRPr="00DE0CFF">
              <w:rPr>
                <w:rFonts w:ascii="Times New Roman" w:hAnsi="Times New Roman"/>
                <w:bCs/>
                <w:sz w:val="24"/>
                <w:szCs w:val="24"/>
              </w:rPr>
              <w:t>No statistical data is collected</w:t>
            </w:r>
            <w:r w:rsidRPr="00F434C9">
              <w:rPr>
                <w:rFonts w:ascii="Times New Roman" w:hAnsi="Times New Roman"/>
                <w:bCs/>
                <w:color w:val="4472C4"/>
                <w:sz w:val="24"/>
                <w:szCs w:val="24"/>
              </w:rPr>
              <w:t>.</w:t>
            </w:r>
          </w:p>
          <w:p w:rsidRPr="00C879B4" w:rsidR="00DC6175" w:rsidP="001B4FB5" w:rsidRDefault="00DC6175" w14:paraId="71BAD745" w14:textId="77777777">
            <w:pPr>
              <w:spacing w:after="0" w:line="240" w:lineRule="auto"/>
              <w:rPr>
                <w:rFonts w:ascii="Times New Roman" w:hAnsi="Times New Roman"/>
                <w:color w:val="000000"/>
                <w:sz w:val="24"/>
                <w:szCs w:val="24"/>
              </w:rPr>
            </w:pPr>
          </w:p>
          <w:p w:rsidR="00FA2F70" w:rsidP="001B4FB5" w:rsidRDefault="00FA2F70" w14:paraId="27E1726C"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DC6175" w:rsidP="001B4FB5" w:rsidRDefault="00DC6175" w14:paraId="0EEF528F" w14:textId="77777777">
            <w:pPr>
              <w:spacing w:after="0" w:line="240" w:lineRule="auto"/>
              <w:rPr>
                <w:rFonts w:ascii="Times New Roman" w:hAnsi="Times New Roman"/>
                <w:color w:val="000000"/>
                <w:sz w:val="24"/>
                <w:szCs w:val="24"/>
              </w:rPr>
            </w:pPr>
          </w:p>
          <w:p w:rsidRPr="00DE0CFF" w:rsidR="00A02BCB" w:rsidP="00A02BCB" w:rsidRDefault="00A02BCB" w14:paraId="0E3EE9B4" w14:textId="77777777">
            <w:pPr>
              <w:pStyle w:val="ListParagraph"/>
              <w:spacing w:after="0" w:line="240" w:lineRule="auto"/>
              <w:ind w:left="0"/>
              <w:rPr>
                <w:rFonts w:ascii="Times New Roman" w:hAnsi="Times New Roman"/>
                <w:bCs/>
                <w:sz w:val="24"/>
                <w:szCs w:val="24"/>
              </w:rPr>
            </w:pPr>
            <w:r w:rsidRPr="00DE0CFF">
              <w:rPr>
                <w:rFonts w:ascii="Times New Roman" w:hAnsi="Times New Roman"/>
                <w:bCs/>
                <w:sz w:val="24"/>
                <w:szCs w:val="24"/>
              </w:rPr>
              <w:t>No pledge of confidentiality is promised outside of any supported by the authority established in statue   or regulation.</w:t>
            </w:r>
          </w:p>
          <w:p w:rsidRPr="00DE0CFF" w:rsidR="00A02BCB" w:rsidP="001B4FB5" w:rsidRDefault="00A02BCB" w14:paraId="1E98693F" w14:textId="77777777">
            <w:pPr>
              <w:spacing w:after="0" w:line="240" w:lineRule="auto"/>
              <w:rPr>
                <w:rFonts w:ascii="Times New Roman" w:hAnsi="Times New Roman"/>
                <w:sz w:val="24"/>
                <w:szCs w:val="24"/>
              </w:rPr>
            </w:pPr>
          </w:p>
          <w:p w:rsidRPr="00F434C9" w:rsidR="00D35DDB" w:rsidP="001B4FB5" w:rsidRDefault="00D35DDB" w14:paraId="580A5AF8" w14:textId="77777777">
            <w:pPr>
              <w:spacing w:after="0" w:line="240" w:lineRule="auto"/>
              <w:rPr>
                <w:rFonts w:ascii="Times New Roman" w:hAnsi="Times New Roman"/>
                <w:color w:val="4472C4"/>
                <w:sz w:val="24"/>
                <w:szCs w:val="24"/>
              </w:rPr>
            </w:pPr>
          </w:p>
          <w:p w:rsidRPr="00C879B4" w:rsidR="00FA2F70" w:rsidP="001B4FB5" w:rsidRDefault="00FA2F70" w14:paraId="2050C81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C879B4" w:rsidR="00FA2F70" w:rsidP="001B4FB5" w:rsidRDefault="00FA2F70" w14:paraId="56180433" w14:textId="77777777">
            <w:pPr>
              <w:spacing w:after="0" w:line="240" w:lineRule="auto"/>
              <w:rPr>
                <w:rFonts w:ascii="Times New Roman" w:hAnsi="Times New Roman"/>
                <w:b/>
                <w:color w:val="000000"/>
                <w:sz w:val="24"/>
                <w:szCs w:val="24"/>
              </w:rPr>
            </w:pPr>
          </w:p>
        </w:tc>
      </w:tr>
      <w:tr w:rsidRPr="00F434C9" w:rsidR="00FA2F70" w:rsidTr="00D35DDB" w14:paraId="5CD79744" w14:textId="77777777">
        <w:tc>
          <w:tcPr>
            <w:tcW w:w="9360" w:type="dxa"/>
            <w:shd w:val="clear" w:color="auto" w:fill="auto"/>
          </w:tcPr>
          <w:p w:rsidRPr="00DE0CFF" w:rsidR="00FA2F70" w:rsidP="00A02BCB" w:rsidRDefault="00A02BCB" w14:paraId="4C045256" w14:textId="77777777">
            <w:pPr>
              <w:pStyle w:val="ListParagraph"/>
              <w:spacing w:after="0" w:line="240" w:lineRule="auto"/>
              <w:ind w:left="0"/>
              <w:rPr>
                <w:rFonts w:ascii="Times New Roman" w:hAnsi="Times New Roman"/>
                <w:bCs/>
                <w:sz w:val="24"/>
                <w:szCs w:val="24"/>
              </w:rPr>
            </w:pPr>
            <w:r w:rsidRPr="00DE0CFF">
              <w:rPr>
                <w:rFonts w:ascii="Times New Roman" w:hAnsi="Times New Roman"/>
                <w:bCs/>
                <w:sz w:val="24"/>
                <w:szCs w:val="24"/>
              </w:rPr>
              <w:lastRenderedPageBreak/>
              <w:t>Respondents are not required to submit proprietary trade secrets.</w:t>
            </w:r>
          </w:p>
        </w:tc>
      </w:tr>
    </w:tbl>
    <w:p w:rsidRPr="00F434C9" w:rsidR="00FA2F70" w:rsidP="00FA2F70" w:rsidRDefault="00FA2F70" w14:paraId="55D2E65E" w14:textId="77777777">
      <w:pPr>
        <w:spacing w:after="0" w:line="240" w:lineRule="auto"/>
        <w:rPr>
          <w:rFonts w:ascii="Times New Roman" w:hAnsi="Times New Roman"/>
          <w:bCs/>
          <w:color w:val="4472C4"/>
          <w:sz w:val="24"/>
          <w:szCs w:val="24"/>
        </w:rPr>
      </w:pPr>
    </w:p>
    <w:tbl>
      <w:tblPr>
        <w:tblW w:w="0" w:type="auto"/>
        <w:tblInd w:w="108" w:type="dxa"/>
        <w:tblLook w:val="04A0" w:firstRow="1" w:lastRow="0" w:firstColumn="1" w:lastColumn="0" w:noHBand="0" w:noVBand="1"/>
      </w:tblPr>
      <w:tblGrid>
        <w:gridCol w:w="9252"/>
      </w:tblGrid>
      <w:tr w:rsidRPr="00C879B4" w:rsidR="00FA2F70" w:rsidTr="00C02567" w14:paraId="3707A485" w14:textId="77777777">
        <w:trPr>
          <w:trHeight w:val="5238"/>
        </w:trPr>
        <w:tc>
          <w:tcPr>
            <w:tcW w:w="9360" w:type="dxa"/>
            <w:shd w:val="clear" w:color="auto" w:fill="auto"/>
          </w:tcPr>
          <w:p w:rsidRPr="00C879B4" w:rsidR="0021340A" w:rsidP="001B4FB5" w:rsidRDefault="0021340A" w14:paraId="16DC75C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C879B4" w:rsidR="009B0365" w:rsidP="009B0365" w:rsidRDefault="009B0365" w14:paraId="229DF2CF" w14:textId="77777777">
            <w:pPr>
              <w:spacing w:after="0" w:line="240" w:lineRule="auto"/>
              <w:rPr>
                <w:rFonts w:ascii="Times New Roman" w:hAnsi="Times New Roman"/>
                <w:color w:val="000000"/>
              </w:rPr>
            </w:pPr>
          </w:p>
          <w:p w:rsidRPr="00C879B4" w:rsidR="0032023D" w:rsidP="0032023D" w:rsidRDefault="0032023D" w14:paraId="36CC3070" w14:textId="0D8D2EB9">
            <w:pPr>
              <w:tabs>
                <w:tab w:val="left" w:pos="1080"/>
              </w:tabs>
              <w:overflowPunct w:val="0"/>
              <w:autoSpaceDE w:val="0"/>
              <w:autoSpaceDN w:val="0"/>
              <w:adjustRightInd w:val="0"/>
              <w:spacing w:after="0" w:line="240" w:lineRule="auto"/>
              <w:rPr>
                <w:rFonts w:ascii="Times New Roman" w:hAnsi="Times New Roman"/>
                <w:color w:val="000000"/>
              </w:rPr>
            </w:pPr>
            <w:r w:rsidRPr="00811DF3">
              <w:rPr>
                <w:rFonts w:ascii="Times New Roman" w:hAnsi="Times New Roman"/>
                <w:sz w:val="24"/>
                <w:szCs w:val="20"/>
              </w:rPr>
              <w:t>In accordance with 5</w:t>
            </w:r>
            <w:r>
              <w:rPr>
                <w:rFonts w:ascii="Times New Roman" w:hAnsi="Times New Roman"/>
                <w:sz w:val="24"/>
                <w:szCs w:val="20"/>
              </w:rPr>
              <w:t xml:space="preserve"> </w:t>
            </w:r>
            <w:r w:rsidRPr="00811DF3">
              <w:rPr>
                <w:rFonts w:ascii="Times New Roman" w:hAnsi="Times New Roman"/>
                <w:sz w:val="24"/>
                <w:szCs w:val="20"/>
              </w:rPr>
              <w:t>CFR 1320.8(d), a 60-day Federal Register Notice soliciting public comments was announced in the Federal Register on</w:t>
            </w:r>
            <w:r w:rsidR="00F00249">
              <w:rPr>
                <w:rFonts w:ascii="Times New Roman" w:hAnsi="Times New Roman"/>
                <w:sz w:val="24"/>
                <w:szCs w:val="20"/>
              </w:rPr>
              <w:t xml:space="preserve"> December 17, 2020</w:t>
            </w:r>
            <w:r w:rsidRPr="00811DF3">
              <w:rPr>
                <w:rFonts w:ascii="Times New Roman" w:hAnsi="Times New Roman"/>
                <w:sz w:val="24"/>
                <w:szCs w:val="20"/>
              </w:rPr>
              <w:t xml:space="preserve">, Volume </w:t>
            </w:r>
            <w:r w:rsidR="00F00249">
              <w:rPr>
                <w:rFonts w:ascii="Times New Roman" w:hAnsi="Times New Roman"/>
                <w:sz w:val="24"/>
                <w:szCs w:val="20"/>
              </w:rPr>
              <w:t>85</w:t>
            </w:r>
            <w:r w:rsidRPr="00811DF3">
              <w:rPr>
                <w:rFonts w:ascii="Times New Roman" w:hAnsi="Times New Roman"/>
                <w:sz w:val="24"/>
                <w:szCs w:val="20"/>
              </w:rPr>
              <w:t xml:space="preserve">, Page </w:t>
            </w:r>
            <w:r w:rsidR="00F00249">
              <w:rPr>
                <w:rFonts w:ascii="Times New Roman" w:hAnsi="Times New Roman"/>
                <w:sz w:val="24"/>
                <w:szCs w:val="20"/>
              </w:rPr>
              <w:t>81944</w:t>
            </w:r>
            <w:r w:rsidRPr="00811DF3">
              <w:rPr>
                <w:rFonts w:ascii="Times New Roman" w:hAnsi="Times New Roman"/>
                <w:sz w:val="24"/>
                <w:szCs w:val="20"/>
              </w:rPr>
              <w:t>.</w:t>
            </w:r>
          </w:p>
          <w:p w:rsidR="00FA2F70" w:rsidP="001B4FB5" w:rsidRDefault="00FA2F70" w14:paraId="4AC6B7DA" w14:textId="77777777">
            <w:pPr>
              <w:spacing w:after="0" w:line="240" w:lineRule="auto"/>
              <w:rPr>
                <w:rFonts w:ascii="Times New Roman" w:hAnsi="Times New Roman"/>
                <w:b/>
                <w:color w:val="000000"/>
                <w:sz w:val="24"/>
                <w:szCs w:val="24"/>
              </w:rPr>
            </w:pPr>
          </w:p>
          <w:p w:rsidR="00B84CFF" w:rsidP="001B4FB5" w:rsidRDefault="00B84CFF" w14:paraId="578B7AD5" w14:textId="05611779">
            <w:pPr>
              <w:spacing w:after="0" w:line="240" w:lineRule="auto"/>
              <w:rPr>
                <w:rFonts w:ascii="Times New Roman" w:hAnsi="Times New Roman" w:eastAsia="Calibri"/>
                <w:color w:val="000000"/>
                <w:sz w:val="24"/>
                <w:szCs w:val="24"/>
              </w:rPr>
            </w:pPr>
            <w:r w:rsidRPr="009245BB">
              <w:rPr>
                <w:rFonts w:ascii="Times New Roman" w:hAnsi="Times New Roman" w:eastAsia="Calibri"/>
                <w:color w:val="000000"/>
                <w:sz w:val="24"/>
                <w:szCs w:val="24"/>
              </w:rPr>
              <w:t xml:space="preserve">A 30-day Federal Register Notice inviting public comments was published </w:t>
            </w:r>
            <w:r w:rsidRPr="009245BB">
              <w:rPr>
                <w:rFonts w:ascii="Times New Roman" w:hAnsi="Times New Roman" w:eastAsia="Calibri"/>
                <w:sz w:val="24"/>
                <w:szCs w:val="24"/>
              </w:rPr>
              <w:t>on</w:t>
            </w:r>
            <w:r w:rsidRPr="009245BB">
              <w:rPr>
                <w:rFonts w:ascii="Times New Roman" w:hAnsi="Times New Roman" w:eastAsia="Calibri"/>
                <w:color w:val="000000"/>
                <w:sz w:val="24"/>
                <w:szCs w:val="24"/>
              </w:rPr>
              <w:t xml:space="preserve"> </w:t>
            </w:r>
            <w:r w:rsidR="00D56A7F">
              <w:rPr>
                <w:rFonts w:ascii="Times New Roman" w:hAnsi="Times New Roman" w:eastAsia="Calibri"/>
                <w:color w:val="000000"/>
                <w:sz w:val="24"/>
                <w:szCs w:val="24"/>
              </w:rPr>
              <w:t>February 23, 2021</w:t>
            </w:r>
            <w:r w:rsidRPr="009245BB">
              <w:rPr>
                <w:rFonts w:ascii="Times New Roman" w:hAnsi="Times New Roman" w:eastAsia="Calibri"/>
                <w:color w:val="000000"/>
                <w:sz w:val="24"/>
                <w:szCs w:val="24"/>
              </w:rPr>
              <w:t xml:space="preserve">, Volume </w:t>
            </w:r>
            <w:r w:rsidR="00D56A7F">
              <w:rPr>
                <w:rFonts w:ascii="Times New Roman" w:hAnsi="Times New Roman" w:eastAsia="Calibri"/>
                <w:color w:val="000000"/>
                <w:sz w:val="24"/>
                <w:szCs w:val="24"/>
              </w:rPr>
              <w:t>86</w:t>
            </w:r>
            <w:r w:rsidRPr="009245BB">
              <w:rPr>
                <w:rFonts w:ascii="Times New Roman" w:hAnsi="Times New Roman" w:eastAsia="Calibri"/>
                <w:color w:val="000000"/>
                <w:sz w:val="24"/>
                <w:szCs w:val="24"/>
              </w:rPr>
              <w:t xml:space="preserve">, Page </w:t>
            </w:r>
            <w:r w:rsidR="00D56A7F">
              <w:rPr>
                <w:rFonts w:ascii="Times New Roman" w:hAnsi="Times New Roman" w:eastAsia="Calibri"/>
                <w:color w:val="000000"/>
                <w:sz w:val="24"/>
                <w:szCs w:val="24"/>
              </w:rPr>
              <w:t>10992</w:t>
            </w:r>
            <w:r w:rsidRPr="009245BB">
              <w:rPr>
                <w:rFonts w:ascii="Times New Roman" w:hAnsi="Times New Roman" w:eastAsia="Calibri"/>
                <w:color w:val="000000"/>
                <w:sz w:val="24"/>
                <w:szCs w:val="24"/>
              </w:rPr>
              <w:t>.  No comments were received</w:t>
            </w:r>
            <w:r>
              <w:rPr>
                <w:rFonts w:ascii="Times New Roman" w:hAnsi="Times New Roman" w:eastAsia="Calibri"/>
                <w:color w:val="000000"/>
                <w:sz w:val="24"/>
                <w:szCs w:val="24"/>
              </w:rPr>
              <w:t>.</w:t>
            </w:r>
          </w:p>
          <w:p w:rsidRPr="00C879B4" w:rsidR="00B84CFF" w:rsidP="001B4FB5" w:rsidRDefault="00B84CFF" w14:paraId="1E0B6AA9" w14:textId="30AC281C">
            <w:pPr>
              <w:spacing w:after="0" w:line="240" w:lineRule="auto"/>
              <w:rPr>
                <w:rFonts w:ascii="Times New Roman" w:hAnsi="Times New Roman"/>
                <w:b/>
                <w:color w:val="000000"/>
                <w:sz w:val="24"/>
                <w:szCs w:val="24"/>
              </w:rPr>
            </w:pPr>
          </w:p>
        </w:tc>
      </w:tr>
      <w:tr w:rsidRPr="00C879B4" w:rsidR="00FA2F70" w:rsidTr="00D35DDB" w14:paraId="63888F04" w14:textId="77777777">
        <w:tc>
          <w:tcPr>
            <w:tcW w:w="9360" w:type="dxa"/>
            <w:shd w:val="clear" w:color="auto" w:fill="auto"/>
          </w:tcPr>
          <w:p w:rsidRPr="00446165" w:rsidR="00C02567" w:rsidP="00C02567" w:rsidRDefault="00C02567" w14:paraId="3B3F54F7" w14:textId="77777777">
            <w:pPr>
              <w:spacing w:after="160" w:line="259" w:lineRule="auto"/>
              <w:rPr>
                <w:rFonts w:ascii="Times New Roman" w:hAnsi="Times New Roman"/>
                <w:color w:val="000000"/>
                <w:sz w:val="24"/>
                <w:szCs w:val="24"/>
              </w:rPr>
            </w:pPr>
            <w:r w:rsidRPr="00446165">
              <w:rPr>
                <w:rFonts w:ascii="Times New Roman" w:hAnsi="Times New Roman" w:eastAsia="Calibri"/>
                <w:color w:val="000000"/>
                <w:sz w:val="24"/>
                <w:szCs w:val="24"/>
              </w:rPr>
              <w:t>The program office occasion</w:t>
            </w:r>
            <w:r w:rsidR="00235373">
              <w:rPr>
                <w:rFonts w:ascii="Times New Roman" w:hAnsi="Times New Roman" w:eastAsia="Calibri"/>
                <w:color w:val="000000"/>
                <w:sz w:val="24"/>
                <w:szCs w:val="24"/>
              </w:rPr>
              <w:t>ally</w:t>
            </w:r>
            <w:r w:rsidRPr="00446165">
              <w:rPr>
                <w:rFonts w:ascii="Times New Roman" w:hAnsi="Times New Roman" w:eastAsia="Calibri"/>
                <w:color w:val="000000"/>
                <w:sz w:val="24"/>
                <w:szCs w:val="24"/>
              </w:rPr>
              <w:t xml:space="preserve"> consulted with the following representatives outside of the agency:</w:t>
            </w:r>
          </w:p>
          <w:p w:rsidRPr="00446165" w:rsidR="00C02567" w:rsidP="00C02567" w:rsidRDefault="00C02567" w14:paraId="07AB489F" w14:textId="77777777">
            <w:pPr>
              <w:numPr>
                <w:ilvl w:val="0"/>
                <w:numId w:val="9"/>
              </w:numPr>
              <w:spacing w:after="0"/>
              <w:rPr>
                <w:rFonts w:ascii="Times New Roman" w:hAnsi="Times New Roman"/>
                <w:color w:val="000000"/>
                <w:sz w:val="24"/>
                <w:szCs w:val="24"/>
              </w:rPr>
            </w:pPr>
            <w:r w:rsidRPr="00446165">
              <w:rPr>
                <w:rFonts w:ascii="Times New Roman" w:hAnsi="Times New Roman"/>
                <w:color w:val="000000"/>
                <w:sz w:val="24"/>
                <w:szCs w:val="24"/>
              </w:rPr>
              <w:t>Debi Martin – Greystone Servicing Corporation, Inc.</w:t>
            </w:r>
          </w:p>
          <w:p w:rsidRPr="00446165" w:rsidR="00C02567" w:rsidP="00C02567" w:rsidRDefault="00C02567" w14:paraId="510DBAC7" w14:textId="77777777">
            <w:pPr>
              <w:numPr>
                <w:ilvl w:val="0"/>
                <w:numId w:val="9"/>
              </w:numPr>
              <w:spacing w:after="0"/>
              <w:rPr>
                <w:rFonts w:ascii="Times New Roman" w:hAnsi="Times New Roman"/>
                <w:color w:val="000000"/>
                <w:sz w:val="24"/>
                <w:szCs w:val="24"/>
              </w:rPr>
            </w:pPr>
            <w:r w:rsidRPr="00446165">
              <w:rPr>
                <w:rFonts w:ascii="Times New Roman" w:hAnsi="Times New Roman"/>
                <w:color w:val="000000"/>
                <w:sz w:val="24"/>
                <w:szCs w:val="24"/>
              </w:rPr>
              <w:t>Anthony T. Marino – Cambridge Realty Capital Ltd.</w:t>
            </w:r>
          </w:p>
          <w:p w:rsidRPr="00446165" w:rsidR="00C02567" w:rsidP="00C02567" w:rsidRDefault="00C02567" w14:paraId="16C334EB" w14:textId="77777777">
            <w:pPr>
              <w:numPr>
                <w:ilvl w:val="0"/>
                <w:numId w:val="9"/>
              </w:numPr>
              <w:spacing w:after="0"/>
              <w:rPr>
                <w:rFonts w:ascii="Times New Roman" w:hAnsi="Times New Roman"/>
                <w:color w:val="000000"/>
                <w:sz w:val="24"/>
                <w:szCs w:val="24"/>
              </w:rPr>
            </w:pPr>
            <w:r w:rsidRPr="00446165">
              <w:rPr>
                <w:rFonts w:ascii="Times New Roman" w:hAnsi="Times New Roman"/>
                <w:color w:val="000000"/>
                <w:sz w:val="24"/>
                <w:szCs w:val="24"/>
              </w:rPr>
              <w:t>Tina Brown – Love Funding</w:t>
            </w:r>
          </w:p>
          <w:p w:rsidRPr="00C879B4" w:rsidR="00FA2F70" w:rsidP="001B4FB5" w:rsidRDefault="00FA2F70" w14:paraId="59D1DFEE" w14:textId="77777777">
            <w:pPr>
              <w:spacing w:after="0" w:line="240" w:lineRule="auto"/>
              <w:rPr>
                <w:rFonts w:ascii="Times New Roman" w:hAnsi="Times New Roman"/>
                <w:b/>
                <w:color w:val="000000"/>
                <w:sz w:val="24"/>
                <w:szCs w:val="24"/>
              </w:rPr>
            </w:pPr>
          </w:p>
        </w:tc>
      </w:tr>
    </w:tbl>
    <w:p w:rsidRPr="00C879B4" w:rsidR="00FA2F70" w:rsidP="00FA2F70" w:rsidRDefault="00FA2F70" w14:paraId="08E37954"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39364C" w14:paraId="54B29CCD" w14:textId="77777777">
        <w:trPr>
          <w:trHeight w:val="1557"/>
        </w:trPr>
        <w:tc>
          <w:tcPr>
            <w:tcW w:w="9360" w:type="dxa"/>
            <w:shd w:val="clear" w:color="auto" w:fill="auto"/>
          </w:tcPr>
          <w:p w:rsidR="0021340A" w:rsidP="001B4FB5" w:rsidRDefault="0021340A" w14:paraId="19B23C1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9. Explain any decision to provide any payment or gift to respondents, other than </w:t>
            </w:r>
            <w:r w:rsidRPr="00C879B4" w:rsidR="003A06B5">
              <w:rPr>
                <w:rFonts w:ascii="Times New Roman" w:hAnsi="Times New Roman"/>
                <w:b/>
                <w:color w:val="000000"/>
                <w:sz w:val="24"/>
                <w:szCs w:val="24"/>
              </w:rPr>
              <w:t>renumeration</w:t>
            </w:r>
            <w:r w:rsidRPr="00C879B4">
              <w:rPr>
                <w:rFonts w:ascii="Times New Roman" w:hAnsi="Times New Roman"/>
                <w:b/>
                <w:color w:val="000000"/>
                <w:sz w:val="24"/>
                <w:szCs w:val="24"/>
              </w:rPr>
              <w:t xml:space="preserve"> of contractors or grantees. </w:t>
            </w:r>
          </w:p>
          <w:p w:rsidR="00BC6528" w:rsidP="001B4FB5" w:rsidRDefault="00BC6528" w14:paraId="65B74CFD" w14:textId="77777777">
            <w:pPr>
              <w:spacing w:after="0" w:line="240" w:lineRule="auto"/>
              <w:rPr>
                <w:rFonts w:ascii="Times New Roman" w:hAnsi="Times New Roman"/>
                <w:b/>
                <w:color w:val="000000"/>
                <w:sz w:val="24"/>
                <w:szCs w:val="24"/>
              </w:rPr>
            </w:pPr>
          </w:p>
          <w:p w:rsidRPr="00C879B4" w:rsidR="0021340A" w:rsidP="007F226E" w:rsidRDefault="00BC6528" w14:paraId="7E711EAC" w14:textId="4B21C9A7">
            <w:pPr>
              <w:spacing w:after="0" w:line="240" w:lineRule="auto"/>
              <w:contextualSpacing/>
              <w:rPr>
                <w:rFonts w:ascii="Times New Roman" w:hAnsi="Times New Roman"/>
                <w:color w:val="000000"/>
                <w:sz w:val="24"/>
                <w:szCs w:val="24"/>
              </w:rPr>
            </w:pPr>
            <w:r w:rsidRPr="00DE0CFF">
              <w:rPr>
                <w:rFonts w:ascii="Times New Roman" w:hAnsi="Times New Roman" w:eastAsia="Arial Unicode MS"/>
                <w:sz w:val="24"/>
                <w:szCs w:val="24"/>
              </w:rPr>
              <w:t>There is no decision to provide any payments or gifts to the lender except the payment of FHA Insurance Benefits. This payment is the Department's contractual obligation.</w:t>
            </w:r>
          </w:p>
        </w:tc>
      </w:tr>
      <w:tr w:rsidRPr="00C879B4" w:rsidR="0021340A" w:rsidTr="0039364C" w14:paraId="349F421D" w14:textId="77777777">
        <w:trPr>
          <w:trHeight w:val="81"/>
        </w:trPr>
        <w:tc>
          <w:tcPr>
            <w:tcW w:w="9360" w:type="dxa"/>
            <w:shd w:val="clear" w:color="auto" w:fill="auto"/>
          </w:tcPr>
          <w:p w:rsidRPr="00C879B4" w:rsidR="0021340A" w:rsidP="001B4FB5" w:rsidRDefault="0021340A" w14:paraId="63364919" w14:textId="71C5A663">
            <w:pPr>
              <w:spacing w:after="0" w:line="240" w:lineRule="auto"/>
              <w:rPr>
                <w:rFonts w:ascii="Times New Roman" w:hAnsi="Times New Roman"/>
                <w:color w:val="000000"/>
                <w:sz w:val="24"/>
                <w:szCs w:val="24"/>
              </w:rPr>
            </w:pPr>
          </w:p>
        </w:tc>
      </w:tr>
    </w:tbl>
    <w:p w:rsidRPr="00C879B4" w:rsidR="00FA2F70" w:rsidP="00FA2F70" w:rsidRDefault="00FA2F70" w14:paraId="5CB819F1"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64F3C" w14:paraId="703C0798" w14:textId="77777777">
        <w:trPr>
          <w:trHeight w:val="792"/>
        </w:trPr>
        <w:tc>
          <w:tcPr>
            <w:tcW w:w="9360" w:type="dxa"/>
            <w:shd w:val="clear" w:color="auto" w:fill="auto"/>
          </w:tcPr>
          <w:p w:rsidRPr="00C879B4" w:rsidR="0021340A" w:rsidP="001B4FB5" w:rsidRDefault="0021340A" w14:paraId="1DC8105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Pr="00C879B4" w:rsidR="0021340A" w:rsidP="001B4FB5" w:rsidRDefault="0021340A" w14:paraId="1F288326" w14:textId="77777777">
            <w:pPr>
              <w:spacing w:after="0" w:line="240" w:lineRule="auto"/>
              <w:rPr>
                <w:rFonts w:ascii="Times New Roman" w:hAnsi="Times New Roman"/>
                <w:b/>
                <w:color w:val="000000"/>
                <w:sz w:val="24"/>
                <w:szCs w:val="24"/>
              </w:rPr>
            </w:pPr>
          </w:p>
        </w:tc>
      </w:tr>
      <w:tr w:rsidRPr="00C879B4" w:rsidR="0021340A" w:rsidTr="00D35DDB" w14:paraId="25CF977F" w14:textId="77777777">
        <w:tc>
          <w:tcPr>
            <w:tcW w:w="9360" w:type="dxa"/>
            <w:shd w:val="clear" w:color="auto" w:fill="auto"/>
          </w:tcPr>
          <w:p w:rsidRPr="00DE0CFF" w:rsidR="00BC6528" w:rsidP="00BC6528" w:rsidRDefault="00BC6528" w14:paraId="49FC344D" w14:textId="77777777">
            <w:pPr>
              <w:spacing w:after="0" w:line="240" w:lineRule="auto"/>
              <w:rPr>
                <w:rFonts w:ascii="Times New Roman" w:hAnsi="Times New Roman" w:eastAsia="Arial Unicode MS"/>
                <w:sz w:val="24"/>
                <w:szCs w:val="24"/>
              </w:rPr>
            </w:pPr>
            <w:r w:rsidRPr="00DE0CFF">
              <w:rPr>
                <w:rFonts w:ascii="Times New Roman" w:hAnsi="Times New Roman" w:eastAsia="Arial Unicode MS"/>
                <w:sz w:val="24"/>
                <w:szCs w:val="24"/>
              </w:rPr>
              <w:t xml:space="preserve">This collection has an approved Privacy Threshold Analysis (PTA) on file.  In addition, HUD's policy for providing confidentiality is that any information released to the public does not contain identifying information such as social security numbers. Such identification is deleted from the required information prior to being released.  </w:t>
            </w:r>
          </w:p>
          <w:p w:rsidRPr="00C879B4" w:rsidR="0021340A" w:rsidP="001B4FB5" w:rsidRDefault="0021340A" w14:paraId="6B6F3EF8" w14:textId="77777777">
            <w:pPr>
              <w:spacing w:after="0" w:line="240" w:lineRule="auto"/>
              <w:rPr>
                <w:rFonts w:ascii="Times New Roman" w:hAnsi="Times New Roman"/>
                <w:b/>
                <w:color w:val="000000"/>
                <w:sz w:val="24"/>
                <w:szCs w:val="24"/>
              </w:rPr>
            </w:pPr>
          </w:p>
        </w:tc>
      </w:tr>
    </w:tbl>
    <w:p w:rsidRPr="00C879B4" w:rsidR="00FA2F70" w:rsidP="00FA2F70" w:rsidRDefault="00FA2F70" w14:paraId="27F3B017"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71DC9A49" w14:textId="77777777">
        <w:tc>
          <w:tcPr>
            <w:tcW w:w="9360" w:type="dxa"/>
            <w:shd w:val="clear" w:color="auto" w:fill="auto"/>
          </w:tcPr>
          <w:p w:rsidR="0021340A" w:rsidP="001B4FB5" w:rsidRDefault="0021340A" w14:paraId="4AB72ABC"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lastRenderedPageBreak/>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BC6528" w:rsidP="001B4FB5" w:rsidRDefault="00BC6528" w14:paraId="6FEF59F7" w14:textId="77777777">
            <w:pPr>
              <w:spacing w:after="0" w:line="240" w:lineRule="auto"/>
              <w:rPr>
                <w:rFonts w:ascii="Times New Roman" w:hAnsi="Times New Roman"/>
                <w:b/>
                <w:color w:val="000000"/>
                <w:sz w:val="24"/>
                <w:szCs w:val="24"/>
              </w:rPr>
            </w:pPr>
          </w:p>
          <w:p w:rsidRPr="00DE0CFF" w:rsidR="00BC6528" w:rsidP="00BC6528" w:rsidRDefault="00BC6528" w14:paraId="4C5B599B" w14:textId="77777777">
            <w:pPr>
              <w:spacing w:after="0" w:line="240" w:lineRule="auto"/>
              <w:rPr>
                <w:rFonts w:ascii="Times New Roman" w:hAnsi="Times New Roman" w:eastAsia="Arial Unicode MS"/>
                <w:sz w:val="24"/>
                <w:szCs w:val="24"/>
              </w:rPr>
            </w:pPr>
            <w:r w:rsidRPr="00DE0CFF">
              <w:rPr>
                <w:rFonts w:ascii="Times New Roman" w:hAnsi="Times New Roman" w:eastAsia="Arial Unicode MS"/>
                <w:sz w:val="24"/>
                <w:szCs w:val="24"/>
              </w:rPr>
              <w:t>There are no questions of a sensitive nature.</w:t>
            </w:r>
          </w:p>
          <w:p w:rsidRPr="00DE0CFF" w:rsidR="00BC6528" w:rsidP="00BC6528" w:rsidRDefault="00BC6528" w14:paraId="67897954" w14:textId="77777777">
            <w:pPr>
              <w:tabs>
                <w:tab w:val="left" w:pos="-720"/>
              </w:tabs>
              <w:suppressAutoHyphens/>
              <w:spacing w:after="0" w:line="240" w:lineRule="auto"/>
              <w:rPr>
                <w:rFonts w:ascii="Times New Roman" w:hAnsi="Times New Roman"/>
                <w:sz w:val="24"/>
                <w:szCs w:val="24"/>
              </w:rPr>
            </w:pPr>
          </w:p>
          <w:p w:rsidRPr="00C879B4" w:rsidR="00B62C5B" w:rsidP="001B4FB5" w:rsidRDefault="00B62C5B" w14:paraId="20008C8B" w14:textId="77777777">
            <w:pPr>
              <w:spacing w:after="0" w:line="240" w:lineRule="auto"/>
              <w:rPr>
                <w:rFonts w:ascii="Times New Roman" w:hAnsi="Times New Roman"/>
                <w:b/>
                <w:color w:val="000000"/>
                <w:sz w:val="24"/>
                <w:szCs w:val="24"/>
              </w:rPr>
            </w:pPr>
          </w:p>
          <w:p w:rsidRPr="00C879B4" w:rsidR="00B62C5B" w:rsidP="00B62C5B" w:rsidRDefault="00B62C5B" w14:paraId="501C821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rsidRPr="00C879B4" w:rsidR="00B62C5B" w:rsidP="00B62C5B" w:rsidRDefault="00B62C5B" w14:paraId="70B7A523" w14:textId="77777777">
            <w:pPr>
              <w:spacing w:after="0" w:line="240" w:lineRule="auto"/>
              <w:rPr>
                <w:rFonts w:ascii="Times New Roman" w:hAnsi="Times New Roman"/>
                <w:b/>
                <w:color w:val="000000"/>
                <w:sz w:val="24"/>
                <w:szCs w:val="24"/>
              </w:rPr>
            </w:pPr>
          </w:p>
          <w:p w:rsidRPr="00C879B4" w:rsidR="00B62C5B" w:rsidP="00B62C5B" w:rsidRDefault="00B62C5B" w14:paraId="5047286C"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C879B4" w:rsidR="00B62C5B" w:rsidP="00B62C5B" w:rsidRDefault="00B62C5B" w14:paraId="54E6A90D" w14:textId="77777777">
            <w:pPr>
              <w:spacing w:after="0" w:line="240" w:lineRule="auto"/>
              <w:rPr>
                <w:rFonts w:ascii="Times New Roman" w:hAnsi="Times New Roman"/>
                <w:color w:val="000000"/>
                <w:sz w:val="24"/>
                <w:szCs w:val="24"/>
              </w:rPr>
            </w:pPr>
          </w:p>
          <w:p w:rsidRPr="00C879B4" w:rsidR="00B62C5B" w:rsidP="00B62C5B" w:rsidRDefault="00B62C5B" w14:paraId="2FF02E3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Pr="00C879B4" w:rsidR="00B62C5B" w:rsidP="00B62C5B" w:rsidRDefault="00B62C5B" w14:paraId="2C28D8CE" w14:textId="77777777">
            <w:pPr>
              <w:spacing w:after="0" w:line="240" w:lineRule="auto"/>
              <w:rPr>
                <w:rFonts w:ascii="Times New Roman" w:hAnsi="Times New Roman"/>
                <w:color w:val="000000"/>
                <w:sz w:val="24"/>
                <w:szCs w:val="24"/>
              </w:rPr>
            </w:pPr>
          </w:p>
          <w:p w:rsidRPr="00C879B4" w:rsidR="0021340A" w:rsidP="002C7DF4" w:rsidRDefault="00B62C5B" w14:paraId="361229DB"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tc>
      </w:tr>
      <w:tr w:rsidRPr="00C879B4" w:rsidR="0021340A" w:rsidTr="00D35DDB" w14:paraId="2905D4AE" w14:textId="77777777">
        <w:tc>
          <w:tcPr>
            <w:tcW w:w="9360" w:type="dxa"/>
            <w:shd w:val="clear" w:color="auto" w:fill="auto"/>
          </w:tcPr>
          <w:p w:rsidRPr="00C879B4" w:rsidR="0021340A" w:rsidP="001B4FB5" w:rsidRDefault="0021340A" w14:paraId="3717D9A8" w14:textId="77777777">
            <w:pPr>
              <w:spacing w:after="0" w:line="240" w:lineRule="auto"/>
              <w:rPr>
                <w:rFonts w:ascii="Times New Roman" w:hAnsi="Times New Roman"/>
                <w:b/>
                <w:color w:val="000000"/>
                <w:sz w:val="24"/>
                <w:szCs w:val="24"/>
              </w:rPr>
            </w:pPr>
          </w:p>
        </w:tc>
      </w:tr>
    </w:tbl>
    <w:p w:rsidRPr="0039364C" w:rsidR="00BC6528" w:rsidP="00BC6528" w:rsidRDefault="00BC6528" w14:paraId="5FBCD819" w14:textId="77777777">
      <w:pPr>
        <w:spacing w:after="0" w:line="240" w:lineRule="auto"/>
        <w:rPr>
          <w:rFonts w:ascii="Times New Roman" w:hAnsi="Times New Roman" w:eastAsia="Arial Unicode MS"/>
          <w:sz w:val="24"/>
          <w:szCs w:val="24"/>
        </w:rPr>
      </w:pPr>
      <w:r w:rsidRPr="0039364C">
        <w:rPr>
          <w:rFonts w:ascii="Times New Roman" w:hAnsi="Times New Roman" w:eastAsia="Arial Unicode MS"/>
          <w:sz w:val="24"/>
          <w:szCs w:val="24"/>
        </w:rPr>
        <w:t>It is estimated that 110 respondents (lenders) will annually submit a</w:t>
      </w:r>
      <w:r w:rsidRPr="0039364C" w:rsidR="004353A8">
        <w:rPr>
          <w:rFonts w:ascii="Times New Roman" w:hAnsi="Times New Roman" w:eastAsia="Arial Unicode MS"/>
          <w:sz w:val="24"/>
          <w:szCs w:val="24"/>
        </w:rPr>
        <w:t xml:space="preserve"> Partial Claim Settlement</w:t>
      </w:r>
      <w:r w:rsidRPr="0039364C">
        <w:rPr>
          <w:rFonts w:ascii="Times New Roman" w:hAnsi="Times New Roman" w:eastAsia="Arial Unicode MS"/>
          <w:sz w:val="24"/>
          <w:szCs w:val="24"/>
        </w:rPr>
        <w:t xml:space="preserve">. </w:t>
      </w:r>
    </w:p>
    <w:p w:rsidRPr="0039364C" w:rsidR="00BC6528" w:rsidP="00BC6528" w:rsidRDefault="00BC6528" w14:paraId="6ABB1C75" w14:textId="77777777">
      <w:pPr>
        <w:spacing w:after="0" w:line="240" w:lineRule="auto"/>
        <w:rPr>
          <w:rFonts w:ascii="Times New Roman" w:hAnsi="Times New Roman"/>
          <w:sz w:val="24"/>
          <w:szCs w:val="24"/>
        </w:rPr>
      </w:pPr>
    </w:p>
    <w:tbl>
      <w:tblPr>
        <w:tblW w:w="9990" w:type="dxa"/>
        <w:tblInd w:w="-72" w:type="dxa"/>
        <w:tblLayout w:type="fixed"/>
        <w:tblLook w:val="04A0" w:firstRow="1" w:lastRow="0" w:firstColumn="1" w:lastColumn="0" w:noHBand="0" w:noVBand="1"/>
      </w:tblPr>
      <w:tblGrid>
        <w:gridCol w:w="1350"/>
        <w:gridCol w:w="1350"/>
        <w:gridCol w:w="1170"/>
        <w:gridCol w:w="990"/>
        <w:gridCol w:w="1170"/>
        <w:gridCol w:w="810"/>
        <w:gridCol w:w="900"/>
        <w:gridCol w:w="990"/>
        <w:gridCol w:w="1260"/>
      </w:tblGrid>
      <w:tr w:rsidRPr="00C879B4" w:rsidR="006C1F71" w:rsidTr="00294E98" w14:paraId="7AEF0713" w14:textId="77777777">
        <w:tc>
          <w:tcPr>
            <w:tcW w:w="1350" w:type="dxa"/>
          </w:tcPr>
          <w:p w:rsidRPr="00C879B4" w:rsidR="006C1F71" w:rsidP="001B4FB5" w:rsidRDefault="006C1F71" w14:paraId="371DA232" w14:textId="77777777">
            <w:pPr>
              <w:spacing w:after="0" w:line="240" w:lineRule="auto"/>
              <w:rPr>
                <w:rFonts w:ascii="Times New Roman" w:hAnsi="Times New Roman"/>
                <w:b/>
                <w:color w:val="000000"/>
                <w:sz w:val="24"/>
                <w:szCs w:val="24"/>
              </w:rPr>
            </w:pPr>
          </w:p>
        </w:tc>
        <w:tc>
          <w:tcPr>
            <w:tcW w:w="8640" w:type="dxa"/>
            <w:gridSpan w:val="8"/>
            <w:shd w:val="clear" w:color="auto" w:fill="auto"/>
          </w:tcPr>
          <w:p w:rsidRPr="00C879B4" w:rsidR="006C1F71" w:rsidP="006B76CD" w:rsidRDefault="006C1F71" w14:paraId="06E42F16"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w:t>
            </w:r>
          </w:p>
        </w:tc>
      </w:tr>
      <w:tr w:rsidRPr="00C879B4" w:rsidR="006C1F71" w:rsidTr="00294E98" w14:paraId="66E478DD" w14:textId="77777777">
        <w:tc>
          <w:tcPr>
            <w:tcW w:w="1350" w:type="dxa"/>
            <w:tcBorders>
              <w:bottom w:val="single" w:color="auto" w:sz="4" w:space="0"/>
            </w:tcBorders>
          </w:tcPr>
          <w:p w:rsidRPr="00C879B4" w:rsidR="006C1F71" w:rsidP="001B4FB5" w:rsidRDefault="006C1F71" w14:paraId="3EEF6AEC" w14:textId="77777777">
            <w:pPr>
              <w:spacing w:after="0" w:line="240" w:lineRule="auto"/>
              <w:rPr>
                <w:rFonts w:ascii="Times New Roman" w:hAnsi="Times New Roman"/>
                <w:b/>
                <w:color w:val="000000"/>
                <w:sz w:val="24"/>
                <w:szCs w:val="24"/>
              </w:rPr>
            </w:pPr>
          </w:p>
        </w:tc>
        <w:tc>
          <w:tcPr>
            <w:tcW w:w="8640" w:type="dxa"/>
            <w:gridSpan w:val="8"/>
            <w:tcBorders>
              <w:bottom w:val="single" w:color="auto" w:sz="4" w:space="0"/>
            </w:tcBorders>
            <w:shd w:val="clear" w:color="auto" w:fill="auto"/>
          </w:tcPr>
          <w:p w:rsidRPr="00C879B4" w:rsidR="006C1F71" w:rsidP="005A7FAF" w:rsidRDefault="005A7FAF" w14:paraId="01E5C5DE" w14:textId="77777777">
            <w:pPr>
              <w:spacing w:after="0" w:line="240" w:lineRule="auto"/>
              <w:jc w:val="center"/>
              <w:rPr>
                <w:rFonts w:ascii="Times New Roman" w:hAnsi="Times New Roman"/>
                <w:b/>
                <w:color w:val="000000"/>
                <w:sz w:val="24"/>
                <w:szCs w:val="24"/>
              </w:rPr>
            </w:pPr>
            <w:r w:rsidRPr="005A7FAF">
              <w:rPr>
                <w:rFonts w:ascii="Arial" w:hAnsi="Arial" w:cs="Arial"/>
                <w:color w:val="000000"/>
                <w:sz w:val="18"/>
                <w:szCs w:val="18"/>
              </w:rPr>
              <w:t>Estimated Annualized Burden Hours and Costs</w:t>
            </w:r>
          </w:p>
        </w:tc>
      </w:tr>
      <w:tr w:rsidRPr="00C879B4" w:rsidR="006C1F71" w:rsidTr="000A357C" w14:paraId="4DE4110D" w14:textId="77777777">
        <w:tblPrEx>
          <w:tblLook w:val="0000" w:firstRow="0" w:lastRow="0" w:firstColumn="0" w:lastColumn="0" w:noHBand="0" w:noVBand="0"/>
        </w:tblPrEx>
        <w:tc>
          <w:tcPr>
            <w:tcW w:w="1350" w:type="dxa"/>
            <w:tcBorders>
              <w:top w:val="single" w:color="auto" w:sz="4" w:space="0"/>
              <w:left w:val="single" w:color="auto" w:sz="4" w:space="0"/>
              <w:bottom w:val="single" w:color="auto" w:sz="4" w:space="0"/>
              <w:right w:val="single" w:color="auto" w:sz="4" w:space="0"/>
            </w:tcBorders>
            <w:vAlign w:val="center"/>
          </w:tcPr>
          <w:p w:rsidRPr="007047E7" w:rsidR="006C1F71" w:rsidP="00B106EA" w:rsidRDefault="006C1F71" w14:paraId="65FD9E5C" w14:textId="77777777">
            <w:pPr>
              <w:rPr>
                <w:rFonts w:ascii="Helvetica" w:hAnsi="Helvetica"/>
                <w:b/>
                <w:bCs/>
                <w:color w:val="000000"/>
                <w:sz w:val="16"/>
                <w:szCs w:val="16"/>
              </w:rPr>
            </w:pPr>
            <w:r w:rsidRPr="007047E7">
              <w:rPr>
                <w:rFonts w:ascii="Helvetica" w:hAnsi="Helvetica"/>
                <w:b/>
                <w:bCs/>
                <w:color w:val="000000"/>
                <w:sz w:val="16"/>
                <w:szCs w:val="16"/>
              </w:rPr>
              <w:t>Information Collection / Type of Respondent</w:t>
            </w:r>
          </w:p>
        </w:tc>
        <w:tc>
          <w:tcPr>
            <w:tcW w:w="1350" w:type="dxa"/>
            <w:tcBorders>
              <w:top w:val="single" w:color="auto" w:sz="4" w:space="0"/>
              <w:left w:val="single" w:color="auto" w:sz="4" w:space="0"/>
              <w:bottom w:val="single" w:color="auto" w:sz="4" w:space="0"/>
              <w:right w:val="single" w:color="auto" w:sz="4" w:space="0"/>
            </w:tcBorders>
            <w:shd w:val="clear" w:color="auto" w:fill="D9D9D9"/>
          </w:tcPr>
          <w:p w:rsidRPr="007047E7" w:rsidR="006C1F71" w:rsidP="00A6656E" w:rsidRDefault="006C1F71" w14:paraId="4DB12BBA" w14:textId="77777777">
            <w:pPr>
              <w:ind w:right="-108"/>
              <w:jc w:val="center"/>
              <w:rPr>
                <w:rFonts w:ascii="Helvetica" w:hAnsi="Helvetica"/>
                <w:b/>
                <w:bCs/>
                <w:color w:val="000000"/>
                <w:sz w:val="16"/>
                <w:szCs w:val="16"/>
              </w:rPr>
            </w:pPr>
          </w:p>
          <w:p w:rsidRPr="007047E7" w:rsidR="006C1F71" w:rsidP="006C1F71" w:rsidRDefault="006C1F71" w14:paraId="20E76586" w14:textId="77777777">
            <w:pPr>
              <w:ind w:right="-108"/>
              <w:rPr>
                <w:rFonts w:ascii="Helvetica" w:hAnsi="Helvetica"/>
                <w:b/>
                <w:bCs/>
                <w:color w:val="000000"/>
                <w:sz w:val="16"/>
                <w:szCs w:val="16"/>
              </w:rPr>
            </w:pPr>
            <w:r w:rsidRPr="007047E7">
              <w:rPr>
                <w:rFonts w:ascii="Helvetica" w:hAnsi="Helvetica"/>
                <w:b/>
                <w:bCs/>
                <w:color w:val="000000"/>
                <w:sz w:val="16"/>
                <w:szCs w:val="16"/>
              </w:rPr>
              <w:t xml:space="preserve">Form Name / Form Number </w:t>
            </w: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Pr="007047E7" w:rsidR="006C1F71" w:rsidP="00A6656E" w:rsidRDefault="006C1F71" w14:paraId="682E8F2F" w14:textId="77777777">
            <w:pPr>
              <w:ind w:right="-108"/>
              <w:jc w:val="center"/>
              <w:rPr>
                <w:rFonts w:ascii="Helvetica" w:hAnsi="Helvetica"/>
                <w:b/>
                <w:bCs/>
                <w:color w:val="000000"/>
                <w:sz w:val="16"/>
                <w:szCs w:val="16"/>
              </w:rPr>
            </w:pPr>
            <w:r w:rsidRPr="007047E7">
              <w:rPr>
                <w:rFonts w:ascii="Helvetica" w:hAnsi="Helvetica"/>
                <w:b/>
                <w:bCs/>
                <w:color w:val="000000"/>
                <w:sz w:val="16"/>
                <w:szCs w:val="16"/>
              </w:rPr>
              <w:t>Number of Respondents</w:t>
            </w:r>
          </w:p>
        </w:tc>
        <w:tc>
          <w:tcPr>
            <w:tcW w:w="990" w:type="dxa"/>
            <w:tcBorders>
              <w:top w:val="single" w:color="auto" w:sz="4" w:space="0"/>
              <w:left w:val="single" w:color="auto" w:sz="4" w:space="0"/>
              <w:bottom w:val="single" w:color="auto" w:sz="4" w:space="0"/>
              <w:right w:val="single" w:color="auto" w:sz="4" w:space="0"/>
            </w:tcBorders>
            <w:vAlign w:val="center"/>
          </w:tcPr>
          <w:p w:rsidRPr="007047E7" w:rsidR="006C1F71" w:rsidP="00B106EA" w:rsidRDefault="006C1F71" w14:paraId="5D37DF2E" w14:textId="77777777">
            <w:pPr>
              <w:ind w:left="72" w:right="-108"/>
              <w:jc w:val="center"/>
              <w:rPr>
                <w:rFonts w:ascii="Helvetica" w:hAnsi="Helvetica"/>
                <w:b/>
                <w:bCs/>
                <w:color w:val="000000"/>
                <w:sz w:val="16"/>
                <w:szCs w:val="16"/>
              </w:rPr>
            </w:pPr>
            <w:r w:rsidRPr="007047E7">
              <w:rPr>
                <w:rFonts w:ascii="Helvetica" w:hAnsi="Helvetica"/>
                <w:b/>
                <w:bCs/>
                <w:color w:val="000000"/>
                <w:sz w:val="16"/>
                <w:szCs w:val="16"/>
              </w:rPr>
              <w:t>Frequency of Response</w:t>
            </w: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Pr="007047E7" w:rsidR="006C1F71" w:rsidP="00B106EA" w:rsidRDefault="006C1F71" w14:paraId="4379D123" w14:textId="77777777">
            <w:pPr>
              <w:jc w:val="center"/>
              <w:rPr>
                <w:rFonts w:ascii="Helvetica" w:hAnsi="Helvetica"/>
                <w:b/>
                <w:bCs/>
                <w:color w:val="000000"/>
                <w:sz w:val="16"/>
                <w:szCs w:val="16"/>
              </w:rPr>
            </w:pPr>
            <w:r w:rsidRPr="007047E7">
              <w:rPr>
                <w:rFonts w:ascii="Helvetica" w:hAnsi="Helvetica"/>
                <w:b/>
                <w:bCs/>
                <w:color w:val="000000"/>
                <w:sz w:val="16"/>
                <w:szCs w:val="16"/>
              </w:rPr>
              <w:t>Responses Per Year</w:t>
            </w:r>
          </w:p>
        </w:tc>
        <w:tc>
          <w:tcPr>
            <w:tcW w:w="810" w:type="dxa"/>
            <w:tcBorders>
              <w:top w:val="single" w:color="auto" w:sz="4" w:space="0"/>
              <w:left w:val="single" w:color="auto" w:sz="4" w:space="0"/>
              <w:bottom w:val="single" w:color="auto" w:sz="4" w:space="0"/>
              <w:right w:val="single" w:color="auto" w:sz="4" w:space="0"/>
            </w:tcBorders>
            <w:vAlign w:val="center"/>
          </w:tcPr>
          <w:p w:rsidRPr="007047E7" w:rsidR="006C1F71" w:rsidP="00695EEE" w:rsidRDefault="006C1F71" w14:paraId="3358F4FF" w14:textId="77777777">
            <w:pPr>
              <w:ind w:right="-108"/>
              <w:jc w:val="center"/>
              <w:rPr>
                <w:rFonts w:ascii="Helvetica" w:hAnsi="Helvetica"/>
                <w:b/>
                <w:bCs/>
                <w:color w:val="000000"/>
                <w:sz w:val="16"/>
                <w:szCs w:val="16"/>
              </w:rPr>
            </w:pPr>
            <w:r w:rsidRPr="007047E7">
              <w:rPr>
                <w:rFonts w:ascii="Helvetica" w:hAnsi="Helvetica"/>
                <w:b/>
                <w:bCs/>
                <w:color w:val="000000"/>
                <w:sz w:val="16"/>
                <w:szCs w:val="16"/>
              </w:rPr>
              <w:t>Average</w:t>
            </w:r>
            <w:r w:rsidRPr="007047E7">
              <w:rPr>
                <w:rFonts w:ascii="Helvetica" w:hAnsi="Helvetica"/>
                <w:b/>
                <w:bCs/>
                <w:color w:val="000000"/>
                <w:sz w:val="16"/>
                <w:szCs w:val="16"/>
              </w:rPr>
              <w:br/>
              <w:t>Burden Hours Per Response</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7047E7" w:rsidR="006C1F71" w:rsidP="00A6656E" w:rsidRDefault="006C1F71" w14:paraId="76BBA6D6" w14:textId="77777777">
            <w:pPr>
              <w:ind w:right="-108"/>
              <w:jc w:val="center"/>
              <w:rPr>
                <w:rFonts w:ascii="Helvetica" w:hAnsi="Helvetica"/>
                <w:b/>
                <w:bCs/>
                <w:color w:val="000000"/>
                <w:sz w:val="16"/>
                <w:szCs w:val="16"/>
              </w:rPr>
            </w:pPr>
            <w:r w:rsidRPr="007047E7">
              <w:rPr>
                <w:rFonts w:ascii="Helvetica" w:hAnsi="Helvetica"/>
                <w:b/>
                <w:bCs/>
                <w:color w:val="000000"/>
                <w:sz w:val="16"/>
                <w:szCs w:val="16"/>
              </w:rPr>
              <w:t>Annual Burden Hours</w:t>
            </w:r>
          </w:p>
        </w:tc>
        <w:tc>
          <w:tcPr>
            <w:tcW w:w="990" w:type="dxa"/>
            <w:tcBorders>
              <w:top w:val="single" w:color="auto" w:sz="4" w:space="0"/>
              <w:left w:val="single" w:color="auto" w:sz="4" w:space="0"/>
              <w:bottom w:val="single" w:color="auto" w:sz="4" w:space="0"/>
              <w:right w:val="single" w:color="auto" w:sz="4" w:space="0"/>
            </w:tcBorders>
            <w:vAlign w:val="center"/>
          </w:tcPr>
          <w:p w:rsidRPr="007047E7" w:rsidR="006C1F71" w:rsidP="00B106EA" w:rsidRDefault="006C1F71" w14:paraId="17FC5588" w14:textId="77777777">
            <w:pPr>
              <w:ind w:right="-108"/>
              <w:jc w:val="center"/>
              <w:rPr>
                <w:rFonts w:ascii="Helvetica" w:hAnsi="Helvetica"/>
                <w:b/>
                <w:bCs/>
                <w:color w:val="000000"/>
                <w:sz w:val="16"/>
                <w:szCs w:val="16"/>
              </w:rPr>
            </w:pPr>
            <w:r w:rsidRPr="007047E7">
              <w:rPr>
                <w:rFonts w:ascii="Helvetica" w:hAnsi="Helvetica"/>
                <w:b/>
                <w:bCs/>
                <w:color w:val="000000"/>
                <w:sz w:val="16"/>
                <w:szCs w:val="16"/>
              </w:rPr>
              <w:t>Hourly Cost per Response</w:t>
            </w:r>
          </w:p>
          <w:p w:rsidRPr="007047E7" w:rsidR="006C1F71" w:rsidP="00B106EA" w:rsidRDefault="006C1F71" w14:paraId="466A0A90" w14:textId="77777777">
            <w:pPr>
              <w:ind w:right="-108"/>
              <w:jc w:val="center"/>
              <w:rPr>
                <w:rFonts w:ascii="Helvetica" w:hAnsi="Helvetica"/>
                <w:b/>
                <w:bCs/>
                <w:color w:val="000000"/>
                <w:sz w:val="16"/>
                <w:szCs w:val="16"/>
              </w:rPr>
            </w:pPr>
            <w:r w:rsidRPr="007047E7">
              <w:rPr>
                <w:rFonts w:ascii="Helvetica" w:hAnsi="Helvetica"/>
                <w:b/>
                <w:bCs/>
                <w:color w:val="000000"/>
                <w:sz w:val="16"/>
                <w:szCs w:val="16"/>
              </w:rPr>
              <w:t>(Hourly Wage Rate)</w:t>
            </w:r>
          </w:p>
        </w:tc>
        <w:tc>
          <w:tcPr>
            <w:tcW w:w="1260" w:type="dxa"/>
            <w:tcBorders>
              <w:top w:val="single" w:color="auto" w:sz="4" w:space="0"/>
              <w:left w:val="single" w:color="auto" w:sz="4" w:space="0"/>
              <w:bottom w:val="single" w:color="auto" w:sz="4" w:space="0"/>
              <w:right w:val="single" w:color="auto" w:sz="4" w:space="0"/>
            </w:tcBorders>
          </w:tcPr>
          <w:p w:rsidRPr="007047E7" w:rsidR="006C1F71" w:rsidP="006C1F71" w:rsidRDefault="006C1F71" w14:paraId="6D240D14" w14:textId="77777777">
            <w:pPr>
              <w:ind w:right="-108"/>
              <w:jc w:val="center"/>
              <w:rPr>
                <w:rFonts w:ascii="Helvetica" w:hAnsi="Helvetica"/>
                <w:b/>
                <w:bCs/>
                <w:color w:val="000000"/>
                <w:sz w:val="16"/>
                <w:szCs w:val="16"/>
              </w:rPr>
            </w:pPr>
          </w:p>
          <w:p w:rsidRPr="007047E7" w:rsidR="006C1F71" w:rsidP="006C1F71" w:rsidRDefault="006C1F71" w14:paraId="1B169F25" w14:textId="77777777">
            <w:pPr>
              <w:ind w:right="-108"/>
              <w:jc w:val="center"/>
              <w:rPr>
                <w:rFonts w:ascii="Helvetica" w:hAnsi="Helvetica"/>
                <w:b/>
                <w:bCs/>
                <w:color w:val="000000"/>
                <w:sz w:val="16"/>
                <w:szCs w:val="16"/>
              </w:rPr>
            </w:pPr>
            <w:r w:rsidRPr="007047E7">
              <w:rPr>
                <w:rFonts w:ascii="Helvetica" w:hAnsi="Helvetica"/>
                <w:b/>
                <w:bCs/>
                <w:color w:val="000000"/>
                <w:sz w:val="16"/>
                <w:szCs w:val="16"/>
              </w:rPr>
              <w:t>Total Annual Respondent Cost</w:t>
            </w:r>
          </w:p>
        </w:tc>
      </w:tr>
      <w:tr w:rsidRPr="00C879B4" w:rsidR="006C1F71" w:rsidTr="000A357C" w14:paraId="19F5EF4C" w14:textId="77777777">
        <w:tblPrEx>
          <w:tblLook w:val="0000" w:firstRow="0" w:lastRow="0" w:firstColumn="0" w:lastColumn="0" w:noHBand="0" w:noVBand="0"/>
        </w:tblPrEx>
        <w:tc>
          <w:tcPr>
            <w:tcW w:w="1350"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A448DA" w14:paraId="416F0BEB" w14:textId="77777777">
            <w:pPr>
              <w:rPr>
                <w:rFonts w:ascii="Helvetica" w:hAnsi="Helvetica"/>
                <w:bCs/>
                <w:color w:val="000000"/>
                <w:sz w:val="18"/>
              </w:rPr>
            </w:pPr>
            <w:r w:rsidRPr="00F61EAD">
              <w:rPr>
                <w:rFonts w:ascii="Helvetica" w:hAnsi="Helvetica"/>
                <w:b/>
                <w:color w:val="000000"/>
                <w:sz w:val="16"/>
                <w:szCs w:val="16"/>
              </w:rPr>
              <w:t>Business or other for-profit</w:t>
            </w:r>
          </w:p>
        </w:tc>
        <w:tc>
          <w:tcPr>
            <w:tcW w:w="1350" w:type="dxa"/>
            <w:tcBorders>
              <w:top w:val="single" w:color="auto" w:sz="4" w:space="0"/>
              <w:left w:val="single" w:color="auto" w:sz="4" w:space="0"/>
              <w:bottom w:val="single" w:color="auto" w:sz="4" w:space="0"/>
              <w:right w:val="single" w:color="auto" w:sz="4" w:space="0"/>
            </w:tcBorders>
            <w:shd w:val="clear" w:color="auto" w:fill="D9D9D9"/>
          </w:tcPr>
          <w:p w:rsidR="0039364C" w:rsidP="0039364C" w:rsidRDefault="0039364C" w14:paraId="0B704836" w14:textId="77777777">
            <w:pPr>
              <w:spacing w:after="0" w:line="240" w:lineRule="auto"/>
              <w:jc w:val="center"/>
              <w:rPr>
                <w:rFonts w:ascii="Helvetica" w:hAnsi="Helvetica"/>
                <w:bCs/>
                <w:color w:val="000000"/>
                <w:sz w:val="18"/>
              </w:rPr>
            </w:pPr>
          </w:p>
          <w:p w:rsidRPr="0039364C" w:rsidR="006C1F71" w:rsidP="0039364C" w:rsidRDefault="00A448DA" w14:paraId="5C291B4C" w14:textId="5FC7B4CF">
            <w:pPr>
              <w:spacing w:after="0" w:line="240" w:lineRule="auto"/>
              <w:jc w:val="center"/>
              <w:rPr>
                <w:rFonts w:ascii="Helvetica" w:hAnsi="Helvetica"/>
                <w:b/>
                <w:color w:val="000000"/>
                <w:sz w:val="18"/>
              </w:rPr>
            </w:pPr>
            <w:r w:rsidRPr="0039364C">
              <w:rPr>
                <w:rFonts w:ascii="Helvetica" w:hAnsi="Helvetica"/>
                <w:b/>
                <w:color w:val="000000"/>
                <w:sz w:val="18"/>
              </w:rPr>
              <w:t>HUD-2</w:t>
            </w:r>
            <w:r w:rsidRPr="0039364C" w:rsidR="000A357C">
              <w:rPr>
                <w:rFonts w:ascii="Helvetica" w:hAnsi="Helvetica"/>
                <w:b/>
                <w:color w:val="000000"/>
                <w:sz w:val="18"/>
              </w:rPr>
              <w:t>537</w:t>
            </w:r>
          </w:p>
          <w:p w:rsidRPr="00C879B4" w:rsidR="000A357C" w:rsidP="0039364C" w:rsidRDefault="000A357C" w14:paraId="30092626" w14:textId="77777777">
            <w:pPr>
              <w:spacing w:after="0" w:line="240" w:lineRule="auto"/>
              <w:jc w:val="center"/>
              <w:rPr>
                <w:rFonts w:ascii="Helvetica" w:hAnsi="Helvetica"/>
                <w:bCs/>
                <w:color w:val="000000"/>
                <w:sz w:val="18"/>
              </w:rPr>
            </w:pP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39364C" w:rsidRDefault="000A357C" w14:paraId="6A095D17" w14:textId="77777777">
            <w:pPr>
              <w:spacing w:after="0" w:line="240" w:lineRule="auto"/>
              <w:jc w:val="center"/>
              <w:rPr>
                <w:rFonts w:ascii="Helvetica" w:hAnsi="Helvetica"/>
                <w:bCs/>
                <w:color w:val="000000"/>
                <w:sz w:val="18"/>
              </w:rPr>
            </w:pPr>
            <w:r>
              <w:rPr>
                <w:rFonts w:ascii="Helvetica" w:hAnsi="Helvetica"/>
                <w:bCs/>
                <w:color w:val="000000"/>
                <w:sz w:val="18"/>
              </w:rPr>
              <w:t>72</w:t>
            </w:r>
          </w:p>
        </w:tc>
        <w:tc>
          <w:tcPr>
            <w:tcW w:w="990" w:type="dxa"/>
            <w:tcBorders>
              <w:top w:val="single" w:color="auto" w:sz="4" w:space="0"/>
              <w:left w:val="single" w:color="auto" w:sz="4" w:space="0"/>
              <w:bottom w:val="single" w:color="auto" w:sz="4" w:space="0"/>
              <w:right w:val="single" w:color="auto" w:sz="4" w:space="0"/>
            </w:tcBorders>
            <w:vAlign w:val="center"/>
          </w:tcPr>
          <w:p w:rsidRPr="00C879B4" w:rsidR="006C1F71" w:rsidP="0039364C" w:rsidRDefault="000A357C" w14:paraId="04451AAB" w14:textId="77777777">
            <w:pPr>
              <w:spacing w:after="0" w:line="240" w:lineRule="auto"/>
              <w:jc w:val="center"/>
              <w:rPr>
                <w:rFonts w:ascii="Helvetica" w:hAnsi="Helvetica"/>
                <w:bCs/>
                <w:color w:val="000000"/>
                <w:sz w:val="18"/>
              </w:rPr>
            </w:pPr>
            <w:r>
              <w:rPr>
                <w:rFonts w:ascii="Helvetica" w:hAnsi="Helvetica"/>
                <w:bCs/>
                <w:color w:val="000000"/>
                <w:sz w:val="18"/>
              </w:rPr>
              <w:t>1</w:t>
            </w: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39364C" w:rsidRDefault="000A357C" w14:paraId="6A1CC765" w14:textId="77777777">
            <w:pPr>
              <w:spacing w:after="0" w:line="240" w:lineRule="auto"/>
              <w:jc w:val="center"/>
              <w:rPr>
                <w:rFonts w:ascii="Helvetica" w:hAnsi="Helvetica"/>
                <w:bCs/>
                <w:color w:val="000000"/>
                <w:sz w:val="18"/>
              </w:rPr>
            </w:pPr>
            <w:r>
              <w:rPr>
                <w:rFonts w:ascii="Helvetica" w:hAnsi="Helvetica"/>
                <w:bCs/>
                <w:color w:val="000000"/>
                <w:sz w:val="18"/>
              </w:rPr>
              <w:t>72</w:t>
            </w:r>
          </w:p>
        </w:tc>
        <w:tc>
          <w:tcPr>
            <w:tcW w:w="810" w:type="dxa"/>
            <w:tcBorders>
              <w:top w:val="single" w:color="auto" w:sz="4" w:space="0"/>
              <w:left w:val="single" w:color="auto" w:sz="4" w:space="0"/>
              <w:bottom w:val="single" w:color="auto" w:sz="4" w:space="0"/>
              <w:right w:val="single" w:color="auto" w:sz="4" w:space="0"/>
            </w:tcBorders>
            <w:vAlign w:val="center"/>
          </w:tcPr>
          <w:p w:rsidRPr="00C879B4" w:rsidR="006C1F71" w:rsidP="0039364C" w:rsidRDefault="00660FAB" w14:paraId="6D1A4D26" w14:textId="77777777">
            <w:pPr>
              <w:spacing w:after="0" w:line="240" w:lineRule="auto"/>
              <w:jc w:val="center"/>
              <w:rPr>
                <w:rFonts w:ascii="Helvetica" w:hAnsi="Helvetica"/>
                <w:bCs/>
                <w:color w:val="000000"/>
                <w:sz w:val="18"/>
              </w:rPr>
            </w:pPr>
            <w:r>
              <w:rPr>
                <w:rFonts w:ascii="Helvetica" w:hAnsi="Helvetica"/>
                <w:bCs/>
                <w:color w:val="000000"/>
                <w:sz w:val="18"/>
              </w:rPr>
              <w:t>.25</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39364C" w:rsidRDefault="00660FAB" w14:paraId="250E9461" w14:textId="65F6E071">
            <w:pPr>
              <w:spacing w:after="0" w:line="240" w:lineRule="auto"/>
              <w:jc w:val="center"/>
              <w:rPr>
                <w:rFonts w:ascii="Helvetica" w:hAnsi="Helvetica"/>
                <w:bCs/>
                <w:color w:val="000000"/>
                <w:sz w:val="18"/>
              </w:rPr>
            </w:pPr>
            <w:r>
              <w:rPr>
                <w:rFonts w:ascii="Helvetica" w:hAnsi="Helvetica"/>
                <w:bCs/>
                <w:color w:val="000000"/>
                <w:sz w:val="18"/>
              </w:rPr>
              <w:t>18</w:t>
            </w:r>
          </w:p>
        </w:tc>
        <w:tc>
          <w:tcPr>
            <w:tcW w:w="990" w:type="dxa"/>
            <w:tcBorders>
              <w:top w:val="single" w:color="auto" w:sz="4" w:space="0"/>
              <w:left w:val="single" w:color="auto" w:sz="4" w:space="0"/>
              <w:bottom w:val="single" w:color="auto" w:sz="4" w:space="0"/>
              <w:right w:val="single" w:color="auto" w:sz="4" w:space="0"/>
            </w:tcBorders>
            <w:vAlign w:val="center"/>
          </w:tcPr>
          <w:p w:rsidRPr="00C879B4" w:rsidR="006C1F71" w:rsidP="0039364C" w:rsidRDefault="00B63093" w14:paraId="3B5F2488" w14:textId="77777777">
            <w:pPr>
              <w:spacing w:after="0" w:line="240" w:lineRule="auto"/>
              <w:jc w:val="center"/>
              <w:rPr>
                <w:rFonts w:ascii="Helvetica" w:hAnsi="Helvetica"/>
                <w:bCs/>
                <w:color w:val="000000"/>
                <w:sz w:val="18"/>
              </w:rPr>
            </w:pPr>
            <w:r>
              <w:rPr>
                <w:rFonts w:ascii="Helvetica" w:hAnsi="Helvetica"/>
                <w:bCs/>
                <w:color w:val="000000"/>
                <w:sz w:val="18"/>
              </w:rPr>
              <w:t>$</w:t>
            </w:r>
            <w:r w:rsidR="00660FAB">
              <w:rPr>
                <w:rFonts w:ascii="Helvetica" w:hAnsi="Helvetica"/>
                <w:bCs/>
                <w:color w:val="000000"/>
                <w:sz w:val="18"/>
              </w:rPr>
              <w:t>57.</w:t>
            </w:r>
            <w:r w:rsidR="000659D1">
              <w:rPr>
                <w:rFonts w:ascii="Helvetica" w:hAnsi="Helvetica"/>
                <w:bCs/>
                <w:color w:val="000000"/>
                <w:sz w:val="18"/>
              </w:rPr>
              <w:t>90</w:t>
            </w:r>
          </w:p>
        </w:tc>
        <w:tc>
          <w:tcPr>
            <w:tcW w:w="1260" w:type="dxa"/>
            <w:tcBorders>
              <w:top w:val="single" w:color="auto" w:sz="4" w:space="0"/>
              <w:left w:val="single" w:color="auto" w:sz="4" w:space="0"/>
              <w:bottom w:val="single" w:color="auto" w:sz="4" w:space="0"/>
              <w:right w:val="single" w:color="auto" w:sz="4" w:space="0"/>
            </w:tcBorders>
          </w:tcPr>
          <w:p w:rsidR="0039364C" w:rsidP="0039364C" w:rsidRDefault="0039364C" w14:paraId="4193DC10" w14:textId="77777777">
            <w:pPr>
              <w:spacing w:after="0" w:line="240" w:lineRule="auto"/>
              <w:jc w:val="center"/>
              <w:rPr>
                <w:rFonts w:ascii="Helvetica" w:hAnsi="Helvetica"/>
                <w:bCs/>
                <w:color w:val="000000"/>
                <w:sz w:val="18"/>
              </w:rPr>
            </w:pPr>
          </w:p>
          <w:p w:rsidRPr="00C879B4" w:rsidR="006C1F71" w:rsidP="0039364C" w:rsidRDefault="00B63093" w14:paraId="4C094056" w14:textId="608DF8EF">
            <w:pPr>
              <w:spacing w:after="0" w:line="240" w:lineRule="auto"/>
              <w:jc w:val="center"/>
              <w:rPr>
                <w:rFonts w:ascii="Helvetica" w:hAnsi="Helvetica"/>
                <w:bCs/>
                <w:color w:val="000000"/>
                <w:sz w:val="18"/>
              </w:rPr>
            </w:pPr>
            <w:r>
              <w:rPr>
                <w:rFonts w:ascii="Helvetica" w:hAnsi="Helvetica"/>
                <w:bCs/>
                <w:color w:val="000000"/>
                <w:sz w:val="18"/>
              </w:rPr>
              <w:t>$</w:t>
            </w:r>
            <w:r w:rsidR="000659D1">
              <w:rPr>
                <w:rFonts w:ascii="Helvetica" w:hAnsi="Helvetica"/>
                <w:bCs/>
                <w:color w:val="000000"/>
                <w:sz w:val="18"/>
              </w:rPr>
              <w:t>1,042.20</w:t>
            </w:r>
          </w:p>
        </w:tc>
      </w:tr>
      <w:tr w:rsidRPr="00C879B4" w:rsidR="00294E98" w:rsidTr="000A357C" w14:paraId="1C530E52" w14:textId="77777777">
        <w:tblPrEx>
          <w:tblLook w:val="0000" w:firstRow="0" w:lastRow="0" w:firstColumn="0" w:lastColumn="0" w:noHBand="0" w:noVBand="0"/>
        </w:tblPrEx>
        <w:tc>
          <w:tcPr>
            <w:tcW w:w="1350" w:type="dxa"/>
            <w:tcBorders>
              <w:top w:val="single" w:color="auto" w:sz="4" w:space="0"/>
              <w:left w:val="single" w:color="auto" w:sz="4" w:space="0"/>
              <w:bottom w:val="single" w:color="auto" w:sz="4" w:space="0"/>
              <w:right w:val="single" w:color="auto" w:sz="4" w:space="0"/>
            </w:tcBorders>
            <w:vAlign w:val="center"/>
          </w:tcPr>
          <w:p w:rsidRPr="00C879B4" w:rsidR="00294E98" w:rsidP="00B106EA" w:rsidRDefault="00F80921" w14:paraId="0AE9F81A" w14:textId="0CBB62A2">
            <w:pPr>
              <w:rPr>
                <w:rFonts w:ascii="Helvetica" w:hAnsi="Helvetica"/>
                <w:bCs/>
                <w:color w:val="000000"/>
                <w:sz w:val="18"/>
              </w:rPr>
            </w:pPr>
            <w:r w:rsidRPr="00F61EAD">
              <w:rPr>
                <w:rFonts w:ascii="Helvetica" w:hAnsi="Helvetica"/>
                <w:b/>
                <w:color w:val="000000"/>
                <w:sz w:val="16"/>
                <w:szCs w:val="16"/>
              </w:rPr>
              <w:t>Business or other for-profit</w:t>
            </w:r>
          </w:p>
        </w:tc>
        <w:tc>
          <w:tcPr>
            <w:tcW w:w="1350" w:type="dxa"/>
            <w:tcBorders>
              <w:top w:val="single" w:color="auto" w:sz="4" w:space="0"/>
              <w:left w:val="single" w:color="auto" w:sz="4" w:space="0"/>
              <w:bottom w:val="single" w:color="auto" w:sz="4" w:space="0"/>
              <w:right w:val="single" w:color="auto" w:sz="4" w:space="0"/>
            </w:tcBorders>
            <w:shd w:val="clear" w:color="auto" w:fill="D9D9D9"/>
          </w:tcPr>
          <w:p w:rsidR="0039364C" w:rsidP="0039364C" w:rsidRDefault="0039364C" w14:paraId="21E81C2F" w14:textId="77777777">
            <w:pPr>
              <w:spacing w:after="0" w:line="240" w:lineRule="auto"/>
              <w:jc w:val="center"/>
              <w:rPr>
                <w:rFonts w:ascii="Helvetica" w:hAnsi="Helvetica"/>
                <w:bCs/>
                <w:color w:val="000000"/>
                <w:sz w:val="18"/>
              </w:rPr>
            </w:pPr>
          </w:p>
          <w:p w:rsidRPr="0039364C" w:rsidR="00294E98" w:rsidP="0039364C" w:rsidRDefault="00A448DA" w14:paraId="4CDFA77B" w14:textId="41C28DA9">
            <w:pPr>
              <w:spacing w:after="0" w:line="240" w:lineRule="auto"/>
              <w:jc w:val="center"/>
              <w:rPr>
                <w:rFonts w:ascii="Helvetica" w:hAnsi="Helvetica"/>
                <w:b/>
                <w:color w:val="000000"/>
                <w:sz w:val="18"/>
              </w:rPr>
            </w:pPr>
            <w:r w:rsidRPr="0039364C">
              <w:rPr>
                <w:rFonts w:ascii="Helvetica" w:hAnsi="Helvetica"/>
                <w:b/>
                <w:color w:val="000000"/>
                <w:sz w:val="18"/>
              </w:rPr>
              <w:t>HUD-2</w:t>
            </w:r>
            <w:r w:rsidR="00F80921">
              <w:rPr>
                <w:rFonts w:ascii="Helvetica" w:hAnsi="Helvetica"/>
                <w:b/>
                <w:color w:val="000000"/>
                <w:sz w:val="18"/>
              </w:rPr>
              <w:t>747</w:t>
            </w: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294E98" w:rsidP="0039364C" w:rsidRDefault="00E01D32" w14:paraId="3B28EFB4" w14:textId="1154C22B">
            <w:pPr>
              <w:spacing w:after="0" w:line="240" w:lineRule="auto"/>
              <w:jc w:val="center"/>
              <w:rPr>
                <w:rFonts w:ascii="Helvetica" w:hAnsi="Helvetica"/>
                <w:bCs/>
                <w:color w:val="000000"/>
                <w:sz w:val="18"/>
              </w:rPr>
            </w:pPr>
            <w:r>
              <w:rPr>
                <w:rFonts w:ascii="Helvetica" w:hAnsi="Helvetica"/>
                <w:bCs/>
                <w:color w:val="000000"/>
                <w:sz w:val="18"/>
              </w:rPr>
              <w:t>72</w:t>
            </w:r>
          </w:p>
        </w:tc>
        <w:tc>
          <w:tcPr>
            <w:tcW w:w="990" w:type="dxa"/>
            <w:tcBorders>
              <w:top w:val="single" w:color="auto" w:sz="4" w:space="0"/>
              <w:left w:val="single" w:color="auto" w:sz="4" w:space="0"/>
              <w:bottom w:val="single" w:color="auto" w:sz="4" w:space="0"/>
              <w:right w:val="single" w:color="auto" w:sz="4" w:space="0"/>
            </w:tcBorders>
            <w:vAlign w:val="center"/>
          </w:tcPr>
          <w:p w:rsidRPr="00C879B4" w:rsidR="00294E98" w:rsidP="0039364C" w:rsidRDefault="000A357C" w14:paraId="2C8093F3" w14:textId="77777777">
            <w:pPr>
              <w:spacing w:after="0" w:line="240" w:lineRule="auto"/>
              <w:jc w:val="center"/>
              <w:rPr>
                <w:rFonts w:ascii="Helvetica" w:hAnsi="Helvetica"/>
                <w:bCs/>
                <w:color w:val="000000"/>
                <w:sz w:val="18"/>
              </w:rPr>
            </w:pPr>
            <w:r>
              <w:rPr>
                <w:rFonts w:ascii="Helvetica" w:hAnsi="Helvetica"/>
                <w:bCs/>
                <w:color w:val="000000"/>
                <w:sz w:val="18"/>
              </w:rPr>
              <w:t>1</w:t>
            </w: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294E98" w:rsidP="0039364C" w:rsidRDefault="00D90CEF" w14:paraId="5BB896A9" w14:textId="539E4D77">
            <w:pPr>
              <w:spacing w:after="0" w:line="240" w:lineRule="auto"/>
              <w:jc w:val="center"/>
              <w:rPr>
                <w:rFonts w:ascii="Helvetica" w:hAnsi="Helvetica"/>
                <w:bCs/>
                <w:color w:val="000000"/>
                <w:sz w:val="18"/>
              </w:rPr>
            </w:pPr>
            <w:r>
              <w:rPr>
                <w:rFonts w:ascii="Helvetica" w:hAnsi="Helvetica"/>
                <w:bCs/>
                <w:color w:val="000000"/>
                <w:sz w:val="18"/>
              </w:rPr>
              <w:t>72</w:t>
            </w:r>
          </w:p>
        </w:tc>
        <w:tc>
          <w:tcPr>
            <w:tcW w:w="810" w:type="dxa"/>
            <w:tcBorders>
              <w:top w:val="single" w:color="auto" w:sz="4" w:space="0"/>
              <w:left w:val="single" w:color="auto" w:sz="4" w:space="0"/>
              <w:bottom w:val="single" w:color="auto" w:sz="4" w:space="0"/>
              <w:right w:val="single" w:color="auto" w:sz="4" w:space="0"/>
            </w:tcBorders>
            <w:vAlign w:val="center"/>
          </w:tcPr>
          <w:p w:rsidRPr="00C879B4" w:rsidR="00294E98" w:rsidP="0039364C" w:rsidRDefault="00202AAA" w14:paraId="5378B2E0" w14:textId="3F251226">
            <w:pPr>
              <w:spacing w:after="0" w:line="240" w:lineRule="auto"/>
              <w:jc w:val="center"/>
              <w:rPr>
                <w:rFonts w:ascii="Helvetica" w:hAnsi="Helvetica"/>
                <w:bCs/>
                <w:color w:val="000000"/>
                <w:sz w:val="18"/>
              </w:rPr>
            </w:pPr>
            <w:r>
              <w:rPr>
                <w:rFonts w:ascii="Helvetica" w:hAnsi="Helvetica"/>
                <w:bCs/>
                <w:color w:val="000000"/>
                <w:sz w:val="18"/>
              </w:rPr>
              <w:t>1</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294E98" w:rsidP="0039364C" w:rsidRDefault="002056E1" w14:paraId="58732147" w14:textId="37155E18">
            <w:pPr>
              <w:spacing w:after="0" w:line="240" w:lineRule="auto"/>
              <w:jc w:val="center"/>
              <w:rPr>
                <w:rFonts w:ascii="Helvetica" w:hAnsi="Helvetica"/>
                <w:bCs/>
                <w:color w:val="000000"/>
                <w:sz w:val="18"/>
              </w:rPr>
            </w:pPr>
            <w:r>
              <w:rPr>
                <w:rFonts w:ascii="Helvetica" w:hAnsi="Helvetica"/>
                <w:bCs/>
                <w:color w:val="000000"/>
                <w:sz w:val="18"/>
              </w:rPr>
              <w:t>72</w:t>
            </w:r>
          </w:p>
        </w:tc>
        <w:tc>
          <w:tcPr>
            <w:tcW w:w="990" w:type="dxa"/>
            <w:tcBorders>
              <w:top w:val="single" w:color="auto" w:sz="4" w:space="0"/>
              <w:left w:val="single" w:color="auto" w:sz="4" w:space="0"/>
              <w:bottom w:val="single" w:color="auto" w:sz="4" w:space="0"/>
              <w:right w:val="single" w:color="auto" w:sz="4" w:space="0"/>
            </w:tcBorders>
            <w:vAlign w:val="center"/>
          </w:tcPr>
          <w:p w:rsidRPr="00C879B4" w:rsidR="00294E98" w:rsidP="0039364C" w:rsidRDefault="00663E28" w14:paraId="53D07BD4" w14:textId="5527036E">
            <w:pPr>
              <w:spacing w:after="0" w:line="240" w:lineRule="auto"/>
              <w:jc w:val="center"/>
              <w:rPr>
                <w:rFonts w:ascii="Helvetica" w:hAnsi="Helvetica"/>
                <w:bCs/>
                <w:color w:val="000000"/>
                <w:sz w:val="18"/>
              </w:rPr>
            </w:pPr>
            <w:r>
              <w:rPr>
                <w:rFonts w:ascii="Helvetica" w:hAnsi="Helvetica"/>
                <w:bCs/>
                <w:color w:val="000000"/>
                <w:sz w:val="18"/>
              </w:rPr>
              <w:t>$</w:t>
            </w:r>
            <w:r w:rsidR="00D90CEF">
              <w:rPr>
                <w:rFonts w:ascii="Helvetica" w:hAnsi="Helvetica"/>
                <w:bCs/>
                <w:color w:val="000000"/>
                <w:sz w:val="18"/>
              </w:rPr>
              <w:t>57.90</w:t>
            </w:r>
          </w:p>
        </w:tc>
        <w:tc>
          <w:tcPr>
            <w:tcW w:w="1260" w:type="dxa"/>
            <w:tcBorders>
              <w:top w:val="single" w:color="auto" w:sz="4" w:space="0"/>
              <w:left w:val="single" w:color="auto" w:sz="4" w:space="0"/>
              <w:bottom w:val="single" w:color="auto" w:sz="4" w:space="0"/>
              <w:right w:val="single" w:color="auto" w:sz="4" w:space="0"/>
            </w:tcBorders>
          </w:tcPr>
          <w:p w:rsidR="0039364C" w:rsidP="0039364C" w:rsidRDefault="0039364C" w14:paraId="7FA41F48" w14:textId="77777777">
            <w:pPr>
              <w:spacing w:after="0" w:line="240" w:lineRule="auto"/>
              <w:jc w:val="center"/>
              <w:rPr>
                <w:rFonts w:ascii="Helvetica" w:hAnsi="Helvetica"/>
                <w:bCs/>
                <w:color w:val="000000"/>
                <w:sz w:val="18"/>
              </w:rPr>
            </w:pPr>
          </w:p>
          <w:p w:rsidRPr="00C879B4" w:rsidR="00294E98" w:rsidP="0039364C" w:rsidRDefault="00B63093" w14:paraId="002B6875" w14:textId="4C0B3B52">
            <w:pPr>
              <w:spacing w:after="0" w:line="240" w:lineRule="auto"/>
              <w:jc w:val="center"/>
              <w:rPr>
                <w:rFonts w:ascii="Helvetica" w:hAnsi="Helvetica"/>
                <w:bCs/>
                <w:color w:val="000000"/>
                <w:sz w:val="18"/>
              </w:rPr>
            </w:pPr>
            <w:r>
              <w:rPr>
                <w:rFonts w:ascii="Helvetica" w:hAnsi="Helvetica"/>
                <w:bCs/>
                <w:color w:val="000000"/>
                <w:sz w:val="18"/>
              </w:rPr>
              <w:t>$</w:t>
            </w:r>
            <w:r w:rsidR="0081644B">
              <w:rPr>
                <w:rFonts w:ascii="Helvetica" w:hAnsi="Helvetica"/>
                <w:bCs/>
                <w:color w:val="000000"/>
                <w:sz w:val="18"/>
              </w:rPr>
              <w:t>4,168.80</w:t>
            </w:r>
          </w:p>
        </w:tc>
      </w:tr>
      <w:tr w:rsidRPr="00C879B4" w:rsidR="003F521B" w:rsidTr="000A357C" w14:paraId="56E17A85" w14:textId="77777777">
        <w:tblPrEx>
          <w:tblLook w:val="0000" w:firstRow="0" w:lastRow="0" w:firstColumn="0" w:lastColumn="0" w:noHBand="0" w:noVBand="0"/>
        </w:tblPrEx>
        <w:tc>
          <w:tcPr>
            <w:tcW w:w="1350" w:type="dxa"/>
            <w:tcBorders>
              <w:top w:val="single" w:color="auto" w:sz="4" w:space="0"/>
              <w:left w:val="single" w:color="auto" w:sz="4" w:space="0"/>
              <w:bottom w:val="single" w:color="auto" w:sz="4" w:space="0"/>
              <w:right w:val="single" w:color="auto" w:sz="4" w:space="0"/>
            </w:tcBorders>
            <w:vAlign w:val="center"/>
          </w:tcPr>
          <w:p w:rsidRPr="0059471D" w:rsidR="003F521B" w:rsidP="00B106EA" w:rsidRDefault="00F80921" w14:paraId="7CD0A7C0" w14:textId="6C94C0F5">
            <w:pPr>
              <w:rPr>
                <w:rFonts w:ascii="Helvetica" w:hAnsi="Helvetica"/>
                <w:b/>
                <w:color w:val="000000"/>
                <w:sz w:val="16"/>
                <w:szCs w:val="16"/>
              </w:rPr>
            </w:pPr>
            <w:r w:rsidRPr="00F61EAD">
              <w:rPr>
                <w:rFonts w:ascii="Helvetica" w:hAnsi="Helvetica"/>
                <w:b/>
                <w:color w:val="000000"/>
                <w:sz w:val="16"/>
                <w:szCs w:val="16"/>
              </w:rPr>
              <w:t>Business or other for-profit</w:t>
            </w:r>
          </w:p>
        </w:tc>
        <w:tc>
          <w:tcPr>
            <w:tcW w:w="1350" w:type="dxa"/>
            <w:tcBorders>
              <w:top w:val="single" w:color="auto" w:sz="4" w:space="0"/>
              <w:left w:val="single" w:color="auto" w:sz="4" w:space="0"/>
              <w:bottom w:val="single" w:color="auto" w:sz="4" w:space="0"/>
              <w:right w:val="single" w:color="auto" w:sz="4" w:space="0"/>
            </w:tcBorders>
            <w:shd w:val="clear" w:color="auto" w:fill="D9D9D9"/>
          </w:tcPr>
          <w:p w:rsidR="003F521B" w:rsidP="0039364C" w:rsidRDefault="003F521B" w14:paraId="174876D2" w14:textId="77777777">
            <w:pPr>
              <w:spacing w:after="0" w:line="240" w:lineRule="auto"/>
              <w:jc w:val="center"/>
              <w:rPr>
                <w:rFonts w:ascii="Helvetica" w:hAnsi="Helvetica"/>
                <w:bCs/>
                <w:color w:val="000000"/>
                <w:sz w:val="18"/>
              </w:rPr>
            </w:pPr>
          </w:p>
          <w:p w:rsidR="00F80921" w:rsidP="0039364C" w:rsidRDefault="00F80921" w14:paraId="6BC06D47" w14:textId="4B510864">
            <w:pPr>
              <w:spacing w:after="0" w:line="240" w:lineRule="auto"/>
              <w:jc w:val="center"/>
              <w:rPr>
                <w:rFonts w:ascii="Helvetica" w:hAnsi="Helvetica"/>
                <w:bCs/>
                <w:color w:val="000000"/>
                <w:sz w:val="18"/>
              </w:rPr>
            </w:pPr>
            <w:r>
              <w:rPr>
                <w:rFonts w:ascii="Helvetica" w:hAnsi="Helvetica"/>
                <w:bCs/>
                <w:color w:val="000000"/>
                <w:sz w:val="18"/>
              </w:rPr>
              <w:t>HUD-1044D</w:t>
            </w: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003F521B" w:rsidP="0039364C" w:rsidRDefault="00E01D32" w14:paraId="502D38CC" w14:textId="3582D12B">
            <w:pPr>
              <w:spacing w:after="0" w:line="240" w:lineRule="auto"/>
              <w:jc w:val="center"/>
              <w:rPr>
                <w:rFonts w:ascii="Helvetica" w:hAnsi="Helvetica"/>
                <w:bCs/>
                <w:color w:val="000000"/>
                <w:sz w:val="18"/>
              </w:rPr>
            </w:pPr>
            <w:r>
              <w:rPr>
                <w:rFonts w:ascii="Helvetica" w:hAnsi="Helvetica"/>
                <w:bCs/>
                <w:color w:val="000000"/>
                <w:sz w:val="18"/>
              </w:rPr>
              <w:t>72</w:t>
            </w:r>
          </w:p>
        </w:tc>
        <w:tc>
          <w:tcPr>
            <w:tcW w:w="990" w:type="dxa"/>
            <w:tcBorders>
              <w:top w:val="single" w:color="auto" w:sz="4" w:space="0"/>
              <w:left w:val="single" w:color="auto" w:sz="4" w:space="0"/>
              <w:bottom w:val="single" w:color="auto" w:sz="4" w:space="0"/>
              <w:right w:val="single" w:color="auto" w:sz="4" w:space="0"/>
            </w:tcBorders>
            <w:vAlign w:val="center"/>
          </w:tcPr>
          <w:p w:rsidR="003F521B" w:rsidP="0039364C" w:rsidRDefault="00D90CEF" w14:paraId="71E8DB9F" w14:textId="6616CC60">
            <w:pPr>
              <w:spacing w:after="0" w:line="240" w:lineRule="auto"/>
              <w:jc w:val="center"/>
              <w:rPr>
                <w:rFonts w:ascii="Helvetica" w:hAnsi="Helvetica"/>
                <w:bCs/>
                <w:color w:val="000000"/>
                <w:sz w:val="18"/>
              </w:rPr>
            </w:pPr>
            <w:r>
              <w:rPr>
                <w:rFonts w:ascii="Helvetica" w:hAnsi="Helvetica"/>
                <w:bCs/>
                <w:color w:val="000000"/>
                <w:sz w:val="18"/>
              </w:rPr>
              <w:t>1</w:t>
            </w: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003F521B" w:rsidP="0039364C" w:rsidRDefault="00D90CEF" w14:paraId="0D3E6A16" w14:textId="7D412179">
            <w:pPr>
              <w:spacing w:after="0" w:line="240" w:lineRule="auto"/>
              <w:jc w:val="center"/>
              <w:rPr>
                <w:rFonts w:ascii="Helvetica" w:hAnsi="Helvetica"/>
                <w:bCs/>
                <w:color w:val="000000"/>
                <w:sz w:val="18"/>
              </w:rPr>
            </w:pPr>
            <w:r>
              <w:rPr>
                <w:rFonts w:ascii="Helvetica" w:hAnsi="Helvetica"/>
                <w:bCs/>
                <w:color w:val="000000"/>
                <w:sz w:val="18"/>
              </w:rPr>
              <w:t>72</w:t>
            </w:r>
          </w:p>
        </w:tc>
        <w:tc>
          <w:tcPr>
            <w:tcW w:w="810" w:type="dxa"/>
            <w:tcBorders>
              <w:top w:val="single" w:color="auto" w:sz="4" w:space="0"/>
              <w:left w:val="single" w:color="auto" w:sz="4" w:space="0"/>
              <w:bottom w:val="single" w:color="auto" w:sz="4" w:space="0"/>
              <w:right w:val="single" w:color="auto" w:sz="4" w:space="0"/>
            </w:tcBorders>
            <w:vAlign w:val="center"/>
          </w:tcPr>
          <w:p w:rsidRPr="00917C68" w:rsidR="003F521B" w:rsidP="0039364C" w:rsidRDefault="00795B2C" w14:paraId="2E788345" w14:textId="5FEF426A">
            <w:pPr>
              <w:spacing w:after="0" w:line="240" w:lineRule="auto"/>
              <w:jc w:val="center"/>
              <w:rPr>
                <w:rFonts w:ascii="Helvetica" w:hAnsi="Helvetica"/>
                <w:bCs/>
                <w:color w:val="000000"/>
                <w:sz w:val="18"/>
              </w:rPr>
            </w:pPr>
            <w:r w:rsidRPr="00917C68">
              <w:rPr>
                <w:rFonts w:ascii="Helvetica" w:hAnsi="Helvetica"/>
                <w:bCs/>
                <w:color w:val="000000"/>
                <w:sz w:val="18"/>
              </w:rPr>
              <w:t>,</w:t>
            </w:r>
            <w:r w:rsidRPr="00917C68" w:rsidR="00555F47">
              <w:rPr>
                <w:rFonts w:ascii="Helvetica" w:hAnsi="Helvetica"/>
                <w:bCs/>
                <w:color w:val="000000"/>
                <w:sz w:val="18"/>
              </w:rPr>
              <w:t>5</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917C68" w:rsidR="003F521B" w:rsidP="0039364C" w:rsidRDefault="0036174F" w14:paraId="6050A729" w14:textId="3CC5236F">
            <w:pPr>
              <w:spacing w:after="0" w:line="240" w:lineRule="auto"/>
              <w:jc w:val="center"/>
              <w:rPr>
                <w:rFonts w:ascii="Helvetica" w:hAnsi="Helvetica"/>
                <w:bCs/>
                <w:color w:val="000000"/>
                <w:sz w:val="18"/>
              </w:rPr>
            </w:pPr>
            <w:r w:rsidRPr="00917C68">
              <w:rPr>
                <w:rFonts w:ascii="Helvetica" w:hAnsi="Helvetica"/>
                <w:bCs/>
                <w:color w:val="000000"/>
                <w:sz w:val="18"/>
              </w:rPr>
              <w:t>36</w:t>
            </w:r>
          </w:p>
        </w:tc>
        <w:tc>
          <w:tcPr>
            <w:tcW w:w="990" w:type="dxa"/>
            <w:tcBorders>
              <w:top w:val="single" w:color="auto" w:sz="4" w:space="0"/>
              <w:left w:val="single" w:color="auto" w:sz="4" w:space="0"/>
              <w:bottom w:val="single" w:color="auto" w:sz="4" w:space="0"/>
              <w:right w:val="single" w:color="auto" w:sz="4" w:space="0"/>
            </w:tcBorders>
            <w:vAlign w:val="center"/>
          </w:tcPr>
          <w:p w:rsidRPr="00917C68" w:rsidR="003F521B" w:rsidP="0039364C" w:rsidRDefault="00A9355C" w14:paraId="1129B979" w14:textId="7E06870C">
            <w:pPr>
              <w:spacing w:after="0" w:line="240" w:lineRule="auto"/>
              <w:jc w:val="center"/>
              <w:rPr>
                <w:rFonts w:ascii="Helvetica" w:hAnsi="Helvetica"/>
                <w:bCs/>
                <w:color w:val="000000"/>
                <w:sz w:val="18"/>
              </w:rPr>
            </w:pPr>
            <w:r w:rsidRPr="00917C68">
              <w:rPr>
                <w:rFonts w:ascii="Helvetica" w:hAnsi="Helvetica"/>
                <w:bCs/>
                <w:color w:val="000000"/>
                <w:sz w:val="18"/>
              </w:rPr>
              <w:t>$57.90</w:t>
            </w:r>
          </w:p>
        </w:tc>
        <w:tc>
          <w:tcPr>
            <w:tcW w:w="1260" w:type="dxa"/>
            <w:tcBorders>
              <w:top w:val="single" w:color="auto" w:sz="4" w:space="0"/>
              <w:left w:val="single" w:color="auto" w:sz="4" w:space="0"/>
              <w:bottom w:val="single" w:color="auto" w:sz="4" w:space="0"/>
              <w:right w:val="single" w:color="auto" w:sz="4" w:space="0"/>
            </w:tcBorders>
          </w:tcPr>
          <w:p w:rsidRPr="00917C68" w:rsidR="003F521B" w:rsidP="0039364C" w:rsidRDefault="003F521B" w14:paraId="50EB0BDA" w14:textId="77777777">
            <w:pPr>
              <w:spacing w:after="0" w:line="240" w:lineRule="auto"/>
              <w:jc w:val="center"/>
              <w:rPr>
                <w:rFonts w:ascii="Helvetica" w:hAnsi="Helvetica"/>
                <w:bCs/>
                <w:color w:val="000000"/>
                <w:sz w:val="18"/>
              </w:rPr>
            </w:pPr>
          </w:p>
          <w:p w:rsidRPr="00917C68" w:rsidR="00795B2C" w:rsidP="0039364C" w:rsidRDefault="00795B2C" w14:paraId="08BD07D0" w14:textId="3A7992AD">
            <w:pPr>
              <w:spacing w:after="0" w:line="240" w:lineRule="auto"/>
              <w:jc w:val="center"/>
              <w:rPr>
                <w:rFonts w:ascii="Helvetica" w:hAnsi="Helvetica"/>
                <w:bCs/>
                <w:color w:val="000000"/>
                <w:sz w:val="18"/>
              </w:rPr>
            </w:pPr>
            <w:r w:rsidRPr="00917C68">
              <w:rPr>
                <w:rFonts w:ascii="Helvetica" w:hAnsi="Helvetica"/>
                <w:bCs/>
                <w:color w:val="000000"/>
                <w:sz w:val="18"/>
              </w:rPr>
              <w:t>$</w:t>
            </w:r>
            <w:r w:rsidRPr="00917C68" w:rsidR="0036174F">
              <w:rPr>
                <w:rFonts w:ascii="Helvetica" w:hAnsi="Helvetica"/>
                <w:bCs/>
                <w:color w:val="000000"/>
                <w:sz w:val="18"/>
              </w:rPr>
              <w:t>2,084.40</w:t>
            </w:r>
          </w:p>
        </w:tc>
      </w:tr>
      <w:tr w:rsidRPr="00C879B4" w:rsidR="00022170" w:rsidTr="00236664" w14:paraId="37A0535F" w14:textId="77777777">
        <w:tblPrEx>
          <w:tblLook w:val="0000" w:firstRow="0" w:lastRow="0" w:firstColumn="0" w:lastColumn="0" w:noHBand="0" w:noVBand="0"/>
        </w:tblPrEx>
        <w:tc>
          <w:tcPr>
            <w:tcW w:w="1350" w:type="dxa"/>
            <w:tcBorders>
              <w:top w:val="single" w:color="auto" w:sz="4" w:space="0"/>
              <w:left w:val="single" w:color="auto" w:sz="4" w:space="0"/>
              <w:bottom w:val="single" w:color="auto" w:sz="4" w:space="0"/>
              <w:right w:val="single" w:color="auto" w:sz="4" w:space="0"/>
            </w:tcBorders>
            <w:vAlign w:val="center"/>
          </w:tcPr>
          <w:p w:rsidRPr="00F61EAD" w:rsidR="00022170" w:rsidP="00B106EA" w:rsidRDefault="00E01D32" w14:paraId="53CB1956" w14:textId="1FB2120C">
            <w:pPr>
              <w:rPr>
                <w:rFonts w:ascii="Helvetica" w:hAnsi="Helvetica"/>
                <w:b/>
                <w:color w:val="000000"/>
                <w:sz w:val="16"/>
                <w:szCs w:val="16"/>
              </w:rPr>
            </w:pPr>
            <w:bookmarkStart w:name="_Hlk52526753" w:id="0"/>
            <w:r>
              <w:rPr>
                <w:rFonts w:ascii="Helvetica" w:hAnsi="Helvetica"/>
                <w:b/>
                <w:bCs/>
                <w:color w:val="000000"/>
                <w:sz w:val="18"/>
              </w:rPr>
              <w:t>Sub-Totals</w:t>
            </w:r>
          </w:p>
        </w:tc>
        <w:tc>
          <w:tcPr>
            <w:tcW w:w="1350" w:type="dxa"/>
            <w:tcBorders>
              <w:top w:val="single" w:color="auto" w:sz="4" w:space="0"/>
              <w:left w:val="single" w:color="auto" w:sz="4" w:space="0"/>
              <w:bottom w:val="single" w:color="auto" w:sz="4" w:space="0"/>
              <w:right w:val="single" w:color="auto" w:sz="4" w:space="0"/>
            </w:tcBorders>
            <w:shd w:val="clear" w:color="auto" w:fill="000000" w:themeFill="text1"/>
          </w:tcPr>
          <w:p w:rsidRPr="00236664" w:rsidR="00022170" w:rsidP="0039364C" w:rsidRDefault="00022170" w14:paraId="3197DB13" w14:textId="77777777">
            <w:pPr>
              <w:spacing w:after="0" w:line="240" w:lineRule="auto"/>
              <w:jc w:val="center"/>
              <w:rPr>
                <w:rFonts w:ascii="Helvetica" w:hAnsi="Helvetica"/>
                <w:bCs/>
                <w:sz w:val="18"/>
              </w:rPr>
            </w:pP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00022170" w:rsidP="0039364C" w:rsidRDefault="00E01D32" w14:paraId="29BC31C9" w14:textId="545FE2E2">
            <w:pPr>
              <w:spacing w:after="0" w:line="240" w:lineRule="auto"/>
              <w:jc w:val="center"/>
              <w:rPr>
                <w:rFonts w:ascii="Helvetica" w:hAnsi="Helvetica"/>
                <w:bCs/>
                <w:color w:val="000000"/>
                <w:sz w:val="18"/>
              </w:rPr>
            </w:pPr>
            <w:r>
              <w:rPr>
                <w:rFonts w:ascii="Helvetica" w:hAnsi="Helvetica"/>
                <w:bCs/>
                <w:color w:val="000000"/>
                <w:sz w:val="18"/>
              </w:rPr>
              <w:t>72</w:t>
            </w:r>
          </w:p>
        </w:tc>
        <w:tc>
          <w:tcPr>
            <w:tcW w:w="99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00022170" w:rsidP="0039364C" w:rsidRDefault="00022170" w14:paraId="33CEA33E" w14:textId="590C6CF0">
            <w:pPr>
              <w:spacing w:after="0" w:line="240" w:lineRule="auto"/>
              <w:jc w:val="center"/>
              <w:rPr>
                <w:rFonts w:ascii="Helvetica" w:hAnsi="Helvetica"/>
                <w:bCs/>
                <w:color w:val="000000"/>
                <w:sz w:val="18"/>
              </w:rPr>
            </w:pP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00022170" w:rsidP="0039364C" w:rsidRDefault="00AB08F4" w14:paraId="19595658" w14:textId="26E3D369">
            <w:pPr>
              <w:spacing w:after="0" w:line="240" w:lineRule="auto"/>
              <w:jc w:val="center"/>
              <w:rPr>
                <w:rFonts w:ascii="Helvetica" w:hAnsi="Helvetica"/>
                <w:bCs/>
                <w:color w:val="000000"/>
                <w:sz w:val="18"/>
              </w:rPr>
            </w:pPr>
            <w:r>
              <w:rPr>
                <w:rFonts w:ascii="Helvetica" w:hAnsi="Helvetica"/>
                <w:bCs/>
                <w:color w:val="000000"/>
                <w:sz w:val="18"/>
              </w:rPr>
              <w:t>72</w:t>
            </w:r>
          </w:p>
        </w:tc>
        <w:tc>
          <w:tcPr>
            <w:tcW w:w="81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917C68" w:rsidR="00022170" w:rsidP="0039364C" w:rsidRDefault="00022170" w14:paraId="13523920" w14:textId="77777777">
            <w:pPr>
              <w:spacing w:after="0" w:line="240" w:lineRule="auto"/>
              <w:jc w:val="center"/>
              <w:rPr>
                <w:rFonts w:ascii="Helvetica" w:hAnsi="Helvetica"/>
                <w:bCs/>
                <w:color w:val="000000"/>
                <w:sz w:val="18"/>
              </w:rPr>
            </w:pP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917C68" w:rsidR="00022170" w:rsidP="0039364C" w:rsidRDefault="00336B6C" w14:paraId="54663B38" w14:textId="00AD5DA4">
            <w:pPr>
              <w:spacing w:after="0" w:line="240" w:lineRule="auto"/>
              <w:jc w:val="center"/>
              <w:rPr>
                <w:rFonts w:ascii="Helvetica" w:hAnsi="Helvetica"/>
                <w:bCs/>
                <w:color w:val="000000"/>
                <w:sz w:val="18"/>
              </w:rPr>
            </w:pPr>
            <w:r w:rsidRPr="00917C68">
              <w:rPr>
                <w:rFonts w:ascii="Helvetica" w:hAnsi="Helvetica"/>
                <w:bCs/>
                <w:color w:val="000000"/>
                <w:sz w:val="18"/>
              </w:rPr>
              <w:t>1</w:t>
            </w:r>
            <w:r w:rsidRPr="00917C68" w:rsidR="0036174F">
              <w:rPr>
                <w:rFonts w:ascii="Helvetica" w:hAnsi="Helvetica"/>
                <w:bCs/>
                <w:color w:val="000000"/>
                <w:sz w:val="18"/>
              </w:rPr>
              <w:t>26</w:t>
            </w:r>
          </w:p>
        </w:tc>
        <w:tc>
          <w:tcPr>
            <w:tcW w:w="99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917C68" w:rsidR="00022170" w:rsidP="0039364C" w:rsidRDefault="00022170" w14:paraId="70FAAED4" w14:textId="77777777">
            <w:pPr>
              <w:spacing w:after="0" w:line="240" w:lineRule="auto"/>
              <w:jc w:val="center"/>
              <w:rPr>
                <w:rFonts w:ascii="Helvetica" w:hAnsi="Helvetica"/>
                <w:bCs/>
                <w:color w:val="000000"/>
                <w:sz w:val="18"/>
              </w:rPr>
            </w:pPr>
          </w:p>
        </w:tc>
        <w:tc>
          <w:tcPr>
            <w:tcW w:w="1260" w:type="dxa"/>
            <w:tcBorders>
              <w:top w:val="single" w:color="auto" w:sz="4" w:space="0"/>
              <w:left w:val="single" w:color="auto" w:sz="4" w:space="0"/>
              <w:bottom w:val="single" w:color="auto" w:sz="4" w:space="0"/>
              <w:right w:val="single" w:color="auto" w:sz="4" w:space="0"/>
            </w:tcBorders>
          </w:tcPr>
          <w:p w:rsidRPr="00917C68" w:rsidR="00022170" w:rsidP="0039364C" w:rsidRDefault="008E377C" w14:paraId="5C11F2E6" w14:textId="26E3C16E">
            <w:pPr>
              <w:spacing w:after="0" w:line="240" w:lineRule="auto"/>
              <w:jc w:val="center"/>
              <w:rPr>
                <w:rFonts w:ascii="Helvetica" w:hAnsi="Helvetica"/>
                <w:bCs/>
                <w:color w:val="000000"/>
                <w:sz w:val="18"/>
              </w:rPr>
            </w:pPr>
            <w:r w:rsidRPr="00917C68">
              <w:rPr>
                <w:rFonts w:ascii="Helvetica" w:hAnsi="Helvetica"/>
                <w:bCs/>
                <w:color w:val="000000"/>
                <w:sz w:val="18"/>
              </w:rPr>
              <w:t>$</w:t>
            </w:r>
            <w:r w:rsidRPr="00917C68" w:rsidR="0036174F">
              <w:rPr>
                <w:rFonts w:ascii="Helvetica" w:hAnsi="Helvetica"/>
                <w:bCs/>
                <w:color w:val="000000"/>
                <w:sz w:val="18"/>
              </w:rPr>
              <w:t>7,295.40</w:t>
            </w:r>
          </w:p>
        </w:tc>
      </w:tr>
      <w:tr w:rsidRPr="00C879B4" w:rsidR="003F521B" w:rsidTr="000A357C" w14:paraId="617C331D" w14:textId="77777777">
        <w:tblPrEx>
          <w:tblLook w:val="0000" w:firstRow="0" w:lastRow="0" w:firstColumn="0" w:lastColumn="0" w:noHBand="0" w:noVBand="0"/>
        </w:tblPrEx>
        <w:tc>
          <w:tcPr>
            <w:tcW w:w="1350" w:type="dxa"/>
            <w:tcBorders>
              <w:top w:val="single" w:color="auto" w:sz="4" w:space="0"/>
              <w:left w:val="single" w:color="auto" w:sz="4" w:space="0"/>
              <w:bottom w:val="single" w:color="auto" w:sz="4" w:space="0"/>
              <w:right w:val="single" w:color="auto" w:sz="4" w:space="0"/>
            </w:tcBorders>
            <w:vAlign w:val="center"/>
          </w:tcPr>
          <w:p w:rsidRPr="0059471D" w:rsidR="003F521B" w:rsidP="00B106EA" w:rsidRDefault="00357B58" w14:paraId="77333FD0" w14:textId="2778F47C">
            <w:pPr>
              <w:rPr>
                <w:rFonts w:ascii="Helvetica" w:hAnsi="Helvetica"/>
                <w:b/>
                <w:color w:val="000000"/>
                <w:sz w:val="16"/>
                <w:szCs w:val="16"/>
              </w:rPr>
            </w:pPr>
            <w:r w:rsidRPr="0059471D">
              <w:rPr>
                <w:rFonts w:ascii="Helvetica" w:hAnsi="Helvetica"/>
                <w:b/>
                <w:color w:val="000000"/>
                <w:sz w:val="16"/>
                <w:szCs w:val="16"/>
              </w:rPr>
              <w:lastRenderedPageBreak/>
              <w:t>State, Local or Tribal Government</w:t>
            </w:r>
          </w:p>
        </w:tc>
        <w:tc>
          <w:tcPr>
            <w:tcW w:w="1350" w:type="dxa"/>
            <w:tcBorders>
              <w:top w:val="single" w:color="auto" w:sz="4" w:space="0"/>
              <w:left w:val="single" w:color="auto" w:sz="4" w:space="0"/>
              <w:bottom w:val="single" w:color="auto" w:sz="4" w:space="0"/>
              <w:right w:val="single" w:color="auto" w:sz="4" w:space="0"/>
            </w:tcBorders>
            <w:shd w:val="clear" w:color="auto" w:fill="D9D9D9"/>
          </w:tcPr>
          <w:p w:rsidR="003F521B" w:rsidP="0039364C" w:rsidRDefault="003F521B" w14:paraId="3FB986E6" w14:textId="77777777">
            <w:pPr>
              <w:spacing w:after="0" w:line="240" w:lineRule="auto"/>
              <w:jc w:val="center"/>
              <w:rPr>
                <w:rFonts w:ascii="Helvetica" w:hAnsi="Helvetica"/>
                <w:bCs/>
                <w:color w:val="000000"/>
                <w:sz w:val="18"/>
              </w:rPr>
            </w:pPr>
          </w:p>
          <w:p w:rsidR="00F80921" w:rsidP="0039364C" w:rsidRDefault="00F80921" w14:paraId="7DD9011E" w14:textId="77FC731E">
            <w:pPr>
              <w:spacing w:after="0" w:line="240" w:lineRule="auto"/>
              <w:jc w:val="center"/>
              <w:rPr>
                <w:rFonts w:ascii="Helvetica" w:hAnsi="Helvetica"/>
                <w:bCs/>
                <w:color w:val="000000"/>
                <w:sz w:val="18"/>
              </w:rPr>
            </w:pPr>
            <w:r>
              <w:rPr>
                <w:rFonts w:ascii="Helvetica" w:hAnsi="Helvetica"/>
                <w:bCs/>
                <w:color w:val="000000"/>
                <w:sz w:val="18"/>
              </w:rPr>
              <w:t>HUD-2537</w:t>
            </w:r>
          </w:p>
          <w:p w:rsidR="00F80921" w:rsidP="0039364C" w:rsidRDefault="00F80921" w14:paraId="04240A93" w14:textId="4B790C48">
            <w:pPr>
              <w:spacing w:after="0" w:line="240" w:lineRule="auto"/>
              <w:jc w:val="center"/>
              <w:rPr>
                <w:rFonts w:ascii="Helvetica" w:hAnsi="Helvetica"/>
                <w:bCs/>
                <w:color w:val="000000"/>
                <w:sz w:val="18"/>
              </w:rPr>
            </w:pP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003F521B" w:rsidP="0039364C" w:rsidRDefault="00F80921" w14:paraId="75B64E30" w14:textId="784C7876">
            <w:pPr>
              <w:spacing w:after="0" w:line="240" w:lineRule="auto"/>
              <w:jc w:val="center"/>
              <w:rPr>
                <w:rFonts w:ascii="Helvetica" w:hAnsi="Helvetica"/>
                <w:bCs/>
                <w:color w:val="000000"/>
                <w:sz w:val="18"/>
              </w:rPr>
            </w:pPr>
            <w:r>
              <w:rPr>
                <w:rFonts w:ascii="Helvetica" w:hAnsi="Helvetica"/>
                <w:bCs/>
                <w:color w:val="000000"/>
                <w:sz w:val="18"/>
              </w:rPr>
              <w:t>38</w:t>
            </w:r>
          </w:p>
        </w:tc>
        <w:tc>
          <w:tcPr>
            <w:tcW w:w="990" w:type="dxa"/>
            <w:tcBorders>
              <w:top w:val="single" w:color="auto" w:sz="4" w:space="0"/>
              <w:left w:val="single" w:color="auto" w:sz="4" w:space="0"/>
              <w:bottom w:val="single" w:color="auto" w:sz="4" w:space="0"/>
              <w:right w:val="single" w:color="auto" w:sz="4" w:space="0"/>
            </w:tcBorders>
            <w:vAlign w:val="center"/>
          </w:tcPr>
          <w:p w:rsidR="003F521B" w:rsidP="0039364C" w:rsidRDefault="00F80921" w14:paraId="6DE28EC1" w14:textId="2AD93B9D">
            <w:pPr>
              <w:spacing w:after="0" w:line="240" w:lineRule="auto"/>
              <w:jc w:val="center"/>
              <w:rPr>
                <w:rFonts w:ascii="Helvetica" w:hAnsi="Helvetica"/>
                <w:bCs/>
                <w:color w:val="000000"/>
                <w:sz w:val="18"/>
              </w:rPr>
            </w:pPr>
            <w:r>
              <w:rPr>
                <w:rFonts w:ascii="Helvetica" w:hAnsi="Helvetica"/>
                <w:bCs/>
                <w:color w:val="000000"/>
                <w:sz w:val="18"/>
              </w:rPr>
              <w:t>1</w:t>
            </w: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003F521B" w:rsidP="0039364C" w:rsidRDefault="00F80921" w14:paraId="278B841E" w14:textId="6414C077">
            <w:pPr>
              <w:spacing w:after="0" w:line="240" w:lineRule="auto"/>
              <w:jc w:val="center"/>
              <w:rPr>
                <w:rFonts w:ascii="Helvetica" w:hAnsi="Helvetica"/>
                <w:bCs/>
                <w:color w:val="000000"/>
                <w:sz w:val="18"/>
              </w:rPr>
            </w:pPr>
            <w:r>
              <w:rPr>
                <w:rFonts w:ascii="Helvetica" w:hAnsi="Helvetica"/>
                <w:bCs/>
                <w:color w:val="000000"/>
                <w:sz w:val="18"/>
              </w:rPr>
              <w:t>38</w:t>
            </w:r>
          </w:p>
        </w:tc>
        <w:tc>
          <w:tcPr>
            <w:tcW w:w="810" w:type="dxa"/>
            <w:tcBorders>
              <w:top w:val="single" w:color="auto" w:sz="4" w:space="0"/>
              <w:left w:val="single" w:color="auto" w:sz="4" w:space="0"/>
              <w:bottom w:val="single" w:color="auto" w:sz="4" w:space="0"/>
              <w:right w:val="single" w:color="auto" w:sz="4" w:space="0"/>
            </w:tcBorders>
            <w:vAlign w:val="center"/>
          </w:tcPr>
          <w:p w:rsidR="003F521B" w:rsidP="0039364C" w:rsidRDefault="00F80921" w14:paraId="2E582C12" w14:textId="22EA0753">
            <w:pPr>
              <w:spacing w:after="0" w:line="240" w:lineRule="auto"/>
              <w:jc w:val="center"/>
              <w:rPr>
                <w:rFonts w:ascii="Helvetica" w:hAnsi="Helvetica"/>
                <w:bCs/>
                <w:color w:val="000000"/>
                <w:sz w:val="18"/>
              </w:rPr>
            </w:pPr>
            <w:r>
              <w:rPr>
                <w:rFonts w:ascii="Helvetica" w:hAnsi="Helvetica"/>
                <w:bCs/>
                <w:color w:val="000000"/>
                <w:sz w:val="18"/>
              </w:rPr>
              <w:t>.25</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003F521B" w:rsidP="0039364C" w:rsidRDefault="00336B6C" w14:paraId="079F78B9" w14:textId="568E67AF">
            <w:pPr>
              <w:spacing w:after="0" w:line="240" w:lineRule="auto"/>
              <w:jc w:val="center"/>
              <w:rPr>
                <w:rFonts w:ascii="Helvetica" w:hAnsi="Helvetica"/>
                <w:bCs/>
                <w:color w:val="000000"/>
                <w:sz w:val="18"/>
              </w:rPr>
            </w:pPr>
            <w:r>
              <w:rPr>
                <w:rFonts w:ascii="Helvetica" w:hAnsi="Helvetica"/>
                <w:bCs/>
                <w:color w:val="000000"/>
                <w:sz w:val="18"/>
              </w:rPr>
              <w:t>9.</w:t>
            </w:r>
            <w:r w:rsidR="00016461">
              <w:rPr>
                <w:rFonts w:ascii="Helvetica" w:hAnsi="Helvetica"/>
                <w:bCs/>
                <w:color w:val="000000"/>
                <w:sz w:val="18"/>
              </w:rPr>
              <w:t>50</w:t>
            </w:r>
          </w:p>
        </w:tc>
        <w:tc>
          <w:tcPr>
            <w:tcW w:w="990" w:type="dxa"/>
            <w:tcBorders>
              <w:top w:val="single" w:color="auto" w:sz="4" w:space="0"/>
              <w:left w:val="single" w:color="auto" w:sz="4" w:space="0"/>
              <w:bottom w:val="single" w:color="auto" w:sz="4" w:space="0"/>
              <w:right w:val="single" w:color="auto" w:sz="4" w:space="0"/>
            </w:tcBorders>
            <w:vAlign w:val="center"/>
          </w:tcPr>
          <w:p w:rsidR="003F521B" w:rsidP="0039364C" w:rsidRDefault="00336B6C" w14:paraId="0BE6FDF1" w14:textId="242D1CEF">
            <w:pPr>
              <w:spacing w:after="0" w:line="240" w:lineRule="auto"/>
              <w:jc w:val="center"/>
              <w:rPr>
                <w:rFonts w:ascii="Helvetica" w:hAnsi="Helvetica"/>
                <w:bCs/>
                <w:color w:val="000000"/>
                <w:sz w:val="18"/>
              </w:rPr>
            </w:pPr>
            <w:r>
              <w:rPr>
                <w:rFonts w:ascii="Helvetica" w:hAnsi="Helvetica"/>
                <w:bCs/>
                <w:color w:val="000000"/>
                <w:sz w:val="18"/>
              </w:rPr>
              <w:t>$38.61</w:t>
            </w:r>
          </w:p>
        </w:tc>
        <w:tc>
          <w:tcPr>
            <w:tcW w:w="1260" w:type="dxa"/>
            <w:tcBorders>
              <w:top w:val="single" w:color="auto" w:sz="4" w:space="0"/>
              <w:left w:val="single" w:color="auto" w:sz="4" w:space="0"/>
              <w:bottom w:val="single" w:color="auto" w:sz="4" w:space="0"/>
              <w:right w:val="single" w:color="auto" w:sz="4" w:space="0"/>
            </w:tcBorders>
          </w:tcPr>
          <w:p w:rsidR="003F521B" w:rsidP="0039364C" w:rsidRDefault="003F521B" w14:paraId="042D23AA" w14:textId="77777777">
            <w:pPr>
              <w:spacing w:after="0" w:line="240" w:lineRule="auto"/>
              <w:jc w:val="center"/>
              <w:rPr>
                <w:rFonts w:ascii="Helvetica" w:hAnsi="Helvetica"/>
                <w:bCs/>
                <w:color w:val="000000"/>
                <w:sz w:val="18"/>
              </w:rPr>
            </w:pPr>
          </w:p>
          <w:p w:rsidR="00F80921" w:rsidP="0039364C" w:rsidRDefault="00F80921" w14:paraId="5A4B5F12" w14:textId="302C82E9">
            <w:pPr>
              <w:spacing w:after="0" w:line="240" w:lineRule="auto"/>
              <w:jc w:val="center"/>
              <w:rPr>
                <w:rFonts w:ascii="Helvetica" w:hAnsi="Helvetica"/>
                <w:bCs/>
                <w:color w:val="000000"/>
                <w:sz w:val="18"/>
              </w:rPr>
            </w:pPr>
          </w:p>
          <w:p w:rsidR="00016461" w:rsidP="0039364C" w:rsidRDefault="00016461" w14:paraId="36A6F26C" w14:textId="09FDB354">
            <w:pPr>
              <w:spacing w:after="0" w:line="240" w:lineRule="auto"/>
              <w:jc w:val="center"/>
              <w:rPr>
                <w:rFonts w:ascii="Helvetica" w:hAnsi="Helvetica"/>
                <w:bCs/>
                <w:color w:val="000000"/>
                <w:sz w:val="18"/>
              </w:rPr>
            </w:pPr>
            <w:r>
              <w:rPr>
                <w:rFonts w:ascii="Helvetica" w:hAnsi="Helvetica"/>
                <w:bCs/>
                <w:color w:val="000000"/>
                <w:sz w:val="18"/>
              </w:rPr>
              <w:t>$</w:t>
            </w:r>
            <w:r w:rsidR="00167051">
              <w:rPr>
                <w:rFonts w:ascii="Helvetica" w:hAnsi="Helvetica"/>
                <w:bCs/>
                <w:color w:val="000000"/>
                <w:sz w:val="18"/>
              </w:rPr>
              <w:t>366.80</w:t>
            </w:r>
          </w:p>
          <w:p w:rsidR="00F80921" w:rsidP="0039364C" w:rsidRDefault="00F80921" w14:paraId="37A8CAE3" w14:textId="3CAA0731">
            <w:pPr>
              <w:spacing w:after="0" w:line="240" w:lineRule="auto"/>
              <w:jc w:val="center"/>
              <w:rPr>
                <w:rFonts w:ascii="Helvetica" w:hAnsi="Helvetica"/>
                <w:bCs/>
                <w:color w:val="000000"/>
                <w:sz w:val="18"/>
              </w:rPr>
            </w:pPr>
          </w:p>
        </w:tc>
      </w:tr>
      <w:tr w:rsidRPr="00C879B4" w:rsidR="003F521B" w:rsidTr="000A357C" w14:paraId="120C3D17" w14:textId="77777777">
        <w:tblPrEx>
          <w:tblLook w:val="0000" w:firstRow="0" w:lastRow="0" w:firstColumn="0" w:lastColumn="0" w:noHBand="0" w:noVBand="0"/>
        </w:tblPrEx>
        <w:tc>
          <w:tcPr>
            <w:tcW w:w="1350" w:type="dxa"/>
            <w:tcBorders>
              <w:top w:val="single" w:color="auto" w:sz="4" w:space="0"/>
              <w:left w:val="single" w:color="auto" w:sz="4" w:space="0"/>
              <w:bottom w:val="single" w:color="auto" w:sz="4" w:space="0"/>
              <w:right w:val="single" w:color="auto" w:sz="4" w:space="0"/>
            </w:tcBorders>
            <w:vAlign w:val="center"/>
          </w:tcPr>
          <w:p w:rsidRPr="0059471D" w:rsidR="003F521B" w:rsidP="00B106EA" w:rsidRDefault="00F80921" w14:paraId="42CFC44A" w14:textId="0C053AB4">
            <w:pPr>
              <w:rPr>
                <w:rFonts w:ascii="Helvetica" w:hAnsi="Helvetica"/>
                <w:b/>
                <w:color w:val="000000"/>
                <w:sz w:val="16"/>
                <w:szCs w:val="16"/>
              </w:rPr>
            </w:pPr>
            <w:r w:rsidRPr="0059471D">
              <w:rPr>
                <w:rFonts w:ascii="Helvetica" w:hAnsi="Helvetica"/>
                <w:b/>
                <w:color w:val="000000"/>
                <w:sz w:val="16"/>
                <w:szCs w:val="16"/>
              </w:rPr>
              <w:t>State, Local or Tribal Government</w:t>
            </w:r>
          </w:p>
        </w:tc>
        <w:tc>
          <w:tcPr>
            <w:tcW w:w="1350" w:type="dxa"/>
            <w:tcBorders>
              <w:top w:val="single" w:color="auto" w:sz="4" w:space="0"/>
              <w:left w:val="single" w:color="auto" w:sz="4" w:space="0"/>
              <w:bottom w:val="single" w:color="auto" w:sz="4" w:space="0"/>
              <w:right w:val="single" w:color="auto" w:sz="4" w:space="0"/>
            </w:tcBorders>
            <w:shd w:val="clear" w:color="auto" w:fill="D9D9D9"/>
          </w:tcPr>
          <w:p w:rsidR="003F521B" w:rsidP="0039364C" w:rsidRDefault="003F521B" w14:paraId="059F85D3" w14:textId="77777777">
            <w:pPr>
              <w:spacing w:after="0" w:line="240" w:lineRule="auto"/>
              <w:jc w:val="center"/>
              <w:rPr>
                <w:rFonts w:ascii="Helvetica" w:hAnsi="Helvetica"/>
                <w:bCs/>
                <w:color w:val="000000"/>
                <w:sz w:val="18"/>
              </w:rPr>
            </w:pPr>
          </w:p>
          <w:p w:rsidR="00F80921" w:rsidP="0039364C" w:rsidRDefault="00F80921" w14:paraId="37AA2699" w14:textId="3B3B8F9B">
            <w:pPr>
              <w:spacing w:after="0" w:line="240" w:lineRule="auto"/>
              <w:jc w:val="center"/>
              <w:rPr>
                <w:rFonts w:ascii="Helvetica" w:hAnsi="Helvetica"/>
                <w:bCs/>
                <w:color w:val="000000"/>
                <w:sz w:val="18"/>
              </w:rPr>
            </w:pPr>
            <w:r>
              <w:rPr>
                <w:rFonts w:ascii="Helvetica" w:hAnsi="Helvetica"/>
                <w:bCs/>
                <w:color w:val="000000"/>
                <w:sz w:val="18"/>
              </w:rPr>
              <w:t>HUD-2747</w:t>
            </w: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003F521B" w:rsidP="0039364C" w:rsidRDefault="00E01D32" w14:paraId="15977BA6" w14:textId="2C126772">
            <w:pPr>
              <w:spacing w:after="0" w:line="240" w:lineRule="auto"/>
              <w:jc w:val="center"/>
              <w:rPr>
                <w:rFonts w:ascii="Helvetica" w:hAnsi="Helvetica"/>
                <w:bCs/>
                <w:color w:val="000000"/>
                <w:sz w:val="18"/>
              </w:rPr>
            </w:pPr>
            <w:r>
              <w:rPr>
                <w:rFonts w:ascii="Helvetica" w:hAnsi="Helvetica"/>
                <w:bCs/>
                <w:color w:val="000000"/>
                <w:sz w:val="18"/>
              </w:rPr>
              <w:t>38</w:t>
            </w:r>
          </w:p>
        </w:tc>
        <w:tc>
          <w:tcPr>
            <w:tcW w:w="990" w:type="dxa"/>
            <w:tcBorders>
              <w:top w:val="single" w:color="auto" w:sz="4" w:space="0"/>
              <w:left w:val="single" w:color="auto" w:sz="4" w:space="0"/>
              <w:bottom w:val="single" w:color="auto" w:sz="4" w:space="0"/>
              <w:right w:val="single" w:color="auto" w:sz="4" w:space="0"/>
            </w:tcBorders>
            <w:vAlign w:val="center"/>
          </w:tcPr>
          <w:p w:rsidR="003F521B" w:rsidP="0039364C" w:rsidRDefault="00D90CEF" w14:paraId="6F6F4E64" w14:textId="13AB6322">
            <w:pPr>
              <w:spacing w:after="0" w:line="240" w:lineRule="auto"/>
              <w:jc w:val="center"/>
              <w:rPr>
                <w:rFonts w:ascii="Helvetica" w:hAnsi="Helvetica"/>
                <w:bCs/>
                <w:color w:val="000000"/>
                <w:sz w:val="18"/>
              </w:rPr>
            </w:pPr>
            <w:r>
              <w:rPr>
                <w:rFonts w:ascii="Helvetica" w:hAnsi="Helvetica"/>
                <w:bCs/>
                <w:color w:val="000000"/>
                <w:sz w:val="18"/>
              </w:rPr>
              <w:t>1</w:t>
            </w: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003F521B" w:rsidP="0039364C" w:rsidRDefault="00D90CEF" w14:paraId="1C1F5049" w14:textId="215B74BB">
            <w:pPr>
              <w:spacing w:after="0" w:line="240" w:lineRule="auto"/>
              <w:jc w:val="center"/>
              <w:rPr>
                <w:rFonts w:ascii="Helvetica" w:hAnsi="Helvetica"/>
                <w:bCs/>
                <w:color w:val="000000"/>
                <w:sz w:val="18"/>
              </w:rPr>
            </w:pPr>
            <w:r>
              <w:rPr>
                <w:rFonts w:ascii="Helvetica" w:hAnsi="Helvetica"/>
                <w:bCs/>
                <w:color w:val="000000"/>
                <w:sz w:val="18"/>
              </w:rPr>
              <w:t>38</w:t>
            </w:r>
          </w:p>
        </w:tc>
        <w:tc>
          <w:tcPr>
            <w:tcW w:w="810" w:type="dxa"/>
            <w:tcBorders>
              <w:top w:val="single" w:color="auto" w:sz="4" w:space="0"/>
              <w:left w:val="single" w:color="auto" w:sz="4" w:space="0"/>
              <w:bottom w:val="single" w:color="auto" w:sz="4" w:space="0"/>
              <w:right w:val="single" w:color="auto" w:sz="4" w:space="0"/>
            </w:tcBorders>
            <w:vAlign w:val="center"/>
          </w:tcPr>
          <w:p w:rsidR="003F521B" w:rsidP="0039364C" w:rsidRDefault="003C7F76" w14:paraId="7857C108" w14:textId="2B1ABD2E">
            <w:pPr>
              <w:spacing w:after="0" w:line="240" w:lineRule="auto"/>
              <w:jc w:val="center"/>
              <w:rPr>
                <w:rFonts w:ascii="Helvetica" w:hAnsi="Helvetica"/>
                <w:bCs/>
                <w:color w:val="000000"/>
                <w:sz w:val="18"/>
              </w:rPr>
            </w:pPr>
            <w:r>
              <w:rPr>
                <w:rFonts w:ascii="Helvetica" w:hAnsi="Helvetica"/>
                <w:bCs/>
                <w:color w:val="000000"/>
                <w:sz w:val="18"/>
              </w:rPr>
              <w:t>1</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003F521B" w:rsidP="0039364C" w:rsidRDefault="00352226" w14:paraId="599538CE" w14:textId="1F5924C1">
            <w:pPr>
              <w:spacing w:after="0" w:line="240" w:lineRule="auto"/>
              <w:jc w:val="center"/>
              <w:rPr>
                <w:rFonts w:ascii="Helvetica" w:hAnsi="Helvetica"/>
                <w:bCs/>
                <w:color w:val="000000"/>
                <w:sz w:val="18"/>
              </w:rPr>
            </w:pPr>
            <w:r>
              <w:rPr>
                <w:rFonts w:ascii="Helvetica" w:hAnsi="Helvetica"/>
                <w:bCs/>
                <w:color w:val="000000"/>
                <w:sz w:val="18"/>
              </w:rPr>
              <w:t>38</w:t>
            </w:r>
          </w:p>
        </w:tc>
        <w:tc>
          <w:tcPr>
            <w:tcW w:w="990" w:type="dxa"/>
            <w:tcBorders>
              <w:top w:val="single" w:color="auto" w:sz="4" w:space="0"/>
              <w:left w:val="single" w:color="auto" w:sz="4" w:space="0"/>
              <w:bottom w:val="single" w:color="auto" w:sz="4" w:space="0"/>
              <w:right w:val="single" w:color="auto" w:sz="4" w:space="0"/>
            </w:tcBorders>
            <w:vAlign w:val="center"/>
          </w:tcPr>
          <w:p w:rsidR="003F521B" w:rsidP="0039364C" w:rsidRDefault="00D90CEF" w14:paraId="4CB11C10" w14:textId="486A4EB8">
            <w:pPr>
              <w:spacing w:after="0" w:line="240" w:lineRule="auto"/>
              <w:jc w:val="center"/>
              <w:rPr>
                <w:rFonts w:ascii="Helvetica" w:hAnsi="Helvetica"/>
                <w:bCs/>
                <w:color w:val="000000"/>
                <w:sz w:val="18"/>
              </w:rPr>
            </w:pPr>
            <w:r>
              <w:rPr>
                <w:rFonts w:ascii="Helvetica" w:hAnsi="Helvetica"/>
                <w:bCs/>
                <w:color w:val="000000"/>
                <w:sz w:val="18"/>
              </w:rPr>
              <w:t>$38.61</w:t>
            </w:r>
          </w:p>
        </w:tc>
        <w:tc>
          <w:tcPr>
            <w:tcW w:w="1260" w:type="dxa"/>
            <w:tcBorders>
              <w:top w:val="single" w:color="auto" w:sz="4" w:space="0"/>
              <w:left w:val="single" w:color="auto" w:sz="4" w:space="0"/>
              <w:bottom w:val="single" w:color="auto" w:sz="4" w:space="0"/>
              <w:right w:val="single" w:color="auto" w:sz="4" w:space="0"/>
            </w:tcBorders>
          </w:tcPr>
          <w:p w:rsidR="003F521B" w:rsidP="0039364C" w:rsidRDefault="003F521B" w14:paraId="238F1877" w14:textId="77777777">
            <w:pPr>
              <w:spacing w:after="0" w:line="240" w:lineRule="auto"/>
              <w:jc w:val="center"/>
              <w:rPr>
                <w:rFonts w:ascii="Helvetica" w:hAnsi="Helvetica"/>
                <w:bCs/>
                <w:color w:val="000000"/>
                <w:sz w:val="18"/>
              </w:rPr>
            </w:pPr>
          </w:p>
          <w:p w:rsidR="00352226" w:rsidP="0039364C" w:rsidRDefault="00352226" w14:paraId="418E7ADD" w14:textId="0BA12D95">
            <w:pPr>
              <w:spacing w:after="0" w:line="240" w:lineRule="auto"/>
              <w:jc w:val="center"/>
              <w:rPr>
                <w:rFonts w:ascii="Helvetica" w:hAnsi="Helvetica"/>
                <w:bCs/>
                <w:color w:val="000000"/>
                <w:sz w:val="18"/>
              </w:rPr>
            </w:pPr>
            <w:r>
              <w:rPr>
                <w:rFonts w:ascii="Helvetica" w:hAnsi="Helvetica"/>
                <w:bCs/>
                <w:color w:val="000000"/>
                <w:sz w:val="18"/>
              </w:rPr>
              <w:t>$1,</w:t>
            </w:r>
            <w:r w:rsidR="00B9360A">
              <w:rPr>
                <w:rFonts w:ascii="Helvetica" w:hAnsi="Helvetica"/>
                <w:bCs/>
                <w:color w:val="000000"/>
                <w:sz w:val="18"/>
              </w:rPr>
              <w:t>467.18</w:t>
            </w:r>
          </w:p>
        </w:tc>
      </w:tr>
      <w:tr w:rsidRPr="00C879B4" w:rsidR="003F521B" w:rsidTr="000A357C" w14:paraId="4C1EC18F" w14:textId="77777777">
        <w:tblPrEx>
          <w:tblLook w:val="0000" w:firstRow="0" w:lastRow="0" w:firstColumn="0" w:lastColumn="0" w:noHBand="0" w:noVBand="0"/>
        </w:tblPrEx>
        <w:tc>
          <w:tcPr>
            <w:tcW w:w="1350" w:type="dxa"/>
            <w:tcBorders>
              <w:top w:val="single" w:color="auto" w:sz="4" w:space="0"/>
              <w:left w:val="single" w:color="auto" w:sz="4" w:space="0"/>
              <w:bottom w:val="single" w:color="auto" w:sz="4" w:space="0"/>
              <w:right w:val="single" w:color="auto" w:sz="4" w:space="0"/>
            </w:tcBorders>
            <w:vAlign w:val="center"/>
          </w:tcPr>
          <w:p w:rsidRPr="0059471D" w:rsidR="003F521B" w:rsidP="00B106EA" w:rsidRDefault="00F80921" w14:paraId="7C8537A5" w14:textId="3FA9C9E2">
            <w:pPr>
              <w:rPr>
                <w:rFonts w:ascii="Helvetica" w:hAnsi="Helvetica"/>
                <w:b/>
                <w:color w:val="000000"/>
                <w:sz w:val="16"/>
                <w:szCs w:val="16"/>
              </w:rPr>
            </w:pPr>
            <w:r w:rsidRPr="0059471D">
              <w:rPr>
                <w:rFonts w:ascii="Helvetica" w:hAnsi="Helvetica"/>
                <w:b/>
                <w:color w:val="000000"/>
                <w:sz w:val="16"/>
                <w:szCs w:val="16"/>
              </w:rPr>
              <w:t>State, Local or Tribal Government</w:t>
            </w:r>
          </w:p>
        </w:tc>
        <w:tc>
          <w:tcPr>
            <w:tcW w:w="1350" w:type="dxa"/>
            <w:tcBorders>
              <w:top w:val="single" w:color="auto" w:sz="4" w:space="0"/>
              <w:left w:val="single" w:color="auto" w:sz="4" w:space="0"/>
              <w:bottom w:val="single" w:color="auto" w:sz="4" w:space="0"/>
              <w:right w:val="single" w:color="auto" w:sz="4" w:space="0"/>
            </w:tcBorders>
            <w:shd w:val="clear" w:color="auto" w:fill="D9D9D9"/>
          </w:tcPr>
          <w:p w:rsidR="003F521B" w:rsidP="0039364C" w:rsidRDefault="003F521B" w14:paraId="7ADE4C9B" w14:textId="77777777">
            <w:pPr>
              <w:spacing w:after="0" w:line="240" w:lineRule="auto"/>
              <w:jc w:val="center"/>
              <w:rPr>
                <w:rFonts w:ascii="Helvetica" w:hAnsi="Helvetica"/>
                <w:bCs/>
                <w:color w:val="000000"/>
                <w:sz w:val="18"/>
              </w:rPr>
            </w:pPr>
          </w:p>
          <w:p w:rsidR="00F80921" w:rsidP="0039364C" w:rsidRDefault="00F80921" w14:paraId="1DB4A94F" w14:textId="4418DBB6">
            <w:pPr>
              <w:spacing w:after="0" w:line="240" w:lineRule="auto"/>
              <w:jc w:val="center"/>
              <w:rPr>
                <w:rFonts w:ascii="Helvetica" w:hAnsi="Helvetica"/>
                <w:bCs/>
                <w:color w:val="000000"/>
                <w:sz w:val="18"/>
              </w:rPr>
            </w:pPr>
            <w:r>
              <w:rPr>
                <w:rFonts w:ascii="Helvetica" w:hAnsi="Helvetica"/>
                <w:bCs/>
                <w:color w:val="000000"/>
                <w:sz w:val="18"/>
              </w:rPr>
              <w:t>HUD-1044D</w:t>
            </w: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003F521B" w:rsidP="0039364C" w:rsidRDefault="00E01D32" w14:paraId="36CFF29F" w14:textId="6FDFE1EE">
            <w:pPr>
              <w:spacing w:after="0" w:line="240" w:lineRule="auto"/>
              <w:jc w:val="center"/>
              <w:rPr>
                <w:rFonts w:ascii="Helvetica" w:hAnsi="Helvetica"/>
                <w:bCs/>
                <w:color w:val="000000"/>
                <w:sz w:val="18"/>
              </w:rPr>
            </w:pPr>
            <w:r>
              <w:rPr>
                <w:rFonts w:ascii="Helvetica" w:hAnsi="Helvetica"/>
                <w:bCs/>
                <w:color w:val="000000"/>
                <w:sz w:val="18"/>
              </w:rPr>
              <w:t>38</w:t>
            </w:r>
          </w:p>
        </w:tc>
        <w:tc>
          <w:tcPr>
            <w:tcW w:w="990" w:type="dxa"/>
            <w:tcBorders>
              <w:top w:val="single" w:color="auto" w:sz="4" w:space="0"/>
              <w:left w:val="single" w:color="auto" w:sz="4" w:space="0"/>
              <w:bottom w:val="single" w:color="auto" w:sz="4" w:space="0"/>
              <w:right w:val="single" w:color="auto" w:sz="4" w:space="0"/>
            </w:tcBorders>
            <w:vAlign w:val="center"/>
          </w:tcPr>
          <w:p w:rsidR="003F521B" w:rsidP="0039364C" w:rsidRDefault="00D90CEF" w14:paraId="629B9D12" w14:textId="3106C42D">
            <w:pPr>
              <w:spacing w:after="0" w:line="240" w:lineRule="auto"/>
              <w:jc w:val="center"/>
              <w:rPr>
                <w:rFonts w:ascii="Helvetica" w:hAnsi="Helvetica"/>
                <w:bCs/>
                <w:color w:val="000000"/>
                <w:sz w:val="18"/>
              </w:rPr>
            </w:pPr>
            <w:r>
              <w:rPr>
                <w:rFonts w:ascii="Helvetica" w:hAnsi="Helvetica"/>
                <w:bCs/>
                <w:color w:val="000000"/>
                <w:sz w:val="18"/>
              </w:rPr>
              <w:t>1</w:t>
            </w: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003F521B" w:rsidP="0039364C" w:rsidRDefault="00D90CEF" w14:paraId="06E5972E" w14:textId="465130FF">
            <w:pPr>
              <w:spacing w:after="0" w:line="240" w:lineRule="auto"/>
              <w:jc w:val="center"/>
              <w:rPr>
                <w:rFonts w:ascii="Helvetica" w:hAnsi="Helvetica"/>
                <w:bCs/>
                <w:color w:val="000000"/>
                <w:sz w:val="18"/>
              </w:rPr>
            </w:pPr>
            <w:r>
              <w:rPr>
                <w:rFonts w:ascii="Helvetica" w:hAnsi="Helvetica"/>
                <w:bCs/>
                <w:color w:val="000000"/>
                <w:sz w:val="18"/>
              </w:rPr>
              <w:t>38</w:t>
            </w:r>
          </w:p>
        </w:tc>
        <w:tc>
          <w:tcPr>
            <w:tcW w:w="810" w:type="dxa"/>
            <w:tcBorders>
              <w:top w:val="single" w:color="auto" w:sz="4" w:space="0"/>
              <w:left w:val="single" w:color="auto" w:sz="4" w:space="0"/>
              <w:bottom w:val="single" w:color="auto" w:sz="4" w:space="0"/>
              <w:right w:val="single" w:color="auto" w:sz="4" w:space="0"/>
            </w:tcBorders>
            <w:vAlign w:val="center"/>
          </w:tcPr>
          <w:p w:rsidRPr="00917C68" w:rsidR="003F521B" w:rsidP="0039364C" w:rsidRDefault="00795B2C" w14:paraId="30E578CF" w14:textId="330EAAE8">
            <w:pPr>
              <w:spacing w:after="0" w:line="240" w:lineRule="auto"/>
              <w:jc w:val="center"/>
              <w:rPr>
                <w:rFonts w:ascii="Helvetica" w:hAnsi="Helvetica"/>
                <w:bCs/>
                <w:color w:val="000000"/>
                <w:sz w:val="18"/>
              </w:rPr>
            </w:pPr>
            <w:r w:rsidRPr="00917C68">
              <w:rPr>
                <w:rFonts w:ascii="Helvetica" w:hAnsi="Helvetica"/>
                <w:bCs/>
                <w:color w:val="000000"/>
                <w:sz w:val="18"/>
              </w:rPr>
              <w:t>.</w:t>
            </w:r>
            <w:r w:rsidRPr="00917C68" w:rsidR="00555F47">
              <w:rPr>
                <w:rFonts w:ascii="Helvetica" w:hAnsi="Helvetica"/>
                <w:bCs/>
                <w:color w:val="000000"/>
                <w:sz w:val="18"/>
              </w:rPr>
              <w:t>5</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917C68" w:rsidR="003F521B" w:rsidP="0039364C" w:rsidRDefault="0002769B" w14:paraId="6E586068" w14:textId="72F26F9D">
            <w:pPr>
              <w:spacing w:after="0" w:line="240" w:lineRule="auto"/>
              <w:jc w:val="center"/>
              <w:rPr>
                <w:rFonts w:ascii="Helvetica" w:hAnsi="Helvetica"/>
                <w:bCs/>
                <w:color w:val="000000"/>
                <w:sz w:val="18"/>
              </w:rPr>
            </w:pPr>
            <w:r w:rsidRPr="00917C68">
              <w:rPr>
                <w:rFonts w:ascii="Helvetica" w:hAnsi="Helvetica"/>
                <w:bCs/>
                <w:color w:val="000000"/>
                <w:sz w:val="18"/>
              </w:rPr>
              <w:t>19</w:t>
            </w:r>
          </w:p>
        </w:tc>
        <w:tc>
          <w:tcPr>
            <w:tcW w:w="990" w:type="dxa"/>
            <w:tcBorders>
              <w:top w:val="single" w:color="auto" w:sz="4" w:space="0"/>
              <w:left w:val="single" w:color="auto" w:sz="4" w:space="0"/>
              <w:bottom w:val="single" w:color="auto" w:sz="4" w:space="0"/>
              <w:right w:val="single" w:color="auto" w:sz="4" w:space="0"/>
            </w:tcBorders>
            <w:vAlign w:val="center"/>
          </w:tcPr>
          <w:p w:rsidRPr="00917C68" w:rsidR="003F521B" w:rsidP="0039364C" w:rsidRDefault="00D90CEF" w14:paraId="4F77735C" w14:textId="30611728">
            <w:pPr>
              <w:spacing w:after="0" w:line="240" w:lineRule="auto"/>
              <w:jc w:val="center"/>
              <w:rPr>
                <w:rFonts w:ascii="Helvetica" w:hAnsi="Helvetica"/>
                <w:bCs/>
                <w:color w:val="000000"/>
                <w:sz w:val="18"/>
              </w:rPr>
            </w:pPr>
            <w:r w:rsidRPr="00917C68">
              <w:rPr>
                <w:rFonts w:ascii="Helvetica" w:hAnsi="Helvetica"/>
                <w:bCs/>
                <w:color w:val="000000"/>
                <w:sz w:val="18"/>
              </w:rPr>
              <w:t>$38.61</w:t>
            </w:r>
          </w:p>
        </w:tc>
        <w:tc>
          <w:tcPr>
            <w:tcW w:w="1260" w:type="dxa"/>
            <w:tcBorders>
              <w:top w:val="single" w:color="auto" w:sz="4" w:space="0"/>
              <w:left w:val="single" w:color="auto" w:sz="4" w:space="0"/>
              <w:bottom w:val="single" w:color="auto" w:sz="4" w:space="0"/>
              <w:right w:val="single" w:color="auto" w:sz="4" w:space="0"/>
            </w:tcBorders>
          </w:tcPr>
          <w:p w:rsidRPr="00917C68" w:rsidR="00016461" w:rsidP="00B9360A" w:rsidRDefault="00016461" w14:paraId="5FD4A7A3" w14:textId="77777777">
            <w:pPr>
              <w:spacing w:after="0" w:line="240" w:lineRule="auto"/>
              <w:jc w:val="center"/>
              <w:rPr>
                <w:rFonts w:ascii="Helvetica" w:hAnsi="Helvetica"/>
                <w:bCs/>
                <w:color w:val="000000"/>
                <w:sz w:val="18"/>
              </w:rPr>
            </w:pPr>
          </w:p>
          <w:p w:rsidRPr="00917C68" w:rsidR="00B9360A" w:rsidP="00B9360A" w:rsidRDefault="00B9360A" w14:paraId="34917ABF" w14:textId="21CDDC08">
            <w:pPr>
              <w:spacing w:after="0" w:line="240" w:lineRule="auto"/>
              <w:jc w:val="center"/>
              <w:rPr>
                <w:rFonts w:ascii="Helvetica" w:hAnsi="Helvetica"/>
                <w:bCs/>
                <w:color w:val="000000"/>
                <w:sz w:val="18"/>
              </w:rPr>
            </w:pPr>
            <w:r w:rsidRPr="00917C68">
              <w:rPr>
                <w:rFonts w:ascii="Helvetica" w:hAnsi="Helvetica"/>
                <w:bCs/>
                <w:color w:val="000000"/>
                <w:sz w:val="18"/>
              </w:rPr>
              <w:t>$</w:t>
            </w:r>
            <w:r w:rsidRPr="00917C68" w:rsidR="00555F47">
              <w:rPr>
                <w:rFonts w:ascii="Helvetica" w:hAnsi="Helvetica"/>
                <w:bCs/>
                <w:color w:val="000000"/>
                <w:sz w:val="18"/>
              </w:rPr>
              <w:t>733.59</w:t>
            </w:r>
          </w:p>
        </w:tc>
      </w:tr>
      <w:bookmarkEnd w:id="0"/>
      <w:tr w:rsidRPr="00C879B4" w:rsidR="006C1F71" w:rsidTr="00AB08F4" w14:paraId="7C25D205" w14:textId="77777777">
        <w:tblPrEx>
          <w:tblLook w:val="0000" w:firstRow="0" w:lastRow="0" w:firstColumn="0" w:lastColumn="0" w:noHBand="0" w:noVBand="0"/>
        </w:tblPrEx>
        <w:trPr>
          <w:trHeight w:val="548"/>
        </w:trPr>
        <w:tc>
          <w:tcPr>
            <w:tcW w:w="1350" w:type="dxa"/>
            <w:tcBorders>
              <w:top w:val="single" w:color="auto" w:sz="4" w:space="0"/>
              <w:left w:val="single" w:color="auto" w:sz="4" w:space="0"/>
              <w:bottom w:val="single" w:color="auto" w:sz="4" w:space="0"/>
              <w:right w:val="single" w:color="auto" w:sz="4" w:space="0"/>
            </w:tcBorders>
            <w:vAlign w:val="center"/>
          </w:tcPr>
          <w:p w:rsidR="006C1F71" w:rsidP="00B106EA" w:rsidRDefault="00E01D32" w14:paraId="32CFE5D1" w14:textId="77777777">
            <w:pPr>
              <w:rPr>
                <w:rFonts w:ascii="Helvetica" w:hAnsi="Helvetica"/>
                <w:b/>
                <w:bCs/>
                <w:color w:val="000000"/>
                <w:sz w:val="18"/>
              </w:rPr>
            </w:pPr>
            <w:r>
              <w:rPr>
                <w:rFonts w:ascii="Helvetica" w:hAnsi="Helvetica"/>
                <w:b/>
                <w:bCs/>
                <w:color w:val="000000"/>
                <w:sz w:val="18"/>
              </w:rPr>
              <w:t>Sub-Totals</w:t>
            </w:r>
          </w:p>
          <w:p w:rsidRPr="00C879B4" w:rsidR="00E01D32" w:rsidP="00B106EA" w:rsidRDefault="00E01D32" w14:paraId="39593403" w14:textId="6375A1DF">
            <w:pPr>
              <w:rPr>
                <w:rFonts w:ascii="Helvetica" w:hAnsi="Helvetica"/>
                <w:b/>
                <w:bCs/>
                <w:color w:val="000000"/>
                <w:sz w:val="18"/>
              </w:rPr>
            </w:pPr>
          </w:p>
        </w:tc>
        <w:tc>
          <w:tcPr>
            <w:tcW w:w="1350" w:type="dxa"/>
            <w:tcBorders>
              <w:top w:val="single" w:color="auto" w:sz="4" w:space="0"/>
              <w:left w:val="single" w:color="auto" w:sz="4" w:space="0"/>
              <w:bottom w:val="single" w:color="auto" w:sz="4" w:space="0"/>
              <w:right w:val="single" w:color="auto" w:sz="4" w:space="0"/>
            </w:tcBorders>
            <w:shd w:val="clear" w:color="auto" w:fill="000000"/>
          </w:tcPr>
          <w:p w:rsidR="006C1F71" w:rsidP="0039364C" w:rsidRDefault="006C1F71" w14:paraId="0863D662" w14:textId="77777777">
            <w:pPr>
              <w:spacing w:after="0" w:line="240" w:lineRule="auto"/>
              <w:jc w:val="center"/>
              <w:rPr>
                <w:rFonts w:ascii="Helvetica" w:hAnsi="Helvetica"/>
                <w:bCs/>
                <w:color w:val="000000"/>
                <w:sz w:val="18"/>
              </w:rPr>
            </w:pPr>
          </w:p>
          <w:p w:rsidRPr="00236664" w:rsidR="00236664" w:rsidP="00236664" w:rsidRDefault="00236664" w14:paraId="2E2D1F3F" w14:textId="7AD99631">
            <w:pPr>
              <w:jc w:val="center"/>
              <w:rPr>
                <w:rFonts w:ascii="Helvetica" w:hAnsi="Helvetica"/>
                <w:sz w:val="18"/>
              </w:rPr>
            </w:pP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Pr="0039364C" w:rsidR="006C1F71" w:rsidP="0039364C" w:rsidRDefault="00E01D32" w14:paraId="14148AA8" w14:textId="668F1EEE">
            <w:pPr>
              <w:spacing w:after="0" w:line="240" w:lineRule="auto"/>
              <w:jc w:val="center"/>
              <w:rPr>
                <w:rFonts w:ascii="Helvetica" w:hAnsi="Helvetica"/>
                <w:b/>
                <w:color w:val="000000"/>
                <w:sz w:val="18"/>
              </w:rPr>
            </w:pPr>
            <w:r>
              <w:rPr>
                <w:rFonts w:ascii="Helvetica" w:hAnsi="Helvetica"/>
                <w:b/>
                <w:color w:val="000000"/>
                <w:sz w:val="18"/>
              </w:rPr>
              <w:t>38</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39364C" w:rsidR="006C1F71" w:rsidP="0039364C" w:rsidRDefault="006C1F71" w14:paraId="73180F8B" w14:textId="77777777">
            <w:pPr>
              <w:spacing w:after="0" w:line="240" w:lineRule="auto"/>
              <w:jc w:val="center"/>
              <w:rPr>
                <w:rFonts w:ascii="Helvetica" w:hAnsi="Helvetica"/>
                <w:b/>
                <w:color w:val="000000"/>
                <w:sz w:val="18"/>
              </w:rPr>
            </w:pP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Pr="0039364C" w:rsidR="006C1F71" w:rsidP="0039364C" w:rsidRDefault="00B5731C" w14:paraId="7D193064" w14:textId="1D7C1C00">
            <w:pPr>
              <w:spacing w:after="0" w:line="240" w:lineRule="auto"/>
              <w:jc w:val="center"/>
              <w:rPr>
                <w:rFonts w:ascii="Helvetica" w:hAnsi="Helvetica"/>
                <w:b/>
                <w:color w:val="000000"/>
                <w:sz w:val="18"/>
              </w:rPr>
            </w:pPr>
            <w:r>
              <w:rPr>
                <w:rFonts w:ascii="Helvetica" w:hAnsi="Helvetica"/>
                <w:b/>
                <w:color w:val="000000"/>
                <w:sz w:val="18"/>
              </w:rPr>
              <w:t>38</w:t>
            </w:r>
          </w:p>
        </w:tc>
        <w:tc>
          <w:tcPr>
            <w:tcW w:w="810" w:type="dxa"/>
            <w:tcBorders>
              <w:top w:val="single" w:color="auto" w:sz="4" w:space="0"/>
              <w:left w:val="single" w:color="auto" w:sz="4" w:space="0"/>
              <w:bottom w:val="single" w:color="auto" w:sz="4" w:space="0"/>
              <w:right w:val="single" w:color="auto" w:sz="4" w:space="0"/>
            </w:tcBorders>
            <w:shd w:val="clear" w:color="auto" w:fill="000000"/>
            <w:vAlign w:val="center"/>
          </w:tcPr>
          <w:p w:rsidRPr="00917C68" w:rsidR="006C1F71" w:rsidP="0039364C" w:rsidRDefault="00BB5CD8" w14:paraId="4A6277EB" w14:textId="163DC430">
            <w:pPr>
              <w:spacing w:after="0" w:line="240" w:lineRule="auto"/>
              <w:jc w:val="center"/>
              <w:rPr>
                <w:rFonts w:ascii="Helvetica" w:hAnsi="Helvetica"/>
                <w:b/>
                <w:color w:val="000000"/>
                <w:sz w:val="18"/>
              </w:rPr>
            </w:pPr>
            <w:r w:rsidRPr="00917C68">
              <w:rPr>
                <w:rFonts w:ascii="Helvetica" w:hAnsi="Helvetica"/>
                <w:b/>
                <w:color w:val="000000"/>
                <w:sz w:val="18"/>
              </w:rPr>
              <w:t>57</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917C68" w:rsidR="006C1F71" w:rsidP="0039364C" w:rsidRDefault="0033242B" w14:paraId="3E9F5B7F" w14:textId="41CDF0BC">
            <w:pPr>
              <w:spacing w:after="0" w:line="240" w:lineRule="auto"/>
              <w:jc w:val="center"/>
              <w:rPr>
                <w:rFonts w:ascii="Helvetica" w:hAnsi="Helvetica"/>
                <w:b/>
                <w:color w:val="000000"/>
                <w:sz w:val="18"/>
              </w:rPr>
            </w:pPr>
            <w:r w:rsidRPr="00917C68">
              <w:rPr>
                <w:rFonts w:ascii="Helvetica" w:hAnsi="Helvetica"/>
                <w:b/>
                <w:color w:val="000000"/>
                <w:sz w:val="18"/>
              </w:rPr>
              <w:t>66.50</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917C68" w:rsidR="006C1F71" w:rsidP="0039364C" w:rsidRDefault="006C1F71" w14:paraId="0285EAE9" w14:textId="77777777">
            <w:pPr>
              <w:spacing w:after="0" w:line="240" w:lineRule="auto"/>
              <w:jc w:val="center"/>
              <w:rPr>
                <w:rFonts w:ascii="Helvetica" w:hAnsi="Helvetica"/>
                <w:b/>
                <w:color w:val="000000"/>
                <w:sz w:val="18"/>
              </w:rPr>
            </w:pPr>
          </w:p>
        </w:tc>
        <w:tc>
          <w:tcPr>
            <w:tcW w:w="1260" w:type="dxa"/>
            <w:tcBorders>
              <w:top w:val="single" w:color="auto" w:sz="4" w:space="0"/>
              <w:left w:val="single" w:color="auto" w:sz="4" w:space="0"/>
              <w:bottom w:val="single" w:color="auto" w:sz="4" w:space="0"/>
              <w:right w:val="single" w:color="auto" w:sz="4" w:space="0"/>
            </w:tcBorders>
          </w:tcPr>
          <w:p w:rsidRPr="00917C68" w:rsidR="0039364C" w:rsidP="0039364C" w:rsidRDefault="0039364C" w14:paraId="7E85D3A6" w14:textId="77777777">
            <w:pPr>
              <w:spacing w:after="0" w:line="240" w:lineRule="auto"/>
              <w:jc w:val="center"/>
              <w:rPr>
                <w:rFonts w:ascii="Helvetica" w:hAnsi="Helvetica"/>
                <w:b/>
                <w:color w:val="000000"/>
                <w:sz w:val="18"/>
              </w:rPr>
            </w:pPr>
          </w:p>
          <w:p w:rsidRPr="00917C68" w:rsidR="006C1F71" w:rsidP="0039364C" w:rsidRDefault="00B63093" w14:paraId="6691A2F7" w14:textId="0C23FD5D">
            <w:pPr>
              <w:spacing w:after="0" w:line="240" w:lineRule="auto"/>
              <w:jc w:val="center"/>
              <w:rPr>
                <w:rFonts w:ascii="Helvetica" w:hAnsi="Helvetica"/>
                <w:b/>
                <w:color w:val="000000"/>
                <w:sz w:val="18"/>
              </w:rPr>
            </w:pPr>
            <w:r w:rsidRPr="00917C68">
              <w:rPr>
                <w:rFonts w:ascii="Helvetica" w:hAnsi="Helvetica"/>
                <w:b/>
                <w:color w:val="000000"/>
                <w:sz w:val="18"/>
              </w:rPr>
              <w:t>$</w:t>
            </w:r>
            <w:r w:rsidRPr="00917C68" w:rsidR="00B9360A">
              <w:rPr>
                <w:rFonts w:ascii="Helvetica" w:hAnsi="Helvetica"/>
                <w:b/>
                <w:color w:val="000000"/>
                <w:sz w:val="18"/>
              </w:rPr>
              <w:t>2,</w:t>
            </w:r>
            <w:r w:rsidRPr="00917C68" w:rsidR="00555F47">
              <w:rPr>
                <w:rFonts w:ascii="Helvetica" w:hAnsi="Helvetica"/>
                <w:b/>
                <w:color w:val="000000"/>
                <w:sz w:val="18"/>
              </w:rPr>
              <w:t>567.57</w:t>
            </w:r>
          </w:p>
        </w:tc>
      </w:tr>
      <w:tr w:rsidRPr="00C879B4" w:rsidR="00E01D32" w:rsidTr="000A357C" w14:paraId="2BEC6335" w14:textId="77777777">
        <w:tblPrEx>
          <w:tblLook w:val="0000" w:firstRow="0" w:lastRow="0" w:firstColumn="0" w:lastColumn="0" w:noHBand="0" w:noVBand="0"/>
        </w:tblPrEx>
        <w:tc>
          <w:tcPr>
            <w:tcW w:w="1350" w:type="dxa"/>
            <w:tcBorders>
              <w:top w:val="single" w:color="auto" w:sz="4" w:space="0"/>
              <w:left w:val="single" w:color="auto" w:sz="4" w:space="0"/>
              <w:bottom w:val="single" w:color="auto" w:sz="4" w:space="0"/>
              <w:right w:val="single" w:color="auto" w:sz="4" w:space="0"/>
            </w:tcBorders>
            <w:vAlign w:val="center"/>
          </w:tcPr>
          <w:p w:rsidRPr="00917C68" w:rsidR="00E01D32" w:rsidP="00B106EA" w:rsidRDefault="00E01D32" w14:paraId="58FF5F3C" w14:textId="0C574B2B">
            <w:pPr>
              <w:rPr>
                <w:rFonts w:ascii="Helvetica" w:hAnsi="Helvetica"/>
                <w:b/>
                <w:bCs/>
                <w:color w:val="000000"/>
                <w:sz w:val="18"/>
              </w:rPr>
            </w:pPr>
            <w:r w:rsidRPr="00917C68">
              <w:rPr>
                <w:rFonts w:ascii="Helvetica" w:hAnsi="Helvetica"/>
                <w:b/>
                <w:bCs/>
                <w:color w:val="000000"/>
                <w:sz w:val="18"/>
              </w:rPr>
              <w:t>Totals</w:t>
            </w:r>
          </w:p>
        </w:tc>
        <w:tc>
          <w:tcPr>
            <w:tcW w:w="1350" w:type="dxa"/>
            <w:tcBorders>
              <w:top w:val="single" w:color="auto" w:sz="4" w:space="0"/>
              <w:left w:val="single" w:color="auto" w:sz="4" w:space="0"/>
              <w:bottom w:val="single" w:color="auto" w:sz="4" w:space="0"/>
              <w:right w:val="single" w:color="auto" w:sz="4" w:space="0"/>
            </w:tcBorders>
            <w:shd w:val="clear" w:color="auto" w:fill="000000"/>
          </w:tcPr>
          <w:p w:rsidRPr="00917C68" w:rsidR="00E01D32" w:rsidP="0039364C" w:rsidRDefault="00E01D32" w14:paraId="57F55FCE" w14:textId="77777777">
            <w:pPr>
              <w:spacing w:after="0" w:line="240" w:lineRule="auto"/>
              <w:jc w:val="center"/>
              <w:rPr>
                <w:rFonts w:ascii="Helvetica" w:hAnsi="Helvetica"/>
                <w:bCs/>
                <w:color w:val="000000"/>
                <w:sz w:val="18"/>
              </w:rPr>
            </w:pP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Pr="00917C68" w:rsidR="00E01D32" w:rsidP="0039364C" w:rsidRDefault="00E01D32" w14:paraId="7B6947F6" w14:textId="73F2290F">
            <w:pPr>
              <w:spacing w:after="0" w:line="240" w:lineRule="auto"/>
              <w:jc w:val="center"/>
              <w:rPr>
                <w:rFonts w:ascii="Helvetica" w:hAnsi="Helvetica"/>
                <w:b/>
                <w:color w:val="000000"/>
                <w:sz w:val="18"/>
              </w:rPr>
            </w:pPr>
            <w:r w:rsidRPr="00917C68">
              <w:rPr>
                <w:rFonts w:ascii="Helvetica" w:hAnsi="Helvetica"/>
                <w:b/>
                <w:color w:val="000000"/>
                <w:sz w:val="18"/>
              </w:rPr>
              <w:t>110</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917C68" w:rsidR="00E01D32" w:rsidP="0039364C" w:rsidRDefault="00E01D32" w14:paraId="10FA9850" w14:textId="77777777">
            <w:pPr>
              <w:spacing w:after="0" w:line="240" w:lineRule="auto"/>
              <w:jc w:val="center"/>
              <w:rPr>
                <w:rFonts w:ascii="Helvetica" w:hAnsi="Helvetica"/>
                <w:b/>
                <w:color w:val="000000"/>
                <w:sz w:val="18"/>
              </w:rPr>
            </w:pP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Pr="00917C68" w:rsidR="00E01D32" w:rsidP="0039364C" w:rsidRDefault="00E01D32" w14:paraId="78B1F6EC" w14:textId="65AFFFC4">
            <w:pPr>
              <w:spacing w:after="0" w:line="240" w:lineRule="auto"/>
              <w:jc w:val="center"/>
              <w:rPr>
                <w:rFonts w:ascii="Helvetica" w:hAnsi="Helvetica"/>
                <w:b/>
                <w:color w:val="000000"/>
                <w:sz w:val="18"/>
              </w:rPr>
            </w:pPr>
            <w:r w:rsidRPr="00917C68">
              <w:rPr>
                <w:rFonts w:ascii="Helvetica" w:hAnsi="Helvetica"/>
                <w:b/>
                <w:color w:val="000000"/>
                <w:sz w:val="18"/>
              </w:rPr>
              <w:t>110</w:t>
            </w:r>
          </w:p>
        </w:tc>
        <w:tc>
          <w:tcPr>
            <w:tcW w:w="810" w:type="dxa"/>
            <w:tcBorders>
              <w:top w:val="single" w:color="auto" w:sz="4" w:space="0"/>
              <w:left w:val="single" w:color="auto" w:sz="4" w:space="0"/>
              <w:bottom w:val="single" w:color="auto" w:sz="4" w:space="0"/>
              <w:right w:val="single" w:color="auto" w:sz="4" w:space="0"/>
            </w:tcBorders>
            <w:shd w:val="clear" w:color="auto" w:fill="000000"/>
            <w:vAlign w:val="center"/>
          </w:tcPr>
          <w:p w:rsidRPr="00917C68" w:rsidR="00E01D32" w:rsidP="0039364C" w:rsidRDefault="00E01D32" w14:paraId="5E5AAEF9" w14:textId="77777777">
            <w:pPr>
              <w:spacing w:after="0" w:line="240" w:lineRule="auto"/>
              <w:jc w:val="center"/>
              <w:rPr>
                <w:rFonts w:ascii="Helvetica" w:hAnsi="Helvetica"/>
                <w:b/>
                <w:color w:val="000000"/>
                <w:sz w:val="18"/>
              </w:rPr>
            </w:pP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917C68" w:rsidR="00E01D32" w:rsidP="0039364C" w:rsidRDefault="00AA7675" w14:paraId="57F76E62" w14:textId="08CB8534">
            <w:pPr>
              <w:spacing w:after="0" w:line="240" w:lineRule="auto"/>
              <w:jc w:val="center"/>
              <w:rPr>
                <w:rFonts w:ascii="Helvetica" w:hAnsi="Helvetica"/>
                <w:b/>
                <w:color w:val="000000"/>
                <w:sz w:val="18"/>
              </w:rPr>
            </w:pPr>
            <w:r w:rsidRPr="00917C68">
              <w:rPr>
                <w:rFonts w:ascii="Helvetica" w:hAnsi="Helvetica"/>
                <w:b/>
                <w:color w:val="000000"/>
                <w:sz w:val="18"/>
              </w:rPr>
              <w:t>19</w:t>
            </w:r>
            <w:r w:rsidR="00917C68">
              <w:rPr>
                <w:rFonts w:ascii="Helvetica" w:hAnsi="Helvetica"/>
                <w:b/>
                <w:color w:val="000000"/>
                <w:sz w:val="18"/>
              </w:rPr>
              <w:t>3</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917C68" w:rsidR="00E01D32" w:rsidP="0039364C" w:rsidRDefault="00E01D32" w14:paraId="4A527CF8" w14:textId="77777777">
            <w:pPr>
              <w:spacing w:after="0" w:line="240" w:lineRule="auto"/>
              <w:jc w:val="center"/>
              <w:rPr>
                <w:rFonts w:ascii="Helvetica" w:hAnsi="Helvetica"/>
                <w:b/>
                <w:color w:val="000000"/>
                <w:sz w:val="18"/>
              </w:rPr>
            </w:pPr>
          </w:p>
        </w:tc>
        <w:tc>
          <w:tcPr>
            <w:tcW w:w="1260" w:type="dxa"/>
            <w:tcBorders>
              <w:top w:val="single" w:color="auto" w:sz="4" w:space="0"/>
              <w:left w:val="single" w:color="auto" w:sz="4" w:space="0"/>
              <w:bottom w:val="single" w:color="auto" w:sz="4" w:space="0"/>
              <w:right w:val="single" w:color="auto" w:sz="4" w:space="0"/>
            </w:tcBorders>
          </w:tcPr>
          <w:p w:rsidRPr="00917C68" w:rsidR="00E01D32" w:rsidP="0039364C" w:rsidRDefault="00E01D32" w14:paraId="1A19207C" w14:textId="77777777">
            <w:pPr>
              <w:spacing w:after="0" w:line="240" w:lineRule="auto"/>
              <w:jc w:val="center"/>
              <w:rPr>
                <w:rFonts w:ascii="Helvetica" w:hAnsi="Helvetica"/>
                <w:b/>
                <w:color w:val="000000"/>
                <w:sz w:val="18"/>
              </w:rPr>
            </w:pPr>
          </w:p>
          <w:p w:rsidRPr="0039364C" w:rsidR="00B9360A" w:rsidP="0039364C" w:rsidRDefault="00B9360A" w14:paraId="599107FD" w14:textId="41AA5412">
            <w:pPr>
              <w:spacing w:after="0" w:line="240" w:lineRule="auto"/>
              <w:jc w:val="center"/>
              <w:rPr>
                <w:rFonts w:ascii="Helvetica" w:hAnsi="Helvetica"/>
                <w:b/>
                <w:color w:val="000000"/>
                <w:sz w:val="18"/>
              </w:rPr>
            </w:pPr>
            <w:r w:rsidRPr="00917C68">
              <w:rPr>
                <w:rFonts w:ascii="Helvetica" w:hAnsi="Helvetica"/>
                <w:b/>
                <w:color w:val="000000"/>
                <w:sz w:val="18"/>
              </w:rPr>
              <w:t>$</w:t>
            </w:r>
            <w:r w:rsidRPr="00917C68" w:rsidR="00AA7675">
              <w:rPr>
                <w:rFonts w:ascii="Helvetica" w:hAnsi="Helvetica"/>
                <w:b/>
                <w:color w:val="000000"/>
                <w:sz w:val="18"/>
              </w:rPr>
              <w:t>9,862.97</w:t>
            </w:r>
          </w:p>
        </w:tc>
      </w:tr>
    </w:tbl>
    <w:p w:rsidR="007047E7" w:rsidP="006B76CD" w:rsidRDefault="007047E7" w14:paraId="51F6F710" w14:textId="77777777">
      <w:pPr>
        <w:spacing w:after="0"/>
        <w:rPr>
          <w:sz w:val="16"/>
          <w:szCs w:val="16"/>
        </w:rPr>
      </w:pPr>
    </w:p>
    <w:p w:rsidR="006B76CD" w:rsidP="006B76CD" w:rsidRDefault="006B76CD" w14:paraId="0A70F45C" w14:textId="4E47FE26">
      <w:pPr>
        <w:spacing w:after="0"/>
        <w:rPr>
          <w:sz w:val="16"/>
          <w:szCs w:val="16"/>
        </w:rPr>
      </w:pPr>
      <w:r w:rsidRPr="00876963">
        <w:rPr>
          <w:b/>
          <w:bCs/>
          <w:sz w:val="18"/>
          <w:szCs w:val="18"/>
        </w:rPr>
        <w:t>Note:</w:t>
      </w:r>
      <w:r w:rsidRPr="009B69D3">
        <w:rPr>
          <w:sz w:val="16"/>
          <w:szCs w:val="16"/>
        </w:rPr>
        <w:t xml:space="preserve"> The “Avg. Hourly Wage Rate” for each respondent includes a 1.4</w:t>
      </w:r>
      <w:r>
        <w:rPr>
          <w:sz w:val="16"/>
          <w:szCs w:val="16"/>
        </w:rPr>
        <w:t>6</w:t>
      </w:r>
      <w:r w:rsidRPr="009B69D3">
        <w:rPr>
          <w:sz w:val="16"/>
          <w:szCs w:val="16"/>
        </w:rPr>
        <w:t xml:space="preserve"> multiplier to r</w:t>
      </w:r>
      <w:r>
        <w:rPr>
          <w:sz w:val="16"/>
          <w:szCs w:val="16"/>
        </w:rPr>
        <w:t xml:space="preserve">eflect a fully-loaded wage rate. </w:t>
      </w:r>
    </w:p>
    <w:p w:rsidR="00F127C2" w:rsidP="00F127C2" w:rsidRDefault="00F127C2" w14:paraId="4CB0C020" w14:textId="07AB0D95">
      <w:pPr>
        <w:tabs>
          <w:tab w:val="left" w:pos="-720"/>
        </w:tabs>
        <w:suppressAutoHyphens/>
        <w:spacing w:after="0" w:line="240" w:lineRule="auto"/>
        <w:rPr>
          <w:rFonts w:ascii="Times New Roman" w:hAnsi="Times New Roman"/>
          <w:sz w:val="24"/>
          <w:szCs w:val="24"/>
        </w:rPr>
      </w:pPr>
      <w:r>
        <w:rPr>
          <w:rFonts w:ascii="Times New Roman" w:hAnsi="Times New Roman"/>
          <w:sz w:val="24"/>
          <w:szCs w:val="24"/>
        </w:rPr>
        <w:t>*</w:t>
      </w:r>
      <w:r w:rsidRPr="00876963">
        <w:rPr>
          <w:rFonts w:ascii="Times New Roman" w:hAnsi="Times New Roman"/>
          <w:sz w:val="24"/>
          <w:szCs w:val="24"/>
        </w:rPr>
        <w:t>The total annual burden hours has been rounded up to 193</w:t>
      </w:r>
      <w:r w:rsidRPr="00876963">
        <w:rPr>
          <w:rFonts w:ascii="Times New Roman" w:hAnsi="Times New Roman"/>
          <w:b/>
          <w:bCs/>
          <w:sz w:val="24"/>
          <w:szCs w:val="24"/>
        </w:rPr>
        <w:t xml:space="preserve"> </w:t>
      </w:r>
      <w:r w:rsidRPr="00876963">
        <w:rPr>
          <w:rFonts w:ascii="Times New Roman" w:hAnsi="Times New Roman"/>
          <w:sz w:val="24"/>
          <w:szCs w:val="24"/>
        </w:rPr>
        <w:t>hours to be consistent with OMB’s system ROCIS.*</w:t>
      </w:r>
    </w:p>
    <w:p w:rsidR="0039364C" w:rsidP="006B76CD" w:rsidRDefault="0039364C" w14:paraId="3AEDE593" w14:textId="77777777">
      <w:pPr>
        <w:spacing w:after="0"/>
        <w:rPr>
          <w:sz w:val="16"/>
          <w:szCs w:val="16"/>
        </w:rPr>
      </w:pPr>
    </w:p>
    <w:p w:rsidR="006B76CD" w:rsidP="006B76CD" w:rsidRDefault="006B76CD" w14:paraId="24CF47D5" w14:textId="77777777">
      <w:pPr>
        <w:tabs>
          <w:tab w:val="left" w:pos="-720"/>
        </w:tabs>
        <w:suppressAutoHyphens/>
        <w:spacing w:after="0" w:line="240" w:lineRule="auto"/>
        <w:rPr>
          <w:rFonts w:ascii="Times New Roman" w:hAnsi="Times New Roman"/>
          <w:b/>
          <w:sz w:val="24"/>
          <w:szCs w:val="24"/>
        </w:rPr>
      </w:pPr>
    </w:p>
    <w:p w:rsidRPr="00B71956" w:rsidR="008404D5" w:rsidP="008404D5" w:rsidRDefault="008404D5" w14:paraId="3F03770B" w14:textId="77777777">
      <w:pPr>
        <w:tabs>
          <w:tab w:val="left" w:pos="-720"/>
        </w:tabs>
        <w:suppressAutoHyphens/>
        <w:rPr>
          <w:rFonts w:ascii="Times New Roman" w:hAnsi="Times New Roman"/>
          <w:sz w:val="24"/>
          <w:szCs w:val="24"/>
        </w:rPr>
      </w:pPr>
      <w:r w:rsidRPr="00B71956">
        <w:rPr>
          <w:rFonts w:ascii="Times New Roman" w:hAnsi="Times New Roman"/>
          <w:sz w:val="24"/>
          <w:szCs w:val="24"/>
        </w:rPr>
        <w:t>According to the U.S. Department of Labor, Bureau of Labor Statistics website (</w:t>
      </w:r>
      <w:hyperlink w:history="1" r:id="rId10">
        <w:r w:rsidRPr="00B71956">
          <w:rPr>
            <w:rStyle w:val="Hyperlink"/>
            <w:rFonts w:ascii="Times New Roman" w:hAnsi="Times New Roman"/>
            <w:sz w:val="24"/>
            <w:szCs w:val="24"/>
          </w:rPr>
          <w:t>www.bls.gov</w:t>
        </w:r>
      </w:hyperlink>
      <w:r w:rsidRPr="00B71956">
        <w:rPr>
          <w:rFonts w:ascii="Times New Roman" w:hAnsi="Times New Roman"/>
          <w:sz w:val="24"/>
          <w:szCs w:val="24"/>
        </w:rPr>
        <w:t>) the wage rate category for (Paralegal) for business or other for profit is estimated to be $57.90 per hour including the wage rate multiplier and State/local business wage rate is estimated to be ($38.61) including the wage multiplier.</w:t>
      </w:r>
    </w:p>
    <w:p w:rsidRPr="002B6A4A" w:rsidR="008404D5" w:rsidP="008404D5" w:rsidRDefault="008404D5" w14:paraId="02FAB179" w14:textId="65105C7B">
      <w:pPr>
        <w:rPr>
          <w:rFonts w:ascii="Times New Roman" w:hAnsi="Times New Roman"/>
          <w:sz w:val="24"/>
          <w:szCs w:val="24"/>
        </w:rPr>
      </w:pPr>
      <w:r w:rsidRPr="00B71956">
        <w:rPr>
          <w:rFonts w:ascii="Times New Roman" w:hAnsi="Times New Roman"/>
          <w:sz w:val="24"/>
          <w:szCs w:val="24"/>
        </w:rPr>
        <w:t xml:space="preserve">Therefore, the estimated total burden hour cost is estimated to be </w:t>
      </w:r>
      <w:r w:rsidRPr="00B71956">
        <w:rPr>
          <w:rFonts w:ascii="Times New Roman" w:hAnsi="Times New Roman"/>
          <w:b/>
          <w:bCs/>
          <w:sz w:val="24"/>
          <w:szCs w:val="24"/>
        </w:rPr>
        <w:t>$</w:t>
      </w:r>
      <w:r w:rsidR="00EC3A37">
        <w:rPr>
          <w:rFonts w:ascii="Times New Roman" w:hAnsi="Times New Roman"/>
          <w:b/>
          <w:bCs/>
          <w:sz w:val="24"/>
          <w:szCs w:val="24"/>
        </w:rPr>
        <w:t>9,86</w:t>
      </w:r>
      <w:r w:rsidR="00917C68">
        <w:rPr>
          <w:rFonts w:ascii="Times New Roman" w:hAnsi="Times New Roman"/>
          <w:b/>
          <w:bCs/>
          <w:sz w:val="24"/>
          <w:szCs w:val="24"/>
        </w:rPr>
        <w:t>2</w:t>
      </w:r>
      <w:r w:rsidR="00BB5CD8">
        <w:rPr>
          <w:rFonts w:ascii="Times New Roman" w:hAnsi="Times New Roman"/>
          <w:b/>
          <w:bCs/>
          <w:sz w:val="24"/>
          <w:szCs w:val="24"/>
        </w:rPr>
        <w:t>.</w:t>
      </w:r>
      <w:r w:rsidR="00917C68">
        <w:rPr>
          <w:rFonts w:ascii="Times New Roman" w:hAnsi="Times New Roman"/>
          <w:b/>
          <w:bCs/>
          <w:sz w:val="24"/>
          <w:szCs w:val="24"/>
        </w:rPr>
        <w:t>97</w:t>
      </w:r>
      <w:r w:rsidRPr="00B71956" w:rsidR="006C6F53">
        <w:rPr>
          <w:rFonts w:ascii="Times New Roman" w:hAnsi="Times New Roman"/>
          <w:b/>
          <w:bCs/>
          <w:sz w:val="24"/>
          <w:szCs w:val="24"/>
        </w:rPr>
        <w:t xml:space="preserve"> </w:t>
      </w:r>
      <w:r w:rsidRPr="00B71956">
        <w:rPr>
          <w:rFonts w:ascii="Times New Roman" w:hAnsi="Times New Roman"/>
          <w:sz w:val="24"/>
          <w:szCs w:val="24"/>
        </w:rPr>
        <w:t>annually</w:t>
      </w:r>
      <w:r w:rsidR="009D5A58">
        <w:rPr>
          <w:rFonts w:ascii="Times New Roman" w:hAnsi="Times New Roman"/>
          <w:sz w:val="24"/>
          <w:szCs w:val="24"/>
        </w:rPr>
        <w:t>.</w:t>
      </w:r>
    </w:p>
    <w:p w:rsidRPr="00C879B4" w:rsidR="00FA2F70" w:rsidP="00FA2F70" w:rsidRDefault="00FA2F70" w14:paraId="66772594"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4D19A0B5" w14:textId="77777777">
        <w:tc>
          <w:tcPr>
            <w:tcW w:w="9360" w:type="dxa"/>
            <w:shd w:val="clear" w:color="auto" w:fill="auto"/>
          </w:tcPr>
          <w:p w:rsidRPr="00C879B4" w:rsidR="0021340A" w:rsidP="001B4FB5" w:rsidRDefault="0021340A" w14:paraId="03E9889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Pr="00C879B4" w:rsidR="0021340A" w:rsidP="001B4FB5" w:rsidRDefault="0021340A" w14:paraId="3128FF70" w14:textId="77777777">
            <w:pPr>
              <w:spacing w:after="0" w:line="240" w:lineRule="auto"/>
              <w:rPr>
                <w:rFonts w:ascii="Times New Roman" w:hAnsi="Times New Roman"/>
                <w:b/>
                <w:color w:val="000000"/>
                <w:sz w:val="24"/>
                <w:szCs w:val="24"/>
              </w:rPr>
            </w:pPr>
          </w:p>
          <w:p w:rsidRPr="00C879B4" w:rsidR="0021340A" w:rsidP="001B4FB5" w:rsidRDefault="0021340A" w14:paraId="0CDC4096"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C879B4" w:rsidR="0021340A" w:rsidP="001B4FB5" w:rsidRDefault="0021340A" w14:paraId="78A6663F" w14:textId="77777777">
            <w:pPr>
              <w:spacing w:after="0" w:line="240" w:lineRule="auto"/>
              <w:rPr>
                <w:rFonts w:ascii="Times New Roman" w:hAnsi="Times New Roman"/>
                <w:color w:val="000000"/>
                <w:sz w:val="24"/>
                <w:szCs w:val="24"/>
              </w:rPr>
            </w:pPr>
          </w:p>
          <w:p w:rsidRPr="00C879B4" w:rsidR="0021340A" w:rsidP="001B4FB5" w:rsidRDefault="0021340A" w14:paraId="22AD8217"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C879B4" w:rsidR="0021340A" w:rsidP="001B4FB5" w:rsidRDefault="0021340A" w14:paraId="756461ED" w14:textId="77777777">
            <w:pPr>
              <w:spacing w:after="0" w:line="240" w:lineRule="auto"/>
              <w:rPr>
                <w:rFonts w:ascii="Times New Roman" w:hAnsi="Times New Roman"/>
                <w:color w:val="000000"/>
                <w:sz w:val="24"/>
                <w:szCs w:val="24"/>
              </w:rPr>
            </w:pPr>
          </w:p>
          <w:p w:rsidRPr="00C879B4" w:rsidR="0021340A" w:rsidP="001B4FB5" w:rsidRDefault="0021340A" w14:paraId="270DBC6E"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lastRenderedPageBreak/>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21340A" w:rsidP="001B4FB5" w:rsidRDefault="0021340A" w14:paraId="5502A133" w14:textId="77777777">
            <w:pPr>
              <w:spacing w:after="0" w:line="240" w:lineRule="auto"/>
              <w:rPr>
                <w:rFonts w:ascii="Times New Roman" w:hAnsi="Times New Roman"/>
                <w:b/>
                <w:color w:val="000000"/>
                <w:sz w:val="24"/>
                <w:szCs w:val="24"/>
              </w:rPr>
            </w:pPr>
          </w:p>
          <w:p w:rsidR="0032023D" w:rsidP="0032023D" w:rsidRDefault="0032023D" w14:paraId="61FEF74B" w14:textId="038A61AB">
            <w:pPr>
              <w:spacing w:after="0" w:line="240" w:lineRule="auto"/>
              <w:rPr>
                <w:rFonts w:ascii="Times New Roman" w:hAnsi="Times New Roman"/>
                <w:color w:val="000000"/>
                <w:sz w:val="24"/>
                <w:szCs w:val="24"/>
              </w:rPr>
            </w:pPr>
            <w:r w:rsidRPr="00783C71">
              <w:rPr>
                <w:rFonts w:ascii="Times New Roman" w:hAnsi="Times New Roman"/>
                <w:sz w:val="24"/>
                <w:szCs w:val="24"/>
              </w:rPr>
              <w:t>There are no record keeping, capital, start-up or maintenance costs associated with this information collection</w:t>
            </w:r>
            <w:r>
              <w:rPr>
                <w:rFonts w:ascii="Times New Roman" w:hAnsi="Times New Roman"/>
                <w:sz w:val="24"/>
                <w:szCs w:val="24"/>
              </w:rPr>
              <w:t>.</w:t>
            </w:r>
          </w:p>
          <w:p w:rsidRPr="00C879B4" w:rsidR="003A06B5" w:rsidP="001B4FB5" w:rsidRDefault="003A06B5" w14:paraId="60EF082D" w14:textId="77777777">
            <w:pPr>
              <w:spacing w:after="0" w:line="240" w:lineRule="auto"/>
              <w:rPr>
                <w:rFonts w:ascii="Times New Roman" w:hAnsi="Times New Roman"/>
                <w:b/>
                <w:color w:val="000000"/>
                <w:sz w:val="24"/>
                <w:szCs w:val="24"/>
              </w:rPr>
            </w:pPr>
          </w:p>
        </w:tc>
      </w:tr>
      <w:tr w:rsidRPr="00C879B4" w:rsidR="0021340A" w:rsidTr="00D35DDB" w14:paraId="39AD271C" w14:textId="77777777">
        <w:tc>
          <w:tcPr>
            <w:tcW w:w="9360" w:type="dxa"/>
            <w:shd w:val="clear" w:color="auto" w:fill="auto"/>
          </w:tcPr>
          <w:p w:rsidRPr="00C879B4" w:rsidR="0021340A" w:rsidP="001B4FB5" w:rsidRDefault="0021340A" w14:paraId="6B370AFB" w14:textId="77777777">
            <w:pPr>
              <w:spacing w:after="0" w:line="240" w:lineRule="auto"/>
              <w:rPr>
                <w:rFonts w:ascii="Times New Roman" w:hAnsi="Times New Roman"/>
                <w:b/>
                <w:color w:val="000000"/>
                <w:sz w:val="24"/>
                <w:szCs w:val="24"/>
              </w:rPr>
            </w:pPr>
          </w:p>
        </w:tc>
      </w:tr>
    </w:tbl>
    <w:p w:rsidRPr="00C879B4" w:rsidR="0021340A" w:rsidP="00FA2F70" w:rsidRDefault="0021340A" w14:paraId="42C2349D" w14:textId="77777777">
      <w:pPr>
        <w:spacing w:after="0" w:line="240" w:lineRule="auto"/>
        <w:rPr>
          <w:rFonts w:ascii="Times New Roman" w:hAnsi="Times New Roman"/>
          <w:b/>
          <w:color w:val="000000"/>
          <w:sz w:val="24"/>
          <w:szCs w:val="24"/>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9252"/>
      </w:tblGrid>
      <w:tr w:rsidRPr="00C879B4" w:rsidR="0021340A" w:rsidTr="00D35DDB" w14:paraId="65D0B9D9" w14:textId="77777777">
        <w:tc>
          <w:tcPr>
            <w:tcW w:w="9360" w:type="dxa"/>
            <w:tcBorders>
              <w:top w:val="nil"/>
              <w:left w:val="nil"/>
              <w:bottom w:val="nil"/>
              <w:right w:val="nil"/>
            </w:tcBorders>
            <w:shd w:val="clear" w:color="auto" w:fill="auto"/>
          </w:tcPr>
          <w:p w:rsidR="000646B7" w:rsidP="001B4FB5" w:rsidRDefault="0021340A" w14:paraId="2F6943E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0646B7" w:rsidP="001B4FB5" w:rsidRDefault="000646B7" w14:paraId="70E1A02B" w14:textId="68BF075D">
            <w:pPr>
              <w:spacing w:after="0" w:line="240" w:lineRule="auto"/>
              <w:rPr>
                <w:rFonts w:ascii="Times New Roman" w:hAnsi="Times New Roman"/>
                <w:color w:val="000000"/>
                <w:sz w:val="24"/>
                <w:szCs w:val="24"/>
              </w:rPr>
            </w:pPr>
          </w:p>
          <w:p w:rsidRPr="00C879B4" w:rsidR="00294E98" w:rsidP="001B4FB5" w:rsidRDefault="00294E98" w14:paraId="1ACA8157" w14:textId="77777777">
            <w:pPr>
              <w:spacing w:after="0" w:line="240" w:lineRule="auto"/>
              <w:rPr>
                <w:rFonts w:ascii="Times New Roman" w:hAnsi="Times New Roman"/>
                <w:color w:val="000000"/>
                <w:sz w:val="24"/>
                <w:szCs w:val="24"/>
              </w:rPr>
            </w:pPr>
          </w:p>
        </w:tc>
      </w:tr>
    </w:tbl>
    <w:p w:rsidRPr="000646B7" w:rsidR="000646B7" w:rsidP="000646B7" w:rsidRDefault="000646B7" w14:paraId="1376B278" w14:textId="77777777">
      <w:pPr>
        <w:tabs>
          <w:tab w:val="left" w:pos="360"/>
        </w:tabs>
        <w:spacing w:after="0" w:line="240" w:lineRule="auto"/>
        <w:jc w:val="center"/>
        <w:rPr>
          <w:rFonts w:ascii="Times New Roman" w:hAnsi="Times New Roman" w:eastAsia="Calibri"/>
          <w:b/>
          <w:bCs/>
          <w:sz w:val="24"/>
          <w:szCs w:val="24"/>
        </w:rPr>
      </w:pPr>
      <w:r w:rsidRPr="000646B7">
        <w:rPr>
          <w:rFonts w:ascii="Times New Roman" w:hAnsi="Times New Roman" w:eastAsia="Calibri"/>
          <w:b/>
          <w:bCs/>
          <w:sz w:val="24"/>
          <w:szCs w:val="24"/>
        </w:rPr>
        <w:t>Annual Cost to the Federal Government</w:t>
      </w: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80"/>
        <w:gridCol w:w="1518"/>
      </w:tblGrid>
      <w:tr w:rsidRPr="000646B7" w:rsidR="000646B7" w:rsidTr="00AA5516" w14:paraId="6D25414B" w14:textId="77777777">
        <w:trPr>
          <w:trHeight w:val="70"/>
        </w:trPr>
        <w:tc>
          <w:tcPr>
            <w:tcW w:w="7680" w:type="dxa"/>
            <w:shd w:val="clear" w:color="auto" w:fill="A5A5A5"/>
            <w:noWrap/>
            <w:vAlign w:val="center"/>
          </w:tcPr>
          <w:p w:rsidRPr="000646B7" w:rsidR="000646B7" w:rsidP="000646B7" w:rsidRDefault="000646B7" w14:paraId="4BA96A01" w14:textId="77777777">
            <w:pPr>
              <w:jc w:val="center"/>
              <w:rPr>
                <w:rFonts w:ascii="Arial" w:hAnsi="Arial" w:eastAsia="Calibri" w:cs="Arial"/>
                <w:b/>
                <w:bCs/>
                <w:sz w:val="20"/>
                <w:szCs w:val="20"/>
              </w:rPr>
            </w:pPr>
            <w:r w:rsidRPr="000646B7">
              <w:rPr>
                <w:rFonts w:ascii="Arial" w:hAnsi="Arial" w:eastAsia="Calibri" w:cs="Arial"/>
                <w:b/>
                <w:bCs/>
                <w:sz w:val="20"/>
                <w:szCs w:val="20"/>
              </w:rPr>
              <w:t>Item</w:t>
            </w:r>
          </w:p>
        </w:tc>
        <w:tc>
          <w:tcPr>
            <w:tcW w:w="1518" w:type="dxa"/>
            <w:shd w:val="clear" w:color="auto" w:fill="A5A5A5"/>
            <w:noWrap/>
          </w:tcPr>
          <w:p w:rsidRPr="000646B7" w:rsidR="000646B7" w:rsidP="000646B7" w:rsidRDefault="000646B7" w14:paraId="3D547BFC" w14:textId="77777777">
            <w:pPr>
              <w:jc w:val="center"/>
              <w:rPr>
                <w:rFonts w:ascii="Arial" w:hAnsi="Arial" w:eastAsia="Calibri" w:cs="Arial"/>
                <w:b/>
                <w:bCs/>
                <w:sz w:val="20"/>
                <w:szCs w:val="20"/>
              </w:rPr>
            </w:pPr>
            <w:r w:rsidRPr="000646B7">
              <w:rPr>
                <w:rFonts w:ascii="Arial" w:hAnsi="Arial" w:eastAsia="Calibri" w:cs="Arial"/>
                <w:b/>
                <w:bCs/>
                <w:sz w:val="20"/>
                <w:szCs w:val="20"/>
              </w:rPr>
              <w:t>Cost ($)</w:t>
            </w:r>
          </w:p>
        </w:tc>
      </w:tr>
      <w:tr w:rsidRPr="000646B7" w:rsidR="000646B7" w:rsidTr="00AA5516" w14:paraId="4AF3D1B1" w14:textId="77777777">
        <w:trPr>
          <w:trHeight w:val="495"/>
        </w:trPr>
        <w:tc>
          <w:tcPr>
            <w:tcW w:w="7680" w:type="dxa"/>
          </w:tcPr>
          <w:p w:rsidR="000646B7" w:rsidP="000646B7" w:rsidRDefault="000646B7" w14:paraId="4946D6C7" w14:textId="77777777">
            <w:pPr>
              <w:rPr>
                <w:rFonts w:ascii="Times New Roman" w:hAnsi="Times New Roman" w:eastAsia="Calibri"/>
                <w:sz w:val="18"/>
                <w:szCs w:val="18"/>
              </w:rPr>
            </w:pPr>
            <w:r w:rsidRPr="000646B7">
              <w:rPr>
                <w:rFonts w:ascii="Times New Roman" w:hAnsi="Times New Roman" w:eastAsia="Calibri"/>
                <w:sz w:val="18"/>
                <w:szCs w:val="18"/>
              </w:rPr>
              <w:t xml:space="preserve">Contract Costs </w:t>
            </w:r>
            <w:r w:rsidRPr="000646B7">
              <w:rPr>
                <w:rFonts w:ascii="Times New Roman" w:hAnsi="Times New Roman" w:eastAsia="Calibri"/>
                <w:b/>
                <w:sz w:val="18"/>
                <w:szCs w:val="18"/>
              </w:rPr>
              <w:t>[Describe]</w:t>
            </w:r>
            <w:r w:rsidRPr="000646B7">
              <w:rPr>
                <w:rFonts w:ascii="Times New Roman" w:hAnsi="Times New Roman" w:eastAsia="Calibri"/>
                <w:sz w:val="18"/>
                <w:szCs w:val="18"/>
              </w:rPr>
              <w:t xml:space="preserve"> </w:t>
            </w:r>
          </w:p>
          <w:p w:rsidRPr="000646B7" w:rsidR="00E15158" w:rsidP="000646B7" w:rsidRDefault="00E15158" w14:paraId="3DAA65F0" w14:textId="77777777">
            <w:pPr>
              <w:rPr>
                <w:rFonts w:ascii="Times New Roman" w:hAnsi="Times New Roman" w:eastAsia="Calibri"/>
                <w:sz w:val="18"/>
                <w:szCs w:val="18"/>
              </w:rPr>
            </w:pPr>
          </w:p>
        </w:tc>
        <w:tc>
          <w:tcPr>
            <w:tcW w:w="1518" w:type="dxa"/>
          </w:tcPr>
          <w:p w:rsidRPr="000646B7" w:rsidR="000646B7" w:rsidP="000646B7" w:rsidRDefault="000646B7" w14:paraId="4D157344" w14:textId="77777777">
            <w:pPr>
              <w:rPr>
                <w:rFonts w:ascii="Times New Roman" w:hAnsi="Times New Roman" w:eastAsia="Calibri"/>
                <w:sz w:val="18"/>
                <w:szCs w:val="18"/>
              </w:rPr>
            </w:pPr>
            <w:r w:rsidRPr="000646B7">
              <w:rPr>
                <w:rFonts w:ascii="Times New Roman" w:hAnsi="Times New Roman" w:eastAsia="Calibri"/>
                <w:sz w:val="18"/>
                <w:szCs w:val="18"/>
              </w:rPr>
              <w:t> </w:t>
            </w:r>
          </w:p>
        </w:tc>
      </w:tr>
      <w:tr w:rsidRPr="000646B7" w:rsidR="000646B7" w:rsidTr="00AA5516" w14:paraId="76D2FCEA" w14:textId="77777777">
        <w:trPr>
          <w:trHeight w:val="510"/>
        </w:trPr>
        <w:tc>
          <w:tcPr>
            <w:tcW w:w="7680" w:type="dxa"/>
          </w:tcPr>
          <w:p w:rsidRPr="00AA5516" w:rsidR="000646B7" w:rsidP="000646B7" w:rsidRDefault="000646B7" w14:paraId="06C052EA" w14:textId="4B1FC827">
            <w:pPr>
              <w:rPr>
                <w:rFonts w:ascii="Times New Roman" w:hAnsi="Times New Roman" w:eastAsia="Calibri"/>
              </w:rPr>
            </w:pPr>
            <w:r w:rsidRPr="000646B7">
              <w:rPr>
                <w:rFonts w:ascii="Times New Roman" w:hAnsi="Times New Roman" w:eastAsia="Calibri"/>
                <w:sz w:val="18"/>
                <w:szCs w:val="18"/>
              </w:rPr>
              <w:t xml:space="preserve">Staff Salaries* </w:t>
            </w:r>
            <w:r w:rsidRPr="000646B7">
              <w:rPr>
                <w:rFonts w:ascii="Times New Roman" w:hAnsi="Times New Roman" w:eastAsia="Calibri"/>
                <w:b/>
                <w:bCs/>
                <w:sz w:val="18"/>
                <w:szCs w:val="18"/>
              </w:rPr>
              <w:t>[ _#_ of GS __ , step__ employees spending approximately ____% of time annually ….(description)……… for this data collection] [</w:t>
            </w:r>
            <w:r>
              <w:rPr>
                <w:rFonts w:ascii="Times New Roman" w:hAnsi="Times New Roman" w:eastAsia="Calibri"/>
                <w:b/>
                <w:bCs/>
                <w:sz w:val="18"/>
                <w:szCs w:val="18"/>
              </w:rPr>
              <w:t>S</w:t>
            </w:r>
            <w:r w:rsidRPr="000646B7">
              <w:rPr>
                <w:rFonts w:ascii="Times New Roman" w:hAnsi="Times New Roman" w:eastAsia="Calibri"/>
                <w:b/>
                <w:bCs/>
                <w:sz w:val="18"/>
                <w:szCs w:val="18"/>
              </w:rPr>
              <w:t>how calculations for this here</w:t>
            </w:r>
            <w:r>
              <w:rPr>
                <w:rFonts w:ascii="Times New Roman" w:hAnsi="Times New Roman" w:eastAsia="Calibri"/>
                <w:b/>
                <w:bCs/>
                <w:sz w:val="18"/>
                <w:szCs w:val="18"/>
              </w:rPr>
              <w:t>. For example,</w:t>
            </w:r>
            <w:r w:rsidRPr="00AA5516">
              <w:rPr>
                <w:rFonts w:ascii="Times New Roman" w:hAnsi="Times New Roman" w:eastAsia="Calibri"/>
              </w:rPr>
              <w:t xml:space="preserve"> </w:t>
            </w:r>
            <w:bookmarkStart w:name="_Hlk522191515" w:id="1"/>
            <w:r w:rsidRPr="00526ADC" w:rsidR="00526ADC">
              <w:rPr>
                <w:rFonts w:ascii="Times New Roman" w:hAnsi="Times New Roman" w:eastAsia="Calibri"/>
                <w:b/>
                <w:bCs/>
                <w:sz w:val="18"/>
                <w:szCs w:val="18"/>
              </w:rPr>
              <w:t xml:space="preserve">1 </w:t>
            </w:r>
            <w:r w:rsidR="002C7DF4">
              <w:rPr>
                <w:rFonts w:ascii="Times New Roman" w:hAnsi="Times New Roman" w:eastAsia="Calibri"/>
                <w:b/>
                <w:bCs/>
                <w:sz w:val="18"/>
                <w:szCs w:val="18"/>
              </w:rPr>
              <w:t xml:space="preserve">(GS-12, Step 1) </w:t>
            </w:r>
            <w:r w:rsidR="002210E1">
              <w:rPr>
                <w:rFonts w:ascii="Times New Roman" w:hAnsi="Times New Roman" w:eastAsia="Calibri"/>
                <w:b/>
                <w:bCs/>
                <w:sz w:val="18"/>
                <w:szCs w:val="18"/>
              </w:rPr>
              <w:t>@</w:t>
            </w:r>
            <w:r w:rsidRPr="00526ADC" w:rsidR="00526ADC">
              <w:rPr>
                <w:rFonts w:ascii="Times New Roman" w:hAnsi="Times New Roman" w:eastAsia="Calibri"/>
                <w:b/>
                <w:bCs/>
                <w:sz w:val="18"/>
                <w:szCs w:val="18"/>
              </w:rPr>
              <w:t xml:space="preserve"> </w:t>
            </w:r>
            <w:r w:rsidR="002210E1">
              <w:rPr>
                <w:rFonts w:ascii="Times New Roman" w:hAnsi="Times New Roman" w:eastAsia="Calibri"/>
                <w:b/>
                <w:bCs/>
                <w:sz w:val="18"/>
                <w:szCs w:val="18"/>
              </w:rPr>
              <w:t>$86,335,00</w:t>
            </w:r>
            <w:r w:rsidRPr="00526ADC" w:rsidR="00526ADC">
              <w:rPr>
                <w:rFonts w:ascii="Times New Roman" w:hAnsi="Times New Roman" w:eastAsia="Calibri"/>
                <w:b/>
                <w:bCs/>
                <w:sz w:val="18"/>
                <w:szCs w:val="18"/>
              </w:rPr>
              <w:t>= $8</w:t>
            </w:r>
            <w:r w:rsidR="002210E1">
              <w:rPr>
                <w:rFonts w:ascii="Times New Roman" w:hAnsi="Times New Roman" w:eastAsia="Calibri"/>
                <w:b/>
                <w:bCs/>
                <w:sz w:val="18"/>
                <w:szCs w:val="18"/>
              </w:rPr>
              <w:t>6,335,00</w:t>
            </w:r>
            <w:r w:rsidR="00353CF6">
              <w:rPr>
                <w:rFonts w:ascii="Times New Roman" w:hAnsi="Times New Roman" w:eastAsia="Calibri"/>
                <w:b/>
                <w:bCs/>
                <w:sz w:val="18"/>
                <w:szCs w:val="18"/>
              </w:rPr>
              <w:t xml:space="preserve"> </w:t>
            </w:r>
            <w:r w:rsidRPr="00526ADC" w:rsidR="00526ADC">
              <w:rPr>
                <w:rFonts w:ascii="Times New Roman" w:hAnsi="Times New Roman" w:eastAsia="Calibri"/>
                <w:b/>
                <w:bCs/>
                <w:sz w:val="18"/>
                <w:szCs w:val="18"/>
              </w:rPr>
              <w:t>x 1.46 (wage rate multiplier) = $</w:t>
            </w:r>
            <w:r w:rsidR="002210E1">
              <w:rPr>
                <w:rFonts w:ascii="Times New Roman" w:hAnsi="Times New Roman" w:eastAsia="Calibri"/>
                <w:b/>
                <w:bCs/>
                <w:sz w:val="18"/>
                <w:szCs w:val="18"/>
              </w:rPr>
              <w:t>126,049.10</w:t>
            </w:r>
            <w:r w:rsidRPr="00526ADC" w:rsidR="00526ADC">
              <w:rPr>
                <w:rFonts w:ascii="Times New Roman" w:hAnsi="Times New Roman" w:eastAsia="Calibri"/>
                <w:b/>
                <w:bCs/>
                <w:sz w:val="18"/>
                <w:szCs w:val="18"/>
              </w:rPr>
              <w:t xml:space="preserve"> (fully-loaded) x .50 (50% of time spent) = $</w:t>
            </w:r>
            <w:r w:rsidR="002210E1">
              <w:rPr>
                <w:rFonts w:ascii="Times New Roman" w:hAnsi="Times New Roman" w:eastAsia="Calibri"/>
                <w:b/>
                <w:bCs/>
                <w:sz w:val="18"/>
                <w:szCs w:val="18"/>
              </w:rPr>
              <w:t>63,024,55</w:t>
            </w:r>
            <w:bookmarkEnd w:id="1"/>
            <w:r w:rsidR="002210E1">
              <w:rPr>
                <w:rFonts w:ascii="Times New Roman" w:hAnsi="Times New Roman" w:eastAsia="Calibri"/>
                <w:b/>
                <w:bCs/>
                <w:sz w:val="18"/>
                <w:szCs w:val="18"/>
              </w:rPr>
              <w:t>.</w:t>
            </w:r>
          </w:p>
        </w:tc>
        <w:tc>
          <w:tcPr>
            <w:tcW w:w="1518" w:type="dxa"/>
            <w:noWrap/>
          </w:tcPr>
          <w:p w:rsidR="000646B7" w:rsidP="00353CF6" w:rsidRDefault="000646B7" w14:paraId="1B3985CB" w14:textId="1D4E5E94">
            <w:pPr>
              <w:jc w:val="right"/>
              <w:rPr>
                <w:rFonts w:ascii="Times New Roman" w:hAnsi="Times New Roman" w:eastAsia="Calibri"/>
                <w:sz w:val="18"/>
                <w:szCs w:val="18"/>
              </w:rPr>
            </w:pPr>
          </w:p>
          <w:p w:rsidRPr="000646B7" w:rsidR="007A16F1" w:rsidP="00353CF6" w:rsidRDefault="007A16F1" w14:paraId="08CE8BB9" w14:textId="77777777">
            <w:pPr>
              <w:jc w:val="right"/>
              <w:rPr>
                <w:rFonts w:ascii="Times New Roman" w:hAnsi="Times New Roman" w:eastAsia="Calibri"/>
                <w:sz w:val="18"/>
                <w:szCs w:val="18"/>
              </w:rPr>
            </w:pPr>
            <w:r>
              <w:rPr>
                <w:rFonts w:ascii="Times New Roman" w:hAnsi="Times New Roman" w:eastAsia="Calibri"/>
                <w:sz w:val="18"/>
                <w:szCs w:val="18"/>
              </w:rPr>
              <w:t>$63,024.55</w:t>
            </w:r>
          </w:p>
        </w:tc>
      </w:tr>
      <w:tr w:rsidRPr="000646B7" w:rsidR="000646B7" w:rsidTr="00AA5516" w14:paraId="5C399CA7" w14:textId="77777777">
        <w:trPr>
          <w:trHeight w:val="270"/>
        </w:trPr>
        <w:tc>
          <w:tcPr>
            <w:tcW w:w="7680" w:type="dxa"/>
            <w:noWrap/>
          </w:tcPr>
          <w:p w:rsidRPr="000646B7" w:rsidR="000646B7" w:rsidP="000646B7" w:rsidRDefault="000646B7" w14:paraId="173D8C81" w14:textId="77777777">
            <w:pPr>
              <w:rPr>
                <w:rFonts w:ascii="Times New Roman" w:hAnsi="Times New Roman" w:eastAsia="Calibri"/>
                <w:sz w:val="18"/>
                <w:szCs w:val="18"/>
              </w:rPr>
            </w:pPr>
            <w:r w:rsidRPr="000646B7">
              <w:rPr>
                <w:rFonts w:ascii="Times New Roman" w:hAnsi="Times New Roman" w:eastAsia="Calibri"/>
                <w:sz w:val="18"/>
                <w:szCs w:val="18"/>
              </w:rPr>
              <w:t xml:space="preserve">Facilities </w:t>
            </w:r>
            <w:r w:rsidRPr="000646B7">
              <w:rPr>
                <w:rFonts w:ascii="Times New Roman" w:hAnsi="Times New Roman" w:eastAsia="Calibri"/>
                <w:b/>
                <w:sz w:val="18"/>
                <w:szCs w:val="18"/>
              </w:rPr>
              <w:t>[cost for renting, overhead, etc. for data collection activity]</w:t>
            </w:r>
          </w:p>
        </w:tc>
        <w:tc>
          <w:tcPr>
            <w:tcW w:w="1518" w:type="dxa"/>
            <w:noWrap/>
          </w:tcPr>
          <w:p w:rsidRPr="000646B7" w:rsidR="000646B7" w:rsidP="00353CF6" w:rsidRDefault="000646B7" w14:paraId="2F43EF21" w14:textId="628F2882">
            <w:pPr>
              <w:jc w:val="right"/>
              <w:rPr>
                <w:rFonts w:ascii="Times New Roman" w:hAnsi="Times New Roman" w:eastAsia="Calibri"/>
                <w:sz w:val="18"/>
                <w:szCs w:val="18"/>
              </w:rPr>
            </w:pPr>
          </w:p>
        </w:tc>
      </w:tr>
      <w:tr w:rsidRPr="000646B7" w:rsidR="000646B7" w:rsidTr="00AA5516" w14:paraId="2079DFDD" w14:textId="77777777">
        <w:trPr>
          <w:trHeight w:val="240"/>
        </w:trPr>
        <w:tc>
          <w:tcPr>
            <w:tcW w:w="7680" w:type="dxa"/>
            <w:noWrap/>
          </w:tcPr>
          <w:p w:rsidRPr="000646B7" w:rsidR="000646B7" w:rsidP="000646B7" w:rsidRDefault="000646B7" w14:paraId="293BA071" w14:textId="77777777">
            <w:pPr>
              <w:rPr>
                <w:rFonts w:ascii="Times New Roman" w:hAnsi="Times New Roman" w:eastAsia="Calibri"/>
                <w:sz w:val="18"/>
                <w:szCs w:val="18"/>
              </w:rPr>
            </w:pPr>
            <w:r w:rsidRPr="000646B7">
              <w:rPr>
                <w:rFonts w:ascii="Times New Roman" w:hAnsi="Times New Roman" w:eastAsia="Calibri"/>
                <w:sz w:val="18"/>
                <w:szCs w:val="18"/>
              </w:rPr>
              <w:t xml:space="preserve">Computer Hardware and Software </w:t>
            </w:r>
            <w:r w:rsidRPr="000646B7">
              <w:rPr>
                <w:rFonts w:ascii="Times New Roman" w:hAnsi="Times New Roman" w:eastAsia="Calibri"/>
                <w:b/>
                <w:sz w:val="18"/>
                <w:szCs w:val="18"/>
              </w:rPr>
              <w:t>[cost of equipment annual lifecycle]</w:t>
            </w:r>
          </w:p>
        </w:tc>
        <w:tc>
          <w:tcPr>
            <w:tcW w:w="1518" w:type="dxa"/>
            <w:noWrap/>
          </w:tcPr>
          <w:p w:rsidRPr="000646B7" w:rsidR="000646B7" w:rsidP="00353CF6" w:rsidRDefault="000646B7" w14:paraId="6F86C67F" w14:textId="2911EDC7">
            <w:pPr>
              <w:jc w:val="right"/>
              <w:rPr>
                <w:rFonts w:ascii="Times New Roman" w:hAnsi="Times New Roman" w:eastAsia="Calibri"/>
                <w:sz w:val="18"/>
                <w:szCs w:val="18"/>
              </w:rPr>
            </w:pPr>
          </w:p>
        </w:tc>
      </w:tr>
      <w:tr w:rsidRPr="000646B7" w:rsidR="000646B7" w:rsidTr="00AA5516" w14:paraId="6F907082" w14:textId="77777777">
        <w:trPr>
          <w:trHeight w:val="255"/>
        </w:trPr>
        <w:tc>
          <w:tcPr>
            <w:tcW w:w="7680" w:type="dxa"/>
            <w:noWrap/>
          </w:tcPr>
          <w:p w:rsidRPr="000646B7" w:rsidR="000646B7" w:rsidP="000646B7" w:rsidRDefault="000646B7" w14:paraId="7E8DE026" w14:textId="77777777">
            <w:pPr>
              <w:rPr>
                <w:rFonts w:ascii="Times New Roman" w:hAnsi="Times New Roman" w:eastAsia="Calibri"/>
                <w:sz w:val="18"/>
                <w:szCs w:val="18"/>
              </w:rPr>
            </w:pPr>
            <w:r w:rsidRPr="000646B7">
              <w:rPr>
                <w:rFonts w:ascii="Times New Roman" w:hAnsi="Times New Roman" w:eastAsia="Calibri"/>
                <w:sz w:val="18"/>
                <w:szCs w:val="18"/>
              </w:rPr>
              <w:t xml:space="preserve">Equipment Maintenance </w:t>
            </w:r>
            <w:r w:rsidRPr="000646B7">
              <w:rPr>
                <w:rFonts w:ascii="Times New Roman" w:hAnsi="Times New Roman" w:eastAsia="Calibri"/>
                <w:b/>
                <w:sz w:val="18"/>
                <w:szCs w:val="18"/>
              </w:rPr>
              <w:t>[cost of annual maintenance/service agreements for equipment]</w:t>
            </w:r>
          </w:p>
        </w:tc>
        <w:tc>
          <w:tcPr>
            <w:tcW w:w="1518" w:type="dxa"/>
            <w:noWrap/>
          </w:tcPr>
          <w:p w:rsidRPr="000646B7" w:rsidR="000646B7" w:rsidP="00353CF6" w:rsidRDefault="000646B7" w14:paraId="23DCFADB" w14:textId="2FDBAA02">
            <w:pPr>
              <w:jc w:val="right"/>
              <w:rPr>
                <w:rFonts w:ascii="Times New Roman" w:hAnsi="Times New Roman" w:eastAsia="Calibri"/>
                <w:sz w:val="18"/>
                <w:szCs w:val="18"/>
              </w:rPr>
            </w:pPr>
          </w:p>
        </w:tc>
      </w:tr>
      <w:tr w:rsidRPr="000646B7" w:rsidR="000646B7" w:rsidTr="00AA5516" w14:paraId="51C93B75" w14:textId="77777777">
        <w:trPr>
          <w:trHeight w:val="255"/>
        </w:trPr>
        <w:tc>
          <w:tcPr>
            <w:tcW w:w="7680" w:type="dxa"/>
            <w:noWrap/>
          </w:tcPr>
          <w:p w:rsidRPr="000646B7" w:rsidR="000646B7" w:rsidP="000646B7" w:rsidRDefault="000646B7" w14:paraId="133919F9" w14:textId="77777777">
            <w:pPr>
              <w:rPr>
                <w:rFonts w:ascii="Times New Roman" w:hAnsi="Times New Roman" w:eastAsia="Calibri"/>
                <w:sz w:val="18"/>
                <w:szCs w:val="18"/>
              </w:rPr>
            </w:pPr>
            <w:r w:rsidRPr="000646B7">
              <w:rPr>
                <w:rFonts w:ascii="Times New Roman" w:hAnsi="Times New Roman" w:eastAsia="Calibri"/>
                <w:sz w:val="18"/>
                <w:szCs w:val="18"/>
              </w:rPr>
              <w:t xml:space="preserve">Travel </w:t>
            </w:r>
          </w:p>
        </w:tc>
        <w:tc>
          <w:tcPr>
            <w:tcW w:w="1518" w:type="dxa"/>
            <w:noWrap/>
          </w:tcPr>
          <w:p w:rsidRPr="000646B7" w:rsidR="000646B7" w:rsidP="00353CF6" w:rsidRDefault="000646B7" w14:paraId="10A62AEB" w14:textId="1915E9D8">
            <w:pPr>
              <w:jc w:val="right"/>
              <w:rPr>
                <w:rFonts w:ascii="Times New Roman" w:hAnsi="Times New Roman" w:eastAsia="Calibri"/>
                <w:sz w:val="18"/>
                <w:szCs w:val="18"/>
              </w:rPr>
            </w:pPr>
          </w:p>
        </w:tc>
      </w:tr>
      <w:tr w:rsidRPr="000646B7" w:rsidR="000646B7" w:rsidTr="00AA5516" w14:paraId="4020BB61" w14:textId="77777777">
        <w:trPr>
          <w:trHeight w:val="255"/>
        </w:trPr>
        <w:tc>
          <w:tcPr>
            <w:tcW w:w="7680" w:type="dxa"/>
            <w:noWrap/>
          </w:tcPr>
          <w:p w:rsidRPr="000646B7" w:rsidR="000646B7" w:rsidP="000646B7" w:rsidRDefault="000646B7" w14:paraId="2FFAD949" w14:textId="77777777">
            <w:pPr>
              <w:rPr>
                <w:rFonts w:ascii="Times New Roman" w:hAnsi="Times New Roman" w:eastAsia="Calibri"/>
                <w:sz w:val="18"/>
                <w:szCs w:val="18"/>
              </w:rPr>
            </w:pPr>
            <w:r w:rsidRPr="000646B7">
              <w:rPr>
                <w:rFonts w:ascii="Times New Roman" w:hAnsi="Times New Roman" w:eastAsia="Calibri"/>
                <w:sz w:val="18"/>
                <w:szCs w:val="18"/>
              </w:rPr>
              <w:t xml:space="preserve">Printing </w:t>
            </w:r>
            <w:r w:rsidRPr="000646B7">
              <w:rPr>
                <w:rFonts w:ascii="Times New Roman" w:hAnsi="Times New Roman" w:eastAsia="Calibri"/>
                <w:b/>
                <w:sz w:val="18"/>
                <w:szCs w:val="18"/>
              </w:rPr>
              <w:t>[number of data collection instruments annually]</w:t>
            </w:r>
          </w:p>
        </w:tc>
        <w:tc>
          <w:tcPr>
            <w:tcW w:w="1518" w:type="dxa"/>
            <w:noWrap/>
          </w:tcPr>
          <w:p w:rsidRPr="000646B7" w:rsidR="000646B7" w:rsidP="00353CF6" w:rsidRDefault="000646B7" w14:paraId="456EA0EF" w14:textId="78B8B225">
            <w:pPr>
              <w:jc w:val="right"/>
              <w:rPr>
                <w:rFonts w:ascii="Times New Roman" w:hAnsi="Times New Roman" w:eastAsia="Calibri"/>
                <w:sz w:val="18"/>
                <w:szCs w:val="18"/>
              </w:rPr>
            </w:pPr>
          </w:p>
        </w:tc>
      </w:tr>
      <w:tr w:rsidRPr="000646B7" w:rsidR="000646B7" w:rsidTr="00AA5516" w14:paraId="1674178F" w14:textId="77777777">
        <w:trPr>
          <w:trHeight w:val="255"/>
        </w:trPr>
        <w:tc>
          <w:tcPr>
            <w:tcW w:w="7680" w:type="dxa"/>
            <w:noWrap/>
          </w:tcPr>
          <w:p w:rsidRPr="000646B7" w:rsidR="000646B7" w:rsidP="000646B7" w:rsidRDefault="000646B7" w14:paraId="42C147D0" w14:textId="77777777">
            <w:pPr>
              <w:rPr>
                <w:rFonts w:ascii="Times New Roman" w:hAnsi="Times New Roman" w:eastAsia="Calibri"/>
                <w:sz w:val="18"/>
                <w:szCs w:val="18"/>
              </w:rPr>
            </w:pPr>
            <w:r w:rsidRPr="000646B7">
              <w:rPr>
                <w:rFonts w:ascii="Times New Roman" w:hAnsi="Times New Roman" w:eastAsia="Calibri"/>
                <w:sz w:val="18"/>
                <w:szCs w:val="18"/>
              </w:rPr>
              <w:t xml:space="preserve">Postage </w:t>
            </w:r>
            <w:r w:rsidRPr="000646B7">
              <w:rPr>
                <w:rFonts w:ascii="Times New Roman" w:hAnsi="Times New Roman" w:eastAsia="Calibri"/>
                <w:b/>
                <w:sz w:val="18"/>
                <w:szCs w:val="18"/>
              </w:rPr>
              <w:t>[annual number of data collection instruments x postage]</w:t>
            </w:r>
          </w:p>
        </w:tc>
        <w:tc>
          <w:tcPr>
            <w:tcW w:w="1518" w:type="dxa"/>
            <w:noWrap/>
          </w:tcPr>
          <w:p w:rsidRPr="000646B7" w:rsidR="000646B7" w:rsidP="00353CF6" w:rsidRDefault="000646B7" w14:paraId="0BECCCA9" w14:textId="60973BDC">
            <w:pPr>
              <w:jc w:val="right"/>
              <w:rPr>
                <w:rFonts w:ascii="Times New Roman" w:hAnsi="Times New Roman" w:eastAsia="Calibri"/>
                <w:sz w:val="18"/>
                <w:szCs w:val="18"/>
              </w:rPr>
            </w:pPr>
          </w:p>
        </w:tc>
      </w:tr>
      <w:tr w:rsidRPr="000646B7" w:rsidR="000646B7" w:rsidTr="00AA5516" w14:paraId="4179D37D" w14:textId="77777777">
        <w:trPr>
          <w:trHeight w:val="255"/>
        </w:trPr>
        <w:tc>
          <w:tcPr>
            <w:tcW w:w="7680" w:type="dxa"/>
            <w:noWrap/>
          </w:tcPr>
          <w:p w:rsidRPr="000646B7" w:rsidR="000646B7" w:rsidP="000646B7" w:rsidRDefault="000646B7" w14:paraId="7EB88A35" w14:textId="77777777">
            <w:pPr>
              <w:rPr>
                <w:rFonts w:ascii="Times New Roman" w:hAnsi="Times New Roman" w:eastAsia="Calibri"/>
                <w:sz w:val="18"/>
                <w:szCs w:val="18"/>
              </w:rPr>
            </w:pPr>
            <w:r w:rsidRPr="000646B7">
              <w:rPr>
                <w:rFonts w:ascii="Times New Roman" w:hAnsi="Times New Roman" w:eastAsia="Calibri"/>
                <w:sz w:val="18"/>
                <w:szCs w:val="18"/>
              </w:rPr>
              <w:t>Other</w:t>
            </w:r>
          </w:p>
        </w:tc>
        <w:tc>
          <w:tcPr>
            <w:tcW w:w="1518" w:type="dxa"/>
            <w:noWrap/>
          </w:tcPr>
          <w:p w:rsidRPr="000646B7" w:rsidR="000646B7" w:rsidP="00353CF6" w:rsidRDefault="000646B7" w14:paraId="089B1B7A" w14:textId="24E06208">
            <w:pPr>
              <w:jc w:val="right"/>
              <w:rPr>
                <w:rFonts w:ascii="Times New Roman" w:hAnsi="Times New Roman" w:eastAsia="Calibri"/>
                <w:sz w:val="18"/>
                <w:szCs w:val="18"/>
              </w:rPr>
            </w:pPr>
          </w:p>
        </w:tc>
      </w:tr>
      <w:tr w:rsidRPr="000646B7" w:rsidR="000646B7" w:rsidTr="00AA5516" w14:paraId="78B5E92D" w14:textId="77777777">
        <w:trPr>
          <w:trHeight w:val="270"/>
        </w:trPr>
        <w:tc>
          <w:tcPr>
            <w:tcW w:w="7680" w:type="dxa"/>
            <w:noWrap/>
          </w:tcPr>
          <w:p w:rsidRPr="000646B7" w:rsidR="000646B7" w:rsidP="000646B7" w:rsidRDefault="000646B7" w14:paraId="79B336C7" w14:textId="77777777">
            <w:pPr>
              <w:rPr>
                <w:rFonts w:ascii="Times New Roman" w:hAnsi="Times New Roman" w:eastAsia="Calibri"/>
                <w:b/>
                <w:bCs/>
                <w:sz w:val="18"/>
                <w:szCs w:val="18"/>
              </w:rPr>
            </w:pPr>
            <w:r w:rsidRPr="000646B7">
              <w:rPr>
                <w:rFonts w:ascii="Times New Roman" w:hAnsi="Times New Roman" w:eastAsia="Calibri"/>
                <w:b/>
                <w:bCs/>
                <w:sz w:val="18"/>
                <w:szCs w:val="18"/>
              </w:rPr>
              <w:t>Total</w:t>
            </w:r>
          </w:p>
        </w:tc>
        <w:tc>
          <w:tcPr>
            <w:tcW w:w="1518" w:type="dxa"/>
            <w:noWrap/>
          </w:tcPr>
          <w:p w:rsidRPr="000646B7" w:rsidR="000646B7" w:rsidP="00353CF6" w:rsidRDefault="000646B7" w14:paraId="6B495E5C" w14:textId="77777777">
            <w:pPr>
              <w:jc w:val="right"/>
              <w:rPr>
                <w:rFonts w:ascii="Times New Roman" w:hAnsi="Times New Roman" w:eastAsia="Calibri"/>
                <w:b/>
                <w:bCs/>
                <w:sz w:val="18"/>
                <w:szCs w:val="18"/>
              </w:rPr>
            </w:pPr>
            <w:r w:rsidRPr="000646B7">
              <w:rPr>
                <w:rFonts w:ascii="Times New Roman" w:hAnsi="Times New Roman" w:eastAsia="Calibri"/>
                <w:b/>
                <w:bCs/>
                <w:sz w:val="18"/>
                <w:szCs w:val="18"/>
              </w:rPr>
              <w:t>$</w:t>
            </w:r>
            <w:r w:rsidR="00E15158">
              <w:rPr>
                <w:rFonts w:ascii="Times New Roman" w:hAnsi="Times New Roman" w:eastAsia="Calibri"/>
                <w:b/>
                <w:bCs/>
                <w:sz w:val="18"/>
                <w:szCs w:val="18"/>
              </w:rPr>
              <w:t>63,024.55</w:t>
            </w:r>
          </w:p>
        </w:tc>
      </w:tr>
    </w:tbl>
    <w:p w:rsidRPr="000646B7" w:rsidR="000646B7" w:rsidP="000646B7" w:rsidRDefault="000646B7" w14:paraId="75BF69FE"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fully-loaded wage rate.</w:t>
      </w:r>
    </w:p>
    <w:p w:rsidR="00D35DDB" w:rsidP="00FA2F70" w:rsidRDefault="00D35DDB" w14:paraId="4B521ED9" w14:textId="65D93387">
      <w:pPr>
        <w:spacing w:after="0" w:line="240" w:lineRule="auto"/>
        <w:rPr>
          <w:rFonts w:ascii="Times New Roman" w:hAnsi="Times New Roman"/>
          <w:color w:val="000000"/>
          <w:sz w:val="24"/>
          <w:szCs w:val="24"/>
        </w:rPr>
      </w:pPr>
    </w:p>
    <w:p w:rsidR="00B84CFF" w:rsidP="00FA2F70" w:rsidRDefault="00B84CFF" w14:paraId="589AAE2A" w14:textId="41185F38">
      <w:pPr>
        <w:spacing w:after="0" w:line="240" w:lineRule="auto"/>
        <w:rPr>
          <w:rFonts w:ascii="Times New Roman" w:hAnsi="Times New Roman"/>
          <w:color w:val="000000"/>
          <w:sz w:val="24"/>
          <w:szCs w:val="24"/>
        </w:rPr>
      </w:pPr>
    </w:p>
    <w:p w:rsidR="00B84CFF" w:rsidP="00FA2F70" w:rsidRDefault="00B84CFF" w14:paraId="5F09B8A4" w14:textId="12FD487E">
      <w:pPr>
        <w:spacing w:after="0" w:line="240" w:lineRule="auto"/>
        <w:rPr>
          <w:rFonts w:ascii="Times New Roman" w:hAnsi="Times New Roman"/>
          <w:color w:val="000000"/>
          <w:sz w:val="24"/>
          <w:szCs w:val="24"/>
        </w:rPr>
      </w:pPr>
    </w:p>
    <w:p w:rsidR="00B84CFF" w:rsidP="00FA2F70" w:rsidRDefault="00B84CFF" w14:paraId="19D2C63E" w14:textId="460C0267">
      <w:pPr>
        <w:spacing w:after="0" w:line="240" w:lineRule="auto"/>
        <w:rPr>
          <w:rFonts w:ascii="Times New Roman" w:hAnsi="Times New Roman"/>
          <w:color w:val="000000"/>
          <w:sz w:val="24"/>
          <w:szCs w:val="24"/>
        </w:rPr>
      </w:pPr>
    </w:p>
    <w:p w:rsidRPr="00C879B4" w:rsidR="00B84CFF" w:rsidP="00FA2F70" w:rsidRDefault="00B84CFF" w14:paraId="55C50701"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353CF6" w14:paraId="3FC44C11" w14:textId="77777777">
        <w:tc>
          <w:tcPr>
            <w:tcW w:w="9252" w:type="dxa"/>
            <w:shd w:val="clear" w:color="auto" w:fill="auto"/>
          </w:tcPr>
          <w:p w:rsidRPr="00C879B4" w:rsidR="0021340A" w:rsidP="001B4FB5" w:rsidRDefault="0021340A" w14:paraId="5BD3908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lastRenderedPageBreak/>
              <w:t xml:space="preserve">15. Explain the reasons for any program changes or adjustments reported in Items 13 or 14 of the OMB Form 83-I. </w:t>
            </w:r>
          </w:p>
          <w:p w:rsidRPr="00C879B4" w:rsidR="00560E48" w:rsidP="001B4FB5" w:rsidRDefault="00560E48" w14:paraId="5E5D63A3" w14:textId="77777777">
            <w:pPr>
              <w:spacing w:after="0" w:line="240" w:lineRule="auto"/>
              <w:rPr>
                <w:rFonts w:ascii="Times New Roman" w:hAnsi="Times New Roman"/>
                <w:color w:val="000000"/>
                <w:sz w:val="24"/>
                <w:szCs w:val="24"/>
              </w:rPr>
            </w:pPr>
          </w:p>
        </w:tc>
      </w:tr>
      <w:tr w:rsidRPr="00C879B4" w:rsidR="0021340A" w:rsidTr="00353CF6" w14:paraId="1BC5F7CB" w14:textId="77777777">
        <w:tc>
          <w:tcPr>
            <w:tcW w:w="9252" w:type="dxa"/>
            <w:shd w:val="clear" w:color="auto" w:fill="auto"/>
          </w:tcPr>
          <w:p w:rsidR="008D284D" w:rsidP="00B71956" w:rsidRDefault="00B71956" w14:paraId="7314A92B" w14:textId="3F7E43CF">
            <w:pPr>
              <w:spacing w:after="0" w:line="240" w:lineRule="auto"/>
              <w:rPr>
                <w:rFonts w:ascii="Times New Roman" w:hAnsi="Times New Roman"/>
                <w:bCs/>
                <w:color w:val="000000"/>
                <w:sz w:val="24"/>
                <w:szCs w:val="24"/>
              </w:rPr>
            </w:pPr>
            <w:r w:rsidRPr="005C1338">
              <w:rPr>
                <w:rFonts w:ascii="Times New Roman" w:hAnsi="Times New Roman"/>
                <w:bCs/>
                <w:color w:val="000000"/>
                <w:sz w:val="24"/>
                <w:szCs w:val="24"/>
              </w:rPr>
              <w:t>This is a</w:t>
            </w:r>
            <w:r>
              <w:rPr>
                <w:rFonts w:ascii="Times New Roman" w:hAnsi="Times New Roman"/>
                <w:bCs/>
                <w:color w:val="000000"/>
                <w:sz w:val="24"/>
                <w:szCs w:val="24"/>
              </w:rPr>
              <w:t xml:space="preserve"> revision</w:t>
            </w:r>
            <w:r w:rsidRPr="005C1338">
              <w:rPr>
                <w:rFonts w:ascii="Times New Roman" w:hAnsi="Times New Roman"/>
                <w:bCs/>
                <w:color w:val="000000"/>
                <w:sz w:val="24"/>
                <w:szCs w:val="24"/>
              </w:rPr>
              <w:t xml:space="preserve"> of a currently approved collection. </w:t>
            </w:r>
            <w:r w:rsidRPr="00A21F79">
              <w:rPr>
                <w:rFonts w:ascii="Times New Roman" w:hAnsi="Times New Roman"/>
                <w:bCs/>
                <w:color w:val="000000"/>
                <w:sz w:val="24"/>
                <w:szCs w:val="24"/>
              </w:rPr>
              <w:t>There has been a</w:t>
            </w:r>
            <w:r w:rsidR="008D284D">
              <w:rPr>
                <w:rFonts w:ascii="Times New Roman" w:hAnsi="Times New Roman"/>
                <w:bCs/>
                <w:color w:val="000000"/>
                <w:sz w:val="24"/>
                <w:szCs w:val="24"/>
              </w:rPr>
              <w:t>n</w:t>
            </w:r>
            <w:r w:rsidRPr="00A21F79">
              <w:rPr>
                <w:rFonts w:ascii="Times New Roman" w:hAnsi="Times New Roman"/>
                <w:bCs/>
                <w:color w:val="000000"/>
                <w:sz w:val="24"/>
                <w:szCs w:val="24"/>
              </w:rPr>
              <w:t xml:space="preserve"> </w:t>
            </w:r>
            <w:bookmarkStart w:name="_Hlk53657085" w:id="2"/>
            <w:r w:rsidR="008D284D">
              <w:rPr>
                <w:rFonts w:ascii="Times New Roman" w:hAnsi="Times New Roman"/>
                <w:bCs/>
                <w:color w:val="000000"/>
                <w:sz w:val="24"/>
                <w:szCs w:val="24"/>
              </w:rPr>
              <w:t xml:space="preserve">increase </w:t>
            </w:r>
            <w:r w:rsidRPr="00A21F79">
              <w:rPr>
                <w:rFonts w:ascii="Times New Roman" w:hAnsi="Times New Roman"/>
                <w:bCs/>
                <w:color w:val="000000"/>
                <w:sz w:val="24"/>
                <w:szCs w:val="24"/>
              </w:rPr>
              <w:t xml:space="preserve">in the </w:t>
            </w:r>
            <w:r w:rsidR="008D284D">
              <w:rPr>
                <w:rFonts w:ascii="Times New Roman" w:hAnsi="Times New Roman"/>
                <w:sz w:val="24"/>
                <w:szCs w:val="24"/>
              </w:rPr>
              <w:t>burden hours.  The increase is due to the public burden hour usage not being captured for HUD-2747 and HUD-1044-D forms and should have been captured</w:t>
            </w:r>
            <w:r w:rsidR="00F136BA">
              <w:rPr>
                <w:rFonts w:ascii="Times New Roman" w:hAnsi="Times New Roman"/>
                <w:sz w:val="24"/>
                <w:szCs w:val="24"/>
              </w:rPr>
              <w:t xml:space="preserve"> in the last OMB </w:t>
            </w:r>
            <w:r w:rsidR="0005773E">
              <w:rPr>
                <w:rFonts w:ascii="Times New Roman" w:hAnsi="Times New Roman"/>
                <w:sz w:val="24"/>
                <w:szCs w:val="24"/>
              </w:rPr>
              <w:t>submission</w:t>
            </w:r>
            <w:r w:rsidR="008D284D">
              <w:rPr>
                <w:rFonts w:ascii="Times New Roman" w:hAnsi="Times New Roman"/>
                <w:sz w:val="24"/>
                <w:szCs w:val="24"/>
              </w:rPr>
              <w:t xml:space="preserve">. </w:t>
            </w:r>
            <w:bookmarkEnd w:id="2"/>
          </w:p>
          <w:p w:rsidRPr="00C879B4" w:rsidR="0021340A" w:rsidP="001B4FB5" w:rsidRDefault="0021340A" w14:paraId="689AF56B" w14:textId="77777777">
            <w:pPr>
              <w:spacing w:after="0" w:line="240" w:lineRule="auto"/>
              <w:rPr>
                <w:rFonts w:ascii="Times New Roman" w:hAnsi="Times New Roman"/>
                <w:b/>
                <w:color w:val="000000"/>
                <w:sz w:val="24"/>
                <w:szCs w:val="24"/>
              </w:rPr>
            </w:pPr>
          </w:p>
        </w:tc>
      </w:tr>
    </w:tbl>
    <w:p w:rsidRPr="00C879B4" w:rsidR="00FA2F70" w:rsidP="00FA2F70" w:rsidRDefault="00FA2F70" w14:paraId="14BFEC22"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353CF6" w14:paraId="3DA2E72D" w14:textId="77777777">
        <w:tc>
          <w:tcPr>
            <w:tcW w:w="9252" w:type="dxa"/>
            <w:shd w:val="clear" w:color="auto" w:fill="auto"/>
          </w:tcPr>
          <w:p w:rsidR="0021340A" w:rsidP="001B4FB5" w:rsidRDefault="0021340A" w14:paraId="21D28F79" w14:textId="650DD52B">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353CF6" w:rsidP="001B4FB5" w:rsidRDefault="00353CF6" w14:paraId="5EB7AD35" w14:textId="477CBB3F">
            <w:pPr>
              <w:spacing w:after="0" w:line="240" w:lineRule="auto"/>
              <w:rPr>
                <w:rFonts w:ascii="Times New Roman" w:hAnsi="Times New Roman"/>
                <w:b/>
                <w:color w:val="000000"/>
                <w:sz w:val="24"/>
                <w:szCs w:val="24"/>
              </w:rPr>
            </w:pPr>
          </w:p>
          <w:p w:rsidR="00353CF6" w:rsidP="00353CF6" w:rsidRDefault="00353CF6" w14:paraId="723FE362" w14:textId="496D2811">
            <w:pPr>
              <w:spacing w:after="0" w:line="240" w:lineRule="auto"/>
              <w:rPr>
                <w:rFonts w:ascii="Times New Roman" w:hAnsi="Times New Roman" w:eastAsia="Arial Unicode MS"/>
                <w:sz w:val="24"/>
                <w:szCs w:val="24"/>
              </w:rPr>
            </w:pPr>
            <w:r w:rsidRPr="00965661">
              <w:rPr>
                <w:rFonts w:ascii="Times New Roman" w:hAnsi="Times New Roman" w:eastAsia="Arial Unicode MS"/>
                <w:sz w:val="24"/>
                <w:szCs w:val="24"/>
              </w:rPr>
              <w:t>This information collection will not be published for statistical purposes.</w:t>
            </w:r>
          </w:p>
          <w:p w:rsidRPr="00965661" w:rsidR="0039364C" w:rsidP="00353CF6" w:rsidRDefault="0039364C" w14:paraId="7BA6EFBC" w14:textId="77777777">
            <w:pPr>
              <w:spacing w:after="0" w:line="240" w:lineRule="auto"/>
              <w:rPr>
                <w:rFonts w:ascii="Times New Roman" w:hAnsi="Times New Roman" w:eastAsia="Arial Unicode MS"/>
                <w:sz w:val="24"/>
                <w:szCs w:val="24"/>
              </w:rPr>
            </w:pPr>
          </w:p>
          <w:p w:rsidRPr="00C879B4" w:rsidR="0021340A" w:rsidP="001B4FB5" w:rsidRDefault="0021340A" w14:paraId="25D6D480" w14:textId="77777777">
            <w:pPr>
              <w:spacing w:after="0" w:line="240" w:lineRule="auto"/>
              <w:rPr>
                <w:rFonts w:ascii="Times New Roman" w:hAnsi="Times New Roman"/>
                <w:b/>
                <w:color w:val="000000"/>
                <w:sz w:val="24"/>
                <w:szCs w:val="24"/>
              </w:rPr>
            </w:pPr>
          </w:p>
        </w:tc>
      </w:tr>
      <w:tr w:rsidRPr="00C879B4" w:rsidR="00353CF6" w:rsidTr="00F07085" w14:paraId="6FA117E2" w14:textId="77777777">
        <w:tc>
          <w:tcPr>
            <w:tcW w:w="9252" w:type="dxa"/>
            <w:shd w:val="clear" w:color="auto" w:fill="auto"/>
          </w:tcPr>
          <w:p w:rsidRPr="00C879B4" w:rsidR="00353CF6" w:rsidP="00F07085" w:rsidRDefault="00353CF6" w14:paraId="50AF3D4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00353CF6" w:rsidP="00F07085" w:rsidRDefault="00353CF6" w14:paraId="6DCEF65A" w14:textId="77777777">
            <w:pPr>
              <w:spacing w:after="0" w:line="240" w:lineRule="auto"/>
              <w:rPr>
                <w:rFonts w:ascii="Times New Roman" w:hAnsi="Times New Roman"/>
                <w:color w:val="000000"/>
                <w:sz w:val="24"/>
                <w:szCs w:val="24"/>
              </w:rPr>
            </w:pPr>
          </w:p>
          <w:p w:rsidRPr="00A21F79" w:rsidR="00353CF6" w:rsidP="00F07085" w:rsidRDefault="00353CF6" w14:paraId="37CDDCEC" w14:textId="77777777">
            <w:pPr>
              <w:spacing w:after="0" w:line="240" w:lineRule="auto"/>
              <w:rPr>
                <w:rFonts w:ascii="Times New Roman" w:hAnsi="Times New Roman"/>
                <w:color w:val="000000"/>
                <w:sz w:val="24"/>
                <w:szCs w:val="24"/>
              </w:rPr>
            </w:pPr>
            <w:r w:rsidRPr="00A21F79">
              <w:rPr>
                <w:rFonts w:ascii="Times New Roman" w:hAnsi="Times New Roman"/>
                <w:color w:val="000000"/>
                <w:sz w:val="24"/>
                <w:szCs w:val="24"/>
              </w:rPr>
              <w:t>HUD will display the expiration date for 0MB approval of this information collection.</w:t>
            </w:r>
          </w:p>
        </w:tc>
      </w:tr>
      <w:tr w:rsidRPr="00C879B4" w:rsidR="00353CF6" w:rsidTr="00F07085" w14:paraId="29617B80" w14:textId="77777777">
        <w:tc>
          <w:tcPr>
            <w:tcW w:w="9252" w:type="dxa"/>
            <w:shd w:val="clear" w:color="auto" w:fill="auto"/>
          </w:tcPr>
          <w:p w:rsidRPr="00C879B4" w:rsidR="00353CF6" w:rsidP="00F07085" w:rsidRDefault="00353CF6" w14:paraId="121E2441" w14:textId="77777777">
            <w:pPr>
              <w:spacing w:after="0" w:line="240" w:lineRule="auto"/>
              <w:rPr>
                <w:rFonts w:ascii="Times New Roman" w:hAnsi="Times New Roman"/>
                <w:color w:val="000000"/>
                <w:sz w:val="24"/>
                <w:szCs w:val="24"/>
              </w:rPr>
            </w:pPr>
          </w:p>
        </w:tc>
      </w:tr>
      <w:tr w:rsidRPr="00C879B4" w:rsidR="00353CF6" w:rsidTr="00F07085" w14:paraId="2B72883F" w14:textId="77777777">
        <w:tc>
          <w:tcPr>
            <w:tcW w:w="9252" w:type="dxa"/>
            <w:shd w:val="clear" w:color="auto" w:fill="auto"/>
          </w:tcPr>
          <w:p w:rsidR="00353CF6" w:rsidP="00F07085" w:rsidRDefault="00353CF6" w14:paraId="1BCBA595"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353CF6" w:rsidP="00F07085" w:rsidRDefault="00353CF6" w14:paraId="6E9C14ED" w14:textId="77777777">
            <w:pPr>
              <w:spacing w:after="0" w:line="240" w:lineRule="auto"/>
              <w:rPr>
                <w:rFonts w:ascii="Times New Roman" w:hAnsi="Times New Roman"/>
                <w:b/>
                <w:color w:val="000000"/>
                <w:sz w:val="24"/>
                <w:szCs w:val="24"/>
              </w:rPr>
            </w:pPr>
          </w:p>
          <w:p w:rsidRPr="00A21F79" w:rsidR="00353CF6" w:rsidP="00F07085" w:rsidRDefault="00353CF6" w14:paraId="74DBB318" w14:textId="77777777">
            <w:pPr>
              <w:spacing w:after="0" w:line="240" w:lineRule="auto"/>
              <w:rPr>
                <w:rFonts w:ascii="Times New Roman" w:hAnsi="Times New Roman"/>
                <w:bCs/>
                <w:color w:val="000000"/>
                <w:sz w:val="24"/>
                <w:szCs w:val="24"/>
              </w:rPr>
            </w:pPr>
            <w:r w:rsidRPr="00A21F79">
              <w:rPr>
                <w:rFonts w:ascii="Times New Roman" w:hAnsi="Times New Roman"/>
                <w:bCs/>
                <w:color w:val="000000"/>
                <w:sz w:val="24"/>
                <w:szCs w:val="24"/>
              </w:rPr>
              <w:t>HUD does not request an</w:t>
            </w:r>
            <w:r>
              <w:rPr>
                <w:rFonts w:ascii="Times New Roman" w:hAnsi="Times New Roman"/>
                <w:bCs/>
                <w:color w:val="000000"/>
                <w:sz w:val="24"/>
                <w:szCs w:val="24"/>
              </w:rPr>
              <w:t xml:space="preserve"> </w:t>
            </w:r>
            <w:r w:rsidRPr="00A21F79">
              <w:rPr>
                <w:rFonts w:ascii="Times New Roman" w:hAnsi="Times New Roman"/>
                <w:bCs/>
                <w:color w:val="000000"/>
                <w:sz w:val="24"/>
                <w:szCs w:val="24"/>
              </w:rPr>
              <w:t>exception to the certification of this information collection</w:t>
            </w:r>
            <w:r>
              <w:rPr>
                <w:rFonts w:ascii="Times New Roman" w:hAnsi="Times New Roman"/>
                <w:bCs/>
                <w:color w:val="000000"/>
                <w:sz w:val="24"/>
                <w:szCs w:val="24"/>
              </w:rPr>
              <w:t>.</w:t>
            </w:r>
          </w:p>
        </w:tc>
      </w:tr>
      <w:tr w:rsidRPr="00C879B4" w:rsidR="00353CF6" w:rsidTr="00F07085" w14:paraId="0AB9936D" w14:textId="77777777">
        <w:tc>
          <w:tcPr>
            <w:tcW w:w="9252" w:type="dxa"/>
            <w:shd w:val="clear" w:color="auto" w:fill="auto"/>
          </w:tcPr>
          <w:p w:rsidR="00353CF6" w:rsidP="00F07085" w:rsidRDefault="00353CF6" w14:paraId="63E19B59" w14:textId="77777777">
            <w:pPr>
              <w:spacing w:after="0" w:line="256" w:lineRule="auto"/>
              <w:rPr>
                <w:rFonts w:ascii="Times New Roman" w:hAnsi="Times New Roman"/>
                <w:b/>
                <w:bCs/>
                <w:sz w:val="24"/>
                <w:szCs w:val="24"/>
              </w:rPr>
            </w:pPr>
          </w:p>
          <w:p w:rsidRPr="006C72B8" w:rsidR="00353CF6" w:rsidP="00F07085" w:rsidRDefault="00353CF6" w14:paraId="61118397" w14:textId="77777777">
            <w:pPr>
              <w:spacing w:after="0" w:line="256" w:lineRule="auto"/>
              <w:rPr>
                <w:rFonts w:ascii="Times New Roman" w:hAnsi="Times New Roman"/>
                <w:b/>
                <w:bCs/>
                <w:sz w:val="24"/>
                <w:szCs w:val="24"/>
              </w:rPr>
            </w:pPr>
            <w:r w:rsidRPr="006C72B8">
              <w:rPr>
                <w:rFonts w:ascii="Times New Roman" w:hAnsi="Times New Roman"/>
                <w:b/>
                <w:bCs/>
                <w:sz w:val="24"/>
                <w:szCs w:val="24"/>
              </w:rPr>
              <w:t>B.  Collections of Information Employing Statistical Methods</w:t>
            </w:r>
          </w:p>
          <w:p w:rsidRPr="006C72B8" w:rsidR="00353CF6" w:rsidP="00F07085" w:rsidRDefault="00353CF6" w14:paraId="77F22506" w14:textId="77777777">
            <w:pPr>
              <w:spacing w:after="0" w:line="256" w:lineRule="auto"/>
              <w:rPr>
                <w:rFonts w:ascii="Times New Roman" w:hAnsi="Times New Roman"/>
                <w:sz w:val="24"/>
                <w:szCs w:val="24"/>
              </w:rPr>
            </w:pPr>
          </w:p>
          <w:p w:rsidRPr="00C879B4" w:rsidR="00353CF6" w:rsidP="00F07085" w:rsidRDefault="00353CF6" w14:paraId="1F8349F9" w14:textId="77777777">
            <w:pPr>
              <w:spacing w:after="0" w:line="240" w:lineRule="auto"/>
              <w:rPr>
                <w:rFonts w:ascii="Times New Roman" w:hAnsi="Times New Roman"/>
                <w:b/>
                <w:color w:val="000000"/>
                <w:sz w:val="24"/>
                <w:szCs w:val="24"/>
              </w:rPr>
            </w:pPr>
            <w:r w:rsidRPr="006C72B8">
              <w:rPr>
                <w:rFonts w:ascii="Times New Roman" w:hAnsi="Times New Roman"/>
                <w:sz w:val="24"/>
                <w:szCs w:val="24"/>
              </w:rPr>
              <w:t>There is no statistical methodology involved in this collection.</w:t>
            </w:r>
          </w:p>
        </w:tc>
      </w:tr>
    </w:tbl>
    <w:p w:rsidRPr="005C1338" w:rsidR="00353CF6" w:rsidP="00353CF6" w:rsidRDefault="00353CF6" w14:paraId="0C597865" w14:textId="77777777">
      <w:pPr>
        <w:overflowPunct w:val="0"/>
        <w:autoSpaceDE w:val="0"/>
        <w:autoSpaceDN w:val="0"/>
        <w:adjustRightInd w:val="0"/>
        <w:spacing w:after="0" w:line="240" w:lineRule="auto"/>
        <w:textAlignment w:val="baseline"/>
        <w:rPr>
          <w:rFonts w:ascii="Times New Roman" w:hAnsi="Times New Roman"/>
          <w:color w:val="000000"/>
          <w:sz w:val="24"/>
          <w:szCs w:val="24"/>
        </w:rPr>
      </w:pPr>
    </w:p>
    <w:p w:rsidRPr="00965661" w:rsidR="00075224" w:rsidP="00FA2F70" w:rsidRDefault="00075224" w14:paraId="65FD052C" w14:textId="58DDD131">
      <w:pPr>
        <w:spacing w:after="0" w:line="240" w:lineRule="auto"/>
        <w:rPr>
          <w:rFonts w:ascii="Times New Roman" w:hAnsi="Times New Roman"/>
          <w:sz w:val="24"/>
          <w:szCs w:val="24"/>
        </w:rPr>
      </w:pPr>
    </w:p>
    <w:sectPr w:rsidRPr="00965661" w:rsidR="00075224" w:rsidSect="00075224">
      <w:headerReference w:type="even" r:id="rId11"/>
      <w:headerReference w:type="default" r:id="rId12"/>
      <w:footerReference w:type="even" r:id="rId13"/>
      <w:footerReference w:type="default" r:id="rId14"/>
      <w:headerReference w:type="first" r:id="rId15"/>
      <w:footerReference w:type="first" r:id="rId16"/>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624D4" w14:textId="77777777" w:rsidR="00D93915" w:rsidRDefault="00D93915" w:rsidP="00075224">
      <w:pPr>
        <w:spacing w:after="0" w:line="240" w:lineRule="auto"/>
      </w:pPr>
      <w:r>
        <w:separator/>
      </w:r>
    </w:p>
  </w:endnote>
  <w:endnote w:type="continuationSeparator" w:id="0">
    <w:p w14:paraId="49EE8834" w14:textId="77777777" w:rsidR="00D93915" w:rsidRDefault="00D93915"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B75F5"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35791D03"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62179"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14:paraId="765EFF77"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30D46" w14:textId="77777777" w:rsidR="00236664" w:rsidRDefault="00236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09E62" w14:textId="77777777" w:rsidR="00D93915" w:rsidRDefault="00D93915" w:rsidP="00075224">
      <w:pPr>
        <w:spacing w:after="0" w:line="240" w:lineRule="auto"/>
      </w:pPr>
      <w:r>
        <w:separator/>
      </w:r>
    </w:p>
  </w:footnote>
  <w:footnote w:type="continuationSeparator" w:id="0">
    <w:p w14:paraId="6A106E4E" w14:textId="77777777" w:rsidR="00D93915" w:rsidRDefault="00D93915" w:rsidP="00075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7154B" w14:textId="77777777" w:rsidR="00236664" w:rsidRDefault="002366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AC5E7" w14:textId="783EC815" w:rsidR="00236664" w:rsidRDefault="002366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B2866" w14:textId="77777777" w:rsidR="00236664" w:rsidRDefault="00236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0F2A74EA"/>
    <w:multiLevelType w:val="hybridMultilevel"/>
    <w:tmpl w:val="681EB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15:restartNumberingAfterBreak="0">
    <w:nsid w:val="4FF70541"/>
    <w:multiLevelType w:val="hybridMultilevel"/>
    <w:tmpl w:val="8EB68056"/>
    <w:lvl w:ilvl="0" w:tplc="231C3FCA">
      <w:numFmt w:val="bullet"/>
      <w:lvlText w:val="-"/>
      <w:lvlJc w:val="left"/>
      <w:pPr>
        <w:ind w:left="720" w:hanging="360"/>
      </w:pPr>
      <w:rPr>
        <w:rFonts w:ascii="Arial" w:eastAsia="Arial Unicode M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7" w15:restartNumberingAfterBreak="0">
    <w:nsid w:val="7EEF69EB"/>
    <w:multiLevelType w:val="hybridMultilevel"/>
    <w:tmpl w:val="E6641B3C"/>
    <w:lvl w:ilvl="0" w:tplc="CDEA4090">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64EC1F90">
      <w:start w:val="1"/>
      <w:numFmt w:val="decimal"/>
      <w:lvlText w:val="%2."/>
      <w:lvlJc w:val="left"/>
      <w:pPr>
        <w:tabs>
          <w:tab w:val="num" w:pos="1800"/>
        </w:tabs>
        <w:ind w:left="1440" w:hanging="360"/>
      </w:pPr>
      <w:rPr>
        <w:rFonts w:ascii="Times New Roman" w:hAnsi="Times New Roman" w:cs="Times New Roman" w:hint="default"/>
        <w:b w:val="0"/>
        <w:i w:val="0"/>
        <w:color w:val="auto"/>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6"/>
  </w:num>
  <w:num w:numId="3">
    <w:abstractNumId w:val="0"/>
  </w:num>
  <w:num w:numId="4">
    <w:abstractNumId w:val="5"/>
  </w:num>
  <w:num w:numId="5">
    <w:abstractNumId w:val="4"/>
  </w:num>
  <w:num w:numId="6">
    <w:abstractNumId w:val="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10D0"/>
    <w:rsid w:val="0001019C"/>
    <w:rsid w:val="00014CE6"/>
    <w:rsid w:val="00016461"/>
    <w:rsid w:val="00022170"/>
    <w:rsid w:val="0002769B"/>
    <w:rsid w:val="0005773E"/>
    <w:rsid w:val="000646B7"/>
    <w:rsid w:val="000659D1"/>
    <w:rsid w:val="00075224"/>
    <w:rsid w:val="0008233D"/>
    <w:rsid w:val="000A06E9"/>
    <w:rsid w:val="000A357C"/>
    <w:rsid w:val="000B4874"/>
    <w:rsid w:val="000C0E13"/>
    <w:rsid w:val="000C62BB"/>
    <w:rsid w:val="000D7FD0"/>
    <w:rsid w:val="001133FA"/>
    <w:rsid w:val="001350FA"/>
    <w:rsid w:val="00137ED6"/>
    <w:rsid w:val="00164BAE"/>
    <w:rsid w:val="00167051"/>
    <w:rsid w:val="00167FD2"/>
    <w:rsid w:val="00174045"/>
    <w:rsid w:val="001A7509"/>
    <w:rsid w:val="001B4FB5"/>
    <w:rsid w:val="001C6560"/>
    <w:rsid w:val="00202AAA"/>
    <w:rsid w:val="002056E1"/>
    <w:rsid w:val="0021340A"/>
    <w:rsid w:val="002203C5"/>
    <w:rsid w:val="002210E1"/>
    <w:rsid w:val="00235373"/>
    <w:rsid w:val="00235475"/>
    <w:rsid w:val="00236664"/>
    <w:rsid w:val="002420A8"/>
    <w:rsid w:val="00265B70"/>
    <w:rsid w:val="00266A5E"/>
    <w:rsid w:val="00276A7E"/>
    <w:rsid w:val="00282550"/>
    <w:rsid w:val="0029110D"/>
    <w:rsid w:val="00294E98"/>
    <w:rsid w:val="00296DF2"/>
    <w:rsid w:val="002973BA"/>
    <w:rsid w:val="002A11D1"/>
    <w:rsid w:val="002B34E4"/>
    <w:rsid w:val="002B3B38"/>
    <w:rsid w:val="002C7DF4"/>
    <w:rsid w:val="002D1CAB"/>
    <w:rsid w:val="0032023D"/>
    <w:rsid w:val="00320358"/>
    <w:rsid w:val="0033242B"/>
    <w:rsid w:val="00336B6C"/>
    <w:rsid w:val="00352226"/>
    <w:rsid w:val="00353CF6"/>
    <w:rsid w:val="00357B58"/>
    <w:rsid w:val="0036174F"/>
    <w:rsid w:val="0039364C"/>
    <w:rsid w:val="00397DF1"/>
    <w:rsid w:val="003A06B5"/>
    <w:rsid w:val="003C400F"/>
    <w:rsid w:val="003C7F76"/>
    <w:rsid w:val="003D3048"/>
    <w:rsid w:val="003F4D24"/>
    <w:rsid w:val="003F521B"/>
    <w:rsid w:val="00416DA8"/>
    <w:rsid w:val="004353A8"/>
    <w:rsid w:val="00446165"/>
    <w:rsid w:val="004939BF"/>
    <w:rsid w:val="004B1759"/>
    <w:rsid w:val="004D0A64"/>
    <w:rsid w:val="004E754B"/>
    <w:rsid w:val="0050120C"/>
    <w:rsid w:val="0052607D"/>
    <w:rsid w:val="00526ADC"/>
    <w:rsid w:val="00555F47"/>
    <w:rsid w:val="00560E48"/>
    <w:rsid w:val="00566A56"/>
    <w:rsid w:val="005738D8"/>
    <w:rsid w:val="00576BA1"/>
    <w:rsid w:val="0058585B"/>
    <w:rsid w:val="005A47C1"/>
    <w:rsid w:val="005A594F"/>
    <w:rsid w:val="005A6EB8"/>
    <w:rsid w:val="005A7FAF"/>
    <w:rsid w:val="005D21A4"/>
    <w:rsid w:val="005D73A6"/>
    <w:rsid w:val="00616D18"/>
    <w:rsid w:val="006511D5"/>
    <w:rsid w:val="00660FAB"/>
    <w:rsid w:val="0066398E"/>
    <w:rsid w:val="00663E28"/>
    <w:rsid w:val="00666CF0"/>
    <w:rsid w:val="006717F4"/>
    <w:rsid w:val="00695EEE"/>
    <w:rsid w:val="00697E62"/>
    <w:rsid w:val="006A2A0E"/>
    <w:rsid w:val="006B76CD"/>
    <w:rsid w:val="006C1F71"/>
    <w:rsid w:val="006C6F53"/>
    <w:rsid w:val="007047E7"/>
    <w:rsid w:val="00711F61"/>
    <w:rsid w:val="00720AF2"/>
    <w:rsid w:val="00741B05"/>
    <w:rsid w:val="0075381C"/>
    <w:rsid w:val="0075410C"/>
    <w:rsid w:val="00760CC6"/>
    <w:rsid w:val="00790F5F"/>
    <w:rsid w:val="00795B2C"/>
    <w:rsid w:val="00797FB9"/>
    <w:rsid w:val="007A16F1"/>
    <w:rsid w:val="007B0DDC"/>
    <w:rsid w:val="007B6131"/>
    <w:rsid w:val="007E4526"/>
    <w:rsid w:val="007E6F80"/>
    <w:rsid w:val="007F226E"/>
    <w:rsid w:val="00802125"/>
    <w:rsid w:val="0081644B"/>
    <w:rsid w:val="00834B34"/>
    <w:rsid w:val="008404D5"/>
    <w:rsid w:val="00846C8A"/>
    <w:rsid w:val="00862DAD"/>
    <w:rsid w:val="00876963"/>
    <w:rsid w:val="00880A2B"/>
    <w:rsid w:val="008839DF"/>
    <w:rsid w:val="00886366"/>
    <w:rsid w:val="00890D23"/>
    <w:rsid w:val="00893B34"/>
    <w:rsid w:val="008A7311"/>
    <w:rsid w:val="008D284D"/>
    <w:rsid w:val="008E377C"/>
    <w:rsid w:val="008E634C"/>
    <w:rsid w:val="00915D5F"/>
    <w:rsid w:val="00917C68"/>
    <w:rsid w:val="00922458"/>
    <w:rsid w:val="00934001"/>
    <w:rsid w:val="009419D6"/>
    <w:rsid w:val="00952A81"/>
    <w:rsid w:val="00965661"/>
    <w:rsid w:val="00966DBD"/>
    <w:rsid w:val="009814CB"/>
    <w:rsid w:val="00982371"/>
    <w:rsid w:val="009A3A5E"/>
    <w:rsid w:val="009A4FD6"/>
    <w:rsid w:val="009B0365"/>
    <w:rsid w:val="009B5ED5"/>
    <w:rsid w:val="009B68C5"/>
    <w:rsid w:val="009D5A58"/>
    <w:rsid w:val="009E118C"/>
    <w:rsid w:val="009E5990"/>
    <w:rsid w:val="009F199C"/>
    <w:rsid w:val="009F71C2"/>
    <w:rsid w:val="00A009AD"/>
    <w:rsid w:val="00A01ADF"/>
    <w:rsid w:val="00A02BCB"/>
    <w:rsid w:val="00A2523A"/>
    <w:rsid w:val="00A33DED"/>
    <w:rsid w:val="00A352F3"/>
    <w:rsid w:val="00A448DA"/>
    <w:rsid w:val="00A6656E"/>
    <w:rsid w:val="00A73DBF"/>
    <w:rsid w:val="00A7456D"/>
    <w:rsid w:val="00A80199"/>
    <w:rsid w:val="00A9355C"/>
    <w:rsid w:val="00AA04EA"/>
    <w:rsid w:val="00AA5516"/>
    <w:rsid w:val="00AA7675"/>
    <w:rsid w:val="00AB08F4"/>
    <w:rsid w:val="00AE2E96"/>
    <w:rsid w:val="00AE765B"/>
    <w:rsid w:val="00B004A7"/>
    <w:rsid w:val="00B106EA"/>
    <w:rsid w:val="00B5731C"/>
    <w:rsid w:val="00B62C5B"/>
    <w:rsid w:val="00B63093"/>
    <w:rsid w:val="00B71956"/>
    <w:rsid w:val="00B7253E"/>
    <w:rsid w:val="00B84CFF"/>
    <w:rsid w:val="00B91040"/>
    <w:rsid w:val="00B9360A"/>
    <w:rsid w:val="00BA360E"/>
    <w:rsid w:val="00BB0F74"/>
    <w:rsid w:val="00BB5CD8"/>
    <w:rsid w:val="00BC6528"/>
    <w:rsid w:val="00BC7F82"/>
    <w:rsid w:val="00BD5D44"/>
    <w:rsid w:val="00BF4274"/>
    <w:rsid w:val="00BF7BBD"/>
    <w:rsid w:val="00C02567"/>
    <w:rsid w:val="00C76FE9"/>
    <w:rsid w:val="00C879B4"/>
    <w:rsid w:val="00C942E7"/>
    <w:rsid w:val="00C97650"/>
    <w:rsid w:val="00CB45ED"/>
    <w:rsid w:val="00CC0526"/>
    <w:rsid w:val="00CD24DC"/>
    <w:rsid w:val="00CF512D"/>
    <w:rsid w:val="00D127E8"/>
    <w:rsid w:val="00D14085"/>
    <w:rsid w:val="00D35DDB"/>
    <w:rsid w:val="00D42C7B"/>
    <w:rsid w:val="00D550E9"/>
    <w:rsid w:val="00D56A7F"/>
    <w:rsid w:val="00D64F3C"/>
    <w:rsid w:val="00D67D3A"/>
    <w:rsid w:val="00D720B2"/>
    <w:rsid w:val="00D7767E"/>
    <w:rsid w:val="00D90CEF"/>
    <w:rsid w:val="00D93915"/>
    <w:rsid w:val="00D9536E"/>
    <w:rsid w:val="00DA2A63"/>
    <w:rsid w:val="00DB7657"/>
    <w:rsid w:val="00DC1E6C"/>
    <w:rsid w:val="00DC6175"/>
    <w:rsid w:val="00DE0CFF"/>
    <w:rsid w:val="00DE2ACB"/>
    <w:rsid w:val="00DF2C79"/>
    <w:rsid w:val="00E01D32"/>
    <w:rsid w:val="00E15158"/>
    <w:rsid w:val="00E26AC1"/>
    <w:rsid w:val="00E37D38"/>
    <w:rsid w:val="00E53DE7"/>
    <w:rsid w:val="00E8026F"/>
    <w:rsid w:val="00E87594"/>
    <w:rsid w:val="00E9223D"/>
    <w:rsid w:val="00EA3A63"/>
    <w:rsid w:val="00EA4C76"/>
    <w:rsid w:val="00EA7C8E"/>
    <w:rsid w:val="00EB7C54"/>
    <w:rsid w:val="00EC3574"/>
    <w:rsid w:val="00EC3A37"/>
    <w:rsid w:val="00EC7E30"/>
    <w:rsid w:val="00EF3E1D"/>
    <w:rsid w:val="00EF54ED"/>
    <w:rsid w:val="00F00249"/>
    <w:rsid w:val="00F127C2"/>
    <w:rsid w:val="00F136BA"/>
    <w:rsid w:val="00F17541"/>
    <w:rsid w:val="00F30B4F"/>
    <w:rsid w:val="00F34FAF"/>
    <w:rsid w:val="00F434C9"/>
    <w:rsid w:val="00F5792A"/>
    <w:rsid w:val="00F66B19"/>
    <w:rsid w:val="00F80921"/>
    <w:rsid w:val="00FA2F70"/>
    <w:rsid w:val="00FA6BF4"/>
    <w:rsid w:val="00FC621C"/>
    <w:rsid w:val="00FD0C90"/>
    <w:rsid w:val="00FE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9496D"/>
  <w15:chartTrackingRefBased/>
  <w15:docId w15:val="{40BF46AA-E189-4ACA-AAF6-424B9A3C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paragraph" w:styleId="HTMLPreformatted">
    <w:name w:val="HTML Preformatted"/>
    <w:basedOn w:val="Normal"/>
    <w:link w:val="HTMLPreformattedChar"/>
    <w:uiPriority w:val="99"/>
    <w:rsid w:val="00CC0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CC0526"/>
    <w:rPr>
      <w:rFonts w:ascii="Courier New" w:hAnsi="Courier New" w:cs="Courier New"/>
    </w:rPr>
  </w:style>
  <w:style w:type="paragraph" w:styleId="ListParagraph">
    <w:name w:val="List Paragraph"/>
    <w:basedOn w:val="Normal"/>
    <w:uiPriority w:val="34"/>
    <w:qFormat/>
    <w:rsid w:val="00DC6175"/>
    <w:pPr>
      <w:ind w:left="720"/>
      <w:contextualSpacing/>
    </w:pPr>
  </w:style>
  <w:style w:type="character" w:styleId="UnresolvedMention">
    <w:name w:val="Unresolved Mention"/>
    <w:uiPriority w:val="99"/>
    <w:semiHidden/>
    <w:unhideWhenUsed/>
    <w:rsid w:val="002D1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7114">
      <w:bodyDiv w:val="1"/>
      <w:marLeft w:val="0"/>
      <w:marRight w:val="0"/>
      <w:marTop w:val="0"/>
      <w:marBottom w:val="0"/>
      <w:divBdr>
        <w:top w:val="none" w:sz="0" w:space="0" w:color="auto"/>
        <w:left w:val="none" w:sz="0" w:space="0" w:color="auto"/>
        <w:bottom w:val="none" w:sz="0" w:space="0" w:color="auto"/>
        <w:right w:val="none" w:sz="0" w:space="0" w:color="auto"/>
      </w:divBdr>
    </w:div>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ltifamilyclaimsbranch@hud.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ls.gov" TargetMode="External"/><Relationship Id="rId4" Type="http://schemas.openxmlformats.org/officeDocument/2006/relationships/settings" Target="settings.xml"/><Relationship Id="rId9" Type="http://schemas.openxmlformats.org/officeDocument/2006/relationships/hyperlink" Target="https://www.hud.gov/program_offices/administration/hudclips/forms/hud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41B67-05B5-4977-8E2E-5EB8DA6D2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2763</Words>
  <Characters>15751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18478</CharactersWithSpaces>
  <SharedDoc>false</SharedDoc>
  <HLinks>
    <vt:vector size="18" baseType="variant">
      <vt:variant>
        <vt:i4>2818173</vt:i4>
      </vt:variant>
      <vt:variant>
        <vt:i4>6</vt:i4>
      </vt:variant>
      <vt:variant>
        <vt:i4>0</vt:i4>
      </vt:variant>
      <vt:variant>
        <vt:i4>5</vt:i4>
      </vt:variant>
      <vt:variant>
        <vt:lpwstr>http://www.bls.gov/</vt:lpwstr>
      </vt:variant>
      <vt:variant>
        <vt:lpwstr/>
      </vt:variant>
      <vt:variant>
        <vt:i4>6553687</vt:i4>
      </vt:variant>
      <vt:variant>
        <vt:i4>3</vt:i4>
      </vt:variant>
      <vt:variant>
        <vt:i4>0</vt:i4>
      </vt:variant>
      <vt:variant>
        <vt:i4>5</vt:i4>
      </vt:variant>
      <vt:variant>
        <vt:lpwstr>mailto:multifamilyclaimsbranch@hud.gov</vt:lpwstr>
      </vt:variant>
      <vt:variant>
        <vt:lpwstr/>
      </vt:variant>
      <vt:variant>
        <vt:i4>1966196</vt:i4>
      </vt:variant>
      <vt:variant>
        <vt:i4>0</vt:i4>
      </vt:variant>
      <vt:variant>
        <vt:i4>0</vt:i4>
      </vt:variant>
      <vt:variant>
        <vt:i4>5</vt:i4>
      </vt:variant>
      <vt:variant>
        <vt:lpwstr>https://www.hud.gov/program_offices/administration/hudclips/forms/hud2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Pollard, Colette</cp:lastModifiedBy>
  <cp:revision>3</cp:revision>
  <cp:lastPrinted>2020-10-06T18:17:00Z</cp:lastPrinted>
  <dcterms:created xsi:type="dcterms:W3CDTF">2021-02-23T20:42:00Z</dcterms:created>
  <dcterms:modified xsi:type="dcterms:W3CDTF">2021-02-23T20:42:00Z</dcterms:modified>
</cp:coreProperties>
</file>