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18C" w:rsidP="00FA2F70" w:rsidRDefault="009E118C" w14:paraId="6B2AA072" w14:textId="1A3EB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Pr="00C879B4" w:rsidR="00296156" w:rsidP="00FA2F70" w:rsidRDefault="00296156" w14:paraId="7294E8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p>
    <w:p w:rsidRPr="00296156" w:rsidR="0024300C" w:rsidP="0024300C" w:rsidRDefault="0024300C" w14:paraId="5D5A20EF" w14:textId="415555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bCs/>
          <w:color w:val="000000"/>
          <w:sz w:val="24"/>
          <w:szCs w:val="24"/>
        </w:rPr>
      </w:pPr>
      <w:r w:rsidRPr="00296156">
        <w:rPr>
          <w:rFonts w:ascii="Helvetica" w:hAnsi="Helvetica"/>
          <w:b/>
          <w:bCs/>
          <w:color w:val="000000"/>
          <w:sz w:val="24"/>
          <w:szCs w:val="24"/>
        </w:rPr>
        <w:t xml:space="preserve">Housing Counseling Program – Application for Approval </w:t>
      </w:r>
      <w:r w:rsidR="000D6037">
        <w:rPr>
          <w:rFonts w:ascii="Helvetica" w:hAnsi="Helvetica"/>
          <w:b/>
          <w:bCs/>
          <w:color w:val="000000"/>
          <w:sz w:val="24"/>
          <w:szCs w:val="24"/>
        </w:rPr>
        <w:t>a</w:t>
      </w:r>
      <w:r w:rsidRPr="00296156">
        <w:rPr>
          <w:rFonts w:ascii="Helvetica" w:hAnsi="Helvetica"/>
          <w:b/>
          <w:bCs/>
          <w:color w:val="000000"/>
          <w:sz w:val="24"/>
          <w:szCs w:val="24"/>
        </w:rPr>
        <w:t>s a Housing Counseling Agency</w:t>
      </w:r>
    </w:p>
    <w:p w:rsidRPr="00C879B4" w:rsidR="009E118C" w:rsidP="00FA2F70" w:rsidRDefault="0050120C" w14:paraId="65AE63D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A62C0A">
        <w:rPr>
          <w:rFonts w:ascii="Helvetica" w:hAnsi="Helvetica"/>
          <w:b/>
          <w:color w:val="000000"/>
          <w:sz w:val="24"/>
        </w:rPr>
        <w:t>:</w:t>
      </w:r>
      <w:r w:rsidRPr="00C879B4">
        <w:rPr>
          <w:rFonts w:ascii="Helvetica" w:hAnsi="Helvetica"/>
          <w:b/>
          <w:color w:val="000000"/>
          <w:sz w:val="24"/>
        </w:rPr>
        <w:t xml:space="preserve"> 2502-</w:t>
      </w:r>
      <w:r w:rsidR="0024300C">
        <w:rPr>
          <w:rFonts w:ascii="Helvetica" w:hAnsi="Helvetica"/>
          <w:b/>
          <w:color w:val="000000"/>
          <w:sz w:val="24"/>
        </w:rPr>
        <w:t>0573</w:t>
      </w:r>
    </w:p>
    <w:p w:rsidRPr="00C879B4" w:rsidR="009E118C" w:rsidP="00FA2F70" w:rsidRDefault="0024300C" w14:paraId="6E3901F9" w14:textId="2AD608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w:t>
      </w:r>
      <w:r w:rsidR="00BD7F3F">
        <w:rPr>
          <w:rFonts w:ascii="Helvetica" w:hAnsi="Helvetica"/>
          <w:b/>
          <w:color w:val="000000"/>
          <w:sz w:val="24"/>
        </w:rPr>
        <w:t>s</w:t>
      </w:r>
      <w:r w:rsidR="00296156">
        <w:rPr>
          <w:rFonts w:ascii="Helvetica" w:hAnsi="Helvetica"/>
          <w:b/>
          <w:color w:val="000000"/>
          <w:sz w:val="24"/>
        </w:rPr>
        <w:t>:</w:t>
      </w:r>
      <w:r>
        <w:rPr>
          <w:rFonts w:ascii="Helvetica" w:hAnsi="Helvetica"/>
          <w:b/>
          <w:color w:val="000000"/>
          <w:sz w:val="24"/>
        </w:rPr>
        <w:t xml:space="preserve"> HUD-9900</w:t>
      </w:r>
      <w:r w:rsidR="00BD7F3F">
        <w:rPr>
          <w:rFonts w:ascii="Helvetica" w:hAnsi="Helvetica"/>
          <w:b/>
          <w:color w:val="000000"/>
          <w:sz w:val="24"/>
        </w:rPr>
        <w:t>; HUD-9900A</w:t>
      </w:r>
    </w:p>
    <w:p w:rsidRPr="00C879B4" w:rsidR="009E118C" w:rsidP="00FA2F70" w:rsidRDefault="009E118C" w14:paraId="1C0DA99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5330C5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1107355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5DEB3C78" w14:textId="77777777">
        <w:tc>
          <w:tcPr>
            <w:tcW w:w="9360" w:type="dxa"/>
            <w:shd w:val="clear" w:color="auto" w:fill="auto"/>
          </w:tcPr>
          <w:p w:rsidR="00FA2F70" w:rsidP="001B4FB5" w:rsidRDefault="00FA2F70" w14:paraId="5C9626D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B66EE8" w:rsidP="001B4FB5" w:rsidRDefault="00B66EE8" w14:paraId="075CF6F4" w14:textId="77777777">
            <w:pPr>
              <w:spacing w:after="0" w:line="240" w:lineRule="auto"/>
              <w:rPr>
                <w:rFonts w:ascii="Times New Roman" w:hAnsi="Times New Roman"/>
                <w:b/>
                <w:color w:val="000000"/>
                <w:sz w:val="24"/>
                <w:szCs w:val="24"/>
              </w:rPr>
            </w:pPr>
          </w:p>
          <w:p w:rsidRPr="00D33E6E" w:rsidR="00B66EE8" w:rsidP="00B66EE8" w:rsidRDefault="00B66EE8" w14:paraId="147A90E3" w14:textId="2A10DF34">
            <w:pPr>
              <w:keepNext/>
              <w:tabs>
                <w:tab w:val="left" w:pos="9990"/>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r w:rsidRPr="00D33E6E">
              <w:rPr>
                <w:rFonts w:ascii="Times New Roman" w:hAnsi="Times New Roman"/>
                <w:sz w:val="24"/>
                <w:szCs w:val="24"/>
              </w:rPr>
              <w:t xml:space="preserve">The Office of Housing Counseling </w:t>
            </w:r>
            <w:r w:rsidR="00872896">
              <w:rPr>
                <w:rFonts w:ascii="Times New Roman" w:hAnsi="Times New Roman"/>
                <w:sz w:val="24"/>
                <w:szCs w:val="24"/>
              </w:rPr>
              <w:t xml:space="preserve">(OHC) </w:t>
            </w:r>
            <w:r w:rsidRPr="00D33E6E">
              <w:rPr>
                <w:rFonts w:ascii="Times New Roman" w:hAnsi="Times New Roman"/>
                <w:sz w:val="24"/>
                <w:szCs w:val="24"/>
              </w:rPr>
              <w:t xml:space="preserve">is responsible for administration of the Department’s Housing Counseling Program, authorized by Section 106 of the Housing and Urban Development Act of 1968 (12 U.S.C. 1701w and 1701x).  The Housing Counseling Program supports the delivery of a wide variety of housing counseling services to homebuyers, homeowners, low- to moderate–income renters, and the homeless.  The primary objective of the program is to educate families and individuals in order to help them make smart decisions regarding improving their housing situation and meeting the responsibilities of tenancy and homeownership, including through budget and financial counseling.  Counselors also help borrowers avoid predatory lending practices, such as inflated appraisals, unreasonably high interest rates, unaffordable repayment terms, and other conditions that can result in a loss of equity, increased debt, default, and possible foreclosure.  Counselors may also provide reverse mortgage counseling to elderly homeowners who seek to convert equity in their homes to pay for home improvements, medical costs, living expenses or other expenses.  Additionally, housing counselors may distribute and be a resource for information concerning Fair Housing and Fair Lending.  The Housing Counseling Program is instrumental to achievement of HUD’s mission.  The Program’s far-reaching effects support numerous departmental programs, including Federal Housing Administration (FHA) single family housing programs.  </w:t>
            </w:r>
          </w:p>
          <w:p w:rsidRPr="00D33E6E" w:rsidR="00B66EE8" w:rsidP="00B66EE8" w:rsidRDefault="00B66EE8" w14:paraId="3D150851" w14:textId="77777777">
            <w:pPr>
              <w:tabs>
                <w:tab w:val="left" w:pos="10800"/>
              </w:tabs>
              <w:overflowPunct w:val="0"/>
              <w:autoSpaceDE w:val="0"/>
              <w:autoSpaceDN w:val="0"/>
              <w:adjustRightInd w:val="0"/>
              <w:spacing w:after="0" w:line="240" w:lineRule="auto"/>
              <w:ind w:left="360"/>
              <w:textAlignment w:val="baseline"/>
              <w:rPr>
                <w:rFonts w:ascii="Times New Roman" w:hAnsi="Times New Roman"/>
                <w:sz w:val="24"/>
                <w:szCs w:val="24"/>
              </w:rPr>
            </w:pPr>
          </w:p>
          <w:p w:rsidRPr="00C879B4" w:rsidR="00B66EE8" w:rsidP="00B66EE8" w:rsidRDefault="00B66EE8" w14:paraId="6AECD993" w14:textId="14F461B1">
            <w:pPr>
              <w:spacing w:after="0" w:line="240" w:lineRule="auto"/>
              <w:rPr>
                <w:rFonts w:ascii="Times New Roman" w:hAnsi="Times New Roman"/>
                <w:b/>
                <w:color w:val="000000"/>
                <w:sz w:val="24"/>
                <w:szCs w:val="24"/>
              </w:rPr>
            </w:pPr>
            <w:r w:rsidRPr="008C5015">
              <w:rPr>
                <w:rFonts w:ascii="Times New Roman" w:hAnsi="Times New Roman"/>
                <w:sz w:val="24"/>
                <w:szCs w:val="24"/>
              </w:rPr>
              <w:t>Approximately 1,</w:t>
            </w:r>
            <w:r>
              <w:rPr>
                <w:rFonts w:ascii="Times New Roman" w:hAnsi="Times New Roman"/>
                <w:sz w:val="24"/>
                <w:szCs w:val="24"/>
              </w:rPr>
              <w:t>7</w:t>
            </w:r>
            <w:r w:rsidRPr="008C5015">
              <w:rPr>
                <w:rFonts w:ascii="Times New Roman" w:hAnsi="Times New Roman"/>
                <w:sz w:val="24"/>
                <w:szCs w:val="24"/>
              </w:rPr>
              <w:t>00 HUD-</w:t>
            </w:r>
            <w:r w:rsidRPr="00D33E6E">
              <w:rPr>
                <w:rFonts w:ascii="Times New Roman" w:hAnsi="Times New Roman"/>
                <w:sz w:val="24"/>
                <w:szCs w:val="24"/>
              </w:rPr>
              <w:t xml:space="preserve">participating agencies provide housing counseling services nation-wide currently.  Of these, </w:t>
            </w:r>
            <w:r w:rsidRPr="008C5015">
              <w:rPr>
                <w:rFonts w:ascii="Times New Roman" w:hAnsi="Times New Roman"/>
                <w:sz w:val="24"/>
                <w:szCs w:val="24"/>
              </w:rPr>
              <w:t xml:space="preserve">approximately </w:t>
            </w:r>
            <w:r w:rsidRPr="0042560B">
              <w:rPr>
                <w:rFonts w:ascii="Times New Roman" w:hAnsi="Times New Roman"/>
                <w:sz w:val="24"/>
                <w:szCs w:val="24"/>
              </w:rPr>
              <w:t>9</w:t>
            </w:r>
            <w:r>
              <w:rPr>
                <w:rFonts w:ascii="Times New Roman" w:hAnsi="Times New Roman"/>
                <w:sz w:val="24"/>
                <w:szCs w:val="24"/>
              </w:rPr>
              <w:t>75</w:t>
            </w:r>
            <w:r w:rsidRPr="00D33E6E">
              <w:rPr>
                <w:rFonts w:ascii="Times New Roman" w:hAnsi="Times New Roman"/>
                <w:sz w:val="24"/>
                <w:szCs w:val="24"/>
              </w:rPr>
              <w:t xml:space="preserve"> have been directly approved by HUD.</w:t>
            </w:r>
            <w:r w:rsidR="006F5889">
              <w:rPr>
                <w:rFonts w:ascii="Times New Roman" w:hAnsi="Times New Roman"/>
                <w:sz w:val="24"/>
                <w:szCs w:val="24"/>
              </w:rPr>
              <w:t xml:space="preserve">  </w:t>
            </w:r>
            <w:r w:rsidRPr="00D33E6E">
              <w:rPr>
                <w:rFonts w:ascii="Times New Roman" w:hAnsi="Times New Roman"/>
                <w:sz w:val="24"/>
                <w:szCs w:val="24"/>
              </w:rPr>
              <w:t xml:space="preserve">HUD maintains a list of these agencies so that individuals in need of assistance can easily access the nearest HUD-approved </w:t>
            </w:r>
            <w:r w:rsidR="00004FB3">
              <w:rPr>
                <w:rFonts w:ascii="Times New Roman" w:hAnsi="Times New Roman"/>
                <w:sz w:val="24"/>
                <w:szCs w:val="24"/>
              </w:rPr>
              <w:t>H</w:t>
            </w:r>
            <w:r w:rsidRPr="00D33E6E">
              <w:rPr>
                <w:rFonts w:ascii="Times New Roman" w:hAnsi="Times New Roman"/>
                <w:sz w:val="24"/>
                <w:szCs w:val="24"/>
              </w:rPr>
              <w:t xml:space="preserve">ousing </w:t>
            </w:r>
            <w:r w:rsidR="00004FB3">
              <w:rPr>
                <w:rFonts w:ascii="Times New Roman" w:hAnsi="Times New Roman"/>
                <w:sz w:val="24"/>
                <w:szCs w:val="24"/>
              </w:rPr>
              <w:t>C</w:t>
            </w:r>
            <w:r w:rsidRPr="00D33E6E">
              <w:rPr>
                <w:rFonts w:ascii="Times New Roman" w:hAnsi="Times New Roman"/>
                <w:sz w:val="24"/>
                <w:szCs w:val="24"/>
              </w:rPr>
              <w:t xml:space="preserve">ounseling </w:t>
            </w:r>
            <w:r w:rsidR="00004FB3">
              <w:rPr>
                <w:rFonts w:ascii="Times New Roman" w:hAnsi="Times New Roman"/>
                <w:sz w:val="24"/>
                <w:szCs w:val="24"/>
              </w:rPr>
              <w:t>A</w:t>
            </w:r>
            <w:r w:rsidRPr="00D33E6E">
              <w:rPr>
                <w:rFonts w:ascii="Times New Roman" w:hAnsi="Times New Roman"/>
                <w:sz w:val="24"/>
                <w:szCs w:val="24"/>
              </w:rPr>
              <w:t xml:space="preserve">gency </w:t>
            </w:r>
            <w:r w:rsidR="00004FB3">
              <w:rPr>
                <w:rFonts w:ascii="Times New Roman" w:hAnsi="Times New Roman"/>
                <w:sz w:val="24"/>
                <w:szCs w:val="24"/>
              </w:rPr>
              <w:t xml:space="preserve">(HCA) </w:t>
            </w:r>
            <w:r w:rsidRPr="00D33E6E">
              <w:rPr>
                <w:rFonts w:ascii="Times New Roman" w:hAnsi="Times New Roman"/>
                <w:sz w:val="24"/>
                <w:szCs w:val="24"/>
              </w:rPr>
              <w:t xml:space="preserve">via HUD’s website, an automated 1-800 Hotline, or a smart phone application. </w:t>
            </w:r>
            <w:r>
              <w:rPr>
                <w:rFonts w:ascii="Times New Roman" w:hAnsi="Times New Roman"/>
                <w:sz w:val="24"/>
                <w:szCs w:val="24"/>
              </w:rPr>
              <w:t xml:space="preserve">Form </w:t>
            </w:r>
            <w:r w:rsidRPr="00D33E6E">
              <w:rPr>
                <w:rFonts w:ascii="Times New Roman" w:hAnsi="Times New Roman"/>
                <w:sz w:val="24"/>
                <w:szCs w:val="24"/>
              </w:rPr>
              <w:t>HU</w:t>
            </w:r>
            <w:r>
              <w:rPr>
                <w:rFonts w:ascii="Times New Roman" w:hAnsi="Times New Roman"/>
                <w:sz w:val="24"/>
                <w:szCs w:val="24"/>
              </w:rPr>
              <w:t>D-</w:t>
            </w:r>
            <w:r w:rsidRPr="00D33E6E">
              <w:rPr>
                <w:rFonts w:ascii="Times New Roman" w:hAnsi="Times New Roman"/>
                <w:sz w:val="24"/>
                <w:szCs w:val="24"/>
              </w:rPr>
              <w:t xml:space="preserve">9900, </w:t>
            </w:r>
            <w:r w:rsidRPr="00D33E6E">
              <w:rPr>
                <w:rFonts w:ascii="Times New Roman" w:hAnsi="Times New Roman"/>
                <w:i/>
                <w:sz w:val="24"/>
                <w:szCs w:val="24"/>
              </w:rPr>
              <w:t>Application for Approval as a Housing Counseling Agency</w:t>
            </w:r>
            <w:r w:rsidRPr="00D33E6E">
              <w:rPr>
                <w:rFonts w:ascii="Times New Roman" w:hAnsi="Times New Roman"/>
                <w:sz w:val="24"/>
                <w:szCs w:val="24"/>
              </w:rPr>
              <w:t>, is necessary to make sure that people who contact a HUD</w:t>
            </w:r>
            <w:r>
              <w:rPr>
                <w:rFonts w:ascii="Times New Roman" w:hAnsi="Times New Roman"/>
                <w:sz w:val="24"/>
                <w:szCs w:val="24"/>
              </w:rPr>
              <w:t>-</w:t>
            </w:r>
            <w:r w:rsidRPr="00D33E6E">
              <w:rPr>
                <w:rFonts w:ascii="Times New Roman" w:hAnsi="Times New Roman"/>
                <w:sz w:val="24"/>
                <w:szCs w:val="24"/>
              </w:rPr>
              <w:t>approved agency can have confidence they will receive quality service and these agencies meet HUD requirements for approval.</w:t>
            </w:r>
          </w:p>
          <w:p w:rsidRPr="00C879B4" w:rsidR="00FA2F70" w:rsidP="001B4FB5" w:rsidRDefault="00FA2F70" w14:paraId="1B63C78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39036D6F" w14:textId="77777777">
        <w:tc>
          <w:tcPr>
            <w:tcW w:w="9360" w:type="dxa"/>
            <w:shd w:val="clear" w:color="auto" w:fill="auto"/>
          </w:tcPr>
          <w:p w:rsidRPr="00C879B4" w:rsidR="00FA2F70" w:rsidP="001B4FB5" w:rsidRDefault="00FA2F70" w14:paraId="247BB60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699AEFD2" w14:textId="77777777">
        <w:tc>
          <w:tcPr>
            <w:tcW w:w="9360" w:type="dxa"/>
            <w:shd w:val="clear" w:color="auto" w:fill="auto"/>
          </w:tcPr>
          <w:p w:rsidR="00FA2F70" w:rsidP="001B4FB5" w:rsidRDefault="00FA2F70" w14:paraId="5389FFF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B66EE8" w:rsidP="001B4FB5" w:rsidRDefault="00B66EE8" w14:paraId="702D4287" w14:textId="77777777">
            <w:pPr>
              <w:spacing w:after="0" w:line="240" w:lineRule="auto"/>
              <w:rPr>
                <w:rFonts w:ascii="Times New Roman" w:hAnsi="Times New Roman"/>
                <w:b/>
                <w:color w:val="000000"/>
                <w:sz w:val="24"/>
                <w:szCs w:val="24"/>
              </w:rPr>
            </w:pPr>
          </w:p>
          <w:p w:rsidR="00AC1B78" w:rsidP="00AC1B78" w:rsidRDefault="00AC1B78" w14:paraId="135E1DCC" w14:textId="65F51C5B">
            <w:pPr>
              <w:spacing w:after="0" w:line="240" w:lineRule="auto"/>
              <w:rPr>
                <w:rFonts w:ascii="Times New Roman" w:hAnsi="Times New Roman"/>
                <w:bCs/>
                <w:color w:val="000000"/>
                <w:sz w:val="24"/>
                <w:szCs w:val="24"/>
              </w:rPr>
            </w:pPr>
            <w:r w:rsidRPr="00AC1B78">
              <w:rPr>
                <w:rFonts w:ascii="Times New Roman" w:hAnsi="Times New Roman"/>
                <w:bCs/>
                <w:color w:val="000000"/>
                <w:sz w:val="24"/>
                <w:szCs w:val="24"/>
              </w:rPr>
              <w:t xml:space="preserve">In order to participate in HUD’s Housing Counseling Program, a housing counseling agency must be approved by HUD. </w:t>
            </w:r>
            <w:r>
              <w:rPr>
                <w:rFonts w:ascii="Times New Roman" w:hAnsi="Times New Roman"/>
                <w:bCs/>
                <w:color w:val="000000"/>
                <w:sz w:val="24"/>
                <w:szCs w:val="24"/>
              </w:rPr>
              <w:t xml:space="preserve"> </w:t>
            </w:r>
            <w:r w:rsidRPr="00AC1B78">
              <w:rPr>
                <w:rFonts w:ascii="Times New Roman" w:hAnsi="Times New Roman"/>
                <w:bCs/>
                <w:color w:val="000000"/>
                <w:sz w:val="24"/>
                <w:szCs w:val="24"/>
              </w:rPr>
              <w:t xml:space="preserve">Eligible organizations include local housing counseling </w:t>
            </w:r>
            <w:r w:rsidRPr="00AC1B78">
              <w:rPr>
                <w:rFonts w:ascii="Times New Roman" w:hAnsi="Times New Roman"/>
                <w:bCs/>
                <w:color w:val="000000"/>
                <w:sz w:val="24"/>
                <w:szCs w:val="24"/>
              </w:rPr>
              <w:lastRenderedPageBreak/>
              <w:t>agencies, private or public organizations (including grassroots, faith-based and other community-based organizations) such as nonprofit, state, local or public housing authorities that meet the Program</w:t>
            </w:r>
            <w:r w:rsidR="00033FEF">
              <w:rPr>
                <w:rFonts w:ascii="Times New Roman" w:hAnsi="Times New Roman"/>
                <w:bCs/>
                <w:color w:val="000000"/>
                <w:sz w:val="24"/>
                <w:szCs w:val="24"/>
              </w:rPr>
              <w:t>’s</w:t>
            </w:r>
            <w:r w:rsidRPr="00AC1B78">
              <w:rPr>
                <w:rFonts w:ascii="Times New Roman" w:hAnsi="Times New Roman"/>
                <w:bCs/>
                <w:color w:val="000000"/>
                <w:sz w:val="24"/>
                <w:szCs w:val="24"/>
              </w:rPr>
              <w:t xml:space="preserve"> criteria.</w:t>
            </w:r>
          </w:p>
          <w:p w:rsidRPr="00AC1B78" w:rsidR="00AC1B78" w:rsidP="00AC1B78" w:rsidRDefault="00AC1B78" w14:paraId="1CA9CC31" w14:textId="77777777">
            <w:pPr>
              <w:spacing w:after="0" w:line="240" w:lineRule="auto"/>
              <w:rPr>
                <w:rFonts w:ascii="Times New Roman" w:hAnsi="Times New Roman"/>
                <w:bCs/>
                <w:color w:val="000000"/>
                <w:sz w:val="24"/>
                <w:szCs w:val="24"/>
              </w:rPr>
            </w:pPr>
          </w:p>
          <w:p w:rsidRPr="00AC1B78" w:rsidR="00AC1B78" w:rsidP="00AC1B78" w:rsidRDefault="00AC1B78" w14:paraId="390B264E" w14:textId="1B4A91AB">
            <w:pPr>
              <w:spacing w:after="0" w:line="240" w:lineRule="auto"/>
              <w:rPr>
                <w:rFonts w:ascii="Times New Roman" w:hAnsi="Times New Roman"/>
                <w:bCs/>
                <w:color w:val="000000"/>
                <w:sz w:val="24"/>
                <w:szCs w:val="24"/>
              </w:rPr>
            </w:pPr>
            <w:r w:rsidRPr="00AC1B78">
              <w:rPr>
                <w:rFonts w:ascii="Times New Roman" w:hAnsi="Times New Roman"/>
                <w:bCs/>
                <w:color w:val="000000"/>
                <w:sz w:val="24"/>
                <w:szCs w:val="24"/>
              </w:rPr>
              <w:t xml:space="preserve">There are two ways to participate in HUD's Housing Counseling Program. Organizations may apply directly to HUD as one of the following: a Local Housing Counseling Agency (LHCA), an Intermediary (regional or national), a </w:t>
            </w:r>
            <w:r w:rsidR="006353A3">
              <w:rPr>
                <w:rFonts w:ascii="Times New Roman" w:hAnsi="Times New Roman"/>
                <w:bCs/>
                <w:color w:val="000000"/>
                <w:sz w:val="24"/>
                <w:szCs w:val="24"/>
              </w:rPr>
              <w:t>M</w:t>
            </w:r>
            <w:r w:rsidRPr="00AC1B78">
              <w:rPr>
                <w:rFonts w:ascii="Times New Roman" w:hAnsi="Times New Roman"/>
                <w:bCs/>
                <w:color w:val="000000"/>
                <w:sz w:val="24"/>
                <w:szCs w:val="24"/>
              </w:rPr>
              <w:t>ulti-</w:t>
            </w:r>
            <w:r w:rsidR="006353A3">
              <w:rPr>
                <w:rFonts w:ascii="Times New Roman" w:hAnsi="Times New Roman"/>
                <w:bCs/>
                <w:color w:val="000000"/>
                <w:sz w:val="24"/>
                <w:szCs w:val="24"/>
              </w:rPr>
              <w:t>S</w:t>
            </w:r>
            <w:r w:rsidRPr="00AC1B78">
              <w:rPr>
                <w:rFonts w:ascii="Times New Roman" w:hAnsi="Times New Roman"/>
                <w:bCs/>
                <w:color w:val="000000"/>
                <w:sz w:val="24"/>
                <w:szCs w:val="24"/>
              </w:rPr>
              <w:t xml:space="preserve">tate </w:t>
            </w:r>
            <w:r w:rsidR="006353A3">
              <w:rPr>
                <w:rFonts w:ascii="Times New Roman" w:hAnsi="Times New Roman"/>
                <w:bCs/>
                <w:color w:val="000000"/>
                <w:sz w:val="24"/>
                <w:szCs w:val="24"/>
              </w:rPr>
              <w:t>O</w:t>
            </w:r>
            <w:r w:rsidRPr="00AC1B78">
              <w:rPr>
                <w:rFonts w:ascii="Times New Roman" w:hAnsi="Times New Roman"/>
                <w:bCs/>
                <w:color w:val="000000"/>
                <w:sz w:val="24"/>
                <w:szCs w:val="24"/>
              </w:rPr>
              <w:t xml:space="preserve">rganization (MSO), or a </w:t>
            </w:r>
            <w:r w:rsidR="006C4851">
              <w:rPr>
                <w:rFonts w:ascii="Times New Roman" w:hAnsi="Times New Roman"/>
                <w:bCs/>
                <w:color w:val="000000"/>
                <w:sz w:val="24"/>
                <w:szCs w:val="24"/>
              </w:rPr>
              <w:t>S</w:t>
            </w:r>
            <w:r w:rsidRPr="00AC1B78">
              <w:rPr>
                <w:rFonts w:ascii="Times New Roman" w:hAnsi="Times New Roman"/>
                <w:bCs/>
                <w:color w:val="000000"/>
                <w:sz w:val="24"/>
                <w:szCs w:val="24"/>
              </w:rPr>
              <w:t xml:space="preserve">tate </w:t>
            </w:r>
            <w:r w:rsidR="006C4851">
              <w:rPr>
                <w:rFonts w:ascii="Times New Roman" w:hAnsi="Times New Roman"/>
                <w:bCs/>
                <w:color w:val="000000"/>
                <w:sz w:val="24"/>
                <w:szCs w:val="24"/>
              </w:rPr>
              <w:t>H</w:t>
            </w:r>
            <w:r w:rsidRPr="00AC1B78">
              <w:rPr>
                <w:rFonts w:ascii="Times New Roman" w:hAnsi="Times New Roman"/>
                <w:bCs/>
                <w:color w:val="000000"/>
                <w:sz w:val="24"/>
                <w:szCs w:val="24"/>
              </w:rPr>
              <w:t xml:space="preserve">ousing </w:t>
            </w:r>
            <w:r w:rsidR="006C4851">
              <w:rPr>
                <w:rFonts w:ascii="Times New Roman" w:hAnsi="Times New Roman"/>
                <w:bCs/>
                <w:color w:val="000000"/>
                <w:sz w:val="24"/>
                <w:szCs w:val="24"/>
              </w:rPr>
              <w:t>F</w:t>
            </w:r>
            <w:r w:rsidRPr="00AC1B78">
              <w:rPr>
                <w:rFonts w:ascii="Times New Roman" w:hAnsi="Times New Roman"/>
                <w:bCs/>
                <w:color w:val="000000"/>
                <w:sz w:val="24"/>
                <w:szCs w:val="24"/>
              </w:rPr>
              <w:t xml:space="preserve">inance </w:t>
            </w:r>
            <w:r w:rsidR="006C4851">
              <w:rPr>
                <w:rFonts w:ascii="Times New Roman" w:hAnsi="Times New Roman"/>
                <w:bCs/>
                <w:color w:val="000000"/>
                <w:sz w:val="24"/>
                <w:szCs w:val="24"/>
              </w:rPr>
              <w:t>A</w:t>
            </w:r>
            <w:r w:rsidRPr="00AC1B78">
              <w:rPr>
                <w:rFonts w:ascii="Times New Roman" w:hAnsi="Times New Roman"/>
                <w:bCs/>
                <w:color w:val="000000"/>
                <w:sz w:val="24"/>
                <w:szCs w:val="24"/>
              </w:rPr>
              <w:t xml:space="preserve">gency (SHFA). LHCAs may participate in the HUD </w:t>
            </w:r>
            <w:r w:rsidR="00064E80">
              <w:rPr>
                <w:rFonts w:ascii="Times New Roman" w:hAnsi="Times New Roman"/>
                <w:bCs/>
                <w:color w:val="000000"/>
                <w:sz w:val="24"/>
                <w:szCs w:val="24"/>
              </w:rPr>
              <w:t>H</w:t>
            </w:r>
            <w:r w:rsidRPr="00AC1B78">
              <w:rPr>
                <w:rFonts w:ascii="Times New Roman" w:hAnsi="Times New Roman"/>
                <w:bCs/>
                <w:color w:val="000000"/>
                <w:sz w:val="24"/>
                <w:szCs w:val="24"/>
              </w:rPr>
              <w:t xml:space="preserve">ousing </w:t>
            </w:r>
            <w:r w:rsidR="00064E80">
              <w:rPr>
                <w:rFonts w:ascii="Times New Roman" w:hAnsi="Times New Roman"/>
                <w:bCs/>
                <w:color w:val="000000"/>
                <w:sz w:val="24"/>
                <w:szCs w:val="24"/>
              </w:rPr>
              <w:t>C</w:t>
            </w:r>
            <w:r w:rsidRPr="00AC1B78">
              <w:rPr>
                <w:rFonts w:ascii="Times New Roman" w:hAnsi="Times New Roman"/>
                <w:bCs/>
                <w:color w:val="000000"/>
                <w:sz w:val="24"/>
                <w:szCs w:val="24"/>
              </w:rPr>
              <w:t xml:space="preserve">ounseling </w:t>
            </w:r>
            <w:r w:rsidR="00064E80">
              <w:rPr>
                <w:rFonts w:ascii="Times New Roman" w:hAnsi="Times New Roman"/>
                <w:bCs/>
                <w:color w:val="000000"/>
                <w:sz w:val="24"/>
                <w:szCs w:val="24"/>
              </w:rPr>
              <w:t>P</w:t>
            </w:r>
            <w:r w:rsidRPr="00AC1B78">
              <w:rPr>
                <w:rFonts w:ascii="Times New Roman" w:hAnsi="Times New Roman"/>
                <w:bCs/>
                <w:color w:val="000000"/>
                <w:sz w:val="24"/>
                <w:szCs w:val="24"/>
              </w:rPr>
              <w:t xml:space="preserve">rogram by participating through a HUD-approved Intermediary or </w:t>
            </w:r>
            <w:r w:rsidR="005C7A10">
              <w:rPr>
                <w:rFonts w:ascii="Times New Roman" w:hAnsi="Times New Roman"/>
                <w:bCs/>
                <w:color w:val="000000"/>
                <w:sz w:val="24"/>
                <w:szCs w:val="24"/>
              </w:rPr>
              <w:t>a</w:t>
            </w:r>
            <w:r w:rsidR="00804FF9">
              <w:rPr>
                <w:rFonts w:ascii="Times New Roman" w:hAnsi="Times New Roman"/>
                <w:bCs/>
                <w:color w:val="000000"/>
                <w:sz w:val="24"/>
                <w:szCs w:val="24"/>
              </w:rPr>
              <w:t>n</w:t>
            </w:r>
            <w:r w:rsidR="005C7A10">
              <w:rPr>
                <w:rFonts w:ascii="Times New Roman" w:hAnsi="Times New Roman"/>
                <w:bCs/>
                <w:color w:val="000000"/>
                <w:sz w:val="24"/>
                <w:szCs w:val="24"/>
              </w:rPr>
              <w:t xml:space="preserve"> </w:t>
            </w:r>
            <w:r w:rsidRPr="00AC1B78">
              <w:rPr>
                <w:rFonts w:ascii="Times New Roman" w:hAnsi="Times New Roman"/>
                <w:bCs/>
                <w:color w:val="000000"/>
                <w:sz w:val="24"/>
                <w:szCs w:val="24"/>
              </w:rPr>
              <w:t xml:space="preserve">SHFA’s network.  SHFAs may also request to participate in the </w:t>
            </w:r>
            <w:r w:rsidR="007073B0">
              <w:rPr>
                <w:rFonts w:ascii="Times New Roman" w:hAnsi="Times New Roman"/>
                <w:bCs/>
                <w:color w:val="000000"/>
                <w:sz w:val="24"/>
                <w:szCs w:val="24"/>
              </w:rPr>
              <w:t>P</w:t>
            </w:r>
            <w:r w:rsidRPr="00AC1B78">
              <w:rPr>
                <w:rFonts w:ascii="Times New Roman" w:hAnsi="Times New Roman"/>
                <w:bCs/>
                <w:color w:val="000000"/>
                <w:sz w:val="24"/>
                <w:szCs w:val="24"/>
              </w:rPr>
              <w:t>rogram, however</w:t>
            </w:r>
            <w:r w:rsidR="007073B0">
              <w:rPr>
                <w:rFonts w:ascii="Times New Roman" w:hAnsi="Times New Roman"/>
                <w:bCs/>
                <w:color w:val="000000"/>
                <w:sz w:val="24"/>
                <w:szCs w:val="24"/>
              </w:rPr>
              <w:t>,</w:t>
            </w:r>
            <w:r w:rsidRPr="00AC1B78">
              <w:rPr>
                <w:rFonts w:ascii="Times New Roman" w:hAnsi="Times New Roman"/>
                <w:bCs/>
                <w:color w:val="000000"/>
                <w:sz w:val="24"/>
                <w:szCs w:val="24"/>
              </w:rPr>
              <w:t xml:space="preserve"> they must still provide the same documentation required for </w:t>
            </w:r>
            <w:r w:rsidR="007073B0">
              <w:rPr>
                <w:rFonts w:ascii="Times New Roman" w:hAnsi="Times New Roman"/>
                <w:bCs/>
                <w:color w:val="000000"/>
                <w:sz w:val="24"/>
                <w:szCs w:val="24"/>
              </w:rPr>
              <w:t>P</w:t>
            </w:r>
            <w:r w:rsidRPr="00AC1B78">
              <w:rPr>
                <w:rFonts w:ascii="Times New Roman" w:hAnsi="Times New Roman"/>
                <w:bCs/>
                <w:color w:val="000000"/>
                <w:sz w:val="24"/>
                <w:szCs w:val="24"/>
              </w:rPr>
              <w:t xml:space="preserve">rogram approval. </w:t>
            </w:r>
          </w:p>
          <w:p w:rsidRPr="00B66EE8" w:rsidR="00B66EE8" w:rsidP="00B66EE8" w:rsidRDefault="00B66EE8" w14:paraId="7BC94225" w14:textId="77777777">
            <w:pPr>
              <w:spacing w:after="0" w:line="240" w:lineRule="auto"/>
              <w:rPr>
                <w:rFonts w:ascii="Times New Roman" w:hAnsi="Times New Roman"/>
                <w:bCs/>
                <w:color w:val="000000"/>
                <w:sz w:val="24"/>
                <w:szCs w:val="24"/>
              </w:rPr>
            </w:pPr>
            <w:r w:rsidRPr="00B66EE8">
              <w:rPr>
                <w:rFonts w:ascii="Times New Roman" w:hAnsi="Times New Roman"/>
                <w:bCs/>
                <w:color w:val="000000"/>
                <w:sz w:val="24"/>
                <w:szCs w:val="24"/>
              </w:rPr>
              <w:t xml:space="preserve"> </w:t>
            </w:r>
          </w:p>
          <w:p w:rsidR="00B66EE8" w:rsidP="00B66EE8" w:rsidRDefault="00B66EE8" w14:paraId="72FB6E0A" w14:textId="70F96B8C">
            <w:pPr>
              <w:spacing w:after="0" w:line="240" w:lineRule="auto"/>
              <w:rPr>
                <w:rFonts w:ascii="Times New Roman" w:hAnsi="Times New Roman"/>
                <w:bCs/>
                <w:color w:val="000000"/>
                <w:sz w:val="24"/>
                <w:szCs w:val="24"/>
              </w:rPr>
            </w:pPr>
            <w:r w:rsidRPr="00B66EE8">
              <w:rPr>
                <w:rFonts w:ascii="Times New Roman" w:hAnsi="Times New Roman"/>
                <w:bCs/>
                <w:color w:val="000000"/>
                <w:sz w:val="24"/>
                <w:szCs w:val="24"/>
              </w:rPr>
              <w:t xml:space="preserve">HUD-approval entails meeting various requirements relating to experience and capacity, which includes proof of nonprofit status, a minimum of one year of housing counseling experience in their target community, and sufficient staff and financial resources to implement a housing counseling </w:t>
            </w:r>
            <w:r w:rsidR="001259F7">
              <w:rPr>
                <w:rFonts w:ascii="Times New Roman" w:hAnsi="Times New Roman"/>
                <w:bCs/>
                <w:color w:val="000000"/>
                <w:sz w:val="24"/>
                <w:szCs w:val="24"/>
              </w:rPr>
              <w:t xml:space="preserve">work </w:t>
            </w:r>
            <w:r w:rsidRPr="00B66EE8">
              <w:rPr>
                <w:rFonts w:ascii="Times New Roman" w:hAnsi="Times New Roman"/>
                <w:bCs/>
                <w:color w:val="000000"/>
                <w:sz w:val="24"/>
                <w:szCs w:val="24"/>
              </w:rPr>
              <w:t xml:space="preserve">plan.  HUD uses </w:t>
            </w:r>
            <w:r w:rsidR="00B4457A">
              <w:rPr>
                <w:rFonts w:ascii="Times New Roman" w:hAnsi="Times New Roman"/>
                <w:bCs/>
                <w:color w:val="000000"/>
                <w:sz w:val="24"/>
                <w:szCs w:val="24"/>
              </w:rPr>
              <w:t>F</w:t>
            </w:r>
            <w:r w:rsidRPr="00B66EE8">
              <w:rPr>
                <w:rFonts w:ascii="Times New Roman" w:hAnsi="Times New Roman"/>
                <w:bCs/>
                <w:color w:val="000000"/>
                <w:sz w:val="24"/>
                <w:szCs w:val="24"/>
              </w:rPr>
              <w:t>orm HUD-9900 to evaluate whether applying organizations meet minimum requirements to participate in the Housing Counseling Program.  The instructions on how to become a HUD</w:t>
            </w:r>
            <w:r w:rsidR="00272683">
              <w:rPr>
                <w:rFonts w:ascii="Times New Roman" w:hAnsi="Times New Roman"/>
                <w:bCs/>
                <w:color w:val="000000"/>
                <w:sz w:val="24"/>
                <w:szCs w:val="24"/>
              </w:rPr>
              <w:t>-</w:t>
            </w:r>
            <w:r w:rsidRPr="00B66EE8">
              <w:rPr>
                <w:rFonts w:ascii="Times New Roman" w:hAnsi="Times New Roman"/>
                <w:bCs/>
                <w:color w:val="000000"/>
                <w:sz w:val="24"/>
                <w:szCs w:val="24"/>
              </w:rPr>
              <w:t xml:space="preserve">approved HCA are found at </w:t>
            </w:r>
            <w:hyperlink w:history="1" r:id="rId7">
              <w:r w:rsidRPr="0025411E" w:rsidR="00296156">
                <w:rPr>
                  <w:rStyle w:val="Hyperlink"/>
                  <w:rFonts w:ascii="Times New Roman" w:hAnsi="Times New Roman"/>
                  <w:bCs/>
                  <w:sz w:val="24"/>
                  <w:szCs w:val="24"/>
                </w:rPr>
                <w:t>https://www.hudexchange.info/programs/housing-counseling/agency-application/</w:t>
              </w:r>
            </w:hyperlink>
            <w:r w:rsidRPr="00B66EE8">
              <w:rPr>
                <w:rFonts w:ascii="Times New Roman" w:hAnsi="Times New Roman"/>
                <w:bCs/>
                <w:color w:val="000000"/>
                <w:sz w:val="24"/>
                <w:szCs w:val="24"/>
              </w:rPr>
              <w:t>.</w:t>
            </w:r>
          </w:p>
          <w:p w:rsidRPr="00B66EE8" w:rsidR="0085730B" w:rsidP="00B66EE8" w:rsidRDefault="0085730B" w14:paraId="7A1FE099" w14:textId="77777777">
            <w:pPr>
              <w:spacing w:after="0" w:line="240" w:lineRule="auto"/>
              <w:rPr>
                <w:rFonts w:ascii="Times New Roman" w:hAnsi="Times New Roman"/>
                <w:bCs/>
                <w:color w:val="000000"/>
                <w:sz w:val="24"/>
                <w:szCs w:val="24"/>
              </w:rPr>
            </w:pPr>
          </w:p>
          <w:p w:rsidRPr="00B66EE8" w:rsidR="00B66EE8" w:rsidP="001B4FB5" w:rsidRDefault="00B66EE8" w14:paraId="32B9655A" w14:textId="77777777">
            <w:pPr>
              <w:spacing w:after="0" w:line="240" w:lineRule="auto"/>
              <w:rPr>
                <w:rFonts w:ascii="Times New Roman" w:hAnsi="Times New Roman"/>
                <w:bCs/>
                <w:color w:val="000000"/>
                <w:sz w:val="24"/>
                <w:szCs w:val="24"/>
              </w:rPr>
            </w:pPr>
            <w:r w:rsidRPr="00B66EE8">
              <w:rPr>
                <w:rFonts w:ascii="Times New Roman" w:hAnsi="Times New Roman"/>
                <w:bCs/>
                <w:color w:val="000000"/>
                <w:sz w:val="24"/>
                <w:szCs w:val="24"/>
              </w:rPr>
              <w:t xml:space="preserve">Once approved, HUD uses this information to populate agency profile data in the Housing Counseling System (HCS) database.  This data populates the list of agencies on HUD’s website, automated 1-800 Hotline, and smart phone application. </w:t>
            </w:r>
          </w:p>
          <w:p w:rsidRPr="00C879B4" w:rsidR="00FA2F70" w:rsidP="001B4FB5" w:rsidRDefault="00FA2F70" w14:paraId="0D7200F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2EF9D76F" w14:textId="77777777">
        <w:tc>
          <w:tcPr>
            <w:tcW w:w="9360" w:type="dxa"/>
            <w:shd w:val="clear" w:color="auto" w:fill="auto"/>
          </w:tcPr>
          <w:p w:rsidRPr="00C879B4" w:rsidR="00FA2F70" w:rsidP="001B4FB5" w:rsidRDefault="00FA2F70" w14:paraId="77EF360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6ECF1B5F" w14:textId="77777777">
        <w:tc>
          <w:tcPr>
            <w:tcW w:w="9360" w:type="dxa"/>
            <w:shd w:val="clear" w:color="auto" w:fill="auto"/>
          </w:tcPr>
          <w:p w:rsidR="00FA2F70" w:rsidP="001B4FB5" w:rsidRDefault="00FA2F70" w14:paraId="41CA8C1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66EE8" w:rsidP="001B4FB5" w:rsidRDefault="00B66EE8" w14:paraId="126C8B13" w14:textId="77777777">
            <w:pPr>
              <w:spacing w:after="0" w:line="240" w:lineRule="auto"/>
              <w:rPr>
                <w:rFonts w:ascii="Times New Roman" w:hAnsi="Times New Roman"/>
                <w:b/>
                <w:color w:val="000000"/>
                <w:sz w:val="24"/>
                <w:szCs w:val="24"/>
              </w:rPr>
            </w:pPr>
          </w:p>
          <w:p w:rsidRPr="00C879B4" w:rsidR="00B66EE8" w:rsidP="001B4FB5" w:rsidRDefault="00B66EE8" w14:paraId="69200708" w14:textId="0696A46A">
            <w:pPr>
              <w:spacing w:after="0" w:line="240" w:lineRule="auto"/>
              <w:rPr>
                <w:rFonts w:ascii="Times New Roman" w:hAnsi="Times New Roman"/>
                <w:b/>
                <w:color w:val="000000"/>
                <w:sz w:val="24"/>
                <w:szCs w:val="24"/>
              </w:rPr>
            </w:pPr>
            <w:r w:rsidRPr="00F054A4">
              <w:rPr>
                <w:rFonts w:ascii="Times New Roman" w:hAnsi="Times New Roman"/>
                <w:color w:val="000000"/>
                <w:sz w:val="24"/>
                <w:szCs w:val="24"/>
              </w:rPr>
              <w:t>The collection of information is not automated</w:t>
            </w:r>
            <w:r>
              <w:rPr>
                <w:rFonts w:ascii="Times New Roman" w:hAnsi="Times New Roman"/>
                <w:color w:val="000000"/>
                <w:sz w:val="24"/>
                <w:szCs w:val="24"/>
              </w:rPr>
              <w:t xml:space="preserve"> and does not use any HUD </w:t>
            </w:r>
            <w:r w:rsidR="00F92F82">
              <w:rPr>
                <w:rFonts w:ascii="Times New Roman" w:hAnsi="Times New Roman"/>
                <w:color w:val="000000"/>
                <w:sz w:val="24"/>
                <w:szCs w:val="24"/>
              </w:rPr>
              <w:t>system;</w:t>
            </w:r>
            <w:r>
              <w:rPr>
                <w:rFonts w:ascii="Times New Roman" w:hAnsi="Times New Roman"/>
                <w:color w:val="000000"/>
                <w:sz w:val="24"/>
                <w:szCs w:val="24"/>
              </w:rPr>
              <w:t xml:space="preserve"> however</w:t>
            </w:r>
            <w:r w:rsidR="00F16677">
              <w:rPr>
                <w:rFonts w:ascii="Times New Roman" w:hAnsi="Times New Roman"/>
                <w:color w:val="000000"/>
                <w:sz w:val="24"/>
                <w:szCs w:val="24"/>
              </w:rPr>
              <w:t>,</w:t>
            </w:r>
            <w:r>
              <w:rPr>
                <w:rFonts w:ascii="Times New Roman" w:hAnsi="Times New Roman"/>
                <w:color w:val="000000"/>
                <w:sz w:val="24"/>
                <w:szCs w:val="24"/>
              </w:rPr>
              <w:t xml:space="preserve"> </w:t>
            </w:r>
            <w:r w:rsidRPr="00F054A4">
              <w:rPr>
                <w:rFonts w:ascii="Times New Roman" w:hAnsi="Times New Roman"/>
                <w:color w:val="000000"/>
                <w:sz w:val="24"/>
                <w:szCs w:val="24"/>
              </w:rPr>
              <w:t xml:space="preserve">OHC has created </w:t>
            </w:r>
            <w:r>
              <w:rPr>
                <w:rFonts w:ascii="Times New Roman" w:hAnsi="Times New Roman"/>
                <w:color w:val="000000"/>
                <w:sz w:val="24"/>
                <w:szCs w:val="24"/>
              </w:rPr>
              <w:t xml:space="preserve">and uses </w:t>
            </w:r>
            <w:r w:rsidRPr="00F054A4">
              <w:rPr>
                <w:rFonts w:ascii="Times New Roman" w:hAnsi="Times New Roman"/>
                <w:color w:val="000000"/>
                <w:sz w:val="24"/>
                <w:szCs w:val="24"/>
              </w:rPr>
              <w:t xml:space="preserve">an electronic file folder on its </w:t>
            </w:r>
            <w:r>
              <w:rPr>
                <w:rFonts w:ascii="Times New Roman" w:hAnsi="Times New Roman"/>
                <w:color w:val="000000"/>
                <w:sz w:val="24"/>
                <w:szCs w:val="24"/>
              </w:rPr>
              <w:t>S</w:t>
            </w:r>
            <w:r w:rsidRPr="00F054A4">
              <w:rPr>
                <w:rFonts w:ascii="Times New Roman" w:hAnsi="Times New Roman"/>
                <w:color w:val="000000"/>
                <w:sz w:val="24"/>
                <w:szCs w:val="24"/>
              </w:rPr>
              <w:t>hare</w:t>
            </w:r>
            <w:r>
              <w:rPr>
                <w:rFonts w:ascii="Times New Roman" w:hAnsi="Times New Roman"/>
                <w:color w:val="000000"/>
                <w:sz w:val="24"/>
                <w:szCs w:val="24"/>
              </w:rPr>
              <w:t>P</w:t>
            </w:r>
            <w:r w:rsidRPr="00F054A4">
              <w:rPr>
                <w:rFonts w:ascii="Times New Roman" w:hAnsi="Times New Roman"/>
                <w:color w:val="000000"/>
                <w:sz w:val="24"/>
                <w:szCs w:val="24"/>
              </w:rPr>
              <w:t xml:space="preserve">oint site to store these </w:t>
            </w:r>
            <w:r>
              <w:rPr>
                <w:rFonts w:ascii="Times New Roman" w:hAnsi="Times New Roman"/>
                <w:color w:val="000000"/>
                <w:sz w:val="24"/>
                <w:szCs w:val="24"/>
              </w:rPr>
              <w:t>applications</w:t>
            </w:r>
            <w:r w:rsidRPr="00F054A4">
              <w:rPr>
                <w:rFonts w:ascii="Times New Roman" w:hAnsi="Times New Roman"/>
                <w:color w:val="000000"/>
                <w:sz w:val="24"/>
                <w:szCs w:val="24"/>
              </w:rPr>
              <w:t xml:space="preserve">.  HUD plans to </w:t>
            </w:r>
            <w:r>
              <w:rPr>
                <w:rFonts w:ascii="Times New Roman" w:hAnsi="Times New Roman"/>
                <w:color w:val="000000"/>
                <w:sz w:val="24"/>
                <w:szCs w:val="24"/>
              </w:rPr>
              <w:t xml:space="preserve">further </w:t>
            </w:r>
            <w:r w:rsidRPr="00F054A4">
              <w:rPr>
                <w:rFonts w:ascii="Times New Roman" w:hAnsi="Times New Roman"/>
                <w:color w:val="000000"/>
                <w:sz w:val="24"/>
                <w:szCs w:val="24"/>
              </w:rPr>
              <w:t xml:space="preserve">streamline the information collection and automate the approval application process when funds become available.  </w:t>
            </w:r>
            <w:r w:rsidRPr="00F054A4">
              <w:rPr>
                <w:rFonts w:ascii="Times New Roman" w:hAnsi="Times New Roman"/>
                <w:sz w:val="24"/>
                <w:szCs w:val="24"/>
              </w:rPr>
              <w:t xml:space="preserve">The application form will be updated to reflect a streamlined, fillable </w:t>
            </w:r>
            <w:r>
              <w:rPr>
                <w:rFonts w:ascii="Times New Roman" w:hAnsi="Times New Roman"/>
                <w:sz w:val="24"/>
                <w:szCs w:val="24"/>
              </w:rPr>
              <w:t xml:space="preserve">interactive </w:t>
            </w:r>
            <w:r w:rsidRPr="00F054A4">
              <w:rPr>
                <w:rFonts w:ascii="Times New Roman" w:hAnsi="Times New Roman"/>
                <w:sz w:val="24"/>
                <w:szCs w:val="24"/>
              </w:rPr>
              <w:t xml:space="preserve">PDF version and will continue to require electronic submission of applications through email in place of paper submissions.   </w:t>
            </w:r>
          </w:p>
          <w:p w:rsidRPr="00C879B4" w:rsidR="00FA2F70" w:rsidP="001B4FB5" w:rsidRDefault="00FA2F70" w14:paraId="0CBAA16A" w14:textId="77777777">
            <w:pPr>
              <w:spacing w:after="0" w:line="240" w:lineRule="auto"/>
              <w:rPr>
                <w:rFonts w:ascii="Times New Roman" w:hAnsi="Times New Roman"/>
                <w:b/>
                <w:color w:val="000000"/>
                <w:sz w:val="24"/>
                <w:szCs w:val="24"/>
              </w:rPr>
            </w:pPr>
          </w:p>
        </w:tc>
      </w:tr>
      <w:tr w:rsidRPr="00C879B4" w:rsidR="00FA2F70" w:rsidTr="00D35DDB" w14:paraId="0C40D4A4" w14:textId="77777777">
        <w:tc>
          <w:tcPr>
            <w:tcW w:w="9360" w:type="dxa"/>
            <w:shd w:val="clear" w:color="auto" w:fill="auto"/>
          </w:tcPr>
          <w:p w:rsidRPr="00C879B4" w:rsidR="00FA2F70" w:rsidP="001B4FB5" w:rsidRDefault="00FA2F70" w14:paraId="1A5A10BD" w14:textId="77777777">
            <w:pPr>
              <w:spacing w:after="0" w:line="240" w:lineRule="auto"/>
              <w:rPr>
                <w:rFonts w:ascii="Times New Roman" w:hAnsi="Times New Roman"/>
                <w:b/>
                <w:color w:val="000000"/>
                <w:sz w:val="24"/>
                <w:szCs w:val="24"/>
              </w:rPr>
            </w:pPr>
          </w:p>
        </w:tc>
      </w:tr>
      <w:tr w:rsidRPr="00C879B4" w:rsidR="00FA2F70" w:rsidTr="00D35DDB" w14:paraId="1970AD48" w14:textId="77777777">
        <w:tc>
          <w:tcPr>
            <w:tcW w:w="9360" w:type="dxa"/>
            <w:shd w:val="clear" w:color="auto" w:fill="auto"/>
          </w:tcPr>
          <w:p w:rsidR="00FA2F70" w:rsidP="001B4FB5" w:rsidRDefault="00FA2F70" w14:paraId="2E2A50FA"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B66EE8" w:rsidP="001B4FB5" w:rsidRDefault="00B66EE8" w14:paraId="28713F8B" w14:textId="77777777">
            <w:pPr>
              <w:spacing w:after="0" w:line="240" w:lineRule="auto"/>
              <w:rPr>
                <w:rFonts w:ascii="Times New Roman" w:hAnsi="Times New Roman"/>
                <w:b/>
                <w:color w:val="000000"/>
                <w:sz w:val="24"/>
                <w:szCs w:val="24"/>
              </w:rPr>
            </w:pPr>
          </w:p>
          <w:p w:rsidRPr="00C879B4" w:rsidR="00B66EE8" w:rsidP="001B4FB5" w:rsidRDefault="00B66EE8" w14:paraId="1B9F7E3B" w14:textId="4448083B">
            <w:pPr>
              <w:spacing w:after="0" w:line="240" w:lineRule="auto"/>
              <w:rPr>
                <w:rFonts w:ascii="Times New Roman" w:hAnsi="Times New Roman"/>
                <w:b/>
                <w:color w:val="000000"/>
                <w:sz w:val="24"/>
                <w:szCs w:val="24"/>
              </w:rPr>
            </w:pPr>
            <w:r w:rsidRPr="00F054A4">
              <w:rPr>
                <w:rFonts w:ascii="Times New Roman" w:hAnsi="Times New Roman"/>
                <w:color w:val="000000"/>
                <w:sz w:val="24"/>
                <w:szCs w:val="24"/>
              </w:rPr>
              <w:t xml:space="preserve">Form HUD-9900, </w:t>
            </w:r>
            <w:r w:rsidRPr="002D70DE">
              <w:rPr>
                <w:rFonts w:ascii="Times New Roman" w:hAnsi="Times New Roman"/>
                <w:i/>
                <w:iCs/>
                <w:color w:val="000000"/>
                <w:sz w:val="24"/>
                <w:szCs w:val="24"/>
              </w:rPr>
              <w:t>Application for Approval as a Housing Counseling Agency</w:t>
            </w:r>
            <w:r w:rsidRPr="00F054A4">
              <w:rPr>
                <w:rFonts w:ascii="Times New Roman" w:hAnsi="Times New Roman"/>
                <w:color w:val="000000"/>
                <w:sz w:val="24"/>
                <w:szCs w:val="24"/>
              </w:rPr>
              <w:t xml:space="preserve">, is the first </w:t>
            </w:r>
            <w:r>
              <w:rPr>
                <w:rFonts w:ascii="Times New Roman" w:hAnsi="Times New Roman"/>
                <w:color w:val="000000"/>
                <w:sz w:val="24"/>
                <w:szCs w:val="24"/>
              </w:rPr>
              <w:t>document</w:t>
            </w:r>
            <w:r w:rsidRPr="00F054A4">
              <w:rPr>
                <w:rFonts w:ascii="Times New Roman" w:hAnsi="Times New Roman"/>
                <w:color w:val="000000"/>
                <w:sz w:val="24"/>
                <w:szCs w:val="24"/>
              </w:rPr>
              <w:t xml:space="preserve"> a housing counseling agency </w:t>
            </w:r>
            <w:r>
              <w:rPr>
                <w:rFonts w:ascii="Times New Roman" w:hAnsi="Times New Roman"/>
                <w:color w:val="000000"/>
                <w:sz w:val="24"/>
                <w:szCs w:val="24"/>
              </w:rPr>
              <w:t>submits to</w:t>
            </w:r>
            <w:r w:rsidRPr="00F054A4">
              <w:rPr>
                <w:rFonts w:ascii="Times New Roman" w:hAnsi="Times New Roman"/>
                <w:color w:val="000000"/>
                <w:sz w:val="24"/>
                <w:szCs w:val="24"/>
              </w:rPr>
              <w:t xml:space="preserve"> HUD so no “similar information” is already available and no duplication occurs.</w:t>
            </w:r>
          </w:p>
          <w:p w:rsidRPr="00C879B4" w:rsidR="00FA2F70" w:rsidP="001B4FB5" w:rsidRDefault="00FA2F70" w14:paraId="50BA62E4" w14:textId="77777777">
            <w:pPr>
              <w:spacing w:after="0" w:line="240" w:lineRule="auto"/>
              <w:rPr>
                <w:rFonts w:ascii="Times New Roman" w:hAnsi="Times New Roman"/>
                <w:b/>
                <w:color w:val="000000"/>
                <w:sz w:val="24"/>
                <w:szCs w:val="24"/>
              </w:rPr>
            </w:pPr>
          </w:p>
        </w:tc>
      </w:tr>
      <w:tr w:rsidRPr="00C879B4" w:rsidR="00FA2F70" w:rsidTr="00D35DDB" w14:paraId="2C9D08D1" w14:textId="77777777">
        <w:tc>
          <w:tcPr>
            <w:tcW w:w="9360" w:type="dxa"/>
            <w:shd w:val="clear" w:color="auto" w:fill="auto"/>
          </w:tcPr>
          <w:p w:rsidRPr="00C879B4" w:rsidR="00FA2F70" w:rsidP="001B4FB5" w:rsidRDefault="00FA2F70" w14:paraId="12B45E94" w14:textId="77777777">
            <w:pPr>
              <w:spacing w:after="0" w:line="240" w:lineRule="auto"/>
              <w:rPr>
                <w:rFonts w:ascii="Times New Roman" w:hAnsi="Times New Roman"/>
                <w:b/>
                <w:color w:val="000000"/>
                <w:sz w:val="24"/>
                <w:szCs w:val="24"/>
              </w:rPr>
            </w:pPr>
          </w:p>
        </w:tc>
      </w:tr>
    </w:tbl>
    <w:p w:rsidRPr="00C879B4" w:rsidR="00FA2F70" w:rsidP="00FA2F70" w:rsidRDefault="00FA2F70" w14:paraId="1F68047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F3B4A6F" w14:textId="77777777">
        <w:tc>
          <w:tcPr>
            <w:tcW w:w="9360" w:type="dxa"/>
            <w:shd w:val="clear" w:color="auto" w:fill="auto"/>
          </w:tcPr>
          <w:p w:rsidR="00FA2F70" w:rsidP="001B4FB5" w:rsidRDefault="00FA2F70" w14:paraId="7480B24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5. If the collection of information impacts small businesses or other small entities (Item 5 of OMB Form 83-I), describe any methods used to minimize burden. </w:t>
            </w:r>
          </w:p>
          <w:p w:rsidR="00024F68" w:rsidP="001B4FB5" w:rsidRDefault="00024F68" w14:paraId="08436413" w14:textId="77777777">
            <w:pPr>
              <w:spacing w:after="0" w:line="240" w:lineRule="auto"/>
              <w:rPr>
                <w:rFonts w:ascii="Times New Roman" w:hAnsi="Times New Roman"/>
                <w:b/>
                <w:color w:val="000000"/>
                <w:sz w:val="24"/>
                <w:szCs w:val="24"/>
              </w:rPr>
            </w:pPr>
          </w:p>
          <w:p w:rsidRPr="000B18EE" w:rsidR="00024F68" w:rsidP="00024F68" w:rsidRDefault="00024F68" w14:paraId="1C62D524" w14:textId="6E44721F">
            <w:pPr>
              <w:keepLines/>
              <w:overflowPunct w:val="0"/>
              <w:autoSpaceDE w:val="0"/>
              <w:autoSpaceDN w:val="0"/>
              <w:adjustRightInd w:val="0"/>
              <w:spacing w:after="0" w:line="240" w:lineRule="auto"/>
              <w:ind w:left="-15"/>
              <w:textAlignment w:val="baseline"/>
              <w:rPr>
                <w:rFonts w:ascii="Times New Roman" w:hAnsi="Times New Roman"/>
                <w:color w:val="000000"/>
                <w:sz w:val="24"/>
                <w:szCs w:val="24"/>
              </w:rPr>
            </w:pPr>
            <w:r w:rsidRPr="000B18EE">
              <w:rPr>
                <w:rFonts w:ascii="Times New Roman" w:hAnsi="Times New Roman"/>
                <w:color w:val="000000"/>
                <w:sz w:val="24"/>
                <w:szCs w:val="24"/>
              </w:rPr>
              <w:t>The information collection is s</w:t>
            </w:r>
            <w:r>
              <w:rPr>
                <w:rFonts w:ascii="Times New Roman" w:hAnsi="Times New Roman"/>
                <w:color w:val="000000"/>
                <w:sz w:val="24"/>
                <w:szCs w:val="24"/>
              </w:rPr>
              <w:t>imilar</w:t>
            </w:r>
            <w:r w:rsidRPr="000B18EE">
              <w:rPr>
                <w:rFonts w:ascii="Times New Roman" w:hAnsi="Times New Roman"/>
                <w:color w:val="000000"/>
                <w:sz w:val="24"/>
                <w:szCs w:val="24"/>
              </w:rPr>
              <w:t xml:space="preserve"> for all entities regardless of size.  The</w:t>
            </w:r>
            <w:r>
              <w:rPr>
                <w:rFonts w:ascii="Times New Roman" w:hAnsi="Times New Roman"/>
                <w:color w:val="000000"/>
                <w:sz w:val="24"/>
                <w:szCs w:val="24"/>
              </w:rPr>
              <w:t xml:space="preserve"> i</w:t>
            </w:r>
            <w:r w:rsidRPr="000B18EE">
              <w:rPr>
                <w:rFonts w:ascii="Times New Roman" w:hAnsi="Times New Roman"/>
                <w:color w:val="000000"/>
                <w:sz w:val="24"/>
                <w:szCs w:val="24"/>
              </w:rPr>
              <w:t>nformation requested represents the minimum necessary to make an effective evaluation.</w:t>
            </w:r>
          </w:p>
          <w:p w:rsidRPr="00C879B4" w:rsidR="00FA2F70" w:rsidP="001B4FB5" w:rsidRDefault="00FA2F70" w14:paraId="16978E50" w14:textId="77777777">
            <w:pPr>
              <w:spacing w:after="0" w:line="240" w:lineRule="auto"/>
              <w:rPr>
                <w:rFonts w:ascii="Times New Roman" w:hAnsi="Times New Roman"/>
                <w:b/>
                <w:color w:val="000000"/>
                <w:sz w:val="24"/>
                <w:szCs w:val="24"/>
              </w:rPr>
            </w:pPr>
          </w:p>
        </w:tc>
      </w:tr>
      <w:tr w:rsidRPr="00C879B4" w:rsidR="00FA2F70" w:rsidTr="00D35DDB" w14:paraId="07B6538B" w14:textId="77777777">
        <w:tc>
          <w:tcPr>
            <w:tcW w:w="9360" w:type="dxa"/>
            <w:shd w:val="clear" w:color="auto" w:fill="auto"/>
          </w:tcPr>
          <w:p w:rsidRPr="00C879B4" w:rsidR="00FA2F70" w:rsidP="001B4FB5" w:rsidRDefault="00FA2F70" w14:paraId="30A36715" w14:textId="77777777">
            <w:pPr>
              <w:spacing w:after="0" w:line="240" w:lineRule="auto"/>
              <w:rPr>
                <w:rFonts w:ascii="Times New Roman" w:hAnsi="Times New Roman"/>
                <w:b/>
                <w:color w:val="000000"/>
                <w:sz w:val="24"/>
                <w:szCs w:val="24"/>
              </w:rPr>
            </w:pPr>
          </w:p>
        </w:tc>
      </w:tr>
      <w:tr w:rsidRPr="00C879B4" w:rsidR="00FA2F70" w:rsidTr="00D35DDB" w14:paraId="6F9B31F8" w14:textId="77777777">
        <w:tc>
          <w:tcPr>
            <w:tcW w:w="9360" w:type="dxa"/>
            <w:shd w:val="clear" w:color="auto" w:fill="auto"/>
          </w:tcPr>
          <w:p w:rsidRPr="00C879B4" w:rsidR="00FA2F70" w:rsidP="001B4FB5" w:rsidRDefault="00FA2F70" w14:paraId="78AFB6D6" w14:textId="52DB11A3">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w:t>
            </w:r>
            <w:r w:rsidR="00486199">
              <w:rPr>
                <w:rFonts w:ascii="Times New Roman" w:hAnsi="Times New Roman"/>
                <w:b/>
                <w:color w:val="000000"/>
                <w:sz w:val="24"/>
                <w:szCs w:val="24"/>
              </w:rPr>
              <w:t>f</w:t>
            </w:r>
            <w:r w:rsidRPr="00C879B4">
              <w:rPr>
                <w:rFonts w:ascii="Times New Roman" w:hAnsi="Times New Roman"/>
                <w:b/>
                <w:color w:val="000000"/>
                <w:sz w:val="24"/>
                <w:szCs w:val="24"/>
              </w:rPr>
              <w:t xml:space="preserve">ederal program or policy activities if the collection is not conducted or is conducted less frequently, as well as any technical or legal obstacles to reducing burden. </w:t>
            </w:r>
          </w:p>
          <w:p w:rsidRPr="00C879B4" w:rsidR="00FA2F70" w:rsidP="001B4FB5" w:rsidRDefault="00FA2F70" w14:paraId="08062A8E" w14:textId="77777777">
            <w:pPr>
              <w:spacing w:after="0" w:line="240" w:lineRule="auto"/>
              <w:rPr>
                <w:rFonts w:ascii="Times New Roman" w:hAnsi="Times New Roman"/>
                <w:b/>
                <w:color w:val="000000"/>
                <w:sz w:val="24"/>
                <w:szCs w:val="24"/>
              </w:rPr>
            </w:pPr>
          </w:p>
        </w:tc>
      </w:tr>
      <w:tr w:rsidRPr="00C879B4" w:rsidR="00FA2F70" w:rsidTr="00D35DDB" w14:paraId="78014EA4" w14:textId="77777777">
        <w:tc>
          <w:tcPr>
            <w:tcW w:w="9360" w:type="dxa"/>
            <w:shd w:val="clear" w:color="auto" w:fill="auto"/>
          </w:tcPr>
          <w:p w:rsidR="00024F68" w:rsidP="00024F68" w:rsidRDefault="00024F68" w14:paraId="2FD8F3A0" w14:textId="79018B22">
            <w:pPr>
              <w:keepLines/>
              <w:overflowPunct w:val="0"/>
              <w:autoSpaceDE w:val="0"/>
              <w:autoSpaceDN w:val="0"/>
              <w:adjustRightInd w:val="0"/>
              <w:spacing w:after="0" w:line="240" w:lineRule="auto"/>
              <w:ind w:left="-15"/>
              <w:textAlignment w:val="baseline"/>
              <w:rPr>
                <w:rFonts w:ascii="Times New Roman" w:hAnsi="Times New Roman"/>
                <w:color w:val="000000"/>
                <w:sz w:val="24"/>
                <w:szCs w:val="24"/>
              </w:rPr>
            </w:pPr>
            <w:r w:rsidRPr="000B18EE">
              <w:rPr>
                <w:rFonts w:ascii="Times New Roman" w:hAnsi="Times New Roman"/>
                <w:color w:val="000000"/>
                <w:sz w:val="24"/>
                <w:szCs w:val="24"/>
              </w:rPr>
              <w:t>Failure to collect the information described in this submission would prevent HUD from screening potential housing counseling agencies through which HUD depends solely to provide critical housing counseling services to clients.  The collection is needed to</w:t>
            </w:r>
            <w:r>
              <w:rPr>
                <w:rFonts w:ascii="Times New Roman" w:hAnsi="Times New Roman"/>
                <w:color w:val="000000"/>
                <w:sz w:val="24"/>
                <w:szCs w:val="24"/>
              </w:rPr>
              <w:t xml:space="preserve"> mitigate risk by</w:t>
            </w:r>
            <w:r w:rsidRPr="000B18EE">
              <w:rPr>
                <w:rFonts w:ascii="Times New Roman" w:hAnsi="Times New Roman"/>
                <w:color w:val="000000"/>
                <w:sz w:val="24"/>
                <w:szCs w:val="24"/>
              </w:rPr>
              <w:t xml:space="preserve"> ensur</w:t>
            </w:r>
            <w:r>
              <w:rPr>
                <w:rFonts w:ascii="Times New Roman" w:hAnsi="Times New Roman"/>
                <w:color w:val="000000"/>
                <w:sz w:val="24"/>
                <w:szCs w:val="24"/>
              </w:rPr>
              <w:t>ing</w:t>
            </w:r>
            <w:r w:rsidRPr="000B18EE">
              <w:rPr>
                <w:rFonts w:ascii="Times New Roman" w:hAnsi="Times New Roman"/>
                <w:color w:val="000000"/>
                <w:sz w:val="24"/>
                <w:szCs w:val="24"/>
              </w:rPr>
              <w:t xml:space="preserve"> applicants meet p</w:t>
            </w:r>
            <w:r>
              <w:rPr>
                <w:rFonts w:ascii="Times New Roman" w:hAnsi="Times New Roman"/>
                <w:color w:val="000000"/>
                <w:sz w:val="24"/>
                <w:szCs w:val="24"/>
              </w:rPr>
              <w:t>rogram</w:t>
            </w:r>
            <w:r w:rsidRPr="000B18EE">
              <w:rPr>
                <w:rFonts w:ascii="Times New Roman" w:hAnsi="Times New Roman"/>
                <w:color w:val="000000"/>
                <w:sz w:val="24"/>
                <w:szCs w:val="24"/>
              </w:rPr>
              <w:t xml:space="preserve"> eligibility criteria and possess the capability to deliver effective and efficient services.  This is critical since HUD refers individuals and households in need of assistance to these HUD</w:t>
            </w:r>
            <w:r w:rsidR="00D772F6">
              <w:rPr>
                <w:rFonts w:ascii="Times New Roman" w:hAnsi="Times New Roman"/>
                <w:color w:val="000000"/>
                <w:sz w:val="24"/>
                <w:szCs w:val="24"/>
              </w:rPr>
              <w:t>-</w:t>
            </w:r>
            <w:r w:rsidRPr="000B18EE">
              <w:rPr>
                <w:rFonts w:ascii="Times New Roman" w:hAnsi="Times New Roman"/>
                <w:color w:val="000000"/>
                <w:sz w:val="24"/>
                <w:szCs w:val="24"/>
              </w:rPr>
              <w:t xml:space="preserve">approved </w:t>
            </w:r>
            <w:r w:rsidR="00682ED1">
              <w:rPr>
                <w:rFonts w:ascii="Times New Roman" w:hAnsi="Times New Roman"/>
                <w:color w:val="000000"/>
                <w:sz w:val="24"/>
                <w:szCs w:val="24"/>
              </w:rPr>
              <w:t>HCAs</w:t>
            </w:r>
            <w:r w:rsidRPr="000B18EE">
              <w:rPr>
                <w:rFonts w:ascii="Times New Roman" w:hAnsi="Times New Roman"/>
                <w:color w:val="000000"/>
                <w:sz w:val="24"/>
                <w:szCs w:val="24"/>
              </w:rPr>
              <w:t>.  If the collection is not conducted, HUD would not approve any new agencies as part of the program.</w:t>
            </w:r>
          </w:p>
          <w:p w:rsidRPr="00C879B4" w:rsidR="00FA2F70" w:rsidP="001B4FB5" w:rsidRDefault="00FA2F70" w14:paraId="310716C5" w14:textId="77777777">
            <w:pPr>
              <w:spacing w:after="0" w:line="240" w:lineRule="auto"/>
              <w:rPr>
                <w:rFonts w:ascii="Times New Roman" w:hAnsi="Times New Roman"/>
                <w:b/>
                <w:color w:val="000000"/>
                <w:sz w:val="24"/>
                <w:szCs w:val="24"/>
              </w:rPr>
            </w:pPr>
          </w:p>
        </w:tc>
      </w:tr>
    </w:tbl>
    <w:p w:rsidRPr="00C879B4" w:rsidR="00FA2F70" w:rsidP="00FA2F70" w:rsidRDefault="00FA2F70" w14:paraId="6532E9E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6C72B8" w14:paraId="2882A1EC" w14:textId="77777777">
        <w:tc>
          <w:tcPr>
            <w:tcW w:w="9252" w:type="dxa"/>
            <w:shd w:val="clear" w:color="auto" w:fill="auto"/>
          </w:tcPr>
          <w:tbl>
            <w:tblPr>
              <w:tblW w:w="0" w:type="auto"/>
              <w:tblLook w:val="04A0" w:firstRow="1" w:lastRow="0" w:firstColumn="1" w:lastColumn="0" w:noHBand="0" w:noVBand="1"/>
            </w:tblPr>
            <w:tblGrid>
              <w:gridCol w:w="8928"/>
            </w:tblGrid>
            <w:tr w:rsidRPr="00C879B4" w:rsidR="00E94F61" w:rsidTr="00E94F61" w14:paraId="41ED7D90" w14:textId="77777777">
              <w:tc>
                <w:tcPr>
                  <w:tcW w:w="8928" w:type="dxa"/>
                  <w:shd w:val="clear" w:color="auto" w:fill="auto"/>
                </w:tcPr>
                <w:p w:rsidRPr="00C879B4" w:rsidR="00E94F61" w:rsidP="00E94F61" w:rsidRDefault="00E94F61" w14:paraId="6EFC70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7. Explain any special circumstances that would cause an information collection to be conducted in a manner: (PLEASE ANSWER EACH BULLET SEPARATELY)</w:t>
                  </w:r>
                </w:p>
                <w:p w:rsidRPr="00C879B4" w:rsidR="00E94F61" w:rsidP="00E94F61" w:rsidRDefault="00E94F61" w14:paraId="656620F0" w14:textId="77777777">
                  <w:pPr>
                    <w:spacing w:after="0" w:line="240" w:lineRule="auto"/>
                    <w:rPr>
                      <w:rFonts w:ascii="Times New Roman" w:hAnsi="Times New Roman"/>
                      <w:b/>
                      <w:color w:val="000000"/>
                      <w:sz w:val="24"/>
                      <w:szCs w:val="24"/>
                    </w:rPr>
                  </w:pPr>
                </w:p>
                <w:p w:rsidRPr="00C879B4" w:rsidR="00E94F61" w:rsidP="00E94F61" w:rsidRDefault="00E94F61" w14:paraId="1A0A82B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Pr="00C879B4" w:rsidR="00E94F61" w:rsidP="00E94F61" w:rsidRDefault="00E94F61" w14:paraId="20454CB2" w14:textId="77777777">
                  <w:pPr>
                    <w:spacing w:after="0" w:line="240" w:lineRule="auto"/>
                    <w:rPr>
                      <w:rFonts w:ascii="Times New Roman" w:hAnsi="Times New Roman"/>
                      <w:color w:val="000000"/>
                      <w:sz w:val="24"/>
                      <w:szCs w:val="24"/>
                    </w:rPr>
                  </w:pPr>
                </w:p>
                <w:p w:rsidRPr="00C879B4" w:rsidR="00E94F61" w:rsidP="00E94F61" w:rsidRDefault="00E94F61" w14:paraId="1D9C14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Pr="00C879B4" w:rsidR="00E94F61" w:rsidP="00E94F61" w:rsidRDefault="00E94F61" w14:paraId="07CDD898" w14:textId="77777777">
                  <w:pPr>
                    <w:spacing w:after="0" w:line="240" w:lineRule="auto"/>
                    <w:rPr>
                      <w:rFonts w:ascii="Times New Roman" w:hAnsi="Times New Roman"/>
                      <w:color w:val="000000"/>
                      <w:sz w:val="24"/>
                      <w:szCs w:val="24"/>
                    </w:rPr>
                  </w:pPr>
                </w:p>
                <w:p w:rsidRPr="00C879B4" w:rsidR="00E94F61" w:rsidP="00E94F61" w:rsidRDefault="00E94F61" w14:paraId="7EFAF17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Pr="00C879B4" w:rsidR="00E94F61" w:rsidP="00E94F61" w:rsidRDefault="00E94F61" w14:paraId="7C0F6A67" w14:textId="77777777">
                  <w:pPr>
                    <w:spacing w:after="0" w:line="240" w:lineRule="auto"/>
                    <w:rPr>
                      <w:rFonts w:ascii="Times New Roman" w:hAnsi="Times New Roman"/>
                      <w:color w:val="000000"/>
                      <w:sz w:val="24"/>
                      <w:szCs w:val="24"/>
                    </w:rPr>
                  </w:pPr>
                </w:p>
                <w:p w:rsidRPr="00C879B4" w:rsidR="00E94F61" w:rsidP="00E94F61" w:rsidRDefault="00E94F61" w14:paraId="7671E687"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C879B4" w:rsidR="00E94F61" w:rsidP="00E94F61" w:rsidRDefault="00E94F61" w14:paraId="0AA5C5A7" w14:textId="77777777">
                  <w:pPr>
                    <w:spacing w:after="0" w:line="240" w:lineRule="auto"/>
                    <w:rPr>
                      <w:rFonts w:ascii="Times New Roman" w:hAnsi="Times New Roman"/>
                      <w:color w:val="000000"/>
                      <w:sz w:val="24"/>
                      <w:szCs w:val="24"/>
                    </w:rPr>
                  </w:pPr>
                </w:p>
                <w:p w:rsidRPr="00C879B4" w:rsidR="00E94F61" w:rsidP="00E94F61" w:rsidRDefault="00E94F61" w14:paraId="149C4DD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Pr="00C879B4" w:rsidR="00E94F61" w:rsidP="00E94F61" w:rsidRDefault="00E94F61" w14:paraId="4B63177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Pr="00C879B4" w:rsidR="00E94F61" w:rsidP="00E94F61" w:rsidRDefault="00E94F61" w14:paraId="3387C1FD" w14:textId="77777777">
                  <w:pPr>
                    <w:spacing w:after="0" w:line="240" w:lineRule="auto"/>
                    <w:rPr>
                      <w:rFonts w:ascii="Times New Roman" w:hAnsi="Times New Roman"/>
                      <w:color w:val="000000"/>
                      <w:sz w:val="24"/>
                      <w:szCs w:val="24"/>
                    </w:rPr>
                  </w:pPr>
                </w:p>
                <w:p w:rsidRPr="00C879B4" w:rsidR="00E94F61" w:rsidP="00E94F61" w:rsidRDefault="00E94F61" w14:paraId="7A29E29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879B4" w:rsidR="00E94F61" w:rsidP="00E94F61" w:rsidRDefault="00E94F61" w14:paraId="33E7D431" w14:textId="77777777">
                  <w:pPr>
                    <w:spacing w:after="0" w:line="240" w:lineRule="auto"/>
                    <w:rPr>
                      <w:rFonts w:ascii="Times New Roman" w:hAnsi="Times New Roman"/>
                      <w:color w:val="000000"/>
                      <w:sz w:val="24"/>
                      <w:szCs w:val="24"/>
                    </w:rPr>
                  </w:pPr>
                </w:p>
                <w:p w:rsidRPr="00C879B4" w:rsidR="00E94F61" w:rsidP="00E94F61" w:rsidRDefault="00E94F61" w14:paraId="5FC41AF7"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C879B4" w:rsidR="00E94F61" w:rsidP="00E94F61" w:rsidRDefault="00E94F61" w14:paraId="014B544B" w14:textId="77777777">
                  <w:pPr>
                    <w:spacing w:after="0" w:line="240" w:lineRule="auto"/>
                    <w:rPr>
                      <w:rFonts w:ascii="Times New Roman" w:hAnsi="Times New Roman"/>
                      <w:b/>
                      <w:color w:val="000000"/>
                      <w:sz w:val="24"/>
                      <w:szCs w:val="24"/>
                    </w:rPr>
                  </w:pPr>
                </w:p>
              </w:tc>
            </w:tr>
          </w:tbl>
          <w:p w:rsidR="00FA2F70" w:rsidP="006C72B8" w:rsidRDefault="006C72B8" w14:paraId="571BB2A0" w14:textId="77777777">
            <w:pPr>
              <w:autoSpaceDE w:val="0"/>
              <w:autoSpaceDN w:val="0"/>
              <w:adjustRightInd w:val="0"/>
              <w:spacing w:after="0" w:line="240" w:lineRule="auto"/>
              <w:rPr>
                <w:rFonts w:ascii="Times New Roman" w:hAnsi="Times New Roman" w:eastAsia="Calibri"/>
                <w:sz w:val="24"/>
                <w:szCs w:val="24"/>
              </w:rPr>
            </w:pPr>
            <w:r w:rsidRPr="006C72B8">
              <w:rPr>
                <w:rFonts w:ascii="Times New Roman" w:hAnsi="Times New Roman" w:eastAsia="Calibri"/>
                <w:sz w:val="24"/>
                <w:szCs w:val="24"/>
              </w:rPr>
              <w:t>The special circumstances contained in item 7 of the supporting statement are not applicable to this information collection.</w:t>
            </w:r>
          </w:p>
          <w:p w:rsidR="006C72B8" w:rsidP="006C72B8" w:rsidRDefault="006C72B8" w14:paraId="16B67FC1" w14:textId="77777777">
            <w:pPr>
              <w:autoSpaceDE w:val="0"/>
              <w:autoSpaceDN w:val="0"/>
              <w:adjustRightInd w:val="0"/>
              <w:spacing w:after="0" w:line="240" w:lineRule="auto"/>
              <w:rPr>
                <w:rFonts w:ascii="Times New Roman" w:hAnsi="Times New Roman" w:eastAsia="Calibri"/>
                <w:sz w:val="24"/>
                <w:szCs w:val="24"/>
              </w:rPr>
            </w:pPr>
          </w:p>
          <w:p w:rsidRPr="00C879B4" w:rsidR="006C72B8" w:rsidP="006C72B8" w:rsidRDefault="006C72B8" w14:paraId="1B8716CE" w14:textId="5CA08FB8">
            <w:pPr>
              <w:autoSpaceDE w:val="0"/>
              <w:autoSpaceDN w:val="0"/>
              <w:adjustRightInd w:val="0"/>
              <w:spacing w:after="0" w:line="240" w:lineRule="auto"/>
              <w:rPr>
                <w:rFonts w:ascii="Times New Roman" w:hAnsi="Times New Roman"/>
                <w:b/>
                <w:color w:val="000000"/>
                <w:sz w:val="24"/>
                <w:szCs w:val="24"/>
              </w:rPr>
            </w:pPr>
          </w:p>
        </w:tc>
      </w:tr>
      <w:tr w:rsidRPr="00C879B4" w:rsidR="00FA2F70" w:rsidTr="006C72B8" w14:paraId="551548E4" w14:textId="77777777">
        <w:tc>
          <w:tcPr>
            <w:tcW w:w="9252" w:type="dxa"/>
            <w:shd w:val="clear" w:color="auto" w:fill="auto"/>
          </w:tcPr>
          <w:p w:rsidRPr="00C879B4" w:rsidR="0021340A" w:rsidP="001B4FB5" w:rsidRDefault="0021340A" w14:paraId="02A203C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P="009B0365" w:rsidRDefault="009B0365" w14:paraId="1C7899F4" w14:textId="328C58AE">
            <w:pPr>
              <w:spacing w:after="0" w:line="240" w:lineRule="auto"/>
              <w:rPr>
                <w:rFonts w:ascii="Times New Roman" w:hAnsi="Times New Roman"/>
                <w:color w:val="000000"/>
              </w:rPr>
            </w:pPr>
          </w:p>
          <w:p w:rsidRPr="00C879B4" w:rsidR="00B333E5" w:rsidP="00B333E5" w:rsidRDefault="00B333E5" w14:paraId="1C77CE4B" w14:textId="2663EE61">
            <w:pPr>
              <w:tabs>
                <w:tab w:val="left" w:pos="1080"/>
              </w:tabs>
              <w:overflowPunct w:val="0"/>
              <w:autoSpaceDE w:val="0"/>
              <w:autoSpaceDN w:val="0"/>
              <w:adjustRightInd w:val="0"/>
              <w:spacing w:after="0" w:line="240" w:lineRule="auto"/>
              <w:rPr>
                <w:rFonts w:ascii="Times New Roman" w:hAnsi="Times New Roman"/>
                <w:color w:val="00000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BB0E17">
              <w:rPr>
                <w:rFonts w:ascii="Times New Roman" w:hAnsi="Times New Roman"/>
                <w:sz w:val="24"/>
                <w:szCs w:val="20"/>
              </w:rPr>
              <w:t>November 20, 2020</w:t>
            </w:r>
            <w:r w:rsidRPr="00811DF3">
              <w:rPr>
                <w:rFonts w:ascii="Times New Roman" w:hAnsi="Times New Roman"/>
                <w:sz w:val="24"/>
                <w:szCs w:val="20"/>
              </w:rPr>
              <w:t xml:space="preserve">, Volume </w:t>
            </w:r>
            <w:r w:rsidR="00BB0E17">
              <w:rPr>
                <w:rFonts w:ascii="Times New Roman" w:hAnsi="Times New Roman"/>
                <w:sz w:val="24"/>
                <w:szCs w:val="20"/>
              </w:rPr>
              <w:t>85</w:t>
            </w:r>
            <w:r w:rsidRPr="00811DF3">
              <w:rPr>
                <w:rFonts w:ascii="Times New Roman" w:hAnsi="Times New Roman"/>
                <w:sz w:val="24"/>
                <w:szCs w:val="20"/>
              </w:rPr>
              <w:t xml:space="preserve">, Page </w:t>
            </w:r>
            <w:r w:rsidR="00BB0E17">
              <w:rPr>
                <w:rFonts w:ascii="Times New Roman" w:hAnsi="Times New Roman"/>
                <w:sz w:val="24"/>
                <w:szCs w:val="20"/>
              </w:rPr>
              <w:t>74369</w:t>
            </w:r>
            <w:r w:rsidRPr="00811DF3">
              <w:rPr>
                <w:rFonts w:ascii="Times New Roman" w:hAnsi="Times New Roman"/>
                <w:sz w:val="24"/>
                <w:szCs w:val="20"/>
              </w:rPr>
              <w:t>.</w:t>
            </w:r>
            <w:r w:rsidR="00971992">
              <w:t xml:space="preserve"> </w:t>
            </w:r>
            <w:r w:rsidRPr="00971992" w:rsidR="00971992">
              <w:rPr>
                <w:rFonts w:ascii="Times New Roman" w:hAnsi="Times New Roman"/>
                <w:sz w:val="24"/>
                <w:szCs w:val="20"/>
              </w:rPr>
              <w:t>No comments were received.</w:t>
            </w:r>
          </w:p>
          <w:p w:rsidR="00B333E5" w:rsidP="009B0365" w:rsidRDefault="00B333E5" w14:paraId="4D32EB7E" w14:textId="77777777">
            <w:pPr>
              <w:spacing w:after="0" w:line="240" w:lineRule="auto"/>
              <w:rPr>
                <w:rFonts w:ascii="Times New Roman" w:hAnsi="Times New Roman"/>
                <w:color w:val="000000"/>
              </w:rPr>
            </w:pPr>
          </w:p>
          <w:p w:rsidRPr="009245BB" w:rsidR="00B333E5" w:rsidP="00B333E5" w:rsidRDefault="00B333E5" w14:paraId="049AAC32" w14:textId="0368A0D7">
            <w:pPr>
              <w:tabs>
                <w:tab w:val="left" w:pos="1080"/>
              </w:tabs>
              <w:overflowPunct w:val="0"/>
              <w:autoSpaceDE w:val="0"/>
              <w:autoSpaceDN w:val="0"/>
              <w:adjustRightInd w:val="0"/>
              <w:spacing w:after="0" w:line="240" w:lineRule="auto"/>
              <w:rPr>
                <w:rFonts w:ascii="Times New Roman" w:hAnsi="Times New Roman"/>
                <w:sz w:val="24"/>
                <w:szCs w:val="20"/>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C62C90">
              <w:rPr>
                <w:rFonts w:ascii="Times New Roman" w:hAnsi="Times New Roman" w:eastAsia="Calibri"/>
                <w:color w:val="000000"/>
                <w:sz w:val="24"/>
                <w:szCs w:val="24"/>
              </w:rPr>
              <w:t>January 25, 2021</w:t>
            </w:r>
            <w:r w:rsidRPr="009245BB">
              <w:rPr>
                <w:rFonts w:ascii="Times New Roman" w:hAnsi="Times New Roman" w:eastAsia="Calibri"/>
                <w:color w:val="000000"/>
                <w:sz w:val="24"/>
                <w:szCs w:val="24"/>
              </w:rPr>
              <w:t xml:space="preserve">, Volume </w:t>
            </w:r>
            <w:r w:rsidR="00C62C90">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C62C90">
              <w:rPr>
                <w:rFonts w:ascii="Times New Roman" w:hAnsi="Times New Roman" w:eastAsia="Calibri"/>
                <w:color w:val="000000"/>
                <w:sz w:val="24"/>
                <w:szCs w:val="24"/>
              </w:rPr>
              <w:t>6911</w:t>
            </w:r>
            <w:r w:rsidRPr="009245BB">
              <w:rPr>
                <w:rFonts w:ascii="Times New Roman" w:hAnsi="Times New Roman" w:eastAsia="Calibri"/>
                <w:color w:val="000000"/>
                <w:sz w:val="24"/>
                <w:szCs w:val="24"/>
              </w:rPr>
              <w:t>.  No comments were received.</w:t>
            </w:r>
          </w:p>
          <w:p w:rsidRPr="009245BB" w:rsidR="00B333E5" w:rsidP="00B333E5" w:rsidRDefault="00B333E5" w14:paraId="3CCCBC2D" w14:textId="77777777">
            <w:pPr>
              <w:tabs>
                <w:tab w:val="left" w:pos="1080"/>
              </w:tabs>
              <w:overflowPunct w:val="0"/>
              <w:autoSpaceDE w:val="0"/>
              <w:autoSpaceDN w:val="0"/>
              <w:adjustRightInd w:val="0"/>
              <w:spacing w:after="0" w:line="240" w:lineRule="auto"/>
              <w:rPr>
                <w:rFonts w:ascii="Times New Roman" w:hAnsi="Times New Roman"/>
                <w:color w:val="000000"/>
              </w:rPr>
            </w:pPr>
          </w:p>
          <w:p w:rsidR="00B333E5" w:rsidP="0091494D" w:rsidRDefault="00B333E5" w14:paraId="2560CB56" w14:textId="77777777">
            <w:pPr>
              <w:spacing w:after="0" w:line="240" w:lineRule="auto"/>
              <w:rPr>
                <w:rFonts w:ascii="Times New Roman" w:hAnsi="Times New Roman"/>
                <w:bCs/>
                <w:color w:val="000000"/>
                <w:sz w:val="24"/>
                <w:szCs w:val="24"/>
              </w:rPr>
            </w:pPr>
          </w:p>
          <w:p w:rsidR="0091494D" w:rsidP="0091494D" w:rsidRDefault="0091494D" w14:paraId="32428169" w14:textId="3BD58724">
            <w:pPr>
              <w:spacing w:after="0" w:line="240" w:lineRule="auto"/>
              <w:rPr>
                <w:rFonts w:ascii="Times New Roman" w:hAnsi="Times New Roman"/>
                <w:color w:val="000000"/>
              </w:rPr>
            </w:pPr>
            <w:r>
              <w:rPr>
                <w:rFonts w:ascii="Times New Roman" w:hAnsi="Times New Roman"/>
                <w:bCs/>
                <w:color w:val="000000"/>
                <w:sz w:val="24"/>
                <w:szCs w:val="24"/>
              </w:rPr>
              <w:t>T</w:t>
            </w:r>
            <w:r w:rsidRPr="0091494D">
              <w:rPr>
                <w:rFonts w:ascii="Times New Roman" w:hAnsi="Times New Roman"/>
                <w:bCs/>
                <w:color w:val="000000"/>
                <w:sz w:val="24"/>
                <w:szCs w:val="24"/>
              </w:rPr>
              <w:t>h</w:t>
            </w:r>
            <w:r w:rsidR="003A6506">
              <w:rPr>
                <w:rFonts w:ascii="Times New Roman" w:hAnsi="Times New Roman"/>
                <w:bCs/>
                <w:color w:val="000000"/>
                <w:sz w:val="24"/>
                <w:szCs w:val="24"/>
              </w:rPr>
              <w:t xml:space="preserve">e </w:t>
            </w:r>
            <w:r w:rsidRPr="0091494D">
              <w:rPr>
                <w:rFonts w:ascii="Times New Roman" w:hAnsi="Times New Roman"/>
                <w:bCs/>
                <w:color w:val="000000"/>
                <w:sz w:val="24"/>
                <w:szCs w:val="24"/>
              </w:rPr>
              <w:t>information</w:t>
            </w:r>
            <w:r w:rsidR="003A6506">
              <w:rPr>
                <w:rFonts w:ascii="Times New Roman" w:hAnsi="Times New Roman"/>
                <w:bCs/>
                <w:color w:val="000000"/>
                <w:sz w:val="24"/>
                <w:szCs w:val="24"/>
              </w:rPr>
              <w:t xml:space="preserve"> from </w:t>
            </w:r>
            <w:r w:rsidRPr="003A6506" w:rsidR="003A6506">
              <w:rPr>
                <w:rFonts w:ascii="Times New Roman" w:hAnsi="Times New Roman"/>
                <w:bCs/>
                <w:color w:val="000000"/>
                <w:sz w:val="24"/>
                <w:szCs w:val="24"/>
              </w:rPr>
              <w:t>persons outside the agency</w:t>
            </w:r>
            <w:r w:rsidRPr="0091494D">
              <w:rPr>
                <w:rFonts w:ascii="Times New Roman" w:hAnsi="Times New Roman"/>
                <w:bCs/>
                <w:color w:val="000000"/>
                <w:sz w:val="24"/>
                <w:szCs w:val="24"/>
              </w:rPr>
              <w:t xml:space="preserve"> was not obtaine</w:t>
            </w:r>
            <w:r>
              <w:rPr>
                <w:rFonts w:ascii="Times New Roman" w:hAnsi="Times New Roman"/>
                <w:bCs/>
                <w:color w:val="000000"/>
                <w:sz w:val="24"/>
                <w:szCs w:val="24"/>
              </w:rPr>
              <w:t xml:space="preserve">d.  </w:t>
            </w:r>
            <w:r w:rsidR="003A6506">
              <w:rPr>
                <w:rFonts w:ascii="Times New Roman" w:hAnsi="Times New Roman"/>
                <w:bCs/>
                <w:color w:val="000000"/>
                <w:sz w:val="24"/>
                <w:szCs w:val="24"/>
              </w:rPr>
              <w:t>HUD</w:t>
            </w:r>
            <w:r>
              <w:rPr>
                <w:rFonts w:ascii="Times New Roman" w:hAnsi="Times New Roman"/>
                <w:bCs/>
                <w:color w:val="000000"/>
                <w:sz w:val="24"/>
                <w:szCs w:val="24"/>
              </w:rPr>
              <w:t xml:space="preserve"> will ensure that we consult with representatives </w:t>
            </w:r>
            <w:r w:rsidRPr="003A6506" w:rsidR="003A6506">
              <w:rPr>
                <w:rFonts w:ascii="Times New Roman" w:hAnsi="Times New Roman"/>
                <w:bCs/>
                <w:color w:val="000000"/>
                <w:sz w:val="24"/>
                <w:szCs w:val="24"/>
              </w:rPr>
              <w:t xml:space="preserve">outside the agency </w:t>
            </w:r>
            <w:r>
              <w:rPr>
                <w:rFonts w:ascii="Times New Roman" w:hAnsi="Times New Roman"/>
                <w:bCs/>
                <w:color w:val="000000"/>
                <w:sz w:val="24"/>
                <w:szCs w:val="24"/>
              </w:rPr>
              <w:t>to obtain th</w:t>
            </w:r>
            <w:r w:rsidR="003A6506">
              <w:rPr>
                <w:rFonts w:ascii="Times New Roman" w:hAnsi="Times New Roman"/>
                <w:bCs/>
                <w:color w:val="000000"/>
                <w:sz w:val="24"/>
                <w:szCs w:val="24"/>
              </w:rPr>
              <w:t>eir</w:t>
            </w:r>
            <w:r>
              <w:rPr>
                <w:rFonts w:ascii="Times New Roman" w:hAnsi="Times New Roman"/>
                <w:bCs/>
                <w:color w:val="000000"/>
                <w:sz w:val="24"/>
                <w:szCs w:val="24"/>
              </w:rPr>
              <w:t xml:space="preserve"> information and that it is obtained in the future.  </w:t>
            </w:r>
          </w:p>
          <w:p w:rsidR="0091494D" w:rsidP="009B0365" w:rsidRDefault="0091494D" w14:paraId="03AE2B5B" w14:textId="77777777">
            <w:pPr>
              <w:spacing w:after="0" w:line="240" w:lineRule="auto"/>
              <w:rPr>
                <w:rFonts w:ascii="Times New Roman" w:hAnsi="Times New Roman"/>
                <w:color w:val="000000"/>
              </w:rPr>
            </w:pPr>
          </w:p>
          <w:p w:rsidRPr="00C879B4" w:rsidR="00FA2F70" w:rsidP="00B333E5" w:rsidRDefault="00FA2F70" w14:paraId="59DED81A"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tc>
      </w:tr>
      <w:tr w:rsidRPr="00C879B4" w:rsidR="0021340A" w:rsidTr="006C72B8" w14:paraId="18CA22AD" w14:textId="77777777">
        <w:tc>
          <w:tcPr>
            <w:tcW w:w="9252" w:type="dxa"/>
            <w:shd w:val="clear" w:color="auto" w:fill="auto"/>
          </w:tcPr>
          <w:p w:rsidRPr="00C879B4" w:rsidR="0021340A" w:rsidP="001B4FB5" w:rsidRDefault="0021340A" w14:paraId="1700F7A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reenumeration of contractors or grantees. </w:t>
            </w:r>
          </w:p>
          <w:p w:rsidR="0021340A" w:rsidP="001B4FB5" w:rsidRDefault="0021340A" w14:paraId="1B2A8403" w14:textId="77777777">
            <w:pPr>
              <w:spacing w:after="0" w:line="240" w:lineRule="auto"/>
              <w:rPr>
                <w:rFonts w:ascii="Times New Roman" w:hAnsi="Times New Roman"/>
                <w:color w:val="000000"/>
                <w:sz w:val="24"/>
                <w:szCs w:val="24"/>
              </w:rPr>
            </w:pPr>
          </w:p>
          <w:p w:rsidRPr="00C879B4" w:rsidR="00024F68" w:rsidP="001B4FB5" w:rsidRDefault="00024F68" w14:paraId="49172A9A" w14:textId="77777777">
            <w:pPr>
              <w:spacing w:after="0" w:line="240" w:lineRule="auto"/>
              <w:rPr>
                <w:rFonts w:ascii="Times New Roman" w:hAnsi="Times New Roman"/>
                <w:color w:val="000000"/>
                <w:sz w:val="24"/>
                <w:szCs w:val="24"/>
              </w:rPr>
            </w:pPr>
            <w:r w:rsidRPr="00C87F21">
              <w:rPr>
                <w:rFonts w:ascii="Times New Roman" w:hAnsi="Times New Roman"/>
                <w:sz w:val="24"/>
                <w:szCs w:val="24"/>
              </w:rPr>
              <w:t>There are no payments</w:t>
            </w:r>
            <w:r>
              <w:rPr>
                <w:rFonts w:ascii="Times New Roman" w:hAnsi="Times New Roman"/>
                <w:sz w:val="24"/>
                <w:szCs w:val="24"/>
              </w:rPr>
              <w:t xml:space="preserve"> or gifts</w:t>
            </w:r>
            <w:r w:rsidRPr="00C87F21">
              <w:rPr>
                <w:rFonts w:ascii="Times New Roman" w:hAnsi="Times New Roman"/>
                <w:sz w:val="24"/>
                <w:szCs w:val="24"/>
              </w:rPr>
              <w:t xml:space="preserve"> to respondents</w:t>
            </w:r>
            <w:r>
              <w:rPr>
                <w:rFonts w:ascii="Times New Roman" w:hAnsi="Times New Roman"/>
                <w:sz w:val="24"/>
                <w:szCs w:val="24"/>
              </w:rPr>
              <w:t>.</w:t>
            </w:r>
          </w:p>
        </w:tc>
      </w:tr>
      <w:tr w:rsidRPr="00C879B4" w:rsidR="0021340A" w:rsidTr="006C72B8" w14:paraId="43B013D3" w14:textId="77777777">
        <w:tc>
          <w:tcPr>
            <w:tcW w:w="9252" w:type="dxa"/>
            <w:shd w:val="clear" w:color="auto" w:fill="auto"/>
          </w:tcPr>
          <w:p w:rsidRPr="00C879B4" w:rsidR="0021340A" w:rsidP="001B4FB5" w:rsidRDefault="0021340A" w14:paraId="1DA0FA53" w14:textId="77777777">
            <w:pPr>
              <w:spacing w:after="0" w:line="240" w:lineRule="auto"/>
              <w:rPr>
                <w:rFonts w:ascii="Times New Roman" w:hAnsi="Times New Roman"/>
                <w:color w:val="000000"/>
                <w:sz w:val="24"/>
                <w:szCs w:val="24"/>
              </w:rPr>
            </w:pPr>
          </w:p>
        </w:tc>
      </w:tr>
    </w:tbl>
    <w:p w:rsidRPr="00C879B4" w:rsidR="00FA2F70" w:rsidP="00FA2F70" w:rsidRDefault="00FA2F70" w14:paraId="54F55F0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3AA2A7D8" w14:textId="77777777">
        <w:tc>
          <w:tcPr>
            <w:tcW w:w="9360" w:type="dxa"/>
            <w:shd w:val="clear" w:color="auto" w:fill="auto"/>
          </w:tcPr>
          <w:p w:rsidRPr="00C879B4" w:rsidR="0021340A" w:rsidP="001B4FB5" w:rsidRDefault="0021340A" w14:paraId="644BF73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21340A" w:rsidP="001B4FB5" w:rsidRDefault="0021340A" w14:paraId="51581175" w14:textId="77777777">
            <w:pPr>
              <w:spacing w:after="0" w:line="240" w:lineRule="auto"/>
              <w:rPr>
                <w:rFonts w:ascii="Times New Roman" w:hAnsi="Times New Roman"/>
                <w:b/>
                <w:color w:val="000000"/>
                <w:sz w:val="24"/>
                <w:szCs w:val="24"/>
              </w:rPr>
            </w:pPr>
          </w:p>
        </w:tc>
      </w:tr>
      <w:tr w:rsidRPr="00C879B4" w:rsidR="00024F68" w:rsidTr="00D35DDB" w14:paraId="77593A9F" w14:textId="77777777">
        <w:tc>
          <w:tcPr>
            <w:tcW w:w="9360" w:type="dxa"/>
            <w:shd w:val="clear" w:color="auto" w:fill="auto"/>
          </w:tcPr>
          <w:p w:rsidRPr="00C87F21" w:rsidR="00024F68" w:rsidP="00024F68" w:rsidRDefault="00024F68" w14:paraId="0D0DEA5B" w14:textId="5EFF1E54">
            <w:pPr>
              <w:keepLines/>
              <w:overflowPunct w:val="0"/>
              <w:autoSpaceDE w:val="0"/>
              <w:autoSpaceDN w:val="0"/>
              <w:adjustRightInd w:val="0"/>
              <w:spacing w:after="0" w:line="240" w:lineRule="auto"/>
              <w:ind w:left="-15"/>
              <w:textAlignment w:val="baseline"/>
              <w:rPr>
                <w:rFonts w:ascii="Times New Roman" w:hAnsi="Times New Roman"/>
                <w:color w:val="000000"/>
                <w:sz w:val="24"/>
                <w:szCs w:val="24"/>
              </w:rPr>
            </w:pPr>
            <w:r w:rsidRPr="00C87F21">
              <w:rPr>
                <w:rFonts w:ascii="Times New Roman" w:hAnsi="Times New Roman"/>
                <w:color w:val="000000"/>
                <w:sz w:val="24"/>
                <w:szCs w:val="24"/>
              </w:rPr>
              <w:t>Form HUD-9900</w:t>
            </w:r>
            <w:r w:rsidR="001C0362">
              <w:rPr>
                <w:rFonts w:ascii="Times New Roman" w:hAnsi="Times New Roman"/>
                <w:color w:val="000000"/>
                <w:sz w:val="24"/>
                <w:szCs w:val="24"/>
              </w:rPr>
              <w:t>,</w:t>
            </w:r>
            <w:r w:rsidR="00826A6E">
              <w:rPr>
                <w:rFonts w:ascii="Times New Roman" w:hAnsi="Times New Roman"/>
                <w:color w:val="000000"/>
                <w:sz w:val="24"/>
                <w:szCs w:val="24"/>
              </w:rPr>
              <w:t xml:space="preserve"> </w:t>
            </w:r>
            <w:r w:rsidR="00826A6E">
              <w:rPr>
                <w:rFonts w:ascii="Times New Roman" w:hAnsi="Times New Roman"/>
                <w:i/>
                <w:iCs/>
                <w:color w:val="000000"/>
                <w:sz w:val="24"/>
                <w:szCs w:val="24"/>
              </w:rPr>
              <w:t>Application for Approval as a Housing Counseling Agency,</w:t>
            </w:r>
            <w:r w:rsidRPr="00C87F21">
              <w:rPr>
                <w:rFonts w:ascii="Times New Roman" w:hAnsi="Times New Roman"/>
                <w:color w:val="000000"/>
                <w:sz w:val="24"/>
                <w:szCs w:val="24"/>
              </w:rPr>
              <w:t xml:space="preserve"> is subject to the Privacy Act, which requires the records to be maintained with appropriate administrative, technical and physical safeguards to ensure their security and confidentiality.</w:t>
            </w:r>
          </w:p>
          <w:p w:rsidRPr="00C879B4" w:rsidR="00024F68" w:rsidP="00024F68" w:rsidRDefault="00024F68" w14:paraId="69E45336" w14:textId="77777777">
            <w:pPr>
              <w:spacing w:after="0" w:line="240" w:lineRule="auto"/>
              <w:rPr>
                <w:rFonts w:ascii="Times New Roman" w:hAnsi="Times New Roman"/>
                <w:b/>
                <w:color w:val="000000"/>
                <w:sz w:val="24"/>
                <w:szCs w:val="24"/>
              </w:rPr>
            </w:pPr>
          </w:p>
        </w:tc>
      </w:tr>
    </w:tbl>
    <w:p w:rsidRPr="00C879B4" w:rsidR="00FA2F70" w:rsidP="00FA2F70" w:rsidRDefault="00FA2F70" w14:paraId="352AD734" w14:textId="77777777">
      <w:pPr>
        <w:spacing w:after="0" w:line="240" w:lineRule="auto"/>
        <w:rPr>
          <w:rFonts w:ascii="Times New Roman" w:hAnsi="Times New Roman"/>
          <w:b/>
          <w:color w:val="000000"/>
          <w:sz w:val="24"/>
          <w:szCs w:val="24"/>
        </w:rPr>
      </w:pPr>
    </w:p>
    <w:tbl>
      <w:tblPr>
        <w:tblW w:w="10486" w:type="dxa"/>
        <w:tblInd w:w="108" w:type="dxa"/>
        <w:tblLook w:val="04A0" w:firstRow="1" w:lastRow="0" w:firstColumn="1" w:lastColumn="0" w:noHBand="0" w:noVBand="1"/>
      </w:tblPr>
      <w:tblGrid>
        <w:gridCol w:w="10486"/>
      </w:tblGrid>
      <w:tr w:rsidRPr="00C879B4" w:rsidR="0021340A" w:rsidTr="00E95B72" w14:paraId="3105B247" w14:textId="77777777">
        <w:tc>
          <w:tcPr>
            <w:tcW w:w="10486" w:type="dxa"/>
            <w:shd w:val="clear" w:color="auto" w:fill="auto"/>
          </w:tcPr>
          <w:p w:rsidR="0021340A" w:rsidP="001B4FB5" w:rsidRDefault="0021340A" w14:paraId="478EC00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24F68" w:rsidP="001B4FB5" w:rsidRDefault="00024F68" w14:paraId="4A69BA16" w14:textId="77777777">
            <w:pPr>
              <w:spacing w:after="0" w:line="240" w:lineRule="auto"/>
              <w:rPr>
                <w:rFonts w:ascii="Times New Roman" w:hAnsi="Times New Roman"/>
                <w:b/>
                <w:color w:val="000000"/>
                <w:sz w:val="24"/>
                <w:szCs w:val="24"/>
              </w:rPr>
            </w:pPr>
          </w:p>
          <w:p w:rsidR="00024F68" w:rsidP="001B4FB5" w:rsidRDefault="00024F68" w14:paraId="5514CD42" w14:textId="77777777">
            <w:pPr>
              <w:spacing w:after="0" w:line="240" w:lineRule="auto"/>
              <w:rPr>
                <w:rFonts w:ascii="Times New Roman" w:hAnsi="Times New Roman"/>
                <w:b/>
                <w:color w:val="000000"/>
                <w:sz w:val="24"/>
                <w:szCs w:val="24"/>
              </w:rPr>
            </w:pPr>
            <w:r w:rsidRPr="00C87F21">
              <w:rPr>
                <w:rFonts w:ascii="Times New Roman" w:hAnsi="Times New Roman"/>
                <w:color w:val="000000"/>
                <w:sz w:val="24"/>
                <w:szCs w:val="24"/>
              </w:rPr>
              <w:t>There are no questions of a sensitive nature.</w:t>
            </w:r>
          </w:p>
          <w:p w:rsidRPr="00C879B4" w:rsidR="00B62C5B" w:rsidP="001B4FB5" w:rsidRDefault="00B62C5B" w14:paraId="1A135311" w14:textId="77777777">
            <w:pPr>
              <w:spacing w:after="0" w:line="240" w:lineRule="auto"/>
              <w:rPr>
                <w:rFonts w:ascii="Times New Roman" w:hAnsi="Times New Roman"/>
                <w:b/>
                <w:color w:val="000000"/>
                <w:sz w:val="24"/>
                <w:szCs w:val="24"/>
              </w:rPr>
            </w:pPr>
          </w:p>
          <w:p w:rsidR="00B62C5B" w:rsidP="00B62C5B" w:rsidRDefault="00B62C5B" w14:paraId="726670D7" w14:textId="2783C9C0">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881CA1" w:rsidP="00B62C5B" w:rsidRDefault="00881CA1" w14:paraId="05DFA019" w14:textId="77777777">
            <w:pPr>
              <w:spacing w:after="0" w:line="240" w:lineRule="auto"/>
              <w:rPr>
                <w:rFonts w:ascii="Times New Roman" w:hAnsi="Times New Roman"/>
                <w:b/>
                <w:color w:val="000000"/>
                <w:sz w:val="24"/>
                <w:szCs w:val="24"/>
              </w:rPr>
            </w:pPr>
          </w:p>
          <w:p w:rsidRPr="00C879B4" w:rsidR="00881CA1" w:rsidP="00881CA1" w:rsidRDefault="00881CA1" w14:paraId="771EEBB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881CA1" w:rsidP="00881CA1" w:rsidRDefault="00881CA1" w14:paraId="7844B446" w14:textId="77777777">
            <w:pPr>
              <w:spacing w:after="0" w:line="240" w:lineRule="auto"/>
              <w:rPr>
                <w:rFonts w:ascii="Times New Roman" w:hAnsi="Times New Roman"/>
                <w:color w:val="000000"/>
                <w:sz w:val="24"/>
                <w:szCs w:val="24"/>
              </w:rPr>
            </w:pPr>
          </w:p>
          <w:p w:rsidRPr="00C879B4" w:rsidR="00881CA1" w:rsidP="00881CA1" w:rsidRDefault="00881CA1" w14:paraId="7EC4CCA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881CA1" w:rsidP="00881CA1" w:rsidRDefault="00881CA1" w14:paraId="5EEBF9CF" w14:textId="77777777">
            <w:pPr>
              <w:spacing w:after="0" w:line="240" w:lineRule="auto"/>
              <w:rPr>
                <w:rFonts w:ascii="Times New Roman" w:hAnsi="Times New Roman"/>
                <w:color w:val="000000"/>
                <w:sz w:val="24"/>
                <w:szCs w:val="24"/>
              </w:rPr>
            </w:pPr>
          </w:p>
          <w:p w:rsidR="0021340A" w:rsidP="00881CA1" w:rsidRDefault="00881CA1" w14:paraId="761870F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C879B4" w:rsidR="00881CA1" w:rsidP="00881CA1" w:rsidRDefault="00881CA1" w14:paraId="5F03D4C0" w14:textId="554CFE90">
            <w:pPr>
              <w:spacing w:after="0" w:line="240" w:lineRule="auto"/>
              <w:rPr>
                <w:rFonts w:ascii="Times New Roman" w:hAnsi="Times New Roman"/>
                <w:b/>
                <w:color w:val="000000"/>
                <w:sz w:val="24"/>
                <w:szCs w:val="24"/>
              </w:rPr>
            </w:pPr>
          </w:p>
        </w:tc>
      </w:tr>
    </w:tbl>
    <w:tbl>
      <w:tblPr>
        <w:tblpPr w:leftFromText="180" w:rightFromText="180" w:vertAnchor="text" w:horzAnchor="margin" w:tblpXSpec="center" w:tblpY="344"/>
        <w:tblW w:w="10845" w:type="dxa"/>
        <w:tblLook w:val="04A0" w:firstRow="1" w:lastRow="0" w:firstColumn="1" w:lastColumn="0" w:noHBand="0" w:noVBand="1"/>
      </w:tblPr>
      <w:tblGrid>
        <w:gridCol w:w="1257"/>
        <w:gridCol w:w="1607"/>
        <w:gridCol w:w="1357"/>
        <w:gridCol w:w="1199"/>
        <w:gridCol w:w="1177"/>
        <w:gridCol w:w="1077"/>
        <w:gridCol w:w="846"/>
        <w:gridCol w:w="1077"/>
        <w:gridCol w:w="1086"/>
        <w:gridCol w:w="171"/>
      </w:tblGrid>
      <w:tr w:rsidRPr="00CD4733" w:rsidR="00E95B72" w:rsidTr="0088080D" w14:paraId="39474AFA" w14:textId="77777777">
        <w:trPr>
          <w:gridAfter w:val="1"/>
          <w:wAfter w:w="171" w:type="dxa"/>
          <w:trHeight w:val="275"/>
        </w:trPr>
        <w:tc>
          <w:tcPr>
            <w:tcW w:w="10674" w:type="dxa"/>
            <w:gridSpan w:val="9"/>
          </w:tcPr>
          <w:p w:rsidRPr="00CD4733" w:rsidR="00E95B72" w:rsidP="00E95B72" w:rsidRDefault="00E95B72" w14:paraId="071B3184" w14:textId="77777777">
            <w:pPr>
              <w:spacing w:after="0" w:line="240" w:lineRule="auto"/>
              <w:rPr>
                <w:rFonts w:ascii="Times New Roman" w:hAnsi="Times New Roman" w:eastAsia="Calibri"/>
                <w:b/>
                <w:color w:val="000000"/>
                <w:sz w:val="24"/>
                <w:szCs w:val="24"/>
              </w:rPr>
            </w:pPr>
          </w:p>
        </w:tc>
      </w:tr>
      <w:tr w:rsidRPr="00CD4733" w:rsidR="00E95B72" w:rsidTr="0088080D" w14:paraId="07CA2CEC" w14:textId="77777777">
        <w:trPr>
          <w:trHeight w:val="403"/>
        </w:trPr>
        <w:tc>
          <w:tcPr>
            <w:tcW w:w="1257" w:type="dxa"/>
            <w:tcBorders>
              <w:top w:val="nil"/>
              <w:left w:val="nil"/>
              <w:bottom w:val="single" w:color="auto" w:sz="4" w:space="0"/>
              <w:right w:val="nil"/>
            </w:tcBorders>
          </w:tcPr>
          <w:p w:rsidRPr="00CD4733" w:rsidR="00E95B72" w:rsidP="00E95B72" w:rsidRDefault="00E95B72" w14:paraId="7F14313B" w14:textId="77777777">
            <w:pPr>
              <w:spacing w:after="0" w:line="240" w:lineRule="auto"/>
              <w:rPr>
                <w:rFonts w:ascii="Times New Roman" w:hAnsi="Times New Roman" w:eastAsia="Calibri"/>
                <w:b/>
                <w:color w:val="000000"/>
                <w:sz w:val="24"/>
                <w:szCs w:val="24"/>
              </w:rPr>
            </w:pPr>
          </w:p>
        </w:tc>
        <w:tc>
          <w:tcPr>
            <w:tcW w:w="9588" w:type="dxa"/>
            <w:gridSpan w:val="9"/>
            <w:tcBorders>
              <w:top w:val="nil"/>
              <w:left w:val="nil"/>
              <w:bottom w:val="single" w:color="auto" w:sz="4" w:space="0"/>
              <w:right w:val="nil"/>
            </w:tcBorders>
            <w:hideMark/>
          </w:tcPr>
          <w:p w:rsidRPr="00CD4733" w:rsidR="00E95B72" w:rsidP="00E95B72" w:rsidRDefault="00E95B72" w14:paraId="44B1B186" w14:textId="77777777">
            <w:pPr>
              <w:spacing w:after="0" w:line="240" w:lineRule="auto"/>
              <w:rPr>
                <w:rFonts w:ascii="Arial" w:hAnsi="Arial" w:eastAsia="Calibri" w:cs="Arial"/>
                <w:color w:val="000000"/>
                <w:sz w:val="18"/>
                <w:szCs w:val="18"/>
              </w:rPr>
            </w:pPr>
            <w:r w:rsidRPr="00CD4733">
              <w:rPr>
                <w:rFonts w:ascii="Arial" w:hAnsi="Arial" w:eastAsia="Calibri" w:cs="Arial"/>
                <w:color w:val="000000"/>
                <w:sz w:val="18"/>
                <w:szCs w:val="18"/>
              </w:rPr>
              <w:t xml:space="preserve">                              Estimated Annualized Burden Hours and Costs</w:t>
            </w:r>
          </w:p>
          <w:p w:rsidRPr="00CD4733" w:rsidR="00E95B72" w:rsidP="00E95B72" w:rsidRDefault="00E95B72" w14:paraId="6FF43CB7" w14:textId="77777777">
            <w:pPr>
              <w:spacing w:after="0" w:line="240" w:lineRule="auto"/>
              <w:rPr>
                <w:rFonts w:ascii="Times New Roman" w:hAnsi="Times New Roman" w:eastAsia="Calibri"/>
                <w:bCs/>
                <w:color w:val="000000"/>
                <w:sz w:val="24"/>
                <w:szCs w:val="24"/>
              </w:rPr>
            </w:pPr>
            <w:r w:rsidRPr="00CD4733">
              <w:rPr>
                <w:rFonts w:ascii="Arial" w:hAnsi="Arial" w:eastAsia="Calibri" w:cs="Arial"/>
                <w:bCs/>
                <w:color w:val="000000"/>
                <w:sz w:val="18"/>
                <w:szCs w:val="18"/>
              </w:rPr>
              <w:t xml:space="preserve">                                       (Based upon a 3-year time period)</w:t>
            </w:r>
          </w:p>
        </w:tc>
      </w:tr>
      <w:tr w:rsidRPr="00CD4733" w:rsidR="00E95B72" w:rsidTr="0088080D" w14:paraId="313444AB" w14:textId="77777777">
        <w:trPr>
          <w:trHeight w:val="1616"/>
        </w:trPr>
        <w:tc>
          <w:tcPr>
            <w:tcW w:w="125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722A17B3" w14:textId="77777777">
            <w:pPr>
              <w:spacing w:after="160" w:line="256" w:lineRule="auto"/>
              <w:rPr>
                <w:rFonts w:ascii="Helvetica" w:hAnsi="Helvetica" w:eastAsia="Calibri"/>
                <w:b/>
                <w:bCs/>
                <w:color w:val="000000"/>
                <w:sz w:val="18"/>
              </w:rPr>
            </w:pPr>
            <w:r w:rsidRPr="00CD4733">
              <w:rPr>
                <w:rFonts w:ascii="Helvetica" w:hAnsi="Helvetica" w:eastAsia="Calibri"/>
                <w:b/>
                <w:bCs/>
                <w:color w:val="000000"/>
                <w:sz w:val="18"/>
              </w:rPr>
              <w:t>Information Collection / Type of Respondent</w:t>
            </w:r>
          </w:p>
        </w:tc>
        <w:tc>
          <w:tcPr>
            <w:tcW w:w="1598" w:type="dxa"/>
            <w:tcBorders>
              <w:top w:val="single" w:color="auto" w:sz="4" w:space="0"/>
              <w:left w:val="single" w:color="auto" w:sz="4" w:space="0"/>
              <w:bottom w:val="single" w:color="auto" w:sz="4" w:space="0"/>
              <w:right w:val="single" w:color="auto" w:sz="4" w:space="0"/>
            </w:tcBorders>
            <w:shd w:val="clear" w:color="auto" w:fill="D9D9D9"/>
          </w:tcPr>
          <w:p w:rsidRPr="00CD4733" w:rsidR="00E95B72" w:rsidP="00E95B72" w:rsidRDefault="00E95B72" w14:paraId="53DC102F" w14:textId="77777777">
            <w:pPr>
              <w:spacing w:after="160" w:line="256" w:lineRule="auto"/>
              <w:ind w:right="-108"/>
              <w:jc w:val="center"/>
              <w:rPr>
                <w:rFonts w:ascii="Helvetica" w:hAnsi="Helvetica" w:eastAsia="Calibri"/>
                <w:b/>
                <w:bCs/>
                <w:color w:val="000000"/>
                <w:sz w:val="18"/>
              </w:rPr>
            </w:pPr>
          </w:p>
          <w:p w:rsidRPr="00CD4733" w:rsidR="00E95B72" w:rsidP="00E95B72" w:rsidRDefault="00E95B72" w14:paraId="3C65B31E" w14:textId="0E411225">
            <w:pPr>
              <w:spacing w:after="160" w:line="256" w:lineRule="auto"/>
              <w:ind w:right="-108"/>
              <w:rPr>
                <w:rFonts w:ascii="Helvetica" w:hAnsi="Helvetica" w:eastAsia="Calibri"/>
                <w:b/>
                <w:bCs/>
                <w:color w:val="000000"/>
                <w:sz w:val="18"/>
              </w:rPr>
            </w:pPr>
            <w:r w:rsidRPr="00CD4733">
              <w:rPr>
                <w:rFonts w:ascii="Helvetica" w:hAnsi="Helvetica" w:eastAsia="Calibri"/>
                <w:b/>
                <w:bCs/>
                <w:color w:val="000000"/>
                <w:sz w:val="18"/>
              </w:rPr>
              <w:t xml:space="preserve">Form Name/Form Number </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249549C9" w14:textId="77777777">
            <w:pPr>
              <w:spacing w:after="160" w:line="256" w:lineRule="auto"/>
              <w:ind w:right="-108"/>
              <w:jc w:val="center"/>
              <w:rPr>
                <w:rFonts w:ascii="Helvetica" w:hAnsi="Helvetica" w:eastAsia="Calibri"/>
                <w:b/>
                <w:bCs/>
                <w:color w:val="000000"/>
                <w:sz w:val="18"/>
              </w:rPr>
            </w:pPr>
            <w:r w:rsidRPr="00CD4733">
              <w:rPr>
                <w:rFonts w:ascii="Helvetica" w:hAnsi="Helvetica" w:eastAsia="Calibri"/>
                <w:b/>
                <w:bCs/>
                <w:color w:val="000000"/>
                <w:sz w:val="18"/>
              </w:rPr>
              <w:t>Number of Respondents</w:t>
            </w:r>
          </w:p>
        </w:tc>
        <w:tc>
          <w:tcPr>
            <w:tcW w:w="1199"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0E3C6D3A" w14:textId="77777777">
            <w:pPr>
              <w:spacing w:after="160" w:line="256" w:lineRule="auto"/>
              <w:ind w:left="72" w:right="-108"/>
              <w:jc w:val="center"/>
              <w:rPr>
                <w:rFonts w:ascii="Helvetica" w:hAnsi="Helvetica" w:eastAsia="Calibri"/>
                <w:b/>
                <w:bCs/>
                <w:color w:val="000000"/>
                <w:sz w:val="18"/>
              </w:rPr>
            </w:pPr>
            <w:r w:rsidRPr="00CD4733">
              <w:rPr>
                <w:rFonts w:ascii="Helvetica" w:hAnsi="Helvetica" w:eastAsia="Calibri"/>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3F370F4E" w14:textId="77777777">
            <w:pPr>
              <w:spacing w:after="160" w:line="256" w:lineRule="auto"/>
              <w:jc w:val="center"/>
              <w:rPr>
                <w:rFonts w:ascii="Helvetica" w:hAnsi="Helvetica" w:eastAsia="Calibri"/>
                <w:b/>
                <w:bCs/>
                <w:color w:val="000000"/>
                <w:sz w:val="18"/>
              </w:rPr>
            </w:pPr>
            <w:r w:rsidRPr="00CD4733">
              <w:rPr>
                <w:rFonts w:ascii="Helvetica" w:hAnsi="Helvetica" w:eastAsia="Calibri"/>
                <w:b/>
                <w:bCs/>
                <w:color w:val="000000"/>
                <w:sz w:val="18"/>
              </w:rPr>
              <w:t>Responses Per Year</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3E52F6E2" w14:textId="77777777">
            <w:pPr>
              <w:spacing w:after="160" w:line="256" w:lineRule="auto"/>
              <w:ind w:right="-108"/>
              <w:jc w:val="center"/>
              <w:rPr>
                <w:rFonts w:ascii="Helvetica" w:hAnsi="Helvetica" w:eastAsia="Calibri"/>
                <w:b/>
                <w:bCs/>
                <w:color w:val="000000"/>
                <w:sz w:val="18"/>
              </w:rPr>
            </w:pPr>
            <w:r w:rsidRPr="00CD4733">
              <w:rPr>
                <w:rFonts w:ascii="Helvetica" w:hAnsi="Helvetica" w:eastAsia="Calibri"/>
                <w:b/>
                <w:bCs/>
                <w:color w:val="000000"/>
                <w:sz w:val="18"/>
              </w:rPr>
              <w:t>Average</w:t>
            </w:r>
            <w:r w:rsidRPr="00CD4733">
              <w:rPr>
                <w:rFonts w:ascii="Helvetica" w:hAnsi="Helvetica" w:eastAsia="Calibri"/>
                <w:b/>
                <w:bCs/>
                <w:color w:val="000000"/>
                <w:sz w:val="18"/>
              </w:rPr>
              <w:br/>
              <w:t>Burden Hours Per Response</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0FD603E3" w14:textId="77777777">
            <w:pPr>
              <w:spacing w:after="160" w:line="256" w:lineRule="auto"/>
              <w:ind w:right="-108"/>
              <w:jc w:val="center"/>
              <w:rPr>
                <w:rFonts w:ascii="Helvetica" w:hAnsi="Helvetica" w:eastAsia="Calibri"/>
                <w:b/>
                <w:bCs/>
                <w:color w:val="000000"/>
                <w:sz w:val="18"/>
              </w:rPr>
            </w:pPr>
            <w:r w:rsidRPr="00CD4733">
              <w:rPr>
                <w:rFonts w:ascii="Helvetica" w:hAnsi="Helvetica" w:eastAsia="Calibri"/>
                <w:b/>
                <w:bCs/>
                <w:color w:val="000000"/>
                <w:sz w:val="18"/>
              </w:rPr>
              <w:t>Annual Burden Hours</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205FCF64" w14:textId="77777777">
            <w:pPr>
              <w:spacing w:after="160" w:line="256" w:lineRule="auto"/>
              <w:ind w:right="-108"/>
              <w:jc w:val="center"/>
              <w:rPr>
                <w:rFonts w:ascii="Helvetica" w:hAnsi="Helvetica" w:eastAsia="Calibri"/>
                <w:b/>
                <w:bCs/>
                <w:color w:val="000000"/>
                <w:sz w:val="18"/>
              </w:rPr>
            </w:pPr>
            <w:r w:rsidRPr="00CD4733">
              <w:rPr>
                <w:rFonts w:ascii="Helvetica" w:hAnsi="Helvetica" w:eastAsia="Calibri"/>
                <w:b/>
                <w:bCs/>
                <w:color w:val="000000"/>
                <w:sz w:val="18"/>
              </w:rPr>
              <w:t>Hourly Cost per Response</w:t>
            </w:r>
          </w:p>
          <w:p w:rsidRPr="00CD4733" w:rsidR="00E95B72" w:rsidP="00E95B72" w:rsidRDefault="00E95B72" w14:paraId="16A40473" w14:textId="77777777">
            <w:pPr>
              <w:spacing w:after="160" w:line="256" w:lineRule="auto"/>
              <w:ind w:right="-108"/>
              <w:jc w:val="center"/>
              <w:rPr>
                <w:rFonts w:ascii="Helvetica" w:hAnsi="Helvetica" w:eastAsia="Calibri"/>
                <w:b/>
                <w:bCs/>
                <w:color w:val="000000"/>
                <w:sz w:val="18"/>
              </w:rPr>
            </w:pPr>
            <w:r w:rsidRPr="00CD4733">
              <w:rPr>
                <w:rFonts w:ascii="Helvetica" w:hAnsi="Helvetica" w:eastAsia="Calibri"/>
                <w:b/>
                <w:bCs/>
                <w:color w:val="000000"/>
                <w:sz w:val="18"/>
              </w:rPr>
              <w:t>(Hourly Wage Rate)</w:t>
            </w:r>
          </w:p>
        </w:tc>
        <w:tc>
          <w:tcPr>
            <w:tcW w:w="1257" w:type="dxa"/>
            <w:gridSpan w:val="2"/>
            <w:tcBorders>
              <w:top w:val="single" w:color="auto" w:sz="4" w:space="0"/>
              <w:left w:val="single" w:color="auto" w:sz="4" w:space="0"/>
              <w:bottom w:val="single" w:color="auto" w:sz="4" w:space="0"/>
              <w:right w:val="single" w:color="auto" w:sz="4" w:space="0"/>
            </w:tcBorders>
          </w:tcPr>
          <w:p w:rsidRPr="00CD4733" w:rsidR="00E95B72" w:rsidP="00E95B72" w:rsidRDefault="00E95B72" w14:paraId="2D4B7071" w14:textId="77777777">
            <w:pPr>
              <w:spacing w:after="160" w:line="256" w:lineRule="auto"/>
              <w:ind w:right="-108"/>
              <w:jc w:val="center"/>
              <w:rPr>
                <w:rFonts w:ascii="Helvetica" w:hAnsi="Helvetica" w:eastAsia="Calibri"/>
                <w:b/>
                <w:bCs/>
                <w:color w:val="000000"/>
                <w:sz w:val="18"/>
              </w:rPr>
            </w:pPr>
          </w:p>
          <w:p w:rsidRPr="00CD4733" w:rsidR="00E95B72" w:rsidP="00E95B72" w:rsidRDefault="00E95B72" w14:paraId="42256F86" w14:textId="77777777">
            <w:pPr>
              <w:spacing w:after="160" w:line="256" w:lineRule="auto"/>
              <w:ind w:right="-108"/>
              <w:jc w:val="center"/>
              <w:rPr>
                <w:rFonts w:ascii="Helvetica" w:hAnsi="Helvetica" w:eastAsia="Calibri"/>
                <w:b/>
                <w:bCs/>
                <w:color w:val="000000"/>
                <w:sz w:val="18"/>
              </w:rPr>
            </w:pPr>
            <w:r w:rsidRPr="00CD4733">
              <w:rPr>
                <w:rFonts w:ascii="Helvetica" w:hAnsi="Helvetica" w:eastAsia="Calibri"/>
                <w:b/>
                <w:bCs/>
                <w:color w:val="000000"/>
                <w:sz w:val="18"/>
              </w:rPr>
              <w:t>Total Annual Respondent Cost</w:t>
            </w:r>
          </w:p>
        </w:tc>
      </w:tr>
      <w:tr w:rsidRPr="00CD4733" w:rsidR="00E95B72" w:rsidTr="0088080D" w14:paraId="757E57AB" w14:textId="77777777">
        <w:trPr>
          <w:trHeight w:val="1231"/>
        </w:trPr>
        <w:tc>
          <w:tcPr>
            <w:tcW w:w="1257" w:type="dxa"/>
            <w:tcBorders>
              <w:top w:val="single" w:color="auto" w:sz="4" w:space="0"/>
              <w:left w:val="single" w:color="auto" w:sz="4" w:space="0"/>
              <w:bottom w:val="single" w:color="auto" w:sz="4" w:space="0"/>
              <w:right w:val="single" w:color="auto" w:sz="4" w:space="0"/>
            </w:tcBorders>
            <w:vAlign w:val="center"/>
          </w:tcPr>
          <w:p w:rsidRPr="009C6491" w:rsidR="00E95B72" w:rsidP="00E95B72" w:rsidRDefault="00E95B72" w14:paraId="3D3B178F" w14:textId="1D022B2F">
            <w:pPr>
              <w:spacing w:after="160" w:line="256" w:lineRule="auto"/>
              <w:rPr>
                <w:rFonts w:ascii="Helvetica" w:hAnsi="Helvetica" w:eastAsia="Calibri"/>
                <w:color w:val="000000"/>
                <w:sz w:val="18"/>
              </w:rPr>
            </w:pPr>
          </w:p>
        </w:tc>
        <w:tc>
          <w:tcPr>
            <w:tcW w:w="1598" w:type="dxa"/>
            <w:tcBorders>
              <w:top w:val="single" w:color="auto" w:sz="4" w:space="0"/>
              <w:left w:val="single" w:color="auto" w:sz="4" w:space="0"/>
              <w:bottom w:val="single" w:color="auto" w:sz="4" w:space="0"/>
              <w:right w:val="single" w:color="auto" w:sz="4" w:space="0"/>
            </w:tcBorders>
            <w:shd w:val="clear" w:color="auto" w:fill="D9D9D9"/>
            <w:hideMark/>
          </w:tcPr>
          <w:p w:rsidRPr="00CD4733" w:rsidR="00E95B72" w:rsidP="00E95B72" w:rsidRDefault="00E95B72" w14:paraId="1F038EB6" w14:textId="4EF2B637">
            <w:pPr>
              <w:spacing w:after="0" w:line="240" w:lineRule="auto"/>
              <w:ind w:right="-108"/>
              <w:jc w:val="center"/>
              <w:rPr>
                <w:rFonts w:ascii="Helvetica" w:hAnsi="Helvetica" w:eastAsia="Calibri"/>
                <w:b/>
                <w:bCs/>
                <w:color w:val="000000"/>
                <w:sz w:val="18"/>
              </w:rPr>
            </w:pPr>
            <w:r w:rsidRPr="009C6491">
              <w:rPr>
                <w:rFonts w:ascii="Helvetica" w:hAnsi="Helvetica" w:eastAsia="Calibri"/>
                <w:b/>
                <w:color w:val="000000"/>
                <w:sz w:val="18"/>
              </w:rPr>
              <w:t>HUD-9900</w:t>
            </w:r>
            <w:r w:rsidRPr="00CD4733">
              <w:rPr>
                <w:rFonts w:ascii="Helvetica" w:hAnsi="Helvetica" w:eastAsia="Calibri"/>
                <w:bCs/>
                <w:color w:val="000000"/>
                <w:sz w:val="18"/>
              </w:rPr>
              <w:t>/</w:t>
            </w:r>
            <w:bookmarkStart w:name="_Hlk45110814" w:id="0"/>
            <w:r w:rsidRPr="00CD4733">
              <w:rPr>
                <w:rFonts w:ascii="Helvetica" w:hAnsi="Helvetica" w:eastAsia="Calibri"/>
                <w:bCs/>
                <w:color w:val="000000"/>
                <w:sz w:val="18"/>
              </w:rPr>
              <w:t>Application for Approval as a Housing Counseling Agency</w:t>
            </w:r>
            <w:bookmarkEnd w:id="0"/>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668693B6" w14:textId="77777777">
            <w:pPr>
              <w:spacing w:after="0" w:line="240" w:lineRule="auto"/>
              <w:ind w:right="-108"/>
              <w:jc w:val="center"/>
              <w:rPr>
                <w:rFonts w:ascii="Helvetica" w:hAnsi="Helvetica" w:eastAsia="Calibri"/>
                <w:b/>
                <w:bCs/>
                <w:color w:val="000000"/>
                <w:sz w:val="18"/>
              </w:rPr>
            </w:pPr>
            <w:r w:rsidRPr="00CD4733">
              <w:rPr>
                <w:rFonts w:ascii="Helvetica" w:hAnsi="Helvetica" w:eastAsia="Calibri"/>
                <w:bCs/>
                <w:color w:val="000000"/>
                <w:sz w:val="18"/>
              </w:rPr>
              <w:t>700</w:t>
            </w:r>
          </w:p>
        </w:tc>
        <w:tc>
          <w:tcPr>
            <w:tcW w:w="1199"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53DDA4C7" w14:textId="77777777">
            <w:pPr>
              <w:spacing w:after="0" w:line="240" w:lineRule="auto"/>
              <w:ind w:left="72" w:right="-108"/>
              <w:jc w:val="center"/>
              <w:rPr>
                <w:rFonts w:ascii="Helvetica" w:hAnsi="Helvetica" w:eastAsia="Calibri"/>
                <w:b/>
                <w:bCs/>
                <w:color w:val="000000"/>
                <w:sz w:val="18"/>
              </w:rPr>
            </w:pPr>
            <w:r w:rsidRPr="00CD4733">
              <w:rPr>
                <w:rFonts w:ascii="Helvetica" w:hAnsi="Helvetica" w:eastAsia="Calibri"/>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79074333" w14:textId="77777777">
            <w:pPr>
              <w:spacing w:after="0" w:line="240" w:lineRule="auto"/>
              <w:jc w:val="center"/>
              <w:rPr>
                <w:rFonts w:ascii="Helvetica" w:hAnsi="Helvetica" w:eastAsia="Calibri"/>
                <w:b/>
                <w:bCs/>
                <w:color w:val="000000"/>
                <w:sz w:val="18"/>
              </w:rPr>
            </w:pPr>
            <w:r w:rsidRPr="00CD4733">
              <w:rPr>
                <w:rFonts w:ascii="Helvetica" w:hAnsi="Helvetica" w:eastAsia="Calibri"/>
                <w:bCs/>
                <w:color w:val="000000"/>
                <w:sz w:val="18"/>
              </w:rPr>
              <w:t>700</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26AA04B9" w14:textId="77777777">
            <w:pPr>
              <w:spacing w:after="0" w:line="240" w:lineRule="auto"/>
              <w:ind w:right="-108"/>
              <w:jc w:val="center"/>
              <w:rPr>
                <w:rFonts w:ascii="Helvetica" w:hAnsi="Helvetica" w:eastAsia="Calibri"/>
                <w:b/>
                <w:bCs/>
                <w:color w:val="000000"/>
                <w:sz w:val="18"/>
              </w:rPr>
            </w:pPr>
            <w:r w:rsidRPr="00CD4733">
              <w:rPr>
                <w:rFonts w:ascii="Helvetica" w:hAnsi="Helvetica" w:eastAsia="Calibri"/>
                <w:bCs/>
                <w:color w:val="000000"/>
                <w:sz w:val="18"/>
              </w:rPr>
              <w:t>8 hrs.</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6383F729" w14:textId="77777777">
            <w:pPr>
              <w:spacing w:after="0" w:line="240" w:lineRule="auto"/>
              <w:ind w:right="-108"/>
              <w:jc w:val="center"/>
              <w:rPr>
                <w:rFonts w:ascii="Helvetica" w:hAnsi="Helvetica" w:eastAsia="Calibri"/>
                <w:b/>
                <w:bCs/>
                <w:color w:val="000000"/>
                <w:sz w:val="18"/>
              </w:rPr>
            </w:pPr>
            <w:r w:rsidRPr="00CD4733">
              <w:rPr>
                <w:rFonts w:ascii="Helvetica" w:hAnsi="Helvetica" w:eastAsia="Calibri"/>
                <w:bCs/>
                <w:color w:val="000000"/>
                <w:sz w:val="18"/>
              </w:rPr>
              <w:t>5,600</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58ADC472" w14:textId="77777777">
            <w:pPr>
              <w:spacing w:after="0" w:line="240" w:lineRule="auto"/>
              <w:ind w:right="-108"/>
              <w:jc w:val="center"/>
              <w:rPr>
                <w:rFonts w:ascii="Helvetica" w:hAnsi="Helvetica" w:eastAsia="Calibri"/>
                <w:b/>
                <w:bCs/>
                <w:color w:val="000000"/>
                <w:sz w:val="18"/>
              </w:rPr>
            </w:pPr>
            <w:r w:rsidRPr="00CD4733">
              <w:rPr>
                <w:rFonts w:ascii="Helvetica" w:hAnsi="Helvetica" w:eastAsia="Calibri"/>
                <w:bCs/>
                <w:color w:val="000000"/>
                <w:sz w:val="18"/>
              </w:rPr>
              <w:t>$47.98</w:t>
            </w:r>
          </w:p>
        </w:tc>
        <w:tc>
          <w:tcPr>
            <w:tcW w:w="1257" w:type="dxa"/>
            <w:gridSpan w:val="2"/>
            <w:tcBorders>
              <w:top w:val="single" w:color="auto" w:sz="4" w:space="0"/>
              <w:left w:val="single" w:color="auto" w:sz="4" w:space="0"/>
              <w:bottom w:val="single" w:color="auto" w:sz="4" w:space="0"/>
              <w:right w:val="single" w:color="auto" w:sz="4" w:space="0"/>
            </w:tcBorders>
          </w:tcPr>
          <w:p w:rsidRPr="00CD4733" w:rsidR="00E95B72" w:rsidP="00E95B72" w:rsidRDefault="00E95B72" w14:paraId="1D56407A" w14:textId="77777777">
            <w:pPr>
              <w:spacing w:after="0" w:line="240" w:lineRule="auto"/>
              <w:jc w:val="center"/>
              <w:rPr>
                <w:rFonts w:ascii="Helvetica" w:hAnsi="Helvetica" w:eastAsia="Calibri"/>
                <w:bCs/>
                <w:color w:val="000000"/>
                <w:sz w:val="18"/>
              </w:rPr>
            </w:pPr>
          </w:p>
          <w:p w:rsidRPr="00CD4733" w:rsidR="00E95B72" w:rsidP="00E95B72" w:rsidRDefault="00E95B72" w14:paraId="10F453DA" w14:textId="77777777">
            <w:pPr>
              <w:spacing w:after="0" w:line="240" w:lineRule="auto"/>
              <w:ind w:right="-108"/>
              <w:jc w:val="center"/>
              <w:rPr>
                <w:rFonts w:ascii="Helvetica" w:hAnsi="Helvetica" w:eastAsia="Calibri"/>
                <w:bCs/>
                <w:color w:val="000000"/>
                <w:sz w:val="18"/>
              </w:rPr>
            </w:pPr>
          </w:p>
          <w:p w:rsidRPr="00CD4733" w:rsidR="00E95B72" w:rsidP="00E95B72" w:rsidRDefault="00E95B72" w14:paraId="08418945" w14:textId="77777777">
            <w:pPr>
              <w:spacing w:after="0" w:line="240" w:lineRule="auto"/>
              <w:ind w:right="-108"/>
              <w:jc w:val="center"/>
              <w:rPr>
                <w:rFonts w:ascii="Helvetica" w:hAnsi="Helvetica" w:eastAsia="Calibri"/>
                <w:bCs/>
                <w:color w:val="000000"/>
                <w:sz w:val="18"/>
              </w:rPr>
            </w:pPr>
          </w:p>
          <w:p w:rsidRPr="00CD4733" w:rsidR="00E95B72" w:rsidP="00E95B72" w:rsidRDefault="00E95B72" w14:paraId="553BE2F3" w14:textId="77777777">
            <w:pPr>
              <w:spacing w:after="0" w:line="240" w:lineRule="auto"/>
              <w:ind w:right="-108"/>
              <w:jc w:val="center"/>
              <w:rPr>
                <w:rFonts w:ascii="Helvetica" w:hAnsi="Helvetica" w:eastAsia="Calibri"/>
                <w:b/>
                <w:bCs/>
                <w:color w:val="000000"/>
                <w:sz w:val="18"/>
              </w:rPr>
            </w:pPr>
            <w:r w:rsidRPr="00CD4733">
              <w:rPr>
                <w:rFonts w:ascii="Helvetica" w:hAnsi="Helvetica" w:eastAsia="Calibri"/>
                <w:bCs/>
                <w:color w:val="000000"/>
                <w:sz w:val="18"/>
              </w:rPr>
              <w:t>$268,688</w:t>
            </w:r>
          </w:p>
        </w:tc>
      </w:tr>
      <w:tr w:rsidRPr="00CD4733" w:rsidR="00E95B72" w:rsidTr="0088080D" w14:paraId="758EAE5B" w14:textId="77777777">
        <w:trPr>
          <w:trHeight w:val="808"/>
        </w:trPr>
        <w:tc>
          <w:tcPr>
            <w:tcW w:w="1257" w:type="dxa"/>
            <w:tcBorders>
              <w:top w:val="single" w:color="auto" w:sz="4" w:space="0"/>
              <w:left w:val="single" w:color="auto" w:sz="4" w:space="0"/>
              <w:bottom w:val="single" w:color="auto" w:sz="4" w:space="0"/>
              <w:right w:val="single" w:color="auto" w:sz="4" w:space="0"/>
            </w:tcBorders>
            <w:vAlign w:val="center"/>
          </w:tcPr>
          <w:p w:rsidRPr="00CD4733" w:rsidR="00E95B72" w:rsidP="00E95B72" w:rsidRDefault="00E95B72" w14:paraId="0AF641B2" w14:textId="773F67AA">
            <w:pPr>
              <w:spacing w:after="160" w:line="256" w:lineRule="auto"/>
              <w:rPr>
                <w:rFonts w:ascii="Helvetica" w:hAnsi="Helvetica" w:eastAsia="Calibri"/>
                <w:bCs/>
                <w:color w:val="000000"/>
                <w:sz w:val="18"/>
              </w:rPr>
            </w:pPr>
          </w:p>
        </w:tc>
        <w:tc>
          <w:tcPr>
            <w:tcW w:w="1598" w:type="dxa"/>
            <w:tcBorders>
              <w:top w:val="single" w:color="auto" w:sz="4" w:space="0"/>
              <w:left w:val="single" w:color="auto" w:sz="4" w:space="0"/>
              <w:bottom w:val="single" w:color="auto" w:sz="4" w:space="0"/>
              <w:right w:val="single" w:color="auto" w:sz="4" w:space="0"/>
            </w:tcBorders>
            <w:shd w:val="clear" w:color="auto" w:fill="D9D9D9"/>
            <w:hideMark/>
          </w:tcPr>
          <w:p w:rsidRPr="00CD4733" w:rsidR="00E95B72" w:rsidP="00E95B72" w:rsidRDefault="00E95B72" w14:paraId="244305D5" w14:textId="42CFAE92">
            <w:pPr>
              <w:spacing w:after="0" w:line="240" w:lineRule="auto"/>
              <w:jc w:val="center"/>
              <w:rPr>
                <w:rFonts w:ascii="Helvetica" w:hAnsi="Helvetica" w:eastAsia="Calibri"/>
                <w:bCs/>
                <w:color w:val="000000"/>
                <w:sz w:val="18"/>
              </w:rPr>
            </w:pPr>
            <w:r w:rsidRPr="009C6491">
              <w:rPr>
                <w:rFonts w:ascii="Helvetica" w:hAnsi="Helvetica" w:eastAsia="Calibri"/>
                <w:b/>
                <w:color w:val="000000"/>
                <w:sz w:val="18"/>
              </w:rPr>
              <w:t>HUD-9900A</w:t>
            </w:r>
            <w:r w:rsidRPr="00CD4733">
              <w:rPr>
                <w:rFonts w:ascii="Helvetica" w:hAnsi="Helvetica" w:eastAsia="Calibri"/>
                <w:bCs/>
                <w:color w:val="000000"/>
                <w:sz w:val="18"/>
              </w:rPr>
              <w:t>/</w:t>
            </w:r>
            <w:bookmarkStart w:name="_Hlk45116545" w:id="1"/>
            <w:r w:rsidRPr="00CD4733">
              <w:rPr>
                <w:rFonts w:ascii="Helvetica" w:hAnsi="Helvetica" w:eastAsia="Calibri"/>
                <w:bCs/>
                <w:color w:val="000000"/>
                <w:sz w:val="18"/>
              </w:rPr>
              <w:t>Screening for Ineligible Participants</w:t>
            </w:r>
            <w:bookmarkEnd w:id="1"/>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3A4390C0"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700</w:t>
            </w:r>
          </w:p>
        </w:tc>
        <w:tc>
          <w:tcPr>
            <w:tcW w:w="1199"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4D14DD75"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3480A4D3"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700</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46400BE4"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10 mins.</w:t>
            </w:r>
          </w:p>
          <w:p w:rsidRPr="00CD4733" w:rsidR="00E95B72" w:rsidP="00E95B72" w:rsidRDefault="00E95B72" w14:paraId="2215107B"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(0.1667)</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1D2612AE"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117</w:t>
            </w:r>
          </w:p>
        </w:tc>
        <w:tc>
          <w:tcPr>
            <w:tcW w:w="107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58A76870"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$47.98</w:t>
            </w:r>
          </w:p>
        </w:tc>
        <w:tc>
          <w:tcPr>
            <w:tcW w:w="1257" w:type="dxa"/>
            <w:gridSpan w:val="2"/>
            <w:tcBorders>
              <w:top w:val="single" w:color="auto" w:sz="4" w:space="0"/>
              <w:left w:val="single" w:color="auto" w:sz="4" w:space="0"/>
              <w:bottom w:val="single" w:color="auto" w:sz="4" w:space="0"/>
              <w:right w:val="single" w:color="auto" w:sz="4" w:space="0"/>
            </w:tcBorders>
          </w:tcPr>
          <w:p w:rsidRPr="00CD4733" w:rsidR="00E95B72" w:rsidP="00E95B72" w:rsidRDefault="00E95B72" w14:paraId="295E789D" w14:textId="77777777">
            <w:pPr>
              <w:spacing w:after="0" w:line="240" w:lineRule="auto"/>
              <w:jc w:val="center"/>
              <w:rPr>
                <w:rFonts w:ascii="Helvetica" w:hAnsi="Helvetica" w:eastAsia="Calibri"/>
                <w:bCs/>
                <w:color w:val="000000"/>
                <w:sz w:val="18"/>
              </w:rPr>
            </w:pPr>
          </w:p>
          <w:p w:rsidRPr="00CD4733" w:rsidR="00E95B72" w:rsidP="00E95B72" w:rsidRDefault="00E95B72" w14:paraId="2845F667" w14:textId="77777777">
            <w:pPr>
              <w:spacing w:after="0" w:line="240" w:lineRule="auto"/>
              <w:jc w:val="center"/>
              <w:rPr>
                <w:rFonts w:ascii="Helvetica" w:hAnsi="Helvetica" w:eastAsia="Calibri"/>
                <w:bCs/>
                <w:color w:val="000000"/>
                <w:sz w:val="18"/>
              </w:rPr>
            </w:pPr>
          </w:p>
          <w:p w:rsidRPr="00CD4733" w:rsidR="00E95B72" w:rsidP="00E95B72" w:rsidRDefault="00E95B72" w14:paraId="1F0A9F51" w14:textId="77777777">
            <w:pPr>
              <w:spacing w:after="0" w:line="240" w:lineRule="auto"/>
              <w:jc w:val="center"/>
              <w:rPr>
                <w:rFonts w:ascii="Helvetica" w:hAnsi="Helvetica" w:eastAsia="Calibri"/>
                <w:bCs/>
                <w:color w:val="000000"/>
                <w:sz w:val="18"/>
              </w:rPr>
            </w:pPr>
            <w:r w:rsidRPr="00CD4733">
              <w:rPr>
                <w:rFonts w:ascii="Helvetica" w:hAnsi="Helvetica" w:eastAsia="Calibri"/>
                <w:bCs/>
                <w:color w:val="000000"/>
                <w:sz w:val="18"/>
              </w:rPr>
              <w:t>$5,613.66</w:t>
            </w:r>
          </w:p>
        </w:tc>
      </w:tr>
      <w:tr w:rsidRPr="00CD4733" w:rsidR="002D70DE" w:rsidTr="0088080D" w14:paraId="7A03709F" w14:textId="77777777">
        <w:trPr>
          <w:trHeight w:val="413"/>
        </w:trPr>
        <w:tc>
          <w:tcPr>
            <w:tcW w:w="1257" w:type="dxa"/>
            <w:tcBorders>
              <w:top w:val="single" w:color="auto" w:sz="4" w:space="0"/>
              <w:left w:val="single" w:color="auto" w:sz="4" w:space="0"/>
              <w:bottom w:val="single" w:color="auto" w:sz="4" w:space="0"/>
              <w:right w:val="single" w:color="auto" w:sz="4" w:space="0"/>
            </w:tcBorders>
            <w:vAlign w:val="center"/>
            <w:hideMark/>
          </w:tcPr>
          <w:p w:rsidRPr="00CD4733" w:rsidR="00E95B72" w:rsidP="00E95B72" w:rsidRDefault="00E95B72" w14:paraId="7DC3C148" w14:textId="77777777">
            <w:pPr>
              <w:spacing w:after="160" w:line="256" w:lineRule="auto"/>
              <w:rPr>
                <w:rFonts w:ascii="Helvetica" w:hAnsi="Helvetica" w:eastAsia="Calibri"/>
                <w:b/>
                <w:bCs/>
                <w:color w:val="000000"/>
                <w:sz w:val="18"/>
              </w:rPr>
            </w:pPr>
            <w:r w:rsidRPr="00CD4733">
              <w:rPr>
                <w:rFonts w:ascii="Helvetica" w:hAnsi="Helvetica" w:eastAsia="Calibri"/>
                <w:b/>
                <w:bCs/>
                <w:color w:val="000000"/>
                <w:sz w:val="18"/>
              </w:rPr>
              <w:t>TOTALS</w:t>
            </w:r>
          </w:p>
        </w:tc>
        <w:tc>
          <w:tcPr>
            <w:tcW w:w="1598" w:type="dxa"/>
            <w:tcBorders>
              <w:top w:val="single" w:color="auto" w:sz="4" w:space="0"/>
              <w:left w:val="single" w:color="auto" w:sz="4" w:space="0"/>
              <w:bottom w:val="single" w:color="auto" w:sz="4" w:space="0"/>
              <w:right w:val="single" w:color="auto" w:sz="4" w:space="0"/>
            </w:tcBorders>
            <w:shd w:val="clear" w:color="auto" w:fill="000000" w:themeFill="text1"/>
          </w:tcPr>
          <w:p w:rsidRPr="00CD4733" w:rsidR="00E95B72" w:rsidP="00E95B72" w:rsidRDefault="00E95B72" w14:paraId="59DADA78" w14:textId="77777777">
            <w:pPr>
              <w:spacing w:after="160" w:line="256" w:lineRule="auto"/>
              <w:jc w:val="center"/>
              <w:rPr>
                <w:rFonts w:ascii="Helvetica" w:hAnsi="Helvetica" w:eastAsia="Calibri"/>
                <w:bCs/>
                <w:color w:val="000000"/>
                <w:sz w:val="18"/>
              </w:rPr>
            </w:pP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3BFC1C6A" w14:textId="77777777">
            <w:pPr>
              <w:spacing w:after="0" w:line="240" w:lineRule="auto"/>
              <w:jc w:val="center"/>
              <w:rPr>
                <w:rFonts w:ascii="Helvetica" w:hAnsi="Helvetica" w:eastAsia="Calibri"/>
                <w:b/>
                <w:color w:val="000000"/>
                <w:sz w:val="18"/>
              </w:rPr>
            </w:pPr>
            <w:r w:rsidRPr="00CD4733">
              <w:rPr>
                <w:rFonts w:ascii="Helvetica" w:hAnsi="Helvetica" w:eastAsia="Calibri"/>
                <w:b/>
                <w:color w:val="000000"/>
                <w:sz w:val="18"/>
              </w:rPr>
              <w:t>700</w:t>
            </w:r>
          </w:p>
        </w:tc>
        <w:tc>
          <w:tcPr>
            <w:tcW w:w="1199" w:type="dxa"/>
            <w:tcBorders>
              <w:top w:val="single" w:color="auto" w:sz="4" w:space="0"/>
              <w:left w:val="single" w:color="auto" w:sz="4" w:space="0"/>
              <w:bottom w:val="single" w:color="auto" w:sz="4" w:space="0"/>
              <w:right w:val="single" w:color="auto" w:sz="4" w:space="0"/>
            </w:tcBorders>
            <w:shd w:val="clear" w:color="auto" w:fill="000000"/>
            <w:vAlign w:val="center"/>
          </w:tcPr>
          <w:p w:rsidRPr="00CD4733" w:rsidR="00E95B72" w:rsidP="00E95B72" w:rsidRDefault="00E95B72" w14:paraId="51DADAC9" w14:textId="77777777">
            <w:pPr>
              <w:spacing w:after="0" w:line="240" w:lineRule="auto"/>
              <w:jc w:val="center"/>
              <w:rPr>
                <w:rFonts w:ascii="Helvetica" w:hAnsi="Helvetica" w:eastAsia="Calibri"/>
                <w:bCs/>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54082769" w14:textId="77777777">
            <w:pPr>
              <w:spacing w:after="0" w:line="240" w:lineRule="auto"/>
              <w:jc w:val="center"/>
              <w:rPr>
                <w:rFonts w:ascii="Helvetica" w:hAnsi="Helvetica" w:eastAsia="Calibri"/>
                <w:b/>
                <w:color w:val="000000"/>
                <w:sz w:val="18"/>
              </w:rPr>
            </w:pPr>
            <w:r w:rsidRPr="00CD4733">
              <w:rPr>
                <w:rFonts w:ascii="Helvetica" w:hAnsi="Helvetica" w:eastAsia="Calibri"/>
                <w:b/>
                <w:color w:val="000000"/>
                <w:sz w:val="18"/>
              </w:rPr>
              <w:t>700</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CD4733" w:rsidR="00E95B72" w:rsidP="00E95B72" w:rsidRDefault="00E95B72" w14:paraId="57DCD18B" w14:textId="77777777">
            <w:pPr>
              <w:spacing w:after="0" w:line="240" w:lineRule="auto"/>
              <w:jc w:val="center"/>
              <w:rPr>
                <w:rFonts w:ascii="Helvetica" w:hAnsi="Helvetica" w:eastAsia="Calibri"/>
                <w:bCs/>
                <w:color w:val="000000"/>
                <w:sz w:val="18"/>
              </w:rPr>
            </w:pP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D4733" w:rsidR="00E95B72" w:rsidP="00E95B72" w:rsidRDefault="00E95B72" w14:paraId="4D5F98A3" w14:textId="77777777">
            <w:pPr>
              <w:spacing w:after="0" w:line="240" w:lineRule="auto"/>
              <w:jc w:val="center"/>
              <w:rPr>
                <w:rFonts w:ascii="Helvetica" w:hAnsi="Helvetica" w:eastAsia="Calibri"/>
                <w:b/>
                <w:color w:val="000000"/>
                <w:sz w:val="18"/>
              </w:rPr>
            </w:pPr>
            <w:r w:rsidRPr="00CD4733">
              <w:rPr>
                <w:rFonts w:ascii="Helvetica" w:hAnsi="Helvetica" w:eastAsia="Calibri"/>
                <w:b/>
                <w:color w:val="000000"/>
                <w:sz w:val="18"/>
              </w:rPr>
              <w:t>5,717</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CD4733" w:rsidR="00E95B72" w:rsidP="00E95B72" w:rsidRDefault="00E95B72" w14:paraId="676F8891" w14:textId="77777777">
            <w:pPr>
              <w:spacing w:after="0" w:line="240" w:lineRule="auto"/>
              <w:jc w:val="right"/>
              <w:rPr>
                <w:rFonts w:ascii="Helvetica" w:hAnsi="Helvetica" w:eastAsia="Calibri"/>
                <w:bCs/>
                <w:color w:val="000000"/>
                <w:sz w:val="18"/>
              </w:rPr>
            </w:pPr>
          </w:p>
        </w:tc>
        <w:tc>
          <w:tcPr>
            <w:tcW w:w="1257" w:type="dxa"/>
            <w:gridSpan w:val="2"/>
            <w:tcBorders>
              <w:top w:val="single" w:color="auto" w:sz="4" w:space="0"/>
              <w:left w:val="single" w:color="auto" w:sz="4" w:space="0"/>
              <w:bottom w:val="single" w:color="auto" w:sz="4" w:space="0"/>
              <w:right w:val="single" w:color="auto" w:sz="4" w:space="0"/>
            </w:tcBorders>
          </w:tcPr>
          <w:p w:rsidRPr="00CD4733" w:rsidR="00E95B72" w:rsidP="00E95B72" w:rsidRDefault="00E95B72" w14:paraId="3CD71D55" w14:textId="77777777">
            <w:pPr>
              <w:spacing w:after="0" w:line="240" w:lineRule="auto"/>
              <w:jc w:val="right"/>
              <w:rPr>
                <w:rFonts w:ascii="Helvetica" w:hAnsi="Helvetica" w:eastAsia="Calibri"/>
                <w:bCs/>
                <w:color w:val="000000"/>
                <w:sz w:val="18"/>
              </w:rPr>
            </w:pPr>
          </w:p>
          <w:p w:rsidRPr="00CD4733" w:rsidR="00E95B72" w:rsidP="00E95B72" w:rsidRDefault="00E95B72" w14:paraId="238D2CFB" w14:textId="77777777">
            <w:pPr>
              <w:spacing w:after="0" w:line="240" w:lineRule="auto"/>
              <w:jc w:val="right"/>
              <w:rPr>
                <w:rFonts w:ascii="Helvetica" w:hAnsi="Helvetica" w:eastAsia="Calibri"/>
                <w:b/>
                <w:color w:val="000000"/>
                <w:sz w:val="18"/>
              </w:rPr>
            </w:pPr>
            <w:r w:rsidRPr="00CD4733">
              <w:rPr>
                <w:rFonts w:ascii="Helvetica" w:hAnsi="Helvetica" w:eastAsia="Calibri"/>
                <w:b/>
                <w:color w:val="000000"/>
                <w:sz w:val="18"/>
              </w:rPr>
              <w:t>$274,301.66</w:t>
            </w:r>
          </w:p>
        </w:tc>
      </w:tr>
    </w:tbl>
    <w:p w:rsidRPr="00CD4733" w:rsidR="00CD4733" w:rsidP="00CD4733" w:rsidRDefault="00CD4733" w14:paraId="1FF6888D" w14:textId="77777777">
      <w:pPr>
        <w:spacing w:after="0" w:line="240" w:lineRule="auto"/>
        <w:rPr>
          <w:rFonts w:ascii="Times New Roman" w:hAnsi="Times New Roman" w:eastAsia="Calibri"/>
          <w:b/>
          <w:color w:val="000000"/>
          <w:sz w:val="24"/>
          <w:szCs w:val="24"/>
        </w:rPr>
      </w:pPr>
    </w:p>
    <w:p w:rsidRPr="0004527C" w:rsidR="00CD4733" w:rsidP="00CD4733" w:rsidRDefault="00CD4733" w14:paraId="4FE153A0" w14:textId="279B22F5">
      <w:pPr>
        <w:spacing w:after="0" w:line="240" w:lineRule="auto"/>
        <w:rPr>
          <w:rFonts w:ascii="Times New Roman" w:hAnsi="Times New Roman" w:eastAsia="Calibri"/>
          <w:b/>
          <w:color w:val="000000"/>
          <w:sz w:val="24"/>
          <w:szCs w:val="24"/>
        </w:rPr>
      </w:pPr>
      <w:r w:rsidRPr="0004527C">
        <w:rPr>
          <w:rFonts w:ascii="Times New Roman" w:hAnsi="Times New Roman" w:eastAsia="Calibri"/>
          <w:sz w:val="24"/>
          <w:szCs w:val="24"/>
        </w:rPr>
        <w:t>According to the U.S. Department of Labor, Bureau of Labor Statistics website (</w:t>
      </w:r>
      <w:hyperlink w:history="1" r:id="rId8">
        <w:r w:rsidRPr="0004527C">
          <w:rPr>
            <w:rFonts w:ascii="Times New Roman" w:hAnsi="Times New Roman" w:eastAsia="Calibri"/>
            <w:color w:val="0000FF"/>
            <w:sz w:val="24"/>
            <w:szCs w:val="24"/>
            <w:u w:val="single"/>
          </w:rPr>
          <w:t>https://www.bls.gov/oes/current/oes_nat.htm</w:t>
        </w:r>
      </w:hyperlink>
      <w:r w:rsidRPr="0004527C">
        <w:rPr>
          <w:rFonts w:ascii="Times New Roman" w:hAnsi="Times New Roman" w:eastAsia="Calibri"/>
          <w:sz w:val="24"/>
          <w:szCs w:val="24"/>
        </w:rPr>
        <w:t>)</w:t>
      </w:r>
      <w:r w:rsidR="00762466">
        <w:rPr>
          <w:rFonts w:ascii="Times New Roman" w:hAnsi="Times New Roman" w:eastAsia="Calibri"/>
          <w:sz w:val="24"/>
          <w:szCs w:val="24"/>
        </w:rPr>
        <w:t>,</w:t>
      </w:r>
      <w:r w:rsidRPr="0004527C">
        <w:rPr>
          <w:rFonts w:ascii="Times New Roman" w:hAnsi="Times New Roman" w:eastAsia="Calibri"/>
          <w:sz w:val="24"/>
          <w:szCs w:val="24"/>
        </w:rPr>
        <w:t xml:space="preserve"> the median wage rate category for Business and Financial Operations Occupations</w:t>
      </w:r>
      <w:r w:rsidRPr="0004527C">
        <w:rPr>
          <w:rFonts w:ascii="Times New Roman" w:hAnsi="Times New Roman" w:eastAsia="Calibri"/>
          <w:color w:val="0000FF"/>
          <w:sz w:val="24"/>
          <w:szCs w:val="24"/>
        </w:rPr>
        <w:t xml:space="preserve"> </w:t>
      </w:r>
      <w:r w:rsidRPr="0004527C">
        <w:rPr>
          <w:rFonts w:ascii="Times New Roman" w:hAnsi="Times New Roman" w:eastAsia="Calibri"/>
          <w:sz w:val="24"/>
          <w:szCs w:val="24"/>
        </w:rPr>
        <w:t>(13-0000) is estimated to be $32.86 (hourly wage rate) x 1.46 (the wage rate multiplier) =$47.98 (fully loaded wage rate)</w:t>
      </w:r>
      <w:r w:rsidRPr="0004527C">
        <w:rPr>
          <w:rFonts w:ascii="Times New Roman" w:hAnsi="Times New Roman" w:eastAsia="Calibri"/>
          <w:b/>
          <w:color w:val="000000"/>
          <w:sz w:val="24"/>
          <w:szCs w:val="24"/>
        </w:rPr>
        <w:t>.</w:t>
      </w:r>
      <w:r w:rsidRPr="0004527C" w:rsidR="0004527C">
        <w:rPr>
          <w:rFonts w:ascii="Times New Roman" w:hAnsi="Times New Roman" w:eastAsia="Calibri"/>
          <w:b/>
          <w:color w:val="000000"/>
          <w:sz w:val="24"/>
          <w:szCs w:val="24"/>
        </w:rPr>
        <w:t xml:space="preserve"> </w:t>
      </w:r>
    </w:p>
    <w:p w:rsidRPr="0004527C" w:rsidR="0004527C" w:rsidP="00CD4733" w:rsidRDefault="0004527C" w14:paraId="2FB25149" w14:textId="66E53D20">
      <w:pPr>
        <w:spacing w:after="0" w:line="240" w:lineRule="auto"/>
        <w:rPr>
          <w:rFonts w:ascii="Times New Roman" w:hAnsi="Times New Roman" w:eastAsia="Calibri"/>
          <w:b/>
          <w:color w:val="000000"/>
          <w:sz w:val="24"/>
          <w:szCs w:val="24"/>
        </w:rPr>
      </w:pPr>
    </w:p>
    <w:p w:rsidRPr="00CD4733" w:rsidR="00CD4733" w:rsidP="0004527C" w:rsidRDefault="0004527C" w14:paraId="7034EEF5" w14:textId="487507DE">
      <w:pPr>
        <w:tabs>
          <w:tab w:val="left" w:pos="-720"/>
        </w:tabs>
        <w:suppressAutoHyphens/>
        <w:spacing w:after="160" w:line="259" w:lineRule="auto"/>
        <w:rPr>
          <w:rFonts w:ascii="Times New Roman" w:hAnsi="Times New Roman" w:eastAsia="Calibri"/>
          <w:b/>
          <w:color w:val="000000"/>
          <w:sz w:val="24"/>
          <w:szCs w:val="24"/>
        </w:rPr>
      </w:pPr>
      <w:r w:rsidRPr="0004527C">
        <w:rPr>
          <w:rFonts w:ascii="Times New Roman" w:hAnsi="Times New Roman" w:eastAsiaTheme="minorHAnsi"/>
          <w:sz w:val="24"/>
          <w:szCs w:val="24"/>
        </w:rPr>
        <w:t>The estimated burden hour cost to respondents is $274,301.66 annually.</w:t>
      </w:r>
    </w:p>
    <w:p w:rsidRPr="00C879B4" w:rsidR="00FA2F70" w:rsidP="00FA2F70" w:rsidRDefault="00FA2F70" w14:paraId="0B32610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56CA86F3" w14:textId="77777777">
        <w:tc>
          <w:tcPr>
            <w:tcW w:w="9360" w:type="dxa"/>
            <w:shd w:val="clear" w:color="auto" w:fill="auto"/>
          </w:tcPr>
          <w:p w:rsidRPr="00C879B4" w:rsidR="0021340A" w:rsidP="001B4FB5" w:rsidRDefault="0021340A" w14:paraId="26BFE53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P="001B4FB5" w:rsidRDefault="0021340A" w14:paraId="2ACA1D65" w14:textId="37E63032">
            <w:pPr>
              <w:spacing w:after="0" w:line="240" w:lineRule="auto"/>
              <w:rPr>
                <w:rFonts w:ascii="Times New Roman" w:hAnsi="Times New Roman"/>
                <w:b/>
                <w:color w:val="000000"/>
                <w:sz w:val="24"/>
                <w:szCs w:val="24"/>
              </w:rPr>
            </w:pPr>
          </w:p>
          <w:p w:rsidRPr="00C879B4" w:rsidR="00881CA1" w:rsidP="00881CA1" w:rsidRDefault="00881CA1" w14:paraId="228951F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881CA1" w:rsidP="00881CA1" w:rsidRDefault="00881CA1" w14:paraId="091A73C9" w14:textId="77777777">
            <w:pPr>
              <w:spacing w:after="0" w:line="240" w:lineRule="auto"/>
              <w:rPr>
                <w:rFonts w:ascii="Times New Roman" w:hAnsi="Times New Roman"/>
                <w:color w:val="000000"/>
                <w:sz w:val="24"/>
                <w:szCs w:val="24"/>
              </w:rPr>
            </w:pPr>
          </w:p>
          <w:p w:rsidRPr="00C879B4" w:rsidR="00881CA1" w:rsidP="00881CA1" w:rsidRDefault="00881CA1" w14:paraId="56D88D95" w14:textId="4010527E">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w:t>
            </w:r>
            <w:r w:rsidR="0032158F">
              <w:rPr>
                <w:rFonts w:ascii="Times New Roman" w:hAnsi="Times New Roman"/>
                <w:color w:val="000000"/>
                <w:sz w:val="24"/>
                <w:szCs w:val="24"/>
              </w:rPr>
              <w:t>,</w:t>
            </w:r>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Pr="00C879B4" w:rsidR="00881CA1" w:rsidP="00881CA1" w:rsidRDefault="00881CA1" w14:paraId="4CBC635F" w14:textId="77777777">
            <w:pPr>
              <w:spacing w:after="0" w:line="240" w:lineRule="auto"/>
              <w:rPr>
                <w:rFonts w:ascii="Times New Roman" w:hAnsi="Times New Roman"/>
                <w:color w:val="000000"/>
                <w:sz w:val="24"/>
                <w:szCs w:val="24"/>
              </w:rPr>
            </w:pPr>
          </w:p>
          <w:p w:rsidRPr="00C879B4" w:rsidR="00881CA1" w:rsidP="00881CA1" w:rsidRDefault="00881CA1" w14:paraId="723D0FF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879B4" w:rsidR="0021340A" w:rsidP="001B4FB5" w:rsidRDefault="0021340A" w14:paraId="26D66311" w14:textId="77777777">
            <w:pPr>
              <w:spacing w:after="0" w:line="240" w:lineRule="auto"/>
              <w:rPr>
                <w:rFonts w:ascii="Times New Roman" w:hAnsi="Times New Roman"/>
                <w:color w:val="000000"/>
                <w:sz w:val="24"/>
                <w:szCs w:val="24"/>
              </w:rPr>
            </w:pPr>
          </w:p>
          <w:p w:rsidRPr="00C879B4" w:rsidR="0021340A" w:rsidP="00024F68" w:rsidRDefault="006C72B8" w14:paraId="09A33F92" w14:textId="6874C893">
            <w:pPr>
              <w:spacing w:after="0" w:line="240" w:lineRule="auto"/>
              <w:rPr>
                <w:rFonts w:ascii="Times New Roman" w:hAnsi="Times New Roman"/>
                <w:b/>
                <w:color w:val="000000"/>
                <w:sz w:val="24"/>
                <w:szCs w:val="24"/>
              </w:rPr>
            </w:pPr>
            <w:r w:rsidRPr="006C72B8">
              <w:rPr>
                <w:rFonts w:ascii="Times New Roman" w:hAnsi="Times New Roman"/>
                <w:sz w:val="24"/>
                <w:szCs w:val="24"/>
              </w:rPr>
              <w:t>There are no record keeping, capital, start-up or maintenance costs associated with this information collection.</w:t>
            </w:r>
          </w:p>
        </w:tc>
      </w:tr>
      <w:tr w:rsidRPr="00C879B4" w:rsidR="0021340A" w:rsidTr="00D35DDB" w14:paraId="712E0CFD" w14:textId="77777777">
        <w:tc>
          <w:tcPr>
            <w:tcW w:w="9360" w:type="dxa"/>
            <w:shd w:val="clear" w:color="auto" w:fill="auto"/>
          </w:tcPr>
          <w:p w:rsidRPr="00C879B4" w:rsidR="0021340A" w:rsidP="001B4FB5" w:rsidRDefault="0021340A" w14:paraId="32A7F9FC" w14:textId="77777777">
            <w:pPr>
              <w:spacing w:after="0" w:line="240" w:lineRule="auto"/>
              <w:rPr>
                <w:rFonts w:ascii="Times New Roman" w:hAnsi="Times New Roman"/>
                <w:b/>
                <w:color w:val="000000"/>
                <w:sz w:val="24"/>
                <w:szCs w:val="24"/>
              </w:rPr>
            </w:pPr>
          </w:p>
        </w:tc>
      </w:tr>
    </w:tbl>
    <w:p w:rsidRPr="00C879B4" w:rsidR="0021340A" w:rsidP="00FA2F70" w:rsidRDefault="0021340A" w14:paraId="0EB53AF4"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D35DDB" w14:paraId="46A37DCC" w14:textId="77777777">
        <w:tc>
          <w:tcPr>
            <w:tcW w:w="9360" w:type="dxa"/>
            <w:tcBorders>
              <w:top w:val="nil"/>
              <w:left w:val="nil"/>
              <w:bottom w:val="nil"/>
              <w:right w:val="nil"/>
            </w:tcBorders>
            <w:shd w:val="clear" w:color="auto" w:fill="auto"/>
          </w:tcPr>
          <w:p w:rsidRPr="00C879B4" w:rsidR="0021340A" w:rsidP="001B4FB5" w:rsidRDefault="0021340A" w14:paraId="59A34BA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P="001B4FB5" w:rsidRDefault="0021340A" w14:paraId="689920AC" w14:textId="77777777">
            <w:pPr>
              <w:spacing w:after="0" w:line="240" w:lineRule="auto"/>
              <w:rPr>
                <w:rFonts w:ascii="Times New Roman" w:hAnsi="Times New Roman"/>
                <w:color w:val="000000"/>
                <w:sz w:val="24"/>
                <w:szCs w:val="24"/>
              </w:rPr>
            </w:pPr>
          </w:p>
          <w:p w:rsidRPr="00C879B4" w:rsidR="000646B7" w:rsidP="001B4FB5" w:rsidRDefault="000646B7" w14:paraId="558767BC" w14:textId="77777777">
            <w:pPr>
              <w:spacing w:after="0" w:line="240" w:lineRule="auto"/>
              <w:rPr>
                <w:rFonts w:ascii="Times New Roman" w:hAnsi="Times New Roman"/>
                <w:color w:val="000000"/>
                <w:sz w:val="24"/>
                <w:szCs w:val="24"/>
              </w:rPr>
            </w:pPr>
          </w:p>
        </w:tc>
      </w:tr>
    </w:tbl>
    <w:p w:rsidRPr="00847D09" w:rsidR="0024300C" w:rsidP="00847D09" w:rsidRDefault="000646B7" w14:paraId="091DE789"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6C56EEA1" w14:textId="77777777">
        <w:trPr>
          <w:trHeight w:val="70"/>
        </w:trPr>
        <w:tc>
          <w:tcPr>
            <w:tcW w:w="7680" w:type="dxa"/>
            <w:shd w:val="clear" w:color="auto" w:fill="A5A5A5"/>
            <w:noWrap/>
            <w:vAlign w:val="center"/>
          </w:tcPr>
          <w:p w:rsidRPr="000646B7" w:rsidR="000646B7" w:rsidP="000646B7" w:rsidRDefault="000646B7" w14:paraId="5B481FE0"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78FBBB8C"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4F1E4A27" w14:textId="77777777">
        <w:trPr>
          <w:trHeight w:val="495"/>
        </w:trPr>
        <w:tc>
          <w:tcPr>
            <w:tcW w:w="7680" w:type="dxa"/>
          </w:tcPr>
          <w:p w:rsidRPr="000646B7" w:rsidR="000646B7" w:rsidP="000646B7" w:rsidRDefault="000646B7" w14:paraId="5E0D9198" w14:textId="77777777">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[Describe]</w:t>
            </w:r>
            <w:r w:rsidRPr="000646B7">
              <w:rPr>
                <w:rFonts w:ascii="Times New Roman" w:hAnsi="Times New Roman" w:eastAsia="Calibri"/>
                <w:sz w:val="18"/>
                <w:szCs w:val="18"/>
              </w:rPr>
              <w:t xml:space="preserve"> </w:t>
            </w:r>
          </w:p>
        </w:tc>
        <w:tc>
          <w:tcPr>
            <w:tcW w:w="1518" w:type="dxa"/>
          </w:tcPr>
          <w:p w:rsidRPr="000646B7" w:rsidR="000646B7" w:rsidP="000646B7" w:rsidRDefault="000646B7" w14:paraId="49975ED7" w14:textId="77777777">
            <w:pPr>
              <w:rPr>
                <w:rFonts w:ascii="Times New Roman" w:hAnsi="Times New Roman" w:eastAsia="Calibri"/>
                <w:sz w:val="18"/>
                <w:szCs w:val="18"/>
              </w:rPr>
            </w:pPr>
            <w:r w:rsidRPr="000646B7">
              <w:rPr>
                <w:rFonts w:ascii="Times New Roman" w:hAnsi="Times New Roman" w:eastAsia="Calibri"/>
                <w:sz w:val="18"/>
                <w:szCs w:val="18"/>
              </w:rPr>
              <w:t> </w:t>
            </w:r>
            <w:r w:rsidR="00024F68">
              <w:rPr>
                <w:rFonts w:ascii="Times New Roman" w:hAnsi="Times New Roman" w:eastAsia="Calibri"/>
                <w:sz w:val="18"/>
                <w:szCs w:val="18"/>
              </w:rPr>
              <w:t>0.00</w:t>
            </w:r>
          </w:p>
        </w:tc>
      </w:tr>
      <w:tr w:rsidRPr="000646B7" w:rsidR="000646B7" w:rsidTr="00AA5516" w14:paraId="6A906F96" w14:textId="77777777">
        <w:trPr>
          <w:trHeight w:val="510"/>
        </w:trPr>
        <w:tc>
          <w:tcPr>
            <w:tcW w:w="7680" w:type="dxa"/>
          </w:tcPr>
          <w:p w:rsidR="00D56BDC" w:rsidP="000646B7" w:rsidRDefault="000646B7" w14:paraId="580F9129" w14:textId="77777777">
            <w:pPr>
              <w:rPr>
                <w:rFonts w:ascii="Times New Roman" w:hAnsi="Times New Roman" w:eastAsia="Calibri"/>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xml:space="preserve">[ </w:t>
            </w:r>
            <w:r w:rsidR="00533CC9">
              <w:rPr>
                <w:rFonts w:ascii="Times New Roman" w:hAnsi="Times New Roman" w:eastAsia="Calibri"/>
                <w:b/>
                <w:bCs/>
                <w:sz w:val="18"/>
                <w:szCs w:val="18"/>
                <w:u w:val="single"/>
              </w:rPr>
              <w:t xml:space="preserve">1 </w:t>
            </w:r>
            <w:r w:rsidRPr="000646B7">
              <w:rPr>
                <w:rFonts w:ascii="Times New Roman" w:hAnsi="Times New Roman" w:eastAsia="Calibri"/>
                <w:b/>
                <w:bCs/>
                <w:sz w:val="18"/>
                <w:szCs w:val="18"/>
              </w:rPr>
              <w:t xml:space="preserve">of GS </w:t>
            </w:r>
            <w:r w:rsidR="00533CC9">
              <w:rPr>
                <w:rFonts w:ascii="Times New Roman" w:hAnsi="Times New Roman" w:eastAsia="Calibri"/>
                <w:b/>
                <w:bCs/>
                <w:sz w:val="18"/>
                <w:szCs w:val="18"/>
                <w:u w:val="single"/>
              </w:rPr>
              <w:t>15</w:t>
            </w:r>
            <w:r w:rsidRPr="000646B7">
              <w:rPr>
                <w:rFonts w:ascii="Times New Roman" w:hAnsi="Times New Roman" w:eastAsia="Calibri"/>
                <w:b/>
                <w:bCs/>
                <w:sz w:val="18"/>
                <w:szCs w:val="18"/>
              </w:rPr>
              <w:t>, step</w:t>
            </w:r>
            <w:r w:rsidR="00533CC9">
              <w:rPr>
                <w:rFonts w:ascii="Times New Roman" w:hAnsi="Times New Roman" w:eastAsia="Calibri"/>
                <w:b/>
                <w:bCs/>
                <w:sz w:val="18"/>
                <w:szCs w:val="18"/>
              </w:rPr>
              <w:t xml:space="preserve"> </w:t>
            </w:r>
            <w:r w:rsidR="00533CC9">
              <w:rPr>
                <w:rFonts w:ascii="Times New Roman" w:hAnsi="Times New Roman" w:eastAsia="Calibri"/>
                <w:b/>
                <w:bCs/>
                <w:sz w:val="18"/>
                <w:szCs w:val="18"/>
                <w:u w:val="single"/>
              </w:rPr>
              <w:t>1</w:t>
            </w:r>
            <w:r w:rsidRPr="000646B7">
              <w:rPr>
                <w:rFonts w:ascii="Times New Roman" w:hAnsi="Times New Roman" w:eastAsia="Calibri"/>
                <w:b/>
                <w:bCs/>
                <w:sz w:val="18"/>
                <w:szCs w:val="18"/>
              </w:rPr>
              <w:t xml:space="preserve"> employees spending approximately </w:t>
            </w:r>
            <w:r w:rsidR="00182C21">
              <w:rPr>
                <w:rFonts w:ascii="Times New Roman" w:hAnsi="Times New Roman" w:eastAsia="Calibri"/>
                <w:b/>
                <w:bCs/>
                <w:sz w:val="18"/>
                <w:szCs w:val="18"/>
                <w:u w:val="single"/>
              </w:rPr>
              <w:t>37.5</w:t>
            </w:r>
            <w:r w:rsidRPr="000646B7">
              <w:rPr>
                <w:rFonts w:ascii="Times New Roman" w:hAnsi="Times New Roman" w:eastAsia="Calibri"/>
                <w:b/>
                <w:bCs/>
                <w:sz w:val="18"/>
                <w:szCs w:val="18"/>
              </w:rPr>
              <w:t>% of time annually</w:t>
            </w:r>
            <w:r w:rsidRPr="00AA5516">
              <w:rPr>
                <w:rFonts w:ascii="Times New Roman" w:hAnsi="Times New Roman" w:eastAsia="Calibri"/>
              </w:rPr>
              <w:t xml:space="preserve"> </w:t>
            </w:r>
            <w:bookmarkStart w:name="_Hlk522191515" w:id="2"/>
          </w:p>
          <w:p w:rsidR="000646B7" w:rsidP="000646B7" w:rsidRDefault="00526ADC" w14:paraId="6840A750" w14:textId="77777777">
            <w:pPr>
              <w:rPr>
                <w:rFonts w:ascii="Times New Roman" w:hAnsi="Times New Roman" w:eastAsia="Calibri"/>
                <w:b/>
                <w:bCs/>
                <w:sz w:val="18"/>
                <w:szCs w:val="18"/>
              </w:rPr>
            </w:pPr>
            <w:r w:rsidRPr="00526ADC">
              <w:rPr>
                <w:rFonts w:ascii="Times New Roman" w:hAnsi="Times New Roman" w:eastAsia="Calibri"/>
                <w:b/>
                <w:bCs/>
                <w:sz w:val="18"/>
                <w:szCs w:val="18"/>
              </w:rPr>
              <w:t xml:space="preserve">1 </w:t>
            </w:r>
            <w:r w:rsidR="002C7DF4">
              <w:rPr>
                <w:rFonts w:ascii="Times New Roman" w:hAnsi="Times New Roman" w:eastAsia="Calibri"/>
                <w:b/>
                <w:bCs/>
                <w:sz w:val="18"/>
                <w:szCs w:val="18"/>
              </w:rPr>
              <w:t>(GS-1</w:t>
            </w:r>
            <w:r w:rsidR="00533CC9">
              <w:rPr>
                <w:rFonts w:ascii="Times New Roman" w:hAnsi="Times New Roman" w:eastAsia="Calibri"/>
                <w:b/>
                <w:bCs/>
                <w:sz w:val="18"/>
                <w:szCs w:val="18"/>
              </w:rPr>
              <w:t>5</w:t>
            </w:r>
            <w:r w:rsidR="002C7DF4">
              <w:rPr>
                <w:rFonts w:ascii="Times New Roman" w:hAnsi="Times New Roman" w:eastAsia="Calibri"/>
                <w:b/>
                <w:bCs/>
                <w:sz w:val="18"/>
                <w:szCs w:val="18"/>
              </w:rPr>
              <w:t xml:space="preserve">, Step 1) </w:t>
            </w:r>
            <w:r w:rsidRPr="00526ADC">
              <w:rPr>
                <w:rFonts w:ascii="Times New Roman" w:hAnsi="Times New Roman" w:eastAsia="Calibri"/>
                <w:b/>
                <w:bCs/>
                <w:sz w:val="18"/>
                <w:szCs w:val="18"/>
              </w:rPr>
              <w:t>x $</w:t>
            </w:r>
            <w:r w:rsidR="00533CC9">
              <w:rPr>
                <w:rFonts w:ascii="Times New Roman" w:hAnsi="Times New Roman" w:eastAsia="Calibri"/>
                <w:b/>
                <w:bCs/>
                <w:sz w:val="18"/>
                <w:szCs w:val="18"/>
              </w:rPr>
              <w:t>109,366</w:t>
            </w:r>
            <w:r w:rsidRPr="00526ADC">
              <w:rPr>
                <w:rFonts w:ascii="Times New Roman" w:hAnsi="Times New Roman" w:eastAsia="Calibri"/>
                <w:b/>
                <w:bCs/>
                <w:sz w:val="18"/>
                <w:szCs w:val="18"/>
              </w:rPr>
              <w:t>.00 = $</w:t>
            </w:r>
            <w:r w:rsidR="00533CC9">
              <w:rPr>
                <w:rFonts w:ascii="Times New Roman" w:hAnsi="Times New Roman" w:eastAsia="Calibri"/>
                <w:b/>
                <w:bCs/>
                <w:sz w:val="18"/>
                <w:szCs w:val="18"/>
              </w:rPr>
              <w:t>109,366</w:t>
            </w:r>
            <w:r w:rsidRPr="00526ADC">
              <w:rPr>
                <w:rFonts w:ascii="Times New Roman" w:hAnsi="Times New Roman" w:eastAsia="Calibri"/>
                <w:b/>
                <w:bCs/>
                <w:sz w:val="18"/>
                <w:szCs w:val="18"/>
              </w:rPr>
              <w:t>.00 x 1.46 (wage rate multiplier) = $</w:t>
            </w:r>
            <w:r w:rsidR="00533CC9">
              <w:rPr>
                <w:rFonts w:ascii="Times New Roman" w:hAnsi="Times New Roman" w:eastAsia="Calibri"/>
                <w:b/>
                <w:bCs/>
                <w:sz w:val="18"/>
                <w:szCs w:val="18"/>
              </w:rPr>
              <w:t>159,674.36</w:t>
            </w:r>
            <w:r w:rsidRPr="00526ADC">
              <w:rPr>
                <w:rFonts w:ascii="Times New Roman" w:hAnsi="Times New Roman" w:eastAsia="Calibri"/>
                <w:b/>
                <w:bCs/>
                <w:sz w:val="18"/>
                <w:szCs w:val="18"/>
              </w:rPr>
              <w:t xml:space="preserve"> (</w:t>
            </w:r>
            <w:r w:rsidRPr="00526ADC" w:rsidR="00533CC9">
              <w:rPr>
                <w:rFonts w:ascii="Times New Roman" w:hAnsi="Times New Roman" w:eastAsia="Calibri"/>
                <w:b/>
                <w:bCs/>
                <w:sz w:val="18"/>
                <w:szCs w:val="18"/>
              </w:rPr>
              <w:t>fully loaded</w:t>
            </w:r>
            <w:r w:rsidRPr="00526ADC">
              <w:rPr>
                <w:rFonts w:ascii="Times New Roman" w:hAnsi="Times New Roman" w:eastAsia="Calibri"/>
                <w:b/>
                <w:bCs/>
                <w:sz w:val="18"/>
                <w:szCs w:val="18"/>
              </w:rPr>
              <w:t>) x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xml:space="preserve">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of time spent) = $</w:t>
            </w:r>
            <w:bookmarkEnd w:id="2"/>
            <w:r w:rsidR="002822B5">
              <w:rPr>
                <w:rFonts w:ascii="Times New Roman" w:hAnsi="Times New Roman" w:eastAsia="Calibri"/>
                <w:b/>
                <w:bCs/>
                <w:sz w:val="18"/>
                <w:szCs w:val="18"/>
              </w:rPr>
              <w:t>59,877.89</w:t>
            </w:r>
          </w:p>
          <w:p w:rsidR="00533CC9" w:rsidP="00533CC9" w:rsidRDefault="00533CC9" w14:paraId="135F849A" w14:textId="77777777">
            <w:pPr>
              <w:rPr>
                <w:rFonts w:ascii="Times New Roman" w:hAnsi="Times New Roman" w:eastAsia="Calibri"/>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xml:space="preserve">[ </w:t>
            </w:r>
            <w:r>
              <w:rPr>
                <w:rFonts w:ascii="Times New Roman" w:hAnsi="Times New Roman" w:eastAsia="Calibri"/>
                <w:b/>
                <w:bCs/>
                <w:sz w:val="18"/>
                <w:szCs w:val="18"/>
                <w:u w:val="single"/>
              </w:rPr>
              <w:t xml:space="preserve">2 </w:t>
            </w:r>
            <w:r w:rsidRPr="000646B7">
              <w:rPr>
                <w:rFonts w:ascii="Times New Roman" w:hAnsi="Times New Roman" w:eastAsia="Calibri"/>
                <w:b/>
                <w:bCs/>
                <w:sz w:val="18"/>
                <w:szCs w:val="18"/>
              </w:rPr>
              <w:t xml:space="preserve">of GS </w:t>
            </w:r>
            <w:r>
              <w:rPr>
                <w:rFonts w:ascii="Times New Roman" w:hAnsi="Times New Roman" w:eastAsia="Calibri"/>
                <w:b/>
                <w:bCs/>
                <w:sz w:val="18"/>
                <w:szCs w:val="18"/>
                <w:u w:val="single"/>
              </w:rPr>
              <w:t>14</w:t>
            </w:r>
            <w:r w:rsidRPr="000646B7">
              <w:rPr>
                <w:rFonts w:ascii="Times New Roman" w:hAnsi="Times New Roman" w:eastAsia="Calibri"/>
                <w:b/>
                <w:bCs/>
                <w:sz w:val="18"/>
                <w:szCs w:val="18"/>
              </w:rPr>
              <w:t>, step</w:t>
            </w:r>
            <w:r>
              <w:rPr>
                <w:rFonts w:ascii="Times New Roman" w:hAnsi="Times New Roman" w:eastAsia="Calibri"/>
                <w:b/>
                <w:bCs/>
                <w:sz w:val="18"/>
                <w:szCs w:val="18"/>
              </w:rPr>
              <w:t xml:space="preserve"> </w:t>
            </w:r>
            <w:r>
              <w:rPr>
                <w:rFonts w:ascii="Times New Roman" w:hAnsi="Times New Roman" w:eastAsia="Calibri"/>
                <w:b/>
                <w:bCs/>
                <w:sz w:val="18"/>
                <w:szCs w:val="18"/>
                <w:u w:val="single"/>
              </w:rPr>
              <w:t>1</w:t>
            </w:r>
            <w:r w:rsidRPr="000646B7">
              <w:rPr>
                <w:rFonts w:ascii="Times New Roman" w:hAnsi="Times New Roman" w:eastAsia="Calibri"/>
                <w:b/>
                <w:bCs/>
                <w:sz w:val="18"/>
                <w:szCs w:val="18"/>
              </w:rPr>
              <w:t xml:space="preserve"> employees spending approximately </w:t>
            </w:r>
            <w:r w:rsidR="00182C21">
              <w:rPr>
                <w:rFonts w:ascii="Times New Roman" w:hAnsi="Times New Roman" w:eastAsia="Calibri"/>
                <w:b/>
                <w:bCs/>
                <w:sz w:val="18"/>
                <w:szCs w:val="18"/>
                <w:u w:val="single"/>
              </w:rPr>
              <w:t>37.5</w:t>
            </w:r>
            <w:r w:rsidRPr="000646B7">
              <w:rPr>
                <w:rFonts w:ascii="Times New Roman" w:hAnsi="Times New Roman" w:eastAsia="Calibri"/>
                <w:b/>
                <w:bCs/>
                <w:sz w:val="18"/>
                <w:szCs w:val="18"/>
              </w:rPr>
              <w:t>% of time annually</w:t>
            </w:r>
            <w:r w:rsidRPr="00AA5516">
              <w:rPr>
                <w:rFonts w:ascii="Times New Roman" w:hAnsi="Times New Roman" w:eastAsia="Calibri"/>
              </w:rPr>
              <w:t xml:space="preserve"> </w:t>
            </w:r>
          </w:p>
          <w:p w:rsidR="00533CC9" w:rsidP="00533CC9" w:rsidRDefault="00533CC9" w14:paraId="526EC7EF" w14:textId="77777777">
            <w:pPr>
              <w:rPr>
                <w:rFonts w:ascii="Times New Roman" w:hAnsi="Times New Roman" w:eastAsia="Calibri"/>
                <w:b/>
                <w:bCs/>
                <w:sz w:val="18"/>
                <w:szCs w:val="18"/>
              </w:rPr>
            </w:pPr>
            <w:r>
              <w:rPr>
                <w:rFonts w:ascii="Times New Roman" w:hAnsi="Times New Roman" w:eastAsia="Calibri"/>
                <w:b/>
                <w:bCs/>
                <w:sz w:val="18"/>
                <w:szCs w:val="18"/>
              </w:rPr>
              <w:t>2</w:t>
            </w:r>
            <w:r w:rsidRPr="00526ADC">
              <w:rPr>
                <w:rFonts w:ascii="Times New Roman" w:hAnsi="Times New Roman" w:eastAsia="Calibri"/>
                <w:b/>
                <w:bCs/>
                <w:sz w:val="18"/>
                <w:szCs w:val="18"/>
              </w:rPr>
              <w:t xml:space="preserve"> </w:t>
            </w:r>
            <w:r>
              <w:rPr>
                <w:rFonts w:ascii="Times New Roman" w:hAnsi="Times New Roman" w:eastAsia="Calibri"/>
                <w:b/>
                <w:bCs/>
                <w:sz w:val="18"/>
                <w:szCs w:val="18"/>
              </w:rPr>
              <w:t xml:space="preserve">(GS-15, Step 1) </w:t>
            </w:r>
            <w:r w:rsidRPr="00526ADC">
              <w:rPr>
                <w:rFonts w:ascii="Times New Roman" w:hAnsi="Times New Roman" w:eastAsia="Calibri"/>
                <w:b/>
                <w:bCs/>
                <w:sz w:val="18"/>
                <w:szCs w:val="18"/>
              </w:rPr>
              <w:t>x $</w:t>
            </w:r>
            <w:r w:rsidR="003C4699">
              <w:rPr>
                <w:rFonts w:ascii="Times New Roman" w:hAnsi="Times New Roman" w:eastAsia="Calibri"/>
                <w:b/>
                <w:bCs/>
                <w:sz w:val="18"/>
                <w:szCs w:val="18"/>
              </w:rPr>
              <w:t>92,977</w:t>
            </w:r>
            <w:r w:rsidRPr="00526ADC">
              <w:rPr>
                <w:rFonts w:ascii="Times New Roman" w:hAnsi="Times New Roman" w:eastAsia="Calibri"/>
                <w:b/>
                <w:bCs/>
                <w:sz w:val="18"/>
                <w:szCs w:val="18"/>
              </w:rPr>
              <w:t>.00 = $</w:t>
            </w:r>
            <w:r>
              <w:rPr>
                <w:rFonts w:ascii="Times New Roman" w:hAnsi="Times New Roman" w:eastAsia="Calibri"/>
                <w:b/>
                <w:bCs/>
                <w:sz w:val="18"/>
                <w:szCs w:val="18"/>
              </w:rPr>
              <w:t>1</w:t>
            </w:r>
            <w:r w:rsidR="003C4699">
              <w:rPr>
                <w:rFonts w:ascii="Times New Roman" w:hAnsi="Times New Roman" w:eastAsia="Calibri"/>
                <w:b/>
                <w:bCs/>
                <w:sz w:val="18"/>
                <w:szCs w:val="18"/>
              </w:rPr>
              <w:t>85</w:t>
            </w:r>
            <w:r>
              <w:rPr>
                <w:rFonts w:ascii="Times New Roman" w:hAnsi="Times New Roman" w:eastAsia="Calibri"/>
                <w:b/>
                <w:bCs/>
                <w:sz w:val="18"/>
                <w:szCs w:val="18"/>
              </w:rPr>
              <w:t>,</w:t>
            </w:r>
            <w:r w:rsidR="003C4699">
              <w:rPr>
                <w:rFonts w:ascii="Times New Roman" w:hAnsi="Times New Roman" w:eastAsia="Calibri"/>
                <w:b/>
                <w:bCs/>
                <w:sz w:val="18"/>
                <w:szCs w:val="18"/>
              </w:rPr>
              <w:t>954</w:t>
            </w:r>
            <w:r w:rsidRPr="00526ADC">
              <w:rPr>
                <w:rFonts w:ascii="Times New Roman" w:hAnsi="Times New Roman" w:eastAsia="Calibri"/>
                <w:b/>
                <w:bCs/>
                <w:sz w:val="18"/>
                <w:szCs w:val="18"/>
              </w:rPr>
              <w:t>.00 x 1.46 (wage rate multiplier) = $</w:t>
            </w:r>
            <w:r w:rsidR="003C4699">
              <w:rPr>
                <w:rFonts w:ascii="Times New Roman" w:hAnsi="Times New Roman" w:eastAsia="Calibri"/>
                <w:b/>
                <w:bCs/>
                <w:sz w:val="18"/>
                <w:szCs w:val="18"/>
              </w:rPr>
              <w:t>271,492.84</w:t>
            </w:r>
            <w:r w:rsidRPr="00526ADC">
              <w:rPr>
                <w:rFonts w:ascii="Times New Roman" w:hAnsi="Times New Roman" w:eastAsia="Calibri"/>
                <w:b/>
                <w:bCs/>
                <w:sz w:val="18"/>
                <w:szCs w:val="18"/>
              </w:rPr>
              <w:t xml:space="preserve"> (fully loaded) x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xml:space="preserve">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of time spent)</w:t>
            </w:r>
            <w:r w:rsidR="001A2C49">
              <w:rPr>
                <w:rFonts w:ascii="Times New Roman" w:hAnsi="Times New Roman" w:eastAsia="Calibri"/>
                <w:b/>
                <w:bCs/>
                <w:sz w:val="18"/>
                <w:szCs w:val="18"/>
              </w:rPr>
              <w:t xml:space="preserve"> </w:t>
            </w:r>
            <w:r w:rsidRPr="00526ADC">
              <w:rPr>
                <w:rFonts w:ascii="Times New Roman" w:hAnsi="Times New Roman" w:eastAsia="Calibri"/>
                <w:b/>
                <w:bCs/>
                <w:sz w:val="18"/>
                <w:szCs w:val="18"/>
              </w:rPr>
              <w:t>= $</w:t>
            </w:r>
            <w:r w:rsidR="002822B5">
              <w:rPr>
                <w:rFonts w:ascii="Times New Roman" w:hAnsi="Times New Roman" w:eastAsia="Calibri"/>
                <w:b/>
                <w:bCs/>
                <w:sz w:val="18"/>
                <w:szCs w:val="18"/>
              </w:rPr>
              <w:t>101,809.82</w:t>
            </w:r>
          </w:p>
          <w:p w:rsidR="003C4699" w:rsidP="003C4699" w:rsidRDefault="003C4699" w14:paraId="7EF8FA4E" w14:textId="77777777">
            <w:pPr>
              <w:rPr>
                <w:rFonts w:ascii="Times New Roman" w:hAnsi="Times New Roman" w:eastAsia="Calibri"/>
              </w:rPr>
            </w:pPr>
            <w:r w:rsidRPr="000646B7">
              <w:rPr>
                <w:rFonts w:ascii="Times New Roman" w:hAnsi="Times New Roman" w:eastAsia="Calibri"/>
                <w:sz w:val="18"/>
                <w:szCs w:val="18"/>
              </w:rPr>
              <w:lastRenderedPageBreak/>
              <w:t xml:space="preserve">Staff Salaries* </w:t>
            </w:r>
            <w:r w:rsidRPr="000646B7">
              <w:rPr>
                <w:rFonts w:ascii="Times New Roman" w:hAnsi="Times New Roman" w:eastAsia="Calibri"/>
                <w:b/>
                <w:bCs/>
                <w:sz w:val="18"/>
                <w:szCs w:val="18"/>
              </w:rPr>
              <w:t xml:space="preserve">[ </w:t>
            </w:r>
            <w:r>
              <w:rPr>
                <w:rFonts w:ascii="Times New Roman" w:hAnsi="Times New Roman" w:eastAsia="Calibri"/>
                <w:b/>
                <w:bCs/>
                <w:sz w:val="18"/>
                <w:szCs w:val="18"/>
                <w:u w:val="single"/>
              </w:rPr>
              <w:t xml:space="preserve">6 </w:t>
            </w:r>
            <w:r w:rsidRPr="000646B7">
              <w:rPr>
                <w:rFonts w:ascii="Times New Roman" w:hAnsi="Times New Roman" w:eastAsia="Calibri"/>
                <w:b/>
                <w:bCs/>
                <w:sz w:val="18"/>
                <w:szCs w:val="18"/>
              </w:rPr>
              <w:t xml:space="preserve">of GS </w:t>
            </w:r>
            <w:r>
              <w:rPr>
                <w:rFonts w:ascii="Times New Roman" w:hAnsi="Times New Roman" w:eastAsia="Calibri"/>
                <w:b/>
                <w:bCs/>
                <w:sz w:val="18"/>
                <w:szCs w:val="18"/>
                <w:u w:val="single"/>
              </w:rPr>
              <w:t>13</w:t>
            </w:r>
            <w:r w:rsidRPr="000646B7">
              <w:rPr>
                <w:rFonts w:ascii="Times New Roman" w:hAnsi="Times New Roman" w:eastAsia="Calibri"/>
                <w:b/>
                <w:bCs/>
                <w:sz w:val="18"/>
                <w:szCs w:val="18"/>
              </w:rPr>
              <w:t>, step</w:t>
            </w:r>
            <w:r>
              <w:rPr>
                <w:rFonts w:ascii="Times New Roman" w:hAnsi="Times New Roman" w:eastAsia="Calibri"/>
                <w:b/>
                <w:bCs/>
                <w:sz w:val="18"/>
                <w:szCs w:val="18"/>
              </w:rPr>
              <w:t xml:space="preserve"> </w:t>
            </w:r>
            <w:r>
              <w:rPr>
                <w:rFonts w:ascii="Times New Roman" w:hAnsi="Times New Roman" w:eastAsia="Calibri"/>
                <w:b/>
                <w:bCs/>
                <w:sz w:val="18"/>
                <w:szCs w:val="18"/>
                <w:u w:val="single"/>
              </w:rPr>
              <w:t>1</w:t>
            </w:r>
            <w:r w:rsidRPr="000646B7">
              <w:rPr>
                <w:rFonts w:ascii="Times New Roman" w:hAnsi="Times New Roman" w:eastAsia="Calibri"/>
                <w:b/>
                <w:bCs/>
                <w:sz w:val="18"/>
                <w:szCs w:val="18"/>
              </w:rPr>
              <w:t xml:space="preserve"> employees spending approximately </w:t>
            </w:r>
            <w:r w:rsidR="00182C21">
              <w:rPr>
                <w:rFonts w:ascii="Times New Roman" w:hAnsi="Times New Roman" w:eastAsia="Calibri"/>
                <w:b/>
                <w:bCs/>
                <w:sz w:val="18"/>
                <w:szCs w:val="18"/>
                <w:u w:val="single"/>
              </w:rPr>
              <w:t>37.5</w:t>
            </w:r>
            <w:r w:rsidRPr="000646B7">
              <w:rPr>
                <w:rFonts w:ascii="Times New Roman" w:hAnsi="Times New Roman" w:eastAsia="Calibri"/>
                <w:b/>
                <w:bCs/>
                <w:sz w:val="18"/>
                <w:szCs w:val="18"/>
              </w:rPr>
              <w:t>% of time annually</w:t>
            </w:r>
            <w:r w:rsidRPr="00AA5516">
              <w:rPr>
                <w:rFonts w:ascii="Times New Roman" w:hAnsi="Times New Roman" w:eastAsia="Calibri"/>
              </w:rPr>
              <w:t xml:space="preserve"> </w:t>
            </w:r>
          </w:p>
          <w:p w:rsidR="003C4699" w:rsidP="003C4699" w:rsidRDefault="003C4699" w14:paraId="30A7846A" w14:textId="77777777">
            <w:pPr>
              <w:rPr>
                <w:rFonts w:ascii="Times New Roman" w:hAnsi="Times New Roman" w:eastAsia="Calibri"/>
                <w:b/>
                <w:bCs/>
                <w:sz w:val="18"/>
                <w:szCs w:val="18"/>
              </w:rPr>
            </w:pPr>
            <w:r>
              <w:rPr>
                <w:rFonts w:ascii="Times New Roman" w:hAnsi="Times New Roman" w:eastAsia="Calibri"/>
                <w:b/>
                <w:bCs/>
                <w:sz w:val="18"/>
                <w:szCs w:val="18"/>
              </w:rPr>
              <w:t>6</w:t>
            </w:r>
            <w:r w:rsidRPr="00526ADC">
              <w:rPr>
                <w:rFonts w:ascii="Times New Roman" w:hAnsi="Times New Roman" w:eastAsia="Calibri"/>
                <w:b/>
                <w:bCs/>
                <w:sz w:val="18"/>
                <w:szCs w:val="18"/>
              </w:rPr>
              <w:t xml:space="preserve"> </w:t>
            </w:r>
            <w:r>
              <w:rPr>
                <w:rFonts w:ascii="Times New Roman" w:hAnsi="Times New Roman" w:eastAsia="Calibri"/>
                <w:b/>
                <w:bCs/>
                <w:sz w:val="18"/>
                <w:szCs w:val="18"/>
              </w:rPr>
              <w:t xml:space="preserve">(GS-13, Step 1) </w:t>
            </w:r>
            <w:r w:rsidRPr="00526ADC">
              <w:rPr>
                <w:rFonts w:ascii="Times New Roman" w:hAnsi="Times New Roman" w:eastAsia="Calibri"/>
                <w:b/>
                <w:bCs/>
                <w:sz w:val="18"/>
                <w:szCs w:val="18"/>
              </w:rPr>
              <w:t>x $</w:t>
            </w:r>
            <w:r>
              <w:rPr>
                <w:rFonts w:ascii="Times New Roman" w:hAnsi="Times New Roman" w:eastAsia="Calibri"/>
                <w:b/>
                <w:bCs/>
                <w:sz w:val="18"/>
                <w:szCs w:val="18"/>
              </w:rPr>
              <w:t>78,681</w:t>
            </w:r>
            <w:r w:rsidRPr="00526ADC">
              <w:rPr>
                <w:rFonts w:ascii="Times New Roman" w:hAnsi="Times New Roman" w:eastAsia="Calibri"/>
                <w:b/>
                <w:bCs/>
                <w:sz w:val="18"/>
                <w:szCs w:val="18"/>
              </w:rPr>
              <w:t>.00 = $</w:t>
            </w:r>
            <w:r>
              <w:rPr>
                <w:rFonts w:ascii="Times New Roman" w:hAnsi="Times New Roman" w:eastAsia="Calibri"/>
                <w:b/>
                <w:bCs/>
                <w:sz w:val="18"/>
                <w:szCs w:val="18"/>
              </w:rPr>
              <w:t>472,086</w:t>
            </w:r>
            <w:r w:rsidRPr="00526ADC">
              <w:rPr>
                <w:rFonts w:ascii="Times New Roman" w:hAnsi="Times New Roman" w:eastAsia="Calibri"/>
                <w:b/>
                <w:bCs/>
                <w:sz w:val="18"/>
                <w:szCs w:val="18"/>
              </w:rPr>
              <w:t>.00 x 1.46 (wage rate multiplier) = $</w:t>
            </w:r>
            <w:r>
              <w:rPr>
                <w:rFonts w:ascii="Times New Roman" w:hAnsi="Times New Roman" w:eastAsia="Calibri"/>
                <w:b/>
                <w:bCs/>
                <w:sz w:val="18"/>
                <w:szCs w:val="18"/>
              </w:rPr>
              <w:t>689,245.56</w:t>
            </w:r>
            <w:r w:rsidRPr="00526ADC">
              <w:rPr>
                <w:rFonts w:ascii="Times New Roman" w:hAnsi="Times New Roman" w:eastAsia="Calibri"/>
                <w:b/>
                <w:bCs/>
                <w:sz w:val="18"/>
                <w:szCs w:val="18"/>
              </w:rPr>
              <w:t xml:space="preserve"> (fully loaded) x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xml:space="preserve">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of time spent) = $</w:t>
            </w:r>
            <w:r w:rsidR="002822B5">
              <w:rPr>
                <w:rFonts w:ascii="Times New Roman" w:hAnsi="Times New Roman" w:eastAsia="Calibri"/>
                <w:b/>
                <w:bCs/>
                <w:sz w:val="18"/>
                <w:szCs w:val="18"/>
              </w:rPr>
              <w:t>258,467.10</w:t>
            </w:r>
          </w:p>
          <w:p w:rsidR="003C4699" w:rsidP="003C4699" w:rsidRDefault="003C4699" w14:paraId="258F9693" w14:textId="77777777">
            <w:pPr>
              <w:rPr>
                <w:rFonts w:ascii="Times New Roman" w:hAnsi="Times New Roman" w:eastAsia="Calibri"/>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xml:space="preserve">[ </w:t>
            </w:r>
            <w:r>
              <w:rPr>
                <w:rFonts w:ascii="Times New Roman" w:hAnsi="Times New Roman" w:eastAsia="Calibri"/>
                <w:b/>
                <w:bCs/>
                <w:sz w:val="18"/>
                <w:szCs w:val="18"/>
                <w:u w:val="single"/>
              </w:rPr>
              <w:t xml:space="preserve">6 </w:t>
            </w:r>
            <w:r w:rsidRPr="000646B7">
              <w:rPr>
                <w:rFonts w:ascii="Times New Roman" w:hAnsi="Times New Roman" w:eastAsia="Calibri"/>
                <w:b/>
                <w:bCs/>
                <w:sz w:val="18"/>
                <w:szCs w:val="18"/>
              </w:rPr>
              <w:t xml:space="preserve">of GS </w:t>
            </w:r>
            <w:r>
              <w:rPr>
                <w:rFonts w:ascii="Times New Roman" w:hAnsi="Times New Roman" w:eastAsia="Calibri"/>
                <w:b/>
                <w:bCs/>
                <w:sz w:val="18"/>
                <w:szCs w:val="18"/>
                <w:u w:val="single"/>
              </w:rPr>
              <w:t>12</w:t>
            </w:r>
            <w:r w:rsidRPr="000646B7">
              <w:rPr>
                <w:rFonts w:ascii="Times New Roman" w:hAnsi="Times New Roman" w:eastAsia="Calibri"/>
                <w:b/>
                <w:bCs/>
                <w:sz w:val="18"/>
                <w:szCs w:val="18"/>
              </w:rPr>
              <w:t>, step</w:t>
            </w:r>
            <w:r>
              <w:rPr>
                <w:rFonts w:ascii="Times New Roman" w:hAnsi="Times New Roman" w:eastAsia="Calibri"/>
                <w:b/>
                <w:bCs/>
                <w:sz w:val="18"/>
                <w:szCs w:val="18"/>
              </w:rPr>
              <w:t xml:space="preserve"> </w:t>
            </w:r>
            <w:r>
              <w:rPr>
                <w:rFonts w:ascii="Times New Roman" w:hAnsi="Times New Roman" w:eastAsia="Calibri"/>
                <w:b/>
                <w:bCs/>
                <w:sz w:val="18"/>
                <w:szCs w:val="18"/>
                <w:u w:val="single"/>
              </w:rPr>
              <w:t>1</w:t>
            </w:r>
            <w:r w:rsidRPr="000646B7">
              <w:rPr>
                <w:rFonts w:ascii="Times New Roman" w:hAnsi="Times New Roman" w:eastAsia="Calibri"/>
                <w:b/>
                <w:bCs/>
                <w:sz w:val="18"/>
                <w:szCs w:val="18"/>
              </w:rPr>
              <w:t xml:space="preserve"> employees spending approximately </w:t>
            </w:r>
            <w:r w:rsidR="00182C21">
              <w:rPr>
                <w:rFonts w:ascii="Times New Roman" w:hAnsi="Times New Roman" w:eastAsia="Calibri"/>
                <w:b/>
                <w:bCs/>
                <w:sz w:val="18"/>
                <w:szCs w:val="18"/>
                <w:u w:val="single"/>
              </w:rPr>
              <w:t>37.5</w:t>
            </w:r>
            <w:r w:rsidRPr="000646B7">
              <w:rPr>
                <w:rFonts w:ascii="Times New Roman" w:hAnsi="Times New Roman" w:eastAsia="Calibri"/>
                <w:b/>
                <w:bCs/>
                <w:sz w:val="18"/>
                <w:szCs w:val="18"/>
              </w:rPr>
              <w:t>% of time annually</w:t>
            </w:r>
            <w:r w:rsidRPr="00AA5516">
              <w:rPr>
                <w:rFonts w:ascii="Times New Roman" w:hAnsi="Times New Roman" w:eastAsia="Calibri"/>
              </w:rPr>
              <w:t xml:space="preserve"> </w:t>
            </w:r>
          </w:p>
          <w:p w:rsidRPr="00AA5516" w:rsidR="00533CC9" w:rsidP="003C4699" w:rsidRDefault="003C4699" w14:paraId="1090447F" w14:textId="77777777">
            <w:pPr>
              <w:rPr>
                <w:rFonts w:ascii="Times New Roman" w:hAnsi="Times New Roman" w:eastAsia="Calibri"/>
              </w:rPr>
            </w:pPr>
            <w:r>
              <w:rPr>
                <w:rFonts w:ascii="Times New Roman" w:hAnsi="Times New Roman" w:eastAsia="Calibri"/>
                <w:b/>
                <w:bCs/>
                <w:sz w:val="18"/>
                <w:szCs w:val="18"/>
              </w:rPr>
              <w:t>6</w:t>
            </w:r>
            <w:r w:rsidRPr="00526ADC">
              <w:rPr>
                <w:rFonts w:ascii="Times New Roman" w:hAnsi="Times New Roman" w:eastAsia="Calibri"/>
                <w:b/>
                <w:bCs/>
                <w:sz w:val="18"/>
                <w:szCs w:val="18"/>
              </w:rPr>
              <w:t xml:space="preserve"> </w:t>
            </w:r>
            <w:r>
              <w:rPr>
                <w:rFonts w:ascii="Times New Roman" w:hAnsi="Times New Roman" w:eastAsia="Calibri"/>
                <w:b/>
                <w:bCs/>
                <w:sz w:val="18"/>
                <w:szCs w:val="18"/>
              </w:rPr>
              <w:t xml:space="preserve">(GS-15, Step 1) </w:t>
            </w:r>
            <w:r w:rsidRPr="00526ADC">
              <w:rPr>
                <w:rFonts w:ascii="Times New Roman" w:hAnsi="Times New Roman" w:eastAsia="Calibri"/>
                <w:b/>
                <w:bCs/>
                <w:sz w:val="18"/>
                <w:szCs w:val="18"/>
              </w:rPr>
              <w:t>x $</w:t>
            </w:r>
            <w:r>
              <w:rPr>
                <w:rFonts w:ascii="Times New Roman" w:hAnsi="Times New Roman" w:eastAsia="Calibri"/>
                <w:b/>
                <w:bCs/>
                <w:sz w:val="18"/>
                <w:szCs w:val="18"/>
              </w:rPr>
              <w:t>66,167</w:t>
            </w:r>
            <w:r w:rsidRPr="00526ADC">
              <w:rPr>
                <w:rFonts w:ascii="Times New Roman" w:hAnsi="Times New Roman" w:eastAsia="Calibri"/>
                <w:b/>
                <w:bCs/>
                <w:sz w:val="18"/>
                <w:szCs w:val="18"/>
              </w:rPr>
              <w:t>.00 = $</w:t>
            </w:r>
            <w:r>
              <w:rPr>
                <w:rFonts w:ascii="Times New Roman" w:hAnsi="Times New Roman" w:eastAsia="Calibri"/>
                <w:b/>
                <w:bCs/>
                <w:sz w:val="18"/>
                <w:szCs w:val="18"/>
              </w:rPr>
              <w:t>397,002</w:t>
            </w:r>
            <w:r w:rsidRPr="00526ADC">
              <w:rPr>
                <w:rFonts w:ascii="Times New Roman" w:hAnsi="Times New Roman" w:eastAsia="Calibri"/>
                <w:b/>
                <w:bCs/>
                <w:sz w:val="18"/>
                <w:szCs w:val="18"/>
              </w:rPr>
              <w:t>.00 x 1.46 (wage rate multiplier) = $</w:t>
            </w:r>
            <w:r>
              <w:rPr>
                <w:rFonts w:ascii="Times New Roman" w:hAnsi="Times New Roman" w:eastAsia="Calibri"/>
                <w:b/>
                <w:bCs/>
                <w:sz w:val="18"/>
                <w:szCs w:val="18"/>
              </w:rPr>
              <w:t>579,622.92</w:t>
            </w:r>
            <w:r w:rsidRPr="00526ADC">
              <w:rPr>
                <w:rFonts w:ascii="Times New Roman" w:hAnsi="Times New Roman" w:eastAsia="Calibri"/>
                <w:b/>
                <w:bCs/>
                <w:sz w:val="18"/>
                <w:szCs w:val="18"/>
              </w:rPr>
              <w:t xml:space="preserve"> (fully loaded) x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xml:space="preserve"> (</w:t>
            </w:r>
            <w:r w:rsidR="00182C21">
              <w:rPr>
                <w:rFonts w:ascii="Times New Roman" w:hAnsi="Times New Roman" w:eastAsia="Calibri"/>
                <w:b/>
                <w:bCs/>
                <w:sz w:val="18"/>
                <w:szCs w:val="18"/>
              </w:rPr>
              <w:t>37.5</w:t>
            </w:r>
            <w:r w:rsidRPr="00526ADC">
              <w:rPr>
                <w:rFonts w:ascii="Times New Roman" w:hAnsi="Times New Roman" w:eastAsia="Calibri"/>
                <w:b/>
                <w:bCs/>
                <w:sz w:val="18"/>
                <w:szCs w:val="18"/>
              </w:rPr>
              <w:t>% of time spent) = $</w:t>
            </w:r>
            <w:r w:rsidR="002822B5">
              <w:rPr>
                <w:rFonts w:ascii="Times New Roman" w:hAnsi="Times New Roman" w:eastAsia="Calibri"/>
                <w:b/>
                <w:bCs/>
                <w:sz w:val="18"/>
                <w:szCs w:val="18"/>
              </w:rPr>
              <w:t>217,358.60</w:t>
            </w:r>
          </w:p>
        </w:tc>
        <w:tc>
          <w:tcPr>
            <w:tcW w:w="1518" w:type="dxa"/>
            <w:noWrap/>
          </w:tcPr>
          <w:p w:rsidRPr="000646B7" w:rsidR="000646B7" w:rsidP="000646B7" w:rsidRDefault="000646B7" w14:paraId="09A06D5E"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w:t>
            </w:r>
            <w:r w:rsidR="002822B5">
              <w:rPr>
                <w:rFonts w:ascii="Times New Roman" w:hAnsi="Times New Roman" w:eastAsia="Calibri"/>
                <w:sz w:val="18"/>
                <w:szCs w:val="18"/>
              </w:rPr>
              <w:t>637,513.41</w:t>
            </w:r>
          </w:p>
        </w:tc>
      </w:tr>
      <w:tr w:rsidRPr="000646B7" w:rsidR="000646B7" w:rsidTr="00AA5516" w14:paraId="3C7E5BCE" w14:textId="77777777">
        <w:trPr>
          <w:trHeight w:val="270"/>
        </w:trPr>
        <w:tc>
          <w:tcPr>
            <w:tcW w:w="7680" w:type="dxa"/>
            <w:noWrap/>
          </w:tcPr>
          <w:p w:rsidRPr="000646B7" w:rsidR="000646B7" w:rsidP="000646B7" w:rsidRDefault="000646B7" w14:paraId="4215AF6C"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54F7AB95" w14:textId="77777777">
            <w:pPr>
              <w:rPr>
                <w:rFonts w:ascii="Times New Roman" w:hAnsi="Times New Roman" w:eastAsia="Calibri"/>
                <w:sz w:val="18"/>
                <w:szCs w:val="18"/>
              </w:rPr>
            </w:pPr>
            <w:r w:rsidRPr="000646B7">
              <w:rPr>
                <w:rFonts w:ascii="Times New Roman" w:hAnsi="Times New Roman" w:eastAsia="Calibri"/>
                <w:sz w:val="18"/>
                <w:szCs w:val="18"/>
              </w:rPr>
              <w:t> </w:t>
            </w:r>
            <w:r w:rsidR="003C4699">
              <w:rPr>
                <w:rFonts w:ascii="Times New Roman" w:hAnsi="Times New Roman" w:eastAsia="Calibri"/>
                <w:sz w:val="18"/>
                <w:szCs w:val="18"/>
              </w:rPr>
              <w:t>0.00</w:t>
            </w:r>
          </w:p>
        </w:tc>
      </w:tr>
      <w:tr w:rsidRPr="000646B7" w:rsidR="000646B7" w:rsidTr="00AA5516" w14:paraId="4E348497" w14:textId="77777777">
        <w:trPr>
          <w:trHeight w:val="240"/>
        </w:trPr>
        <w:tc>
          <w:tcPr>
            <w:tcW w:w="7680" w:type="dxa"/>
            <w:noWrap/>
          </w:tcPr>
          <w:p w:rsidRPr="000646B7" w:rsidR="000646B7" w:rsidP="000646B7" w:rsidRDefault="000646B7" w14:paraId="5694BE28"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234FF9F2" w14:textId="77777777">
            <w:pPr>
              <w:rPr>
                <w:rFonts w:ascii="Times New Roman" w:hAnsi="Times New Roman" w:eastAsia="Calibri"/>
                <w:sz w:val="18"/>
                <w:szCs w:val="18"/>
              </w:rPr>
            </w:pPr>
            <w:r w:rsidRPr="000646B7">
              <w:rPr>
                <w:rFonts w:ascii="Times New Roman" w:hAnsi="Times New Roman" w:eastAsia="Calibri"/>
                <w:sz w:val="18"/>
                <w:szCs w:val="18"/>
              </w:rPr>
              <w:t> </w:t>
            </w:r>
            <w:r w:rsidR="003C4699">
              <w:rPr>
                <w:rFonts w:ascii="Times New Roman" w:hAnsi="Times New Roman" w:eastAsia="Calibri"/>
                <w:sz w:val="18"/>
                <w:szCs w:val="18"/>
              </w:rPr>
              <w:t>0.00</w:t>
            </w:r>
          </w:p>
        </w:tc>
      </w:tr>
      <w:tr w:rsidRPr="000646B7" w:rsidR="000646B7" w:rsidTr="00AA5516" w14:paraId="0196AB0D" w14:textId="77777777">
        <w:trPr>
          <w:trHeight w:val="255"/>
        </w:trPr>
        <w:tc>
          <w:tcPr>
            <w:tcW w:w="7680" w:type="dxa"/>
            <w:noWrap/>
          </w:tcPr>
          <w:p w:rsidRPr="000646B7" w:rsidR="000646B7" w:rsidP="000646B7" w:rsidRDefault="000646B7" w14:paraId="4FCF803A"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66771612" w14:textId="77777777">
            <w:pPr>
              <w:rPr>
                <w:rFonts w:ascii="Times New Roman" w:hAnsi="Times New Roman" w:eastAsia="Calibri"/>
                <w:sz w:val="18"/>
                <w:szCs w:val="18"/>
              </w:rPr>
            </w:pPr>
            <w:r w:rsidRPr="000646B7">
              <w:rPr>
                <w:rFonts w:ascii="Times New Roman" w:hAnsi="Times New Roman" w:eastAsia="Calibri"/>
                <w:sz w:val="18"/>
                <w:szCs w:val="18"/>
              </w:rPr>
              <w:t> </w:t>
            </w:r>
            <w:r w:rsidR="003C4699">
              <w:rPr>
                <w:rFonts w:ascii="Times New Roman" w:hAnsi="Times New Roman" w:eastAsia="Calibri"/>
                <w:sz w:val="18"/>
                <w:szCs w:val="18"/>
              </w:rPr>
              <w:t>0.00</w:t>
            </w:r>
          </w:p>
        </w:tc>
      </w:tr>
      <w:tr w:rsidRPr="000646B7" w:rsidR="000646B7" w:rsidTr="00AA5516" w14:paraId="32255B67" w14:textId="77777777">
        <w:trPr>
          <w:trHeight w:val="255"/>
        </w:trPr>
        <w:tc>
          <w:tcPr>
            <w:tcW w:w="7680" w:type="dxa"/>
            <w:noWrap/>
          </w:tcPr>
          <w:p w:rsidRPr="000646B7" w:rsidR="000646B7" w:rsidP="000646B7" w:rsidRDefault="000646B7" w14:paraId="0C2CC487"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0646B7" w:rsidP="000646B7" w:rsidRDefault="000646B7" w14:paraId="2C7C285E" w14:textId="77777777">
            <w:pPr>
              <w:rPr>
                <w:rFonts w:ascii="Times New Roman" w:hAnsi="Times New Roman" w:eastAsia="Calibri"/>
                <w:sz w:val="18"/>
                <w:szCs w:val="18"/>
              </w:rPr>
            </w:pPr>
            <w:r w:rsidRPr="000646B7">
              <w:rPr>
                <w:rFonts w:ascii="Times New Roman" w:hAnsi="Times New Roman" w:eastAsia="Calibri"/>
                <w:sz w:val="18"/>
                <w:szCs w:val="18"/>
              </w:rPr>
              <w:t> </w:t>
            </w:r>
            <w:r w:rsidR="003C4699">
              <w:rPr>
                <w:rFonts w:ascii="Times New Roman" w:hAnsi="Times New Roman" w:eastAsia="Calibri"/>
                <w:sz w:val="18"/>
                <w:szCs w:val="18"/>
              </w:rPr>
              <w:t>0.00</w:t>
            </w:r>
          </w:p>
        </w:tc>
      </w:tr>
      <w:tr w:rsidRPr="000646B7" w:rsidR="000646B7" w:rsidTr="00AA5516" w14:paraId="2DF3B626" w14:textId="77777777">
        <w:trPr>
          <w:trHeight w:val="255"/>
        </w:trPr>
        <w:tc>
          <w:tcPr>
            <w:tcW w:w="7680" w:type="dxa"/>
            <w:noWrap/>
          </w:tcPr>
          <w:p w:rsidRPr="000646B7" w:rsidR="000646B7" w:rsidP="000646B7" w:rsidRDefault="000646B7" w14:paraId="5E3057EB"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7FA9BE3A" w14:textId="77777777">
            <w:pPr>
              <w:rPr>
                <w:rFonts w:ascii="Times New Roman" w:hAnsi="Times New Roman" w:eastAsia="Calibri"/>
                <w:sz w:val="18"/>
                <w:szCs w:val="18"/>
              </w:rPr>
            </w:pPr>
            <w:r w:rsidRPr="000646B7">
              <w:rPr>
                <w:rFonts w:ascii="Times New Roman" w:hAnsi="Times New Roman" w:eastAsia="Calibri"/>
                <w:sz w:val="18"/>
                <w:szCs w:val="18"/>
              </w:rPr>
              <w:t> </w:t>
            </w:r>
            <w:r w:rsidR="003C4699">
              <w:rPr>
                <w:rFonts w:ascii="Times New Roman" w:hAnsi="Times New Roman" w:eastAsia="Calibri"/>
                <w:sz w:val="18"/>
                <w:szCs w:val="18"/>
              </w:rPr>
              <w:t>0.00</w:t>
            </w:r>
          </w:p>
        </w:tc>
      </w:tr>
      <w:tr w:rsidRPr="000646B7" w:rsidR="000646B7" w:rsidTr="00AA5516" w14:paraId="4857CD13" w14:textId="77777777">
        <w:trPr>
          <w:trHeight w:val="255"/>
        </w:trPr>
        <w:tc>
          <w:tcPr>
            <w:tcW w:w="7680" w:type="dxa"/>
            <w:noWrap/>
          </w:tcPr>
          <w:p w:rsidRPr="000646B7" w:rsidR="000646B7" w:rsidP="000646B7" w:rsidRDefault="000646B7" w14:paraId="799FAC0A"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7D97EC79" w14:textId="77777777">
            <w:pPr>
              <w:rPr>
                <w:rFonts w:ascii="Times New Roman" w:hAnsi="Times New Roman" w:eastAsia="Calibri"/>
                <w:sz w:val="18"/>
                <w:szCs w:val="18"/>
              </w:rPr>
            </w:pPr>
            <w:r w:rsidRPr="000646B7">
              <w:rPr>
                <w:rFonts w:ascii="Times New Roman" w:hAnsi="Times New Roman" w:eastAsia="Calibri"/>
                <w:sz w:val="18"/>
                <w:szCs w:val="18"/>
              </w:rPr>
              <w:t> </w:t>
            </w:r>
            <w:r w:rsidR="003C4699">
              <w:rPr>
                <w:rFonts w:ascii="Times New Roman" w:hAnsi="Times New Roman" w:eastAsia="Calibri"/>
                <w:sz w:val="18"/>
                <w:szCs w:val="18"/>
              </w:rPr>
              <w:t>0.00</w:t>
            </w:r>
          </w:p>
        </w:tc>
      </w:tr>
      <w:tr w:rsidRPr="000646B7" w:rsidR="000646B7" w:rsidTr="00AA5516" w14:paraId="6B8E9635" w14:textId="77777777">
        <w:trPr>
          <w:trHeight w:val="255"/>
        </w:trPr>
        <w:tc>
          <w:tcPr>
            <w:tcW w:w="7680" w:type="dxa"/>
            <w:noWrap/>
          </w:tcPr>
          <w:p w:rsidRPr="000646B7" w:rsidR="000646B7" w:rsidP="000646B7" w:rsidRDefault="000646B7" w14:paraId="6B633A20"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58B9D0DD" w14:textId="77777777">
            <w:pPr>
              <w:rPr>
                <w:rFonts w:ascii="Times New Roman" w:hAnsi="Times New Roman" w:eastAsia="Calibri"/>
                <w:sz w:val="18"/>
                <w:szCs w:val="18"/>
              </w:rPr>
            </w:pPr>
            <w:r w:rsidRPr="000646B7">
              <w:rPr>
                <w:rFonts w:ascii="Times New Roman" w:hAnsi="Times New Roman" w:eastAsia="Calibri"/>
                <w:sz w:val="18"/>
                <w:szCs w:val="18"/>
              </w:rPr>
              <w:t> </w:t>
            </w:r>
            <w:r w:rsidR="003C4699">
              <w:rPr>
                <w:rFonts w:ascii="Times New Roman" w:hAnsi="Times New Roman" w:eastAsia="Calibri"/>
                <w:sz w:val="18"/>
                <w:szCs w:val="18"/>
              </w:rPr>
              <w:t>0.00</w:t>
            </w:r>
          </w:p>
        </w:tc>
      </w:tr>
      <w:tr w:rsidRPr="000646B7" w:rsidR="000646B7" w:rsidTr="00AA5516" w14:paraId="68BF8A16" w14:textId="77777777">
        <w:trPr>
          <w:trHeight w:val="270"/>
        </w:trPr>
        <w:tc>
          <w:tcPr>
            <w:tcW w:w="7680" w:type="dxa"/>
            <w:noWrap/>
          </w:tcPr>
          <w:p w:rsidRPr="000646B7" w:rsidR="000646B7" w:rsidP="000646B7" w:rsidRDefault="000646B7" w14:paraId="58256CFC"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2ED2D198" w14:textId="77777777">
            <w:pPr>
              <w:rPr>
                <w:rFonts w:ascii="Times New Roman" w:hAnsi="Times New Roman" w:eastAsia="Calibri"/>
                <w:b/>
                <w:bCs/>
                <w:sz w:val="18"/>
                <w:szCs w:val="18"/>
              </w:rPr>
            </w:pPr>
            <w:r w:rsidRPr="000646B7">
              <w:rPr>
                <w:rFonts w:ascii="Times New Roman" w:hAnsi="Times New Roman" w:eastAsia="Calibri"/>
                <w:b/>
                <w:bCs/>
                <w:sz w:val="18"/>
                <w:szCs w:val="18"/>
              </w:rPr>
              <w:t>$</w:t>
            </w:r>
            <w:r w:rsidR="002822B5">
              <w:rPr>
                <w:rFonts w:ascii="Times New Roman" w:hAnsi="Times New Roman" w:eastAsia="Calibri"/>
                <w:b/>
                <w:bCs/>
                <w:sz w:val="18"/>
                <w:szCs w:val="18"/>
              </w:rPr>
              <w:t>637,513.41</w:t>
            </w:r>
          </w:p>
        </w:tc>
      </w:tr>
    </w:tbl>
    <w:p w:rsidRPr="000646B7" w:rsidR="000646B7" w:rsidP="000646B7" w:rsidRDefault="000646B7" w14:paraId="17214DFA"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Pr="0085730B" w:rsidR="003C4699" w:rsidP="003C4699" w:rsidRDefault="003C4699" w14:paraId="73B93D71" w14:textId="313913A9">
      <w:pPr>
        <w:spacing w:after="160" w:line="252" w:lineRule="auto"/>
        <w:rPr>
          <w:rFonts w:ascii="Times New Roman" w:hAnsi="Times New Roman"/>
          <w:sz w:val="24"/>
          <w:szCs w:val="24"/>
        </w:rPr>
      </w:pPr>
      <w:r w:rsidRPr="0085730B">
        <w:rPr>
          <w:rFonts w:ascii="Times New Roman" w:hAnsi="Times New Roman"/>
          <w:sz w:val="24"/>
          <w:szCs w:val="24"/>
        </w:rPr>
        <w:t>According to the U.S. OPM Pay &amp; Leave GS Schedules website (https://www.opm.gov/policy-data-oversight/pay-leave/salaries-wages/salary-tables/pdf/2020/GS.pdf)</w:t>
      </w:r>
      <w:r w:rsidR="00F95AF0">
        <w:rPr>
          <w:rFonts w:ascii="Times New Roman" w:hAnsi="Times New Roman"/>
          <w:sz w:val="24"/>
          <w:szCs w:val="24"/>
        </w:rPr>
        <w:t>,</w:t>
      </w:r>
      <w:r w:rsidRPr="0085730B">
        <w:rPr>
          <w:rFonts w:ascii="Times New Roman" w:hAnsi="Times New Roman"/>
          <w:sz w:val="24"/>
          <w:szCs w:val="24"/>
        </w:rPr>
        <w:t xml:space="preserve"> the median wage rate category for GS-15</w:t>
      </w:r>
      <w:r w:rsidRPr="0085730B" w:rsidR="00D16ACA">
        <w:rPr>
          <w:rFonts w:ascii="Times New Roman" w:hAnsi="Times New Roman"/>
          <w:sz w:val="24"/>
          <w:szCs w:val="24"/>
        </w:rPr>
        <w:t xml:space="preserve">, Step 1 is estimated to be </w:t>
      </w:r>
      <w:r w:rsidRPr="0085730B">
        <w:rPr>
          <w:rFonts w:ascii="Times New Roman" w:hAnsi="Times New Roman"/>
          <w:sz w:val="24"/>
          <w:szCs w:val="24"/>
        </w:rPr>
        <w:t>$</w:t>
      </w:r>
      <w:r w:rsidRPr="0085730B" w:rsidR="00D16ACA">
        <w:rPr>
          <w:rFonts w:ascii="Times New Roman" w:hAnsi="Times New Roman"/>
          <w:sz w:val="24"/>
          <w:szCs w:val="24"/>
        </w:rPr>
        <w:t>52.40</w:t>
      </w:r>
      <w:r w:rsidRPr="0085730B">
        <w:rPr>
          <w:rFonts w:ascii="Times New Roman" w:hAnsi="Times New Roman"/>
          <w:sz w:val="24"/>
          <w:szCs w:val="24"/>
        </w:rPr>
        <w:t xml:space="preserve"> (hourly wage rate) x 1.46 (the wage rate multiplier) =$</w:t>
      </w:r>
      <w:r w:rsidRPr="0085730B" w:rsidR="00D16ACA">
        <w:rPr>
          <w:rFonts w:ascii="Times New Roman" w:hAnsi="Times New Roman"/>
          <w:sz w:val="24"/>
          <w:szCs w:val="24"/>
        </w:rPr>
        <w:t>76.50</w:t>
      </w:r>
      <w:r w:rsidRPr="0085730B">
        <w:rPr>
          <w:rFonts w:ascii="Times New Roman" w:hAnsi="Times New Roman"/>
          <w:sz w:val="24"/>
          <w:szCs w:val="24"/>
        </w:rPr>
        <w:t xml:space="preserve"> (fully loaded wage rate)</w:t>
      </w:r>
      <w:r w:rsidRPr="0085730B" w:rsidR="00B47113">
        <w:rPr>
          <w:rFonts w:ascii="Times New Roman" w:hAnsi="Times New Roman"/>
          <w:sz w:val="24"/>
          <w:szCs w:val="24"/>
        </w:rPr>
        <w:t>; GS-14, Step 1 is estimated to be $44.55 (hourly wage rate) x 1.46 (the wage rate multiplier) =$65.04 (fully loaded wage rate); GS-13, Step 1 is estimated to be $37.70 (hourly wage rate) x 1.46 (the wage rate multiplier) =$55.04 (fully loaded wage rate); and GS-12, Step 1 is estimated to be $31.70 (hourly wage rate) x 1.46 (the wage rate multiplier) =$46.28 (fully loaded wage rate).</w:t>
      </w:r>
      <w:r w:rsidRPr="0085730B" w:rsidR="00F2110D">
        <w:rPr>
          <w:rFonts w:ascii="Times New Roman" w:hAnsi="Times New Roman"/>
          <w:sz w:val="24"/>
          <w:szCs w:val="24"/>
        </w:rPr>
        <w:t xml:space="preserve"> </w:t>
      </w:r>
      <w:r w:rsidRPr="0085730B" w:rsidR="00DA3899">
        <w:rPr>
          <w:rFonts w:ascii="Times New Roman" w:hAnsi="Times New Roman"/>
          <w:sz w:val="24"/>
          <w:szCs w:val="24"/>
        </w:rPr>
        <w:t>It is estimated that employees will spend about 37.5% of their time annually working on this form</w:t>
      </w:r>
      <w:r w:rsidRPr="0085730B" w:rsidR="007B54D5">
        <w:rPr>
          <w:rFonts w:ascii="Times New Roman" w:hAnsi="Times New Roman"/>
          <w:sz w:val="24"/>
          <w:szCs w:val="24"/>
        </w:rPr>
        <w:t>.</w:t>
      </w:r>
    </w:p>
    <w:p w:rsidRPr="00C879B4" w:rsidR="00D35DDB" w:rsidP="00FA2F70" w:rsidRDefault="00D35DDB" w14:paraId="24771F26"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881CA1" w14:paraId="21B98985" w14:textId="77777777">
        <w:trPr>
          <w:trHeight w:val="3420"/>
        </w:trPr>
        <w:tc>
          <w:tcPr>
            <w:tcW w:w="9252" w:type="dxa"/>
            <w:shd w:val="clear" w:color="auto" w:fill="auto"/>
          </w:tcPr>
          <w:p w:rsidR="0021340A" w:rsidP="001B4FB5" w:rsidRDefault="0021340A" w14:paraId="630E82B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r w:rsidR="001A7EF4">
              <w:rPr>
                <w:rFonts w:ascii="Times New Roman" w:hAnsi="Times New Roman"/>
                <w:b/>
                <w:color w:val="000000"/>
                <w:sz w:val="24"/>
                <w:szCs w:val="24"/>
              </w:rPr>
              <w:t>All revisions or changes to the collection should be described here.</w:t>
            </w:r>
          </w:p>
          <w:p w:rsidR="009D4F91" w:rsidP="001B4FB5" w:rsidRDefault="009D4F91" w14:paraId="3EB9B96A" w14:textId="77777777">
            <w:pPr>
              <w:spacing w:after="0" w:line="240" w:lineRule="auto"/>
              <w:rPr>
                <w:rFonts w:ascii="Times New Roman" w:hAnsi="Times New Roman"/>
                <w:b/>
                <w:color w:val="000000"/>
                <w:sz w:val="24"/>
                <w:szCs w:val="24"/>
              </w:rPr>
            </w:pPr>
          </w:p>
          <w:p w:rsidR="00260511" w:rsidP="009D4F91" w:rsidRDefault="009D4F91" w14:paraId="33E4462C" w14:textId="59978131">
            <w:pPr>
              <w:spacing w:after="0" w:line="240" w:lineRule="auto"/>
              <w:ind w:left="-15"/>
              <w:rPr>
                <w:rFonts w:ascii="Times New Roman" w:hAnsi="Times New Roman"/>
                <w:sz w:val="24"/>
                <w:szCs w:val="24"/>
              </w:rPr>
            </w:pPr>
            <w:r w:rsidRPr="008F2514">
              <w:rPr>
                <w:rFonts w:ascii="Times New Roman" w:hAnsi="Times New Roman"/>
                <w:sz w:val="24"/>
                <w:szCs w:val="24"/>
              </w:rPr>
              <w:t>This is a request for a r</w:t>
            </w:r>
            <w:r w:rsidRPr="00426A0E" w:rsidR="00426A0E">
              <w:rPr>
                <w:rFonts w:ascii="Times New Roman" w:hAnsi="Times New Roman"/>
                <w:sz w:val="24"/>
                <w:szCs w:val="24"/>
              </w:rPr>
              <w:t>evision of a currently approved collection</w:t>
            </w:r>
            <w:r w:rsidRPr="008F2514">
              <w:rPr>
                <w:rFonts w:ascii="Times New Roman" w:hAnsi="Times New Roman"/>
                <w:sz w:val="24"/>
                <w:szCs w:val="24"/>
              </w:rPr>
              <w:t xml:space="preserve">.  The numbers of respondents, responses, and associated burden hours for the application to become a HUD-approved </w:t>
            </w:r>
            <w:r w:rsidR="004D051E">
              <w:rPr>
                <w:rFonts w:ascii="Times New Roman" w:hAnsi="Times New Roman"/>
                <w:sz w:val="24"/>
                <w:szCs w:val="24"/>
              </w:rPr>
              <w:t>HCA</w:t>
            </w:r>
            <w:r w:rsidRPr="008F2514">
              <w:rPr>
                <w:rFonts w:ascii="Times New Roman" w:hAnsi="Times New Roman"/>
                <w:sz w:val="24"/>
                <w:szCs w:val="24"/>
              </w:rPr>
              <w:t xml:space="preserve"> have changed since the last OMB approval due to the </w:t>
            </w:r>
            <w:r w:rsidR="00632498">
              <w:rPr>
                <w:rFonts w:ascii="Times New Roman" w:hAnsi="Times New Roman"/>
                <w:sz w:val="24"/>
                <w:szCs w:val="24"/>
              </w:rPr>
              <w:t>passage of the Dodd-Frank</w:t>
            </w:r>
            <w:r w:rsidR="00BB67BE">
              <w:rPr>
                <w:rFonts w:ascii="Times New Roman" w:hAnsi="Times New Roman"/>
                <w:sz w:val="24"/>
                <w:szCs w:val="24"/>
              </w:rPr>
              <w:t xml:space="preserve"> Wall Street Reform and Consumer Protection Act (Pub. L. No. </w:t>
            </w:r>
            <w:r w:rsidR="00B50EDC">
              <w:rPr>
                <w:rFonts w:ascii="Times New Roman" w:hAnsi="Times New Roman"/>
                <w:sz w:val="24"/>
                <w:szCs w:val="24"/>
              </w:rPr>
              <w:t>111-203, 124 Stat. 1376, approved July 21, 2010</w:t>
            </w:r>
            <w:r w:rsidR="0035714E">
              <w:rPr>
                <w:rFonts w:ascii="Times New Roman" w:hAnsi="Times New Roman"/>
                <w:sz w:val="24"/>
                <w:szCs w:val="24"/>
              </w:rPr>
              <w:t>)</w:t>
            </w:r>
            <w:r w:rsidR="002C2A78">
              <w:rPr>
                <w:rFonts w:ascii="Times New Roman" w:hAnsi="Times New Roman"/>
                <w:sz w:val="24"/>
                <w:szCs w:val="24"/>
              </w:rPr>
              <w:t xml:space="preserve"> (Dodd-Frank) </w:t>
            </w:r>
            <w:r w:rsidRPr="008F2514">
              <w:rPr>
                <w:rFonts w:ascii="Times New Roman" w:hAnsi="Times New Roman"/>
                <w:sz w:val="24"/>
                <w:szCs w:val="24"/>
              </w:rPr>
              <w:t xml:space="preserve">and the subsequent Housing Counseling: New Certification Requirements Final Rule released </w:t>
            </w:r>
            <w:r w:rsidR="002F4230">
              <w:rPr>
                <w:rFonts w:ascii="Times New Roman" w:hAnsi="Times New Roman"/>
                <w:sz w:val="24"/>
                <w:szCs w:val="24"/>
              </w:rPr>
              <w:t xml:space="preserve">on </w:t>
            </w:r>
            <w:r w:rsidRPr="008F2514">
              <w:rPr>
                <w:rFonts w:ascii="Times New Roman" w:hAnsi="Times New Roman"/>
                <w:sz w:val="24"/>
                <w:szCs w:val="24"/>
              </w:rPr>
              <w:t xml:space="preserve">December 14, 2016.  Section 106 of the Housing and Urban Development Act of 1968 (12 U.S.C. 1701x) (Section 106) was amended by Subtitle D of title XIV of Dodd-Frank to strengthen and improve the effectiveness of housing counseling that is required under or provided in connection with HUD programs (Section 106 amendments). </w:t>
            </w:r>
          </w:p>
          <w:p w:rsidR="00260511" w:rsidP="009D4F91" w:rsidRDefault="00260511" w14:paraId="5427D09C" w14:textId="77777777">
            <w:pPr>
              <w:spacing w:after="0" w:line="240" w:lineRule="auto"/>
              <w:ind w:left="-15"/>
              <w:rPr>
                <w:rFonts w:ascii="Times New Roman" w:hAnsi="Times New Roman"/>
                <w:sz w:val="24"/>
                <w:szCs w:val="24"/>
              </w:rPr>
            </w:pPr>
          </w:p>
          <w:p w:rsidRPr="008F2514" w:rsidR="009D4F91" w:rsidP="009D4F91" w:rsidRDefault="009D4F91" w14:paraId="760AF8E9" w14:textId="7A986B0A">
            <w:pPr>
              <w:spacing w:after="0" w:line="240" w:lineRule="auto"/>
              <w:ind w:left="-15"/>
              <w:rPr>
                <w:rFonts w:ascii="Times New Roman" w:hAnsi="Times New Roman"/>
                <w:sz w:val="24"/>
                <w:szCs w:val="24"/>
              </w:rPr>
            </w:pPr>
            <w:r w:rsidRPr="008F2514">
              <w:rPr>
                <w:rFonts w:ascii="Times New Roman" w:hAnsi="Times New Roman"/>
                <w:sz w:val="24"/>
                <w:szCs w:val="24"/>
              </w:rPr>
              <w:lastRenderedPageBreak/>
              <w:t>Specifically, the Section 106 amendments were enacted for the purpose of improving, by the following, the quality, consistency, and effectiveness of housing counseling delivered to consumers: (1) Establishing within HUD the OHC and vesting in that office responsibility for all activities and matters related to housing counseling under all programs and laws administered by HUD; (2) defining certain terms related to housing counseling for purposes of clarity and consistency; (3) requiring that the individuals providing housing counseling required under or provided in connection with HUD programs be certified by taking and passing an examination administered by HUD’s OHC (HUD</w:t>
            </w:r>
            <w:r w:rsidR="00421206">
              <w:rPr>
                <w:rFonts w:ascii="Times New Roman" w:hAnsi="Times New Roman"/>
                <w:sz w:val="24"/>
                <w:szCs w:val="24"/>
              </w:rPr>
              <w:t>-</w:t>
            </w:r>
            <w:r w:rsidRPr="008F2514">
              <w:rPr>
                <w:rFonts w:ascii="Times New Roman" w:hAnsi="Times New Roman"/>
                <w:sz w:val="24"/>
                <w:szCs w:val="24"/>
              </w:rPr>
              <w:t xml:space="preserve">certified housing counselors); (4) requiring that all housing counseling required under or provided in connection with HUD programs (Other HUD Programs) be provided by agencies approved to participate in HUD’s Housing Counseling </w:t>
            </w:r>
            <w:r w:rsidR="002B1853">
              <w:rPr>
                <w:rFonts w:ascii="Times New Roman" w:hAnsi="Times New Roman"/>
                <w:sz w:val="24"/>
                <w:szCs w:val="24"/>
              </w:rPr>
              <w:t>P</w:t>
            </w:r>
            <w:r w:rsidRPr="008F2514">
              <w:rPr>
                <w:rFonts w:ascii="Times New Roman" w:hAnsi="Times New Roman"/>
                <w:sz w:val="24"/>
                <w:szCs w:val="24"/>
              </w:rPr>
              <w:t xml:space="preserve">rogram, referred to as HCAs; and (5) placing new requirements on the distribution and use of housing counseling grant funds awarded to HCAs. This </w:t>
            </w:r>
            <w:r w:rsidR="001F1D24">
              <w:rPr>
                <w:rFonts w:ascii="Times New Roman" w:hAnsi="Times New Roman"/>
                <w:sz w:val="24"/>
                <w:szCs w:val="24"/>
              </w:rPr>
              <w:t>F</w:t>
            </w:r>
            <w:r w:rsidRPr="008F2514">
              <w:rPr>
                <w:rFonts w:ascii="Times New Roman" w:hAnsi="Times New Roman"/>
                <w:sz w:val="24"/>
                <w:szCs w:val="24"/>
              </w:rPr>
              <w:t xml:space="preserve">inal </w:t>
            </w:r>
            <w:r w:rsidR="00084EA2">
              <w:rPr>
                <w:rFonts w:ascii="Times New Roman" w:hAnsi="Times New Roman"/>
                <w:sz w:val="24"/>
                <w:szCs w:val="24"/>
              </w:rPr>
              <w:t>R</w:t>
            </w:r>
            <w:r w:rsidRPr="008F2514">
              <w:rPr>
                <w:rFonts w:ascii="Times New Roman" w:hAnsi="Times New Roman"/>
                <w:sz w:val="24"/>
                <w:szCs w:val="24"/>
              </w:rPr>
              <w:t xml:space="preserve">ule implements the Section 106 amendments by requiring that, within 36 months of the issuance of the certification examination, ‘‘housing counseling,’’ as defined in this </w:t>
            </w:r>
            <w:r w:rsidR="00084EA2">
              <w:rPr>
                <w:rFonts w:ascii="Times New Roman" w:hAnsi="Times New Roman"/>
                <w:sz w:val="24"/>
                <w:szCs w:val="24"/>
              </w:rPr>
              <w:t>F</w:t>
            </w:r>
            <w:r w:rsidRPr="008F2514">
              <w:rPr>
                <w:rFonts w:ascii="Times New Roman" w:hAnsi="Times New Roman"/>
                <w:sz w:val="24"/>
                <w:szCs w:val="24"/>
              </w:rPr>
              <w:t xml:space="preserve">inal </w:t>
            </w:r>
            <w:r w:rsidR="00084EA2">
              <w:rPr>
                <w:rFonts w:ascii="Times New Roman" w:hAnsi="Times New Roman"/>
                <w:sz w:val="24"/>
                <w:szCs w:val="24"/>
              </w:rPr>
              <w:t>R</w:t>
            </w:r>
            <w:r w:rsidRPr="008F2514">
              <w:rPr>
                <w:rFonts w:ascii="Times New Roman" w:hAnsi="Times New Roman"/>
                <w:sz w:val="24"/>
                <w:szCs w:val="24"/>
              </w:rPr>
              <w:t>ule and that is ‘‘required by or in connection with’’ HUD programs, may only be provided by HUD</w:t>
            </w:r>
            <w:r w:rsidR="00D60CE6">
              <w:rPr>
                <w:rFonts w:ascii="Times New Roman" w:hAnsi="Times New Roman"/>
                <w:sz w:val="24"/>
                <w:szCs w:val="24"/>
              </w:rPr>
              <w:t>-</w:t>
            </w:r>
            <w:r w:rsidRPr="008F2514">
              <w:rPr>
                <w:rFonts w:ascii="Times New Roman" w:hAnsi="Times New Roman"/>
                <w:sz w:val="24"/>
                <w:szCs w:val="24"/>
              </w:rPr>
              <w:t xml:space="preserve">certified housing counselors working for HCAs that are approved to provide such housing counseling by HUD’s OHC. This </w:t>
            </w:r>
            <w:r w:rsidR="00887646">
              <w:rPr>
                <w:rFonts w:ascii="Times New Roman" w:hAnsi="Times New Roman"/>
                <w:sz w:val="24"/>
                <w:szCs w:val="24"/>
              </w:rPr>
              <w:t xml:space="preserve">Final </w:t>
            </w:r>
            <w:r w:rsidR="00174036">
              <w:rPr>
                <w:rFonts w:ascii="Times New Roman" w:hAnsi="Times New Roman"/>
                <w:sz w:val="24"/>
                <w:szCs w:val="24"/>
              </w:rPr>
              <w:t>R</w:t>
            </w:r>
            <w:r w:rsidRPr="008F2514">
              <w:rPr>
                <w:rFonts w:ascii="Times New Roman" w:hAnsi="Times New Roman"/>
                <w:sz w:val="24"/>
                <w:szCs w:val="24"/>
              </w:rPr>
              <w:t xml:space="preserve">ule codifies the Section 106 amendments in HUD’s General HUD Program Requirements, in 24 CFR </w:t>
            </w:r>
            <w:r w:rsidR="00B36AAB">
              <w:rPr>
                <w:rFonts w:ascii="Times New Roman" w:hAnsi="Times New Roman"/>
                <w:sz w:val="24"/>
                <w:szCs w:val="24"/>
              </w:rPr>
              <w:t>P</w:t>
            </w:r>
            <w:r w:rsidRPr="008F2514">
              <w:rPr>
                <w:rFonts w:ascii="Times New Roman" w:hAnsi="Times New Roman"/>
                <w:sz w:val="24"/>
                <w:szCs w:val="24"/>
              </w:rPr>
              <w:t xml:space="preserve">art 5 and in HUD’s Housing Counseling Program regulations in 24 CFR </w:t>
            </w:r>
            <w:r w:rsidR="00BA6E78">
              <w:rPr>
                <w:rFonts w:ascii="Times New Roman" w:hAnsi="Times New Roman"/>
                <w:sz w:val="24"/>
                <w:szCs w:val="24"/>
              </w:rPr>
              <w:t>P</w:t>
            </w:r>
            <w:r w:rsidRPr="008F2514">
              <w:rPr>
                <w:rFonts w:ascii="Times New Roman" w:hAnsi="Times New Roman"/>
                <w:sz w:val="24"/>
                <w:szCs w:val="24"/>
              </w:rPr>
              <w:t xml:space="preserve">art 214. While this </w:t>
            </w:r>
            <w:r w:rsidR="005600A8">
              <w:rPr>
                <w:rFonts w:ascii="Times New Roman" w:hAnsi="Times New Roman"/>
                <w:sz w:val="24"/>
                <w:szCs w:val="24"/>
              </w:rPr>
              <w:t>Final R</w:t>
            </w:r>
            <w:r w:rsidRPr="008F2514">
              <w:rPr>
                <w:rFonts w:ascii="Times New Roman" w:hAnsi="Times New Roman"/>
                <w:sz w:val="24"/>
                <w:szCs w:val="24"/>
              </w:rPr>
              <w:t xml:space="preserve">ule focuses on updating HUD’s Housing Counseling Program regulations, the </w:t>
            </w:r>
            <w:r w:rsidR="00AE0229">
              <w:rPr>
                <w:rFonts w:ascii="Times New Roman" w:hAnsi="Times New Roman"/>
                <w:sz w:val="24"/>
                <w:szCs w:val="24"/>
              </w:rPr>
              <w:t>Final R</w:t>
            </w:r>
            <w:r w:rsidRPr="008F2514">
              <w:rPr>
                <w:rFonts w:ascii="Times New Roman" w:hAnsi="Times New Roman"/>
                <w:sz w:val="24"/>
                <w:szCs w:val="24"/>
              </w:rPr>
              <w:t xml:space="preserve">ule makes limited conforming regulatory changes to some of the HUD programs covered by these new requirements. </w:t>
            </w:r>
          </w:p>
          <w:p w:rsidR="009D4F91" w:rsidP="009D4F91" w:rsidRDefault="009D4F91" w14:paraId="1DFC07F2" w14:textId="77777777">
            <w:pPr>
              <w:spacing w:after="0" w:line="240" w:lineRule="auto"/>
              <w:ind w:left="360"/>
              <w:rPr>
                <w:rFonts w:ascii="Times New Roman" w:hAnsi="Times New Roman"/>
                <w:sz w:val="24"/>
                <w:szCs w:val="24"/>
              </w:rPr>
            </w:pPr>
          </w:p>
          <w:p w:rsidR="00481DD2" w:rsidP="00EE6ABA" w:rsidRDefault="00EE6ABA" w14:paraId="073697E8" w14:textId="4129CCC4">
            <w:pPr>
              <w:spacing w:after="0" w:line="240" w:lineRule="auto"/>
              <w:rPr>
                <w:rFonts w:ascii="Times New Roman" w:hAnsi="Times New Roman"/>
                <w:sz w:val="24"/>
                <w:szCs w:val="24"/>
              </w:rPr>
            </w:pPr>
            <w:r w:rsidRPr="00EE6ABA">
              <w:rPr>
                <w:rFonts w:ascii="Times New Roman" w:hAnsi="Times New Roman"/>
                <w:color w:val="000000"/>
                <w:sz w:val="24"/>
                <w:szCs w:val="24"/>
              </w:rPr>
              <w:t>As mentioned, t</w:t>
            </w:r>
            <w:r w:rsidRPr="00EE6ABA">
              <w:rPr>
                <w:rFonts w:ascii="Times New Roman" w:hAnsi="Times New Roman"/>
                <w:sz w:val="24"/>
                <w:szCs w:val="24"/>
              </w:rPr>
              <w:t xml:space="preserve">here have been changes in </w:t>
            </w:r>
            <w:r w:rsidR="00E43C1F">
              <w:rPr>
                <w:rFonts w:ascii="Times New Roman" w:hAnsi="Times New Roman"/>
                <w:sz w:val="24"/>
                <w:szCs w:val="24"/>
              </w:rPr>
              <w:t>p</w:t>
            </w:r>
            <w:r w:rsidRPr="00EE6ABA">
              <w:rPr>
                <w:rFonts w:ascii="Times New Roman" w:hAnsi="Times New Roman"/>
                <w:sz w:val="24"/>
                <w:szCs w:val="24"/>
              </w:rPr>
              <w:t>rogram eligibility requirements.</w:t>
            </w:r>
            <w:r>
              <w:rPr>
                <w:rFonts w:ascii="Times New Roman" w:hAnsi="Times New Roman"/>
                <w:sz w:val="24"/>
                <w:szCs w:val="24"/>
              </w:rPr>
              <w:t xml:space="preserve"> </w:t>
            </w:r>
            <w:r w:rsidRPr="00EE6ABA">
              <w:rPr>
                <w:rFonts w:ascii="Times New Roman" w:hAnsi="Times New Roman"/>
                <w:sz w:val="24"/>
                <w:szCs w:val="24"/>
              </w:rPr>
              <w:t xml:space="preserve">The revised </w:t>
            </w:r>
            <w:r w:rsidR="00C920E5">
              <w:rPr>
                <w:rFonts w:ascii="Times New Roman" w:hAnsi="Times New Roman"/>
                <w:sz w:val="24"/>
                <w:szCs w:val="24"/>
              </w:rPr>
              <w:t>F</w:t>
            </w:r>
            <w:r w:rsidRPr="00EE6ABA">
              <w:rPr>
                <w:rFonts w:ascii="Times New Roman" w:hAnsi="Times New Roman"/>
                <w:sz w:val="24"/>
                <w:szCs w:val="24"/>
              </w:rPr>
              <w:t>orm HUD-9900 addresses and fulfills the mandated programmatical and eligibility requirement changes in accordance with the Dodd-Frank certification requirements for HUD HC</w:t>
            </w:r>
            <w:r w:rsidR="00AC5CBC">
              <w:rPr>
                <w:rFonts w:ascii="Times New Roman" w:hAnsi="Times New Roman"/>
                <w:sz w:val="24"/>
                <w:szCs w:val="24"/>
              </w:rPr>
              <w:t>A</w:t>
            </w:r>
            <w:r w:rsidRPr="00EE6ABA">
              <w:rPr>
                <w:rFonts w:ascii="Times New Roman" w:hAnsi="Times New Roman"/>
                <w:sz w:val="24"/>
                <w:szCs w:val="24"/>
              </w:rPr>
              <w:t xml:space="preserve">s and HUD Housing Counselor Certification. A Privacy Act Statement has been added to the form. The revised form combines the </w:t>
            </w:r>
            <w:r w:rsidR="00932BD1">
              <w:rPr>
                <w:rFonts w:ascii="Times New Roman" w:hAnsi="Times New Roman"/>
                <w:sz w:val="24"/>
                <w:szCs w:val="24"/>
              </w:rPr>
              <w:t>“</w:t>
            </w:r>
            <w:r w:rsidRPr="00EE6ABA">
              <w:rPr>
                <w:rFonts w:ascii="Times New Roman" w:hAnsi="Times New Roman"/>
                <w:sz w:val="24"/>
                <w:szCs w:val="24"/>
              </w:rPr>
              <w:t>Assurances and Certifications</w:t>
            </w:r>
            <w:r w:rsidR="00932BD1">
              <w:rPr>
                <w:rFonts w:ascii="Times New Roman" w:hAnsi="Times New Roman"/>
                <w:sz w:val="24"/>
                <w:szCs w:val="24"/>
              </w:rPr>
              <w:t>”</w:t>
            </w:r>
            <w:r w:rsidRPr="00EE6ABA">
              <w:rPr>
                <w:rFonts w:ascii="Times New Roman" w:hAnsi="Times New Roman"/>
                <w:sz w:val="24"/>
                <w:szCs w:val="24"/>
              </w:rPr>
              <w:t xml:space="preserve"> section of the application and retitled the section as </w:t>
            </w:r>
            <w:r w:rsidR="00E43C1F">
              <w:rPr>
                <w:rFonts w:ascii="Times New Roman" w:hAnsi="Times New Roman"/>
                <w:sz w:val="24"/>
                <w:szCs w:val="24"/>
              </w:rPr>
              <w:t>“</w:t>
            </w:r>
            <w:r w:rsidRPr="00EE6ABA">
              <w:rPr>
                <w:rFonts w:ascii="Times New Roman" w:hAnsi="Times New Roman"/>
                <w:sz w:val="24"/>
                <w:szCs w:val="24"/>
              </w:rPr>
              <w:t>Certifications.</w:t>
            </w:r>
            <w:r w:rsidR="00E43C1F">
              <w:rPr>
                <w:rFonts w:ascii="Times New Roman" w:hAnsi="Times New Roman"/>
                <w:sz w:val="24"/>
                <w:szCs w:val="24"/>
              </w:rPr>
              <w:t>”</w:t>
            </w:r>
            <w:r w:rsidRPr="00EE6ABA">
              <w:rPr>
                <w:rFonts w:ascii="Times New Roman" w:hAnsi="Times New Roman"/>
                <w:sz w:val="24"/>
                <w:szCs w:val="24"/>
              </w:rPr>
              <w:t xml:space="preserve"> The </w:t>
            </w:r>
            <w:r w:rsidR="00E43C1F">
              <w:rPr>
                <w:rFonts w:ascii="Times New Roman" w:hAnsi="Times New Roman"/>
                <w:sz w:val="24"/>
                <w:szCs w:val="24"/>
              </w:rPr>
              <w:t>“</w:t>
            </w:r>
            <w:r w:rsidRPr="00EE6ABA">
              <w:rPr>
                <w:rFonts w:ascii="Times New Roman" w:hAnsi="Times New Roman"/>
                <w:sz w:val="24"/>
                <w:szCs w:val="24"/>
              </w:rPr>
              <w:t>Certifications</w:t>
            </w:r>
            <w:r w:rsidR="00E43C1F">
              <w:rPr>
                <w:rFonts w:ascii="Times New Roman" w:hAnsi="Times New Roman"/>
                <w:sz w:val="24"/>
                <w:szCs w:val="24"/>
              </w:rPr>
              <w:t>”</w:t>
            </w:r>
            <w:r w:rsidRPr="00EE6ABA">
              <w:rPr>
                <w:rFonts w:ascii="Times New Roman" w:hAnsi="Times New Roman"/>
                <w:sz w:val="24"/>
                <w:szCs w:val="24"/>
              </w:rPr>
              <w:t xml:space="preserve"> section clearly defines the program policies that an agency is responsible for as a program participant and reduces the need for additional paperwork. Additionally, the form strengthens the language for the </w:t>
            </w:r>
            <w:r w:rsidR="00E43C1F">
              <w:rPr>
                <w:rFonts w:ascii="Times New Roman" w:hAnsi="Times New Roman"/>
                <w:sz w:val="24"/>
                <w:szCs w:val="24"/>
              </w:rPr>
              <w:t>“</w:t>
            </w:r>
            <w:r w:rsidRPr="00EE6ABA">
              <w:rPr>
                <w:rFonts w:ascii="Times New Roman" w:hAnsi="Times New Roman"/>
                <w:sz w:val="24"/>
                <w:szCs w:val="24"/>
              </w:rPr>
              <w:t>Screening of Ineligible Participants</w:t>
            </w:r>
            <w:r w:rsidR="00E43C1F">
              <w:rPr>
                <w:rFonts w:ascii="Times New Roman" w:hAnsi="Times New Roman"/>
                <w:sz w:val="24"/>
                <w:szCs w:val="24"/>
              </w:rPr>
              <w:t>”</w:t>
            </w:r>
            <w:r w:rsidRPr="00EE6ABA">
              <w:rPr>
                <w:rFonts w:ascii="Times New Roman" w:hAnsi="Times New Roman"/>
                <w:sz w:val="24"/>
                <w:szCs w:val="24"/>
              </w:rPr>
              <w:t xml:space="preserve"> section by using the same criteria for all eligible entity types in reference to </w:t>
            </w:r>
            <w:r w:rsidR="00EC524B">
              <w:rPr>
                <w:rFonts w:ascii="Times New Roman" w:hAnsi="Times New Roman"/>
                <w:sz w:val="24"/>
                <w:szCs w:val="24"/>
              </w:rPr>
              <w:t>“</w:t>
            </w:r>
            <w:r w:rsidRPr="00EE6ABA">
              <w:rPr>
                <w:rFonts w:ascii="Times New Roman" w:hAnsi="Times New Roman"/>
                <w:sz w:val="24"/>
                <w:szCs w:val="24"/>
              </w:rPr>
              <w:t>Ineligible Participants.</w:t>
            </w:r>
            <w:r w:rsidR="00EC524B">
              <w:rPr>
                <w:rFonts w:ascii="Times New Roman" w:hAnsi="Times New Roman"/>
                <w:sz w:val="24"/>
                <w:szCs w:val="24"/>
              </w:rPr>
              <w:t>”</w:t>
            </w:r>
            <w:r w:rsidRPr="00EE6ABA">
              <w:rPr>
                <w:rFonts w:ascii="Times New Roman" w:hAnsi="Times New Roman"/>
                <w:sz w:val="24"/>
                <w:szCs w:val="24"/>
              </w:rPr>
              <w:t xml:space="preserve"> </w:t>
            </w:r>
          </w:p>
          <w:p w:rsidR="00481DD2" w:rsidP="00EE6ABA" w:rsidRDefault="00481DD2" w14:paraId="29217A5D" w14:textId="77777777">
            <w:pPr>
              <w:spacing w:after="0" w:line="240" w:lineRule="auto"/>
              <w:rPr>
                <w:rFonts w:ascii="Times New Roman" w:hAnsi="Times New Roman"/>
                <w:sz w:val="24"/>
                <w:szCs w:val="24"/>
              </w:rPr>
            </w:pPr>
          </w:p>
          <w:p w:rsidRPr="00C879B4" w:rsidR="00560E48" w:rsidP="00881CA1" w:rsidRDefault="00EC524B" w14:paraId="166AFEB1" w14:textId="13BE3FA3">
            <w:pPr>
              <w:spacing w:after="0" w:line="240" w:lineRule="auto"/>
              <w:rPr>
                <w:rFonts w:ascii="Times New Roman" w:hAnsi="Times New Roman"/>
                <w:color w:val="000000"/>
                <w:sz w:val="24"/>
                <w:szCs w:val="24"/>
              </w:rPr>
            </w:pPr>
            <w:r>
              <w:rPr>
                <w:rFonts w:ascii="Times New Roman" w:hAnsi="Times New Roman"/>
                <w:sz w:val="24"/>
                <w:szCs w:val="24"/>
              </w:rPr>
              <w:t>A</w:t>
            </w:r>
            <w:r w:rsidRPr="00EE6ABA" w:rsidR="00EE6ABA">
              <w:rPr>
                <w:rFonts w:ascii="Times New Roman" w:hAnsi="Times New Roman"/>
                <w:sz w:val="24"/>
                <w:szCs w:val="24"/>
              </w:rPr>
              <w:t>ttachment</w:t>
            </w:r>
            <w:r w:rsidR="00260511">
              <w:rPr>
                <w:rFonts w:ascii="Times New Roman" w:hAnsi="Times New Roman"/>
                <w:sz w:val="24"/>
                <w:szCs w:val="24"/>
              </w:rPr>
              <w:t xml:space="preserve"> A</w:t>
            </w:r>
            <w:r w:rsidRPr="00EE6ABA" w:rsidR="00EE6ABA">
              <w:rPr>
                <w:rFonts w:ascii="Times New Roman" w:hAnsi="Times New Roman"/>
                <w:sz w:val="24"/>
                <w:szCs w:val="24"/>
              </w:rPr>
              <w:t xml:space="preserve">, </w:t>
            </w:r>
            <w:r w:rsidR="007B6D82">
              <w:rPr>
                <w:rFonts w:ascii="Times New Roman" w:hAnsi="Times New Roman"/>
                <w:sz w:val="24"/>
                <w:szCs w:val="24"/>
              </w:rPr>
              <w:t>F</w:t>
            </w:r>
            <w:r w:rsidRPr="00EE6ABA" w:rsidR="00EE6ABA">
              <w:rPr>
                <w:rFonts w:ascii="Times New Roman" w:hAnsi="Times New Roman"/>
                <w:sz w:val="24"/>
                <w:szCs w:val="24"/>
              </w:rPr>
              <w:t>orm</w:t>
            </w:r>
            <w:r w:rsidR="00481DD2">
              <w:rPr>
                <w:rFonts w:ascii="Times New Roman" w:hAnsi="Times New Roman"/>
                <w:sz w:val="24"/>
                <w:szCs w:val="24"/>
              </w:rPr>
              <w:t xml:space="preserve"> </w:t>
            </w:r>
            <w:r w:rsidRPr="00EE6ABA" w:rsidR="00EE6ABA">
              <w:rPr>
                <w:rFonts w:ascii="Times New Roman" w:hAnsi="Times New Roman"/>
                <w:sz w:val="24"/>
                <w:szCs w:val="24"/>
              </w:rPr>
              <w:t>HUD</w:t>
            </w:r>
            <w:r w:rsidR="00481DD2">
              <w:rPr>
                <w:rFonts w:ascii="Times New Roman" w:hAnsi="Times New Roman"/>
                <w:sz w:val="24"/>
                <w:szCs w:val="24"/>
              </w:rPr>
              <w:t>-</w:t>
            </w:r>
            <w:r w:rsidRPr="00EE6ABA" w:rsidR="00EE6ABA">
              <w:rPr>
                <w:rFonts w:ascii="Times New Roman" w:hAnsi="Times New Roman"/>
                <w:sz w:val="24"/>
                <w:szCs w:val="24"/>
              </w:rPr>
              <w:t>9900</w:t>
            </w:r>
            <w:r w:rsidR="00481DD2">
              <w:rPr>
                <w:rFonts w:ascii="Times New Roman" w:hAnsi="Times New Roman"/>
                <w:sz w:val="24"/>
                <w:szCs w:val="24"/>
              </w:rPr>
              <w:t>A</w:t>
            </w:r>
            <w:r w:rsidRPr="00EE6ABA" w:rsidR="00EE6ABA">
              <w:rPr>
                <w:rFonts w:ascii="Times New Roman" w:hAnsi="Times New Roman"/>
                <w:sz w:val="24"/>
                <w:szCs w:val="24"/>
              </w:rPr>
              <w:t xml:space="preserve">, will standardize the </w:t>
            </w:r>
            <w:r w:rsidR="00C934EA">
              <w:rPr>
                <w:rFonts w:ascii="Times New Roman" w:hAnsi="Times New Roman"/>
                <w:sz w:val="24"/>
                <w:szCs w:val="24"/>
              </w:rPr>
              <w:t>“</w:t>
            </w:r>
            <w:r w:rsidRPr="00EE6ABA" w:rsidR="00EE6ABA">
              <w:rPr>
                <w:rFonts w:ascii="Times New Roman" w:hAnsi="Times New Roman"/>
                <w:sz w:val="24"/>
                <w:szCs w:val="24"/>
              </w:rPr>
              <w:t>Board and Housing Counseling Staff</w:t>
            </w:r>
            <w:r w:rsidR="00C934EA">
              <w:rPr>
                <w:rFonts w:ascii="Times New Roman" w:hAnsi="Times New Roman"/>
                <w:sz w:val="24"/>
                <w:szCs w:val="24"/>
              </w:rPr>
              <w:t>”</w:t>
            </w:r>
            <w:r w:rsidRPr="00EE6ABA" w:rsidR="00EE6ABA">
              <w:rPr>
                <w:rFonts w:ascii="Times New Roman" w:hAnsi="Times New Roman"/>
                <w:sz w:val="24"/>
                <w:szCs w:val="24"/>
              </w:rPr>
              <w:t xml:space="preserve"> submission requirement and ensure that HUD is disclosing how it will use Personally Identifiable Information collected during the application process. Lastly, the revised form clarifies the definition of an Intermediary organization. The definition revision for </w:t>
            </w:r>
            <w:r w:rsidR="005B6F9C">
              <w:rPr>
                <w:rFonts w:ascii="Times New Roman" w:hAnsi="Times New Roman"/>
                <w:sz w:val="24"/>
                <w:szCs w:val="24"/>
              </w:rPr>
              <w:t>I</w:t>
            </w:r>
            <w:r w:rsidRPr="00EE6ABA" w:rsidR="00EE6ABA">
              <w:rPr>
                <w:rFonts w:ascii="Times New Roman" w:hAnsi="Times New Roman"/>
                <w:sz w:val="24"/>
                <w:szCs w:val="24"/>
              </w:rPr>
              <w:t>ntermediaries</w:t>
            </w:r>
            <w:r w:rsidR="00585EEF">
              <w:rPr>
                <w:rFonts w:ascii="Times New Roman" w:hAnsi="Times New Roman"/>
                <w:sz w:val="24"/>
                <w:szCs w:val="24"/>
              </w:rPr>
              <w:t>,</w:t>
            </w:r>
            <w:r w:rsidRPr="00EE6ABA" w:rsidR="00EE6ABA">
              <w:rPr>
                <w:rFonts w:ascii="Times New Roman" w:hAnsi="Times New Roman"/>
                <w:sz w:val="24"/>
                <w:szCs w:val="24"/>
              </w:rPr>
              <w:t xml:space="preserve"> which removes the number of qualifying states</w:t>
            </w:r>
            <w:r w:rsidR="00585EEF">
              <w:rPr>
                <w:rFonts w:ascii="Times New Roman" w:hAnsi="Times New Roman"/>
                <w:sz w:val="24"/>
                <w:szCs w:val="24"/>
              </w:rPr>
              <w:t>,</w:t>
            </w:r>
            <w:r w:rsidRPr="00EE6ABA" w:rsidR="00EE6ABA">
              <w:rPr>
                <w:rFonts w:ascii="Times New Roman" w:hAnsi="Times New Roman"/>
                <w:sz w:val="24"/>
                <w:szCs w:val="24"/>
              </w:rPr>
              <w:t xml:space="preserve"> brings the form in-line with 24 CFR Part 21</w:t>
            </w:r>
            <w:r w:rsidR="00BA6E78">
              <w:rPr>
                <w:rFonts w:ascii="Times New Roman" w:hAnsi="Times New Roman"/>
                <w:sz w:val="24"/>
                <w:szCs w:val="24"/>
              </w:rPr>
              <w:t>4</w:t>
            </w:r>
            <w:r w:rsidRPr="00EE6ABA" w:rsidR="00EE6ABA">
              <w:rPr>
                <w:rFonts w:ascii="Times New Roman" w:hAnsi="Times New Roman"/>
                <w:sz w:val="24"/>
                <w:szCs w:val="24"/>
              </w:rPr>
              <w:t xml:space="preserve"> and </w:t>
            </w:r>
            <w:r w:rsidR="0086424C">
              <w:rPr>
                <w:rFonts w:ascii="Times New Roman" w:hAnsi="Times New Roman"/>
                <w:sz w:val="24"/>
                <w:szCs w:val="24"/>
              </w:rPr>
              <w:t xml:space="preserve">HUD </w:t>
            </w:r>
            <w:r w:rsidR="00C112FD">
              <w:rPr>
                <w:rFonts w:ascii="Times New Roman" w:hAnsi="Times New Roman"/>
                <w:sz w:val="24"/>
                <w:szCs w:val="24"/>
              </w:rPr>
              <w:t xml:space="preserve">Handbook </w:t>
            </w:r>
            <w:r w:rsidRPr="00EE6ABA" w:rsidR="00EE6ABA">
              <w:rPr>
                <w:rFonts w:ascii="Times New Roman" w:hAnsi="Times New Roman"/>
                <w:sz w:val="24"/>
                <w:szCs w:val="24"/>
              </w:rPr>
              <w:t>7610.1 R</w:t>
            </w:r>
            <w:r w:rsidR="00C112FD">
              <w:rPr>
                <w:rFonts w:ascii="Times New Roman" w:hAnsi="Times New Roman"/>
                <w:sz w:val="24"/>
                <w:szCs w:val="24"/>
              </w:rPr>
              <w:t>EV</w:t>
            </w:r>
            <w:r w:rsidRPr="00EE6ABA" w:rsidR="00EE6ABA">
              <w:rPr>
                <w:rFonts w:ascii="Times New Roman" w:hAnsi="Times New Roman"/>
                <w:sz w:val="24"/>
                <w:szCs w:val="24"/>
              </w:rPr>
              <w:t xml:space="preserve">-5. It also removes the barrier to qualification for more agencies. The application is a fillable PDF form and does not place any additional burden on eligible applicants.  </w:t>
            </w:r>
          </w:p>
        </w:tc>
      </w:tr>
      <w:tr w:rsidRPr="00C879B4" w:rsidR="0021340A" w:rsidTr="00881CA1" w14:paraId="7C0A90E7" w14:textId="77777777">
        <w:tc>
          <w:tcPr>
            <w:tcW w:w="9252" w:type="dxa"/>
            <w:shd w:val="clear" w:color="auto" w:fill="auto"/>
          </w:tcPr>
          <w:p w:rsidRPr="00C879B4" w:rsidR="0021340A" w:rsidP="001B4FB5" w:rsidRDefault="0021340A" w14:paraId="65DD7627" w14:textId="77777777">
            <w:pPr>
              <w:spacing w:after="0" w:line="240" w:lineRule="auto"/>
              <w:rPr>
                <w:rFonts w:ascii="Times New Roman" w:hAnsi="Times New Roman"/>
                <w:b/>
                <w:color w:val="000000"/>
                <w:sz w:val="24"/>
                <w:szCs w:val="24"/>
              </w:rPr>
            </w:pPr>
          </w:p>
        </w:tc>
      </w:tr>
      <w:tr w:rsidRPr="00C879B4" w:rsidR="0021340A" w:rsidTr="00881CA1" w14:paraId="74231DD0" w14:textId="77777777">
        <w:tc>
          <w:tcPr>
            <w:tcW w:w="9252" w:type="dxa"/>
            <w:shd w:val="clear" w:color="auto" w:fill="auto"/>
          </w:tcPr>
          <w:p w:rsidRPr="00C879B4" w:rsidR="0021340A" w:rsidP="001B4FB5" w:rsidRDefault="0021340A" w14:paraId="3C65ECD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21340A" w:rsidP="001B4FB5" w:rsidRDefault="0021340A" w14:paraId="2D3C0F49" w14:textId="77777777">
            <w:pPr>
              <w:spacing w:after="0" w:line="240" w:lineRule="auto"/>
              <w:rPr>
                <w:rFonts w:ascii="Times New Roman" w:hAnsi="Times New Roman"/>
                <w:b/>
                <w:color w:val="000000"/>
                <w:sz w:val="24"/>
                <w:szCs w:val="24"/>
              </w:rPr>
            </w:pPr>
          </w:p>
        </w:tc>
      </w:tr>
      <w:tr w:rsidRPr="00C879B4" w:rsidR="0021340A" w:rsidTr="00881CA1" w14:paraId="43A48237" w14:textId="77777777">
        <w:tc>
          <w:tcPr>
            <w:tcW w:w="9252" w:type="dxa"/>
            <w:shd w:val="clear" w:color="auto" w:fill="auto"/>
          </w:tcPr>
          <w:p w:rsidRPr="00C879B4" w:rsidR="0021340A" w:rsidP="001B4FB5" w:rsidRDefault="009D4F91" w14:paraId="023B9A8B" w14:textId="71776676">
            <w:pPr>
              <w:spacing w:after="0" w:line="240" w:lineRule="auto"/>
              <w:rPr>
                <w:rFonts w:ascii="Times New Roman" w:hAnsi="Times New Roman"/>
                <w:b/>
                <w:color w:val="000000"/>
                <w:sz w:val="24"/>
                <w:szCs w:val="24"/>
              </w:rPr>
            </w:pPr>
            <w:r>
              <w:rPr>
                <w:rFonts w:ascii="Times New Roman" w:hAnsi="Times New Roman"/>
                <w:bCs/>
                <w:color w:val="000000"/>
                <w:sz w:val="24"/>
                <w:szCs w:val="24"/>
              </w:rPr>
              <w:lastRenderedPageBreak/>
              <w:t>Tabulation</w:t>
            </w:r>
            <w:r w:rsidRPr="008F2514">
              <w:rPr>
                <w:rFonts w:ascii="Times New Roman" w:hAnsi="Times New Roman"/>
                <w:bCs/>
                <w:color w:val="000000"/>
                <w:sz w:val="24"/>
                <w:szCs w:val="24"/>
              </w:rPr>
              <w:t xml:space="preserve"> of information will not be published.  HUD maintains a website, automated 1-800 </w:t>
            </w:r>
            <w:r w:rsidR="009A4ADD">
              <w:rPr>
                <w:rFonts w:ascii="Times New Roman" w:hAnsi="Times New Roman"/>
                <w:bCs/>
                <w:color w:val="000000"/>
                <w:sz w:val="24"/>
                <w:szCs w:val="24"/>
              </w:rPr>
              <w:t>H</w:t>
            </w:r>
            <w:r w:rsidRPr="008F2514">
              <w:rPr>
                <w:rFonts w:ascii="Times New Roman" w:hAnsi="Times New Roman"/>
                <w:bCs/>
                <w:color w:val="000000"/>
                <w:sz w:val="24"/>
                <w:szCs w:val="24"/>
              </w:rPr>
              <w:t>otline, and smart phone app</w:t>
            </w:r>
            <w:r w:rsidR="002B0E51">
              <w:rPr>
                <w:rFonts w:ascii="Times New Roman" w:hAnsi="Times New Roman"/>
                <w:bCs/>
                <w:color w:val="000000"/>
                <w:sz w:val="24"/>
                <w:szCs w:val="24"/>
              </w:rPr>
              <w:t>lication</w:t>
            </w:r>
            <w:r w:rsidRPr="008F2514">
              <w:rPr>
                <w:rFonts w:ascii="Times New Roman" w:hAnsi="Times New Roman"/>
                <w:bCs/>
                <w:color w:val="000000"/>
                <w:sz w:val="24"/>
                <w:szCs w:val="24"/>
              </w:rPr>
              <w:t xml:space="preserve"> listing all HC</w:t>
            </w:r>
            <w:r w:rsidR="00F3221E">
              <w:rPr>
                <w:rFonts w:ascii="Times New Roman" w:hAnsi="Times New Roman"/>
                <w:bCs/>
                <w:color w:val="000000"/>
                <w:sz w:val="24"/>
                <w:szCs w:val="24"/>
              </w:rPr>
              <w:t>A</w:t>
            </w:r>
            <w:r w:rsidRPr="008F2514">
              <w:rPr>
                <w:rFonts w:ascii="Times New Roman" w:hAnsi="Times New Roman"/>
                <w:bCs/>
                <w:color w:val="000000"/>
                <w:sz w:val="24"/>
                <w:szCs w:val="24"/>
              </w:rPr>
              <w:t>.</w:t>
            </w:r>
          </w:p>
        </w:tc>
      </w:tr>
    </w:tbl>
    <w:p w:rsidRPr="00C879B4" w:rsidR="00FA2F70" w:rsidP="00FA2F70" w:rsidRDefault="00FA2F70" w14:paraId="192448E8"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6C72B8" w:rsidR="006C72B8" w:rsidTr="006C72B8" w14:paraId="33DFEE91" w14:textId="77777777">
        <w:tc>
          <w:tcPr>
            <w:tcW w:w="9360" w:type="dxa"/>
          </w:tcPr>
          <w:p w:rsidRPr="006C72B8" w:rsidR="006C72B8" w:rsidP="006C72B8" w:rsidRDefault="006C72B8" w14:paraId="17C0249D" w14:textId="77777777">
            <w:pPr>
              <w:spacing w:after="0" w:line="240" w:lineRule="auto"/>
              <w:rPr>
                <w:rFonts w:ascii="Times New Roman" w:hAnsi="Times New Roman" w:eastAsia="Calibri"/>
                <w:b/>
                <w:color w:val="000000"/>
                <w:sz w:val="24"/>
                <w:szCs w:val="24"/>
              </w:rPr>
            </w:pPr>
            <w:r w:rsidRPr="006C72B8">
              <w:rPr>
                <w:rFonts w:ascii="Times New Roman" w:hAnsi="Times New Roman" w:eastAsia="Calibri"/>
                <w:b/>
                <w:color w:val="000000"/>
                <w:sz w:val="24"/>
                <w:szCs w:val="24"/>
              </w:rPr>
              <w:t xml:space="preserve">17. If seeking approval to not display the expiration date for OMB approval of the information collection, explain the reasons that display would be inappropriate. </w:t>
            </w:r>
          </w:p>
          <w:p w:rsidRPr="006C72B8" w:rsidR="006C72B8" w:rsidP="006C72B8" w:rsidRDefault="006C72B8" w14:paraId="41494B70" w14:textId="77777777">
            <w:pPr>
              <w:spacing w:after="0" w:line="240" w:lineRule="auto"/>
              <w:rPr>
                <w:rFonts w:ascii="Times New Roman" w:hAnsi="Times New Roman" w:eastAsia="Calibri"/>
                <w:color w:val="000000"/>
                <w:sz w:val="24"/>
                <w:szCs w:val="24"/>
              </w:rPr>
            </w:pPr>
          </w:p>
        </w:tc>
      </w:tr>
      <w:tr w:rsidRPr="006C72B8" w:rsidR="006C72B8" w:rsidTr="006C72B8" w14:paraId="34B243D9" w14:textId="77777777">
        <w:tc>
          <w:tcPr>
            <w:tcW w:w="9360" w:type="dxa"/>
            <w:hideMark/>
          </w:tcPr>
          <w:p w:rsidRPr="006C72B8" w:rsidR="006C72B8" w:rsidP="006C72B8" w:rsidRDefault="006C72B8" w14:paraId="30CFF337" w14:textId="77777777">
            <w:pPr>
              <w:spacing w:after="0" w:line="240" w:lineRule="auto"/>
              <w:rPr>
                <w:rFonts w:ascii="Times New Roman" w:hAnsi="Times New Roman" w:eastAsia="Calibri"/>
                <w:color w:val="000000"/>
                <w:sz w:val="24"/>
                <w:szCs w:val="24"/>
              </w:rPr>
            </w:pPr>
            <w:r w:rsidRPr="006C72B8">
              <w:rPr>
                <w:rFonts w:ascii="Times New Roman" w:hAnsi="Times New Roman" w:eastAsia="Calibri"/>
                <w:sz w:val="24"/>
                <w:szCs w:val="24"/>
              </w:rPr>
              <w:t>HUD will display the expiration date for OMB approval of this information collection.</w:t>
            </w:r>
          </w:p>
        </w:tc>
      </w:tr>
    </w:tbl>
    <w:p w:rsidRPr="006C72B8" w:rsidR="0004527C" w:rsidP="006C72B8" w:rsidRDefault="0004527C" w14:paraId="30553D9B" w14:textId="77777777">
      <w:pPr>
        <w:spacing w:after="0" w:line="240" w:lineRule="auto"/>
        <w:rPr>
          <w:rFonts w:ascii="Times New Roman" w:hAnsi="Times New Roman" w:eastAsia="Calibri"/>
          <w:color w:val="000000"/>
          <w:sz w:val="24"/>
          <w:szCs w:val="24"/>
        </w:rPr>
      </w:pPr>
    </w:p>
    <w:tbl>
      <w:tblPr>
        <w:tblW w:w="0" w:type="auto"/>
        <w:tblInd w:w="108" w:type="dxa"/>
        <w:tblLook w:val="04A0" w:firstRow="1" w:lastRow="0" w:firstColumn="1" w:lastColumn="0" w:noHBand="0" w:noVBand="1"/>
      </w:tblPr>
      <w:tblGrid>
        <w:gridCol w:w="9252"/>
      </w:tblGrid>
      <w:tr w:rsidRPr="006C72B8" w:rsidR="006C72B8" w:rsidTr="006C72B8" w14:paraId="36CEA37D" w14:textId="77777777">
        <w:tc>
          <w:tcPr>
            <w:tcW w:w="9360" w:type="dxa"/>
          </w:tcPr>
          <w:p w:rsidRPr="006C72B8" w:rsidR="006C72B8" w:rsidP="006C72B8" w:rsidRDefault="006C72B8" w14:paraId="2B8B211F" w14:textId="77777777">
            <w:pPr>
              <w:spacing w:after="0" w:line="240" w:lineRule="auto"/>
              <w:rPr>
                <w:rFonts w:ascii="Times New Roman" w:hAnsi="Times New Roman" w:eastAsia="Calibri"/>
                <w:b/>
                <w:color w:val="000000"/>
                <w:sz w:val="24"/>
                <w:szCs w:val="24"/>
              </w:rPr>
            </w:pPr>
            <w:r w:rsidRPr="006C72B8">
              <w:rPr>
                <w:rFonts w:ascii="Times New Roman" w:hAnsi="Times New Roman" w:eastAsia="Calibri"/>
                <w:b/>
                <w:color w:val="000000"/>
                <w:sz w:val="24"/>
                <w:szCs w:val="24"/>
              </w:rPr>
              <w:t xml:space="preserve">18. Explain each exception to the certification statement identified in Item 19, "Certification for Paperwork Reduction Act Submissions," of OMB Form 83-I. </w:t>
            </w:r>
          </w:p>
          <w:p w:rsidRPr="006C72B8" w:rsidR="006C72B8" w:rsidP="006C72B8" w:rsidRDefault="006C72B8" w14:paraId="13825CB5" w14:textId="77777777">
            <w:pPr>
              <w:spacing w:after="0" w:line="240" w:lineRule="auto"/>
              <w:rPr>
                <w:rFonts w:ascii="Times New Roman" w:hAnsi="Times New Roman" w:eastAsia="Calibri"/>
                <w:b/>
                <w:color w:val="000000"/>
                <w:sz w:val="24"/>
                <w:szCs w:val="24"/>
              </w:rPr>
            </w:pPr>
          </w:p>
          <w:p w:rsidR="006C72B8" w:rsidP="006C72B8" w:rsidRDefault="006C72B8" w14:paraId="0B2B594F" w14:textId="09AE432E">
            <w:pPr>
              <w:spacing w:after="0" w:line="240" w:lineRule="auto"/>
              <w:rPr>
                <w:rFonts w:ascii="Times New Roman" w:hAnsi="Times New Roman" w:eastAsia="Calibri"/>
                <w:sz w:val="24"/>
                <w:szCs w:val="24"/>
              </w:rPr>
            </w:pPr>
            <w:r w:rsidRPr="006C72B8">
              <w:rPr>
                <w:rFonts w:ascii="Times New Roman" w:hAnsi="Times New Roman" w:eastAsia="Calibri"/>
                <w:sz w:val="24"/>
                <w:szCs w:val="24"/>
              </w:rPr>
              <w:t>HUD does not request an exception to the certification of this information collection.</w:t>
            </w:r>
          </w:p>
          <w:p w:rsidR="00B333E5" w:rsidP="006C72B8" w:rsidRDefault="00B333E5" w14:paraId="7D53E525" w14:textId="168AA771">
            <w:pPr>
              <w:spacing w:after="0" w:line="240" w:lineRule="auto"/>
              <w:rPr>
                <w:rFonts w:ascii="Times New Roman" w:hAnsi="Times New Roman" w:eastAsia="Calibri"/>
                <w:sz w:val="24"/>
                <w:szCs w:val="24"/>
              </w:rPr>
            </w:pPr>
          </w:p>
          <w:p w:rsidRPr="006C72B8" w:rsidR="006C72B8" w:rsidP="006C72B8" w:rsidRDefault="006C72B8" w14:paraId="4434B326"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Pr="006C72B8" w:rsidR="006C72B8" w:rsidP="006C72B8" w:rsidRDefault="006C72B8" w14:paraId="34C99651" w14:textId="77777777">
            <w:pPr>
              <w:spacing w:after="0" w:line="256" w:lineRule="auto"/>
              <w:rPr>
                <w:rFonts w:ascii="Times New Roman" w:hAnsi="Times New Roman"/>
                <w:sz w:val="24"/>
                <w:szCs w:val="24"/>
              </w:rPr>
            </w:pPr>
          </w:p>
          <w:p w:rsidRPr="006C72B8" w:rsidR="00260511" w:rsidP="00260511" w:rsidRDefault="006C72B8" w14:paraId="14485AC3" w14:textId="5E55299E">
            <w:pPr>
              <w:spacing w:after="0" w:line="256" w:lineRule="auto"/>
              <w:rPr>
                <w:rFonts w:ascii="Times New Roman" w:hAnsi="Times New Roman" w:eastAsia="Calibri"/>
                <w:b/>
                <w:color w:val="000000"/>
                <w:sz w:val="24"/>
                <w:szCs w:val="24"/>
              </w:rPr>
            </w:pPr>
            <w:r w:rsidRPr="006C72B8">
              <w:rPr>
                <w:rFonts w:ascii="Times New Roman" w:hAnsi="Times New Roman"/>
                <w:sz w:val="24"/>
                <w:szCs w:val="24"/>
              </w:rPr>
              <w:t>There is no statistical methodology involved in this collection.</w:t>
            </w:r>
          </w:p>
        </w:tc>
      </w:tr>
    </w:tbl>
    <w:p w:rsidRPr="00C879B4" w:rsidR="00075224" w:rsidP="00FA2F70" w:rsidRDefault="00075224" w14:paraId="6B3EE904" w14:textId="77777777">
      <w:pPr>
        <w:spacing w:after="0" w:line="240" w:lineRule="auto"/>
        <w:rPr>
          <w:rFonts w:ascii="Times New Roman" w:hAnsi="Times New Roman"/>
          <w:color w:val="000000"/>
          <w:sz w:val="24"/>
          <w:szCs w:val="24"/>
        </w:rPr>
      </w:pPr>
    </w:p>
    <w:sectPr w:rsidRPr="00C879B4" w:rsidR="00075224" w:rsidSect="00075224">
      <w:footerReference w:type="even" r:id="rId9"/>
      <w:footerReference w:type="default" r:id="rId10"/>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1FC1C" w14:textId="77777777" w:rsidR="00AA694B" w:rsidRDefault="00AA694B" w:rsidP="00075224">
      <w:pPr>
        <w:spacing w:after="0" w:line="240" w:lineRule="auto"/>
      </w:pPr>
      <w:r>
        <w:separator/>
      </w:r>
    </w:p>
  </w:endnote>
  <w:endnote w:type="continuationSeparator" w:id="0">
    <w:p w14:paraId="40F94F20" w14:textId="77777777" w:rsidR="00AA694B" w:rsidRDefault="00AA694B"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DB488"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1AF3A0F9"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9BD3"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3220C47F"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D316B" w14:textId="77777777" w:rsidR="00AA694B" w:rsidRDefault="00AA694B" w:rsidP="00075224">
      <w:pPr>
        <w:spacing w:after="0" w:line="240" w:lineRule="auto"/>
      </w:pPr>
      <w:r>
        <w:separator/>
      </w:r>
    </w:p>
  </w:footnote>
  <w:footnote w:type="continuationSeparator" w:id="0">
    <w:p w14:paraId="5A1B125D" w14:textId="77777777" w:rsidR="00AA694B" w:rsidRDefault="00AA694B"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424D"/>
    <w:rsid w:val="00004FB3"/>
    <w:rsid w:val="00024F68"/>
    <w:rsid w:val="00033FEF"/>
    <w:rsid w:val="0004527C"/>
    <w:rsid w:val="000646B7"/>
    <w:rsid w:val="00064E80"/>
    <w:rsid w:val="00075224"/>
    <w:rsid w:val="00076803"/>
    <w:rsid w:val="00084EA2"/>
    <w:rsid w:val="000B4874"/>
    <w:rsid w:val="000C62BB"/>
    <w:rsid w:val="000D6037"/>
    <w:rsid w:val="000D7FD0"/>
    <w:rsid w:val="001043B5"/>
    <w:rsid w:val="00124FE4"/>
    <w:rsid w:val="001259F7"/>
    <w:rsid w:val="00164BAE"/>
    <w:rsid w:val="00167A4F"/>
    <w:rsid w:val="00167FD2"/>
    <w:rsid w:val="00174036"/>
    <w:rsid w:val="00174045"/>
    <w:rsid w:val="00182C21"/>
    <w:rsid w:val="001A2C49"/>
    <w:rsid w:val="001A7509"/>
    <w:rsid w:val="001A7EF4"/>
    <w:rsid w:val="001B4FB5"/>
    <w:rsid w:val="001C0362"/>
    <w:rsid w:val="001C6560"/>
    <w:rsid w:val="001F1D24"/>
    <w:rsid w:val="00212740"/>
    <w:rsid w:val="0021340A"/>
    <w:rsid w:val="0024016A"/>
    <w:rsid w:val="0024300C"/>
    <w:rsid w:val="00256203"/>
    <w:rsid w:val="00260511"/>
    <w:rsid w:val="00272683"/>
    <w:rsid w:val="00276A7E"/>
    <w:rsid w:val="00281F89"/>
    <w:rsid w:val="002822B5"/>
    <w:rsid w:val="0029110D"/>
    <w:rsid w:val="00296156"/>
    <w:rsid w:val="00296DF2"/>
    <w:rsid w:val="002A2128"/>
    <w:rsid w:val="002B0E51"/>
    <w:rsid w:val="002B1853"/>
    <w:rsid w:val="002C2A78"/>
    <w:rsid w:val="002C7DF4"/>
    <w:rsid w:val="002D377C"/>
    <w:rsid w:val="002D70DE"/>
    <w:rsid w:val="002E3192"/>
    <w:rsid w:val="002F322E"/>
    <w:rsid w:val="002F4230"/>
    <w:rsid w:val="002F49C0"/>
    <w:rsid w:val="00315D6E"/>
    <w:rsid w:val="00320358"/>
    <w:rsid w:val="0032158F"/>
    <w:rsid w:val="0035714E"/>
    <w:rsid w:val="00362952"/>
    <w:rsid w:val="003974BD"/>
    <w:rsid w:val="00397DF1"/>
    <w:rsid w:val="003A6506"/>
    <w:rsid w:val="003C400F"/>
    <w:rsid w:val="003C4699"/>
    <w:rsid w:val="003C5F56"/>
    <w:rsid w:val="003D3048"/>
    <w:rsid w:val="003E6E5E"/>
    <w:rsid w:val="003F4A8A"/>
    <w:rsid w:val="003F4D24"/>
    <w:rsid w:val="00421206"/>
    <w:rsid w:val="00426A0E"/>
    <w:rsid w:val="00432056"/>
    <w:rsid w:val="00481DD2"/>
    <w:rsid w:val="00486199"/>
    <w:rsid w:val="004939BF"/>
    <w:rsid w:val="004D051E"/>
    <w:rsid w:val="004D0A64"/>
    <w:rsid w:val="004E230D"/>
    <w:rsid w:val="0050120C"/>
    <w:rsid w:val="00526ADC"/>
    <w:rsid w:val="00533CC9"/>
    <w:rsid w:val="00544C91"/>
    <w:rsid w:val="005600A8"/>
    <w:rsid w:val="00560E48"/>
    <w:rsid w:val="0056292A"/>
    <w:rsid w:val="00566A56"/>
    <w:rsid w:val="0058479A"/>
    <w:rsid w:val="00584C5E"/>
    <w:rsid w:val="00585EEF"/>
    <w:rsid w:val="005A6EB8"/>
    <w:rsid w:val="005A7FAF"/>
    <w:rsid w:val="005B277A"/>
    <w:rsid w:val="005B6F9C"/>
    <w:rsid w:val="005C7A10"/>
    <w:rsid w:val="005D21A4"/>
    <w:rsid w:val="005E1CBE"/>
    <w:rsid w:val="005F2CD0"/>
    <w:rsid w:val="00632498"/>
    <w:rsid w:val="00632522"/>
    <w:rsid w:val="006353A3"/>
    <w:rsid w:val="0063556E"/>
    <w:rsid w:val="00635671"/>
    <w:rsid w:val="0066398E"/>
    <w:rsid w:val="00666CF0"/>
    <w:rsid w:val="00667FB6"/>
    <w:rsid w:val="006717F4"/>
    <w:rsid w:val="00682ED1"/>
    <w:rsid w:val="00695EEE"/>
    <w:rsid w:val="006B0110"/>
    <w:rsid w:val="006C1F71"/>
    <w:rsid w:val="006C4851"/>
    <w:rsid w:val="006C72B8"/>
    <w:rsid w:val="006F5889"/>
    <w:rsid w:val="007073B0"/>
    <w:rsid w:val="00711F61"/>
    <w:rsid w:val="007306FD"/>
    <w:rsid w:val="00735FE2"/>
    <w:rsid w:val="00741B05"/>
    <w:rsid w:val="0075410C"/>
    <w:rsid w:val="00754E85"/>
    <w:rsid w:val="00760CC6"/>
    <w:rsid w:val="00762466"/>
    <w:rsid w:val="00797FB9"/>
    <w:rsid w:val="007A042E"/>
    <w:rsid w:val="007B54D5"/>
    <w:rsid w:val="007B6D82"/>
    <w:rsid w:val="007C7DEA"/>
    <w:rsid w:val="00804FF9"/>
    <w:rsid w:val="00821A1A"/>
    <w:rsid w:val="00826A6E"/>
    <w:rsid w:val="00830DB9"/>
    <w:rsid w:val="00834932"/>
    <w:rsid w:val="00847D09"/>
    <w:rsid w:val="0085730B"/>
    <w:rsid w:val="0086424C"/>
    <w:rsid w:val="00872896"/>
    <w:rsid w:val="0088080D"/>
    <w:rsid w:val="00881CA1"/>
    <w:rsid w:val="00887646"/>
    <w:rsid w:val="00887A96"/>
    <w:rsid w:val="008A4A19"/>
    <w:rsid w:val="008C2A13"/>
    <w:rsid w:val="008E3521"/>
    <w:rsid w:val="008F5DFA"/>
    <w:rsid w:val="00906903"/>
    <w:rsid w:val="0091494D"/>
    <w:rsid w:val="00922458"/>
    <w:rsid w:val="00932BD1"/>
    <w:rsid w:val="009335EC"/>
    <w:rsid w:val="00934001"/>
    <w:rsid w:val="009419D6"/>
    <w:rsid w:val="00961B6E"/>
    <w:rsid w:val="00971992"/>
    <w:rsid w:val="009814CB"/>
    <w:rsid w:val="00982371"/>
    <w:rsid w:val="009A3A5E"/>
    <w:rsid w:val="009A4ADD"/>
    <w:rsid w:val="009A4FD6"/>
    <w:rsid w:val="009B0365"/>
    <w:rsid w:val="009B355F"/>
    <w:rsid w:val="009B6EFD"/>
    <w:rsid w:val="009C376D"/>
    <w:rsid w:val="009C6491"/>
    <w:rsid w:val="009D4F91"/>
    <w:rsid w:val="009E118C"/>
    <w:rsid w:val="009E34F5"/>
    <w:rsid w:val="00A2523A"/>
    <w:rsid w:val="00A31B92"/>
    <w:rsid w:val="00A33DED"/>
    <w:rsid w:val="00A352F3"/>
    <w:rsid w:val="00A62C0A"/>
    <w:rsid w:val="00A6656E"/>
    <w:rsid w:val="00A80199"/>
    <w:rsid w:val="00AA04EA"/>
    <w:rsid w:val="00AA5516"/>
    <w:rsid w:val="00AA694B"/>
    <w:rsid w:val="00AC1B78"/>
    <w:rsid w:val="00AC5CBC"/>
    <w:rsid w:val="00AE0229"/>
    <w:rsid w:val="00AE2E96"/>
    <w:rsid w:val="00AE30FC"/>
    <w:rsid w:val="00B004A7"/>
    <w:rsid w:val="00B07CA1"/>
    <w:rsid w:val="00B106EA"/>
    <w:rsid w:val="00B333E5"/>
    <w:rsid w:val="00B36AAB"/>
    <w:rsid w:val="00B4457A"/>
    <w:rsid w:val="00B47113"/>
    <w:rsid w:val="00B50EDC"/>
    <w:rsid w:val="00B62C5B"/>
    <w:rsid w:val="00B66EE8"/>
    <w:rsid w:val="00B7253E"/>
    <w:rsid w:val="00BA6E78"/>
    <w:rsid w:val="00BB0E17"/>
    <w:rsid w:val="00BB0F74"/>
    <w:rsid w:val="00BB67BE"/>
    <w:rsid w:val="00BC25BC"/>
    <w:rsid w:val="00BD7F3F"/>
    <w:rsid w:val="00C112FD"/>
    <w:rsid w:val="00C23876"/>
    <w:rsid w:val="00C62C90"/>
    <w:rsid w:val="00C879B4"/>
    <w:rsid w:val="00C920E5"/>
    <w:rsid w:val="00C934EA"/>
    <w:rsid w:val="00CA1A29"/>
    <w:rsid w:val="00CB45ED"/>
    <w:rsid w:val="00CB4755"/>
    <w:rsid w:val="00CD4733"/>
    <w:rsid w:val="00CF512D"/>
    <w:rsid w:val="00D127E8"/>
    <w:rsid w:val="00D15745"/>
    <w:rsid w:val="00D15812"/>
    <w:rsid w:val="00D16ACA"/>
    <w:rsid w:val="00D35DDB"/>
    <w:rsid w:val="00D56BDC"/>
    <w:rsid w:val="00D60CE6"/>
    <w:rsid w:val="00D720B2"/>
    <w:rsid w:val="00D772F6"/>
    <w:rsid w:val="00DA3899"/>
    <w:rsid w:val="00DB7657"/>
    <w:rsid w:val="00DC1E6C"/>
    <w:rsid w:val="00DE2ACB"/>
    <w:rsid w:val="00DF2C79"/>
    <w:rsid w:val="00E43C1F"/>
    <w:rsid w:val="00E53DE7"/>
    <w:rsid w:val="00E94F61"/>
    <w:rsid w:val="00E95B72"/>
    <w:rsid w:val="00EA7C8E"/>
    <w:rsid w:val="00EB6605"/>
    <w:rsid w:val="00EB7DD6"/>
    <w:rsid w:val="00EC524B"/>
    <w:rsid w:val="00ED118A"/>
    <w:rsid w:val="00EE6ABA"/>
    <w:rsid w:val="00EF54ED"/>
    <w:rsid w:val="00F01083"/>
    <w:rsid w:val="00F16677"/>
    <w:rsid w:val="00F17541"/>
    <w:rsid w:val="00F2110D"/>
    <w:rsid w:val="00F3221E"/>
    <w:rsid w:val="00F36DAC"/>
    <w:rsid w:val="00F679F0"/>
    <w:rsid w:val="00F74605"/>
    <w:rsid w:val="00F92F82"/>
    <w:rsid w:val="00F95AF0"/>
    <w:rsid w:val="00FA2F70"/>
    <w:rsid w:val="00FE1CC8"/>
    <w:rsid w:val="00FF2360"/>
    <w:rsid w:val="00F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F93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4F68"/>
    <w:rPr>
      <w:color w:val="0000FF"/>
      <w:u w:val="single"/>
    </w:rPr>
  </w:style>
  <w:style w:type="character" w:styleId="UnresolvedMention">
    <w:name w:val="Unresolved Mention"/>
    <w:uiPriority w:val="99"/>
    <w:semiHidden/>
    <w:unhideWhenUsed/>
    <w:rsid w:val="003C4699"/>
    <w:rPr>
      <w:color w:val="605E5C"/>
      <w:shd w:val="clear" w:color="auto" w:fill="E1DFDD"/>
    </w:rPr>
  </w:style>
  <w:style w:type="character" w:styleId="CommentReference">
    <w:name w:val="annotation reference"/>
    <w:basedOn w:val="DefaultParagraphFont"/>
    <w:uiPriority w:val="99"/>
    <w:semiHidden/>
    <w:unhideWhenUsed/>
    <w:rsid w:val="00830DB9"/>
    <w:rPr>
      <w:sz w:val="16"/>
      <w:szCs w:val="16"/>
    </w:rPr>
  </w:style>
  <w:style w:type="paragraph" w:styleId="CommentText">
    <w:name w:val="annotation text"/>
    <w:basedOn w:val="Normal"/>
    <w:link w:val="CommentTextChar"/>
    <w:uiPriority w:val="99"/>
    <w:semiHidden/>
    <w:unhideWhenUsed/>
    <w:rsid w:val="00830DB9"/>
    <w:rPr>
      <w:sz w:val="20"/>
      <w:szCs w:val="20"/>
    </w:rPr>
  </w:style>
  <w:style w:type="character" w:customStyle="1" w:styleId="CommentTextChar">
    <w:name w:val="Comment Text Char"/>
    <w:basedOn w:val="DefaultParagraphFont"/>
    <w:link w:val="CommentText"/>
    <w:uiPriority w:val="99"/>
    <w:semiHidden/>
    <w:rsid w:val="00830DB9"/>
  </w:style>
  <w:style w:type="paragraph" w:styleId="CommentSubject">
    <w:name w:val="annotation subject"/>
    <w:basedOn w:val="CommentText"/>
    <w:next w:val="CommentText"/>
    <w:link w:val="CommentSubjectChar"/>
    <w:uiPriority w:val="99"/>
    <w:semiHidden/>
    <w:unhideWhenUsed/>
    <w:rsid w:val="00830DB9"/>
    <w:rPr>
      <w:b/>
      <w:bCs/>
    </w:rPr>
  </w:style>
  <w:style w:type="character" w:customStyle="1" w:styleId="CommentSubjectChar">
    <w:name w:val="Comment Subject Char"/>
    <w:basedOn w:val="CommentTextChar"/>
    <w:link w:val="CommentSubject"/>
    <w:uiPriority w:val="99"/>
    <w:semiHidden/>
    <w:rsid w:val="00830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10371">
      <w:bodyDiv w:val="1"/>
      <w:marLeft w:val="0"/>
      <w:marRight w:val="0"/>
      <w:marTop w:val="0"/>
      <w:marBottom w:val="0"/>
      <w:divBdr>
        <w:top w:val="none" w:sz="0" w:space="0" w:color="auto"/>
        <w:left w:val="none" w:sz="0" w:space="0" w:color="auto"/>
        <w:bottom w:val="none" w:sz="0" w:space="0" w:color="auto"/>
        <w:right w:val="none" w:sz="0" w:space="0" w:color="auto"/>
      </w:divBdr>
    </w:div>
    <w:div w:id="614799139">
      <w:bodyDiv w:val="1"/>
      <w:marLeft w:val="0"/>
      <w:marRight w:val="0"/>
      <w:marTop w:val="0"/>
      <w:marBottom w:val="0"/>
      <w:divBdr>
        <w:top w:val="none" w:sz="0" w:space="0" w:color="auto"/>
        <w:left w:val="none" w:sz="0" w:space="0" w:color="auto"/>
        <w:bottom w:val="none" w:sz="0" w:space="0" w:color="auto"/>
        <w:right w:val="none" w:sz="0" w:space="0" w:color="auto"/>
      </w:divBdr>
    </w:div>
    <w:div w:id="898634360">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www.hudexchange.info/programs/housing-counseling/agency-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24412</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2020-11-19T21:04:00Z</dcterms:created>
  <dcterms:modified xsi:type="dcterms:W3CDTF">2021-01-25T19:37:00Z</dcterms:modified>
</cp:coreProperties>
</file>