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6119" w:rsidP="002641F7" w:rsidRDefault="001E6119" w14:paraId="0DBC3950" w14:textId="77777777">
      <w:pPr>
        <w:jc w:val="center"/>
        <w:rPr>
          <w:b/>
        </w:rPr>
      </w:pPr>
      <w:r>
        <w:rPr>
          <w:b/>
        </w:rPr>
        <w:t>VA Health Eligibility Center (HEC)</w:t>
      </w:r>
    </w:p>
    <w:p w:rsidRPr="008823D2" w:rsidR="00DF7FF0" w:rsidP="002641F7" w:rsidRDefault="008823D2" w14:paraId="08EF5EF3" w14:textId="5007C5B9">
      <w:pPr>
        <w:jc w:val="center"/>
        <w:rPr>
          <w:b/>
        </w:rPr>
      </w:pPr>
      <w:r w:rsidRPr="008823D2">
        <w:rPr>
          <w:b/>
        </w:rPr>
        <w:t>Income Verification Division –</w:t>
      </w:r>
      <w:r w:rsidR="003B0928">
        <w:rPr>
          <w:b/>
        </w:rPr>
        <w:t xml:space="preserve"> Paper</w:t>
      </w:r>
      <w:r w:rsidR="003A18B3">
        <w:rPr>
          <w:b/>
        </w:rPr>
        <w:t>work</w:t>
      </w:r>
      <w:r w:rsidR="003B0928">
        <w:rPr>
          <w:b/>
        </w:rPr>
        <w:t xml:space="preserve"> Reduction</w:t>
      </w:r>
      <w:r w:rsidRPr="008823D2">
        <w:rPr>
          <w:b/>
        </w:rPr>
        <w:t xml:space="preserve"> Feasibility Study</w:t>
      </w:r>
    </w:p>
    <w:p w:rsidR="008823D2" w:rsidRDefault="008823D2" w14:paraId="621A3C2F" w14:textId="77777777"/>
    <w:p w:rsidRPr="00811AA9" w:rsidR="00811AA9" w:rsidP="00BE5077" w:rsidRDefault="00811AA9" w14:paraId="2383C1D9" w14:textId="77777777">
      <w:pPr>
        <w:pStyle w:val="ListParagraph"/>
        <w:ind w:right="576"/>
        <w:rPr>
          <w:b/>
        </w:rPr>
      </w:pPr>
      <w:r w:rsidRPr="00811AA9">
        <w:rPr>
          <w:b/>
        </w:rPr>
        <w:t xml:space="preserve">Income Verification Division Background: </w:t>
      </w:r>
    </w:p>
    <w:p w:rsidR="00811AA9" w:rsidP="00BE5077" w:rsidRDefault="00811AA9" w14:paraId="10B07575" w14:textId="77777777">
      <w:pPr>
        <w:pStyle w:val="ListParagraph"/>
        <w:ind w:right="576"/>
      </w:pPr>
    </w:p>
    <w:p w:rsidR="00BE5077" w:rsidP="00BE5077" w:rsidRDefault="00BE5077" w14:paraId="5C96B1E4" w14:textId="77777777">
      <w:pPr>
        <w:pStyle w:val="ListParagraph"/>
        <w:ind w:right="576"/>
      </w:pPr>
      <w:r>
        <w:t xml:space="preserve">VHA Directive 1909 provides policy for the Income Verification (IV) Program. </w:t>
      </w:r>
      <w:r>
        <w:rPr>
          <w:b/>
          <w:bCs/>
        </w:rPr>
        <w:t>AUTHORITY</w:t>
      </w:r>
      <w:r>
        <w:t>: 38 United States Code (U.S.C.) 1722; 38 U.S.C. 5317.</w:t>
      </w:r>
    </w:p>
    <w:p w:rsidR="00BE5077" w:rsidP="00BE5077" w:rsidRDefault="00BE5077" w14:paraId="1C334E00" w14:textId="77777777">
      <w:pPr>
        <w:pStyle w:val="ListParagraph"/>
      </w:pPr>
    </w:p>
    <w:p w:rsidR="00BE5077" w:rsidP="00BE5077" w:rsidRDefault="00BE5077" w14:paraId="77440520" w14:textId="77777777">
      <w:pPr>
        <w:pStyle w:val="ListParagraph"/>
      </w:pPr>
      <w:r>
        <w:t xml:space="preserve">Title 38 U.S.C. 1722 established eligibility assessment procedures, based on income levels, for determining whether nonservice-connected (NSC) Veterans and non-compensable zero percent service-connected (SC) Veterans, who have no other special eligibility are eligible to receive Department of Veterans Affairs (VA) health care at no cost. Title 26 U.S.C. 6103 (l)(7) of the Internal Revenue Code, and 38 U.S.C. 5317 establish authority for VA to verify Veterans’ gross household income information against records maintained by the Internal Revenue Service (IRS) and Social Security Administration (SSA) when that information indicates the Veteran is eligible for cost-free VA health care. </w:t>
      </w:r>
    </w:p>
    <w:p w:rsidR="00DF71A6" w:rsidP="00BE5077" w:rsidRDefault="00DF71A6" w14:paraId="0785A67F" w14:textId="77777777">
      <w:pPr>
        <w:pStyle w:val="ListParagraph"/>
      </w:pPr>
    </w:p>
    <w:p w:rsidRPr="00DF71A6" w:rsidR="00DF71A6" w:rsidP="00DF71A6" w:rsidRDefault="00DF71A6" w14:paraId="2D511202" w14:textId="77777777">
      <w:pPr>
        <w:pStyle w:val="ListParagraph"/>
      </w:pPr>
      <w:r>
        <w:t xml:space="preserve">The social security numbers (SSNs) of all Veterans and their spouses identified in the financial assessment will be verified under the Social Security Number Verification Information Exchange Agreement (IEA), between the SSA and VHA HEC, prior to income matching activity with IRS.  If IRS and SSA income matching identifies discrepancies in the Veteran’s self-reported gross household income information that potentially impacts eligibility for VA health care benefits, </w:t>
      </w:r>
      <w:r w:rsidRPr="00DF71A6">
        <w:t>HEC must independently verify the IRS and SSA income data in accordance with Title 38 USC 5317(b).  Title 38 USC 5317(b) states that “The Secretary may not, by reason of information obtained from the Commissioner of Social Security or the Secretary of the Treasury under section 6103(I)(7)(D)(viii) of the Internal Revenue Code of 1986, terminate, deny, suspend, or reduce any benefit or service until the Secretary takes appropriate steps to verify independently information related to the following:</w:t>
      </w:r>
    </w:p>
    <w:p w:rsidRPr="00DF71A6" w:rsidR="00DF71A6" w:rsidP="00DF71A6" w:rsidRDefault="00DF71A6" w14:paraId="1A2C8F3A" w14:textId="77777777">
      <w:pPr>
        <w:pStyle w:val="ListParagraph"/>
        <w:numPr>
          <w:ilvl w:val="0"/>
          <w:numId w:val="1"/>
        </w:numPr>
        <w:spacing w:after="0" w:line="240" w:lineRule="auto"/>
        <w:contextualSpacing w:val="0"/>
        <w:rPr>
          <w:rFonts w:eastAsia="Times New Roman"/>
        </w:rPr>
      </w:pPr>
      <w:r w:rsidRPr="00DF71A6">
        <w:rPr>
          <w:rFonts w:eastAsia="Times New Roman"/>
        </w:rPr>
        <w:t>The amount of the asset or income involved.</w:t>
      </w:r>
    </w:p>
    <w:p w:rsidRPr="00DF71A6" w:rsidR="00DF71A6" w:rsidP="00DF71A6" w:rsidRDefault="00DF71A6" w14:paraId="3A7F55E6" w14:textId="77777777">
      <w:pPr>
        <w:pStyle w:val="ListParagraph"/>
        <w:numPr>
          <w:ilvl w:val="0"/>
          <w:numId w:val="1"/>
        </w:numPr>
        <w:spacing w:after="0" w:line="240" w:lineRule="auto"/>
        <w:contextualSpacing w:val="0"/>
        <w:rPr>
          <w:rFonts w:eastAsia="Times New Roman"/>
        </w:rPr>
      </w:pPr>
      <w:r w:rsidRPr="00DF71A6">
        <w:rPr>
          <w:rFonts w:eastAsia="Times New Roman"/>
        </w:rPr>
        <w:t xml:space="preserve">Whether such individual </w:t>
      </w:r>
      <w:proofErr w:type="gramStart"/>
      <w:r w:rsidRPr="00DF71A6">
        <w:rPr>
          <w:rFonts w:eastAsia="Times New Roman"/>
        </w:rPr>
        <w:t>actually has</w:t>
      </w:r>
      <w:proofErr w:type="gramEnd"/>
      <w:r w:rsidRPr="00DF71A6">
        <w:rPr>
          <w:rFonts w:eastAsia="Times New Roman"/>
        </w:rPr>
        <w:t xml:space="preserve"> (or had) access to such asset.</w:t>
      </w:r>
    </w:p>
    <w:p w:rsidRPr="00DF71A6" w:rsidR="00DF71A6" w:rsidP="00DF71A6" w:rsidRDefault="00DF71A6" w14:paraId="420F2A60" w14:textId="77777777">
      <w:pPr>
        <w:pStyle w:val="ListParagraph"/>
        <w:numPr>
          <w:ilvl w:val="0"/>
          <w:numId w:val="1"/>
        </w:numPr>
        <w:spacing w:after="0" w:line="240" w:lineRule="auto"/>
        <w:contextualSpacing w:val="0"/>
        <w:rPr>
          <w:rFonts w:eastAsia="Times New Roman"/>
        </w:rPr>
      </w:pPr>
      <w:r w:rsidRPr="00DF71A6">
        <w:rPr>
          <w:rFonts w:eastAsia="Times New Roman"/>
        </w:rPr>
        <w:t>The period or periods when the individual actually had such asset or income.”</w:t>
      </w:r>
    </w:p>
    <w:p w:rsidR="00BE5077" w:rsidP="00BE5077" w:rsidRDefault="00BE5077" w14:paraId="5AD98C33" w14:textId="77777777">
      <w:pPr>
        <w:pStyle w:val="ListParagraph"/>
      </w:pPr>
    </w:p>
    <w:p w:rsidR="00BE5077" w:rsidP="003A18B3" w:rsidRDefault="00BE5077" w14:paraId="643199E0" w14:textId="63537BCF">
      <w:pPr>
        <w:pStyle w:val="ListParagraph"/>
      </w:pPr>
      <w:r>
        <w:t xml:space="preserve">The IV Program must adhere to stringent confidentiality guidelines set forth by IRS and SSA to ensure appropriate security and safeguarding of </w:t>
      </w:r>
      <w:r w:rsidR="003B0928">
        <w:t>Federal Tax Information (FTI)</w:t>
      </w:r>
      <w:r>
        <w:t xml:space="preserve">. Information received from the income match activity cannot be shared with VA medical facilities. Any breach of security requirements may result in loss of VHA’s matching agreements with IRS and SSA. </w:t>
      </w:r>
    </w:p>
    <w:p w:rsidR="00DF71A6" w:rsidP="00BE5077" w:rsidRDefault="00DF71A6" w14:paraId="5DE911AC" w14:textId="77777777">
      <w:pPr>
        <w:pStyle w:val="ListParagraph"/>
      </w:pPr>
    </w:p>
    <w:p w:rsidR="00BE5077" w:rsidP="00BE5077" w:rsidRDefault="00BE5077" w14:paraId="5157D185" w14:textId="77777777">
      <w:pPr>
        <w:pStyle w:val="ListParagraph"/>
      </w:pPr>
      <w:r>
        <w:t xml:space="preserve">HEC’s Income Verification Division (IVD) sends Veterans and spouses, individual letters to confirm income information reported by IRS and SSA. HEC does not change the Veteran’s copay </w:t>
      </w:r>
      <w:r>
        <w:lastRenderedPageBreak/>
        <w:t xml:space="preserve">status until information supplied by IRS and SSA has been independently verified either by the Veteran or through appropriate due process procedures. </w:t>
      </w:r>
    </w:p>
    <w:p w:rsidR="00DF71A6" w:rsidP="00BE5077" w:rsidRDefault="00DF71A6" w14:paraId="310DB395" w14:textId="77777777">
      <w:pPr>
        <w:pStyle w:val="ListParagraph"/>
      </w:pPr>
    </w:p>
    <w:p w:rsidR="00BE5077" w:rsidP="00BE5077" w:rsidRDefault="00BE5077" w14:paraId="75AF33EA" w14:textId="0DD2FB40">
      <w:pPr>
        <w:pStyle w:val="ListParagraph"/>
      </w:pPr>
      <w:r>
        <w:t xml:space="preserve">Presently, data collection for </w:t>
      </w:r>
      <w:r w:rsidRPr="00F21980">
        <w:rPr>
          <w:highlight w:val="yellow"/>
        </w:rPr>
        <w:t>HEC Form 200</w:t>
      </w:r>
      <w:r w:rsidRPr="003A18B3">
        <w:rPr>
          <w:highlight w:val="yellow"/>
        </w:rPr>
        <w:t>-1A, HEC Form 220-1, HEC Form 340-1</w:t>
      </w:r>
      <w:r>
        <w:t xml:space="preserve"> </w:t>
      </w:r>
      <w:commentRangeStart w:id="0"/>
      <w:r>
        <w:t>and</w:t>
      </w:r>
      <w:commentRangeEnd w:id="0"/>
      <w:r w:rsidR="00F21980">
        <w:rPr>
          <w:rStyle w:val="CommentReference"/>
        </w:rPr>
        <w:commentReference w:id="0"/>
      </w:r>
      <w:r>
        <w:t xml:space="preserve"> the responses to the </w:t>
      </w:r>
      <w:r w:rsidRPr="00F41D2D">
        <w:t>HEC IV Checklist</w:t>
      </w:r>
      <w:r>
        <w:t xml:space="preserve"> cannot be accomplished via the web due to Federal Tax Information restrictions.  </w:t>
      </w:r>
    </w:p>
    <w:p w:rsidR="00821E63" w:rsidP="00821E63" w:rsidRDefault="00821E63" w14:paraId="5D67A193" w14:textId="77777777">
      <w:pPr>
        <w:pStyle w:val="ListParagraph"/>
        <w:widowControl w:val="0"/>
        <w:tabs>
          <w:tab w:val="left" w:pos="990"/>
          <w:tab w:val="left" w:pos="3240"/>
          <w:tab w:val="left" w:pos="6660"/>
        </w:tabs>
        <w:spacing w:after="0" w:line="249" w:lineRule="auto"/>
        <w:ind w:right="18"/>
        <w:rPr>
          <w:rFonts w:eastAsia="Calibri" w:cs="Arial"/>
        </w:rPr>
      </w:pPr>
    </w:p>
    <w:p w:rsidR="00BE5077" w:rsidP="00BE5077" w:rsidRDefault="00821E63" w14:paraId="6BAE711F" w14:textId="77777777">
      <w:pPr>
        <w:ind w:left="720"/>
      </w:pPr>
      <w:r>
        <w:rPr>
          <w:rFonts w:cs="Arial"/>
        </w:rPr>
        <w:t>The personal information requested on these forms is necessary to better serve the Veteran and for the effective delivery of health care.  The form shows federal tax information for the Veteran and Veteran’s spouse based on the computer matching agreement with IRS/SSA.  The forms serve to validate that the information provided by IRS and SSA is accurate and reflect the gross household income for the Veteran and Veteran’s spouse.  The Veteran is informed of why the information is needed</w:t>
      </w:r>
      <w:r w:rsidR="003B0928">
        <w:rPr>
          <w:rFonts w:cs="Arial"/>
        </w:rPr>
        <w:t xml:space="preserve"> and </w:t>
      </w:r>
      <w:r>
        <w:rPr>
          <w:rFonts w:cs="Arial"/>
        </w:rPr>
        <w:t xml:space="preserve">can refuse to respond to the request for information.  This information is necessary to ensure that the Veteran is placed in the correct </w:t>
      </w:r>
      <w:r w:rsidR="00006D62">
        <w:rPr>
          <w:rFonts w:cs="Arial"/>
        </w:rPr>
        <w:t>P</w:t>
      </w:r>
      <w:r>
        <w:rPr>
          <w:rFonts w:cs="Arial"/>
        </w:rPr>
        <w:t xml:space="preserve">riority </w:t>
      </w:r>
      <w:r w:rsidR="00006D62">
        <w:rPr>
          <w:rFonts w:cs="Arial"/>
        </w:rPr>
        <w:t>G</w:t>
      </w:r>
      <w:r>
        <w:rPr>
          <w:rFonts w:cs="Arial"/>
        </w:rPr>
        <w:t>roup</w:t>
      </w:r>
      <w:r w:rsidR="00006D62">
        <w:rPr>
          <w:rFonts w:cs="Arial"/>
        </w:rPr>
        <w:t xml:space="preserve"> (PG)</w:t>
      </w:r>
      <w:r>
        <w:rPr>
          <w:rFonts w:cs="Arial"/>
        </w:rPr>
        <w:t xml:space="preserve"> for healthcare benefits.  </w:t>
      </w:r>
      <w:r w:rsidR="00BE5077">
        <w:t xml:space="preserve">If this information is not collected as needed annually from designated Veterans, it could result in the inability to place Veterans in the correct priority group for proper medical care and treatment.  </w:t>
      </w:r>
    </w:p>
    <w:p w:rsidRPr="00811AA9" w:rsidR="00811AA9" w:rsidP="00811AA9" w:rsidRDefault="00D953EB" w14:paraId="1E36A19C" w14:textId="77777777">
      <w:pPr>
        <w:ind w:left="720"/>
        <w:rPr>
          <w:b/>
        </w:rPr>
      </w:pPr>
      <w:r>
        <w:rPr>
          <w:b/>
        </w:rPr>
        <w:t xml:space="preserve">Paper Reduction </w:t>
      </w:r>
      <w:r w:rsidRPr="00811AA9" w:rsidR="00811AA9">
        <w:rPr>
          <w:b/>
        </w:rPr>
        <w:t xml:space="preserve">Feasibility Analysis: </w:t>
      </w:r>
    </w:p>
    <w:p w:rsidR="00811AA9" w:rsidP="00811AA9" w:rsidRDefault="00811AA9" w14:paraId="30E28E27" w14:textId="77777777">
      <w:pPr>
        <w:ind w:left="720"/>
      </w:pPr>
      <w:r>
        <w:t xml:space="preserve">The Program Office has conducted the following analysis of the feasibility of reducing burden on respondents who would remain in the same priority group or move to a high priority group based on their IRS/SSA data.   </w:t>
      </w:r>
    </w:p>
    <w:p w:rsidRPr="00006D62" w:rsidR="00006D62" w:rsidP="00811AA9" w:rsidRDefault="00006D62" w14:paraId="7E7435A5" w14:textId="77777777">
      <w:pPr>
        <w:ind w:left="720"/>
        <w:rPr>
          <w:b/>
          <w:i/>
        </w:rPr>
      </w:pPr>
      <w:r w:rsidRPr="00006D62">
        <w:rPr>
          <w:b/>
          <w:i/>
        </w:rPr>
        <w:t xml:space="preserve">No Change in Priority Group - </w:t>
      </w:r>
    </w:p>
    <w:p w:rsidR="00717578" w:rsidP="00811AA9" w:rsidRDefault="00717578" w14:paraId="4B3B0615" w14:textId="77777777">
      <w:pPr>
        <w:ind w:left="720"/>
      </w:pPr>
      <w:r>
        <w:t xml:space="preserve">We conducted the below analysis of data between </w:t>
      </w:r>
      <w:r w:rsidRPr="00D953EB">
        <w:rPr>
          <w:b/>
          <w:i/>
        </w:rPr>
        <w:t>Income Year 2012</w:t>
      </w:r>
      <w:r>
        <w:t xml:space="preserve"> and </w:t>
      </w:r>
      <w:r w:rsidRPr="00D953EB">
        <w:rPr>
          <w:b/>
          <w:i/>
        </w:rPr>
        <w:t>Income Year 2017</w:t>
      </w:r>
      <w:r>
        <w:t xml:space="preserve"> which is depicted </w:t>
      </w:r>
      <w:r w:rsidRPr="00D953EB">
        <w:rPr>
          <w:b/>
        </w:rPr>
        <w:t xml:space="preserve">in </w:t>
      </w:r>
      <w:r w:rsidRPr="00D953EB">
        <w:rPr>
          <w:b/>
          <w:i/>
        </w:rPr>
        <w:t xml:space="preserve">Graph </w:t>
      </w:r>
      <w:r w:rsidR="006C6E08">
        <w:rPr>
          <w:b/>
          <w:i/>
        </w:rPr>
        <w:t>1</w:t>
      </w:r>
      <w:r>
        <w:t xml:space="preserve">.  On average the IRS/SSA matched </w:t>
      </w:r>
      <w:r w:rsidRPr="00D953EB">
        <w:rPr>
          <w:b/>
          <w:i/>
        </w:rPr>
        <w:t>2 million Veterans</w:t>
      </w:r>
      <w:r>
        <w:t xml:space="preserve"> self-reported income and only </w:t>
      </w:r>
      <w:r w:rsidRPr="00D953EB">
        <w:rPr>
          <w:b/>
          <w:i/>
        </w:rPr>
        <w:t>156K cases</w:t>
      </w:r>
      <w:r>
        <w:t xml:space="preserve"> were created as a result; which indicates that approximately </w:t>
      </w:r>
      <w:r w:rsidRPr="00D953EB">
        <w:rPr>
          <w:b/>
          <w:i/>
        </w:rPr>
        <w:t>92%</w:t>
      </w:r>
      <w:r>
        <w:t xml:space="preserve"> of Veterans remain in the same Priority Group and do not receive Income Verification letters.   On average only </w:t>
      </w:r>
      <w:r w:rsidRPr="00D953EB">
        <w:rPr>
          <w:b/>
          <w:i/>
        </w:rPr>
        <w:t xml:space="preserve">8% </w:t>
      </w:r>
      <w:r>
        <w:t xml:space="preserve">of IVD cases are created and approximately </w:t>
      </w:r>
      <w:r w:rsidRPr="00D953EB">
        <w:rPr>
          <w:b/>
          <w:i/>
        </w:rPr>
        <w:t xml:space="preserve">156K </w:t>
      </w:r>
      <w:r>
        <w:t xml:space="preserve">Veterans </w:t>
      </w:r>
      <w:r w:rsidR="00D953EB">
        <w:t xml:space="preserve">and/or spouse </w:t>
      </w:r>
      <w:r>
        <w:t xml:space="preserve">receive letters.   </w:t>
      </w:r>
    </w:p>
    <w:p w:rsidRPr="00717578" w:rsidR="00811AA9" w:rsidP="00811AA9" w:rsidRDefault="00717578" w14:paraId="3265394F" w14:textId="77777777">
      <w:pPr>
        <w:ind w:left="720"/>
        <w:rPr>
          <w:b/>
          <w:i/>
        </w:rPr>
      </w:pPr>
      <w:r w:rsidRPr="00717578">
        <w:rPr>
          <w:b/>
          <w:i/>
        </w:rPr>
        <w:t xml:space="preserve">Graph </w:t>
      </w:r>
      <w:r w:rsidR="006C6E08">
        <w:rPr>
          <w:b/>
          <w:i/>
        </w:rPr>
        <w:t>1</w:t>
      </w:r>
      <w:r w:rsidRPr="00717578">
        <w:rPr>
          <w:b/>
          <w:i/>
        </w:rPr>
        <w:t xml:space="preserve">: </w:t>
      </w:r>
      <w:r w:rsidR="006C6E08">
        <w:rPr>
          <w:b/>
          <w:i/>
        </w:rPr>
        <w:t xml:space="preserve">IRS/SSA Matched compared to IV Cases Created (graph on page 3) </w:t>
      </w:r>
    </w:p>
    <w:p w:rsidR="00811AA9" w:rsidP="00811AA9" w:rsidRDefault="004F377B" w14:paraId="705451D4" w14:textId="77777777">
      <w:pPr>
        <w:ind w:left="720"/>
      </w:pPr>
      <w:r w:rsidRPr="004F377B">
        <w:rPr>
          <w:noProof/>
        </w:rPr>
        <w:lastRenderedPageBreak/>
        <w:drawing>
          <wp:inline distT="0" distB="0" distL="0" distR="0" wp14:anchorId="6BE0490D" wp14:editId="165F5A8E">
            <wp:extent cx="4276725" cy="2486025"/>
            <wp:effectExtent l="0" t="0" r="0" b="0"/>
            <wp:docPr id="1" name="Chart 1">
              <a:extLst xmlns:a="http://schemas.openxmlformats.org/drawingml/2006/main">
                <a:ext uri="{FF2B5EF4-FFF2-40B4-BE49-F238E27FC236}">
                  <a16:creationId xmlns:a16="http://schemas.microsoft.com/office/drawing/2014/main" id="{D375503E-FF9B-4FE1-AD21-3BE8B3D16F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6D62" w:rsidP="00006D62" w:rsidRDefault="00006D62" w14:paraId="6DD432D1" w14:textId="77777777">
      <w:pPr>
        <w:ind w:left="720"/>
      </w:pPr>
    </w:p>
    <w:p w:rsidRPr="00006D62" w:rsidR="00006D62" w:rsidP="00006D62" w:rsidRDefault="00006D62" w14:paraId="00AE5F0F" w14:textId="77777777">
      <w:pPr>
        <w:ind w:left="720"/>
        <w:rPr>
          <w:b/>
          <w:i/>
        </w:rPr>
      </w:pPr>
      <w:r w:rsidRPr="00006D62">
        <w:rPr>
          <w:b/>
          <w:i/>
        </w:rPr>
        <w:t xml:space="preserve">Outcome of IVD Cases </w:t>
      </w:r>
      <w:r>
        <w:rPr>
          <w:b/>
          <w:i/>
        </w:rPr>
        <w:t>Created</w:t>
      </w:r>
      <w:r w:rsidRPr="00006D62">
        <w:rPr>
          <w:b/>
          <w:i/>
        </w:rPr>
        <w:t xml:space="preserve">: </w:t>
      </w:r>
    </w:p>
    <w:p w:rsidR="00821E63" w:rsidP="00006D62" w:rsidRDefault="00006D62" w14:paraId="3C8181EA" w14:textId="77777777">
      <w:pPr>
        <w:ind w:left="720"/>
      </w:pPr>
      <w:r w:rsidRPr="00006D62">
        <w:t>An analysis was performed for</w:t>
      </w:r>
      <w:r>
        <w:rPr>
          <w:b/>
          <w:i/>
        </w:rPr>
        <w:t xml:space="preserve"> </w:t>
      </w:r>
      <w:r w:rsidRPr="00D953EB">
        <w:rPr>
          <w:b/>
          <w:i/>
        </w:rPr>
        <w:t>Income Year 201</w:t>
      </w:r>
      <w:r>
        <w:rPr>
          <w:b/>
          <w:i/>
        </w:rPr>
        <w:t>6</w:t>
      </w:r>
      <w:r>
        <w:t xml:space="preserve"> and </w:t>
      </w:r>
      <w:r w:rsidRPr="00D953EB">
        <w:rPr>
          <w:b/>
          <w:i/>
        </w:rPr>
        <w:t>Income Year 2017</w:t>
      </w:r>
      <w:r>
        <w:t xml:space="preserve"> which is depicted </w:t>
      </w:r>
      <w:r w:rsidRPr="00D953EB">
        <w:rPr>
          <w:b/>
        </w:rPr>
        <w:t xml:space="preserve">in </w:t>
      </w:r>
      <w:r w:rsidRPr="00D953EB">
        <w:rPr>
          <w:b/>
          <w:i/>
        </w:rPr>
        <w:t xml:space="preserve">Graph </w:t>
      </w:r>
      <w:r w:rsidR="001D21D4">
        <w:rPr>
          <w:b/>
          <w:i/>
        </w:rPr>
        <w:t>2 &amp; 3</w:t>
      </w:r>
      <w:r>
        <w:t xml:space="preserve">.  On average less than approximately </w:t>
      </w:r>
      <w:r w:rsidRPr="00006D62">
        <w:rPr>
          <w:b/>
          <w:i/>
        </w:rPr>
        <w:t>10%</w:t>
      </w:r>
      <w:r>
        <w:t xml:space="preserve"> are converted to </w:t>
      </w:r>
      <w:r w:rsidRPr="00006D62">
        <w:rPr>
          <w:b/>
          <w:i/>
        </w:rPr>
        <w:t>PG 1-4</w:t>
      </w:r>
      <w:r>
        <w:t xml:space="preserve">, approximately </w:t>
      </w:r>
      <w:r w:rsidRPr="00006D62">
        <w:rPr>
          <w:b/>
          <w:i/>
        </w:rPr>
        <w:t>23%</w:t>
      </w:r>
      <w:r>
        <w:t xml:space="preserve"> remain in </w:t>
      </w:r>
      <w:r w:rsidRPr="00006D62">
        <w:rPr>
          <w:b/>
          <w:i/>
        </w:rPr>
        <w:t>PG 5</w:t>
      </w:r>
      <w:r w:rsidR="006C6E08">
        <w:rPr>
          <w:b/>
          <w:i/>
        </w:rPr>
        <w:t xml:space="preserve"> </w:t>
      </w:r>
      <w:r w:rsidRPr="006C6E08" w:rsidR="006C6E08">
        <w:t xml:space="preserve">once </w:t>
      </w:r>
      <w:r w:rsidR="006C6E08">
        <w:t>paid out-of-pocket non-reimbursed deductible expense has been submitted by Veteran</w:t>
      </w:r>
      <w:r>
        <w:t xml:space="preserve"> and approximately </w:t>
      </w:r>
      <w:r w:rsidRPr="00006D62">
        <w:rPr>
          <w:b/>
          <w:i/>
        </w:rPr>
        <w:t>67%</w:t>
      </w:r>
      <w:r>
        <w:t xml:space="preserve"> are converted to </w:t>
      </w:r>
      <w:r w:rsidRPr="00006D62">
        <w:rPr>
          <w:b/>
          <w:i/>
        </w:rPr>
        <w:t>PG 6-8</w:t>
      </w:r>
      <w:r w:rsidR="006C6E08">
        <w:t>.</w:t>
      </w:r>
      <w:r>
        <w:t xml:space="preserve">  </w:t>
      </w:r>
    </w:p>
    <w:p w:rsidRPr="00006D62" w:rsidR="00006D62" w:rsidP="00006D62" w:rsidRDefault="00006D62" w14:paraId="4F61C214" w14:textId="77777777">
      <w:pPr>
        <w:ind w:left="720"/>
        <w:rPr>
          <w:b/>
          <w:i/>
        </w:rPr>
      </w:pPr>
      <w:r w:rsidRPr="00006D62">
        <w:rPr>
          <w:b/>
          <w:i/>
        </w:rPr>
        <w:t xml:space="preserve">Graph </w:t>
      </w:r>
      <w:r w:rsidR="001D21D4">
        <w:rPr>
          <w:b/>
          <w:i/>
        </w:rPr>
        <w:t>2</w:t>
      </w:r>
      <w:r w:rsidRPr="00006D62">
        <w:rPr>
          <w:b/>
          <w:i/>
        </w:rPr>
        <w:t xml:space="preserve">: </w:t>
      </w:r>
      <w:r w:rsidR="006C6E08">
        <w:rPr>
          <w:b/>
          <w:i/>
        </w:rPr>
        <w:t xml:space="preserve">2016 Conversion Data </w:t>
      </w:r>
    </w:p>
    <w:p w:rsidR="00006D62" w:rsidP="00006D62" w:rsidRDefault="006C6E08" w14:paraId="745F56EC" w14:textId="77777777">
      <w:pPr>
        <w:ind w:left="720"/>
      </w:pPr>
      <w:r>
        <w:rPr>
          <w:noProof/>
        </w:rPr>
        <w:drawing>
          <wp:inline distT="0" distB="0" distL="0" distR="0" wp14:anchorId="6321C38A" wp14:editId="215769B0">
            <wp:extent cx="4324350" cy="2457450"/>
            <wp:effectExtent l="0" t="0" r="0" b="0"/>
            <wp:docPr id="3" name="Chart 3">
              <a:extLst xmlns:a="http://schemas.openxmlformats.org/drawingml/2006/main">
                <a:ext uri="{FF2B5EF4-FFF2-40B4-BE49-F238E27FC236}">
                  <a16:creationId xmlns:a16="http://schemas.microsoft.com/office/drawing/2014/main" id="{D0B9EDC0-4D61-4F92-9B63-41BC207638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6D62" w:rsidP="00006D62" w:rsidRDefault="00006D62" w14:paraId="08969DE3" w14:textId="77777777">
      <w:pPr>
        <w:ind w:left="720"/>
        <w:rPr>
          <w:b/>
          <w:i/>
        </w:rPr>
      </w:pPr>
    </w:p>
    <w:p w:rsidR="006C6E08" w:rsidP="00006D62" w:rsidRDefault="006C6E08" w14:paraId="1533D493" w14:textId="77777777">
      <w:pPr>
        <w:ind w:left="720"/>
        <w:rPr>
          <w:b/>
          <w:i/>
        </w:rPr>
      </w:pPr>
    </w:p>
    <w:p w:rsidRPr="006C6E08" w:rsidR="006C6E08" w:rsidP="00006D62" w:rsidRDefault="006C6E08" w14:paraId="006ECD58" w14:textId="77777777">
      <w:pPr>
        <w:ind w:left="720"/>
        <w:rPr>
          <w:b/>
          <w:i/>
        </w:rPr>
      </w:pPr>
    </w:p>
    <w:p w:rsidR="006C6E08" w:rsidP="00006D62" w:rsidRDefault="006C6E08" w14:paraId="35C85674" w14:textId="77777777">
      <w:pPr>
        <w:ind w:left="720"/>
        <w:rPr>
          <w:b/>
          <w:i/>
        </w:rPr>
      </w:pPr>
      <w:r w:rsidRPr="006C6E08">
        <w:rPr>
          <w:b/>
          <w:i/>
        </w:rPr>
        <w:lastRenderedPageBreak/>
        <w:t xml:space="preserve">Graph </w:t>
      </w:r>
      <w:r w:rsidR="001D21D4">
        <w:rPr>
          <w:b/>
          <w:i/>
        </w:rPr>
        <w:t>3</w:t>
      </w:r>
      <w:r w:rsidRPr="006C6E08">
        <w:rPr>
          <w:b/>
          <w:i/>
        </w:rPr>
        <w:t xml:space="preserve">: 2017 </w:t>
      </w:r>
      <w:r>
        <w:rPr>
          <w:b/>
          <w:i/>
        </w:rPr>
        <w:t xml:space="preserve">Conversion </w:t>
      </w:r>
      <w:r w:rsidRPr="006C6E08">
        <w:rPr>
          <w:b/>
          <w:i/>
        </w:rPr>
        <w:t xml:space="preserve">Data </w:t>
      </w:r>
    </w:p>
    <w:p w:rsidR="006C6E08" w:rsidP="00006D62" w:rsidRDefault="006C6E08" w14:paraId="61A95D6E" w14:textId="77777777">
      <w:pPr>
        <w:ind w:left="720"/>
        <w:rPr>
          <w:b/>
          <w:i/>
        </w:rPr>
      </w:pPr>
      <w:r>
        <w:rPr>
          <w:noProof/>
        </w:rPr>
        <w:drawing>
          <wp:inline distT="0" distB="0" distL="0" distR="0" wp14:anchorId="317E55A3" wp14:editId="56A819BE">
            <wp:extent cx="4400550" cy="2486025"/>
            <wp:effectExtent l="0" t="0" r="0" b="0"/>
            <wp:docPr id="4" name="Chart 4">
              <a:extLst xmlns:a="http://schemas.openxmlformats.org/drawingml/2006/main">
                <a:ext uri="{FF2B5EF4-FFF2-40B4-BE49-F238E27FC236}">
                  <a16:creationId xmlns:a16="http://schemas.microsoft.com/office/drawing/2014/main" id="{38E7F8F0-61F6-428E-93B2-399FFE643F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6C6E08" w:rsidR="006C6E08" w:rsidP="00006D62" w:rsidRDefault="006C6E08" w14:paraId="39724098" w14:textId="77777777">
      <w:pPr>
        <w:ind w:left="720"/>
        <w:rPr>
          <w:b/>
          <w:i/>
        </w:rPr>
      </w:pPr>
    </w:p>
    <w:p w:rsidRPr="00D953EB" w:rsidR="00D953EB" w:rsidRDefault="00D953EB" w14:paraId="6F24D5D1" w14:textId="77777777">
      <w:pPr>
        <w:rPr>
          <w:b/>
        </w:rPr>
      </w:pPr>
      <w:r>
        <w:tab/>
      </w:r>
      <w:r w:rsidRPr="00D953EB">
        <w:rPr>
          <w:b/>
        </w:rPr>
        <w:t xml:space="preserve">Conclusion: </w:t>
      </w:r>
    </w:p>
    <w:p w:rsidR="00717578" w:rsidP="00D953EB" w:rsidRDefault="00717578" w14:paraId="732BA184" w14:textId="77777777">
      <w:pPr>
        <w:ind w:left="720"/>
      </w:pPr>
      <w:r>
        <w:t xml:space="preserve">In </w:t>
      </w:r>
      <w:r w:rsidR="00D953EB">
        <w:t>summary</w:t>
      </w:r>
      <w:r>
        <w:t>,</w:t>
      </w:r>
      <w:r w:rsidR="00D953EB">
        <w:t xml:space="preserve"> the Income Verification Division is committed to minimizing the burden on our Veterans by exploring system enhancements that will improve timeliness of service, optimize processes for Veterans, and modernize our information technology systems.    </w:t>
      </w:r>
    </w:p>
    <w:sectPr w:rsidR="00717578">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O'Donnell, Frances M.  (Cathexis)" w:date="2021-04-15T14:42:00Z" w:initials="OFM(">
    <w:p w14:paraId="2B629557" w14:textId="1129DB69" w:rsidR="00F21980" w:rsidRDefault="00F21980">
      <w:pPr>
        <w:pStyle w:val="CommentText"/>
      </w:pPr>
      <w:r>
        <w:rPr>
          <w:rStyle w:val="CommentReference"/>
        </w:rPr>
        <w:annotationRef/>
      </w:r>
      <w:r>
        <w:t>Note:  The forms were approved under these numbers – however, the forms will receive new VA Form Numbers using the 10-XXXX designation.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6295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CF46" w16cex:dateUtc="2021-04-15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629557" w16cid:durableId="2422CF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96C3F" w14:textId="77777777" w:rsidR="00902485" w:rsidRDefault="00902485" w:rsidP="001D21D4">
      <w:pPr>
        <w:spacing w:after="0" w:line="240" w:lineRule="auto"/>
      </w:pPr>
      <w:r>
        <w:separator/>
      </w:r>
    </w:p>
  </w:endnote>
  <w:endnote w:type="continuationSeparator" w:id="0">
    <w:p w14:paraId="362653CE" w14:textId="77777777" w:rsidR="00902485" w:rsidRDefault="00902485" w:rsidP="001D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9515902"/>
      <w:docPartObj>
        <w:docPartGallery w:val="Page Numbers (Bottom of Page)"/>
        <w:docPartUnique/>
      </w:docPartObj>
    </w:sdtPr>
    <w:sdtEndPr>
      <w:rPr>
        <w:noProof/>
      </w:rPr>
    </w:sdtEndPr>
    <w:sdtContent>
      <w:p w14:paraId="796AF4E8" w14:textId="77777777" w:rsidR="001D21D4" w:rsidRDefault="001D2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4271C7" w14:textId="77777777" w:rsidR="001D21D4" w:rsidRDefault="001D2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51EEC" w14:textId="77777777" w:rsidR="00902485" w:rsidRDefault="00902485" w:rsidP="001D21D4">
      <w:pPr>
        <w:spacing w:after="0" w:line="240" w:lineRule="auto"/>
      </w:pPr>
      <w:r>
        <w:separator/>
      </w:r>
    </w:p>
  </w:footnote>
  <w:footnote w:type="continuationSeparator" w:id="0">
    <w:p w14:paraId="0990F20F" w14:textId="77777777" w:rsidR="00902485" w:rsidRDefault="00902485" w:rsidP="001D2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04EA8"/>
    <w:multiLevelType w:val="hybridMultilevel"/>
    <w:tmpl w:val="413E3C48"/>
    <w:lvl w:ilvl="0" w:tplc="31F8800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Donnell, Frances M.  (Cathexis)">
    <w15:presenceInfo w15:providerId="AD" w15:userId="S::Frances.O'Donnell@va.gov::e0be7c85-f24f-4e00-aa7f-d2e857459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D2"/>
    <w:rsid w:val="000012F2"/>
    <w:rsid w:val="00006D62"/>
    <w:rsid w:val="001D21D4"/>
    <w:rsid w:val="001E6119"/>
    <w:rsid w:val="002641F7"/>
    <w:rsid w:val="003A18B3"/>
    <w:rsid w:val="003B0928"/>
    <w:rsid w:val="004822C7"/>
    <w:rsid w:val="004F377B"/>
    <w:rsid w:val="006C6E08"/>
    <w:rsid w:val="00717578"/>
    <w:rsid w:val="00811AA9"/>
    <w:rsid w:val="00821E63"/>
    <w:rsid w:val="00867422"/>
    <w:rsid w:val="008823D2"/>
    <w:rsid w:val="00902485"/>
    <w:rsid w:val="00A62266"/>
    <w:rsid w:val="00B57383"/>
    <w:rsid w:val="00BE5077"/>
    <w:rsid w:val="00C74270"/>
    <w:rsid w:val="00C8423E"/>
    <w:rsid w:val="00CA5A29"/>
    <w:rsid w:val="00D953EB"/>
    <w:rsid w:val="00DF71A6"/>
    <w:rsid w:val="00DF7FF0"/>
    <w:rsid w:val="00E567B5"/>
    <w:rsid w:val="00F21980"/>
    <w:rsid w:val="00F4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F426"/>
  <w15:chartTrackingRefBased/>
  <w15:docId w15:val="{112FC1A4-C345-42B9-8056-678B7C53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077"/>
    <w:pPr>
      <w:ind w:left="720"/>
      <w:contextualSpacing/>
    </w:pPr>
  </w:style>
  <w:style w:type="paragraph" w:styleId="BalloonText">
    <w:name w:val="Balloon Text"/>
    <w:basedOn w:val="Normal"/>
    <w:link w:val="BalloonTextChar"/>
    <w:uiPriority w:val="99"/>
    <w:semiHidden/>
    <w:unhideWhenUsed/>
    <w:rsid w:val="004F3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77B"/>
    <w:rPr>
      <w:rFonts w:ascii="Segoe UI" w:hAnsi="Segoe UI" w:cs="Segoe UI"/>
      <w:sz w:val="18"/>
      <w:szCs w:val="18"/>
    </w:rPr>
  </w:style>
  <w:style w:type="paragraph" w:styleId="Header">
    <w:name w:val="header"/>
    <w:basedOn w:val="Normal"/>
    <w:link w:val="HeaderChar"/>
    <w:uiPriority w:val="99"/>
    <w:unhideWhenUsed/>
    <w:rsid w:val="001D2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1D4"/>
  </w:style>
  <w:style w:type="paragraph" w:styleId="Footer">
    <w:name w:val="footer"/>
    <w:basedOn w:val="Normal"/>
    <w:link w:val="FooterChar"/>
    <w:uiPriority w:val="99"/>
    <w:unhideWhenUsed/>
    <w:rsid w:val="001D2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1D4"/>
  </w:style>
  <w:style w:type="character" w:styleId="CommentReference">
    <w:name w:val="annotation reference"/>
    <w:basedOn w:val="DefaultParagraphFont"/>
    <w:uiPriority w:val="99"/>
    <w:semiHidden/>
    <w:unhideWhenUsed/>
    <w:rsid w:val="00F21980"/>
    <w:rPr>
      <w:sz w:val="16"/>
      <w:szCs w:val="16"/>
    </w:rPr>
  </w:style>
  <w:style w:type="paragraph" w:styleId="CommentText">
    <w:name w:val="annotation text"/>
    <w:basedOn w:val="Normal"/>
    <w:link w:val="CommentTextChar"/>
    <w:uiPriority w:val="99"/>
    <w:semiHidden/>
    <w:unhideWhenUsed/>
    <w:rsid w:val="00F21980"/>
    <w:pPr>
      <w:spacing w:line="240" w:lineRule="auto"/>
    </w:pPr>
    <w:rPr>
      <w:sz w:val="20"/>
      <w:szCs w:val="20"/>
    </w:rPr>
  </w:style>
  <w:style w:type="character" w:customStyle="1" w:styleId="CommentTextChar">
    <w:name w:val="Comment Text Char"/>
    <w:basedOn w:val="DefaultParagraphFont"/>
    <w:link w:val="CommentText"/>
    <w:uiPriority w:val="99"/>
    <w:semiHidden/>
    <w:rsid w:val="00F21980"/>
    <w:rPr>
      <w:sz w:val="20"/>
      <w:szCs w:val="20"/>
    </w:rPr>
  </w:style>
  <w:style w:type="paragraph" w:styleId="CommentSubject">
    <w:name w:val="annotation subject"/>
    <w:basedOn w:val="CommentText"/>
    <w:next w:val="CommentText"/>
    <w:link w:val="CommentSubjectChar"/>
    <w:uiPriority w:val="99"/>
    <w:semiHidden/>
    <w:unhideWhenUsed/>
    <w:rsid w:val="00F21980"/>
    <w:rPr>
      <w:b/>
      <w:bCs/>
    </w:rPr>
  </w:style>
  <w:style w:type="character" w:customStyle="1" w:styleId="CommentSubjectChar">
    <w:name w:val="Comment Subject Char"/>
    <w:basedOn w:val="CommentTextChar"/>
    <w:link w:val="CommentSubject"/>
    <w:uiPriority w:val="99"/>
    <w:semiHidden/>
    <w:rsid w:val="00F219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12243">
      <w:bodyDiv w:val="1"/>
      <w:marLeft w:val="0"/>
      <w:marRight w:val="0"/>
      <w:marTop w:val="0"/>
      <w:marBottom w:val="0"/>
      <w:divBdr>
        <w:top w:val="none" w:sz="0" w:space="0" w:color="auto"/>
        <w:left w:val="none" w:sz="0" w:space="0" w:color="auto"/>
        <w:bottom w:val="none" w:sz="0" w:space="0" w:color="auto"/>
        <w:right w:val="none" w:sz="0" w:space="0" w:color="auto"/>
      </w:divBdr>
    </w:div>
    <w:div w:id="841706184">
      <w:bodyDiv w:val="1"/>
      <w:marLeft w:val="0"/>
      <w:marRight w:val="0"/>
      <w:marTop w:val="0"/>
      <w:marBottom w:val="0"/>
      <w:divBdr>
        <w:top w:val="none" w:sz="0" w:space="0" w:color="auto"/>
        <w:left w:val="none" w:sz="0" w:space="0" w:color="auto"/>
        <w:bottom w:val="none" w:sz="0" w:space="0" w:color="auto"/>
        <w:right w:val="none" w:sz="0" w:space="0" w:color="auto"/>
      </w:divBdr>
    </w:div>
    <w:div w:id="1194612781">
      <w:bodyDiv w:val="1"/>
      <w:marLeft w:val="0"/>
      <w:marRight w:val="0"/>
      <w:marTop w:val="0"/>
      <w:marBottom w:val="0"/>
      <w:divBdr>
        <w:top w:val="none" w:sz="0" w:space="0" w:color="auto"/>
        <w:left w:val="none" w:sz="0" w:space="0" w:color="auto"/>
        <w:bottom w:val="none" w:sz="0" w:space="0" w:color="auto"/>
        <w:right w:val="none" w:sz="0" w:space="0" w:color="auto"/>
      </w:divBdr>
    </w:div>
    <w:div w:id="1406994249">
      <w:bodyDiv w:val="1"/>
      <w:marLeft w:val="0"/>
      <w:marRight w:val="0"/>
      <w:marTop w:val="0"/>
      <w:marBottom w:val="0"/>
      <w:divBdr>
        <w:top w:val="none" w:sz="0" w:space="0" w:color="auto"/>
        <w:left w:val="none" w:sz="0" w:space="0" w:color="auto"/>
        <w:bottom w:val="none" w:sz="0" w:space="0" w:color="auto"/>
        <w:right w:val="none" w:sz="0" w:space="0" w:color="auto"/>
      </w:divBdr>
    </w:div>
    <w:div w:id="1434549575">
      <w:bodyDiv w:val="1"/>
      <w:marLeft w:val="0"/>
      <w:marRight w:val="0"/>
      <w:marTop w:val="0"/>
      <w:marBottom w:val="0"/>
      <w:divBdr>
        <w:top w:val="none" w:sz="0" w:space="0" w:color="auto"/>
        <w:left w:val="none" w:sz="0" w:space="0" w:color="auto"/>
        <w:bottom w:val="none" w:sz="0" w:space="0" w:color="auto"/>
        <w:right w:val="none" w:sz="0" w:space="0" w:color="auto"/>
      </w:divBdr>
    </w:div>
    <w:div w:id="1480223994">
      <w:bodyDiv w:val="1"/>
      <w:marLeft w:val="0"/>
      <w:marRight w:val="0"/>
      <w:marTop w:val="0"/>
      <w:marBottom w:val="0"/>
      <w:divBdr>
        <w:top w:val="none" w:sz="0" w:space="0" w:color="auto"/>
        <w:left w:val="none" w:sz="0" w:space="0" w:color="auto"/>
        <w:bottom w:val="none" w:sz="0" w:space="0" w:color="auto"/>
        <w:right w:val="none" w:sz="0" w:space="0" w:color="auto"/>
      </w:divBdr>
    </w:div>
    <w:div w:id="17693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IRS/SSA Matched &amp; IV Cases Created</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Sheet1!$C$1</c:f>
              <c:strCache>
                <c:ptCount val="1"/>
                <c:pt idx="0">
                  <c:v>IV Cases Created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Sheet1!$A$2:$A$8</c:f>
              <c:strCache>
                <c:ptCount val="7"/>
                <c:pt idx="0">
                  <c:v>IY 2012</c:v>
                </c:pt>
                <c:pt idx="1">
                  <c:v>IY 2013</c:v>
                </c:pt>
                <c:pt idx="2">
                  <c:v>IY 2014</c:v>
                </c:pt>
                <c:pt idx="3">
                  <c:v>IY 2015</c:v>
                </c:pt>
                <c:pt idx="4">
                  <c:v>IY 2016</c:v>
                </c:pt>
                <c:pt idx="5">
                  <c:v>IY 2017</c:v>
                </c:pt>
                <c:pt idx="6">
                  <c:v>Average</c:v>
                </c:pt>
              </c:strCache>
            </c:strRef>
          </c:cat>
          <c:val>
            <c:numRef>
              <c:f>Sheet1!$C$2:$C$8</c:f>
              <c:numCache>
                <c:formatCode>#,##0</c:formatCode>
                <c:ptCount val="7"/>
                <c:pt idx="0">
                  <c:v>197120</c:v>
                </c:pt>
                <c:pt idx="1">
                  <c:v>125342</c:v>
                </c:pt>
                <c:pt idx="2">
                  <c:v>192525</c:v>
                </c:pt>
                <c:pt idx="3">
                  <c:v>147701</c:v>
                </c:pt>
                <c:pt idx="4">
                  <c:v>157740</c:v>
                </c:pt>
                <c:pt idx="5">
                  <c:v>116829</c:v>
                </c:pt>
                <c:pt idx="6">
                  <c:v>156209.5</c:v>
                </c:pt>
              </c:numCache>
            </c:numRef>
          </c:val>
          <c:extLst>
            <c:ext xmlns:c16="http://schemas.microsoft.com/office/drawing/2014/chart" uri="{C3380CC4-5D6E-409C-BE32-E72D297353CC}">
              <c16:uniqueId val="{00000000-7CC4-4F6D-A818-BAD5D6A814DE}"/>
            </c:ext>
          </c:extLst>
        </c:ser>
        <c:ser>
          <c:idx val="1"/>
          <c:order val="1"/>
          <c:tx>
            <c:strRef>
              <c:f>Sheet1!$B$1</c:f>
              <c:strCache>
                <c:ptCount val="1"/>
                <c:pt idx="0">
                  <c:v>IRS/SSA Matched</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Sheet1!$A$2:$A$8</c:f>
              <c:strCache>
                <c:ptCount val="7"/>
                <c:pt idx="0">
                  <c:v>IY 2012</c:v>
                </c:pt>
                <c:pt idx="1">
                  <c:v>IY 2013</c:v>
                </c:pt>
                <c:pt idx="2">
                  <c:v>IY 2014</c:v>
                </c:pt>
                <c:pt idx="3">
                  <c:v>IY 2015</c:v>
                </c:pt>
                <c:pt idx="4">
                  <c:v>IY 2016</c:v>
                </c:pt>
                <c:pt idx="5">
                  <c:v>IY 2017</c:v>
                </c:pt>
                <c:pt idx="6">
                  <c:v>Average</c:v>
                </c:pt>
              </c:strCache>
            </c:strRef>
          </c:cat>
          <c:val>
            <c:numRef>
              <c:f>Sheet1!$B$2:$B$8</c:f>
              <c:numCache>
                <c:formatCode>#,##0</c:formatCode>
                <c:ptCount val="7"/>
                <c:pt idx="0">
                  <c:v>1796353</c:v>
                </c:pt>
                <c:pt idx="1">
                  <c:v>1425838</c:v>
                </c:pt>
                <c:pt idx="2">
                  <c:v>2602836</c:v>
                </c:pt>
                <c:pt idx="3">
                  <c:v>2159197</c:v>
                </c:pt>
                <c:pt idx="4">
                  <c:v>2313770</c:v>
                </c:pt>
                <c:pt idx="5">
                  <c:v>1475286</c:v>
                </c:pt>
                <c:pt idx="6">
                  <c:v>1962213.3333333333</c:v>
                </c:pt>
              </c:numCache>
            </c:numRef>
          </c:val>
          <c:extLst>
            <c:ext xmlns:c16="http://schemas.microsoft.com/office/drawing/2014/chart" uri="{C3380CC4-5D6E-409C-BE32-E72D297353CC}">
              <c16:uniqueId val="{00000001-7CC4-4F6D-A818-BAD5D6A814DE}"/>
            </c:ext>
          </c:extLst>
        </c:ser>
        <c:ser>
          <c:idx val="2"/>
          <c:order val="2"/>
          <c:tx>
            <c:strRef>
              <c:f>Sheet1!$D$1</c:f>
              <c:strCache>
                <c:ptCount val="1"/>
                <c:pt idx="0">
                  <c:v>Difference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Sheet1!$A$2:$A$8</c:f>
              <c:strCache>
                <c:ptCount val="7"/>
                <c:pt idx="0">
                  <c:v>IY 2012</c:v>
                </c:pt>
                <c:pt idx="1">
                  <c:v>IY 2013</c:v>
                </c:pt>
                <c:pt idx="2">
                  <c:v>IY 2014</c:v>
                </c:pt>
                <c:pt idx="3">
                  <c:v>IY 2015</c:v>
                </c:pt>
                <c:pt idx="4">
                  <c:v>IY 2016</c:v>
                </c:pt>
                <c:pt idx="5">
                  <c:v>IY 2017</c:v>
                </c:pt>
                <c:pt idx="6">
                  <c:v>Average</c:v>
                </c:pt>
              </c:strCache>
            </c:strRef>
          </c:cat>
          <c:val>
            <c:numRef>
              <c:f>Sheet1!$D$2:$D$8</c:f>
              <c:numCache>
                <c:formatCode>0.00%</c:formatCode>
                <c:ptCount val="7"/>
                <c:pt idx="0">
                  <c:v>0.10973344325976019</c:v>
                </c:pt>
                <c:pt idx="1">
                  <c:v>8.7907602406444491E-2</c:v>
                </c:pt>
                <c:pt idx="2">
                  <c:v>7.3967395563915669E-2</c:v>
                </c:pt>
                <c:pt idx="3">
                  <c:v>6.8405522979144567E-2</c:v>
                </c:pt>
                <c:pt idx="4">
                  <c:v>6.8174451220302801E-2</c:v>
                </c:pt>
                <c:pt idx="5">
                  <c:v>7.9190746743343324E-2</c:v>
                </c:pt>
                <c:pt idx="6">
                  <c:v>8.1229860362151837E-2</c:v>
                </c:pt>
              </c:numCache>
            </c:numRef>
          </c:val>
          <c:extLst>
            <c:ext xmlns:c16="http://schemas.microsoft.com/office/drawing/2014/chart" uri="{C3380CC4-5D6E-409C-BE32-E72D297353CC}">
              <c16:uniqueId val="{00000002-7CC4-4F6D-A818-BAD5D6A814DE}"/>
            </c:ext>
          </c:extLst>
        </c:ser>
        <c:dLbls>
          <c:showLegendKey val="0"/>
          <c:showVal val="0"/>
          <c:showCatName val="0"/>
          <c:showSerName val="0"/>
          <c:showPercent val="0"/>
          <c:showBubbleSize val="0"/>
        </c:dLbls>
        <c:gapWidth val="150"/>
        <c:shape val="box"/>
        <c:axId val="597541440"/>
        <c:axId val="597535864"/>
        <c:axId val="352167088"/>
      </c:bar3DChart>
      <c:catAx>
        <c:axId val="597541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97535864"/>
        <c:crosses val="autoZero"/>
        <c:auto val="1"/>
        <c:lblAlgn val="ctr"/>
        <c:lblOffset val="100"/>
        <c:noMultiLvlLbl val="0"/>
      </c:catAx>
      <c:valAx>
        <c:axId val="597535864"/>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97541440"/>
        <c:crosses val="autoZero"/>
        <c:crossBetween val="between"/>
      </c:valAx>
      <c:serAx>
        <c:axId val="35216708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9753586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2016 Cases Converted after Adjudication</a:t>
            </a:r>
          </a:p>
        </c:rich>
      </c:tx>
      <c:layout>
        <c:manualLayout>
          <c:xMode val="edge"/>
          <c:yMode val="edge"/>
          <c:x val="0.18122900262467193"/>
          <c:y val="2.7777777777777776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'2016 &amp; 2017 Case Closure'!$B$2</c:f>
              <c:strCache>
                <c:ptCount val="1"/>
                <c:pt idx="0">
                  <c:v>2016</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'2016 &amp; 2017 Case Closure'!$A$3:$A$10</c:f>
              <c:strCache>
                <c:ptCount val="8"/>
                <c:pt idx="0">
                  <c:v>Priority 1</c:v>
                </c:pt>
                <c:pt idx="1">
                  <c:v>Priority 2</c:v>
                </c:pt>
                <c:pt idx="2">
                  <c:v>Priority 3</c:v>
                </c:pt>
                <c:pt idx="3">
                  <c:v>Priority 4</c:v>
                </c:pt>
                <c:pt idx="4">
                  <c:v>Priority 5</c:v>
                </c:pt>
                <c:pt idx="5">
                  <c:v>Priority 6</c:v>
                </c:pt>
                <c:pt idx="6">
                  <c:v>Priority 7</c:v>
                </c:pt>
                <c:pt idx="7">
                  <c:v>Priority 8</c:v>
                </c:pt>
              </c:strCache>
            </c:strRef>
          </c:cat>
          <c:val>
            <c:numRef>
              <c:f>'2016 &amp; 2017 Case Closure'!$B$3:$B$10</c:f>
              <c:numCache>
                <c:formatCode>#,##0</c:formatCode>
                <c:ptCount val="8"/>
                <c:pt idx="0">
                  <c:v>4211</c:v>
                </c:pt>
                <c:pt idx="1">
                  <c:v>1626</c:v>
                </c:pt>
                <c:pt idx="2">
                  <c:v>4452</c:v>
                </c:pt>
                <c:pt idx="3">
                  <c:v>1071</c:v>
                </c:pt>
                <c:pt idx="4">
                  <c:v>33818</c:v>
                </c:pt>
                <c:pt idx="5">
                  <c:v>11045</c:v>
                </c:pt>
                <c:pt idx="6">
                  <c:v>26546</c:v>
                </c:pt>
                <c:pt idx="7">
                  <c:v>57849</c:v>
                </c:pt>
              </c:numCache>
            </c:numRef>
          </c:val>
          <c:extLst>
            <c:ext xmlns:c16="http://schemas.microsoft.com/office/drawing/2014/chart" uri="{C3380CC4-5D6E-409C-BE32-E72D297353CC}">
              <c16:uniqueId val="{00000000-48E4-49A5-9758-C96DA05E4C6F}"/>
            </c:ext>
          </c:extLst>
        </c:ser>
        <c:dLbls>
          <c:showLegendKey val="0"/>
          <c:showVal val="0"/>
          <c:showCatName val="0"/>
          <c:showSerName val="0"/>
          <c:showPercent val="0"/>
          <c:showBubbleSize val="0"/>
        </c:dLbls>
        <c:gapWidth val="150"/>
        <c:axId val="449353832"/>
        <c:axId val="449354160"/>
      </c:barChart>
      <c:lineChart>
        <c:grouping val="standard"/>
        <c:varyColors val="0"/>
        <c:ser>
          <c:idx val="1"/>
          <c:order val="1"/>
          <c:tx>
            <c:strRef>
              <c:f>'2016 &amp; 2017 Case Closure'!$C$2</c:f>
              <c:strCache>
                <c:ptCount val="1"/>
                <c:pt idx="0">
                  <c:v> % Converted</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'2016 &amp; 2017 Case Closure'!$A$3:$A$10</c:f>
              <c:strCache>
                <c:ptCount val="8"/>
                <c:pt idx="0">
                  <c:v>Priority 1</c:v>
                </c:pt>
                <c:pt idx="1">
                  <c:v>Priority 2</c:v>
                </c:pt>
                <c:pt idx="2">
                  <c:v>Priority 3</c:v>
                </c:pt>
                <c:pt idx="3">
                  <c:v>Priority 4</c:v>
                </c:pt>
                <c:pt idx="4">
                  <c:v>Priority 5</c:v>
                </c:pt>
                <c:pt idx="5">
                  <c:v>Priority 6</c:v>
                </c:pt>
                <c:pt idx="6">
                  <c:v>Priority 7</c:v>
                </c:pt>
                <c:pt idx="7">
                  <c:v>Priority 8</c:v>
                </c:pt>
              </c:strCache>
            </c:strRef>
          </c:cat>
          <c:val>
            <c:numRef>
              <c:f>'2016 &amp; 2017 Case Closure'!$C$3:$C$10</c:f>
              <c:numCache>
                <c:formatCode>0%</c:formatCode>
                <c:ptCount val="8"/>
                <c:pt idx="0">
                  <c:v>2.9523115105795254E-2</c:v>
                </c:pt>
                <c:pt idx="1">
                  <c:v>1.1399806497749484E-2</c:v>
                </c:pt>
                <c:pt idx="2">
                  <c:v>3.1212754322251356E-2</c:v>
                </c:pt>
                <c:pt idx="3">
                  <c:v>7.5087286341265057E-3</c:v>
                </c:pt>
                <c:pt idx="4">
                  <c:v>0.23709634449009354</c:v>
                </c:pt>
                <c:pt idx="5">
                  <c:v>7.7435954961650094E-2</c:v>
                </c:pt>
                <c:pt idx="6">
                  <c:v>0.18611270804997407</c:v>
                </c:pt>
                <c:pt idx="7">
                  <c:v>0.40557651050941573</c:v>
                </c:pt>
              </c:numCache>
            </c:numRef>
          </c:val>
          <c:smooth val="0"/>
          <c:extLst>
            <c:ext xmlns:c16="http://schemas.microsoft.com/office/drawing/2014/chart" uri="{C3380CC4-5D6E-409C-BE32-E72D297353CC}">
              <c16:uniqueId val="{00000001-48E4-49A5-9758-C96DA05E4C6F}"/>
            </c:ext>
          </c:extLst>
        </c:ser>
        <c:dLbls>
          <c:showLegendKey val="0"/>
          <c:showVal val="0"/>
          <c:showCatName val="0"/>
          <c:showSerName val="0"/>
          <c:showPercent val="0"/>
          <c:showBubbleSize val="0"/>
        </c:dLbls>
        <c:marker val="1"/>
        <c:smooth val="0"/>
        <c:axId val="448712096"/>
        <c:axId val="448711768"/>
      </c:lineChart>
      <c:catAx>
        <c:axId val="4493538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9354160"/>
        <c:crosses val="autoZero"/>
        <c:auto val="1"/>
        <c:lblAlgn val="ctr"/>
        <c:lblOffset val="100"/>
        <c:noMultiLvlLbl val="0"/>
      </c:catAx>
      <c:valAx>
        <c:axId val="449354160"/>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9353832"/>
        <c:crosses val="autoZero"/>
        <c:crossBetween val="between"/>
      </c:valAx>
      <c:valAx>
        <c:axId val="448711768"/>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8712096"/>
        <c:crosses val="max"/>
        <c:crossBetween val="between"/>
      </c:valAx>
      <c:catAx>
        <c:axId val="448712096"/>
        <c:scaling>
          <c:orientation val="minMax"/>
        </c:scaling>
        <c:delete val="1"/>
        <c:axPos val="b"/>
        <c:numFmt formatCode="General" sourceLinked="1"/>
        <c:majorTickMark val="none"/>
        <c:minorTickMark val="none"/>
        <c:tickLblPos val="nextTo"/>
        <c:crossAx val="448711768"/>
        <c:crosses val="autoZero"/>
        <c:auto val="1"/>
        <c:lblAlgn val="ctr"/>
        <c:lblOffset val="100"/>
        <c:noMultiLvlLbl val="0"/>
      </c:cat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2017 Cases Converted after Adjudication</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'2016 &amp; 2017 Case Closure'!$D$2</c:f>
              <c:strCache>
                <c:ptCount val="1"/>
                <c:pt idx="0">
                  <c:v>2017</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'2016 &amp; 2017 Case Closure'!$A$3:$A$10</c:f>
              <c:strCache>
                <c:ptCount val="8"/>
                <c:pt idx="0">
                  <c:v>Priority 1</c:v>
                </c:pt>
                <c:pt idx="1">
                  <c:v>Priority 2</c:v>
                </c:pt>
                <c:pt idx="2">
                  <c:v>Priority 3</c:v>
                </c:pt>
                <c:pt idx="3">
                  <c:v>Priority 4</c:v>
                </c:pt>
                <c:pt idx="4">
                  <c:v>Priority 5</c:v>
                </c:pt>
                <c:pt idx="5">
                  <c:v>Priority 6</c:v>
                </c:pt>
                <c:pt idx="6">
                  <c:v>Priority 7</c:v>
                </c:pt>
                <c:pt idx="7">
                  <c:v>Priority 8</c:v>
                </c:pt>
              </c:strCache>
            </c:strRef>
          </c:cat>
          <c:val>
            <c:numRef>
              <c:f>'2016 &amp; 2017 Case Closure'!$D$3:$D$10</c:f>
              <c:numCache>
                <c:formatCode>General</c:formatCode>
                <c:ptCount val="8"/>
                <c:pt idx="0" formatCode="#,##0">
                  <c:v>1428</c:v>
                </c:pt>
                <c:pt idx="1">
                  <c:v>635</c:v>
                </c:pt>
                <c:pt idx="2" formatCode="#,##0">
                  <c:v>1812</c:v>
                </c:pt>
                <c:pt idx="3">
                  <c:v>409</c:v>
                </c:pt>
                <c:pt idx="4" formatCode="#,##0">
                  <c:v>20807</c:v>
                </c:pt>
                <c:pt idx="5" formatCode="#,##0">
                  <c:v>7231</c:v>
                </c:pt>
                <c:pt idx="6" formatCode="#,##0">
                  <c:v>16657</c:v>
                </c:pt>
                <c:pt idx="7" formatCode="#,##0">
                  <c:v>36748</c:v>
                </c:pt>
              </c:numCache>
            </c:numRef>
          </c:val>
          <c:extLst>
            <c:ext xmlns:c16="http://schemas.microsoft.com/office/drawing/2014/chart" uri="{C3380CC4-5D6E-409C-BE32-E72D297353CC}">
              <c16:uniqueId val="{00000000-6438-4189-9D14-67A267FD2AC2}"/>
            </c:ext>
          </c:extLst>
        </c:ser>
        <c:dLbls>
          <c:showLegendKey val="0"/>
          <c:showVal val="0"/>
          <c:showCatName val="0"/>
          <c:showSerName val="0"/>
          <c:showPercent val="0"/>
          <c:showBubbleSize val="0"/>
        </c:dLbls>
        <c:gapWidth val="150"/>
        <c:axId val="511534728"/>
        <c:axId val="511535056"/>
      </c:barChart>
      <c:lineChart>
        <c:grouping val="standard"/>
        <c:varyColors val="0"/>
        <c:ser>
          <c:idx val="1"/>
          <c:order val="1"/>
          <c:tx>
            <c:strRef>
              <c:f>'2016 &amp; 2017 Case Closure'!$E$2</c:f>
              <c:strCache>
                <c:ptCount val="1"/>
                <c:pt idx="0">
                  <c:v>% Converted</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'2016 &amp; 2017 Case Closure'!$A$3:$A$10</c:f>
              <c:strCache>
                <c:ptCount val="8"/>
                <c:pt idx="0">
                  <c:v>Priority 1</c:v>
                </c:pt>
                <c:pt idx="1">
                  <c:v>Priority 2</c:v>
                </c:pt>
                <c:pt idx="2">
                  <c:v>Priority 3</c:v>
                </c:pt>
                <c:pt idx="3">
                  <c:v>Priority 4</c:v>
                </c:pt>
                <c:pt idx="4">
                  <c:v>Priority 5</c:v>
                </c:pt>
                <c:pt idx="5">
                  <c:v>Priority 6</c:v>
                </c:pt>
                <c:pt idx="6">
                  <c:v>Priority 7</c:v>
                </c:pt>
                <c:pt idx="7">
                  <c:v>Priority 8</c:v>
                </c:pt>
              </c:strCache>
            </c:strRef>
          </c:cat>
          <c:val>
            <c:numRef>
              <c:f>'2016 &amp; 2017 Case Closure'!$E$3:$E$10</c:f>
              <c:numCache>
                <c:formatCode>0%</c:formatCode>
                <c:ptCount val="8"/>
                <c:pt idx="0">
                  <c:v>1.6274617067833699E-2</c:v>
                </c:pt>
                <c:pt idx="1">
                  <c:v>7.2369620714806708E-3</c:v>
                </c:pt>
                <c:pt idx="2">
                  <c:v>2.0650984682713348E-2</c:v>
                </c:pt>
                <c:pt idx="3">
                  <c:v>4.6612873814733773E-3</c:v>
                </c:pt>
                <c:pt idx="4">
                  <c:v>0.23713302334062727</c:v>
                </c:pt>
                <c:pt idx="5">
                  <c:v>8.2410193289569653E-2</c:v>
                </c:pt>
                <c:pt idx="6">
                  <c:v>0.18983634208606856</c:v>
                </c:pt>
                <c:pt idx="7">
                  <c:v>0.41880926331145152</c:v>
                </c:pt>
              </c:numCache>
            </c:numRef>
          </c:val>
          <c:smooth val="0"/>
          <c:extLst>
            <c:ext xmlns:c16="http://schemas.microsoft.com/office/drawing/2014/chart" uri="{C3380CC4-5D6E-409C-BE32-E72D297353CC}">
              <c16:uniqueId val="{00000001-6438-4189-9D14-67A267FD2AC2}"/>
            </c:ext>
          </c:extLst>
        </c:ser>
        <c:dLbls>
          <c:showLegendKey val="0"/>
          <c:showVal val="0"/>
          <c:showCatName val="0"/>
          <c:showSerName val="0"/>
          <c:showPercent val="0"/>
          <c:showBubbleSize val="0"/>
        </c:dLbls>
        <c:marker val="1"/>
        <c:smooth val="0"/>
        <c:axId val="505627720"/>
        <c:axId val="505627392"/>
      </c:lineChart>
      <c:catAx>
        <c:axId val="5115347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11535056"/>
        <c:crosses val="autoZero"/>
        <c:auto val="1"/>
        <c:lblAlgn val="ctr"/>
        <c:lblOffset val="100"/>
        <c:noMultiLvlLbl val="0"/>
      </c:catAx>
      <c:valAx>
        <c:axId val="511535056"/>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11534728"/>
        <c:crosses val="autoZero"/>
        <c:crossBetween val="between"/>
      </c:valAx>
      <c:valAx>
        <c:axId val="505627392"/>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5627720"/>
        <c:crosses val="max"/>
        <c:crossBetween val="between"/>
      </c:valAx>
      <c:catAx>
        <c:axId val="505627720"/>
        <c:scaling>
          <c:orientation val="minMax"/>
        </c:scaling>
        <c:delete val="1"/>
        <c:axPos val="b"/>
        <c:numFmt formatCode="General" sourceLinked="1"/>
        <c:majorTickMark val="none"/>
        <c:minorTickMark val="none"/>
        <c:tickLblPos val="nextTo"/>
        <c:crossAx val="505627392"/>
        <c:crosses val="autoZero"/>
        <c:auto val="1"/>
        <c:lblAlgn val="ctr"/>
        <c:lblOffset val="100"/>
        <c:noMultiLvlLbl val="0"/>
      </c:cat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Serita</dc:creator>
  <cp:keywords/>
  <dc:description/>
  <cp:lastModifiedBy>O'Donnell, Frances M.  (Cathexis)</cp:lastModifiedBy>
  <cp:revision>4</cp:revision>
  <cp:lastPrinted>2019-11-29T18:58:00Z</cp:lastPrinted>
  <dcterms:created xsi:type="dcterms:W3CDTF">2021-04-15T16:27:00Z</dcterms:created>
  <dcterms:modified xsi:type="dcterms:W3CDTF">2021-04-15T18:44:00Z</dcterms:modified>
</cp:coreProperties>
</file>