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B4C86">
        <w:rPr>
          <w:sz w:val="28"/>
        </w:rPr>
        <w:t>2900-XXXX</w:t>
      </w:r>
      <w:r>
        <w:rPr>
          <w:sz w:val="28"/>
        </w:rPr>
        <w:t>)</w:t>
      </w:r>
    </w:p>
    <w:p w:rsidR="00CB4C86" w:rsidP="00434E33" w:rsidRDefault="007F7080">
      <w:r>
        <w:rPr>
          <w:b/>
          <w:noProof/>
        </w:rPr>
        <w:pict>
          <v:line id="_x0000_s1027" style="position:absolute;z-index:1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CB4C86" w:rsidP="00434E33" w:rsidRDefault="00CB4C86"/>
    <w:p w:rsidRPr="00CB4C86" w:rsidR="00E50293" w:rsidP="00CB4C86" w:rsidRDefault="00685AD0">
      <w:pPr>
        <w:jc w:val="center"/>
        <w:rPr>
          <w:rFonts w:ascii="Arial" w:hAnsi="Arial" w:cs="Arial"/>
          <w:b/>
        </w:rPr>
      </w:pPr>
      <w:r w:rsidRPr="00CB4C86">
        <w:rPr>
          <w:rFonts w:ascii="Arial" w:hAnsi="Arial" w:cs="Arial"/>
        </w:rPr>
        <w:t>Million Veteran Program (MVP) COVID-19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F1A5C" w:rsidP="00685AD0" w:rsidRDefault="00BF1A5C">
      <w:pPr>
        <w:autoSpaceDE w:val="0"/>
        <w:autoSpaceDN w:val="0"/>
        <w:adjustRightInd w:val="0"/>
        <w:rPr>
          <w:rFonts w:ascii="Arial" w:hAnsi="Arial" w:cs="Arial"/>
        </w:rPr>
      </w:pPr>
    </w:p>
    <w:p w:rsidR="00685AD0" w:rsidP="00685AD0" w:rsidRDefault="00685AD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Million Veteran Program </w:t>
      </w:r>
      <w:r w:rsidR="00BF1A5C">
        <w:rPr>
          <w:rFonts w:ascii="Arial" w:hAnsi="Arial" w:cs="Arial"/>
        </w:rPr>
        <w:t xml:space="preserve">(MVP) is </w:t>
      </w:r>
      <w:r>
        <w:rPr>
          <w:rFonts w:ascii="Arial" w:hAnsi="Arial" w:cs="Arial"/>
        </w:rPr>
        <w:t>a national, voluntary, medical research program. MVP establishes an ongoing partnership with Veteran participants who give their informed consent to authorize access to electronic health record data, provide biospecimens for further analysis</w:t>
      </w:r>
      <w:r w:rsidR="003B60E8">
        <w:rPr>
          <w:rFonts w:ascii="Arial" w:hAnsi="Arial" w:cs="Arial"/>
        </w:rPr>
        <w:t xml:space="preserve"> in conjunction with their health status</w:t>
      </w:r>
      <w:r>
        <w:rPr>
          <w:rFonts w:ascii="Arial" w:hAnsi="Arial" w:cs="Arial"/>
        </w:rPr>
        <w:t>, and provide self-reported data through methods such as personal logs</w:t>
      </w:r>
      <w:r w:rsidR="00282E8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surveys</w:t>
      </w:r>
      <w:r w:rsidR="00282E8E">
        <w:rPr>
          <w:rFonts w:ascii="Arial" w:hAnsi="Arial" w:cs="Arial"/>
        </w:rPr>
        <w:t>.</w:t>
      </w:r>
    </w:p>
    <w:p w:rsidR="00840C94" w:rsidP="00685AD0" w:rsidRDefault="00840C94">
      <w:pPr>
        <w:autoSpaceDE w:val="0"/>
        <w:autoSpaceDN w:val="0"/>
        <w:adjustRightInd w:val="0"/>
        <w:rPr>
          <w:rFonts w:ascii="Arial" w:hAnsi="Arial" w:cs="Arial"/>
        </w:rPr>
      </w:pPr>
    </w:p>
    <w:p w:rsidRPr="00685AD0" w:rsidR="00685AD0" w:rsidP="00685AD0" w:rsidRDefault="00685AD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response to the COVID-19 pandemic, all MVP participants will be invited to complete the MVP COVID-19 </w:t>
      </w:r>
      <w:r w:rsidR="00840C9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urvey. The survey collects demographics, COVID-19 symptoms and treatment, comorbidity, healthcare utilization, well-being, and psychosocial outcomes. </w:t>
      </w:r>
      <w:r w:rsidR="00EF5DDD">
        <w:rPr>
          <w:rFonts w:ascii="Arial" w:hAnsi="Arial" w:cs="Arial"/>
        </w:rPr>
        <w:t xml:space="preserve">MVP participants can complete the survey up to 4 times.  </w:t>
      </w:r>
      <w:r w:rsidR="003B60E8">
        <w:rPr>
          <w:rFonts w:ascii="Arial" w:hAnsi="Arial" w:cs="Arial"/>
        </w:rPr>
        <w:t>MVP is uniquely positioned to analyze s</w:t>
      </w:r>
      <w:r>
        <w:rPr>
          <w:rFonts w:ascii="Arial" w:hAnsi="Arial" w:cs="Arial"/>
        </w:rPr>
        <w:t xml:space="preserve">urvey data in conjunction with biospecimens </w:t>
      </w:r>
      <w:r w:rsidR="003B60E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assist with identification of potential biomarkers</w:t>
      </w:r>
      <w:r w:rsidR="00797F34">
        <w:rPr>
          <w:rFonts w:ascii="Arial" w:hAnsi="Arial" w:cs="Arial"/>
        </w:rPr>
        <w:t>, as well as</w:t>
      </w:r>
      <w:r>
        <w:rPr>
          <w:rFonts w:ascii="Arial" w:hAnsi="Arial" w:cs="Arial"/>
        </w:rPr>
        <w:t xml:space="preserve"> allow researchers to analyze the incidence and outcomes of COVID-19 using genomic data.</w:t>
      </w:r>
    </w:p>
    <w:p w:rsidR="00C8488C" w:rsidRDefault="00C8488C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Pr="00685AD0" w:rsidR="00C8488C" w:rsidRDefault="00685AD0">
      <w:pPr>
        <w:rPr>
          <w:rFonts w:ascii="Arial" w:hAnsi="Arial" w:cs="Arial"/>
        </w:rPr>
      </w:pPr>
      <w:r w:rsidRPr="00685AD0">
        <w:rPr>
          <w:rFonts w:ascii="Arial" w:hAnsi="Arial" w:cs="Arial"/>
        </w:rPr>
        <w:t xml:space="preserve">MVP study participants who have given informed consent </w:t>
      </w:r>
      <w:r w:rsidR="00BF1A5C">
        <w:rPr>
          <w:rFonts w:ascii="Arial" w:hAnsi="Arial" w:cs="Arial"/>
        </w:rPr>
        <w:t xml:space="preserve">and HIPAA authorization </w:t>
      </w:r>
      <w:r w:rsidRPr="00685AD0">
        <w:rPr>
          <w:rFonts w:ascii="Arial" w:hAnsi="Arial" w:cs="Arial"/>
        </w:rPr>
        <w:t>to share data with researchers, including self-reported data collected via surveys.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CD709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685AD0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685AD0">
        <w:rPr>
          <w:bCs/>
          <w:sz w:val="24"/>
          <w:u w:val="single"/>
        </w:rPr>
        <w:t>Research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1F6F99" w:rsidP="009C13B9" w:rsidRDefault="001F6F99"/>
    <w:p w:rsidR="001F6F99" w:rsidP="009C13B9" w:rsidRDefault="001F6F99"/>
    <w:p w:rsidRPr="00B6372C" w:rsidR="001F6F99" w:rsidP="009C13B9" w:rsidRDefault="009C13B9">
      <w:pPr>
        <w:rPr>
          <w:b/>
          <w:bCs/>
        </w:rPr>
      </w:pPr>
      <w:r w:rsidRPr="00B6372C">
        <w:rPr>
          <w:b/>
          <w:bCs/>
        </w:rPr>
        <w:t>Name</w:t>
      </w:r>
      <w:r w:rsidRPr="00B6372C" w:rsidR="005E4800">
        <w:rPr>
          <w:b/>
          <w:bCs/>
        </w:rPr>
        <w:t>, Position Title and Credentials</w:t>
      </w:r>
      <w:r w:rsidRPr="00B6372C">
        <w:rPr>
          <w:b/>
          <w:bCs/>
        </w:rPr>
        <w:t>:</w:t>
      </w:r>
      <w:r w:rsidRPr="00B6372C" w:rsidR="008866F8">
        <w:rPr>
          <w:b/>
          <w:bCs/>
        </w:rPr>
        <w:t xml:space="preserve"> </w:t>
      </w:r>
    </w:p>
    <w:p w:rsidR="001F6F99" w:rsidP="009C13B9" w:rsidRDefault="001F6F99">
      <w:r>
        <w:t>Sumitra Muralidhar, Ph.D.</w:t>
      </w:r>
    </w:p>
    <w:p w:rsidR="001F6F99" w:rsidP="009C13B9" w:rsidRDefault="001F6F99">
      <w:r>
        <w:t>Director, Million Veteran Program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proofErr w:type="gramStart"/>
      <w:r w:rsidR="00AA3C5D">
        <w:t>x</w:t>
      </w:r>
      <w:r w:rsidR="009239AA">
        <w:t xml:space="preserve"> ]</w:t>
      </w:r>
      <w:proofErr w:type="gramEnd"/>
      <w:r w:rsidR="009239AA">
        <w:t xml:space="preserve">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proofErr w:type="gramStart"/>
      <w:r w:rsidR="00321045">
        <w:t>x</w:t>
      </w:r>
      <w:r w:rsidR="009239AA">
        <w:t xml:space="preserve">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proofErr w:type="gramStart"/>
      <w:r w:rsidR="00321045">
        <w:t>x</w:t>
      </w:r>
      <w:r>
        <w:t xml:space="preserve"> ]</w:t>
      </w:r>
      <w:proofErr w:type="gramEnd"/>
      <w:r>
        <w:t xml:space="preserve"> Yes  [  ] No</w:t>
      </w:r>
    </w:p>
    <w:p w:rsidR="000369E6" w:rsidP="000369E6" w:rsidRDefault="000369E6">
      <w:pPr>
        <w:pStyle w:val="ListParagraph"/>
        <w:ind w:left="0"/>
      </w:pPr>
    </w:p>
    <w:p w:rsidR="000369E6" w:rsidP="000369E6" w:rsidRDefault="000369E6">
      <w:pPr>
        <w:pStyle w:val="ListParagraph"/>
        <w:ind w:left="0"/>
      </w:pPr>
      <w:r>
        <w:t xml:space="preserve">Data is </w:t>
      </w:r>
      <w:r w:rsidRPr="00AA3C5D">
        <w:t xml:space="preserve">collected per </w:t>
      </w:r>
      <w:r w:rsidRPr="00AA3C5D">
        <w:rPr>
          <w:color w:val="222A35"/>
        </w:rPr>
        <w:t>Code of Federal Regulations Title 38, Part 16, and the MVP research protocol approved by the VA Central Institutional Review Board.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0369E6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0369E6" w:rsidP="00C86E91" w:rsidRDefault="000369E6">
      <w:pPr>
        <w:rPr>
          <w:b/>
        </w:rPr>
      </w:pPr>
    </w:p>
    <w:p w:rsidR="005E714A" w:rsidP="00C86E91" w:rsidRDefault="000369E6">
      <w:pPr>
        <w:rPr>
          <w:i/>
        </w:rPr>
      </w:pPr>
      <w:r>
        <w:rPr>
          <w:b/>
        </w:rPr>
        <w:t xml:space="preserve">ANNUAL </w:t>
      </w:r>
      <w:r w:rsidR="005E714A">
        <w:rPr>
          <w:b/>
        </w:rPr>
        <w:t>BURDEN HOUR</w:t>
      </w:r>
      <w:r w:rsidR="00441434">
        <w:rPr>
          <w:b/>
        </w:rPr>
        <w:t>S</w:t>
      </w:r>
      <w:r w:rsidR="005E714A"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1620"/>
        <w:gridCol w:w="1620"/>
        <w:gridCol w:w="1350"/>
        <w:gridCol w:w="1170"/>
        <w:gridCol w:w="1350"/>
      </w:tblGrid>
      <w:tr w:rsidR="000369E6" w:rsidTr="00B11EF8">
        <w:trPr>
          <w:trHeight w:val="274"/>
        </w:trPr>
        <w:tc>
          <w:tcPr>
            <w:tcW w:w="2898" w:type="dxa"/>
          </w:tcPr>
          <w:p w:rsidRPr="0001027E" w:rsidR="000369E6" w:rsidP="00C8488C" w:rsidRDefault="000369E6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01027E" w:rsidR="000369E6" w:rsidP="00843796" w:rsidRDefault="000369E6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01027E" w:rsidR="000369E6" w:rsidP="00843796" w:rsidRDefault="000369E6">
            <w:pPr>
              <w:rPr>
                <w:b/>
              </w:rPr>
            </w:pPr>
            <w:r>
              <w:rPr>
                <w:b/>
              </w:rPr>
              <w:t>X No. of responses</w:t>
            </w:r>
          </w:p>
        </w:tc>
        <w:tc>
          <w:tcPr>
            <w:tcW w:w="1350" w:type="dxa"/>
          </w:tcPr>
          <w:p w:rsidRPr="0001027E" w:rsidR="000369E6" w:rsidP="00843796" w:rsidRDefault="000369E6">
            <w:pPr>
              <w:rPr>
                <w:b/>
              </w:rPr>
            </w:pPr>
            <w:r>
              <w:rPr>
                <w:b/>
              </w:rPr>
              <w:t>X No. of minutes</w:t>
            </w:r>
          </w:p>
        </w:tc>
        <w:tc>
          <w:tcPr>
            <w:tcW w:w="1170" w:type="dxa"/>
            <w:vMerge w:val="restart"/>
          </w:tcPr>
          <w:p w:rsidR="00B11EF8" w:rsidP="00B11EF8" w:rsidRDefault="00B11EF8">
            <w:pPr>
              <w:jc w:val="center"/>
              <w:rPr>
                <w:b/>
              </w:rPr>
            </w:pPr>
          </w:p>
          <w:p w:rsidR="00B11EF8" w:rsidP="00B11EF8" w:rsidRDefault="00B11EF8">
            <w:pPr>
              <w:jc w:val="center"/>
              <w:rPr>
                <w:b/>
              </w:rPr>
            </w:pPr>
          </w:p>
          <w:p w:rsidRPr="0001027E" w:rsidR="000369E6" w:rsidP="00B11EF8" w:rsidRDefault="00B11EF8">
            <w:pPr>
              <w:jc w:val="center"/>
              <w:rPr>
                <w:b/>
              </w:rPr>
            </w:pPr>
            <w:r>
              <w:rPr>
                <w:b/>
              </w:rPr>
              <w:t>Divided by 60 =</w:t>
            </w:r>
          </w:p>
        </w:tc>
        <w:tc>
          <w:tcPr>
            <w:tcW w:w="1350" w:type="dxa"/>
          </w:tcPr>
          <w:p w:rsidRPr="0001027E" w:rsidR="000369E6" w:rsidP="00843796" w:rsidRDefault="00B11EF8">
            <w:pPr>
              <w:rPr>
                <w:b/>
              </w:rPr>
            </w:pPr>
            <w:r>
              <w:rPr>
                <w:b/>
              </w:rPr>
              <w:t>Number of hours</w:t>
            </w:r>
          </w:p>
        </w:tc>
      </w:tr>
      <w:tr w:rsidR="000369E6" w:rsidTr="00B11EF8">
        <w:trPr>
          <w:trHeight w:val="274"/>
        </w:trPr>
        <w:tc>
          <w:tcPr>
            <w:tcW w:w="2898" w:type="dxa"/>
          </w:tcPr>
          <w:p w:rsidR="000369E6" w:rsidP="00843796" w:rsidRDefault="000369E6">
            <w:r>
              <w:t>MVP participants</w:t>
            </w:r>
          </w:p>
        </w:tc>
        <w:tc>
          <w:tcPr>
            <w:tcW w:w="1620" w:type="dxa"/>
          </w:tcPr>
          <w:p w:rsidR="000369E6" w:rsidP="00843796" w:rsidRDefault="000369E6">
            <w:r>
              <w:t>1,000,000</w:t>
            </w:r>
          </w:p>
        </w:tc>
        <w:tc>
          <w:tcPr>
            <w:tcW w:w="1620" w:type="dxa"/>
          </w:tcPr>
          <w:p w:rsidR="000369E6" w:rsidP="00843796" w:rsidRDefault="000369E6">
            <w:r>
              <w:t>Up to 4</w:t>
            </w:r>
          </w:p>
        </w:tc>
        <w:tc>
          <w:tcPr>
            <w:tcW w:w="1350" w:type="dxa"/>
          </w:tcPr>
          <w:p w:rsidR="000369E6" w:rsidP="00843796" w:rsidRDefault="000369E6">
            <w:r>
              <w:t>25 minutes</w:t>
            </w:r>
          </w:p>
        </w:tc>
        <w:tc>
          <w:tcPr>
            <w:tcW w:w="1170" w:type="dxa"/>
            <w:vMerge/>
          </w:tcPr>
          <w:p w:rsidR="000369E6" w:rsidP="00843796" w:rsidRDefault="000369E6"/>
        </w:tc>
        <w:tc>
          <w:tcPr>
            <w:tcW w:w="1350" w:type="dxa"/>
          </w:tcPr>
          <w:p w:rsidR="000369E6" w:rsidP="00843796" w:rsidRDefault="00B11EF8">
            <w:r>
              <w:t>1,666,667</w:t>
            </w:r>
          </w:p>
        </w:tc>
      </w:tr>
      <w:tr w:rsidR="000369E6" w:rsidTr="00B11EF8">
        <w:trPr>
          <w:trHeight w:val="274"/>
        </w:trPr>
        <w:tc>
          <w:tcPr>
            <w:tcW w:w="2898" w:type="dxa"/>
          </w:tcPr>
          <w:p w:rsidR="000369E6" w:rsidP="00843796" w:rsidRDefault="000369E6"/>
        </w:tc>
        <w:tc>
          <w:tcPr>
            <w:tcW w:w="1620" w:type="dxa"/>
          </w:tcPr>
          <w:p w:rsidR="000369E6" w:rsidP="00843796" w:rsidRDefault="000369E6"/>
        </w:tc>
        <w:tc>
          <w:tcPr>
            <w:tcW w:w="1620" w:type="dxa"/>
          </w:tcPr>
          <w:p w:rsidR="000369E6" w:rsidP="00843796" w:rsidRDefault="000369E6"/>
        </w:tc>
        <w:tc>
          <w:tcPr>
            <w:tcW w:w="1350" w:type="dxa"/>
          </w:tcPr>
          <w:p w:rsidR="000369E6" w:rsidP="00843796" w:rsidRDefault="000369E6"/>
        </w:tc>
        <w:tc>
          <w:tcPr>
            <w:tcW w:w="1170" w:type="dxa"/>
            <w:vMerge/>
          </w:tcPr>
          <w:p w:rsidR="000369E6" w:rsidP="00843796" w:rsidRDefault="000369E6"/>
        </w:tc>
        <w:tc>
          <w:tcPr>
            <w:tcW w:w="1350" w:type="dxa"/>
          </w:tcPr>
          <w:p w:rsidR="000369E6" w:rsidP="00843796" w:rsidRDefault="000369E6"/>
        </w:tc>
      </w:tr>
      <w:tr w:rsidR="000369E6" w:rsidTr="00B11EF8">
        <w:trPr>
          <w:trHeight w:val="289"/>
        </w:trPr>
        <w:tc>
          <w:tcPr>
            <w:tcW w:w="2898" w:type="dxa"/>
          </w:tcPr>
          <w:p w:rsidRPr="0001027E" w:rsidR="000369E6" w:rsidP="00843796" w:rsidRDefault="000369E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0369E6" w:rsidP="00843796" w:rsidRDefault="000369E6">
            <w:pPr>
              <w:rPr>
                <w:b/>
              </w:rPr>
            </w:pPr>
          </w:p>
        </w:tc>
        <w:tc>
          <w:tcPr>
            <w:tcW w:w="1620" w:type="dxa"/>
          </w:tcPr>
          <w:p w:rsidR="000369E6" w:rsidP="00843796" w:rsidRDefault="000369E6"/>
        </w:tc>
        <w:tc>
          <w:tcPr>
            <w:tcW w:w="1350" w:type="dxa"/>
          </w:tcPr>
          <w:p w:rsidR="000369E6" w:rsidP="00843796" w:rsidRDefault="000369E6"/>
        </w:tc>
        <w:tc>
          <w:tcPr>
            <w:tcW w:w="1170" w:type="dxa"/>
            <w:vMerge/>
          </w:tcPr>
          <w:p w:rsidRPr="0001027E" w:rsidR="000369E6" w:rsidP="00843796" w:rsidRDefault="000369E6">
            <w:pPr>
              <w:rPr>
                <w:b/>
              </w:rPr>
            </w:pPr>
          </w:p>
        </w:tc>
        <w:tc>
          <w:tcPr>
            <w:tcW w:w="1350" w:type="dxa"/>
          </w:tcPr>
          <w:p w:rsidRPr="0001027E" w:rsidR="000369E6" w:rsidP="00843796" w:rsidRDefault="000369E6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AE123E">
        <w:t>$</w:t>
      </w:r>
      <w:proofErr w:type="gramEnd"/>
      <w:r w:rsidR="00AE123E">
        <w:t xml:space="preserve">2,832,172. </w:t>
      </w:r>
    </w:p>
    <w:p w:rsidR="00EF5DDD" w:rsidRDefault="00EF5DDD"/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1155"/>
        <w:gridCol w:w="1215"/>
        <w:gridCol w:w="1485"/>
      </w:tblGrid>
      <w:tr w:rsidR="00AA3C5D" w:rsidTr="00AA3C5D">
        <w:trPr>
          <w:trHeight w:val="330"/>
          <w:tblCellSpacing w:w="15" w:type="dxa"/>
        </w:trPr>
        <w:tc>
          <w:tcPr>
            <w:tcW w:w="4365" w:type="dxa"/>
            <w:vAlign w:val="center"/>
            <w:hideMark/>
          </w:tcPr>
          <w:p w:rsidR="00AA3C5D" w:rsidRDefault="00AA3C5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AA3C5D" w:rsidRDefault="00AA3C5D">
            <w:r>
              <w:t>Projected</w:t>
            </w:r>
          </w:p>
        </w:tc>
        <w:tc>
          <w:tcPr>
            <w:tcW w:w="1185" w:type="dxa"/>
            <w:vAlign w:val="center"/>
            <w:hideMark/>
          </w:tcPr>
          <w:p w:rsidR="00AA3C5D" w:rsidRDefault="00AA3C5D">
            <w:r>
              <w:t xml:space="preserve">Cost/unit </w:t>
            </w:r>
          </w:p>
        </w:tc>
        <w:tc>
          <w:tcPr>
            <w:tcW w:w="1440" w:type="dxa"/>
            <w:vAlign w:val="center"/>
            <w:hideMark/>
          </w:tcPr>
          <w:p w:rsidR="00AA3C5D" w:rsidRDefault="00AA3C5D">
            <w:r>
              <w:t xml:space="preserve">Total 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1st invite full survey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29,959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$3.17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$94,970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1st invite 1</w:t>
            </w:r>
            <w:r w:rsidR="00AE123E">
              <w:t>-</w:t>
            </w:r>
            <w:r>
              <w:t>page invitation to go online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339,019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$0.87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$294,947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1st invite emailed invitation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360,647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$0.00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$0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Survey requested by Veterans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39,679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$2.27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$90,071</w:t>
            </w:r>
          </w:p>
        </w:tc>
      </w:tr>
      <w:tr w:rsidR="00AA3C5D" w:rsidTr="00AA3C5D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2</w:t>
            </w:r>
            <w:r>
              <w:rPr>
                <w:vertAlign w:val="superscript"/>
              </w:rPr>
              <w:t xml:space="preserve">nd </w:t>
            </w:r>
            <w:r>
              <w:t>invite full survey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647,000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$2.27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$1,468,690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Survey Scans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290,623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$3.04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  <w:r>
              <w:t>$883,494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Pr="00AE123E" w:rsidR="00AA3C5D" w:rsidRDefault="00AA3C5D">
            <w:pPr>
              <w:rPr>
                <w:b/>
                <w:bCs/>
              </w:rPr>
            </w:pPr>
            <w:r w:rsidRPr="00AE123E">
              <w:rPr>
                <w:b/>
                <w:bCs/>
              </w:rPr>
              <w:t>Total Costs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/>
        </w:tc>
        <w:tc>
          <w:tcPr>
            <w:tcW w:w="0" w:type="auto"/>
            <w:vAlign w:val="center"/>
            <w:hideMark/>
          </w:tcPr>
          <w:p w:rsidR="00AA3C5D" w:rsidRDefault="00AA3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Pr="00AE123E" w:rsidR="00AA3C5D" w:rsidRDefault="00AA3C5D">
            <w:pPr>
              <w:jc w:val="right"/>
              <w:rPr>
                <w:b/>
                <w:bCs/>
              </w:rPr>
            </w:pPr>
            <w:r w:rsidRPr="00AE123E">
              <w:rPr>
                <w:b/>
                <w:bCs/>
              </w:rPr>
              <w:t>$2,832,172</w:t>
            </w:r>
          </w:p>
        </w:tc>
      </w:tr>
      <w:tr w:rsidR="00AA3C5D" w:rsidTr="00AA3C5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A3C5D" w:rsidRDefault="00AA3C5D">
            <w:r>
              <w:t>Assumes a response rate of 40%</w:t>
            </w: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AA3C5D" w:rsidRDefault="00AA3C5D">
            <w:pPr>
              <w:rPr>
                <w:sz w:val="20"/>
                <w:szCs w:val="20"/>
              </w:rPr>
            </w:pPr>
          </w:p>
        </w:tc>
      </w:tr>
    </w:tbl>
    <w:p w:rsidR="00EF5DDD" w:rsidRDefault="00EF5DDD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B11EF8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>
      <w:pPr>
        <w:pStyle w:val="ListParagraph"/>
      </w:pPr>
    </w:p>
    <w:p w:rsidRPr="00AE123E" w:rsidR="00636621" w:rsidP="001B0AAA" w:rsidRDefault="00636621">
      <w:pPr>
        <w:rPr>
          <w:b/>
          <w:bCs/>
        </w:rPr>
      </w:pPr>
      <w:r w:rsidRPr="00AE123E">
        <w:rPr>
          <w:b/>
          <w:bCs/>
        </w:rPr>
        <w:t xml:space="preserve">If the answer is yes, please </w:t>
      </w:r>
      <w:proofErr w:type="gramStart"/>
      <w:r w:rsidRPr="00AE123E">
        <w:rPr>
          <w:b/>
          <w:bCs/>
        </w:rPr>
        <w:t>provide</w:t>
      </w:r>
      <w:proofErr w:type="gramEnd"/>
      <w:r w:rsidRPr="00AE123E">
        <w:rPr>
          <w:b/>
          <w:bCs/>
        </w:rPr>
        <w:t xml:space="preserve"> a description of both below</w:t>
      </w:r>
      <w:r w:rsidRPr="00AE123E" w:rsidR="00A403BB">
        <w:rPr>
          <w:b/>
          <w:bCs/>
        </w:rPr>
        <w:t xml:space="preserve"> (or attach the sampling plan)</w:t>
      </w:r>
      <w:r w:rsidRPr="00AE123E">
        <w:rPr>
          <w:b/>
          <w:bCs/>
        </w:rPr>
        <w:t>?   If the answer is no, please provide a description of how you plan to identify your potential group of respondents</w:t>
      </w:r>
      <w:r w:rsidRPr="00AE123E" w:rsidR="001B0AAA">
        <w:rPr>
          <w:b/>
          <w:bCs/>
        </w:rPr>
        <w:t xml:space="preserve"> and how you will select them</w:t>
      </w:r>
      <w:r w:rsidRPr="00AE123E">
        <w:rPr>
          <w:b/>
          <w:bCs/>
        </w:rPr>
        <w:t>?</w:t>
      </w:r>
    </w:p>
    <w:p w:rsidR="00A403BB" w:rsidP="00A403BB" w:rsidRDefault="00A403BB">
      <w:pPr>
        <w:pStyle w:val="ListParagraph"/>
      </w:pPr>
    </w:p>
    <w:p w:rsidR="00A403BB" w:rsidP="00A403BB" w:rsidRDefault="00B11EF8">
      <w:r>
        <w:t xml:space="preserve">All current MVP participants, approximately 830,000 will be prompted to complete the survey.  All new MVP participants will be asked to complete the MVP COVID-19 survey as part of </w:t>
      </w:r>
      <w:r w:rsidR="00AA3C5D">
        <w:t>enrollment</w:t>
      </w:r>
      <w:r>
        <w:t>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proofErr w:type="gramStart"/>
      <w:r w:rsidR="00B11EF8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proofErr w:type="gramStart"/>
      <w:r w:rsidR="00B11EF8">
        <w:t>x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AE123E" w:rsidP="001B0AAA" w:rsidRDefault="00AE123E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BE4726">
        <w:t>x</w:t>
      </w:r>
      <w:r>
        <w:t xml:space="preserve">  ] No</w:t>
      </w:r>
    </w:p>
    <w:p w:rsidR="00F24CFC" w:rsidP="00F24CFC" w:rsidRDefault="00F24CFC">
      <w:pPr>
        <w:pStyle w:val="ListParagraph"/>
        <w:ind w:left="360"/>
      </w:pPr>
    </w:p>
    <w:p w:rsidR="00AE123E" w:rsidP="00F24CFC" w:rsidRDefault="00AE123E">
      <w:pPr>
        <w:pStyle w:val="ListParagraph"/>
        <w:ind w:left="360"/>
      </w:pPr>
    </w:p>
    <w:p w:rsidR="00AE123E" w:rsidP="00F24CFC" w:rsidRDefault="00AE123E">
      <w:pPr>
        <w:pStyle w:val="ListParagraph"/>
        <w:ind w:left="360"/>
      </w:pP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E123E" w:rsidP="0024521E" w:rsidRDefault="00AE123E">
      <w:pPr>
        <w:rPr>
          <w:b/>
        </w:rPr>
      </w:pPr>
    </w:p>
    <w:p w:rsidR="00AE123E" w:rsidP="0024521E" w:rsidRDefault="00AE123E">
      <w:pPr>
        <w:rPr>
          <w:b/>
        </w:rPr>
      </w:pPr>
    </w:p>
    <w:p w:rsidR="00AE123E" w:rsidP="0024521E" w:rsidRDefault="00AE123E">
      <w:pPr>
        <w:rPr>
          <w:b/>
        </w:rPr>
      </w:pPr>
    </w:p>
    <w:p w:rsidR="00AE123E" w:rsidP="0024521E" w:rsidRDefault="00AE123E">
      <w:pPr>
        <w:rPr>
          <w:b/>
        </w:rPr>
      </w:pPr>
    </w:p>
    <w:p w:rsidRPr="00F24CFC" w:rsidR="00AE123E" w:rsidP="0024521E" w:rsidRDefault="00AE123E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>
      <w:pPr>
        <w:rPr>
          <w:b/>
        </w:rPr>
      </w:pPr>
      <w:r>
        <w:rPr>
          <w:b/>
          <w:noProof/>
        </w:rPr>
        <w:pict>
          <v:line id="_x0000_s1028" style="position:absolute;z-index:2" o:allowincell="f" strokeweight="1.5pt" from="0,0" to="468pt,0"/>
        </w:pic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1638DD" w:rsidR="005E714A" w:rsidP="001638DD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1638DD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724" w:rsidRDefault="00E87724">
      <w:r>
        <w:separator/>
      </w:r>
    </w:p>
  </w:endnote>
  <w:endnote w:type="continuationSeparator" w:id="0">
    <w:p w:rsidR="00E87724" w:rsidRDefault="00E8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38D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724" w:rsidRDefault="00E87724">
      <w:r>
        <w:separator/>
      </w:r>
    </w:p>
  </w:footnote>
  <w:footnote w:type="continuationSeparator" w:id="0">
    <w:p w:rsidR="00E87724" w:rsidRDefault="00E8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4006E"/>
    <w:multiLevelType w:val="hybridMultilevel"/>
    <w:tmpl w:val="A8A66B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42377"/>
    <w:multiLevelType w:val="hybridMultilevel"/>
    <w:tmpl w:val="49CC8E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390"/>
    <w:rsid w:val="00023A57"/>
    <w:rsid w:val="000369E6"/>
    <w:rsid w:val="00047A64"/>
    <w:rsid w:val="00057300"/>
    <w:rsid w:val="00067329"/>
    <w:rsid w:val="00076C7A"/>
    <w:rsid w:val="000B2838"/>
    <w:rsid w:val="000C1955"/>
    <w:rsid w:val="000D44CA"/>
    <w:rsid w:val="000E200B"/>
    <w:rsid w:val="000F68BE"/>
    <w:rsid w:val="00147145"/>
    <w:rsid w:val="001638DD"/>
    <w:rsid w:val="001927A4"/>
    <w:rsid w:val="00194AC6"/>
    <w:rsid w:val="001A23B0"/>
    <w:rsid w:val="001A25CC"/>
    <w:rsid w:val="001B0AAA"/>
    <w:rsid w:val="001C39F7"/>
    <w:rsid w:val="001F6F99"/>
    <w:rsid w:val="00237B48"/>
    <w:rsid w:val="0024521E"/>
    <w:rsid w:val="00263C3D"/>
    <w:rsid w:val="00274D0B"/>
    <w:rsid w:val="00282E8E"/>
    <w:rsid w:val="002B052D"/>
    <w:rsid w:val="002B34CD"/>
    <w:rsid w:val="002B3C95"/>
    <w:rsid w:val="002D0B92"/>
    <w:rsid w:val="00321045"/>
    <w:rsid w:val="003B60E8"/>
    <w:rsid w:val="003D5BBE"/>
    <w:rsid w:val="003E3C61"/>
    <w:rsid w:val="003F1C5B"/>
    <w:rsid w:val="00434E33"/>
    <w:rsid w:val="00441434"/>
    <w:rsid w:val="0045264C"/>
    <w:rsid w:val="0045400B"/>
    <w:rsid w:val="004876EC"/>
    <w:rsid w:val="004B7357"/>
    <w:rsid w:val="004D6E14"/>
    <w:rsid w:val="005009B0"/>
    <w:rsid w:val="005A1006"/>
    <w:rsid w:val="005E4800"/>
    <w:rsid w:val="005E714A"/>
    <w:rsid w:val="005F693D"/>
    <w:rsid w:val="006140A0"/>
    <w:rsid w:val="00636621"/>
    <w:rsid w:val="00642B49"/>
    <w:rsid w:val="006832D9"/>
    <w:rsid w:val="00685AD0"/>
    <w:rsid w:val="0069403B"/>
    <w:rsid w:val="006D1A7A"/>
    <w:rsid w:val="006F3DDE"/>
    <w:rsid w:val="00704678"/>
    <w:rsid w:val="007425E7"/>
    <w:rsid w:val="00797F34"/>
    <w:rsid w:val="007A0CE3"/>
    <w:rsid w:val="007D53A2"/>
    <w:rsid w:val="007E0A0A"/>
    <w:rsid w:val="007F7080"/>
    <w:rsid w:val="00802607"/>
    <w:rsid w:val="008101A5"/>
    <w:rsid w:val="00822664"/>
    <w:rsid w:val="00840C94"/>
    <w:rsid w:val="00843796"/>
    <w:rsid w:val="008866F8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0D3A"/>
    <w:rsid w:val="009F5923"/>
    <w:rsid w:val="00A403BB"/>
    <w:rsid w:val="00A674DF"/>
    <w:rsid w:val="00A83AA6"/>
    <w:rsid w:val="00A934D6"/>
    <w:rsid w:val="00AA3C5D"/>
    <w:rsid w:val="00AE123E"/>
    <w:rsid w:val="00AE1809"/>
    <w:rsid w:val="00AE1B20"/>
    <w:rsid w:val="00B11EF8"/>
    <w:rsid w:val="00B53469"/>
    <w:rsid w:val="00B6372C"/>
    <w:rsid w:val="00B80D76"/>
    <w:rsid w:val="00BA2105"/>
    <w:rsid w:val="00BA7E06"/>
    <w:rsid w:val="00BB43B5"/>
    <w:rsid w:val="00BB6219"/>
    <w:rsid w:val="00BD290F"/>
    <w:rsid w:val="00BE4726"/>
    <w:rsid w:val="00BF1A5C"/>
    <w:rsid w:val="00C14CC4"/>
    <w:rsid w:val="00C33C52"/>
    <w:rsid w:val="00C40D8B"/>
    <w:rsid w:val="00C52E5D"/>
    <w:rsid w:val="00C8407A"/>
    <w:rsid w:val="00C8488C"/>
    <w:rsid w:val="00C86E91"/>
    <w:rsid w:val="00CA2650"/>
    <w:rsid w:val="00CB1078"/>
    <w:rsid w:val="00CB4C86"/>
    <w:rsid w:val="00CC6FAF"/>
    <w:rsid w:val="00CD709B"/>
    <w:rsid w:val="00CF6542"/>
    <w:rsid w:val="00D24698"/>
    <w:rsid w:val="00D57B00"/>
    <w:rsid w:val="00D6383F"/>
    <w:rsid w:val="00D6393E"/>
    <w:rsid w:val="00DB59D0"/>
    <w:rsid w:val="00DC33D3"/>
    <w:rsid w:val="00DD4056"/>
    <w:rsid w:val="00E26329"/>
    <w:rsid w:val="00E40B50"/>
    <w:rsid w:val="00E44553"/>
    <w:rsid w:val="00E50293"/>
    <w:rsid w:val="00E65FFC"/>
    <w:rsid w:val="00E744EA"/>
    <w:rsid w:val="00E80951"/>
    <w:rsid w:val="00E86CC6"/>
    <w:rsid w:val="00E87724"/>
    <w:rsid w:val="00EB56B3"/>
    <w:rsid w:val="00ED6492"/>
    <w:rsid w:val="00EF2095"/>
    <w:rsid w:val="00EF5DDD"/>
    <w:rsid w:val="00F06866"/>
    <w:rsid w:val="00F158F5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11053-A1C1-44D3-91A8-8A5ECA38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Frances</cp:lastModifiedBy>
  <cp:revision>2</cp:revision>
  <cp:lastPrinted>2010-10-04T15:59:00Z</cp:lastPrinted>
  <dcterms:created xsi:type="dcterms:W3CDTF">2020-11-02T16:23:00Z</dcterms:created>
  <dcterms:modified xsi:type="dcterms:W3CDTF">2020-11-02T16:23:00Z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