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0E47" w:rsidR="00B97D46" w:rsidP="00B97D46" w:rsidRDefault="00B97D46" w14:paraId="71710049" w14:textId="77777777">
      <w:pPr>
        <w:pStyle w:val="CM12"/>
        <w:jc w:val="center"/>
        <w:rPr>
          <w:bCs/>
          <w:lang w:val="en-CA"/>
        </w:rPr>
      </w:pPr>
      <w:bookmarkStart w:name="_Hlk60297005" w:id="0"/>
      <w:r w:rsidRPr="00130E47">
        <w:rPr>
          <w:bCs/>
          <w:lang w:val="en-CA"/>
        </w:rPr>
        <w:t>National Credit Union Administration</w:t>
      </w:r>
    </w:p>
    <w:p w:rsidR="00B97D46" w:rsidP="00B97D46" w:rsidRDefault="00B97D46" w14:paraId="1724E4F6" w14:textId="77777777">
      <w:pPr>
        <w:pStyle w:val="CM12"/>
        <w:jc w:val="center"/>
        <w:rPr>
          <w:b/>
          <w:lang w:val="en-CA"/>
        </w:rPr>
      </w:pPr>
      <w:r>
        <w:rPr>
          <w:b/>
          <w:lang w:val="en-CA"/>
        </w:rPr>
        <w:t>SUPPORTING STATEMENT</w:t>
      </w:r>
    </w:p>
    <w:p w:rsidR="00B97D46" w:rsidP="00B97D46" w:rsidRDefault="00B97D46" w14:paraId="7D706F54" w14:textId="77777777">
      <w:pPr>
        <w:pStyle w:val="CM12"/>
        <w:jc w:val="center"/>
        <w:rPr>
          <w:b/>
          <w:lang w:val="en-CA"/>
        </w:rPr>
      </w:pPr>
    </w:p>
    <w:p w:rsidRPr="00B478B6" w:rsidR="00B97D46" w:rsidP="00B97D46" w:rsidRDefault="00B97D46" w14:paraId="5D6BF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78B6">
        <w:rPr>
          <w:sz w:val="24"/>
          <w:szCs w:val="24"/>
        </w:rPr>
        <w:t>Appraisal for Higher-Priced Mortgage Loans</w:t>
      </w:r>
    </w:p>
    <w:p w:rsidRPr="00B478B6" w:rsidR="00B97D46" w:rsidP="00B97D46" w:rsidRDefault="00B97D46" w14:paraId="11311B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78B6">
        <w:rPr>
          <w:sz w:val="24"/>
          <w:szCs w:val="24"/>
        </w:rPr>
        <w:t>12 CFR 722.3</w:t>
      </w:r>
    </w:p>
    <w:p w:rsidRPr="00130E47" w:rsidR="00B97D46" w:rsidP="00B97D46" w:rsidRDefault="00B97D46" w14:paraId="23F18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30E47">
        <w:rPr>
          <w:b/>
          <w:bCs/>
          <w:sz w:val="24"/>
          <w:szCs w:val="24"/>
        </w:rPr>
        <w:t>OMB Number 3133-0186</w:t>
      </w:r>
    </w:p>
    <w:p w:rsidRPr="00130E47" w:rsidR="00B97D46" w:rsidP="00B97D46" w:rsidRDefault="00B97D46" w14:paraId="052C2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130E47" w:rsidR="00B97D46" w:rsidP="00B97D46" w:rsidRDefault="00B97D46" w14:paraId="09CD2849" w14:textId="77777777">
      <w:pPr>
        <w:rPr>
          <w:b/>
          <w:bCs/>
          <w:sz w:val="24"/>
          <w:szCs w:val="24"/>
        </w:rPr>
      </w:pPr>
    </w:p>
    <w:p w:rsidRPr="00130E47" w:rsidR="00B97D46" w:rsidP="00B97D46" w:rsidRDefault="00B97D46" w14:paraId="1E8F25B4" w14:textId="77777777">
      <w:pPr>
        <w:pStyle w:val="ListParagraph"/>
        <w:widowControl/>
        <w:numPr>
          <w:ilvl w:val="0"/>
          <w:numId w:val="2"/>
        </w:numPr>
        <w:autoSpaceDE/>
        <w:autoSpaceDN/>
        <w:adjustRightInd/>
        <w:ind w:left="720" w:hanging="720"/>
        <w:rPr>
          <w:b/>
          <w:sz w:val="24"/>
          <w:szCs w:val="24"/>
        </w:rPr>
      </w:pPr>
      <w:r w:rsidRPr="00130E47">
        <w:rPr>
          <w:b/>
          <w:sz w:val="24"/>
          <w:szCs w:val="24"/>
        </w:rPr>
        <w:t>JUSTIFICATION</w:t>
      </w:r>
    </w:p>
    <w:p w:rsidRPr="00130E47" w:rsidR="00B97D46" w:rsidP="00B97D46" w:rsidRDefault="00B97D46" w14:paraId="74A6322B" w14:textId="77777777">
      <w:pPr>
        <w:pStyle w:val="ListParagraph"/>
        <w:ind w:hanging="720"/>
        <w:rPr>
          <w:b/>
          <w:sz w:val="24"/>
          <w:szCs w:val="24"/>
        </w:rPr>
      </w:pPr>
    </w:p>
    <w:p w:rsidRPr="00130E47" w:rsidR="00B97D46" w:rsidP="00B97D46" w:rsidRDefault="00B97D46" w14:paraId="26DF9C46" w14:textId="77777777">
      <w:pPr>
        <w:pStyle w:val="ListParagraph"/>
        <w:widowControl/>
        <w:numPr>
          <w:ilvl w:val="0"/>
          <w:numId w:val="3"/>
        </w:numPr>
        <w:autoSpaceDE/>
        <w:autoSpaceDN/>
        <w:adjustRightInd/>
        <w:ind w:left="720" w:hanging="720"/>
        <w:rPr>
          <w:b/>
          <w:sz w:val="24"/>
          <w:szCs w:val="24"/>
        </w:rPr>
      </w:pPr>
      <w:r w:rsidRPr="00130E47">
        <w:rPr>
          <w:b/>
          <w:sz w:val="24"/>
          <w:szCs w:val="24"/>
        </w:rPr>
        <w:t>Circumstances that make the collection of information necessary.</w:t>
      </w:r>
    </w:p>
    <w:p w:rsidRPr="00130E47" w:rsidR="00B97D46" w:rsidP="00B97D46" w:rsidRDefault="00B97D46" w14:paraId="6B7AFE9F" w14:textId="77777777">
      <w:pPr>
        <w:ind w:left="360" w:hanging="360"/>
        <w:rPr>
          <w:b/>
          <w:sz w:val="24"/>
          <w:szCs w:val="24"/>
        </w:rPr>
      </w:pPr>
    </w:p>
    <w:p w:rsidRPr="00130E47" w:rsidR="00B97D46" w:rsidP="00B478B6" w:rsidRDefault="00B97D46" w14:paraId="688707C1" w14:textId="77777777">
      <w:pPr>
        <w:ind w:left="720"/>
        <w:rPr>
          <w:sz w:val="24"/>
          <w:szCs w:val="24"/>
        </w:rPr>
      </w:pPr>
      <w:r w:rsidRPr="00130E47">
        <w:rPr>
          <w:sz w:val="24"/>
          <w:szCs w:val="24"/>
        </w:rPr>
        <w:t>In response to the recent mortgage crisis, Congress amended the Truth in Lending Act (TILA) to require creditors originating mortgages with an annual percentage rate that exceeds the average prime offer rate by a specified percentage (higher-priced mortgage loans or HPMLs)</w:t>
      </w:r>
      <w:r w:rsidRPr="00130E47">
        <w:rPr>
          <w:rStyle w:val="FootnoteReference"/>
          <w:sz w:val="24"/>
          <w:szCs w:val="24"/>
        </w:rPr>
        <w:footnoteReference w:id="1"/>
      </w:r>
      <w:r w:rsidRPr="00130E47">
        <w:rPr>
          <w:sz w:val="24"/>
          <w:szCs w:val="24"/>
        </w:rPr>
        <w:t xml:space="preserve"> to obtain an appraisal or appraisals meeting certain specified standards, provide applicants with a notification regarding the use of appraisals, and give applicants a copy of written appraisals used.  These changes were enacted as part of the Dodd-Frank Wall Street Reform and Consumer Protection Act (Dodd-Frank Act), Pub. L. 111-203, § 1471, 124 Stat. 1376, 2185 (2010).  Section 1471 of the Dodd-Frank Act adds a new section to TILA, section 129H, addressing appraisal requirements for HPMLs.</w:t>
      </w:r>
    </w:p>
    <w:p w:rsidRPr="00130E47" w:rsidR="00B97D46" w:rsidP="00B478B6" w:rsidRDefault="00B97D46" w14:paraId="1F4169D5" w14:textId="77777777">
      <w:pPr>
        <w:pStyle w:val="Default"/>
        <w:ind w:left="720" w:firstLine="720"/>
      </w:pPr>
    </w:p>
    <w:p w:rsidRPr="00130E47" w:rsidR="00B97D46" w:rsidP="00B478B6" w:rsidRDefault="00B97D46" w14:paraId="2B85C761" w14:textId="042086CF">
      <w:pPr>
        <w:pStyle w:val="Default"/>
        <w:ind w:left="720"/>
        <w:rPr>
          <w:iCs/>
        </w:rPr>
      </w:pPr>
      <w:r w:rsidRPr="00130E47">
        <w:t xml:space="preserve">Responsibility for rulemaking under TILA generally rests with the Bureau of Consumer Financial Protection (CFPB).  However, section 129H requires six agencies to jointly prescribe implementing regulations regarding appraisals for HPMLs:  NCUA, the Board of Governors of the Federal Reserve System, the Office the Comptroller of the Currency, the Federal Deposit Insurance Corporation, the Federal Housing Finance Agency, and the CFPB (Agencies).  Pursuant to section 129H, the rule was jointly developed and issued by the Agencies.   In addition to amending other portions of the Code of Federal Regulations, the proposal would amend the CFPB’s Regulation Z and its Official Interpretations, and NCUA’s Appraisal Rule.  12 CFR Part 1026; 12 CFR §722.3(f).  </w:t>
      </w:r>
      <w:r w:rsidRPr="00130E47">
        <w:rPr>
          <w:iCs/>
        </w:rPr>
        <w:t xml:space="preserve"> </w:t>
      </w:r>
    </w:p>
    <w:p w:rsidRPr="00130E47" w:rsidR="00B97D46" w:rsidP="00B478B6" w:rsidRDefault="00B97D46" w14:paraId="463E94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130E47" w:rsidR="00B97D46" w:rsidP="00B478B6" w:rsidRDefault="00B97D46" w14:paraId="69C673AF" w14:textId="7C5110C0">
      <w:pPr>
        <w:ind w:left="720"/>
        <w:rPr>
          <w:sz w:val="24"/>
          <w:szCs w:val="24"/>
        </w:rPr>
      </w:pPr>
      <w:r w:rsidRPr="00130E47">
        <w:rPr>
          <w:noProof/>
          <w:sz w:val="24"/>
          <w:szCs w:val="24"/>
        </w:rPr>
        <w:t>The information collections unde</w:t>
      </w:r>
      <w:bookmarkStart w:name="_GoBack" w:id="1"/>
      <w:bookmarkEnd w:id="1"/>
      <w:r w:rsidRPr="00130E47">
        <w:rPr>
          <w:noProof/>
          <w:sz w:val="24"/>
          <w:szCs w:val="24"/>
        </w:rPr>
        <w:t xml:space="preserve">r </w:t>
      </w:r>
      <w:r w:rsidR="00230206">
        <w:rPr>
          <w:noProof/>
          <w:sz w:val="24"/>
          <w:szCs w:val="24"/>
        </w:rPr>
        <w:t xml:space="preserve">this </w:t>
      </w:r>
      <w:r w:rsidRPr="00130E47">
        <w:rPr>
          <w:noProof/>
          <w:sz w:val="24"/>
          <w:szCs w:val="24"/>
        </w:rPr>
        <w:t xml:space="preserve">rule include (1) providing a disclosure within three days of application that informs the consumer regarding the purpose of the appraisal, that the creditor will provide the consumer a copy of any appraisal, and that the consumer may choose to have a separate appraisal conducted at the expense of the consumer (Initial Appraisal Disclosure); (2) requiring creditors to obtain a written appraisal meeting certain standards for HPMLs and provide a free copy of the appraisal to consumers (Written Appraisal); and (3) requiring an additional written appraisal for properties resold within the 180 days (at a higher price meeting certain thresholds) and providing free copies of these appraisals to consumers (Additional Written Appraisal).  </w:t>
      </w:r>
      <w:r w:rsidRPr="00130E47">
        <w:rPr>
          <w:sz w:val="24"/>
          <w:szCs w:val="24"/>
        </w:rPr>
        <w:t>The information collections are required by statute, are necessary to protect consumers, and promote the safety and soundness of creditors making higher-risk mortgage loans.</w:t>
      </w:r>
    </w:p>
    <w:bookmarkEnd w:id="0"/>
    <w:p w:rsidRPr="00130E47" w:rsidR="00B97D46" w:rsidP="00B97D46" w:rsidRDefault="00B97D46" w14:paraId="7D50E067" w14:textId="77777777">
      <w:pPr>
        <w:ind w:firstLine="720"/>
        <w:rPr>
          <w:sz w:val="24"/>
          <w:szCs w:val="24"/>
        </w:rPr>
      </w:pPr>
    </w:p>
    <w:p w:rsidR="00B97D46" w:rsidP="00B97D46" w:rsidRDefault="00B97D46" w14:paraId="2B649F40" w14:textId="77777777">
      <w:pPr>
        <w:pStyle w:val="BodyTextIndent2"/>
        <w:numPr>
          <w:ilvl w:val="0"/>
          <w:numId w:val="3"/>
        </w:numPr>
        <w:spacing w:after="0" w:line="240" w:lineRule="auto"/>
        <w:ind w:left="720" w:hanging="720"/>
        <w:rPr>
          <w:b/>
        </w:rPr>
      </w:pPr>
      <w:r>
        <w:rPr>
          <w:b/>
        </w:rPr>
        <w:lastRenderedPageBreak/>
        <w:t>Purpose and use of the information collected.</w:t>
      </w:r>
      <w:bookmarkStart w:name="_Hlk60297020" w:id="2"/>
    </w:p>
    <w:p w:rsidR="00B97D46" w:rsidP="003D19E7" w:rsidRDefault="00B97D46" w14:paraId="3F8FD400" w14:textId="77777777">
      <w:pPr>
        <w:pStyle w:val="BodyTextIndent2"/>
        <w:spacing w:after="0" w:line="240" w:lineRule="auto"/>
        <w:ind w:left="720"/>
        <w:rPr>
          <w:b/>
        </w:rPr>
      </w:pPr>
    </w:p>
    <w:p w:rsidR="00B97D46" w:rsidP="003D19E7" w:rsidRDefault="00B97D46" w14:paraId="25557AAD" w14:textId="77777777">
      <w:pPr>
        <w:pStyle w:val="BodyTextIndent2"/>
        <w:spacing w:after="0" w:line="240" w:lineRule="auto"/>
        <w:ind w:left="720"/>
      </w:pPr>
      <w:r w:rsidRPr="00B97D46">
        <w:t>The purpose of this information collection is to ensure that properties used to secure HPMLs receive additional scrutiny and that the public is made aware of this fact and their rights under the law.</w:t>
      </w:r>
    </w:p>
    <w:p w:rsidR="00B97D46" w:rsidP="003D19E7" w:rsidRDefault="00B97D46" w14:paraId="275333C3" w14:textId="77777777">
      <w:pPr>
        <w:pStyle w:val="BodyTextIndent2"/>
        <w:spacing w:after="0" w:line="240" w:lineRule="auto"/>
        <w:ind w:left="720"/>
      </w:pPr>
    </w:p>
    <w:p w:rsidRPr="00130E47" w:rsidR="00B97D46" w:rsidP="003D19E7" w:rsidRDefault="00B97D46" w14:paraId="46358A22" w14:textId="5FAC17B7">
      <w:pPr>
        <w:pStyle w:val="BodyTextIndent2"/>
        <w:spacing w:after="0" w:line="240" w:lineRule="auto"/>
        <w:ind w:left="720"/>
      </w:pPr>
      <w:r w:rsidRPr="00130E47">
        <w:t xml:space="preserve">Creditors are required to obtain a Written Appraisal that meets certain standards for HPMLs under section 129H.  Creditors are also required to obtain an Additional Written Appraisal, at no cost to the borrower, when the HPML is secured by property that has been sold within the last 180 days.  NCUA anticipates that creditors will use these appraisals to determine the value of the collateral for HPMLs and that these appraisals will assist in preventing potential mortgage fraud by sellers, borrowers and other participants in a residential real estate transaction.  Creditors will be required to provide an Initial Appraisal Disclosure and copies of written appraisals obtained by the creditor for HPMLs to consumers.  </w:t>
      </w:r>
      <w:r w:rsidR="003D19E7">
        <w:t>The</w:t>
      </w:r>
      <w:r w:rsidRPr="00130E47">
        <w:t xml:space="preserve"> information will assist consumers in understanding valuations for property securing HPMLs.  </w:t>
      </w:r>
    </w:p>
    <w:bookmarkEnd w:id="2"/>
    <w:p w:rsidRPr="00130E47" w:rsidR="00B97D46" w:rsidP="00B97D46" w:rsidRDefault="00B97D46" w14:paraId="0F011791" w14:textId="77777777">
      <w:pPr>
        <w:tabs>
          <w:tab w:val="left" w:pos="-1080"/>
          <w:tab w:val="left" w:pos="-720"/>
        </w:tabs>
        <w:rPr>
          <w:b/>
          <w:bCs/>
          <w:sz w:val="24"/>
          <w:szCs w:val="24"/>
        </w:rPr>
      </w:pPr>
    </w:p>
    <w:p w:rsidRPr="00130E47" w:rsidR="00B97D46" w:rsidP="00B97D46" w:rsidRDefault="00B97D46" w14:paraId="37F1C7A7" w14:textId="3985BAEF">
      <w:pPr>
        <w:pStyle w:val="Default"/>
        <w:numPr>
          <w:ilvl w:val="0"/>
          <w:numId w:val="3"/>
        </w:numPr>
        <w:ind w:left="720" w:hanging="720"/>
        <w:rPr>
          <w:b/>
          <w:bCs/>
          <w:color w:val="auto"/>
        </w:rPr>
      </w:pPr>
      <w:r w:rsidRPr="00130E47">
        <w:rPr>
          <w:b/>
          <w:bCs/>
        </w:rPr>
        <w:t xml:space="preserve">Consideration </w:t>
      </w:r>
      <w:r w:rsidR="00B478B6">
        <w:rPr>
          <w:b/>
          <w:bCs/>
        </w:rPr>
        <w:t>g</w:t>
      </w:r>
      <w:r w:rsidRPr="00130E47">
        <w:rPr>
          <w:b/>
          <w:bCs/>
        </w:rPr>
        <w:t xml:space="preserve">iven to </w:t>
      </w:r>
      <w:r w:rsidR="00B478B6">
        <w:rPr>
          <w:b/>
          <w:bCs/>
        </w:rPr>
        <w:t>i</w:t>
      </w:r>
      <w:r w:rsidRPr="00130E47">
        <w:rPr>
          <w:b/>
          <w:bCs/>
        </w:rPr>
        <w:t xml:space="preserve">nformation </w:t>
      </w:r>
      <w:r w:rsidR="00B478B6">
        <w:rPr>
          <w:b/>
          <w:bCs/>
        </w:rPr>
        <w:t>t</w:t>
      </w:r>
      <w:r w:rsidRPr="00130E47">
        <w:rPr>
          <w:b/>
          <w:bCs/>
        </w:rPr>
        <w:t>echnology</w:t>
      </w:r>
      <w:r w:rsidR="00B478B6">
        <w:rPr>
          <w:b/>
          <w:bCs/>
        </w:rPr>
        <w:t>.</w:t>
      </w:r>
    </w:p>
    <w:p w:rsidRPr="00130E47" w:rsidR="00B97D46" w:rsidP="003D19E7" w:rsidRDefault="00B97D46" w14:paraId="5185316D" w14:textId="4FC11474">
      <w:pPr>
        <w:tabs>
          <w:tab w:val="left" w:pos="-1080"/>
          <w:tab w:val="left" w:pos="-720"/>
        </w:tabs>
        <w:ind w:left="720"/>
        <w:rPr>
          <w:b/>
          <w:bCs/>
          <w:sz w:val="24"/>
          <w:szCs w:val="24"/>
        </w:rPr>
      </w:pPr>
    </w:p>
    <w:p w:rsidRPr="00130E47" w:rsidR="00B97D46" w:rsidP="003D19E7" w:rsidRDefault="00B97D46" w14:paraId="7DC601AE" w14:textId="77777777">
      <w:pPr>
        <w:pStyle w:val="CM12"/>
        <w:ind w:left="720"/>
        <w:rPr>
          <w:noProof/>
        </w:rPr>
      </w:pPr>
      <w:r w:rsidRPr="00130E47">
        <w:rPr>
          <w:noProof/>
        </w:rPr>
        <w:t xml:space="preserve">The Initial Appraisal Disclosure and copies of written appraisals may be provided to applicants in electronic form, subject to compliance with the consumer consent and other applicable provisions of the Electronic Signatures in Global </w:t>
      </w:r>
      <w:r w:rsidRPr="00130E47">
        <w:t xml:space="preserve">and National Commerce Act (E-Sign Act), 15 U.S.C. 7001 </w:t>
      </w:r>
      <w:r w:rsidRPr="00130E47">
        <w:rPr>
          <w:i/>
        </w:rPr>
        <w:t>et seq.</w:t>
      </w:r>
      <w:r w:rsidRPr="00130E47">
        <w:t xml:space="preserve">  </w:t>
      </w:r>
      <w:r w:rsidRPr="00130E47">
        <w:rPr>
          <w:noProof/>
        </w:rPr>
        <w:t>Additionally, most disclosures are computer generated.  NCUA expects that creditors will be able transmit the required copies to applicants either electronically or in hard copy.</w:t>
      </w:r>
    </w:p>
    <w:p w:rsidRPr="00130E47" w:rsidR="00B97D46" w:rsidP="003D19E7" w:rsidRDefault="00B97D46" w14:paraId="303B5D4F" w14:textId="77777777">
      <w:pPr>
        <w:ind w:left="720"/>
        <w:rPr>
          <w:b/>
          <w:bCs/>
          <w:sz w:val="24"/>
          <w:szCs w:val="24"/>
        </w:rPr>
      </w:pPr>
    </w:p>
    <w:p w:rsidR="00B97D46" w:rsidP="005A7B34" w:rsidRDefault="00B97D46" w14:paraId="040462D3" w14:textId="77777777">
      <w:pPr>
        <w:pStyle w:val="CM12"/>
        <w:numPr>
          <w:ilvl w:val="0"/>
          <w:numId w:val="3"/>
        </w:numPr>
        <w:ind w:left="720" w:hanging="720"/>
        <w:rPr>
          <w:b/>
          <w:bCs/>
        </w:rPr>
      </w:pPr>
      <w:r w:rsidRPr="00130E47">
        <w:rPr>
          <w:b/>
          <w:bCs/>
        </w:rPr>
        <w:t>Duplication</w:t>
      </w:r>
      <w:r>
        <w:rPr>
          <w:b/>
          <w:bCs/>
        </w:rPr>
        <w:t xml:space="preserve"> of information.</w:t>
      </w:r>
    </w:p>
    <w:p w:rsidR="00B97D46" w:rsidP="005A7B34" w:rsidRDefault="00B97D46" w14:paraId="0F73278D" w14:textId="77777777">
      <w:pPr>
        <w:pStyle w:val="CM12"/>
        <w:ind w:left="720" w:hanging="720"/>
        <w:rPr>
          <w:b/>
          <w:bCs/>
        </w:rPr>
      </w:pPr>
    </w:p>
    <w:p w:rsidRPr="00B97D46" w:rsidR="00B97D46" w:rsidP="005A7B34" w:rsidRDefault="005A7B34" w14:paraId="0D835A1E" w14:textId="5AD6AEC8">
      <w:pPr>
        <w:pStyle w:val="CM12"/>
        <w:ind w:left="720" w:hanging="720"/>
        <w:rPr>
          <w:b/>
          <w:bCs/>
        </w:rPr>
      </w:pPr>
      <w:r>
        <w:rPr>
          <w:noProof/>
        </w:rPr>
        <w:tab/>
      </w:r>
      <w:r w:rsidRPr="00B97D46" w:rsidR="00B97D46">
        <w:rPr>
          <w:noProof/>
        </w:rPr>
        <w:t xml:space="preserve">This information collection does duplicate, in part, two other Federal efforts.  Specifically, the information collection requirement duplicates in part the Equal Credit Opportunity Act (ECOA) requirement to provide free copies of written appraisals to applicants.  15 U.S.C. §1691(e).  In addition, the requirement also duplicates in part the NCUA’s Nondiscrimination Requirements regulation requiring federal credit unions to, upon request, provide a copy of the appraisal used in connection with that member's application for a loan to be secured by a subordinate lien on a dwelling. 12 CFR §701.31(c)(5).  However, where duplicative requirements apply, a lender need only provide an applicant one copy of each written appraisal to comply with all three requirements.  </w:t>
      </w:r>
    </w:p>
    <w:p w:rsidRPr="005A7B34" w:rsidR="00B97D46" w:rsidP="005A7B34" w:rsidRDefault="00B97D46" w14:paraId="0324F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5A7B34" w:rsidR="00B97D46" w:rsidP="005A7B34" w:rsidRDefault="00CA43ED" w14:paraId="3BAD0DC7" w14:textId="778DCC0B">
      <w:pPr>
        <w:pStyle w:val="CM12"/>
        <w:numPr>
          <w:ilvl w:val="0"/>
          <w:numId w:val="3"/>
        </w:numPr>
        <w:ind w:left="720" w:hanging="720"/>
        <w:rPr>
          <w:b/>
          <w:bCs/>
        </w:rPr>
      </w:pPr>
      <w:r>
        <w:rPr>
          <w:b/>
          <w:bCs/>
        </w:rPr>
        <w:t>Efforts to reduce burden on small entities</w:t>
      </w:r>
      <w:r w:rsidRPr="005A7B34" w:rsidR="005A7B34">
        <w:rPr>
          <w:b/>
          <w:bCs/>
        </w:rPr>
        <w:t>.</w:t>
      </w:r>
    </w:p>
    <w:p w:rsidRPr="003D19E7" w:rsidR="00B97D46" w:rsidP="005A7B34" w:rsidRDefault="00B97D46" w14:paraId="78F65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D19E7" w:rsidR="00B97D46" w:rsidP="003D19E7" w:rsidRDefault="005A7B34" w14:paraId="24D5FEE7" w14:textId="2981D3F2">
      <w:pPr>
        <w:ind w:left="720" w:hanging="720"/>
        <w:rPr>
          <w:sz w:val="24"/>
          <w:szCs w:val="24"/>
        </w:rPr>
      </w:pPr>
      <w:r w:rsidRPr="003D19E7">
        <w:rPr>
          <w:noProof/>
          <w:sz w:val="24"/>
          <w:szCs w:val="24"/>
        </w:rPr>
        <w:tab/>
      </w:r>
      <w:r w:rsidRPr="003D19E7" w:rsidR="003D19E7">
        <w:rPr>
          <w:sz w:val="24"/>
          <w:szCs w:val="24"/>
        </w:rPr>
        <w:t>This collection does not have a significant impact on a substantial number of small credit unions.</w:t>
      </w:r>
    </w:p>
    <w:p w:rsidRPr="00D832B6" w:rsidR="003D19E7" w:rsidP="003D19E7" w:rsidRDefault="003D19E7" w14:paraId="74ACB384" w14:textId="77777777">
      <w:pPr>
        <w:ind w:left="720" w:hanging="720"/>
        <w:rPr>
          <w:b/>
          <w:bCs/>
          <w:sz w:val="24"/>
          <w:szCs w:val="24"/>
        </w:rPr>
      </w:pPr>
    </w:p>
    <w:p w:rsidR="00230206" w:rsidRDefault="00230206" w14:paraId="1053CBED" w14:textId="77777777">
      <w:pPr>
        <w:widowControl/>
        <w:autoSpaceDE/>
        <w:autoSpaceDN/>
        <w:adjustRightInd/>
        <w:spacing w:after="160" w:line="259" w:lineRule="auto"/>
        <w:rPr>
          <w:b/>
          <w:bCs/>
          <w:sz w:val="24"/>
          <w:szCs w:val="24"/>
        </w:rPr>
      </w:pPr>
      <w:r>
        <w:rPr>
          <w:b/>
          <w:bCs/>
        </w:rPr>
        <w:br w:type="page"/>
      </w:r>
    </w:p>
    <w:p w:rsidRPr="00D832B6" w:rsidR="00B97D46" w:rsidP="003D19E7" w:rsidRDefault="00B97D46" w14:paraId="40A0B7B0" w14:textId="4CFC9102">
      <w:pPr>
        <w:pStyle w:val="CM12"/>
        <w:numPr>
          <w:ilvl w:val="0"/>
          <w:numId w:val="3"/>
        </w:numPr>
        <w:ind w:left="720" w:hanging="720"/>
        <w:rPr>
          <w:b/>
          <w:bCs/>
        </w:rPr>
      </w:pPr>
      <w:r w:rsidRPr="00D832B6">
        <w:rPr>
          <w:b/>
          <w:bCs/>
        </w:rPr>
        <w:t xml:space="preserve">Consequences of </w:t>
      </w:r>
      <w:r w:rsidRPr="00D832B6" w:rsidR="00CA43ED">
        <w:rPr>
          <w:b/>
          <w:bCs/>
        </w:rPr>
        <w:t>n</w:t>
      </w:r>
      <w:r w:rsidRPr="00D832B6">
        <w:rPr>
          <w:b/>
          <w:bCs/>
        </w:rPr>
        <w:t xml:space="preserve">ot </w:t>
      </w:r>
      <w:r w:rsidRPr="00D832B6" w:rsidR="00CA43ED">
        <w:rPr>
          <w:b/>
          <w:bCs/>
        </w:rPr>
        <w:t>conducting the collection of</w:t>
      </w:r>
      <w:r w:rsidRPr="00D832B6">
        <w:rPr>
          <w:b/>
          <w:bCs/>
        </w:rPr>
        <w:t xml:space="preserve"> </w:t>
      </w:r>
      <w:r w:rsidRPr="00D832B6" w:rsidR="00CA43ED">
        <w:rPr>
          <w:b/>
          <w:bCs/>
        </w:rPr>
        <w:t>i</w:t>
      </w:r>
      <w:r w:rsidRPr="00D832B6">
        <w:rPr>
          <w:b/>
          <w:bCs/>
        </w:rPr>
        <w:t>nformation</w:t>
      </w:r>
      <w:r w:rsidRPr="00D832B6" w:rsidR="00CA43ED">
        <w:rPr>
          <w:b/>
          <w:bCs/>
        </w:rPr>
        <w:t>.</w:t>
      </w:r>
    </w:p>
    <w:p w:rsidRPr="00D832B6" w:rsidR="00B97D46" w:rsidP="003D19E7" w:rsidRDefault="00B97D46" w14:paraId="70B3B79F" w14:textId="77777777">
      <w:pPr>
        <w:rPr>
          <w:b/>
          <w:bCs/>
          <w:sz w:val="24"/>
          <w:szCs w:val="24"/>
        </w:rPr>
      </w:pPr>
    </w:p>
    <w:p w:rsidRPr="00130E47" w:rsidR="00B97D46" w:rsidP="003D19E7" w:rsidRDefault="00B97D46" w14:paraId="3998430D" w14:textId="77777777">
      <w:pPr>
        <w:ind w:left="720"/>
        <w:rPr>
          <w:sz w:val="24"/>
          <w:szCs w:val="24"/>
        </w:rPr>
      </w:pPr>
      <w:r w:rsidRPr="00130E47">
        <w:rPr>
          <w:sz w:val="24"/>
          <w:szCs w:val="24"/>
        </w:rPr>
        <w:lastRenderedPageBreak/>
        <w:t xml:space="preserve">This information is not submitted to the federal government.  These disclosures are required by statute, 15 U.S.C. 1639h.  </w:t>
      </w:r>
      <w:r w:rsidRPr="00130E47">
        <w:rPr>
          <w:noProof/>
          <w:sz w:val="24"/>
          <w:szCs w:val="24"/>
        </w:rPr>
        <w:t xml:space="preserve">The burdens on respondents are the minimum necessary to comply with the statute, to assist consumers in obtaining information about how the property’s value was determined by the creditor, and to promote safe and sound lending with respect to HPMLs. </w:t>
      </w:r>
    </w:p>
    <w:p w:rsidRPr="00130E47" w:rsidR="00B97D46" w:rsidP="00B97D46" w:rsidRDefault="00B97D46" w14:paraId="21511F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30E47" w:rsidR="00B97D46" w:rsidP="003D19E7" w:rsidRDefault="00B97D46" w14:paraId="40442331" w14:textId="356C52C6">
      <w:pPr>
        <w:pStyle w:val="Default"/>
        <w:numPr>
          <w:ilvl w:val="0"/>
          <w:numId w:val="3"/>
        </w:numPr>
        <w:ind w:left="720" w:hanging="720"/>
        <w:rPr>
          <w:b/>
          <w:bCs/>
          <w:u w:val="single"/>
        </w:rPr>
      </w:pPr>
      <w:r w:rsidRPr="00130E47">
        <w:rPr>
          <w:b/>
          <w:bCs/>
        </w:rPr>
        <w:t xml:space="preserve">Inconsistencies with </w:t>
      </w:r>
      <w:r w:rsidR="00CA43ED">
        <w:rPr>
          <w:b/>
          <w:bCs/>
        </w:rPr>
        <w:t>g</w:t>
      </w:r>
      <w:r w:rsidRPr="00130E47">
        <w:rPr>
          <w:b/>
          <w:bCs/>
        </w:rPr>
        <w:t>uidelines in 5 CFR 1320.5(d)(2)</w:t>
      </w:r>
      <w:r w:rsidR="00CA43ED">
        <w:rPr>
          <w:b/>
          <w:bCs/>
        </w:rPr>
        <w:t>.</w:t>
      </w:r>
    </w:p>
    <w:p w:rsidRPr="003D19E7" w:rsidR="00B97D46" w:rsidP="003D19E7" w:rsidRDefault="00B97D46" w14:paraId="1106EE30" w14:textId="77777777">
      <w:pPr>
        <w:ind w:left="360" w:hanging="360"/>
        <w:rPr>
          <w:sz w:val="24"/>
          <w:szCs w:val="24"/>
        </w:rPr>
      </w:pPr>
    </w:p>
    <w:p w:rsidRPr="003D19E7" w:rsidR="00B97D46" w:rsidP="003D19E7" w:rsidRDefault="003D19E7" w14:paraId="74B8E58C" w14:textId="493FACFC">
      <w:pPr>
        <w:ind w:left="720"/>
        <w:rPr>
          <w:sz w:val="24"/>
          <w:szCs w:val="24"/>
        </w:rPr>
      </w:pPr>
      <w:r w:rsidRPr="003D19E7">
        <w:rPr>
          <w:sz w:val="24"/>
          <w:szCs w:val="24"/>
        </w:rPr>
        <w:t>There are no special circumstances.  This collection is consistent with the guidelines in 5 CFR 1320.5(d)(2)</w:t>
      </w:r>
      <w:r w:rsidRPr="003D19E7">
        <w:rPr>
          <w:sz w:val="24"/>
          <w:szCs w:val="24"/>
        </w:rPr>
        <w:t>.</w:t>
      </w:r>
    </w:p>
    <w:p w:rsidRPr="003D19E7" w:rsidR="003D19E7" w:rsidP="003D19E7" w:rsidRDefault="003D19E7" w14:paraId="2ADC2D3E" w14:textId="77777777">
      <w:pPr>
        <w:rPr>
          <w:sz w:val="24"/>
          <w:szCs w:val="24"/>
        </w:rPr>
      </w:pPr>
    </w:p>
    <w:p w:rsidRPr="00130E47" w:rsidR="00B97D46" w:rsidP="00D832B6" w:rsidRDefault="00CA43ED" w14:paraId="744B15CE" w14:textId="3BE02644">
      <w:pPr>
        <w:pStyle w:val="CM12"/>
        <w:numPr>
          <w:ilvl w:val="0"/>
          <w:numId w:val="3"/>
        </w:numPr>
        <w:ind w:left="720" w:hanging="720"/>
        <w:rPr>
          <w:b/>
          <w:bCs/>
          <w:u w:val="single"/>
        </w:rPr>
      </w:pPr>
      <w:r>
        <w:rPr>
          <w:b/>
          <w:bCs/>
        </w:rPr>
        <w:t>Efforts to consult with persons ou</w:t>
      </w:r>
      <w:r w:rsidRPr="00130E47" w:rsidR="00B97D46">
        <w:rPr>
          <w:b/>
          <w:bCs/>
        </w:rPr>
        <w:t xml:space="preserve">tside the </w:t>
      </w:r>
      <w:r>
        <w:rPr>
          <w:b/>
          <w:bCs/>
        </w:rPr>
        <w:t>a</w:t>
      </w:r>
      <w:r w:rsidRPr="00130E47" w:rsidR="00B97D46">
        <w:rPr>
          <w:b/>
          <w:bCs/>
        </w:rPr>
        <w:t>gency</w:t>
      </w:r>
      <w:r>
        <w:rPr>
          <w:b/>
          <w:bCs/>
        </w:rPr>
        <w:t>.</w:t>
      </w:r>
    </w:p>
    <w:p w:rsidRPr="003D19E7" w:rsidR="00B97D46" w:rsidP="00D832B6" w:rsidRDefault="00B97D46" w14:paraId="7F907A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D19E7" w:rsidR="003D19E7" w:rsidP="003D19E7" w:rsidRDefault="00D832B6" w14:paraId="2D6A9543" w14:textId="252172B0">
      <w:pPr>
        <w:ind w:left="720" w:hanging="720"/>
        <w:rPr>
          <w:sz w:val="24"/>
          <w:szCs w:val="24"/>
        </w:rPr>
      </w:pPr>
      <w:r w:rsidRPr="003D19E7">
        <w:rPr>
          <w:sz w:val="24"/>
          <w:szCs w:val="24"/>
        </w:rPr>
        <w:tab/>
      </w:r>
      <w:r w:rsidRPr="003D19E7" w:rsidR="003D19E7">
        <w:rPr>
          <w:sz w:val="24"/>
          <w:szCs w:val="24"/>
        </w:rPr>
        <w:t xml:space="preserve">A 60-day notice was published in the </w:t>
      </w:r>
      <w:r w:rsidRPr="003D19E7" w:rsidR="003D19E7">
        <w:rPr>
          <w:i/>
          <w:sz w:val="24"/>
          <w:szCs w:val="24"/>
        </w:rPr>
        <w:t>Federal Register</w:t>
      </w:r>
      <w:r w:rsidRPr="003D19E7" w:rsidR="003D19E7">
        <w:rPr>
          <w:sz w:val="24"/>
          <w:szCs w:val="24"/>
        </w:rPr>
        <w:t xml:space="preserve"> on </w:t>
      </w:r>
      <w:r w:rsidR="003D19E7">
        <w:rPr>
          <w:sz w:val="24"/>
          <w:szCs w:val="24"/>
        </w:rPr>
        <w:t>October 15, 2020</w:t>
      </w:r>
      <w:r w:rsidRPr="003D19E7" w:rsidR="003D19E7">
        <w:rPr>
          <w:sz w:val="24"/>
          <w:szCs w:val="24"/>
        </w:rPr>
        <w:t>, at 8</w:t>
      </w:r>
      <w:r w:rsidR="003D19E7">
        <w:rPr>
          <w:sz w:val="24"/>
          <w:szCs w:val="24"/>
        </w:rPr>
        <w:t>5</w:t>
      </w:r>
      <w:r w:rsidRPr="003D19E7" w:rsidR="003D19E7">
        <w:rPr>
          <w:sz w:val="24"/>
          <w:szCs w:val="24"/>
        </w:rPr>
        <w:t xml:space="preserve"> FR </w:t>
      </w:r>
      <w:r w:rsidR="003D19E7">
        <w:rPr>
          <w:sz w:val="24"/>
          <w:szCs w:val="24"/>
        </w:rPr>
        <w:t>65435</w:t>
      </w:r>
      <w:r w:rsidRPr="003D19E7" w:rsidR="003D19E7">
        <w:rPr>
          <w:sz w:val="24"/>
          <w:szCs w:val="24"/>
        </w:rPr>
        <w:t>, soliciting comments from the public.  No public comments were received in response to this notice</w:t>
      </w:r>
      <w:r w:rsidR="003D19E7">
        <w:rPr>
          <w:sz w:val="24"/>
          <w:szCs w:val="24"/>
        </w:rPr>
        <w:t>.</w:t>
      </w:r>
    </w:p>
    <w:p w:rsidRPr="003D19E7" w:rsidR="00B97D46" w:rsidP="00D832B6" w:rsidRDefault="00B97D46" w14:paraId="3B41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D832B6" w:rsidR="00B97D46" w:rsidP="00D832B6" w:rsidRDefault="00B97D46" w14:paraId="5C7B5DD8" w14:textId="62019F41">
      <w:pPr>
        <w:pStyle w:val="Default"/>
        <w:numPr>
          <w:ilvl w:val="0"/>
          <w:numId w:val="3"/>
        </w:numPr>
        <w:tabs>
          <w:tab w:val="left" w:pos="720"/>
        </w:tabs>
        <w:ind w:left="720" w:hanging="720"/>
        <w:rPr>
          <w:b/>
          <w:bCs/>
          <w:color w:val="auto"/>
        </w:rPr>
      </w:pPr>
      <w:r w:rsidRPr="00D832B6">
        <w:rPr>
          <w:b/>
          <w:bCs/>
          <w:color w:val="auto"/>
        </w:rPr>
        <w:t xml:space="preserve">Payment or </w:t>
      </w:r>
      <w:r w:rsidRPr="00D832B6" w:rsidR="00CA43ED">
        <w:rPr>
          <w:b/>
          <w:bCs/>
          <w:color w:val="auto"/>
        </w:rPr>
        <w:t>g</w:t>
      </w:r>
      <w:r w:rsidRPr="00D832B6">
        <w:rPr>
          <w:b/>
          <w:bCs/>
          <w:color w:val="auto"/>
        </w:rPr>
        <w:t>ift</w:t>
      </w:r>
      <w:r w:rsidRPr="00D832B6" w:rsidR="00CA43ED">
        <w:rPr>
          <w:b/>
          <w:bCs/>
          <w:color w:val="auto"/>
        </w:rPr>
        <w:t>s to respondents.</w:t>
      </w:r>
    </w:p>
    <w:p w:rsidRPr="00D832B6" w:rsidR="00B97D46" w:rsidP="00D832B6" w:rsidRDefault="00B97D46" w14:paraId="03CC0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130E47" w:rsidR="00B97D46" w:rsidP="003D19E7" w:rsidRDefault="003D19E7" w14:paraId="4529FC0F" w14:textId="2551862B">
      <w:pPr>
        <w:ind w:left="720" w:hanging="720"/>
        <w:rPr>
          <w:sz w:val="24"/>
          <w:szCs w:val="24"/>
        </w:rPr>
      </w:pPr>
      <w:r>
        <w:rPr>
          <w:sz w:val="24"/>
          <w:szCs w:val="24"/>
        </w:rPr>
        <w:tab/>
      </w:r>
      <w:r w:rsidRPr="00130E47" w:rsidR="00B97D46">
        <w:rPr>
          <w:sz w:val="24"/>
          <w:szCs w:val="24"/>
        </w:rPr>
        <w:t>No payments or gifts are provided to respondents.</w:t>
      </w:r>
    </w:p>
    <w:p w:rsidRPr="00D832B6" w:rsidR="00B97D46" w:rsidP="00D832B6" w:rsidRDefault="00B97D46" w14:paraId="76B7AF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D832B6" w:rsidR="00B97D46" w:rsidP="00D832B6" w:rsidRDefault="00CA43ED" w14:paraId="7FC288BD" w14:textId="0594A299">
      <w:pPr>
        <w:pStyle w:val="ListParagraph"/>
        <w:numPr>
          <w:ilvl w:val="0"/>
          <w:numId w:val="3"/>
        </w:numPr>
        <w:ind w:left="720" w:right="990" w:hanging="720"/>
        <w:rPr>
          <w:b/>
          <w:bCs/>
          <w:sz w:val="24"/>
          <w:szCs w:val="24"/>
        </w:rPr>
      </w:pPr>
      <w:r w:rsidRPr="00D832B6">
        <w:rPr>
          <w:b/>
          <w:bCs/>
          <w:sz w:val="24"/>
          <w:szCs w:val="24"/>
        </w:rPr>
        <w:t>Assurance of c</w:t>
      </w:r>
      <w:r w:rsidRPr="00D832B6" w:rsidR="00B97D46">
        <w:rPr>
          <w:b/>
          <w:bCs/>
          <w:sz w:val="24"/>
          <w:szCs w:val="24"/>
        </w:rPr>
        <w:t>onfidentiality</w:t>
      </w:r>
      <w:r w:rsidRPr="00D832B6">
        <w:rPr>
          <w:b/>
          <w:bCs/>
          <w:sz w:val="24"/>
          <w:szCs w:val="24"/>
        </w:rPr>
        <w:t>.</w:t>
      </w:r>
    </w:p>
    <w:p w:rsidRPr="00130E47" w:rsidR="00B97D46" w:rsidP="00D832B6" w:rsidRDefault="00B97D46" w14:paraId="6504BBC2" w14:textId="77777777">
      <w:pPr>
        <w:ind w:left="720" w:right="990" w:hanging="720"/>
        <w:rPr>
          <w:sz w:val="24"/>
          <w:szCs w:val="24"/>
        </w:rPr>
      </w:pPr>
    </w:p>
    <w:p w:rsidR="00D832B6" w:rsidP="00D832B6" w:rsidRDefault="00B97D46" w14:paraId="08157F68" w14:textId="77777777">
      <w:pPr>
        <w:ind w:left="720" w:right="990"/>
        <w:rPr>
          <w:sz w:val="24"/>
          <w:szCs w:val="24"/>
        </w:rPr>
      </w:pPr>
      <w:r w:rsidRPr="00130E47">
        <w:rPr>
          <w:sz w:val="24"/>
          <w:szCs w:val="24"/>
        </w:rPr>
        <w:t>There are no assurances of confidentiality provided to respondents.</w:t>
      </w:r>
    </w:p>
    <w:p w:rsidRPr="003D19E7" w:rsidR="00D832B6" w:rsidP="00D832B6" w:rsidRDefault="00D832B6" w14:paraId="1F8F14E2" w14:textId="77777777">
      <w:pPr>
        <w:ind w:left="720" w:right="990" w:hanging="720"/>
        <w:rPr>
          <w:b/>
          <w:sz w:val="24"/>
          <w:szCs w:val="24"/>
        </w:rPr>
      </w:pPr>
    </w:p>
    <w:p w:rsidRPr="003D19E7" w:rsidR="00B97D46" w:rsidP="00D832B6" w:rsidRDefault="00CA43ED" w14:paraId="7742B63D" w14:textId="73811D71">
      <w:pPr>
        <w:pStyle w:val="ListParagraph"/>
        <w:numPr>
          <w:ilvl w:val="0"/>
          <w:numId w:val="3"/>
        </w:numPr>
        <w:ind w:left="720" w:right="990" w:hanging="720"/>
        <w:rPr>
          <w:b/>
          <w:noProof/>
          <w:sz w:val="24"/>
          <w:szCs w:val="24"/>
        </w:rPr>
      </w:pPr>
      <w:r w:rsidRPr="003D19E7">
        <w:rPr>
          <w:b/>
          <w:sz w:val="24"/>
          <w:szCs w:val="24"/>
        </w:rPr>
        <w:t>Question of a s</w:t>
      </w:r>
      <w:r w:rsidRPr="003D19E7" w:rsidR="00B97D46">
        <w:rPr>
          <w:b/>
          <w:sz w:val="24"/>
          <w:szCs w:val="24"/>
        </w:rPr>
        <w:t xml:space="preserve">ensitive </w:t>
      </w:r>
      <w:r w:rsidRPr="003D19E7">
        <w:rPr>
          <w:b/>
          <w:sz w:val="24"/>
          <w:szCs w:val="24"/>
        </w:rPr>
        <w:t>nature.</w:t>
      </w:r>
    </w:p>
    <w:p w:rsidRPr="003D19E7" w:rsidR="00B97D46" w:rsidP="00D832B6" w:rsidRDefault="00B97D46" w14:paraId="55563C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130E47" w:rsidR="00B97D46" w:rsidP="00D832B6" w:rsidRDefault="00B97D46" w14:paraId="68527608" w14:textId="77777777">
      <w:pPr>
        <w:ind w:left="720"/>
        <w:rPr>
          <w:sz w:val="24"/>
          <w:szCs w:val="24"/>
        </w:rPr>
      </w:pPr>
      <w:r w:rsidRPr="00130E47">
        <w:rPr>
          <w:sz w:val="24"/>
          <w:szCs w:val="24"/>
        </w:rPr>
        <w:t>This information collection does not include questions of a sensitive nature.</w:t>
      </w:r>
    </w:p>
    <w:p w:rsidRPr="00130E47" w:rsidR="00B97D46" w:rsidP="00D832B6" w:rsidRDefault="00B97D46" w14:paraId="3E870A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30E47" w:rsidR="00B97D46" w:rsidP="00D832B6" w:rsidRDefault="00B97D46" w14:paraId="5DB3DBD6" w14:textId="3AE67416">
      <w:pPr>
        <w:pStyle w:val="Default"/>
        <w:numPr>
          <w:ilvl w:val="0"/>
          <w:numId w:val="3"/>
        </w:numPr>
        <w:ind w:left="720" w:hanging="720"/>
        <w:rPr>
          <w:b/>
          <w:bCs/>
          <w:u w:val="single"/>
        </w:rPr>
      </w:pPr>
      <w:r w:rsidRPr="00130E47">
        <w:rPr>
          <w:b/>
          <w:bCs/>
        </w:rPr>
        <w:t xml:space="preserve">Burden of </w:t>
      </w:r>
      <w:r w:rsidR="00CA43ED">
        <w:rPr>
          <w:b/>
          <w:bCs/>
        </w:rPr>
        <w:t>i</w:t>
      </w:r>
      <w:r w:rsidRPr="00130E47">
        <w:rPr>
          <w:b/>
          <w:bCs/>
        </w:rPr>
        <w:t xml:space="preserve">nformation </w:t>
      </w:r>
      <w:r w:rsidR="00CA43ED">
        <w:rPr>
          <w:b/>
          <w:bCs/>
        </w:rPr>
        <w:t>c</w:t>
      </w:r>
      <w:r w:rsidRPr="00130E47">
        <w:rPr>
          <w:b/>
          <w:bCs/>
        </w:rPr>
        <w:t>ollection</w:t>
      </w:r>
      <w:r w:rsidR="00CA43ED">
        <w:rPr>
          <w:b/>
          <w:bCs/>
        </w:rPr>
        <w:t>.</w:t>
      </w:r>
    </w:p>
    <w:p w:rsidRPr="00130E47" w:rsidR="00B97D46" w:rsidP="00D832B6" w:rsidRDefault="00B97D46" w14:paraId="58057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5F6C54" w:rsidR="00B97D46" w:rsidP="00D832B6" w:rsidRDefault="005F6C54" w14:paraId="65EBCFE9" w14:textId="0B899470">
      <w:pPr>
        <w:ind w:left="720"/>
        <w:rPr>
          <w:sz w:val="24"/>
          <w:szCs w:val="24"/>
        </w:rPr>
      </w:pPr>
      <w:r w:rsidRPr="005F6C54">
        <w:rPr>
          <w:sz w:val="24"/>
          <w:szCs w:val="24"/>
        </w:rPr>
        <w:t>An estimated 2,050</w:t>
      </w:r>
      <w:r w:rsidRPr="005F6C54" w:rsidR="00B97D46">
        <w:rPr>
          <w:sz w:val="24"/>
          <w:szCs w:val="24"/>
        </w:rPr>
        <w:t xml:space="preserve"> federally insured credit unions are expected to issue HPMLs.  </w:t>
      </w:r>
    </w:p>
    <w:p w:rsidR="005F6C54" w:rsidP="005F6C54" w:rsidRDefault="005F6C54" w14:paraId="08711D6E" w14:textId="77777777">
      <w:pPr>
        <w:ind w:firstLine="720"/>
        <w:rPr>
          <w:sz w:val="24"/>
          <w:szCs w:val="24"/>
        </w:rPr>
      </w:pPr>
    </w:p>
    <w:p w:rsidRPr="005F6C54" w:rsidR="005F6C54" w:rsidP="005F6C54" w:rsidRDefault="005F6C54" w14:paraId="4C8B8099" w14:textId="5BA94962">
      <w:pPr>
        <w:ind w:firstLine="720"/>
        <w:rPr>
          <w:sz w:val="24"/>
          <w:szCs w:val="24"/>
        </w:rPr>
      </w:pPr>
      <w:r w:rsidRPr="005F6C54">
        <w:rPr>
          <w:sz w:val="24"/>
          <w:szCs w:val="24"/>
        </w:rPr>
        <w:t xml:space="preserve">There is a paperwork burden associated with three specific provisions of the rule.  </w:t>
      </w:r>
    </w:p>
    <w:p w:rsidRPr="005F6C54" w:rsidR="005F6C54" w:rsidP="005F6C54" w:rsidRDefault="005F6C54" w14:paraId="1ED13CDC" w14:textId="77777777">
      <w:pPr>
        <w:numPr>
          <w:ilvl w:val="0"/>
          <w:numId w:val="1"/>
        </w:numPr>
        <w:ind w:left="1080"/>
        <w:rPr>
          <w:sz w:val="24"/>
          <w:szCs w:val="24"/>
        </w:rPr>
      </w:pPr>
      <w:r w:rsidRPr="005F6C54">
        <w:rPr>
          <w:sz w:val="24"/>
          <w:szCs w:val="24"/>
        </w:rPr>
        <w:t xml:space="preserve">First, the agencies estimate that appraisals associated with HPMLs will require 15 minutes to review and provide a copy to the borrower.  The table below only accounts for the marginal burden of this provision, as borrowers are already entitled to a copy of any appraisal. </w:t>
      </w:r>
    </w:p>
    <w:p w:rsidRPr="005F6C54" w:rsidR="005F6C54" w:rsidP="005F6C54" w:rsidRDefault="005F6C54" w14:paraId="5C187E24" w14:textId="77777777">
      <w:pPr>
        <w:numPr>
          <w:ilvl w:val="0"/>
          <w:numId w:val="1"/>
        </w:numPr>
        <w:ind w:left="1080"/>
        <w:rPr>
          <w:sz w:val="24"/>
          <w:szCs w:val="24"/>
        </w:rPr>
      </w:pPr>
      <w:r w:rsidRPr="005F6C54">
        <w:rPr>
          <w:sz w:val="24"/>
          <w:szCs w:val="24"/>
        </w:rPr>
        <w:t>Second, the agencies estimate that financial institutions will need 15 minutes to review HPMLs to verify whether an Additional Written Appraisal is required.</w:t>
      </w:r>
    </w:p>
    <w:p w:rsidRPr="005F6C54" w:rsidR="005F6C54" w:rsidP="005F6C54" w:rsidRDefault="005F6C54" w14:paraId="32AC0A17" w14:textId="5C80F241">
      <w:pPr>
        <w:numPr>
          <w:ilvl w:val="0"/>
          <w:numId w:val="1"/>
        </w:numPr>
        <w:ind w:left="1080"/>
        <w:rPr>
          <w:sz w:val="24"/>
          <w:szCs w:val="24"/>
        </w:rPr>
      </w:pPr>
      <w:r w:rsidRPr="005F6C54">
        <w:rPr>
          <w:sz w:val="24"/>
          <w:szCs w:val="24"/>
        </w:rPr>
        <w:t xml:space="preserve">Third, for the few HPMLs that </w:t>
      </w:r>
      <w:r w:rsidRPr="005F6C54" w:rsidR="001C7B73">
        <w:rPr>
          <w:sz w:val="24"/>
          <w:szCs w:val="24"/>
        </w:rPr>
        <w:t>require</w:t>
      </w:r>
      <w:r w:rsidRPr="005F6C54">
        <w:rPr>
          <w:sz w:val="24"/>
          <w:szCs w:val="24"/>
        </w:rPr>
        <w:t xml:space="preserve"> an Additional Written Appraisal, financial institutions will require an additional 15 minutes to review and copy the document for the borrower.</w:t>
      </w:r>
    </w:p>
    <w:p w:rsidR="00B97D46" w:rsidP="00D832B6" w:rsidRDefault="00B97D46" w14:paraId="449E3EC2" w14:textId="082F93F5">
      <w:pPr>
        <w:ind w:left="720" w:hanging="720"/>
        <w:rPr>
          <w:b/>
          <w:bCs/>
          <w:sz w:val="24"/>
          <w:szCs w:val="24"/>
        </w:rPr>
      </w:pPr>
    </w:p>
    <w:tbl>
      <w:tblPr>
        <w:tblW w:w="9720" w:type="dxa"/>
        <w:tblLook w:val="04A0" w:firstRow="1" w:lastRow="0" w:firstColumn="1" w:lastColumn="0" w:noHBand="0" w:noVBand="1"/>
      </w:tblPr>
      <w:tblGrid>
        <w:gridCol w:w="415"/>
        <w:gridCol w:w="3852"/>
        <w:gridCol w:w="1230"/>
        <w:gridCol w:w="1026"/>
        <w:gridCol w:w="1070"/>
        <w:gridCol w:w="981"/>
        <w:gridCol w:w="1146"/>
      </w:tblGrid>
      <w:tr w:rsidRPr="001C7B73" w:rsidR="001C7B73" w:rsidTr="001C7B73" w14:paraId="617141FA" w14:textId="77777777">
        <w:trPr>
          <w:trHeight w:val="530"/>
        </w:trPr>
        <w:tc>
          <w:tcPr>
            <w:tcW w:w="415" w:type="dxa"/>
            <w:tcBorders>
              <w:bottom w:val="single" w:color="auto" w:sz="4" w:space="0"/>
              <w:right w:val="single" w:color="auto" w:sz="4" w:space="0"/>
            </w:tcBorders>
            <w:shd w:val="clear" w:color="auto" w:fill="auto"/>
            <w:vAlign w:val="center"/>
          </w:tcPr>
          <w:p w:rsidRPr="001C7B73" w:rsidR="001C7B73" w:rsidP="001C7B73" w:rsidRDefault="001C7B73" w14:paraId="4F4336D5" w14:textId="77777777">
            <w:pPr>
              <w:widowControl/>
              <w:autoSpaceDE/>
              <w:autoSpaceDN/>
              <w:adjustRightInd/>
              <w:jc w:val="center"/>
              <w:rPr>
                <w:color w:val="000000"/>
              </w:rPr>
            </w:pP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609B774C" w14:textId="0268B381">
            <w:pPr>
              <w:widowControl/>
              <w:autoSpaceDE/>
              <w:autoSpaceDN/>
              <w:adjustRightInd/>
              <w:rPr>
                <w:rFonts w:ascii="Arial" w:hAnsi="Arial" w:cs="Arial"/>
                <w:b/>
                <w:bCs/>
                <w:color w:val="000000"/>
                <w:sz w:val="16"/>
                <w:szCs w:val="16"/>
              </w:rPr>
            </w:pPr>
            <w:r w:rsidRPr="001C7B73">
              <w:rPr>
                <w:rFonts w:ascii="Arial" w:hAnsi="Arial" w:cs="Arial"/>
                <w:b/>
                <w:bCs/>
                <w:color w:val="000000"/>
                <w:sz w:val="16"/>
                <w:szCs w:val="16"/>
              </w:rPr>
              <w:t>Information Collection</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473C8A5B" w14:textId="07B45B58">
            <w:pPr>
              <w:widowControl/>
              <w:autoSpaceDE/>
              <w:autoSpaceDN/>
              <w:adjustRightInd/>
              <w:jc w:val="center"/>
              <w:rPr>
                <w:rFonts w:ascii="Arial" w:hAnsi="Arial" w:cs="Arial"/>
                <w:b/>
                <w:bCs/>
                <w:color w:val="000000"/>
                <w:sz w:val="16"/>
                <w:szCs w:val="16"/>
              </w:rPr>
            </w:pPr>
            <w:r w:rsidRPr="001C7B73">
              <w:rPr>
                <w:rFonts w:ascii="Arial" w:hAnsi="Arial" w:cs="Arial"/>
                <w:b/>
                <w:bCs/>
                <w:color w:val="000000"/>
                <w:sz w:val="16"/>
                <w:szCs w:val="16"/>
              </w:rPr>
              <w:t>No. Respondents</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7894A68A" w14:textId="108241E7">
            <w:pPr>
              <w:widowControl/>
              <w:autoSpaceDE/>
              <w:autoSpaceDN/>
              <w:adjustRightInd/>
              <w:jc w:val="center"/>
              <w:rPr>
                <w:rFonts w:ascii="Arial" w:hAnsi="Arial" w:cs="Arial"/>
                <w:b/>
                <w:bCs/>
                <w:color w:val="000000"/>
                <w:sz w:val="16"/>
                <w:szCs w:val="16"/>
              </w:rPr>
            </w:pPr>
            <w:r w:rsidRPr="001C7B73">
              <w:rPr>
                <w:rFonts w:ascii="Arial" w:hAnsi="Arial" w:cs="Arial"/>
                <w:b/>
                <w:bCs/>
                <w:color w:val="000000"/>
                <w:sz w:val="16"/>
                <w:szCs w:val="16"/>
              </w:rPr>
              <w:t>Frequency</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79C5E208" w14:textId="215B9D27">
            <w:pPr>
              <w:widowControl/>
              <w:autoSpaceDE/>
              <w:autoSpaceDN/>
              <w:adjustRightInd/>
              <w:jc w:val="center"/>
              <w:rPr>
                <w:rFonts w:ascii="Arial" w:hAnsi="Arial" w:cs="Arial"/>
                <w:b/>
                <w:bCs/>
                <w:color w:val="000000"/>
                <w:sz w:val="16"/>
                <w:szCs w:val="16"/>
              </w:rPr>
            </w:pPr>
            <w:r w:rsidRPr="001C7B73">
              <w:rPr>
                <w:rFonts w:ascii="Arial" w:hAnsi="Arial" w:cs="Arial"/>
                <w:b/>
                <w:bCs/>
                <w:color w:val="000000"/>
                <w:sz w:val="16"/>
                <w:szCs w:val="16"/>
              </w:rPr>
              <w:t>No. Annual Responses</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377D4E4F" w14:textId="0985A92E">
            <w:pPr>
              <w:widowControl/>
              <w:autoSpaceDE/>
              <w:autoSpaceDN/>
              <w:adjustRightInd/>
              <w:jc w:val="center"/>
              <w:rPr>
                <w:rFonts w:ascii="Arial" w:hAnsi="Arial" w:cs="Arial"/>
                <w:b/>
                <w:bCs/>
                <w:color w:val="000000"/>
                <w:sz w:val="16"/>
                <w:szCs w:val="16"/>
              </w:rPr>
            </w:pPr>
            <w:r w:rsidRPr="001C7B73">
              <w:rPr>
                <w:rFonts w:ascii="Arial" w:hAnsi="Arial" w:cs="Arial"/>
                <w:b/>
                <w:bCs/>
                <w:color w:val="000000"/>
                <w:sz w:val="16"/>
                <w:szCs w:val="16"/>
              </w:rPr>
              <w:t>Burden hours per Response</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rsidRPr="001C7B73" w:rsidR="001C7B73" w:rsidP="001C7B73" w:rsidRDefault="001C7B73" w14:paraId="5D31FAD9" w14:textId="53734E0A">
            <w:pPr>
              <w:widowControl/>
              <w:autoSpaceDE/>
              <w:autoSpaceDN/>
              <w:adjustRightInd/>
              <w:jc w:val="center"/>
              <w:rPr>
                <w:rFonts w:ascii="Arial" w:hAnsi="Arial" w:cs="Arial"/>
                <w:b/>
                <w:bCs/>
                <w:color w:val="000000"/>
                <w:sz w:val="16"/>
                <w:szCs w:val="16"/>
              </w:rPr>
            </w:pPr>
            <w:r w:rsidRPr="001C7B73">
              <w:rPr>
                <w:rFonts w:ascii="Arial" w:hAnsi="Arial" w:cs="Arial"/>
                <w:b/>
                <w:bCs/>
                <w:color w:val="000000"/>
                <w:sz w:val="16"/>
                <w:szCs w:val="16"/>
              </w:rPr>
              <w:t>Total Burden</w:t>
            </w:r>
          </w:p>
        </w:tc>
      </w:tr>
      <w:tr w:rsidRPr="001C7B73" w:rsidR="001C7B73" w:rsidTr="001C7B73" w14:paraId="4AD60774" w14:textId="77777777">
        <w:trPr>
          <w:trHeight w:val="422"/>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671E756D" w14:textId="77777777">
            <w:pPr>
              <w:widowControl/>
              <w:autoSpaceDE/>
              <w:autoSpaceDN/>
              <w:adjustRightInd/>
              <w:jc w:val="center"/>
              <w:rPr>
                <w:color w:val="000000"/>
              </w:rPr>
            </w:pPr>
            <w:r w:rsidRPr="001C7B73">
              <w:rPr>
                <w:color w:val="000000"/>
              </w:rPr>
              <w:t>1</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168BD18F" w14:textId="77777777">
            <w:pPr>
              <w:widowControl/>
              <w:autoSpaceDE/>
              <w:autoSpaceDN/>
              <w:adjustRightInd/>
              <w:rPr>
                <w:rFonts w:ascii="Arial" w:hAnsi="Arial" w:cs="Arial"/>
                <w:color w:val="000000"/>
                <w:sz w:val="18"/>
                <w:szCs w:val="18"/>
              </w:rPr>
            </w:pPr>
            <w:r w:rsidRPr="001C7B73">
              <w:rPr>
                <w:rFonts w:ascii="Arial" w:hAnsi="Arial" w:cs="Arial"/>
                <w:color w:val="000000"/>
                <w:sz w:val="18"/>
                <w:szCs w:val="18"/>
              </w:rPr>
              <w:t>Review and Provide Copy of Written Appraisal to Borrower</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0CF31133"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2,050</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63E7987C"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0.07</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46D1A769"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143.5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7410433B"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0.25</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2EF01157"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35.875</w:t>
            </w:r>
          </w:p>
        </w:tc>
      </w:tr>
      <w:tr w:rsidRPr="001C7B73" w:rsidR="001C7B73" w:rsidTr="001C7B73" w14:paraId="36A19462" w14:textId="77777777">
        <w:trPr>
          <w:trHeight w:val="440"/>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0FE8C69C" w14:textId="77777777">
            <w:pPr>
              <w:widowControl/>
              <w:autoSpaceDE/>
              <w:autoSpaceDN/>
              <w:adjustRightInd/>
              <w:jc w:val="center"/>
              <w:rPr>
                <w:color w:val="000000"/>
              </w:rPr>
            </w:pPr>
            <w:r w:rsidRPr="001C7B73">
              <w:rPr>
                <w:color w:val="000000"/>
              </w:rPr>
              <w:t>2</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7017FD80" w14:textId="77777777">
            <w:pPr>
              <w:widowControl/>
              <w:autoSpaceDE/>
              <w:autoSpaceDN/>
              <w:adjustRightInd/>
              <w:rPr>
                <w:rFonts w:ascii="Arial" w:hAnsi="Arial" w:cs="Arial"/>
                <w:color w:val="000000"/>
                <w:sz w:val="18"/>
                <w:szCs w:val="18"/>
              </w:rPr>
            </w:pPr>
            <w:r w:rsidRPr="001C7B73">
              <w:rPr>
                <w:rFonts w:ascii="Arial" w:hAnsi="Arial" w:cs="Arial"/>
                <w:color w:val="000000"/>
                <w:sz w:val="18"/>
                <w:szCs w:val="18"/>
              </w:rPr>
              <w:t>Investigate and Verify Requirement for Additional Written Approval</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6365057E"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2,050</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3590A57D"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0.38</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092989C6"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779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199730D9"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0.25</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5839A5FC"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194.75</w:t>
            </w:r>
          </w:p>
        </w:tc>
      </w:tr>
      <w:tr w:rsidRPr="001C7B73" w:rsidR="001C7B73" w:rsidTr="001C7B73" w14:paraId="7CA1EB6A" w14:textId="77777777">
        <w:trPr>
          <w:trHeight w:val="440"/>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6FC6334A" w14:textId="77777777">
            <w:pPr>
              <w:widowControl/>
              <w:autoSpaceDE/>
              <w:autoSpaceDN/>
              <w:adjustRightInd/>
              <w:jc w:val="center"/>
              <w:rPr>
                <w:color w:val="000000"/>
              </w:rPr>
            </w:pPr>
            <w:r w:rsidRPr="001C7B73">
              <w:rPr>
                <w:color w:val="000000"/>
              </w:rPr>
              <w:t>3</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21AA86DC" w14:textId="77777777">
            <w:pPr>
              <w:widowControl/>
              <w:autoSpaceDE/>
              <w:autoSpaceDN/>
              <w:adjustRightInd/>
              <w:rPr>
                <w:rFonts w:ascii="Arial" w:hAnsi="Arial" w:cs="Arial"/>
                <w:color w:val="000000"/>
                <w:sz w:val="18"/>
                <w:szCs w:val="18"/>
              </w:rPr>
            </w:pPr>
            <w:r w:rsidRPr="001C7B73">
              <w:rPr>
                <w:rFonts w:ascii="Arial" w:hAnsi="Arial" w:cs="Arial"/>
                <w:color w:val="000000"/>
                <w:sz w:val="18"/>
                <w:szCs w:val="18"/>
              </w:rPr>
              <w:t>Review and Provide Copy of Additional Written Appraisal to Borrower</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26046BD5"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2,050</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12A98FEA"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0.01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0E02CD11"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20.5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1C81BC7A"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0.25</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382849BF"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5.125</w:t>
            </w:r>
          </w:p>
        </w:tc>
      </w:tr>
      <w:tr w:rsidRPr="001C7B73" w:rsidR="001C7B73" w:rsidTr="001C7B73" w14:paraId="31A2CCF2" w14:textId="77777777">
        <w:trPr>
          <w:trHeight w:val="440"/>
        </w:trPr>
        <w:tc>
          <w:tcPr>
            <w:tcW w:w="4267"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6AD14933" w14:textId="68BD0BC3">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TOTAL</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79F227EE" w14:textId="77777777">
            <w:pPr>
              <w:widowControl/>
              <w:autoSpaceDE/>
              <w:autoSpaceDN/>
              <w:adjustRightInd/>
              <w:jc w:val="center"/>
              <w:rPr>
                <w:rFonts w:ascii="Arial" w:hAnsi="Arial" w:cs="Arial"/>
                <w:b/>
                <w:bCs/>
                <w:color w:val="000000"/>
                <w:sz w:val="18"/>
                <w:szCs w:val="18"/>
              </w:rPr>
            </w:pPr>
            <w:r w:rsidRPr="001C7B73">
              <w:rPr>
                <w:rFonts w:ascii="Arial" w:hAnsi="Arial" w:cs="Arial"/>
                <w:b/>
                <w:bCs/>
                <w:color w:val="000000"/>
                <w:sz w:val="18"/>
                <w:szCs w:val="18"/>
              </w:rPr>
              <w:t>2,050</w:t>
            </w:r>
          </w:p>
        </w:tc>
        <w:tc>
          <w:tcPr>
            <w:tcW w:w="1026"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hideMark/>
          </w:tcPr>
          <w:p w:rsidRPr="001C7B73" w:rsidR="001C7B73" w:rsidP="001C7B73" w:rsidRDefault="001C7B73" w14:paraId="59F2BFC8" w14:textId="77777777">
            <w:pPr>
              <w:widowControl/>
              <w:autoSpaceDE/>
              <w:autoSpaceDN/>
              <w:adjustRightInd/>
              <w:jc w:val="center"/>
              <w:rPr>
                <w:rFonts w:ascii="Arial" w:hAnsi="Arial" w:cs="Arial"/>
                <w:color w:val="000000"/>
                <w:sz w:val="18"/>
                <w:szCs w:val="18"/>
              </w:rPr>
            </w:pPr>
            <w:r w:rsidRPr="001C7B73">
              <w:rPr>
                <w:rFonts w:ascii="Arial" w:hAnsi="Arial" w:cs="Arial"/>
                <w:color w:val="000000"/>
                <w:sz w:val="18"/>
                <w:szCs w:val="18"/>
              </w:rPr>
              <w:t>0.46</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50B45244" w14:textId="77777777">
            <w:pPr>
              <w:widowControl/>
              <w:autoSpaceDE/>
              <w:autoSpaceDN/>
              <w:adjustRightInd/>
              <w:jc w:val="center"/>
              <w:rPr>
                <w:rFonts w:ascii="Arial" w:hAnsi="Arial" w:cs="Arial"/>
                <w:b/>
                <w:bCs/>
                <w:color w:val="000000"/>
                <w:sz w:val="18"/>
                <w:szCs w:val="18"/>
              </w:rPr>
            </w:pPr>
            <w:r w:rsidRPr="001C7B73">
              <w:rPr>
                <w:rFonts w:ascii="Arial" w:hAnsi="Arial" w:cs="Arial"/>
                <w:b/>
                <w:bCs/>
                <w:color w:val="000000"/>
                <w:sz w:val="18"/>
                <w:szCs w:val="18"/>
              </w:rPr>
              <w:t>943</w:t>
            </w:r>
          </w:p>
        </w:tc>
        <w:tc>
          <w:tcPr>
            <w:tcW w:w="98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hideMark/>
          </w:tcPr>
          <w:p w:rsidRPr="001C7B73" w:rsidR="001C7B73" w:rsidP="001C7B73" w:rsidRDefault="001C7B73" w14:paraId="30C4E926" w14:textId="77777777">
            <w:pPr>
              <w:widowControl/>
              <w:autoSpaceDE/>
              <w:autoSpaceDN/>
              <w:adjustRightInd/>
              <w:jc w:val="right"/>
              <w:rPr>
                <w:rFonts w:ascii="Arial" w:hAnsi="Arial" w:cs="Arial"/>
                <w:color w:val="000000"/>
                <w:sz w:val="18"/>
                <w:szCs w:val="18"/>
              </w:rPr>
            </w:pPr>
            <w:r w:rsidRPr="001C7B73">
              <w:rPr>
                <w:rFonts w:ascii="Arial" w:hAnsi="Arial" w:cs="Arial"/>
                <w:color w:val="000000"/>
                <w:sz w:val="18"/>
                <w:szCs w:val="18"/>
              </w:rPr>
              <w:t>0.25</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7B73" w:rsidR="001C7B73" w:rsidP="001C7B73" w:rsidRDefault="001C7B73" w14:paraId="0D31269B" w14:textId="77777777">
            <w:pPr>
              <w:widowControl/>
              <w:autoSpaceDE/>
              <w:autoSpaceDN/>
              <w:adjustRightInd/>
              <w:jc w:val="right"/>
              <w:rPr>
                <w:rFonts w:ascii="Arial" w:hAnsi="Arial" w:cs="Arial"/>
                <w:b/>
                <w:bCs/>
                <w:color w:val="000000"/>
                <w:sz w:val="18"/>
                <w:szCs w:val="18"/>
              </w:rPr>
            </w:pPr>
            <w:r w:rsidRPr="001C7B73">
              <w:rPr>
                <w:rFonts w:ascii="Arial" w:hAnsi="Arial" w:cs="Arial"/>
                <w:b/>
                <w:bCs/>
                <w:color w:val="000000"/>
                <w:sz w:val="18"/>
                <w:szCs w:val="18"/>
              </w:rPr>
              <w:t>235.75</w:t>
            </w:r>
          </w:p>
        </w:tc>
      </w:tr>
    </w:tbl>
    <w:p w:rsidRPr="001C7B73" w:rsidR="005F6C54" w:rsidP="00D832B6" w:rsidRDefault="001C7B73" w14:paraId="2F06CC6B" w14:textId="50200904">
      <w:pPr>
        <w:ind w:left="720" w:hanging="720"/>
        <w:rPr>
          <w:b/>
          <w:bCs/>
          <w:sz w:val="24"/>
          <w:szCs w:val="24"/>
        </w:rPr>
      </w:pPr>
      <w:r w:rsidRPr="001C7B73">
        <w:rPr>
          <w:sz w:val="24"/>
          <w:szCs w:val="24"/>
        </w:rPr>
        <w:t>Based on the labor rate of $35 per hour, the total cost to respondents is $</w:t>
      </w:r>
      <w:r w:rsidRPr="001C7B73">
        <w:rPr>
          <w:sz w:val="24"/>
          <w:szCs w:val="24"/>
        </w:rPr>
        <w:t>8,251.25</w:t>
      </w:r>
    </w:p>
    <w:p w:rsidRPr="00D832B6" w:rsidR="005F6C54" w:rsidP="00D832B6" w:rsidRDefault="005F6C54" w14:paraId="5337A360" w14:textId="77777777">
      <w:pPr>
        <w:ind w:left="720" w:hanging="720"/>
        <w:rPr>
          <w:b/>
          <w:bCs/>
          <w:sz w:val="24"/>
          <w:szCs w:val="24"/>
        </w:rPr>
      </w:pPr>
    </w:p>
    <w:p w:rsidRPr="00D832B6" w:rsidR="00B97D46" w:rsidP="00D832B6" w:rsidRDefault="00B97D46" w14:paraId="05DA6E46" w14:textId="0C31803F">
      <w:pPr>
        <w:pStyle w:val="CM12"/>
        <w:numPr>
          <w:ilvl w:val="0"/>
          <w:numId w:val="3"/>
        </w:numPr>
        <w:ind w:left="720" w:hanging="720"/>
        <w:rPr>
          <w:b/>
          <w:bCs/>
        </w:rPr>
      </w:pPr>
      <w:r w:rsidRPr="00D832B6">
        <w:rPr>
          <w:b/>
          <w:bCs/>
        </w:rPr>
        <w:t>Capital start-up costs and operation and maintenance costs</w:t>
      </w:r>
      <w:r w:rsidRPr="00D832B6" w:rsidR="00CA43ED">
        <w:rPr>
          <w:b/>
          <w:bCs/>
        </w:rPr>
        <w:t>.</w:t>
      </w:r>
    </w:p>
    <w:p w:rsidRPr="00D832B6" w:rsidR="00B97D46" w:rsidP="00D832B6" w:rsidRDefault="00B97D46" w14:paraId="27C52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highlight w:val="yellow"/>
        </w:rPr>
      </w:pPr>
    </w:p>
    <w:p w:rsidR="00CA43ED" w:rsidP="001C7B73" w:rsidRDefault="001C7B73" w14:paraId="1EE73204" w14:textId="401AA862">
      <w:pPr>
        <w:ind w:left="720"/>
        <w:rPr>
          <w:sz w:val="24"/>
          <w:szCs w:val="24"/>
        </w:rPr>
      </w:pPr>
      <w:r>
        <w:rPr>
          <w:sz w:val="24"/>
          <w:szCs w:val="24"/>
        </w:rPr>
        <w:t>There are no capital start-up or maintenance costs.</w:t>
      </w:r>
    </w:p>
    <w:p w:rsidRPr="00D832B6" w:rsidR="001C7B73" w:rsidP="001C7B73" w:rsidRDefault="001C7B73" w14:paraId="59BA951C" w14:textId="77777777">
      <w:pPr>
        <w:ind w:left="720"/>
        <w:rPr>
          <w:b/>
          <w:bCs/>
        </w:rPr>
      </w:pPr>
    </w:p>
    <w:p w:rsidRPr="00D832B6" w:rsidR="00B97D46" w:rsidP="00D832B6" w:rsidRDefault="00CA43ED" w14:paraId="789D5CF6" w14:textId="69CFF799">
      <w:pPr>
        <w:pStyle w:val="CM12"/>
        <w:numPr>
          <w:ilvl w:val="0"/>
          <w:numId w:val="3"/>
        </w:numPr>
        <w:ind w:left="720" w:hanging="720"/>
        <w:rPr>
          <w:b/>
          <w:bCs/>
        </w:rPr>
      </w:pPr>
      <w:r w:rsidRPr="00D832B6">
        <w:rPr>
          <w:b/>
          <w:bCs/>
        </w:rPr>
        <w:t>Annualized c</w:t>
      </w:r>
      <w:r w:rsidRPr="00D832B6" w:rsidR="00B97D46">
        <w:rPr>
          <w:b/>
          <w:bCs/>
        </w:rPr>
        <w:t xml:space="preserve">ost to the Federal </w:t>
      </w:r>
      <w:r w:rsidRPr="00D832B6">
        <w:rPr>
          <w:b/>
          <w:bCs/>
        </w:rPr>
        <w:t>g</w:t>
      </w:r>
      <w:r w:rsidRPr="00D832B6" w:rsidR="00B97D46">
        <w:rPr>
          <w:b/>
          <w:bCs/>
        </w:rPr>
        <w:t>overnment</w:t>
      </w:r>
      <w:r w:rsidRPr="00D832B6">
        <w:rPr>
          <w:b/>
          <w:bCs/>
        </w:rPr>
        <w:t>.</w:t>
      </w:r>
    </w:p>
    <w:p w:rsidRPr="00D832B6" w:rsidR="00B97D46" w:rsidP="00D832B6" w:rsidRDefault="00B97D46" w14:paraId="48044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130E47" w:rsidR="00B97D46" w:rsidP="00D832B6" w:rsidRDefault="00D832B6" w14:paraId="66734433" w14:textId="2630B4BF">
      <w:pPr>
        <w:ind w:left="720" w:hanging="720"/>
        <w:rPr>
          <w:sz w:val="24"/>
          <w:szCs w:val="24"/>
        </w:rPr>
      </w:pPr>
      <w:r>
        <w:rPr>
          <w:sz w:val="24"/>
          <w:szCs w:val="24"/>
        </w:rPr>
        <w:tab/>
      </w:r>
      <w:r w:rsidR="001C7B73">
        <w:rPr>
          <w:sz w:val="24"/>
          <w:szCs w:val="24"/>
        </w:rPr>
        <w:t>T</w:t>
      </w:r>
      <w:r w:rsidRPr="00130E47" w:rsidR="00B97D46">
        <w:rPr>
          <w:sz w:val="24"/>
          <w:szCs w:val="24"/>
        </w:rPr>
        <w:t>here are no costs to the Federal Government.</w:t>
      </w:r>
    </w:p>
    <w:p w:rsidRPr="00130E47" w:rsidR="00B97D46" w:rsidP="00D832B6" w:rsidRDefault="00B97D46" w14:paraId="6F0C44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30E47" w:rsidR="00B97D46" w:rsidP="00D832B6" w:rsidRDefault="00B97D46" w14:paraId="44BB11E0" w14:textId="58235934">
      <w:pPr>
        <w:pStyle w:val="Default"/>
        <w:numPr>
          <w:ilvl w:val="0"/>
          <w:numId w:val="3"/>
        </w:numPr>
        <w:ind w:left="720" w:hanging="720"/>
        <w:rPr>
          <w:b/>
          <w:bCs/>
          <w:u w:val="single"/>
        </w:rPr>
      </w:pPr>
      <w:r w:rsidRPr="00130E47">
        <w:rPr>
          <w:b/>
          <w:bCs/>
        </w:rPr>
        <w:t xml:space="preserve">Changes in </w:t>
      </w:r>
      <w:r w:rsidR="00CA43ED">
        <w:rPr>
          <w:b/>
          <w:bCs/>
        </w:rPr>
        <w:t>b</w:t>
      </w:r>
      <w:r w:rsidRPr="00130E47">
        <w:rPr>
          <w:b/>
          <w:bCs/>
        </w:rPr>
        <w:t>urden</w:t>
      </w:r>
      <w:r w:rsidR="00CA43ED">
        <w:rPr>
          <w:b/>
          <w:bCs/>
        </w:rPr>
        <w:t>.</w:t>
      </w:r>
    </w:p>
    <w:p w:rsidRPr="00130E47" w:rsidR="00B97D46" w:rsidP="00D832B6" w:rsidRDefault="00B97D46" w14:paraId="57A9A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30E47" w:rsidR="001C7B73" w:rsidP="001C7B73" w:rsidRDefault="00E46CF1" w14:paraId="22E1E964" w14:textId="22E962BA">
      <w:pPr>
        <w:ind w:left="720"/>
        <w:rPr>
          <w:noProof/>
          <w:sz w:val="24"/>
          <w:szCs w:val="24"/>
        </w:rPr>
      </w:pPr>
      <w:r>
        <w:rPr>
          <w:sz w:val="24"/>
          <w:szCs w:val="24"/>
        </w:rPr>
        <w:t>An a</w:t>
      </w:r>
      <w:r w:rsidR="001C7B73">
        <w:rPr>
          <w:sz w:val="24"/>
          <w:szCs w:val="24"/>
        </w:rPr>
        <w:t xml:space="preserve">djustment has been </w:t>
      </w:r>
      <w:r>
        <w:rPr>
          <w:sz w:val="24"/>
          <w:szCs w:val="24"/>
        </w:rPr>
        <w:t>made</w:t>
      </w:r>
      <w:r w:rsidR="001C7B73">
        <w:rPr>
          <w:sz w:val="24"/>
          <w:szCs w:val="24"/>
        </w:rPr>
        <w:t xml:space="preserve"> to </w:t>
      </w:r>
      <w:r>
        <w:rPr>
          <w:sz w:val="24"/>
          <w:szCs w:val="24"/>
        </w:rPr>
        <w:t xml:space="preserve">update </w:t>
      </w:r>
      <w:r w:rsidR="001C7B73">
        <w:rPr>
          <w:sz w:val="24"/>
          <w:szCs w:val="24"/>
        </w:rPr>
        <w:t xml:space="preserve">the number of </w:t>
      </w:r>
      <w:r>
        <w:rPr>
          <w:sz w:val="24"/>
          <w:szCs w:val="24"/>
        </w:rPr>
        <w:t>respondents (FICUs).  The decrease of 40 burden hours is due to this adjustment.</w:t>
      </w:r>
      <w:r w:rsidR="00230206">
        <w:rPr>
          <w:sz w:val="24"/>
          <w:szCs w:val="24"/>
        </w:rPr>
        <w:t xml:space="preserve">  </w:t>
      </w:r>
    </w:p>
    <w:p w:rsidRPr="00130E47" w:rsidR="00B97D46" w:rsidP="00B478B6" w:rsidRDefault="00B97D46" w14:paraId="2B016C08" w14:textId="3592BC09">
      <w:pPr>
        <w:ind w:left="720" w:hanging="720"/>
        <w:rPr>
          <w:noProof/>
          <w:sz w:val="24"/>
          <w:szCs w:val="24"/>
        </w:rPr>
      </w:pPr>
    </w:p>
    <w:p w:rsidRPr="00130E47" w:rsidR="00B97D46" w:rsidP="00B478B6" w:rsidRDefault="00B97D46" w14:paraId="67A6B2EC" w14:textId="4C3EAF2D">
      <w:pPr>
        <w:pStyle w:val="CM12"/>
        <w:numPr>
          <w:ilvl w:val="0"/>
          <w:numId w:val="3"/>
        </w:numPr>
        <w:ind w:left="720" w:hanging="720"/>
      </w:pPr>
      <w:r w:rsidRPr="00130E47">
        <w:rPr>
          <w:b/>
          <w:bCs/>
        </w:rPr>
        <w:t xml:space="preserve">Information </w:t>
      </w:r>
      <w:r w:rsidR="00CA43ED">
        <w:rPr>
          <w:b/>
          <w:bCs/>
        </w:rPr>
        <w:t>c</w:t>
      </w:r>
      <w:r w:rsidRPr="00130E47">
        <w:rPr>
          <w:b/>
          <w:bCs/>
        </w:rPr>
        <w:t xml:space="preserve">ollection </w:t>
      </w:r>
      <w:r w:rsidR="00CA43ED">
        <w:rPr>
          <w:b/>
          <w:bCs/>
        </w:rPr>
        <w:t>p</w:t>
      </w:r>
      <w:r w:rsidRPr="00130E47">
        <w:rPr>
          <w:b/>
          <w:bCs/>
        </w:rPr>
        <w:t xml:space="preserve">lanned for </w:t>
      </w:r>
      <w:r w:rsidR="00CA43ED">
        <w:rPr>
          <w:b/>
          <w:bCs/>
        </w:rPr>
        <w:t>s</w:t>
      </w:r>
      <w:r w:rsidRPr="00130E47">
        <w:rPr>
          <w:b/>
          <w:bCs/>
        </w:rPr>
        <w:t xml:space="preserve">tatistical </w:t>
      </w:r>
      <w:r w:rsidR="00CA43ED">
        <w:rPr>
          <w:b/>
          <w:bCs/>
        </w:rPr>
        <w:t>p</w:t>
      </w:r>
      <w:r w:rsidRPr="00130E47">
        <w:rPr>
          <w:b/>
          <w:bCs/>
        </w:rPr>
        <w:t>urposes</w:t>
      </w:r>
      <w:r w:rsidR="00CA43ED">
        <w:rPr>
          <w:b/>
          <w:bCs/>
        </w:rPr>
        <w:t>.</w:t>
      </w:r>
    </w:p>
    <w:p w:rsidRPr="00130E47" w:rsidR="00B97D46" w:rsidP="00B478B6" w:rsidRDefault="00B97D46" w14:paraId="012AF3DC" w14:textId="77777777">
      <w:pPr>
        <w:tabs>
          <w:tab w:val="left" w:pos="-1080"/>
          <w:tab w:val="left" w:pos="-720"/>
        </w:tabs>
        <w:ind w:left="720" w:hanging="720"/>
        <w:rPr>
          <w:sz w:val="24"/>
          <w:szCs w:val="24"/>
        </w:rPr>
      </w:pPr>
    </w:p>
    <w:p w:rsidRPr="00130E47" w:rsidR="00B97D46" w:rsidP="00B478B6" w:rsidRDefault="00B478B6" w14:paraId="67D9F684" w14:textId="3028849F">
      <w:pPr>
        <w:ind w:left="720" w:right="990" w:hanging="720"/>
        <w:rPr>
          <w:sz w:val="24"/>
          <w:szCs w:val="24"/>
        </w:rPr>
      </w:pPr>
      <w:r>
        <w:rPr>
          <w:sz w:val="24"/>
          <w:szCs w:val="24"/>
        </w:rPr>
        <w:tab/>
      </w:r>
      <w:r w:rsidRPr="00130E47" w:rsidR="00B97D46">
        <w:rPr>
          <w:sz w:val="24"/>
          <w:szCs w:val="24"/>
        </w:rPr>
        <w:t>The results of the information collection will not be published.</w:t>
      </w:r>
    </w:p>
    <w:p w:rsidRPr="00130E47" w:rsidR="00B97D46" w:rsidP="00B478B6" w:rsidRDefault="00B97D46" w14:paraId="2FD31D9E" w14:textId="48F885E0">
      <w:pPr>
        <w:tabs>
          <w:tab w:val="left" w:pos="-1080"/>
          <w:tab w:val="left" w:pos="-720"/>
        </w:tabs>
        <w:ind w:left="720" w:hanging="720"/>
        <w:rPr>
          <w:sz w:val="24"/>
          <w:szCs w:val="24"/>
        </w:rPr>
      </w:pPr>
    </w:p>
    <w:p w:rsidRPr="00130E47" w:rsidR="00B97D46" w:rsidP="00B478B6" w:rsidRDefault="00CA43ED" w14:paraId="5123F869" w14:textId="7F1197D8">
      <w:pPr>
        <w:pStyle w:val="Default"/>
        <w:numPr>
          <w:ilvl w:val="0"/>
          <w:numId w:val="3"/>
        </w:numPr>
        <w:ind w:left="720" w:hanging="720"/>
        <w:rPr>
          <w:b/>
          <w:bCs/>
          <w:color w:val="auto"/>
          <w:u w:val="single"/>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Pr="00130E47" w:rsidR="00B97D46" w:rsidP="00B478B6" w:rsidRDefault="00B97D46" w14:paraId="6BFDAEF5" w14:textId="77777777">
      <w:pPr>
        <w:tabs>
          <w:tab w:val="left" w:pos="-1080"/>
          <w:tab w:val="left" w:pos="-720"/>
        </w:tabs>
        <w:ind w:left="720" w:hanging="720"/>
        <w:rPr>
          <w:sz w:val="24"/>
          <w:szCs w:val="24"/>
        </w:rPr>
      </w:pPr>
    </w:p>
    <w:p w:rsidRPr="00E46CF1" w:rsidR="00E46CF1" w:rsidP="00E46CF1" w:rsidRDefault="00E46CF1" w14:paraId="6BDAB33E" w14:textId="7268E655">
      <w:pPr>
        <w:ind w:left="720"/>
        <w:rPr>
          <w:sz w:val="24"/>
          <w:szCs w:val="24"/>
        </w:rPr>
      </w:pPr>
      <w:r w:rsidRPr="00E46CF1">
        <w:rPr>
          <w:sz w:val="24"/>
          <w:szCs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7">
        <w:r w:rsidRPr="00E46CF1">
          <w:rPr>
            <w:rStyle w:val="Hyperlink"/>
            <w:sz w:val="24"/>
            <w:szCs w:val="24"/>
          </w:rPr>
          <w:t>www.reginfo.gov</w:t>
        </w:r>
      </w:hyperlink>
      <w:r w:rsidRPr="00E46CF1">
        <w:rPr>
          <w:sz w:val="24"/>
          <w:szCs w:val="24"/>
        </w:rPr>
        <w:t>.</w:t>
      </w:r>
    </w:p>
    <w:p w:rsidRPr="00130E47" w:rsidR="00B97D46" w:rsidP="00B478B6" w:rsidRDefault="00B97D46" w14:paraId="3E0C9463" w14:textId="401B4D15">
      <w:pPr>
        <w:tabs>
          <w:tab w:val="left" w:pos="-1080"/>
          <w:tab w:val="left" w:pos="-720"/>
        </w:tabs>
        <w:ind w:left="720" w:hanging="720"/>
        <w:rPr>
          <w:sz w:val="24"/>
          <w:szCs w:val="24"/>
        </w:rPr>
      </w:pPr>
    </w:p>
    <w:p w:rsidRPr="00D832B6" w:rsidR="00B97D46" w:rsidP="00B478B6" w:rsidRDefault="00B97D46" w14:paraId="03A5741C" w14:textId="55CCAC01">
      <w:pPr>
        <w:pStyle w:val="ListParagraph"/>
        <w:numPr>
          <w:ilvl w:val="0"/>
          <w:numId w:val="3"/>
        </w:numPr>
        <w:ind w:left="720" w:hanging="720"/>
        <w:rPr>
          <w:b/>
          <w:bCs/>
          <w:sz w:val="24"/>
          <w:szCs w:val="24"/>
          <w:u w:val="single"/>
        </w:rPr>
      </w:pPr>
      <w:r w:rsidRPr="00D832B6">
        <w:rPr>
          <w:b/>
          <w:bCs/>
          <w:sz w:val="24"/>
          <w:szCs w:val="24"/>
        </w:rPr>
        <w:t>Exceptions to Certification for Paperwork Reduction Act Submissions</w:t>
      </w:r>
      <w:r w:rsidRPr="00D832B6" w:rsidR="00CA43ED">
        <w:rPr>
          <w:b/>
          <w:bCs/>
          <w:sz w:val="24"/>
          <w:szCs w:val="24"/>
        </w:rPr>
        <w:t>.</w:t>
      </w:r>
    </w:p>
    <w:p w:rsidRPr="00130E47" w:rsidR="00B97D46" w:rsidP="00B478B6" w:rsidRDefault="00B97D46" w14:paraId="7D63F6FD" w14:textId="77777777">
      <w:pPr>
        <w:tabs>
          <w:tab w:val="left" w:pos="-1080"/>
          <w:tab w:val="left" w:pos="-720"/>
        </w:tabs>
        <w:ind w:left="720" w:hanging="720"/>
        <w:rPr>
          <w:sz w:val="24"/>
          <w:szCs w:val="24"/>
        </w:rPr>
      </w:pPr>
    </w:p>
    <w:p w:rsidRPr="00E46CF1" w:rsidR="00E46CF1" w:rsidP="00E46CF1" w:rsidRDefault="00E46CF1" w14:paraId="20681FDC" w14:textId="14256653">
      <w:pPr>
        <w:ind w:left="720"/>
        <w:rPr>
          <w:sz w:val="24"/>
          <w:szCs w:val="24"/>
        </w:rPr>
      </w:pPr>
      <w:r w:rsidRPr="00E46CF1">
        <w:rPr>
          <w:sz w:val="24"/>
          <w:szCs w:val="24"/>
        </w:rPr>
        <w:t>There are no exceptions to the certification statement.</w:t>
      </w:r>
    </w:p>
    <w:p w:rsidR="00B97D46" w:rsidP="00E46CF1" w:rsidRDefault="00B97D46" w14:paraId="52DCAF82" w14:textId="2882995A">
      <w:pPr>
        <w:ind w:left="720" w:right="990" w:hanging="720"/>
        <w:rPr>
          <w:b/>
          <w:bCs/>
          <w:sz w:val="24"/>
          <w:szCs w:val="24"/>
        </w:rPr>
      </w:pPr>
    </w:p>
    <w:p w:rsidR="00E46CF1" w:rsidP="00E46CF1" w:rsidRDefault="00E46CF1" w14:paraId="3541E863" w14:textId="3C7CFDE0">
      <w:pPr>
        <w:ind w:left="720" w:right="990" w:hanging="720"/>
        <w:rPr>
          <w:b/>
          <w:bCs/>
          <w:sz w:val="24"/>
          <w:szCs w:val="24"/>
        </w:rPr>
      </w:pPr>
    </w:p>
    <w:p w:rsidR="00E46CF1" w:rsidP="00E46CF1" w:rsidRDefault="00E46CF1" w14:paraId="22244109" w14:textId="63DFB4C2">
      <w:pPr>
        <w:ind w:left="720" w:right="990" w:hanging="720"/>
        <w:rPr>
          <w:b/>
          <w:bCs/>
          <w:sz w:val="24"/>
          <w:szCs w:val="24"/>
        </w:rPr>
      </w:pPr>
    </w:p>
    <w:p w:rsidRPr="00B478B6" w:rsidR="00E46CF1" w:rsidP="00E46CF1" w:rsidRDefault="00E46CF1" w14:paraId="1826630D" w14:textId="77777777">
      <w:pPr>
        <w:ind w:left="720" w:right="990" w:hanging="720"/>
        <w:rPr>
          <w:b/>
          <w:bCs/>
          <w:sz w:val="24"/>
          <w:szCs w:val="24"/>
        </w:rPr>
      </w:pPr>
    </w:p>
    <w:p w:rsidRPr="00B478B6" w:rsidR="00B97D46" w:rsidP="00B478B6" w:rsidRDefault="00B97D46" w14:paraId="7745F94C" w14:textId="77777777">
      <w:pPr>
        <w:ind w:left="720" w:hanging="720"/>
        <w:rPr>
          <w:b/>
          <w:bCs/>
          <w:sz w:val="24"/>
          <w:szCs w:val="24"/>
        </w:rPr>
      </w:pPr>
      <w:r w:rsidRPr="00B478B6">
        <w:rPr>
          <w:b/>
          <w:bCs/>
          <w:sz w:val="24"/>
          <w:szCs w:val="24"/>
        </w:rPr>
        <w:t>B.</w:t>
      </w:r>
      <w:r w:rsidRPr="00B478B6">
        <w:rPr>
          <w:b/>
          <w:bCs/>
          <w:sz w:val="24"/>
          <w:szCs w:val="24"/>
        </w:rPr>
        <w:tab/>
        <w:t>COLLECTIONS OF INFORMATION EMPLOYING STATISTICAL METHODS</w:t>
      </w:r>
    </w:p>
    <w:p w:rsidRPr="00B478B6" w:rsidR="00B97D46" w:rsidP="00B478B6" w:rsidRDefault="00B97D46" w14:paraId="5279C81A" w14:textId="77777777">
      <w:pPr>
        <w:tabs>
          <w:tab w:val="left" w:pos="-1080"/>
          <w:tab w:val="left" w:pos="-720"/>
        </w:tabs>
        <w:ind w:left="720" w:hanging="720"/>
        <w:rPr>
          <w:b/>
          <w:bCs/>
          <w:sz w:val="24"/>
          <w:szCs w:val="24"/>
        </w:rPr>
      </w:pPr>
    </w:p>
    <w:p w:rsidRPr="00130E47" w:rsidR="00B97D46" w:rsidP="00B478B6" w:rsidRDefault="00B97D46" w14:paraId="24FE7213" w14:textId="07216DEC">
      <w:pPr>
        <w:tabs>
          <w:tab w:val="left" w:pos="-1080"/>
          <w:tab w:val="left" w:pos="-720"/>
        </w:tabs>
        <w:ind w:left="720" w:hanging="720"/>
        <w:rPr>
          <w:sz w:val="24"/>
          <w:szCs w:val="24"/>
        </w:rPr>
      </w:pPr>
      <w:r w:rsidRPr="00130E47">
        <w:rPr>
          <w:sz w:val="24"/>
          <w:szCs w:val="24"/>
        </w:rPr>
        <w:t>This collection does not involve statistical methods.</w:t>
      </w:r>
    </w:p>
    <w:sectPr w:rsidRPr="00130E47" w:rsidR="00B97D46" w:rsidSect="00E46CF1">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B5ED2" w14:textId="77777777" w:rsidR="00B97D46" w:rsidRDefault="00B97D46" w:rsidP="00B97D46">
      <w:r>
        <w:separator/>
      </w:r>
    </w:p>
  </w:endnote>
  <w:endnote w:type="continuationSeparator" w:id="0">
    <w:p w14:paraId="35552A2E" w14:textId="77777777" w:rsidR="00B97D46" w:rsidRDefault="00B97D46" w:rsidP="00B9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491526"/>
      <w:docPartObj>
        <w:docPartGallery w:val="Page Numbers (Bottom of Page)"/>
        <w:docPartUnique/>
      </w:docPartObj>
    </w:sdtPr>
    <w:sdtEndPr>
      <w:rPr>
        <w:noProof/>
      </w:rPr>
    </w:sdtEndPr>
    <w:sdtContent>
      <w:p w14:paraId="5212DDF7" w14:textId="30E4693A" w:rsidR="00E46CF1" w:rsidRDefault="00E46CF1" w:rsidP="00E46CF1">
        <w:pPr>
          <w:pStyle w:val="Footer"/>
          <w:tabs>
            <w:tab w:val="clear" w:pos="4680"/>
          </w:tabs>
        </w:pPr>
        <w:r w:rsidRPr="00E46CF1">
          <w:rPr>
            <w:i/>
            <w:iCs/>
          </w:rPr>
          <w:t>OMB No. 3133-0186; December 2020</w:t>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63174" w14:textId="77777777" w:rsidR="00B97D46" w:rsidRDefault="00B97D46" w:rsidP="00B97D46">
      <w:r>
        <w:separator/>
      </w:r>
    </w:p>
  </w:footnote>
  <w:footnote w:type="continuationSeparator" w:id="0">
    <w:p w14:paraId="1AA4ABAD" w14:textId="77777777" w:rsidR="00B97D46" w:rsidRDefault="00B97D46" w:rsidP="00B97D46">
      <w:r>
        <w:continuationSeparator/>
      </w:r>
    </w:p>
  </w:footnote>
  <w:footnote w:id="1">
    <w:p w14:paraId="37E71A72" w14:textId="77777777" w:rsidR="00B97D46" w:rsidRDefault="00B97D46" w:rsidP="00B97D46">
      <w:pPr>
        <w:pStyle w:val="FootnoteText"/>
      </w:pPr>
      <w:r>
        <w:rPr>
          <w:rStyle w:val="FootnoteReference"/>
        </w:rPr>
        <w:footnoteRef/>
      </w:r>
      <w:r>
        <w:t xml:space="preserve"> The statute uses the term “higher-risk mortgage,” but the agencies decided to use the term “higher-priced mortgage loans” in the regulation instead of the statutory term to avoid confusion.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7001D8"/>
    <w:multiLevelType w:val="hybridMultilevel"/>
    <w:tmpl w:val="B41E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12705"/>
    <w:multiLevelType w:val="hybridMultilevel"/>
    <w:tmpl w:val="F32EC834"/>
    <w:lvl w:ilvl="0" w:tplc="E88CDBD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EB"/>
    <w:rsid w:val="001C7B73"/>
    <w:rsid w:val="00230206"/>
    <w:rsid w:val="003D19E7"/>
    <w:rsid w:val="004F0024"/>
    <w:rsid w:val="005A7B34"/>
    <w:rsid w:val="005F6C54"/>
    <w:rsid w:val="006B1BEB"/>
    <w:rsid w:val="009E32FD"/>
    <w:rsid w:val="00B478B6"/>
    <w:rsid w:val="00B97D46"/>
    <w:rsid w:val="00CA43ED"/>
    <w:rsid w:val="00D832B6"/>
    <w:rsid w:val="00E4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A9812"/>
  <w15:chartTrackingRefBased/>
  <w15:docId w15:val="{F1D02170-E184-429A-B544-DA4C6BDF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4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B97D46"/>
    <w:rPr>
      <w:sz w:val="24"/>
      <w:szCs w:val="24"/>
    </w:rPr>
  </w:style>
  <w:style w:type="paragraph" w:customStyle="1" w:styleId="Default">
    <w:name w:val="Default"/>
    <w:rsid w:val="00B97D4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97D46"/>
    <w:pPr>
      <w:ind w:left="720"/>
    </w:p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unhideWhenUsed/>
    <w:rsid w:val="00B97D46"/>
    <w:pPr>
      <w:widowControl/>
      <w:autoSpaceDE/>
      <w:autoSpaceDN/>
      <w:adjustRightInd/>
    </w:p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B97D46"/>
    <w:rPr>
      <w:rFonts w:ascii="Times New Roman" w:eastAsia="Times New Roman" w:hAnsi="Times New Roman" w:cs="Times New Roman"/>
      <w:sz w:val="20"/>
      <w:szCs w:val="20"/>
    </w:rPr>
  </w:style>
  <w:style w:type="character" w:styleId="FootnoteReference">
    <w:name w:val="footnote reference"/>
    <w:aliases w:val="fr,Style 19,Style 16"/>
    <w:uiPriority w:val="99"/>
    <w:unhideWhenUsed/>
    <w:rsid w:val="00B97D46"/>
    <w:rPr>
      <w:vertAlign w:val="superscript"/>
    </w:rPr>
  </w:style>
  <w:style w:type="paragraph" w:customStyle="1" w:styleId="CM10">
    <w:name w:val="CM10"/>
    <w:basedOn w:val="Default"/>
    <w:next w:val="Default"/>
    <w:uiPriority w:val="99"/>
    <w:rsid w:val="00B97D46"/>
    <w:rPr>
      <w:color w:val="auto"/>
    </w:rPr>
  </w:style>
  <w:style w:type="paragraph" w:styleId="BodyTextIndent2">
    <w:name w:val="Body Text Indent 2"/>
    <w:basedOn w:val="Normal"/>
    <w:link w:val="BodyTextIndent2Char"/>
    <w:uiPriority w:val="99"/>
    <w:unhideWhenUsed/>
    <w:rsid w:val="00B97D46"/>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B97D46"/>
    <w:rPr>
      <w:rFonts w:ascii="Times New Roman" w:eastAsia="Times New Roman" w:hAnsi="Times New Roman" w:cs="Times New Roman"/>
      <w:sz w:val="24"/>
      <w:szCs w:val="24"/>
    </w:rPr>
  </w:style>
  <w:style w:type="table" w:styleId="TableGrid">
    <w:name w:val="Table Grid"/>
    <w:basedOn w:val="TableNormal"/>
    <w:uiPriority w:val="39"/>
    <w:rsid w:val="005F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6CF1"/>
    <w:rPr>
      <w:color w:val="0000FF"/>
      <w:u w:val="single"/>
    </w:rPr>
  </w:style>
  <w:style w:type="paragraph" w:styleId="Header">
    <w:name w:val="header"/>
    <w:basedOn w:val="Normal"/>
    <w:link w:val="HeaderChar"/>
    <w:uiPriority w:val="99"/>
    <w:unhideWhenUsed/>
    <w:rsid w:val="00E46CF1"/>
    <w:pPr>
      <w:tabs>
        <w:tab w:val="center" w:pos="4680"/>
        <w:tab w:val="right" w:pos="9360"/>
      </w:tabs>
    </w:pPr>
  </w:style>
  <w:style w:type="character" w:customStyle="1" w:styleId="HeaderChar">
    <w:name w:val="Header Char"/>
    <w:basedOn w:val="DefaultParagraphFont"/>
    <w:link w:val="Header"/>
    <w:uiPriority w:val="99"/>
    <w:rsid w:val="00E46C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6CF1"/>
    <w:pPr>
      <w:tabs>
        <w:tab w:val="center" w:pos="4680"/>
        <w:tab w:val="right" w:pos="9360"/>
      </w:tabs>
    </w:pPr>
  </w:style>
  <w:style w:type="character" w:customStyle="1" w:styleId="FooterChar">
    <w:name w:val="Footer Char"/>
    <w:basedOn w:val="DefaultParagraphFont"/>
    <w:link w:val="Footer"/>
    <w:uiPriority w:val="99"/>
    <w:rsid w:val="00E46C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nf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5</cp:revision>
  <cp:lastPrinted>2020-12-31T15:48:00Z</cp:lastPrinted>
  <dcterms:created xsi:type="dcterms:W3CDTF">2020-12-31T13:48:00Z</dcterms:created>
  <dcterms:modified xsi:type="dcterms:W3CDTF">2020-12-31T16:11:00Z</dcterms:modified>
</cp:coreProperties>
</file>