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D6A" w:rsidP="00BC5298" w:rsidRDefault="00BC5298">
      <w:pPr>
        <w:jc w:val="center"/>
      </w:pPr>
      <w:bookmarkStart w:name="_GoBack" w:id="0"/>
      <w:bookmarkEnd w:id="0"/>
      <w:r>
        <w:t>OMB SUPPORTING STATEMENT</w:t>
      </w:r>
    </w:p>
    <w:p w:rsidR="00BC5298" w:rsidRDefault="00BC5298"/>
    <w:p w:rsidR="00174A80" w:rsidRDefault="00174A80"/>
    <w:p w:rsidR="008F104D" w:rsidRDefault="008F104D">
      <w:r>
        <w:t>SF</w:t>
      </w:r>
      <w:r w:rsidR="00BC5298">
        <w:t xml:space="preserve"> </w:t>
      </w:r>
      <w:r>
        <w:t>280</w:t>
      </w:r>
      <w:r w:rsidR="007E2FDD">
        <w:t>8</w:t>
      </w:r>
      <w:r w:rsidR="00BC5298">
        <w:t xml:space="preserve"> – </w:t>
      </w:r>
      <w:r w:rsidR="007E2FDD">
        <w:t>Designation of Beneficiary Under the Civil Service Retirement System</w:t>
      </w:r>
    </w:p>
    <w:p w:rsidR="00174A80" w:rsidRDefault="00174A80"/>
    <w:p w:rsidR="00BC5298" w:rsidRDefault="00BC5298">
      <w:r>
        <w:t xml:space="preserve">A. </w:t>
      </w:r>
      <w:r w:rsidRPr="00BC5298">
        <w:rPr>
          <w:u w:val="single"/>
        </w:rPr>
        <w:t>Justification</w:t>
      </w:r>
    </w:p>
    <w:p w:rsidR="00BC5298" w:rsidRDefault="00BC5298"/>
    <w:p w:rsidR="003406B9" w:rsidP="003406B9" w:rsidRDefault="003406B9">
      <w:pPr>
        <w:pStyle w:val="ListParagraph"/>
        <w:numPr>
          <w:ilvl w:val="0"/>
          <w:numId w:val="2"/>
        </w:numPr>
        <w:shd w:val="pct25" w:color="auto" w:fill="auto"/>
        <w:tabs>
          <w:tab w:val="left" w:pos="-720"/>
        </w:tabs>
        <w:suppressAutoHyphens/>
      </w:pPr>
      <w:bookmarkStart w:name="_Hlk44411979" w:id="1"/>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1"/>
    <w:p w:rsidR="003406B9" w:rsidRDefault="003406B9"/>
    <w:p w:rsidR="00704C5C" w:rsidP="00BC5298" w:rsidRDefault="00BC5298">
      <w:pPr>
        <w:ind w:left="720" w:hanging="420"/>
      </w:pPr>
      <w:r>
        <w:tab/>
        <w:t>Title 5, U. S. Code, Chapter 83, Section 83</w:t>
      </w:r>
      <w:r w:rsidR="008F104D">
        <w:t>4</w:t>
      </w:r>
      <w:r w:rsidR="007E2FDD">
        <w:t>2</w:t>
      </w:r>
      <w:r w:rsidR="00704C5C">
        <w:t xml:space="preserve"> provide</w:t>
      </w:r>
      <w:r w:rsidR="007E2FDD">
        <w:t>s</w:t>
      </w:r>
      <w:r w:rsidR="00704C5C">
        <w:t xml:space="preserve"> </w:t>
      </w:r>
      <w:r w:rsidR="008F104D">
        <w:t xml:space="preserve">that </w:t>
      </w:r>
      <w:r w:rsidR="007E2FDD">
        <w:t>a Federal</w:t>
      </w:r>
      <w:r w:rsidR="008F104D">
        <w:t xml:space="preserve"> employee</w:t>
      </w:r>
      <w:r w:rsidR="007E2FDD">
        <w:t xml:space="preserve"> or</w:t>
      </w:r>
      <w:r w:rsidR="008F104D">
        <w:t xml:space="preserve"> an </w:t>
      </w:r>
      <w:r w:rsidR="007E2FDD">
        <w:t>annuitant</w:t>
      </w:r>
      <w:r w:rsidR="008F104D">
        <w:t xml:space="preserve"> may </w:t>
      </w:r>
      <w:r w:rsidR="007E2FDD">
        <w:t>designate a beneficiary to receive the lump sum payment due from the Civil Service Retirement System in the event of death.  Standard Form 2808 is the document used to establish the designation.</w:t>
      </w:r>
    </w:p>
    <w:p w:rsidR="003406B9" w:rsidP="003406B9" w:rsidRDefault="003406B9">
      <w:pPr>
        <w:pStyle w:val="Level1"/>
        <w:numPr>
          <w:ilvl w:val="0"/>
          <w:numId w:val="0"/>
        </w:numPr>
        <w:tabs>
          <w:tab w:val="left" w:pos="-1440"/>
        </w:tabs>
        <w:ind w:left="720" w:hanging="720"/>
      </w:pPr>
    </w:p>
    <w:p w:rsidR="003406B9" w:rsidP="003406B9" w:rsidRDefault="003406B9">
      <w:pPr>
        <w:pStyle w:val="ListParagraph"/>
        <w:numPr>
          <w:ilvl w:val="0"/>
          <w:numId w:val="2"/>
        </w:numPr>
        <w:shd w:val="pct25" w:color="auto" w:fill="auto"/>
        <w:tabs>
          <w:tab w:val="left" w:pos="-720"/>
        </w:tabs>
        <w:suppressAutoHyphens/>
      </w:pPr>
      <w:r>
        <w:t xml:space="preserve">Indicate how, by whom, and for what purpose the information is to be used.  Except for a new collection, indicate the actual use the agency has made of the information received from the current collection. </w:t>
      </w:r>
    </w:p>
    <w:p w:rsidR="003406B9" w:rsidP="00BC5298" w:rsidRDefault="003406B9">
      <w:pPr>
        <w:ind w:left="720" w:hanging="420"/>
      </w:pPr>
    </w:p>
    <w:p w:rsidR="00BC5298" w:rsidP="00BC5298" w:rsidRDefault="00BC5298">
      <w:pPr>
        <w:ind w:left="720" w:hanging="420"/>
      </w:pPr>
      <w:r>
        <w:tab/>
      </w:r>
      <w:r w:rsidR="008F104D">
        <w:t xml:space="preserve">This information is collected by </w:t>
      </w:r>
      <w:r w:rsidR="007E2FDD">
        <w:t>the Office of Personnel Management (</w:t>
      </w:r>
      <w:r w:rsidR="008F104D">
        <w:t>OPM</w:t>
      </w:r>
      <w:r w:rsidR="007E2FDD">
        <w:t xml:space="preserve">), Civil Service Retirement System (CSRS), </w:t>
      </w:r>
      <w:r w:rsidR="00F127C6">
        <w:t>to</w:t>
      </w:r>
      <w:r w:rsidR="007E2FDD">
        <w:t xml:space="preserve"> determin</w:t>
      </w:r>
      <w:r w:rsidR="00F127C6">
        <w:t>e</w:t>
      </w:r>
      <w:r w:rsidR="007E2FDD">
        <w:t xml:space="preserve"> the proper payee after the respondent dies.  If a Standard Form 2808 is not on file, the payee is determined by the order of precedence s</w:t>
      </w:r>
      <w:r w:rsidR="00F127C6">
        <w:t>tated</w:t>
      </w:r>
      <w:r w:rsidR="007E2FDD">
        <w:t xml:space="preserve"> in title 5, U. S. Code, Chapter 83, section 8342(c).</w:t>
      </w:r>
      <w:r w:rsidR="008F104D">
        <w:t xml:space="preserve"> </w:t>
      </w:r>
      <w:r w:rsidR="003406B9">
        <w:t xml:space="preserve">The Privacy Act Statement has been revised due to a systematic review by our Chief Privacy Officer. </w:t>
      </w:r>
      <w:r w:rsidR="005464C6">
        <w:t xml:space="preserve">The </w:t>
      </w:r>
      <w:r w:rsidR="00014433">
        <w:t xml:space="preserve">Public Burden Statement meets the requirements of 5 </w:t>
      </w:r>
      <w:smartTag w:uri="urn:schemas-microsoft-com:office:smarttags" w:element="stockticker">
        <w:r w:rsidR="00014433">
          <w:t>CFR</w:t>
        </w:r>
      </w:smartTag>
      <w:r w:rsidR="00014433">
        <w:t xml:space="preserve"> 1320.8(b</w:t>
      </w:r>
      <w:r w:rsidR="002A30F3">
        <w:t>)</w:t>
      </w:r>
      <w:r w:rsidR="00014433">
        <w:t>(3).</w:t>
      </w:r>
    </w:p>
    <w:p w:rsidR="004129A7" w:rsidP="00BC5298" w:rsidRDefault="004129A7">
      <w:pPr>
        <w:ind w:left="720" w:hanging="420"/>
      </w:pPr>
    </w:p>
    <w:p w:rsidR="003406B9" w:rsidP="003406B9" w:rsidRDefault="003406B9">
      <w:pPr>
        <w:pStyle w:val="ListParagraph"/>
        <w:numPr>
          <w:ilvl w:val="0"/>
          <w:numId w:val="2"/>
        </w:numPr>
        <w:shd w:val="pct25" w:color="auto" w:fill="auto"/>
        <w:tabs>
          <w:tab w:val="left" w:pos="-720"/>
        </w:tabs>
        <w:suppressAutoHyphens/>
      </w:pPr>
      <w:bookmarkStart w:name="_Hlk44261865" w:id="2"/>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p>
    <w:bookmarkEnd w:id="2"/>
    <w:p w:rsidR="003406B9" w:rsidP="00BC5298" w:rsidRDefault="003406B9">
      <w:pPr>
        <w:ind w:left="720" w:hanging="420"/>
      </w:pPr>
    </w:p>
    <w:p w:rsidR="00A71CC8" w:rsidP="003406B9" w:rsidRDefault="007E2FDD">
      <w:pPr>
        <w:ind w:left="720"/>
      </w:pPr>
      <w:r>
        <w:t>New methods of information technology would do little to reduce the burden on the respondents.  The information collected is detailed and can only be obtained from the respondents.</w:t>
      </w:r>
      <w:r w:rsidR="00385847">
        <w:t xml:space="preserve">  However, this form is available on our website in a pdf fillable format and meets our GPEA requirement.</w:t>
      </w:r>
    </w:p>
    <w:p w:rsidR="003406B9" w:rsidP="003406B9" w:rsidRDefault="003406B9">
      <w:pPr>
        <w:ind w:left="720"/>
      </w:pPr>
    </w:p>
    <w:p w:rsidR="003406B9" w:rsidP="003406B9" w:rsidRDefault="003406B9">
      <w:pPr>
        <w:pStyle w:val="ListParagraph"/>
        <w:numPr>
          <w:ilvl w:val="0"/>
          <w:numId w:val="2"/>
        </w:numPr>
        <w:shd w:val="pct25" w:color="auto" w:fill="auto"/>
        <w:tabs>
          <w:tab w:val="left" w:pos="-720"/>
        </w:tabs>
        <w:suppressAutoHyphens/>
      </w:pPr>
      <w:bookmarkStart w:name="_Hlk44261947" w:id="3"/>
      <w:r>
        <w:t xml:space="preserve">Describe efforts to identify duplication.  Show specifically why any similar information already available cannot be used or modified for use for the purposes described in Item 2 above. </w:t>
      </w:r>
    </w:p>
    <w:bookmarkEnd w:id="3"/>
    <w:p w:rsidR="007E2FDD" w:rsidP="00BC5298" w:rsidRDefault="007E2FDD">
      <w:pPr>
        <w:ind w:left="720" w:hanging="420"/>
      </w:pPr>
    </w:p>
    <w:p w:rsidR="00014433" w:rsidP="003406B9" w:rsidRDefault="004129A7">
      <w:pPr>
        <w:ind w:left="720"/>
      </w:pPr>
      <w:r>
        <w:t>A</w:t>
      </w:r>
      <w:r w:rsidR="007E2FDD">
        <w:t>ll designations</w:t>
      </w:r>
      <w:r>
        <w:t xml:space="preserve"> </w:t>
      </w:r>
      <w:r w:rsidR="00014433">
        <w:t>are filed individually</w:t>
      </w:r>
      <w:r w:rsidR="00A71CC8">
        <w:t>.  There is no duplication</w:t>
      </w:r>
      <w:r w:rsidR="00014433">
        <w:t xml:space="preserve"> because th</w:t>
      </w:r>
      <w:r w:rsidR="00A71CC8">
        <w:t>e</w:t>
      </w:r>
      <w:r w:rsidR="00014433">
        <w:t xml:space="preserve"> </w:t>
      </w:r>
      <w:r w:rsidR="00A71CC8">
        <w:t>respondents initiate the collection</w:t>
      </w:r>
      <w:r w:rsidR="00014433">
        <w:t>.</w:t>
      </w:r>
    </w:p>
    <w:p w:rsidR="00014433" w:rsidP="00BC5298" w:rsidRDefault="00014433">
      <w:pPr>
        <w:ind w:left="720" w:hanging="420"/>
      </w:pPr>
    </w:p>
    <w:p w:rsidR="003353CD" w:rsidP="00BC5298" w:rsidRDefault="003353CD">
      <w:pPr>
        <w:ind w:left="720" w:hanging="420"/>
      </w:pPr>
    </w:p>
    <w:p w:rsidR="003353CD" w:rsidP="00BC5298" w:rsidRDefault="003353CD">
      <w:pPr>
        <w:ind w:left="720" w:hanging="420"/>
      </w:pPr>
    </w:p>
    <w:p w:rsidR="00B86FAE" w:rsidP="00B86FAE" w:rsidRDefault="00B86FAE">
      <w:pPr>
        <w:pStyle w:val="ListParagraph"/>
        <w:numPr>
          <w:ilvl w:val="0"/>
          <w:numId w:val="2"/>
        </w:numPr>
        <w:shd w:val="pct25" w:color="auto" w:fill="auto"/>
        <w:tabs>
          <w:tab w:val="left" w:pos="-720"/>
        </w:tabs>
        <w:suppressAutoHyphens/>
      </w:pPr>
      <w:bookmarkStart w:name="_Hlk44261976" w:id="4"/>
      <w:r>
        <w:lastRenderedPageBreak/>
        <w:t>If the collection of information impacts small businesses or other small entities (Item 5 of OMB Form 83-I), describe any methods used to minimize.</w:t>
      </w:r>
    </w:p>
    <w:bookmarkEnd w:id="4"/>
    <w:p w:rsidR="003353CD" w:rsidP="00BC5298" w:rsidRDefault="003353CD">
      <w:pPr>
        <w:ind w:left="720" w:hanging="420"/>
      </w:pPr>
    </w:p>
    <w:p w:rsidR="003353CD" w:rsidP="003353CD" w:rsidRDefault="003353CD">
      <w:pPr>
        <w:ind w:left="720"/>
      </w:pPr>
      <w:r>
        <w:t xml:space="preserve">This collection of information does not impact small businesses </w:t>
      </w:r>
      <w:bookmarkStart w:name="_Hlk44262012" w:id="5"/>
      <w:r>
        <w:t xml:space="preserve">or other small entities. </w:t>
      </w:r>
      <w:bookmarkEnd w:id="5"/>
    </w:p>
    <w:p w:rsidR="00B86FAE" w:rsidP="00BC5298" w:rsidRDefault="00B86FAE">
      <w:pPr>
        <w:ind w:left="720" w:hanging="420"/>
      </w:pPr>
    </w:p>
    <w:p w:rsidR="00B86FAE" w:rsidP="00B86FAE" w:rsidRDefault="00B86FAE">
      <w:pPr>
        <w:pStyle w:val="ListParagraph"/>
        <w:numPr>
          <w:ilvl w:val="0"/>
          <w:numId w:val="2"/>
        </w:numPr>
        <w:shd w:val="pct25" w:color="auto" w:fill="auto"/>
        <w:tabs>
          <w:tab w:val="left" w:pos="-720"/>
        </w:tabs>
        <w:suppressAutoHyphens/>
      </w:pPr>
      <w:bookmarkStart w:name="_Hlk44262031" w:id="6"/>
      <w:r>
        <w:t>Describe the consequence to Federal/DHS program or policy activities if the collection of information is not conducted, or is conducted less frequently, as well as any technical or legal obstacles to reducing burden.</w:t>
      </w:r>
    </w:p>
    <w:bookmarkEnd w:id="6"/>
    <w:p w:rsidR="00B86FAE" w:rsidP="00BC5298" w:rsidRDefault="00B86FAE">
      <w:pPr>
        <w:ind w:left="720" w:hanging="420"/>
      </w:pPr>
    </w:p>
    <w:p w:rsidR="00014433" w:rsidP="00B86FAE" w:rsidRDefault="004129A7">
      <w:pPr>
        <w:ind w:left="720"/>
      </w:pPr>
      <w:r>
        <w:t>I</w:t>
      </w:r>
      <w:r w:rsidR="00A71CC8">
        <w:t xml:space="preserve">nformation is </w:t>
      </w:r>
      <w:r>
        <w:t>collected a</w:t>
      </w:r>
      <w:r w:rsidR="007E2FDD">
        <w:t>t</w:t>
      </w:r>
      <w:r w:rsidR="00A71CC8">
        <w:t xml:space="preserve"> t</w:t>
      </w:r>
      <w:r w:rsidR="007E2FDD">
        <w:t>he request of the person wishing to designate.</w:t>
      </w:r>
      <w:r w:rsidR="00A71CC8">
        <w:t xml:space="preserve"> </w:t>
      </w:r>
      <w:r w:rsidR="007E2FDD">
        <w:t xml:space="preserve"> </w:t>
      </w:r>
      <w:r w:rsidR="00014433">
        <w:t>Less frequent collection would</w:t>
      </w:r>
      <w:r w:rsidR="007E2FDD">
        <w:t xml:space="preserve"> deny the right to designate provided by title 5, U. S. Code, Section 8342</w:t>
      </w:r>
      <w:r w:rsidR="00014433">
        <w:t>.</w:t>
      </w:r>
    </w:p>
    <w:p w:rsidR="00B86FAE" w:rsidP="00B86FAE" w:rsidRDefault="00B86FAE">
      <w:pPr>
        <w:ind w:left="720"/>
      </w:pPr>
    </w:p>
    <w:p w:rsidR="00B86FAE" w:rsidP="00B86FAE" w:rsidRDefault="00B86FAE">
      <w:pPr>
        <w:pStyle w:val="ListParagraph"/>
        <w:numPr>
          <w:ilvl w:val="0"/>
          <w:numId w:val="2"/>
        </w:numPr>
        <w:shd w:val="pct25" w:color="auto" w:fill="auto"/>
        <w:tabs>
          <w:tab w:val="left" w:pos="-720"/>
        </w:tabs>
        <w:suppressAutoHyphens/>
      </w:pPr>
      <w:bookmarkStart w:name="_Hlk44262072" w:id="7"/>
      <w:r>
        <w:t xml:space="preserve">Explain any special circumstances that would cause an information collection to be conducted in a manner: </w:t>
      </w:r>
    </w:p>
    <w:p w:rsidR="00B86FAE" w:rsidP="00B86FAE" w:rsidRDefault="00B86FAE">
      <w:pPr>
        <w:pStyle w:val="ListParagraph"/>
        <w:shd w:val="pct25" w:color="auto" w:fill="auto"/>
        <w:tabs>
          <w:tab w:val="left" w:pos="-720"/>
        </w:tabs>
        <w:suppressAutoHyphens/>
      </w:pPr>
      <w:r>
        <w:t xml:space="preserve">• requiring respondents to report information to the agency more often than quarterly; </w:t>
      </w:r>
    </w:p>
    <w:p w:rsidR="00B86FAE" w:rsidP="00B86FAE" w:rsidRDefault="00B86FAE">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B86FAE" w:rsidP="00B86FAE" w:rsidRDefault="00B86FAE">
      <w:pPr>
        <w:pStyle w:val="ListParagraph"/>
        <w:shd w:val="pct25" w:color="auto" w:fill="auto"/>
        <w:tabs>
          <w:tab w:val="left" w:pos="-720"/>
        </w:tabs>
        <w:suppressAutoHyphens/>
      </w:pPr>
      <w:r>
        <w:t xml:space="preserve">•requiring respondents to submit more than an original and two copies of any document; </w:t>
      </w:r>
    </w:p>
    <w:p w:rsidR="00B86FAE" w:rsidP="00B86FAE" w:rsidRDefault="00B86FAE">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B86FAE" w:rsidP="00B86FAE" w:rsidRDefault="00B86FAE">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B86FAE" w:rsidP="00B86FAE" w:rsidRDefault="00B86FAE">
      <w:pPr>
        <w:pStyle w:val="ListParagraph"/>
        <w:shd w:val="pct25" w:color="auto" w:fill="auto"/>
        <w:tabs>
          <w:tab w:val="left" w:pos="-720"/>
        </w:tabs>
        <w:suppressAutoHyphens/>
      </w:pPr>
      <w:r>
        <w:t xml:space="preserve">• requiring the use of a statistical data classification that has not been reviewed and approved by OMB; </w:t>
      </w:r>
    </w:p>
    <w:p w:rsidR="00B86FAE" w:rsidP="00B86FAE" w:rsidRDefault="00B86FAE">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86FAE" w:rsidP="00B86FAE" w:rsidRDefault="00B86FAE">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bookmarkEnd w:id="7"/>
    <w:p w:rsidR="00014433" w:rsidP="00BC5298" w:rsidRDefault="00014433">
      <w:pPr>
        <w:ind w:left="720" w:hanging="420"/>
      </w:pPr>
    </w:p>
    <w:p w:rsidR="00014433" w:rsidP="00B86FAE" w:rsidRDefault="00014433">
      <w:pPr>
        <w:ind w:left="720"/>
      </w:pPr>
      <w:r>
        <w:t>The collection is consistent with the guidelines in 5 CFR 1320.6</w:t>
      </w:r>
      <w:r w:rsidR="00A71CC8">
        <w:t>.</w:t>
      </w:r>
    </w:p>
    <w:p w:rsidR="00A71CC8" w:rsidP="00BC5298" w:rsidRDefault="00A71CC8">
      <w:pPr>
        <w:ind w:left="720" w:hanging="420"/>
      </w:pPr>
    </w:p>
    <w:p w:rsidR="00C978BC" w:rsidP="00C978BC" w:rsidRDefault="00C978BC">
      <w:pPr>
        <w:pStyle w:val="ListParagraph"/>
        <w:numPr>
          <w:ilvl w:val="0"/>
          <w:numId w:val="2"/>
        </w:numPr>
        <w:shd w:val="pct25" w:color="auto" w:fill="auto"/>
        <w:tabs>
          <w:tab w:val="left" w:pos="-720"/>
        </w:tabs>
        <w:suppressAutoHyphens/>
      </w:pPr>
      <w:bookmarkStart w:name="_Hlk44262099" w:id="8"/>
      <w:r>
        <w:t xml:space="preserve">Federal Register Notice: </w:t>
      </w:r>
      <w:r>
        <w:fldChar w:fldCharType="begin"/>
      </w:r>
      <w:r>
        <w:instrText>ADVANCE \R 0.95</w:instrText>
      </w:r>
      <w:r>
        <w:fldChar w:fldCharType="end"/>
      </w:r>
      <w:r>
        <w:t xml:space="preserve">Provide a copy and identify the date and page number of </w:t>
      </w:r>
      <w:proofErr w:type="gramStart"/>
      <w:r>
        <w:t>publication</w:t>
      </w:r>
      <w:proofErr w:type="gramEnd"/>
      <w:r>
        <w:t xml:space="preserve"> in the Federal Register of the agency’s notice soliciting comments on the information collection prior to submission to OMB.</w:t>
      </w:r>
    </w:p>
    <w:bookmarkEnd w:id="8"/>
    <w:p w:rsidR="00C978BC" w:rsidP="00BC5298" w:rsidRDefault="00C978BC">
      <w:pPr>
        <w:ind w:left="720" w:hanging="420"/>
      </w:pPr>
    </w:p>
    <w:p w:rsidRPr="004F3A76" w:rsidR="006F5123" w:rsidP="00D61D56" w:rsidRDefault="00C978BC">
      <w:pPr>
        <w:ind w:left="720"/>
        <w:rPr>
          <w:bCs/>
        </w:rPr>
      </w:pPr>
      <w:bookmarkStart w:name="_Hlk44262269" w:id="9"/>
      <w:r>
        <w:t>On March 23, 2020, a 60 Day Federal Register Notice was published at 85 FR 16390 requesting comments.</w:t>
      </w:r>
      <w:bookmarkEnd w:id="9"/>
      <w:r>
        <w:t xml:space="preserve"> </w:t>
      </w:r>
      <w:r w:rsidRPr="00D61D56" w:rsidR="00D61D56">
        <w:rPr>
          <w:bCs/>
        </w:rPr>
        <w:t>The following comment was received for this collection: “</w:t>
      </w:r>
      <w:r w:rsidRPr="00D61D56" w:rsidR="00D61D56">
        <w:rPr>
          <w:bCs/>
          <w:i/>
          <w:iCs/>
        </w:rPr>
        <w:t>Request that OPM include a clause to allow employees and witnesses to sign this form using their electronic signature PIV/CAC card for continuity of operations, and to aid OPM in electronically processing retirement claims. Also, recommend that OPM permit agencies to certify for employees as most agencies still have a significant number of CSRS employees for continuity of operations.”</w:t>
      </w:r>
      <w:r w:rsidR="00D61D56">
        <w:rPr>
          <w:bCs/>
          <w:i/>
          <w:iCs/>
        </w:rPr>
        <w:t xml:space="preserve"> </w:t>
      </w:r>
      <w:r w:rsidRPr="00D61D56" w:rsidR="00D61D56">
        <w:rPr>
          <w:bCs/>
        </w:rPr>
        <w:t xml:space="preserve">Our response is as follows: </w:t>
      </w:r>
      <w:r w:rsidR="00D61D56">
        <w:rPr>
          <w:bCs/>
          <w:i/>
          <w:iCs/>
        </w:rPr>
        <w:t>“</w:t>
      </w:r>
      <w:r w:rsidRPr="00D61D56" w:rsidR="00D61D56">
        <w:rPr>
          <w:bCs/>
          <w:i/>
          <w:iCs/>
        </w:rPr>
        <w:t xml:space="preserve">During this pandemic, the continuity of operations has remained smooth in Retirement Services where employees have found and continue to find ways to keep performing their duties during these unprecedented times. OPM is releasing a Benefits Administrative Letter </w:t>
      </w:r>
      <w:r w:rsidRPr="00D61D56" w:rsidR="00D61D56">
        <w:rPr>
          <w:bCs/>
          <w:i/>
          <w:iCs/>
        </w:rPr>
        <w:lastRenderedPageBreak/>
        <w:t>(BAL) providing guidance on submitting retirement applications during COVID-19 operations. The BAL will be posted on OPM’s webpage soon. We’re not currently considering permanent changes due to COVID-19.”</w:t>
      </w:r>
      <w:r w:rsidR="004F3A76">
        <w:rPr>
          <w:bCs/>
        </w:rPr>
        <w:t xml:space="preserve"> No changes were made at this time.</w:t>
      </w:r>
    </w:p>
    <w:p w:rsidR="00D61D56" w:rsidP="00D61D56" w:rsidRDefault="00D61D56">
      <w:pPr>
        <w:ind w:left="720"/>
        <w:rPr>
          <w:bCs/>
        </w:rPr>
      </w:pPr>
    </w:p>
    <w:p w:rsidR="006F5123" w:rsidP="006F5123" w:rsidRDefault="006F5123">
      <w:pPr>
        <w:pStyle w:val="ListParagraph"/>
        <w:numPr>
          <w:ilvl w:val="0"/>
          <w:numId w:val="2"/>
        </w:numPr>
        <w:shd w:val="pct25" w:color="auto" w:fill="auto"/>
        <w:tabs>
          <w:tab w:val="left" w:pos="-720"/>
        </w:tabs>
        <w:suppressAutoHyphens/>
        <w:ind w:right="-288"/>
        <w:contextualSpacing/>
      </w:pPr>
      <w:bookmarkStart w:name="_Hlk44262340" w:id="10"/>
      <w:r>
        <w:t>Explain any decision to provide any payment or gift to respondents, other than remuneration of contractors or grantees.</w:t>
      </w:r>
    </w:p>
    <w:bookmarkEnd w:id="10"/>
    <w:p w:rsidR="006F5123" w:rsidP="006F5123" w:rsidRDefault="006F5123">
      <w:pPr>
        <w:ind w:left="720"/>
      </w:pPr>
    </w:p>
    <w:p w:rsidR="00FD0F80" w:rsidP="006F5123" w:rsidRDefault="00CA53EA">
      <w:pPr>
        <w:ind w:left="720"/>
      </w:pPr>
      <w:r>
        <w:t xml:space="preserve">No payment or gift is provided to </w:t>
      </w:r>
      <w:r w:rsidR="00A71CC8">
        <w:t xml:space="preserve">these </w:t>
      </w:r>
      <w:r>
        <w:t>respondents.</w:t>
      </w:r>
    </w:p>
    <w:p w:rsidR="006F5123" w:rsidP="006F5123" w:rsidRDefault="006F5123">
      <w:pPr>
        <w:ind w:left="720"/>
      </w:pPr>
    </w:p>
    <w:p w:rsidR="006F5123" w:rsidP="006F5123" w:rsidRDefault="006F5123">
      <w:pPr>
        <w:pStyle w:val="ListParagraph"/>
        <w:numPr>
          <w:ilvl w:val="0"/>
          <w:numId w:val="2"/>
        </w:numPr>
        <w:shd w:val="pct25" w:color="auto" w:fill="auto"/>
        <w:tabs>
          <w:tab w:val="left" w:pos="-720"/>
          <w:tab w:val="num" w:pos="630"/>
        </w:tabs>
        <w:suppressAutoHyphens/>
        <w:ind w:left="630" w:right="-288"/>
        <w:contextualSpacing/>
      </w:pPr>
      <w:bookmarkStart w:name="_Hlk44262387" w:id="11"/>
      <w:r>
        <w:t xml:space="preserve">Describe any assurance of confidentiality provided to respondents and the basis for the assurance in statute, regulation, or agency policy.  </w:t>
      </w:r>
    </w:p>
    <w:bookmarkEnd w:id="11"/>
    <w:p w:rsidR="00CA53EA" w:rsidP="00BC5298" w:rsidRDefault="00CA53EA">
      <w:pPr>
        <w:ind w:left="720" w:hanging="420"/>
      </w:pPr>
    </w:p>
    <w:p w:rsidR="00CA53EA" w:rsidP="006F5123" w:rsidRDefault="00CA53EA">
      <w:pPr>
        <w:ind w:left="720" w:hanging="90"/>
      </w:pPr>
      <w:r>
        <w:t>This information collection is protected by the Privacy Act of 1974 and OPM regulations</w:t>
      </w:r>
      <w:r w:rsidR="00C000C6">
        <w:t xml:space="preserve"> </w:t>
      </w:r>
      <w:r>
        <w:t xml:space="preserve">(5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8A6CC6">
        <w:t>73</w:t>
      </w:r>
      <w:r w:rsidR="00836802">
        <w:t xml:space="preserve"> FR </w:t>
      </w:r>
      <w:r w:rsidR="008A6CC6">
        <w:t>15013</w:t>
      </w:r>
      <w:r w:rsidR="00836802">
        <w:t xml:space="preserve">, </w:t>
      </w:r>
      <w:r w:rsidRPr="00836802" w:rsidR="00836802">
        <w:rPr>
          <w:i/>
        </w:rPr>
        <w:t>et seq</w:t>
      </w:r>
      <w:r w:rsidR="00836802">
        <w:t xml:space="preserve">., </w:t>
      </w:r>
      <w:smartTag w:uri="urn:schemas-microsoft-com:office:smarttags" w:element="date">
        <w:smartTagPr>
          <w:attr w:name="Year" w:val="2008"/>
          <w:attr w:name="Day" w:val="20"/>
          <w:attr w:name="Month" w:val="3"/>
        </w:smartTagPr>
        <w:r w:rsidR="008A6CC6">
          <w:t>March 20</w:t>
        </w:r>
        <w:r w:rsidR="00836802">
          <w:t xml:space="preserve">, </w:t>
        </w:r>
        <w:r w:rsidR="008A6CC6">
          <w:t>2008</w:t>
        </w:r>
      </w:smartTag>
      <w:r w:rsidR="00836802">
        <w:t>).</w:t>
      </w:r>
    </w:p>
    <w:p w:rsidR="00695D34" w:rsidP="006F5123" w:rsidRDefault="00695D34">
      <w:pPr>
        <w:ind w:left="720" w:hanging="90"/>
      </w:pPr>
    </w:p>
    <w:p w:rsidRPr="00741061" w:rsidR="00695D34" w:rsidP="00695D34" w:rsidRDefault="00695D34">
      <w:pPr>
        <w:pStyle w:val="ListParagraph"/>
        <w:numPr>
          <w:ilvl w:val="0"/>
          <w:numId w:val="7"/>
        </w:numPr>
        <w:shd w:val="pct25" w:color="auto" w:fill="auto"/>
        <w:tabs>
          <w:tab w:val="clear" w:pos="720"/>
          <w:tab w:val="left" w:pos="-720"/>
          <w:tab w:val="num" w:pos="630"/>
        </w:tabs>
        <w:suppressAutoHyphens/>
        <w:ind w:left="630"/>
        <w:contextualSpacing/>
      </w:pPr>
      <w:bookmarkStart w:name="_Hlk44262415" w:id="12"/>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bookmarkEnd w:id="12"/>
    <w:p w:rsidR="00836802" w:rsidP="00BC5298" w:rsidRDefault="00836802">
      <w:pPr>
        <w:ind w:left="720" w:hanging="420"/>
      </w:pPr>
    </w:p>
    <w:p w:rsidR="004129A7" w:rsidP="00695D34" w:rsidRDefault="00836802">
      <w:pPr>
        <w:ind w:left="720"/>
      </w:pPr>
      <w:r>
        <w:t xml:space="preserve">This </w:t>
      </w:r>
      <w:r w:rsidR="004129A7">
        <w:t xml:space="preserve">information </w:t>
      </w:r>
      <w:r>
        <w:t>collect</w:t>
      </w:r>
      <w:r w:rsidR="00A71CC8">
        <w:t>ion</w:t>
      </w:r>
      <w:r>
        <w:t xml:space="preserve"> </w:t>
      </w:r>
      <w:r w:rsidR="004129A7">
        <w:t>does not include questions of a sensitive nature, such as sexual behavior and attitudes, religious beliefs, and other matters that are commonly considered private.</w:t>
      </w:r>
    </w:p>
    <w:p w:rsidR="008A6CC6" w:rsidP="00BC5298" w:rsidRDefault="008A6CC6">
      <w:pPr>
        <w:ind w:left="720" w:hanging="420"/>
      </w:pPr>
    </w:p>
    <w:p w:rsidR="00695D34" w:rsidP="00695D34" w:rsidRDefault="00695D34">
      <w:pPr>
        <w:pStyle w:val="ListParagraph"/>
        <w:shd w:val="pct25" w:color="auto" w:fill="FFFFFF"/>
        <w:tabs>
          <w:tab w:val="left" w:pos="-720"/>
        </w:tabs>
        <w:suppressAutoHyphens/>
        <w:ind w:left="360"/>
      </w:pPr>
      <w:bookmarkStart w:name="_Hlk44262472" w:id="13"/>
      <w:r w:rsidRPr="00741061">
        <w:t>12. Provide estimates of the hour burden of the collection of informat</w:t>
      </w:r>
      <w:r>
        <w:t xml:space="preserve">ion. </w:t>
      </w:r>
      <w:r w:rsidRPr="00741061">
        <w:t xml:space="preserve">The statement </w:t>
      </w:r>
      <w:r>
        <w:t xml:space="preserve"> </w:t>
      </w:r>
    </w:p>
    <w:p w:rsidRPr="00741061" w:rsidR="00695D34" w:rsidP="00695D34" w:rsidRDefault="00695D34">
      <w:pPr>
        <w:pStyle w:val="ListParagraph"/>
        <w:shd w:val="pct25" w:color="auto" w:fill="FFFFFF"/>
        <w:tabs>
          <w:tab w:val="left" w:pos="-720"/>
        </w:tabs>
        <w:suppressAutoHyphens/>
        <w:ind w:left="360"/>
      </w:pPr>
      <w:r>
        <w:tab/>
      </w:r>
      <w:r w:rsidRPr="00741061">
        <w:t>should:</w:t>
      </w:r>
    </w:p>
    <w:p w:rsidRPr="00741061" w:rsidR="00695D34" w:rsidP="00695D34" w:rsidRDefault="00695D34">
      <w:pPr>
        <w:pStyle w:val="ListParagraph"/>
        <w:tabs>
          <w:tab w:val="left" w:pos="-720"/>
        </w:tabs>
        <w:suppressAutoHyphens/>
        <w:ind w:left="360"/>
      </w:pPr>
    </w:p>
    <w:p w:rsidR="00695D34" w:rsidP="00695D34" w:rsidRDefault="00695D34">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695D34" w:rsidP="00695D34" w:rsidRDefault="00695D34">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695D34" w:rsidP="00695D34" w:rsidRDefault="00695D34"/>
    <w:p w:rsidR="00695D34" w:rsidP="00695D34" w:rsidRDefault="00695D34">
      <w:pPr>
        <w:ind w:left="720" w:hanging="420"/>
      </w:pPr>
      <w:r>
        <w:tab/>
        <w:t>Approximately 2,000 of these designations are processed annually.  The form requires about 15 minutes to complete.  The annual burden is 500 hours. Response time is not expected to vary substantially.</w:t>
      </w:r>
    </w:p>
    <w:p w:rsidR="00695D34" w:rsidP="00695D34" w:rsidRDefault="00695D34">
      <w:pPr>
        <w:pStyle w:val="Level1"/>
        <w:numPr>
          <w:ilvl w:val="0"/>
          <w:numId w:val="0"/>
        </w:numPr>
        <w:tabs>
          <w:tab w:val="left" w:pos="-1440"/>
        </w:tabs>
        <w:ind w:left="720" w:hanging="720"/>
      </w:pPr>
    </w:p>
    <w:p w:rsidR="003353CD" w:rsidP="00695D34" w:rsidRDefault="003353CD">
      <w:pPr>
        <w:pStyle w:val="Level1"/>
        <w:numPr>
          <w:ilvl w:val="0"/>
          <w:numId w:val="0"/>
        </w:numPr>
        <w:tabs>
          <w:tab w:val="left" w:pos="-1440"/>
        </w:tabs>
        <w:ind w:left="720" w:hanging="720"/>
      </w:pPr>
    </w:p>
    <w:p w:rsidR="003353CD" w:rsidP="00695D34" w:rsidRDefault="003353CD">
      <w:pPr>
        <w:pStyle w:val="Level1"/>
        <w:numPr>
          <w:ilvl w:val="0"/>
          <w:numId w:val="0"/>
        </w:numPr>
        <w:tabs>
          <w:tab w:val="left" w:pos="-1440"/>
        </w:tabs>
        <w:ind w:left="720" w:hanging="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
        <w:gridCol w:w="995"/>
        <w:gridCol w:w="1244"/>
        <w:gridCol w:w="1178"/>
        <w:gridCol w:w="1087"/>
        <w:gridCol w:w="969"/>
        <w:gridCol w:w="1010"/>
        <w:gridCol w:w="1179"/>
      </w:tblGrid>
      <w:tr w:rsidR="00695D34" w:rsidTr="00FE56C4">
        <w:trPr>
          <w:trHeight w:val="938"/>
        </w:trPr>
        <w:tc>
          <w:tcPr>
            <w:tcW w:w="1086"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Total Annual Respondent Cost</w:t>
            </w:r>
          </w:p>
        </w:tc>
      </w:tr>
      <w:tr w:rsidR="00695D34" w:rsidTr="00FE56C4">
        <w:trPr>
          <w:trHeight w:val="1024"/>
        </w:trPr>
        <w:tc>
          <w:tcPr>
            <w:tcW w:w="1086" w:type="dxa"/>
            <w:shd w:val="clear" w:color="auto" w:fill="auto"/>
          </w:tcPr>
          <w:p w:rsidRPr="005E399C" w:rsidR="00695D34" w:rsidP="00FE56C4" w:rsidRDefault="00695D34">
            <w:pPr>
              <w:spacing w:before="240"/>
              <w:rPr>
                <w:sz w:val="18"/>
                <w:szCs w:val="18"/>
              </w:rPr>
            </w:pPr>
            <w:r w:rsidRPr="00695D34">
              <w:rPr>
                <w:sz w:val="18"/>
                <w:szCs w:val="18"/>
              </w:rPr>
              <w:t>Designation of Beneficiary Under the</w:t>
            </w:r>
            <w:r>
              <w:rPr>
                <w:sz w:val="18"/>
                <w:szCs w:val="18"/>
              </w:rPr>
              <w:t xml:space="preserve"> CSRS</w:t>
            </w:r>
          </w:p>
        </w:tc>
        <w:tc>
          <w:tcPr>
            <w:tcW w:w="995" w:type="dxa"/>
            <w:shd w:val="clear" w:color="auto" w:fill="auto"/>
          </w:tcPr>
          <w:p w:rsidRPr="005E399C" w:rsidR="00695D34" w:rsidP="00FE56C4" w:rsidRDefault="00695D34">
            <w:pPr>
              <w:spacing w:before="240"/>
              <w:rPr>
                <w:sz w:val="18"/>
                <w:szCs w:val="18"/>
              </w:rPr>
            </w:pPr>
            <w:r>
              <w:rPr>
                <w:sz w:val="18"/>
                <w:szCs w:val="18"/>
              </w:rPr>
              <w:t>SF 2808</w:t>
            </w:r>
          </w:p>
        </w:tc>
        <w:tc>
          <w:tcPr>
            <w:tcW w:w="1244" w:type="dxa"/>
            <w:shd w:val="clear" w:color="auto" w:fill="auto"/>
          </w:tcPr>
          <w:p w:rsidR="00695D34" w:rsidP="00FE56C4" w:rsidRDefault="00695D34">
            <w:pPr>
              <w:jc w:val="right"/>
              <w:rPr>
                <w:sz w:val="18"/>
                <w:szCs w:val="18"/>
              </w:rPr>
            </w:pPr>
          </w:p>
          <w:p w:rsidRPr="005E399C" w:rsidR="00695D34" w:rsidP="00FE56C4" w:rsidRDefault="00695D34">
            <w:pPr>
              <w:jc w:val="right"/>
              <w:rPr>
                <w:sz w:val="18"/>
                <w:szCs w:val="18"/>
              </w:rPr>
            </w:pPr>
            <w:r w:rsidRPr="00695D34">
              <w:rPr>
                <w:sz w:val="18"/>
                <w:szCs w:val="18"/>
              </w:rPr>
              <w:t xml:space="preserve">2,000 </w:t>
            </w:r>
          </w:p>
        </w:tc>
        <w:tc>
          <w:tcPr>
            <w:tcW w:w="1178" w:type="dxa"/>
            <w:shd w:val="clear" w:color="auto" w:fill="auto"/>
          </w:tcPr>
          <w:p w:rsidRPr="005E399C" w:rsidR="00695D34" w:rsidP="00FE56C4" w:rsidRDefault="00695D34">
            <w:pPr>
              <w:spacing w:before="240"/>
              <w:jc w:val="right"/>
              <w:rPr>
                <w:sz w:val="18"/>
                <w:szCs w:val="18"/>
              </w:rPr>
            </w:pPr>
            <w:r w:rsidRPr="005E399C">
              <w:rPr>
                <w:sz w:val="18"/>
                <w:szCs w:val="18"/>
              </w:rPr>
              <w:t>1</w:t>
            </w:r>
          </w:p>
          <w:p w:rsidRPr="005E399C" w:rsidR="00695D34" w:rsidP="00FE56C4" w:rsidRDefault="00695D34">
            <w:pPr>
              <w:jc w:val="right"/>
              <w:rPr>
                <w:sz w:val="18"/>
                <w:szCs w:val="18"/>
              </w:rPr>
            </w:pPr>
          </w:p>
        </w:tc>
        <w:tc>
          <w:tcPr>
            <w:tcW w:w="1087" w:type="dxa"/>
            <w:shd w:val="clear" w:color="auto" w:fill="auto"/>
          </w:tcPr>
          <w:p w:rsidRPr="005E399C" w:rsidR="00695D34" w:rsidP="00FE56C4" w:rsidRDefault="00695D34">
            <w:pPr>
              <w:spacing w:before="240"/>
              <w:jc w:val="center"/>
              <w:rPr>
                <w:sz w:val="18"/>
                <w:szCs w:val="18"/>
              </w:rPr>
            </w:pPr>
            <w:r>
              <w:rPr>
                <w:sz w:val="18"/>
                <w:szCs w:val="18"/>
              </w:rPr>
              <w:t xml:space="preserve">         .25</w:t>
            </w:r>
          </w:p>
        </w:tc>
        <w:tc>
          <w:tcPr>
            <w:tcW w:w="969" w:type="dxa"/>
            <w:shd w:val="clear" w:color="auto" w:fill="auto"/>
          </w:tcPr>
          <w:p w:rsidRPr="005E399C" w:rsidR="00695D34" w:rsidP="00FE56C4" w:rsidRDefault="00695D34">
            <w:pPr>
              <w:spacing w:before="240"/>
              <w:jc w:val="right"/>
              <w:rPr>
                <w:sz w:val="18"/>
                <w:szCs w:val="18"/>
              </w:rPr>
            </w:pPr>
            <w:r>
              <w:rPr>
                <w:sz w:val="18"/>
                <w:szCs w:val="18"/>
              </w:rPr>
              <w:t>500</w:t>
            </w:r>
          </w:p>
          <w:p w:rsidRPr="005E399C" w:rsidR="00695D34" w:rsidP="00FE56C4" w:rsidRDefault="00695D34">
            <w:pPr>
              <w:jc w:val="right"/>
              <w:rPr>
                <w:sz w:val="18"/>
                <w:szCs w:val="18"/>
              </w:rPr>
            </w:pPr>
          </w:p>
        </w:tc>
        <w:tc>
          <w:tcPr>
            <w:tcW w:w="1010" w:type="dxa"/>
            <w:shd w:val="clear" w:color="auto" w:fill="auto"/>
          </w:tcPr>
          <w:p w:rsidRPr="005E399C" w:rsidR="00695D34" w:rsidP="00FE56C4" w:rsidRDefault="00695D34">
            <w:pPr>
              <w:spacing w:before="240"/>
              <w:jc w:val="center"/>
              <w:rPr>
                <w:sz w:val="18"/>
                <w:szCs w:val="18"/>
              </w:rPr>
            </w:pPr>
            <w:r>
              <w:rPr>
                <w:sz w:val="18"/>
                <w:szCs w:val="18"/>
              </w:rPr>
              <w:t>$</w:t>
            </w:r>
            <w:r w:rsidR="00224145">
              <w:rPr>
                <w:sz w:val="18"/>
                <w:szCs w:val="18"/>
              </w:rPr>
              <w:t>5.38</w:t>
            </w:r>
          </w:p>
          <w:p w:rsidRPr="005E399C" w:rsidR="00695D34" w:rsidP="00FE56C4" w:rsidRDefault="00695D34">
            <w:pPr>
              <w:jc w:val="center"/>
              <w:rPr>
                <w:sz w:val="18"/>
                <w:szCs w:val="18"/>
              </w:rPr>
            </w:pPr>
          </w:p>
        </w:tc>
        <w:tc>
          <w:tcPr>
            <w:tcW w:w="1179" w:type="dxa"/>
            <w:shd w:val="clear" w:color="auto" w:fill="auto"/>
          </w:tcPr>
          <w:p w:rsidRPr="005E399C" w:rsidR="00695D34" w:rsidP="00FE56C4" w:rsidRDefault="00695D34">
            <w:pPr>
              <w:spacing w:before="240"/>
              <w:jc w:val="center"/>
              <w:rPr>
                <w:sz w:val="18"/>
                <w:szCs w:val="18"/>
              </w:rPr>
            </w:pPr>
            <w:r>
              <w:rPr>
                <w:sz w:val="18"/>
                <w:szCs w:val="18"/>
              </w:rPr>
              <w:t>$</w:t>
            </w:r>
            <w:r w:rsidR="00BB21A2">
              <w:rPr>
                <w:sz w:val="18"/>
                <w:szCs w:val="18"/>
              </w:rPr>
              <w:t>13,450</w:t>
            </w:r>
            <w:r>
              <w:rPr>
                <w:sz w:val="18"/>
                <w:szCs w:val="18"/>
              </w:rPr>
              <w:t>.</w:t>
            </w:r>
            <w:r w:rsidR="00BB21A2">
              <w:rPr>
                <w:sz w:val="18"/>
                <w:szCs w:val="18"/>
              </w:rPr>
              <w:t>0</w:t>
            </w:r>
            <w:r>
              <w:rPr>
                <w:sz w:val="18"/>
                <w:szCs w:val="18"/>
              </w:rPr>
              <w:t>0</w:t>
            </w:r>
          </w:p>
          <w:p w:rsidRPr="005E399C" w:rsidR="00695D34" w:rsidP="00FE56C4" w:rsidRDefault="00695D34">
            <w:pPr>
              <w:jc w:val="center"/>
              <w:rPr>
                <w:sz w:val="18"/>
                <w:szCs w:val="18"/>
              </w:rPr>
            </w:pPr>
          </w:p>
          <w:p w:rsidRPr="005E399C" w:rsidR="00695D34" w:rsidP="00FE56C4" w:rsidRDefault="00695D34">
            <w:pPr>
              <w:jc w:val="center"/>
              <w:rPr>
                <w:sz w:val="18"/>
                <w:szCs w:val="18"/>
              </w:rPr>
            </w:pPr>
          </w:p>
          <w:p w:rsidRPr="005E399C" w:rsidR="00695D34" w:rsidP="00FE56C4" w:rsidRDefault="00695D34">
            <w:pPr>
              <w:rPr>
                <w:sz w:val="18"/>
                <w:szCs w:val="18"/>
              </w:rPr>
            </w:pPr>
          </w:p>
        </w:tc>
      </w:tr>
    </w:tbl>
    <w:p w:rsidR="00695D34" w:rsidP="00695D34" w:rsidRDefault="00695D34"/>
    <w:p w:rsidR="00F127C6" w:rsidP="00BB21A2" w:rsidRDefault="00695D34">
      <w:pPr>
        <w:ind w:firstLine="720"/>
      </w:pPr>
      <w:r>
        <w:t>The Total Annual Respondent Cost is $</w:t>
      </w:r>
      <w:r w:rsidRPr="00BB21A2" w:rsidR="00BB21A2">
        <w:t>13,450.00</w:t>
      </w:r>
      <w:r w:rsidR="00BB21A2">
        <w:t>.</w:t>
      </w:r>
    </w:p>
    <w:p w:rsidR="00BB21A2" w:rsidP="00BB21A2" w:rsidRDefault="00BB21A2">
      <w:pPr>
        <w:ind w:firstLine="720"/>
      </w:pPr>
    </w:p>
    <w:p w:rsidR="00BB21A2" w:rsidP="00BB21A2" w:rsidRDefault="00BB21A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BB21A2" w:rsidP="00BB21A2" w:rsidRDefault="00BB21A2">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BB21A2" w:rsidP="00BB21A2" w:rsidRDefault="00BB21A2">
      <w:pPr>
        <w:pStyle w:val="ListParagraph"/>
        <w:shd w:val="pct25" w:color="auto" w:fill="auto"/>
        <w:tabs>
          <w:tab w:val="left" w:pos="-720"/>
        </w:tabs>
        <w:suppressAutoHyphens/>
        <w:ind w:left="0"/>
      </w:pPr>
      <w:r>
        <w:t xml:space="preserve">        </w:t>
      </w:r>
      <w:r w:rsidRPr="00741061">
        <w:t>shown in Items 12 and 14.)</w:t>
      </w:r>
    </w:p>
    <w:p w:rsidRPr="00741061" w:rsidR="00BB21A2" w:rsidP="00BB21A2" w:rsidRDefault="00BB21A2">
      <w:pPr>
        <w:pStyle w:val="ListParagraph"/>
        <w:shd w:val="pct25" w:color="auto" w:fill="auto"/>
        <w:tabs>
          <w:tab w:val="left" w:pos="-720"/>
        </w:tabs>
        <w:suppressAutoHyphens/>
        <w:ind w:left="0"/>
      </w:pPr>
    </w:p>
    <w:p w:rsidRPr="00741061" w:rsidR="00BB21A2" w:rsidP="00BB21A2" w:rsidRDefault="00BB21A2">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BB21A2" w:rsidP="00BB21A2" w:rsidRDefault="00BB21A2">
      <w:pPr>
        <w:pStyle w:val="ListParagraph"/>
        <w:shd w:val="pct25" w:color="auto" w:fill="FFFFFF"/>
        <w:tabs>
          <w:tab w:val="left" w:pos="-720"/>
        </w:tabs>
        <w:suppressAutoHyphens/>
        <w:ind w:left="0"/>
      </w:pPr>
    </w:p>
    <w:p w:rsidRPr="00741061" w:rsidR="00BB21A2" w:rsidP="00BB21A2" w:rsidRDefault="00BB21A2">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BB21A2" w:rsidP="00BB21A2" w:rsidRDefault="00BB21A2">
      <w:pPr>
        <w:pStyle w:val="ListParagraph"/>
        <w:shd w:val="pct25" w:color="auto" w:fill="FFFFFF"/>
        <w:tabs>
          <w:tab w:val="left" w:pos="-720"/>
        </w:tabs>
        <w:suppressAutoHyphens/>
        <w:ind w:left="0"/>
      </w:pPr>
    </w:p>
    <w:p w:rsidR="00BB21A2" w:rsidP="00BB21A2" w:rsidRDefault="00BB21A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bookmarkEnd w:id="13"/>
    <w:p w:rsidR="00385847" w:rsidP="00BC5298" w:rsidRDefault="00385847">
      <w:pPr>
        <w:ind w:left="720" w:hanging="420"/>
      </w:pPr>
    </w:p>
    <w:p w:rsidR="00A206E5" w:rsidP="00BB21A2" w:rsidRDefault="00A206E5">
      <w:pPr>
        <w:ind w:left="720"/>
      </w:pPr>
      <w:r>
        <w:t>There is no cost to the respondent.</w:t>
      </w:r>
    </w:p>
    <w:p w:rsidR="00BB21A2" w:rsidP="00BB21A2" w:rsidRDefault="00BB21A2">
      <w:pPr>
        <w:ind w:left="720"/>
      </w:pPr>
    </w:p>
    <w:p w:rsidR="00BB21A2" w:rsidP="00BB21A2" w:rsidRDefault="00BB21A2">
      <w:pPr>
        <w:shd w:val="pct25" w:color="auto" w:fill="auto"/>
        <w:tabs>
          <w:tab w:val="left" w:pos="-720"/>
        </w:tabs>
        <w:suppressAutoHyphens/>
      </w:pPr>
      <w:bookmarkStart w:name="_Hlk44263344" w:id="14"/>
      <w:r w:rsidRPr="00741061">
        <w:t xml:space="preserve">14.  Provide estimates of annualized cost to the Federal Government.  Also, provide a description </w:t>
      </w:r>
    </w:p>
    <w:p w:rsidR="00BB21A2" w:rsidP="00BB21A2" w:rsidRDefault="00BB21A2">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BB21A2" w:rsidP="00BB21A2" w:rsidRDefault="00BB21A2">
      <w:pPr>
        <w:shd w:val="pct25" w:color="auto" w:fill="auto"/>
        <w:tabs>
          <w:tab w:val="left" w:pos="-720"/>
        </w:tabs>
        <w:suppressAutoHyphens/>
      </w:pPr>
      <w:r>
        <w:t xml:space="preserve">       </w:t>
      </w:r>
      <w:r w:rsidRPr="00741061">
        <w:t xml:space="preserve">operational expenses (such as equipment, overhead, printing and support staff), and any </w:t>
      </w:r>
    </w:p>
    <w:p w:rsidR="00BB21A2" w:rsidP="00BB21A2" w:rsidRDefault="00BB21A2">
      <w:pPr>
        <w:shd w:val="pct25" w:color="auto" w:fill="auto"/>
        <w:tabs>
          <w:tab w:val="left" w:pos="-720"/>
        </w:tabs>
        <w:suppressAutoHyphens/>
      </w:pPr>
      <w:r>
        <w:t xml:space="preserve">       </w:t>
      </w:r>
      <w:r w:rsidRPr="00741061">
        <w:t xml:space="preserve">other expense that would have been incurred without this collection of information. </w:t>
      </w:r>
      <w:r>
        <w:t>Y</w:t>
      </w:r>
      <w:r w:rsidRPr="00741061">
        <w:t xml:space="preserve">ou </w:t>
      </w:r>
    </w:p>
    <w:p w:rsidR="00BB21A2" w:rsidP="00BB21A2" w:rsidRDefault="00BB21A2">
      <w:pPr>
        <w:shd w:val="pct25" w:color="auto" w:fill="auto"/>
        <w:tabs>
          <w:tab w:val="left" w:pos="-720"/>
        </w:tabs>
        <w:suppressAutoHyphens/>
      </w:pPr>
      <w:r>
        <w:t xml:space="preserve">       </w:t>
      </w:r>
      <w:r w:rsidRPr="00741061">
        <w:t>may also aggregate cost estimates for Items 12,</w:t>
      </w:r>
      <w:r>
        <w:t xml:space="preserve"> 13, and 14 in a single table.</w:t>
      </w:r>
    </w:p>
    <w:bookmarkEnd w:id="14"/>
    <w:p w:rsidR="00A206E5" w:rsidP="00BC5298" w:rsidRDefault="00A206E5">
      <w:pPr>
        <w:ind w:left="720" w:hanging="420"/>
      </w:pPr>
    </w:p>
    <w:p w:rsidR="000C53CD" w:rsidP="00BB21A2" w:rsidRDefault="000C53CD">
      <w:pPr>
        <w:ind w:left="720"/>
      </w:pPr>
      <w:r>
        <w:lastRenderedPageBreak/>
        <w:t>The annualized cost to the Federal government is $</w:t>
      </w:r>
      <w:r w:rsidR="008A6CC6">
        <w:t>8</w:t>
      </w:r>
      <w:r>
        <w:t>,</w:t>
      </w:r>
      <w:r w:rsidR="008A6CC6">
        <w:t>550</w:t>
      </w:r>
      <w:r>
        <w:t>.  This cost was determined by employee salary hours devoted to the program, forms cost, and overhead.</w:t>
      </w:r>
    </w:p>
    <w:p w:rsidR="000C53CD" w:rsidP="00BC5298" w:rsidRDefault="000C53CD">
      <w:pPr>
        <w:ind w:left="720" w:hanging="420"/>
      </w:pPr>
    </w:p>
    <w:p w:rsidR="00BB21A2" w:rsidP="00BB21A2" w:rsidRDefault="00BB21A2">
      <w:pPr>
        <w:pStyle w:val="ListParagraph"/>
        <w:shd w:val="pct25" w:color="auto" w:fill="auto"/>
        <w:tabs>
          <w:tab w:val="left" w:pos="-720"/>
        </w:tabs>
        <w:suppressAutoHyphens/>
        <w:ind w:left="0"/>
      </w:pPr>
      <w:bookmarkStart w:name="_Hlk44263420" w:id="15"/>
      <w:r w:rsidRPr="00741061">
        <w:t xml:space="preserve">15.  Explain the reasons for any program changes or adjustments reported in Items 13 or 14 of </w:t>
      </w:r>
    </w:p>
    <w:p w:rsidR="00BB21A2" w:rsidP="00BB21A2" w:rsidRDefault="00BB21A2">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BB21A2" w:rsidP="00BB21A2" w:rsidRDefault="00BB21A2">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BB21A2" w:rsidP="00BB21A2" w:rsidRDefault="00BB21A2">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BB21A2" w:rsidP="00BB21A2" w:rsidRDefault="00BB21A2">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BB21A2" w:rsidP="00BB21A2" w:rsidRDefault="00BB21A2">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BB21A2" w:rsidP="00BB21A2" w:rsidRDefault="00BB21A2">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Pr="00741061" w:rsidR="00BB21A2" w:rsidP="00BB21A2" w:rsidRDefault="00BB21A2">
      <w:pPr>
        <w:pStyle w:val="ListParagraph"/>
        <w:shd w:val="pct25" w:color="auto" w:fill="auto"/>
        <w:tabs>
          <w:tab w:val="left" w:pos="-720"/>
        </w:tabs>
        <w:suppressAutoHyphens/>
        <w:ind w:left="0"/>
      </w:pPr>
      <w:r>
        <w:t xml:space="preserve">      </w:t>
      </w:r>
      <w:r w:rsidRPr="00741061">
        <w:t xml:space="preserve">Federal government are recorded as adjustments. </w:t>
      </w:r>
    </w:p>
    <w:bookmarkEnd w:id="15"/>
    <w:p w:rsidR="00BB21A2" w:rsidP="00BC5298" w:rsidRDefault="00BB21A2">
      <w:pPr>
        <w:ind w:left="720" w:hanging="420"/>
      </w:pPr>
    </w:p>
    <w:p w:rsidR="000C53CD" w:rsidP="00BB21A2" w:rsidRDefault="001517E9">
      <w:pPr>
        <w:ind w:left="720"/>
      </w:pPr>
      <w:r>
        <w:t>There are no changes to the respondent burden.</w:t>
      </w:r>
    </w:p>
    <w:p w:rsidR="00BB21A2" w:rsidP="00BB21A2" w:rsidRDefault="00BB21A2">
      <w:pPr>
        <w:ind w:left="720"/>
      </w:pPr>
    </w:p>
    <w:p w:rsidR="00D47ABD" w:rsidP="00D47ABD" w:rsidRDefault="00D47ABD">
      <w:pPr>
        <w:pStyle w:val="ListParagraph"/>
        <w:shd w:val="pct25" w:color="auto" w:fill="auto"/>
        <w:tabs>
          <w:tab w:val="left" w:pos="-720"/>
        </w:tabs>
        <w:suppressAutoHyphens/>
        <w:ind w:left="0"/>
      </w:pPr>
      <w:bookmarkStart w:name="_Hlk44263447" w:id="16"/>
      <w:r w:rsidRPr="00741061">
        <w:t xml:space="preserve">16.  For collections of information whose results will be published, outline plans for tabulation </w:t>
      </w:r>
    </w:p>
    <w:p w:rsidR="00D47ABD" w:rsidP="00D47ABD" w:rsidRDefault="00D47ABD">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D47ABD" w:rsidP="00D47ABD" w:rsidRDefault="00D47ABD">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D47ABD" w:rsidP="00D47ABD" w:rsidRDefault="00D47ABD">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bookmarkEnd w:id="16"/>
    <w:p w:rsidR="00BB21A2" w:rsidP="00BB21A2" w:rsidRDefault="00BB21A2">
      <w:pPr>
        <w:ind w:left="720"/>
      </w:pPr>
    </w:p>
    <w:p w:rsidR="000C53CD" w:rsidP="00D47ABD" w:rsidRDefault="000C53CD">
      <w:pPr>
        <w:ind w:firstLine="720"/>
      </w:pPr>
      <w:r>
        <w:t>The results of this information collection are not published.</w:t>
      </w:r>
    </w:p>
    <w:p w:rsidR="00D47ABD" w:rsidP="00D47ABD" w:rsidRDefault="00D47ABD">
      <w:pPr>
        <w:ind w:firstLine="720"/>
      </w:pPr>
      <w:bookmarkStart w:name="_Hlk44263492" w:id="17"/>
    </w:p>
    <w:p w:rsidR="00D47ABD" w:rsidP="00D47ABD" w:rsidRDefault="00D47ABD">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Pr="00741061" w:rsidR="00D47ABD" w:rsidP="00D47ABD" w:rsidRDefault="00D47ABD">
      <w:pPr>
        <w:pStyle w:val="ListParagraph"/>
        <w:shd w:val="pct25" w:color="auto" w:fill="auto"/>
        <w:tabs>
          <w:tab w:val="left" w:pos="-720"/>
        </w:tabs>
        <w:suppressAutoHyphens/>
        <w:ind w:left="0"/>
      </w:pPr>
      <w:r>
        <w:t xml:space="preserve">      </w:t>
      </w:r>
      <w:proofErr w:type="gramStart"/>
      <w:r w:rsidRPr="00741061">
        <w:t>collection,</w:t>
      </w:r>
      <w:proofErr w:type="gramEnd"/>
      <w:r w:rsidRPr="00741061">
        <w:t xml:space="preserve"> explain reasons that display would be inappropriate.</w:t>
      </w:r>
    </w:p>
    <w:bookmarkEnd w:id="17"/>
    <w:p w:rsidR="00D47ABD" w:rsidP="00D47ABD" w:rsidRDefault="00D47ABD"/>
    <w:p w:rsidR="00D47ABD" w:rsidP="00D47ABD" w:rsidRDefault="00D47ABD">
      <w:pPr>
        <w:ind w:left="720"/>
      </w:pPr>
      <w:bookmarkStart w:name="_Hlk44263523" w:id="18"/>
      <w:r>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w:t>
      </w:r>
    </w:p>
    <w:p w:rsidR="00D47ABD" w:rsidP="00D47ABD" w:rsidRDefault="00D47ABD">
      <w:pPr>
        <w:ind w:left="720"/>
      </w:pPr>
      <w:r>
        <w:t>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 The results of this collection are not published.</w:t>
      </w:r>
    </w:p>
    <w:bookmarkEnd w:id="18"/>
    <w:p w:rsidR="00D47ABD" w:rsidP="00D47ABD" w:rsidRDefault="00D47ABD"/>
    <w:p w:rsidRPr="00741061" w:rsidR="00D47ABD" w:rsidP="00D47ABD" w:rsidRDefault="00D47ABD">
      <w:pPr>
        <w:pStyle w:val="ListParagraph"/>
        <w:shd w:val="pct25" w:color="auto" w:fill="auto"/>
        <w:tabs>
          <w:tab w:val="left" w:pos="-720"/>
        </w:tabs>
        <w:suppressAutoHyphens/>
        <w:ind w:left="0"/>
      </w:pPr>
      <w:bookmarkStart w:name="_Hlk44263544" w:id="19"/>
      <w:r w:rsidRPr="00741061">
        <w:t xml:space="preserve">18.  Explain each exception to the certification statement identified in Item 19 “Certification for </w:t>
      </w:r>
      <w:r>
        <w:br/>
        <w:t xml:space="preserve">       </w:t>
      </w:r>
      <w:r w:rsidRPr="00741061">
        <w:t>Paperwork Reduction Act Submissions,” of OMB Form 83-I.</w:t>
      </w:r>
    </w:p>
    <w:bookmarkEnd w:id="19"/>
    <w:p w:rsidR="00D47ABD" w:rsidP="00D47ABD" w:rsidRDefault="00D47ABD"/>
    <w:p w:rsidR="000C53CD" w:rsidP="00D47ABD" w:rsidRDefault="000C53CD">
      <w:pPr>
        <w:ind w:left="720"/>
      </w:pPr>
      <w:r>
        <w:lastRenderedPageBreak/>
        <w:t>There are no exceptions to the certification statement.</w:t>
      </w:r>
    </w:p>
    <w:sectPr w:rsidR="000C53CD"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800EB66"/>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345B32D8"/>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C621B4F"/>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C21837"/>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4536BC5"/>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B5E089F"/>
    <w:multiLevelType w:val="hybridMultilevel"/>
    <w:tmpl w:val="D79AD9D2"/>
    <w:lvl w:ilvl="0" w:tplc="A0EACD5C">
      <w:start w:val="9"/>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4">
    <w:abstractNumId w:val="1"/>
  </w:num>
  <w:num w:numId="5">
    <w:abstractNumId w:val="3"/>
  </w:num>
  <w:num w:numId="6">
    <w:abstractNumId w:val="2"/>
  </w:num>
  <w:num w:numId="7">
    <w:abstractNumId w:val="4"/>
  </w:num>
  <w:num w:numId="8">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07F"/>
    <w:rsid w:val="00014433"/>
    <w:rsid w:val="0003069F"/>
    <w:rsid w:val="000C53CD"/>
    <w:rsid w:val="001302FA"/>
    <w:rsid w:val="001517E9"/>
    <w:rsid w:val="001731E8"/>
    <w:rsid w:val="00174A80"/>
    <w:rsid w:val="00224145"/>
    <w:rsid w:val="00263F91"/>
    <w:rsid w:val="002A30F3"/>
    <w:rsid w:val="002B02A3"/>
    <w:rsid w:val="003353CD"/>
    <w:rsid w:val="003406B9"/>
    <w:rsid w:val="003778B8"/>
    <w:rsid w:val="00385847"/>
    <w:rsid w:val="00390F60"/>
    <w:rsid w:val="004129A7"/>
    <w:rsid w:val="004F13A8"/>
    <w:rsid w:val="004F3A76"/>
    <w:rsid w:val="005464C6"/>
    <w:rsid w:val="005D507F"/>
    <w:rsid w:val="00695D34"/>
    <w:rsid w:val="006D59CC"/>
    <w:rsid w:val="006F5123"/>
    <w:rsid w:val="00704C5C"/>
    <w:rsid w:val="007E18FA"/>
    <w:rsid w:val="007E2FDD"/>
    <w:rsid w:val="007F645F"/>
    <w:rsid w:val="0082261B"/>
    <w:rsid w:val="00836802"/>
    <w:rsid w:val="00887D16"/>
    <w:rsid w:val="008A6CC6"/>
    <w:rsid w:val="008F104D"/>
    <w:rsid w:val="009A4D6A"/>
    <w:rsid w:val="00A206E5"/>
    <w:rsid w:val="00A363D5"/>
    <w:rsid w:val="00A71CC8"/>
    <w:rsid w:val="00A931D5"/>
    <w:rsid w:val="00AC5D53"/>
    <w:rsid w:val="00B02B8D"/>
    <w:rsid w:val="00B57E20"/>
    <w:rsid w:val="00B86FAE"/>
    <w:rsid w:val="00BB21A2"/>
    <w:rsid w:val="00BC5298"/>
    <w:rsid w:val="00C000C6"/>
    <w:rsid w:val="00C978BC"/>
    <w:rsid w:val="00CA53EA"/>
    <w:rsid w:val="00CF0D10"/>
    <w:rsid w:val="00D47ABD"/>
    <w:rsid w:val="00D61D56"/>
    <w:rsid w:val="00F127C6"/>
    <w:rsid w:val="00F634B9"/>
    <w:rsid w:val="00FD0F80"/>
    <w:rsid w:val="00FE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4803F69E-B62C-4934-9D97-EB98DB6F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206E5"/>
    <w:rPr>
      <w:rFonts w:ascii="Tahoma" w:hAnsi="Tahoma" w:cs="Tahoma"/>
      <w:sz w:val="16"/>
      <w:szCs w:val="16"/>
    </w:rPr>
  </w:style>
  <w:style w:type="paragraph" w:styleId="ListParagraph">
    <w:name w:val="List Paragraph"/>
    <w:basedOn w:val="Normal"/>
    <w:uiPriority w:val="34"/>
    <w:qFormat/>
    <w:rsid w:val="003406B9"/>
    <w:pPr>
      <w:ind w:left="720"/>
    </w:pPr>
    <w:rPr>
      <w:szCs w:val="20"/>
    </w:rPr>
  </w:style>
  <w:style w:type="paragraph" w:customStyle="1" w:styleId="Level1">
    <w:name w:val="Level 1"/>
    <w:basedOn w:val="Normal"/>
    <w:rsid w:val="003406B9"/>
    <w:pPr>
      <w:widowControl w:val="0"/>
      <w:numPr>
        <w:numId w:val="3"/>
      </w:numPr>
      <w:autoSpaceDE w:val="0"/>
      <w:autoSpaceDN w:val="0"/>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7854">
      <w:bodyDiv w:val="1"/>
      <w:marLeft w:val="0"/>
      <w:marRight w:val="0"/>
      <w:marTop w:val="0"/>
      <w:marBottom w:val="0"/>
      <w:divBdr>
        <w:top w:val="none" w:sz="0" w:space="0" w:color="auto"/>
        <w:left w:val="none" w:sz="0" w:space="0" w:color="auto"/>
        <w:bottom w:val="none" w:sz="0" w:space="0" w:color="auto"/>
        <w:right w:val="none" w:sz="0" w:space="0" w:color="auto"/>
      </w:divBdr>
    </w:div>
    <w:div w:id="502401064">
      <w:bodyDiv w:val="1"/>
      <w:marLeft w:val="0"/>
      <w:marRight w:val="0"/>
      <w:marTop w:val="0"/>
      <w:marBottom w:val="0"/>
      <w:divBdr>
        <w:top w:val="none" w:sz="0" w:space="0" w:color="auto"/>
        <w:left w:val="none" w:sz="0" w:space="0" w:color="auto"/>
        <w:bottom w:val="none" w:sz="0" w:space="0" w:color="auto"/>
        <w:right w:val="none" w:sz="0" w:space="0" w:color="auto"/>
      </w:divBdr>
    </w:div>
    <w:div w:id="560822857">
      <w:bodyDiv w:val="1"/>
      <w:marLeft w:val="0"/>
      <w:marRight w:val="0"/>
      <w:marTop w:val="0"/>
      <w:marBottom w:val="0"/>
      <w:divBdr>
        <w:top w:val="none" w:sz="0" w:space="0" w:color="auto"/>
        <w:left w:val="none" w:sz="0" w:space="0" w:color="auto"/>
        <w:bottom w:val="none" w:sz="0" w:space="0" w:color="auto"/>
        <w:right w:val="none" w:sz="0" w:space="0" w:color="auto"/>
      </w:divBdr>
    </w:div>
    <w:div w:id="811094353">
      <w:bodyDiv w:val="1"/>
      <w:marLeft w:val="0"/>
      <w:marRight w:val="0"/>
      <w:marTop w:val="0"/>
      <w:marBottom w:val="0"/>
      <w:divBdr>
        <w:top w:val="none" w:sz="0" w:space="0" w:color="auto"/>
        <w:left w:val="none" w:sz="0" w:space="0" w:color="auto"/>
        <w:bottom w:val="none" w:sz="0" w:space="0" w:color="auto"/>
        <w:right w:val="none" w:sz="0" w:space="0" w:color="auto"/>
      </w:divBdr>
    </w:div>
    <w:div w:id="986593536">
      <w:bodyDiv w:val="1"/>
      <w:marLeft w:val="0"/>
      <w:marRight w:val="0"/>
      <w:marTop w:val="0"/>
      <w:marBottom w:val="0"/>
      <w:divBdr>
        <w:top w:val="none" w:sz="0" w:space="0" w:color="auto"/>
        <w:left w:val="none" w:sz="0" w:space="0" w:color="auto"/>
        <w:bottom w:val="none" w:sz="0" w:space="0" w:color="auto"/>
        <w:right w:val="none" w:sz="0" w:space="0" w:color="auto"/>
      </w:divBdr>
    </w:div>
    <w:div w:id="990258827">
      <w:bodyDiv w:val="1"/>
      <w:marLeft w:val="0"/>
      <w:marRight w:val="0"/>
      <w:marTop w:val="0"/>
      <w:marBottom w:val="0"/>
      <w:divBdr>
        <w:top w:val="none" w:sz="0" w:space="0" w:color="auto"/>
        <w:left w:val="none" w:sz="0" w:space="0" w:color="auto"/>
        <w:bottom w:val="none" w:sz="0" w:space="0" w:color="auto"/>
        <w:right w:val="none" w:sz="0" w:space="0" w:color="auto"/>
      </w:divBdr>
    </w:div>
    <w:div w:id="1171412098">
      <w:bodyDiv w:val="1"/>
      <w:marLeft w:val="0"/>
      <w:marRight w:val="0"/>
      <w:marTop w:val="0"/>
      <w:marBottom w:val="0"/>
      <w:divBdr>
        <w:top w:val="none" w:sz="0" w:space="0" w:color="auto"/>
        <w:left w:val="none" w:sz="0" w:space="0" w:color="auto"/>
        <w:bottom w:val="none" w:sz="0" w:space="0" w:color="auto"/>
        <w:right w:val="none" w:sz="0" w:space="0" w:color="auto"/>
      </w:divBdr>
    </w:div>
    <w:div w:id="1340427734">
      <w:bodyDiv w:val="1"/>
      <w:marLeft w:val="0"/>
      <w:marRight w:val="0"/>
      <w:marTop w:val="0"/>
      <w:marBottom w:val="0"/>
      <w:divBdr>
        <w:top w:val="none" w:sz="0" w:space="0" w:color="auto"/>
        <w:left w:val="none" w:sz="0" w:space="0" w:color="auto"/>
        <w:bottom w:val="none" w:sz="0" w:space="0" w:color="auto"/>
        <w:right w:val="none" w:sz="0" w:space="0" w:color="auto"/>
      </w:divBdr>
    </w:div>
    <w:div w:id="1526989770">
      <w:bodyDiv w:val="1"/>
      <w:marLeft w:val="0"/>
      <w:marRight w:val="0"/>
      <w:marTop w:val="0"/>
      <w:marBottom w:val="0"/>
      <w:divBdr>
        <w:top w:val="none" w:sz="0" w:space="0" w:color="auto"/>
        <w:left w:val="none" w:sz="0" w:space="0" w:color="auto"/>
        <w:bottom w:val="none" w:sz="0" w:space="0" w:color="auto"/>
        <w:right w:val="none" w:sz="0" w:space="0" w:color="auto"/>
      </w:divBdr>
    </w:div>
    <w:div w:id="19866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Ikpe, Yvonne R.</cp:lastModifiedBy>
  <cp:revision>2</cp:revision>
  <cp:lastPrinted>2017-03-02T13:48:00Z</cp:lastPrinted>
  <dcterms:created xsi:type="dcterms:W3CDTF">2020-10-01T16:47:00Z</dcterms:created>
  <dcterms:modified xsi:type="dcterms:W3CDTF">2020-10-01T16:47:00Z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1893574957</vt:i4>
  </property>
  <property fmtid="{D5CDD505-2E9C-101B-9397-08002B2CF9AE}" pid="3" name="_EmailSubject">
    <vt:lpwstr>SF 2808 and OPM 1530</vt:lpwstr>
  </property>
  <property fmtid="{D5CDD505-2E9C-101B-9397-08002B2CF9AE}" pid="4" name="_AuthorEmail">
    <vt:lpwstr>Martha.Moore@opm.gov</vt:lpwstr>
  </property>
  <property fmtid="{D5CDD505-2E9C-101B-9397-08002B2CF9AE}" pid="5" name="_AuthorEmailDisplayName">
    <vt:lpwstr>Moore, Martha E</vt:lpwstr>
  </property>
  <property fmtid="{D5CDD505-2E9C-101B-9397-08002B2CF9AE}" pid="6" name="_ReviewingToolsShownOnce">
    <vt:lpwstr/>
  </property>
</Properties>
</file>