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4E0" w:rsidRDefault="00CC04E0">
      <w:bookmarkStart w:name="_GoBack" w:id="0"/>
      <w:bookmarkEnd w:id="0"/>
    </w:p>
    <w:p w:rsidR="00CC04E0" w:rsidRDefault="00CC04E0">
      <w:pPr>
        <w:jc w:val="center"/>
      </w:pPr>
    </w:p>
    <w:p w:rsidR="00CC04E0" w:rsidRDefault="00CC04E0">
      <w:pPr>
        <w:jc w:val="center"/>
      </w:pPr>
      <w:r>
        <w:t>OMB SUPPORTING STATEMENT</w:t>
      </w:r>
    </w:p>
    <w:p w:rsidR="00CC04E0" w:rsidRDefault="00CC04E0"/>
    <w:p w:rsidR="00AC763F" w:rsidRDefault="00CC04E0">
      <w:r>
        <w:t>RI 25-</w:t>
      </w:r>
      <w:r w:rsidR="00A51F95">
        <w:t>51</w:t>
      </w:r>
      <w:r>
        <w:t xml:space="preserve"> –</w:t>
      </w:r>
      <w:r w:rsidR="00AC763F">
        <w:t xml:space="preserve"> </w:t>
      </w:r>
      <w:r w:rsidR="00A51F95">
        <w:t>Civil Service Retirement System Survivor Annuitant Express Pay</w:t>
      </w:r>
      <w:r w:rsidR="00AC763F">
        <w:t xml:space="preserve"> </w:t>
      </w:r>
      <w:r w:rsidR="00A51F95">
        <w:t xml:space="preserve">Application for </w:t>
      </w:r>
    </w:p>
    <w:p w:rsidR="00A51F95" w:rsidP="00AC763F" w:rsidRDefault="00AC763F">
      <w:pPr>
        <w:ind w:left="720"/>
      </w:pPr>
      <w:r>
        <w:t xml:space="preserve">      </w:t>
      </w:r>
      <w:r w:rsidR="00A51F95">
        <w:t>Death Benefits</w:t>
      </w:r>
    </w:p>
    <w:p w:rsidR="00CC04E0" w:rsidRDefault="00CC04E0"/>
    <w:p w:rsidRPr="002D06C6" w:rsidR="00CC04E0" w:rsidRDefault="00CC04E0">
      <w:pPr>
        <w:numPr>
          <w:ilvl w:val="0"/>
          <w:numId w:val="1"/>
        </w:numPr>
        <w:rPr>
          <w:bCs/>
          <w:u w:val="single"/>
        </w:rPr>
      </w:pPr>
      <w:r w:rsidRPr="002D06C6">
        <w:rPr>
          <w:bCs/>
          <w:u w:val="single"/>
        </w:rPr>
        <w:t>Justification</w:t>
      </w:r>
    </w:p>
    <w:p w:rsidR="00CC04E0" w:rsidRDefault="00CC04E0"/>
    <w:p w:rsidR="00FE2812" w:rsidP="00FE2812" w:rsidRDefault="00FE2812">
      <w:pPr>
        <w:pStyle w:val="ListParagraph"/>
        <w:numPr>
          <w:ilvl w:val="0"/>
          <w:numId w:val="3"/>
        </w:numPr>
        <w:shd w:val="pct25" w:color="auto" w:fill="auto"/>
        <w:tabs>
          <w:tab w:val="left" w:pos="-720"/>
        </w:tabs>
        <w:suppressAutoHyphens/>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E2812" w:rsidRDefault="00FE2812"/>
    <w:p w:rsidR="00CC04E0" w:rsidP="00FE2812" w:rsidRDefault="00CC04E0">
      <w:pPr>
        <w:ind w:left="720"/>
      </w:pPr>
      <w:r>
        <w:t>Sections 8341</w:t>
      </w:r>
      <w:r w:rsidR="00A51F95">
        <w:t xml:space="preserve"> and</w:t>
      </w:r>
      <w:r>
        <w:t xml:space="preserve"> 8342 of title 5, U. S. Code</w:t>
      </w:r>
      <w:r w:rsidR="00A51F95">
        <w:t>,</w:t>
      </w:r>
      <w:r>
        <w:t xml:space="preserve"> </w:t>
      </w:r>
      <w:r w:rsidR="00A51F95">
        <w:t>provide for two types of death benefits: survivor benefits and lump-sum payments</w:t>
      </w:r>
      <w:r>
        <w:t xml:space="preserve">.  </w:t>
      </w:r>
      <w:r w:rsidR="00A51F95">
        <w:t>Survivor annuities may be payable to a spouse, former spouse, and eligible dependent children upon the death of an employee or annuitant.  A lump-sum benefit may be payable upon the death of an employee, former employee, or annuitant if no spouse, former spouse, or eligible dependent children are entitled to survivor annuity or, if a survivor annuity is payable, after the right of the last person entitled thereto has terminated.  These benefits cannot be paid unless application for the benefits is made to the Office of Personnel Management (OPM).  Title 5, U. S. Code, Section 8347(b) authorize</w:t>
      </w:r>
      <w:r w:rsidR="00D96682">
        <w:t>s</w:t>
      </w:r>
      <w:r w:rsidR="00A51F95">
        <w:t xml:space="preserve"> OPM to prescribe the form of applications needed.</w:t>
      </w:r>
    </w:p>
    <w:p w:rsidR="00A51F95" w:rsidP="00A51F95" w:rsidRDefault="00A51F95">
      <w:pPr>
        <w:ind w:left="360"/>
      </w:pPr>
    </w:p>
    <w:p w:rsidR="00FE2812" w:rsidP="00FE2812" w:rsidRDefault="00FE2812">
      <w:pPr>
        <w:pStyle w:val="ListParagraph"/>
        <w:numPr>
          <w:ilvl w:val="0"/>
          <w:numId w:val="3"/>
        </w:numPr>
        <w:shd w:val="pct25" w:color="auto" w:fill="auto"/>
        <w:tabs>
          <w:tab w:val="left" w:pos="-720"/>
        </w:tabs>
        <w:suppressAutoHyphens/>
      </w:pPr>
      <w:r>
        <w:t xml:space="preserve">Indicate how, by whom, and for what purpose the information is to be used.  Except for a new collection, indicate the actual use the agency has made of the information received from the current collection. </w:t>
      </w:r>
    </w:p>
    <w:p w:rsidR="00FE2812" w:rsidP="00A51F95" w:rsidRDefault="00FE2812">
      <w:pPr>
        <w:ind w:left="360"/>
      </w:pPr>
    </w:p>
    <w:p w:rsidR="00CC04E0" w:rsidP="00FE2812" w:rsidRDefault="00A51F95">
      <w:pPr>
        <w:ind w:left="720"/>
      </w:pPr>
      <w:r>
        <w:t>The information collected with this application i</w:t>
      </w:r>
      <w:r w:rsidR="00696586">
        <w:t xml:space="preserve">s </w:t>
      </w:r>
      <w:r>
        <w:t>used by the Civil Service Retirement System solely to pay benefits to the widows or widowers of annuitants.</w:t>
      </w:r>
      <w:r w:rsidR="00CC04E0">
        <w:t xml:space="preserve"> </w:t>
      </w:r>
      <w:r>
        <w:t xml:space="preserve"> The application is intended for use in immediately authorizing payments to a widow or widower, based on the report of death, when our records show that the decedent elected to provide benefits for the applicant.  The widow’s or widower’s annuity right is contingent upon the existence of a marriage when the annuitant died and an election by the annuitant to receive a reduced annuity during his or her lifetime to provide the survivor benefit.  Information collected on the application is carefully compared to our records to determine that we may </w:t>
      </w:r>
      <w:r w:rsidR="00A4472D">
        <w:t>continue payment of benefits. The application asks for information about children of the deceased who may be eligible for benefits so that we may ensure that their eligibility is considered.</w:t>
      </w:r>
      <w:r w:rsidR="00CC04E0">
        <w:t xml:space="preserve"> </w:t>
      </w:r>
      <w:r w:rsidR="00FE2812">
        <w:t>The Privacy Act Statement has been revised due to a systematic review by our Chief Privacy Officer.</w:t>
      </w:r>
      <w:r w:rsidR="00A4472D">
        <w:t xml:space="preserve"> </w:t>
      </w:r>
      <w:r w:rsidR="00CC04E0">
        <w:t xml:space="preserve">The Public Burden Statement meets the requirements of 5 </w:t>
      </w:r>
      <w:smartTag w:uri="urn:schemas-microsoft-com:office:smarttags" w:element="stockticker">
        <w:r w:rsidR="00CC04E0">
          <w:t>CFR</w:t>
        </w:r>
      </w:smartTag>
      <w:r w:rsidR="00CC04E0">
        <w:t xml:space="preserve"> 1320.8(b)(3).</w:t>
      </w:r>
    </w:p>
    <w:p w:rsidR="00FE2812" w:rsidP="00FE2812" w:rsidRDefault="00FE2812">
      <w:pPr>
        <w:ind w:left="720"/>
      </w:pPr>
    </w:p>
    <w:p w:rsidR="00FE2812" w:rsidP="00FE2812" w:rsidRDefault="00FE2812">
      <w:pPr>
        <w:pStyle w:val="ListParagraph"/>
        <w:numPr>
          <w:ilvl w:val="0"/>
          <w:numId w:val="3"/>
        </w:numPr>
        <w:shd w:val="pct25" w:color="auto" w:fill="auto"/>
        <w:tabs>
          <w:tab w:val="left" w:pos="-720"/>
        </w:tabs>
        <w:suppressAutoHyphens/>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ab/>
      </w:r>
    </w:p>
    <w:p w:rsidR="00FE2812" w:rsidP="00FE2812" w:rsidRDefault="00FE2812">
      <w:pPr>
        <w:ind w:left="720"/>
      </w:pPr>
    </w:p>
    <w:p w:rsidR="00CC04E0" w:rsidRDefault="00CC04E0"/>
    <w:p w:rsidR="00FE2812" w:rsidP="00FE2812" w:rsidRDefault="00FE2812">
      <w:pPr>
        <w:ind w:left="720"/>
      </w:pPr>
      <w:r>
        <w:lastRenderedPageBreak/>
        <w:t>The information collected is detailed and can only be obtained from the respondents.  There is no technology available to collect this information. However, this form is available on our website in a PDF fillable format and meets our GPEA requirement.</w:t>
      </w:r>
    </w:p>
    <w:p w:rsidR="00D96682" w:rsidP="00D96682" w:rsidRDefault="00D96682"/>
    <w:p w:rsidR="00FE2812" w:rsidP="00FE2812" w:rsidRDefault="00FE2812">
      <w:pPr>
        <w:pStyle w:val="ListParagraph"/>
        <w:numPr>
          <w:ilvl w:val="0"/>
          <w:numId w:val="3"/>
        </w:numPr>
        <w:shd w:val="pct25" w:color="auto" w:fill="auto"/>
        <w:tabs>
          <w:tab w:val="left" w:pos="-720"/>
        </w:tabs>
        <w:suppressAutoHyphens/>
      </w:pPr>
      <w:r>
        <w:t xml:space="preserve">Describe efforts to identify duplication.  Show specifically why any similar information already available cannot be used or modified for use for the purposes described in Item 2 above. </w:t>
      </w:r>
    </w:p>
    <w:p w:rsidR="00FE2812" w:rsidP="00D96682" w:rsidRDefault="00FE2812"/>
    <w:p w:rsidR="00CC04E0" w:rsidP="00FE2812" w:rsidRDefault="00710BCB">
      <w:pPr>
        <w:ind w:left="720"/>
      </w:pPr>
      <w:r>
        <w:t>Applications are filed individually.  This information is not available elsewhere.  Duplication is minimized.</w:t>
      </w:r>
    </w:p>
    <w:p w:rsidR="00CC04E0" w:rsidRDefault="00CC04E0"/>
    <w:p w:rsidR="00FE2812" w:rsidP="00FE2812" w:rsidRDefault="00FE2812">
      <w:pPr>
        <w:pStyle w:val="ListParagraph"/>
        <w:numPr>
          <w:ilvl w:val="0"/>
          <w:numId w:val="3"/>
        </w:numPr>
        <w:shd w:val="pct25" w:color="auto" w:fill="auto"/>
        <w:tabs>
          <w:tab w:val="left" w:pos="-720"/>
        </w:tabs>
        <w:suppressAutoHyphens/>
      </w:pPr>
      <w:r>
        <w:t>If the collection of information impacts small businesses or other small entities (Item 5 of OMB Form 83-I), describe any methods used to minimize.</w:t>
      </w:r>
    </w:p>
    <w:p w:rsidR="00FE2812" w:rsidRDefault="00FE2812"/>
    <w:p w:rsidR="00CC04E0" w:rsidP="00FE2812" w:rsidRDefault="00CC04E0">
      <w:pPr>
        <w:ind w:left="720"/>
      </w:pPr>
      <w:r>
        <w:t>Information is not collected from small businesses</w:t>
      </w:r>
      <w:r w:rsidR="00FE2812">
        <w:t xml:space="preserve"> or other small entities.</w:t>
      </w:r>
    </w:p>
    <w:p w:rsidR="00A97059" w:rsidP="00FE2812" w:rsidRDefault="00A97059">
      <w:pPr>
        <w:ind w:left="720"/>
      </w:pPr>
    </w:p>
    <w:p w:rsidR="00A97059" w:rsidP="00A97059" w:rsidRDefault="00A97059">
      <w:pPr>
        <w:pStyle w:val="ListParagraph"/>
        <w:numPr>
          <w:ilvl w:val="0"/>
          <w:numId w:val="3"/>
        </w:numPr>
        <w:shd w:val="pct25" w:color="auto" w:fill="auto"/>
        <w:tabs>
          <w:tab w:val="left" w:pos="-720"/>
        </w:tabs>
        <w:suppressAutoHyphens/>
      </w:pPr>
      <w:r>
        <w:t>Describe the consequence to Federal/DHS program or policy activities if the collection of information is not conducted, or is conducted less frequently, as well as any technical or legal obstacles to reducing burden.</w:t>
      </w:r>
    </w:p>
    <w:p w:rsidR="00CC04E0" w:rsidRDefault="00CC04E0"/>
    <w:p w:rsidR="00CC04E0" w:rsidP="00A97059" w:rsidRDefault="00710BCB">
      <w:pPr>
        <w:ind w:left="720"/>
      </w:pPr>
      <w:r>
        <w:t xml:space="preserve">This information collection is required upon the death of an annuitant.  </w:t>
      </w:r>
      <w:r w:rsidR="00CC04E0">
        <w:t xml:space="preserve">Less frequent collection would </w:t>
      </w:r>
      <w:r>
        <w:t>delay the award of benefits authorized by title 5, U. S. Code, Chapter 83</w:t>
      </w:r>
      <w:r w:rsidR="00CC04E0">
        <w:t>.</w:t>
      </w:r>
    </w:p>
    <w:p w:rsidR="00A97059" w:rsidP="00A97059" w:rsidRDefault="00A97059">
      <w:pPr>
        <w:ind w:left="720"/>
      </w:pPr>
    </w:p>
    <w:p w:rsidR="00A97059" w:rsidP="00A97059" w:rsidRDefault="00A97059">
      <w:pPr>
        <w:pStyle w:val="ListParagraph"/>
        <w:numPr>
          <w:ilvl w:val="0"/>
          <w:numId w:val="3"/>
        </w:numPr>
        <w:shd w:val="pct25" w:color="auto" w:fill="auto"/>
        <w:tabs>
          <w:tab w:val="left" w:pos="-720"/>
        </w:tabs>
        <w:suppressAutoHyphens/>
      </w:pPr>
      <w:r>
        <w:t xml:space="preserve">Explain any special circumstances that would cause an information collection to be conducted in a manner: </w:t>
      </w:r>
    </w:p>
    <w:p w:rsidR="00A97059" w:rsidP="00A97059" w:rsidRDefault="00A97059">
      <w:pPr>
        <w:pStyle w:val="ListParagraph"/>
        <w:shd w:val="pct25" w:color="auto" w:fill="auto"/>
        <w:tabs>
          <w:tab w:val="left" w:pos="-720"/>
        </w:tabs>
        <w:suppressAutoHyphens/>
      </w:pPr>
      <w:r>
        <w:t xml:space="preserve">• requiring respondents to report information to the agency more often than quarterly; </w:t>
      </w:r>
    </w:p>
    <w:p w:rsidR="00A97059" w:rsidP="00A97059" w:rsidRDefault="00A97059">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A97059" w:rsidP="00A97059" w:rsidRDefault="00A97059">
      <w:pPr>
        <w:pStyle w:val="ListParagraph"/>
        <w:shd w:val="pct25" w:color="auto" w:fill="auto"/>
        <w:tabs>
          <w:tab w:val="left" w:pos="-720"/>
        </w:tabs>
        <w:suppressAutoHyphens/>
      </w:pPr>
      <w:r>
        <w:t xml:space="preserve">•requiring respondents to submit more than an original and two copies of any document; </w:t>
      </w:r>
    </w:p>
    <w:p w:rsidR="00A97059" w:rsidP="00A97059" w:rsidRDefault="00A97059">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A97059" w:rsidP="00A97059" w:rsidRDefault="00A97059">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A97059" w:rsidP="00A97059" w:rsidRDefault="00A97059">
      <w:pPr>
        <w:pStyle w:val="ListParagraph"/>
        <w:shd w:val="pct25" w:color="auto" w:fill="auto"/>
        <w:tabs>
          <w:tab w:val="left" w:pos="-720"/>
        </w:tabs>
        <w:suppressAutoHyphens/>
      </w:pPr>
      <w:r>
        <w:t xml:space="preserve">• requiring the use of a statistical data classification that has not been reviewed and approved by OMB; </w:t>
      </w:r>
    </w:p>
    <w:p w:rsidR="00A97059" w:rsidP="00A97059" w:rsidRDefault="00A97059">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97059" w:rsidP="00A97059" w:rsidRDefault="00A97059">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A97059" w:rsidP="00A97059" w:rsidRDefault="00A97059">
      <w:pPr>
        <w:ind w:left="720"/>
      </w:pPr>
    </w:p>
    <w:p w:rsidR="00CC04E0" w:rsidP="00A97059" w:rsidRDefault="00CC04E0">
      <w:pPr>
        <w:ind w:left="720"/>
      </w:pPr>
      <w:r>
        <w:t>This information collection is consistent with the guidelines in 5 CFR 1320.6</w:t>
      </w:r>
      <w:r w:rsidR="00710BCB">
        <w:t>.</w:t>
      </w:r>
    </w:p>
    <w:p w:rsidR="00710BCB" w:rsidP="00710BCB" w:rsidRDefault="00710BCB"/>
    <w:p w:rsidR="00D96682" w:rsidP="00710BCB" w:rsidRDefault="00D96682"/>
    <w:p w:rsidR="00D96682" w:rsidP="00710BCB" w:rsidRDefault="00D96682"/>
    <w:p w:rsidR="00710BCB" w:rsidP="00710BCB" w:rsidRDefault="00710BCB">
      <w:pPr>
        <w:ind w:left="360"/>
      </w:pPr>
    </w:p>
    <w:p w:rsidR="00A97059" w:rsidP="00A97059" w:rsidRDefault="00A97059">
      <w:pPr>
        <w:pStyle w:val="ListParagraph"/>
        <w:numPr>
          <w:ilvl w:val="0"/>
          <w:numId w:val="3"/>
        </w:numPr>
        <w:shd w:val="pct25" w:color="auto" w:fill="auto"/>
        <w:tabs>
          <w:tab w:val="left" w:pos="-720"/>
        </w:tabs>
        <w:suppressAutoHyphens/>
      </w:pPr>
      <w:r>
        <w:lastRenderedPageBreak/>
        <w:t xml:space="preserve">Federal Register Notice: </w:t>
      </w:r>
      <w:r>
        <w:fldChar w:fldCharType="begin"/>
      </w:r>
      <w:r>
        <w:instrText>ADVANCE \R 0.95</w:instrText>
      </w:r>
      <w:r>
        <w:fldChar w:fldCharType="end"/>
      </w:r>
      <w:r>
        <w:t xml:space="preserve">Provide a copy and identify the date and page number of </w:t>
      </w:r>
      <w:proofErr w:type="gramStart"/>
      <w:r>
        <w:t>publication</w:t>
      </w:r>
      <w:proofErr w:type="gramEnd"/>
      <w:r>
        <w:t xml:space="preserve"> in the Federal Register of the agency’s notice soliciting comments on the information collection prior to submission to OMB.</w:t>
      </w:r>
    </w:p>
    <w:p w:rsidR="00710BCB" w:rsidP="00710BCB" w:rsidRDefault="00710BCB">
      <w:pPr>
        <w:ind w:left="360"/>
      </w:pPr>
    </w:p>
    <w:p w:rsidR="00A97059" w:rsidP="00A97059" w:rsidRDefault="00A97059">
      <w:pPr>
        <w:ind w:left="720"/>
      </w:pPr>
      <w:r>
        <w:t>On March 23, 2020, a 60 Day Federal Register Notice was published at 85 FR 16393 requesting comments. No comments were received.</w:t>
      </w:r>
    </w:p>
    <w:p w:rsidR="00A97059" w:rsidP="00A97059" w:rsidRDefault="00A97059">
      <w:pPr>
        <w:ind w:left="720"/>
      </w:pPr>
    </w:p>
    <w:p w:rsidR="00A97059" w:rsidP="00A97059" w:rsidRDefault="00A97059">
      <w:pPr>
        <w:pStyle w:val="ListParagraph"/>
        <w:numPr>
          <w:ilvl w:val="0"/>
          <w:numId w:val="3"/>
        </w:numPr>
        <w:shd w:val="pct25" w:color="auto" w:fill="auto"/>
        <w:tabs>
          <w:tab w:val="left" w:pos="-720"/>
        </w:tabs>
        <w:suppressAutoHyphens/>
        <w:ind w:right="-288"/>
        <w:contextualSpacing/>
      </w:pPr>
      <w:r>
        <w:t>Explain any decision to provide any payment or gift to respondents, other than remuneration of contractors or grantees.</w:t>
      </w:r>
    </w:p>
    <w:p w:rsidR="00CC04E0" w:rsidRDefault="00CC04E0"/>
    <w:p w:rsidR="00CC04E0" w:rsidP="00A97059" w:rsidRDefault="00CC04E0">
      <w:pPr>
        <w:ind w:left="720"/>
      </w:pPr>
      <w:r>
        <w:t>No payment or gift is provided to these respondents</w:t>
      </w:r>
      <w:r w:rsidR="00710BCB">
        <w:t>, except the annuity paid to eligible survivors</w:t>
      </w:r>
      <w:r>
        <w:t>.</w:t>
      </w:r>
    </w:p>
    <w:p w:rsidR="00A97059" w:rsidP="00A97059" w:rsidRDefault="00A97059">
      <w:pPr>
        <w:ind w:left="720"/>
      </w:pPr>
    </w:p>
    <w:p w:rsidR="00A97059" w:rsidP="00A97059" w:rsidRDefault="00A97059">
      <w:pPr>
        <w:pStyle w:val="ListParagraph"/>
        <w:numPr>
          <w:ilvl w:val="0"/>
          <w:numId w:val="3"/>
        </w:numPr>
        <w:shd w:val="pct25" w:color="auto" w:fill="auto"/>
        <w:tabs>
          <w:tab w:val="left" w:pos="-720"/>
          <w:tab w:val="num" w:pos="630"/>
        </w:tabs>
        <w:suppressAutoHyphens/>
        <w:ind w:left="630" w:right="-288"/>
        <w:contextualSpacing/>
      </w:pPr>
      <w:r>
        <w:t xml:space="preserve">Describe any assurance of confidentiality provided to respondents and the basis for the assurance in statute, regulation, or agency policy.  </w:t>
      </w:r>
    </w:p>
    <w:p w:rsidR="00CC04E0" w:rsidRDefault="00CC04E0"/>
    <w:p w:rsidR="002D06C6" w:rsidP="002D06C6" w:rsidRDefault="002D06C6">
      <w:r>
        <w:t xml:space="preserve">          </w:t>
      </w:r>
      <w:r w:rsidR="00CC04E0">
        <w:t xml:space="preserve">This information collection is protected by the Privacy Act of 1974 and OPM regulations </w:t>
      </w:r>
    </w:p>
    <w:p w:rsidR="00CC04E0" w:rsidP="002D06C6" w:rsidRDefault="00CC04E0">
      <w:pPr>
        <w:ind w:left="630"/>
      </w:pPr>
      <w:r>
        <w:t xml:space="preserve">(5 </w:t>
      </w:r>
      <w:smartTag w:uri="urn:schemas-microsoft-com:office:smarttags" w:element="stockticker">
        <w:r>
          <w:t>CFR</w:t>
        </w:r>
      </w:smartTag>
      <w:r>
        <w:t xml:space="preserve"> 831.106).  The routine uses of disclosure appear in the </w:t>
      </w:r>
      <w:r>
        <w:rPr>
          <w:i/>
        </w:rPr>
        <w:t>Federal Register</w:t>
      </w:r>
      <w:r>
        <w:t xml:space="preserve"> for OPM/Central-1 (</w:t>
      </w:r>
      <w:r w:rsidR="00417ADE">
        <w:t>73</w:t>
      </w:r>
      <w:r>
        <w:t xml:space="preserve"> FR </w:t>
      </w:r>
      <w:r w:rsidR="00417ADE">
        <w:t>15013</w:t>
      </w:r>
      <w:r>
        <w:t xml:space="preserve">, </w:t>
      </w:r>
      <w:r>
        <w:rPr>
          <w:i/>
        </w:rPr>
        <w:t>et seq</w:t>
      </w:r>
      <w:r>
        <w:t xml:space="preserve">., </w:t>
      </w:r>
      <w:r w:rsidR="00417ADE">
        <w:t>March</w:t>
      </w:r>
      <w:r>
        <w:t xml:space="preserve"> </w:t>
      </w:r>
      <w:r w:rsidR="00417ADE">
        <w:t>20</w:t>
      </w:r>
      <w:r>
        <w:t xml:space="preserve">, </w:t>
      </w:r>
      <w:r w:rsidR="00417ADE">
        <w:t>2008)</w:t>
      </w:r>
      <w:r>
        <w:t>.</w:t>
      </w:r>
    </w:p>
    <w:p w:rsidR="00CC04E0" w:rsidRDefault="00CC04E0">
      <w:pPr>
        <w:ind w:left="360"/>
      </w:pPr>
    </w:p>
    <w:p w:rsidRPr="00741061" w:rsidR="00A97059" w:rsidP="00A97059" w:rsidRDefault="00A97059">
      <w:pPr>
        <w:pStyle w:val="ListParagraph"/>
        <w:numPr>
          <w:ilvl w:val="0"/>
          <w:numId w:val="4"/>
        </w:numPr>
        <w:shd w:val="pct25" w:color="auto" w:fill="auto"/>
        <w:tabs>
          <w:tab w:val="clear" w:pos="720"/>
          <w:tab w:val="left" w:pos="-720"/>
          <w:tab w:val="num" w:pos="630"/>
        </w:tabs>
        <w:suppressAutoHyphens/>
        <w:ind w:left="630"/>
        <w:contextualSpacing/>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97059" w:rsidRDefault="00A97059">
      <w:pPr>
        <w:ind w:left="360"/>
      </w:pPr>
    </w:p>
    <w:p w:rsidR="002D06C6" w:rsidP="002D06C6" w:rsidRDefault="002D06C6">
      <w:r>
        <w:t xml:space="preserve">          </w:t>
      </w:r>
      <w:r w:rsidR="00CC04E0">
        <w:t xml:space="preserve">This information collection does not include questions of a sensitive nature, such as sexual </w:t>
      </w:r>
    </w:p>
    <w:p w:rsidR="002D06C6" w:rsidP="002D06C6" w:rsidRDefault="002D06C6">
      <w:r>
        <w:t xml:space="preserve">          </w:t>
      </w:r>
      <w:r w:rsidR="00CC04E0">
        <w:t xml:space="preserve">behavior and attitudes, religious beliefs, and other matters that are commonly considered </w:t>
      </w:r>
    </w:p>
    <w:p w:rsidR="00CC04E0" w:rsidP="002D06C6" w:rsidRDefault="002D06C6">
      <w:r>
        <w:t xml:space="preserve">          </w:t>
      </w:r>
      <w:r w:rsidR="00CC04E0">
        <w:t>private.</w:t>
      </w:r>
    </w:p>
    <w:p w:rsidR="00A97059" w:rsidP="00A97059" w:rsidRDefault="00A97059">
      <w:pPr>
        <w:ind w:left="720"/>
      </w:pPr>
    </w:p>
    <w:p w:rsidR="00A97059" w:rsidP="00A97059" w:rsidRDefault="00A97059">
      <w:pPr>
        <w:pStyle w:val="ListParagraph"/>
        <w:shd w:val="pct25" w:color="auto" w:fill="FFFFFF"/>
        <w:tabs>
          <w:tab w:val="left" w:pos="-720"/>
        </w:tabs>
        <w:suppressAutoHyphens/>
        <w:ind w:left="360"/>
      </w:pPr>
      <w:r w:rsidRPr="00741061">
        <w:t>12. Provide estimates of the hour burden of the collection of informat</w:t>
      </w:r>
      <w:r>
        <w:t xml:space="preserve">ion. </w:t>
      </w:r>
      <w:r w:rsidRPr="00741061">
        <w:t xml:space="preserve">The statement </w:t>
      </w:r>
      <w:r>
        <w:t xml:space="preserve"> </w:t>
      </w:r>
    </w:p>
    <w:p w:rsidRPr="00741061" w:rsidR="00A97059" w:rsidP="00A97059" w:rsidRDefault="00A97059">
      <w:pPr>
        <w:pStyle w:val="ListParagraph"/>
        <w:shd w:val="pct25" w:color="auto" w:fill="FFFFFF"/>
        <w:tabs>
          <w:tab w:val="left" w:pos="-720"/>
        </w:tabs>
        <w:suppressAutoHyphens/>
        <w:ind w:left="360"/>
      </w:pPr>
      <w:r>
        <w:tab/>
      </w:r>
      <w:r w:rsidRPr="00741061">
        <w:t>should:</w:t>
      </w:r>
    </w:p>
    <w:p w:rsidRPr="00741061" w:rsidR="00A97059" w:rsidP="00A97059" w:rsidRDefault="00A97059">
      <w:pPr>
        <w:pStyle w:val="ListParagraph"/>
        <w:tabs>
          <w:tab w:val="left" w:pos="-720"/>
        </w:tabs>
        <w:suppressAutoHyphens/>
        <w:ind w:left="360"/>
      </w:pPr>
    </w:p>
    <w:p w:rsidR="00A97059" w:rsidP="00A97059" w:rsidRDefault="00A97059">
      <w:pPr>
        <w:pStyle w:val="ListParagraph"/>
        <w:shd w:val="pct25" w:color="auto" w:fill="auto"/>
        <w:tabs>
          <w:tab w:val="left" w:pos="-720"/>
        </w:tabs>
        <w:suppressAutoHyphens/>
        <w:ind w:left="360"/>
      </w:pPr>
      <w:r w:rsidRPr="00741061">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w:t>
      </w:r>
      <w:r>
        <w:t xml:space="preserve">the reasons for the variance.  </w:t>
      </w:r>
      <w:r w:rsidRPr="00741061">
        <w:t>Generally, estimates should not include burden hours for customary and usual business practices.</w:t>
      </w:r>
      <w:r w:rsidRPr="00A10BE7">
        <w:t xml:space="preserve"> </w:t>
      </w:r>
    </w:p>
    <w:p w:rsidR="00A97059" w:rsidP="00A97059" w:rsidRDefault="00A97059">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br/>
        <w:t xml:space="preserve">c.  </w:t>
      </w:r>
      <w:r w:rsidRPr="00741061">
        <w:t xml:space="preserve">Provide estimates of annualized cost to respondents for the hour burdens for collections </w:t>
      </w:r>
      <w:r>
        <w:br/>
      </w:r>
      <w:r w:rsidRPr="00741061">
        <w:t>of information, identifying and using appr</w:t>
      </w:r>
      <w:r>
        <w:t xml:space="preserve">opriate wage rate categories. </w:t>
      </w:r>
      <w:r w:rsidRPr="00741061">
        <w:t>The cost of contracting out or paying outside parties for information collection activiti</w:t>
      </w:r>
      <w:r>
        <w:t>es should not be included here.</w:t>
      </w:r>
      <w:r w:rsidRPr="00741061">
        <w:t xml:space="preserve"> Instead, this cost should be included in Item 14.</w:t>
      </w:r>
    </w:p>
    <w:p w:rsidR="00A97059" w:rsidP="00A97059" w:rsidRDefault="00A97059">
      <w:pPr>
        <w:ind w:left="720"/>
      </w:pPr>
    </w:p>
    <w:p w:rsidR="00CC04E0" w:rsidRDefault="00CC04E0"/>
    <w:p w:rsidR="000D3324" w:rsidP="000D3324" w:rsidRDefault="000D3324">
      <w:r>
        <w:t xml:space="preserve">       </w:t>
      </w:r>
      <w:r w:rsidR="00CC04E0">
        <w:t xml:space="preserve">Approximately </w:t>
      </w:r>
      <w:r w:rsidR="00710BCB">
        <w:t>34</w:t>
      </w:r>
      <w:r w:rsidR="00CC04E0">
        <w:t>,</w:t>
      </w:r>
      <w:r w:rsidR="00710BCB">
        <w:t>8</w:t>
      </w:r>
      <w:r w:rsidR="00CC04E0">
        <w:t xml:space="preserve">00 forms are processed </w:t>
      </w:r>
      <w:r w:rsidR="002577B4">
        <w:t>annually</w:t>
      </w:r>
      <w:r w:rsidR="00CC04E0">
        <w:t xml:space="preserve">.  </w:t>
      </w:r>
      <w:r w:rsidR="00710BCB">
        <w:t>Completing t</w:t>
      </w:r>
      <w:r w:rsidR="00CC04E0">
        <w:t>h</w:t>
      </w:r>
      <w:r w:rsidR="00710BCB">
        <w:t>is</w:t>
      </w:r>
      <w:r w:rsidR="00CC04E0">
        <w:t xml:space="preserve"> form requires </w:t>
      </w:r>
    </w:p>
    <w:p w:rsidR="000D3324" w:rsidP="000D3324" w:rsidRDefault="000D3324">
      <w:r>
        <w:t xml:space="preserve">       </w:t>
      </w:r>
      <w:r w:rsidR="00CC04E0">
        <w:t xml:space="preserve">approximately </w:t>
      </w:r>
      <w:r w:rsidR="00710BCB">
        <w:t>30</w:t>
      </w:r>
      <w:r w:rsidR="00CC04E0">
        <w:t xml:space="preserve"> minutes </w:t>
      </w:r>
      <w:r w:rsidR="00710BCB">
        <w:t>including the time needed to verify the information requested</w:t>
      </w:r>
      <w:r w:rsidR="00CC04E0">
        <w:t xml:space="preserve">.  </w:t>
      </w:r>
      <w:r>
        <w:t xml:space="preserve"> </w:t>
      </w:r>
    </w:p>
    <w:p w:rsidR="00106701" w:rsidP="000D3324" w:rsidRDefault="000D3324">
      <w:r>
        <w:t xml:space="preserve">       </w:t>
      </w:r>
      <w:r w:rsidR="00CC04E0">
        <w:t xml:space="preserve">Burden of </w:t>
      </w:r>
      <w:r w:rsidR="00710BCB">
        <w:t>17,400</w:t>
      </w:r>
      <w:r w:rsidR="00CC04E0">
        <w:t xml:space="preserve"> hours is estimated</w:t>
      </w:r>
      <w:r w:rsidR="00710BCB">
        <w:t xml:space="preserve"> and is not expected to vary.</w:t>
      </w:r>
    </w:p>
    <w:p w:rsidR="00A97059" w:rsidP="00A97059" w:rsidRDefault="00A97059">
      <w:pPr>
        <w:ind w:left="720"/>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6"/>
        <w:gridCol w:w="1067"/>
        <w:gridCol w:w="1334"/>
        <w:gridCol w:w="1264"/>
        <w:gridCol w:w="1166"/>
        <w:gridCol w:w="1039"/>
        <w:gridCol w:w="1083"/>
        <w:gridCol w:w="1265"/>
      </w:tblGrid>
      <w:tr w:rsidR="00A97059" w:rsidTr="000D3324">
        <w:trPr>
          <w:trHeight w:val="884"/>
        </w:trPr>
        <w:tc>
          <w:tcPr>
            <w:tcW w:w="1057" w:type="dxa"/>
            <w:shd w:val="clear" w:color="auto" w:fill="D9D9D9"/>
          </w:tcPr>
          <w:p w:rsidRPr="005E399C" w:rsidR="00A97059" w:rsidP="00097B74" w:rsidRDefault="00A97059">
            <w:pPr>
              <w:spacing w:before="240"/>
              <w:rPr>
                <w:rFonts w:ascii="Arial" w:hAnsi="Arial" w:cs="Arial"/>
                <w:b/>
                <w:sz w:val="16"/>
                <w:szCs w:val="16"/>
              </w:rPr>
            </w:pPr>
            <w:r w:rsidRPr="005E399C">
              <w:rPr>
                <w:rFonts w:ascii="Arial" w:hAnsi="Arial" w:cs="Arial"/>
                <w:b/>
                <w:sz w:val="16"/>
                <w:szCs w:val="16"/>
              </w:rPr>
              <w:t>Form Name</w:t>
            </w:r>
          </w:p>
        </w:tc>
        <w:tc>
          <w:tcPr>
            <w:tcW w:w="1067" w:type="dxa"/>
            <w:shd w:val="clear" w:color="auto" w:fill="D9D9D9"/>
          </w:tcPr>
          <w:p w:rsidRPr="005E399C" w:rsidR="00A97059" w:rsidP="00097B74" w:rsidRDefault="00A97059">
            <w:pPr>
              <w:spacing w:before="240"/>
              <w:rPr>
                <w:rFonts w:ascii="Arial" w:hAnsi="Arial" w:cs="Arial"/>
                <w:b/>
                <w:sz w:val="16"/>
                <w:szCs w:val="16"/>
              </w:rPr>
            </w:pPr>
            <w:r w:rsidRPr="005E399C">
              <w:rPr>
                <w:rFonts w:ascii="Arial" w:hAnsi="Arial" w:cs="Arial"/>
                <w:b/>
                <w:sz w:val="16"/>
                <w:szCs w:val="16"/>
              </w:rPr>
              <w:t>Form Number</w:t>
            </w:r>
          </w:p>
        </w:tc>
        <w:tc>
          <w:tcPr>
            <w:tcW w:w="1334" w:type="dxa"/>
            <w:shd w:val="clear" w:color="auto" w:fill="D9D9D9"/>
          </w:tcPr>
          <w:p w:rsidRPr="005E399C" w:rsidR="00A97059" w:rsidP="00097B74" w:rsidRDefault="00A97059">
            <w:pPr>
              <w:spacing w:before="240"/>
              <w:rPr>
                <w:rFonts w:ascii="Arial" w:hAnsi="Arial" w:cs="Arial"/>
                <w:b/>
                <w:sz w:val="16"/>
                <w:szCs w:val="16"/>
              </w:rPr>
            </w:pPr>
            <w:r w:rsidRPr="005E399C">
              <w:rPr>
                <w:rFonts w:ascii="Arial" w:hAnsi="Arial" w:cs="Arial"/>
                <w:b/>
                <w:sz w:val="16"/>
                <w:szCs w:val="16"/>
              </w:rPr>
              <w:t>No. of Respondents</w:t>
            </w:r>
          </w:p>
        </w:tc>
        <w:tc>
          <w:tcPr>
            <w:tcW w:w="1264" w:type="dxa"/>
            <w:shd w:val="clear" w:color="auto" w:fill="D9D9D9"/>
          </w:tcPr>
          <w:p w:rsidRPr="005E399C" w:rsidR="00A97059" w:rsidP="00097B74" w:rsidRDefault="00A97059">
            <w:pPr>
              <w:spacing w:before="240"/>
              <w:rPr>
                <w:rFonts w:ascii="Arial" w:hAnsi="Arial" w:cs="Arial"/>
                <w:b/>
                <w:sz w:val="16"/>
                <w:szCs w:val="16"/>
              </w:rPr>
            </w:pPr>
            <w:r w:rsidRPr="005E399C">
              <w:rPr>
                <w:rFonts w:ascii="Arial" w:hAnsi="Arial" w:cs="Arial"/>
                <w:b/>
                <w:sz w:val="16"/>
                <w:szCs w:val="16"/>
              </w:rPr>
              <w:t>No. of Responses per Respondent</w:t>
            </w:r>
          </w:p>
        </w:tc>
        <w:tc>
          <w:tcPr>
            <w:tcW w:w="1166" w:type="dxa"/>
            <w:shd w:val="clear" w:color="auto" w:fill="D9D9D9"/>
          </w:tcPr>
          <w:p w:rsidRPr="005E399C" w:rsidR="00A97059" w:rsidP="00097B74" w:rsidRDefault="00A97059">
            <w:pPr>
              <w:spacing w:before="240"/>
              <w:rPr>
                <w:rFonts w:ascii="Arial" w:hAnsi="Arial" w:cs="Arial"/>
                <w:b/>
                <w:sz w:val="16"/>
                <w:szCs w:val="16"/>
              </w:rPr>
            </w:pPr>
            <w:r w:rsidRPr="005E399C">
              <w:rPr>
                <w:rFonts w:ascii="Arial" w:hAnsi="Arial" w:cs="Arial"/>
                <w:b/>
                <w:sz w:val="16"/>
                <w:szCs w:val="16"/>
              </w:rPr>
              <w:t>Average Burden per Response (in hours)</w:t>
            </w:r>
          </w:p>
        </w:tc>
        <w:tc>
          <w:tcPr>
            <w:tcW w:w="1039" w:type="dxa"/>
            <w:shd w:val="clear" w:color="auto" w:fill="D9D9D9"/>
          </w:tcPr>
          <w:p w:rsidRPr="005E399C" w:rsidR="00A97059" w:rsidP="00097B74" w:rsidRDefault="00A97059">
            <w:pPr>
              <w:spacing w:before="240"/>
              <w:rPr>
                <w:rFonts w:ascii="Arial" w:hAnsi="Arial" w:cs="Arial"/>
                <w:b/>
                <w:sz w:val="16"/>
                <w:szCs w:val="16"/>
              </w:rPr>
            </w:pPr>
            <w:r w:rsidRPr="005E399C">
              <w:rPr>
                <w:rFonts w:ascii="Arial" w:hAnsi="Arial" w:cs="Arial"/>
                <w:b/>
                <w:sz w:val="16"/>
                <w:szCs w:val="16"/>
              </w:rPr>
              <w:t>Total Annual Burden (in hours)</w:t>
            </w:r>
          </w:p>
        </w:tc>
        <w:tc>
          <w:tcPr>
            <w:tcW w:w="1083" w:type="dxa"/>
            <w:shd w:val="clear" w:color="auto" w:fill="D9D9D9"/>
          </w:tcPr>
          <w:p w:rsidRPr="005E399C" w:rsidR="00A97059" w:rsidP="00097B74" w:rsidRDefault="00A97059">
            <w:pPr>
              <w:spacing w:before="240"/>
              <w:rPr>
                <w:rFonts w:ascii="Arial" w:hAnsi="Arial" w:cs="Arial"/>
                <w:b/>
                <w:sz w:val="16"/>
                <w:szCs w:val="16"/>
              </w:rPr>
            </w:pPr>
            <w:r w:rsidRPr="005E399C">
              <w:rPr>
                <w:rFonts w:ascii="Arial" w:hAnsi="Arial" w:cs="Arial"/>
                <w:b/>
                <w:sz w:val="16"/>
                <w:szCs w:val="16"/>
              </w:rPr>
              <w:t>Average Hourly Wage Rate</w:t>
            </w:r>
          </w:p>
        </w:tc>
        <w:tc>
          <w:tcPr>
            <w:tcW w:w="1265" w:type="dxa"/>
            <w:shd w:val="clear" w:color="auto" w:fill="D9D9D9"/>
          </w:tcPr>
          <w:p w:rsidRPr="005E399C" w:rsidR="00A97059" w:rsidP="00097B74" w:rsidRDefault="00A97059">
            <w:pPr>
              <w:spacing w:before="240"/>
              <w:rPr>
                <w:rFonts w:ascii="Arial" w:hAnsi="Arial" w:cs="Arial"/>
                <w:b/>
                <w:sz w:val="16"/>
                <w:szCs w:val="16"/>
              </w:rPr>
            </w:pPr>
            <w:r w:rsidRPr="005E399C">
              <w:rPr>
                <w:rFonts w:ascii="Arial" w:hAnsi="Arial" w:cs="Arial"/>
                <w:b/>
                <w:sz w:val="16"/>
                <w:szCs w:val="16"/>
              </w:rPr>
              <w:t>Total Annual Respondent Cost</w:t>
            </w:r>
          </w:p>
        </w:tc>
      </w:tr>
      <w:tr w:rsidR="00A97059" w:rsidTr="000D3324">
        <w:trPr>
          <w:trHeight w:val="965"/>
        </w:trPr>
        <w:tc>
          <w:tcPr>
            <w:tcW w:w="1057" w:type="dxa"/>
            <w:shd w:val="clear" w:color="auto" w:fill="auto"/>
          </w:tcPr>
          <w:p w:rsidRPr="005E399C" w:rsidR="00A97059" w:rsidP="00AC763F" w:rsidRDefault="00AC763F">
            <w:pPr>
              <w:spacing w:before="240"/>
              <w:rPr>
                <w:sz w:val="18"/>
                <w:szCs w:val="18"/>
              </w:rPr>
            </w:pPr>
            <w:r w:rsidRPr="00AC763F">
              <w:rPr>
                <w:sz w:val="18"/>
                <w:szCs w:val="18"/>
              </w:rPr>
              <w:t>Civil Service Retirement System Survivor Annuitant Express Pay Application for Death Benefits</w:t>
            </w:r>
          </w:p>
        </w:tc>
        <w:tc>
          <w:tcPr>
            <w:tcW w:w="1067" w:type="dxa"/>
            <w:shd w:val="clear" w:color="auto" w:fill="auto"/>
          </w:tcPr>
          <w:p w:rsidRPr="005E399C" w:rsidR="00A97059" w:rsidP="00097B74" w:rsidRDefault="00A97059">
            <w:pPr>
              <w:spacing w:before="240"/>
              <w:rPr>
                <w:sz w:val="18"/>
                <w:szCs w:val="18"/>
              </w:rPr>
            </w:pPr>
            <w:r w:rsidRPr="00934BFA">
              <w:rPr>
                <w:sz w:val="18"/>
                <w:szCs w:val="18"/>
              </w:rPr>
              <w:t xml:space="preserve">RI </w:t>
            </w:r>
            <w:r w:rsidR="00AC763F">
              <w:rPr>
                <w:sz w:val="18"/>
                <w:szCs w:val="18"/>
              </w:rPr>
              <w:t>25-51</w:t>
            </w:r>
            <w:r w:rsidRPr="00934BFA">
              <w:rPr>
                <w:sz w:val="18"/>
                <w:szCs w:val="18"/>
              </w:rPr>
              <w:t xml:space="preserve"> </w:t>
            </w:r>
          </w:p>
        </w:tc>
        <w:tc>
          <w:tcPr>
            <w:tcW w:w="1334" w:type="dxa"/>
            <w:shd w:val="clear" w:color="auto" w:fill="auto"/>
          </w:tcPr>
          <w:p w:rsidR="00A97059" w:rsidP="00097B74" w:rsidRDefault="00A97059">
            <w:pPr>
              <w:jc w:val="right"/>
              <w:rPr>
                <w:sz w:val="18"/>
                <w:szCs w:val="18"/>
              </w:rPr>
            </w:pPr>
          </w:p>
          <w:p w:rsidRPr="005E399C" w:rsidR="00A97059" w:rsidP="00097B74" w:rsidRDefault="00AC763F">
            <w:pPr>
              <w:jc w:val="right"/>
              <w:rPr>
                <w:sz w:val="18"/>
                <w:szCs w:val="18"/>
              </w:rPr>
            </w:pPr>
            <w:r>
              <w:rPr>
                <w:sz w:val="18"/>
                <w:szCs w:val="18"/>
              </w:rPr>
              <w:t>34,8</w:t>
            </w:r>
            <w:r w:rsidRPr="00695D34" w:rsidR="00A97059">
              <w:rPr>
                <w:sz w:val="18"/>
                <w:szCs w:val="18"/>
              </w:rPr>
              <w:t xml:space="preserve">00 </w:t>
            </w:r>
          </w:p>
        </w:tc>
        <w:tc>
          <w:tcPr>
            <w:tcW w:w="1264" w:type="dxa"/>
            <w:shd w:val="clear" w:color="auto" w:fill="auto"/>
          </w:tcPr>
          <w:p w:rsidRPr="005E399C" w:rsidR="00A97059" w:rsidP="00097B74" w:rsidRDefault="00A97059">
            <w:pPr>
              <w:spacing w:before="240"/>
              <w:jc w:val="right"/>
              <w:rPr>
                <w:sz w:val="18"/>
                <w:szCs w:val="18"/>
              </w:rPr>
            </w:pPr>
            <w:r w:rsidRPr="005E399C">
              <w:rPr>
                <w:sz w:val="18"/>
                <w:szCs w:val="18"/>
              </w:rPr>
              <w:t>1</w:t>
            </w:r>
          </w:p>
          <w:p w:rsidRPr="005E399C" w:rsidR="00A97059" w:rsidP="00097B74" w:rsidRDefault="00A97059">
            <w:pPr>
              <w:jc w:val="right"/>
              <w:rPr>
                <w:sz w:val="18"/>
                <w:szCs w:val="18"/>
              </w:rPr>
            </w:pPr>
          </w:p>
        </w:tc>
        <w:tc>
          <w:tcPr>
            <w:tcW w:w="1166" w:type="dxa"/>
            <w:shd w:val="clear" w:color="auto" w:fill="auto"/>
          </w:tcPr>
          <w:p w:rsidRPr="005E399C" w:rsidR="00A97059" w:rsidP="00097B74" w:rsidRDefault="00A97059">
            <w:pPr>
              <w:spacing w:before="240"/>
              <w:jc w:val="center"/>
              <w:rPr>
                <w:sz w:val="18"/>
                <w:szCs w:val="18"/>
              </w:rPr>
            </w:pPr>
            <w:r>
              <w:rPr>
                <w:sz w:val="18"/>
                <w:szCs w:val="18"/>
              </w:rPr>
              <w:t xml:space="preserve">         .</w:t>
            </w:r>
            <w:r w:rsidR="00AC763F">
              <w:rPr>
                <w:sz w:val="18"/>
                <w:szCs w:val="18"/>
              </w:rPr>
              <w:t>5</w:t>
            </w:r>
          </w:p>
        </w:tc>
        <w:tc>
          <w:tcPr>
            <w:tcW w:w="1039" w:type="dxa"/>
            <w:shd w:val="clear" w:color="auto" w:fill="auto"/>
          </w:tcPr>
          <w:p w:rsidRPr="005E399C" w:rsidR="00A97059" w:rsidP="00097B74" w:rsidRDefault="00AC763F">
            <w:pPr>
              <w:spacing w:before="240"/>
              <w:jc w:val="right"/>
              <w:rPr>
                <w:sz w:val="18"/>
                <w:szCs w:val="18"/>
              </w:rPr>
            </w:pPr>
            <w:r>
              <w:rPr>
                <w:sz w:val="18"/>
                <w:szCs w:val="18"/>
              </w:rPr>
              <w:t>17,400</w:t>
            </w:r>
          </w:p>
          <w:p w:rsidRPr="005E399C" w:rsidR="00A97059" w:rsidP="00097B74" w:rsidRDefault="00A97059">
            <w:pPr>
              <w:jc w:val="right"/>
              <w:rPr>
                <w:sz w:val="18"/>
                <w:szCs w:val="18"/>
              </w:rPr>
            </w:pPr>
          </w:p>
        </w:tc>
        <w:tc>
          <w:tcPr>
            <w:tcW w:w="1083" w:type="dxa"/>
            <w:shd w:val="clear" w:color="auto" w:fill="auto"/>
          </w:tcPr>
          <w:p w:rsidRPr="005E399C" w:rsidR="00A97059" w:rsidP="00097B74" w:rsidRDefault="00A97059">
            <w:pPr>
              <w:spacing w:before="240"/>
              <w:jc w:val="center"/>
              <w:rPr>
                <w:sz w:val="18"/>
                <w:szCs w:val="18"/>
              </w:rPr>
            </w:pPr>
            <w:r>
              <w:rPr>
                <w:sz w:val="18"/>
                <w:szCs w:val="18"/>
              </w:rPr>
              <w:t>$</w:t>
            </w:r>
            <w:r w:rsidR="00AC763F">
              <w:rPr>
                <w:sz w:val="18"/>
                <w:szCs w:val="18"/>
              </w:rPr>
              <w:t>10.75</w:t>
            </w:r>
          </w:p>
          <w:p w:rsidRPr="005E399C" w:rsidR="00A97059" w:rsidP="00097B74" w:rsidRDefault="00A97059">
            <w:pPr>
              <w:jc w:val="center"/>
              <w:rPr>
                <w:sz w:val="18"/>
                <w:szCs w:val="18"/>
              </w:rPr>
            </w:pPr>
          </w:p>
        </w:tc>
        <w:tc>
          <w:tcPr>
            <w:tcW w:w="1265" w:type="dxa"/>
            <w:shd w:val="clear" w:color="auto" w:fill="auto"/>
          </w:tcPr>
          <w:p w:rsidRPr="005E399C" w:rsidR="00A97059" w:rsidP="00097B74" w:rsidRDefault="00A97059">
            <w:pPr>
              <w:spacing w:before="240"/>
              <w:jc w:val="center"/>
              <w:rPr>
                <w:sz w:val="18"/>
                <w:szCs w:val="18"/>
              </w:rPr>
            </w:pPr>
            <w:r>
              <w:rPr>
                <w:sz w:val="18"/>
                <w:szCs w:val="18"/>
              </w:rPr>
              <w:t>$</w:t>
            </w:r>
            <w:r w:rsidR="002D06C6">
              <w:rPr>
                <w:sz w:val="18"/>
                <w:szCs w:val="18"/>
              </w:rPr>
              <w:t>467,625</w:t>
            </w:r>
            <w:r>
              <w:rPr>
                <w:sz w:val="18"/>
                <w:szCs w:val="18"/>
              </w:rPr>
              <w:t>.00</w:t>
            </w:r>
          </w:p>
          <w:p w:rsidRPr="005E399C" w:rsidR="00A97059" w:rsidP="00097B74" w:rsidRDefault="00A97059">
            <w:pPr>
              <w:jc w:val="center"/>
              <w:rPr>
                <w:sz w:val="18"/>
                <w:szCs w:val="18"/>
              </w:rPr>
            </w:pPr>
          </w:p>
          <w:p w:rsidRPr="005E399C" w:rsidR="00A97059" w:rsidP="00097B74" w:rsidRDefault="00A97059">
            <w:pPr>
              <w:jc w:val="center"/>
              <w:rPr>
                <w:sz w:val="18"/>
                <w:szCs w:val="18"/>
              </w:rPr>
            </w:pPr>
          </w:p>
          <w:p w:rsidRPr="005E399C" w:rsidR="00A97059" w:rsidP="00097B74" w:rsidRDefault="00A97059">
            <w:pPr>
              <w:rPr>
                <w:sz w:val="18"/>
                <w:szCs w:val="18"/>
              </w:rPr>
            </w:pPr>
          </w:p>
        </w:tc>
      </w:tr>
    </w:tbl>
    <w:p w:rsidR="00A97059" w:rsidP="00A97059" w:rsidRDefault="00A97059">
      <w:pPr>
        <w:ind w:firstLine="720"/>
      </w:pPr>
    </w:p>
    <w:p w:rsidR="00A97059" w:rsidP="000D3324" w:rsidRDefault="000D3324">
      <w:r>
        <w:t xml:space="preserve">        </w:t>
      </w:r>
      <w:r w:rsidR="00A97059">
        <w:t>The Total Annual Respondent Cost is $</w:t>
      </w:r>
      <w:r w:rsidR="002D06C6">
        <w:t>467,625</w:t>
      </w:r>
      <w:r w:rsidRPr="00BB21A2" w:rsidR="00A97059">
        <w:t>.00</w:t>
      </w:r>
      <w:r w:rsidR="00A97059">
        <w:t>.</w:t>
      </w:r>
    </w:p>
    <w:p w:rsidR="00A97059" w:rsidP="00A97059" w:rsidRDefault="00A97059">
      <w:pPr>
        <w:ind w:firstLine="720"/>
      </w:pPr>
    </w:p>
    <w:p w:rsidR="00A97059" w:rsidP="00A97059" w:rsidRDefault="00A97059">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 xml:space="preserve">keepers </w:t>
      </w:r>
      <w:r>
        <w:t xml:space="preserve"> </w:t>
      </w:r>
    </w:p>
    <w:p w:rsidR="00A97059" w:rsidP="00A97059" w:rsidRDefault="00A97059">
      <w:pPr>
        <w:pStyle w:val="ListParagraph"/>
        <w:shd w:val="pct25" w:color="auto" w:fill="auto"/>
        <w:tabs>
          <w:tab w:val="left" w:pos="-720"/>
        </w:tabs>
        <w:suppressAutoHyphens/>
        <w:ind w:left="0"/>
      </w:pPr>
      <w:r>
        <w:t xml:space="preserve">        </w:t>
      </w:r>
      <w:r w:rsidRPr="00741061">
        <w:t xml:space="preserve">resulting from the collection of information.  (Do not include the cost of any hour burden </w:t>
      </w:r>
      <w:r>
        <w:t xml:space="preserve">  </w:t>
      </w:r>
    </w:p>
    <w:p w:rsidRPr="00741061" w:rsidR="00A97059" w:rsidP="00A97059" w:rsidRDefault="00A97059">
      <w:pPr>
        <w:pStyle w:val="ListParagraph"/>
        <w:shd w:val="pct25" w:color="auto" w:fill="auto"/>
        <w:tabs>
          <w:tab w:val="left" w:pos="-720"/>
        </w:tabs>
        <w:suppressAutoHyphens/>
        <w:ind w:left="0"/>
      </w:pPr>
      <w:r>
        <w:t xml:space="preserve">        </w:t>
      </w:r>
      <w:r w:rsidRPr="00741061">
        <w:t>shown in Items 12 and 14.)</w:t>
      </w:r>
    </w:p>
    <w:p w:rsidRPr="00741061" w:rsidR="00A97059" w:rsidP="00A97059" w:rsidRDefault="00A97059">
      <w:pPr>
        <w:pStyle w:val="ListParagraph"/>
        <w:shd w:val="pct25" w:color="auto" w:fill="auto"/>
        <w:tabs>
          <w:tab w:val="left" w:pos="-720"/>
        </w:tabs>
        <w:suppressAutoHyphens/>
        <w:ind w:left="0"/>
      </w:pPr>
    </w:p>
    <w:p w:rsidRPr="00741061" w:rsidR="00A97059" w:rsidP="00A97059" w:rsidRDefault="00A97059">
      <w:pPr>
        <w:pStyle w:val="ListParagraph"/>
        <w:shd w:val="pct25" w:color="auto" w:fill="auto"/>
        <w:tabs>
          <w:tab w:val="left" w:pos="-720"/>
          <w:tab w:val="left" w:pos="810"/>
        </w:tabs>
        <w:suppressAutoHyphens/>
        <w:ind w:left="0"/>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97059" w:rsidP="00A97059" w:rsidRDefault="00A97059">
      <w:pPr>
        <w:pStyle w:val="ListParagraph"/>
        <w:shd w:val="pct25" w:color="auto" w:fill="FFFFFF"/>
        <w:tabs>
          <w:tab w:val="left" w:pos="-720"/>
        </w:tabs>
        <w:suppressAutoHyphens/>
        <w:ind w:left="0"/>
      </w:pPr>
    </w:p>
    <w:p w:rsidRPr="00741061" w:rsidR="00A97059" w:rsidP="00A97059" w:rsidRDefault="00A97059">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97059" w:rsidP="00A97059" w:rsidRDefault="00A97059">
      <w:pPr>
        <w:pStyle w:val="ListParagraph"/>
        <w:shd w:val="pct25" w:color="auto" w:fill="FFFFFF"/>
        <w:tabs>
          <w:tab w:val="left" w:pos="-720"/>
        </w:tabs>
        <w:suppressAutoHyphens/>
        <w:ind w:left="0"/>
      </w:pPr>
    </w:p>
    <w:p w:rsidR="00A97059" w:rsidP="00A97059" w:rsidRDefault="00A97059">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A97059" w:rsidP="00A97059" w:rsidRDefault="00A97059">
      <w:pPr>
        <w:ind w:left="720"/>
      </w:pPr>
    </w:p>
    <w:p w:rsidR="00CC04E0" w:rsidP="00A97059" w:rsidRDefault="00CC04E0">
      <w:pPr>
        <w:ind w:left="720"/>
      </w:pPr>
      <w:r>
        <w:t>There is no cost to the respondents.</w:t>
      </w:r>
    </w:p>
    <w:p w:rsidR="00AC763F" w:rsidP="00A97059" w:rsidRDefault="00AC763F">
      <w:pPr>
        <w:ind w:left="720"/>
      </w:pPr>
    </w:p>
    <w:p w:rsidR="00AC763F" w:rsidP="00A97059" w:rsidRDefault="00AC763F">
      <w:pPr>
        <w:ind w:left="720"/>
      </w:pPr>
    </w:p>
    <w:p w:rsidR="00AC763F" w:rsidP="00A97059" w:rsidRDefault="00AC763F">
      <w:pPr>
        <w:ind w:left="720"/>
      </w:pPr>
    </w:p>
    <w:p w:rsidR="00AC763F" w:rsidP="00A97059" w:rsidRDefault="00AC763F">
      <w:pPr>
        <w:ind w:left="720"/>
      </w:pPr>
    </w:p>
    <w:p w:rsidR="00AC763F" w:rsidP="00AC763F" w:rsidRDefault="00AC763F">
      <w:pPr>
        <w:shd w:val="pct25" w:color="auto" w:fill="auto"/>
        <w:tabs>
          <w:tab w:val="left" w:pos="-720"/>
        </w:tabs>
        <w:suppressAutoHyphens/>
      </w:pPr>
      <w:r w:rsidRPr="00741061">
        <w:t xml:space="preserve">14.  Provide estimates of annualized cost to the Federal Government.  Also, provide a description </w:t>
      </w:r>
    </w:p>
    <w:p w:rsidR="00AC763F" w:rsidP="00AC763F" w:rsidRDefault="00AC763F">
      <w:pPr>
        <w:shd w:val="pct25" w:color="auto" w:fill="auto"/>
        <w:tabs>
          <w:tab w:val="left" w:pos="-720"/>
        </w:tabs>
        <w:suppressAutoHyphens/>
      </w:pPr>
      <w:r>
        <w:t xml:space="preserve">       </w:t>
      </w:r>
      <w:r w:rsidRPr="00741061">
        <w:t xml:space="preserve">of the method used to estimate cost, which should include quantification of hours, </w:t>
      </w:r>
      <w:r>
        <w:t xml:space="preserve">        </w:t>
      </w:r>
    </w:p>
    <w:p w:rsidR="00AC763F" w:rsidP="00AC763F" w:rsidRDefault="00AC763F">
      <w:pPr>
        <w:shd w:val="pct25" w:color="auto" w:fill="auto"/>
        <w:tabs>
          <w:tab w:val="left" w:pos="-720"/>
        </w:tabs>
        <w:suppressAutoHyphens/>
      </w:pPr>
      <w:r>
        <w:t xml:space="preserve">       </w:t>
      </w:r>
      <w:r w:rsidRPr="00741061">
        <w:t xml:space="preserve">operational expenses (such as equipment, overhead, printing and support staff), and any </w:t>
      </w:r>
    </w:p>
    <w:p w:rsidR="00AC763F" w:rsidP="00AC763F" w:rsidRDefault="00AC763F">
      <w:pPr>
        <w:shd w:val="pct25" w:color="auto" w:fill="auto"/>
        <w:tabs>
          <w:tab w:val="left" w:pos="-720"/>
        </w:tabs>
        <w:suppressAutoHyphens/>
      </w:pPr>
      <w:r>
        <w:t xml:space="preserve">       </w:t>
      </w:r>
      <w:r w:rsidRPr="00741061">
        <w:t xml:space="preserve">other expense that would have been incurred without this collection of information. </w:t>
      </w:r>
      <w:r>
        <w:t>Y</w:t>
      </w:r>
      <w:r w:rsidRPr="00741061">
        <w:t xml:space="preserve">ou </w:t>
      </w:r>
    </w:p>
    <w:p w:rsidR="00AC763F" w:rsidP="00AC763F" w:rsidRDefault="00AC763F">
      <w:pPr>
        <w:shd w:val="pct25" w:color="auto" w:fill="auto"/>
        <w:tabs>
          <w:tab w:val="left" w:pos="-720"/>
        </w:tabs>
        <w:suppressAutoHyphens/>
      </w:pPr>
      <w:r>
        <w:t xml:space="preserve">       </w:t>
      </w:r>
      <w:r w:rsidRPr="00741061">
        <w:t>may also aggregate cost estimates for Items 12,</w:t>
      </w:r>
      <w:r>
        <w:t xml:space="preserve"> 13, and 14 in a single table.</w:t>
      </w:r>
    </w:p>
    <w:p w:rsidR="00CC04E0" w:rsidRDefault="00CC04E0"/>
    <w:p w:rsidR="002D06C6" w:rsidP="002D06C6" w:rsidRDefault="002D06C6">
      <w:r>
        <w:t xml:space="preserve">       </w:t>
      </w:r>
      <w:r w:rsidR="00CC04E0">
        <w:t>The annualized cost to the Federal government is $</w:t>
      </w:r>
      <w:r w:rsidR="00417ADE">
        <w:t>531</w:t>
      </w:r>
      <w:r w:rsidR="00CC04E0">
        <w:t>,</w:t>
      </w:r>
      <w:r w:rsidR="00417ADE">
        <w:t>2</w:t>
      </w:r>
      <w:r w:rsidR="00710BCB">
        <w:t>0</w:t>
      </w:r>
      <w:r w:rsidR="00471337">
        <w:t>0</w:t>
      </w:r>
      <w:r w:rsidR="00CC04E0">
        <w:t xml:space="preserve">.  This cost includes employee </w:t>
      </w:r>
    </w:p>
    <w:p w:rsidR="00CC04E0" w:rsidP="002D06C6" w:rsidRDefault="002D06C6">
      <w:r>
        <w:t xml:space="preserve">       </w:t>
      </w:r>
      <w:r w:rsidR="00CC04E0">
        <w:t>salary hours devoted to the program, forms cost, and overhead.</w:t>
      </w:r>
    </w:p>
    <w:p w:rsidR="00386E70" w:rsidP="00386E70" w:rsidRDefault="00386E70"/>
    <w:p w:rsidR="00AC763F" w:rsidP="00AC763F" w:rsidRDefault="00AC763F">
      <w:pPr>
        <w:pStyle w:val="ListParagraph"/>
        <w:shd w:val="pct25" w:color="auto" w:fill="auto"/>
        <w:tabs>
          <w:tab w:val="left" w:pos="-720"/>
        </w:tabs>
        <w:suppressAutoHyphens/>
        <w:ind w:left="0"/>
      </w:pPr>
      <w:r w:rsidRPr="00741061">
        <w:t xml:space="preserve">15.  Explain the reasons for any program changes or adjustments reported in Items 13 or 14 of </w:t>
      </w:r>
    </w:p>
    <w:p w:rsidR="00AC763F" w:rsidP="00AC763F" w:rsidRDefault="00AC763F">
      <w:pPr>
        <w:pStyle w:val="ListParagraph"/>
        <w:shd w:val="pct25" w:color="auto" w:fill="auto"/>
        <w:tabs>
          <w:tab w:val="left" w:pos="-720"/>
        </w:tabs>
        <w:suppressAutoHyphens/>
        <w:ind w:left="0"/>
      </w:pPr>
      <w:r>
        <w:t xml:space="preserve">       </w:t>
      </w:r>
      <w:r w:rsidRPr="00741061">
        <w:t xml:space="preserve">the OMB Form 83-I.  Changes in hour burden, i.e., program changes or adjustments made to </w:t>
      </w:r>
      <w:r>
        <w:t xml:space="preserve"> </w:t>
      </w:r>
    </w:p>
    <w:p w:rsidR="00AC763F" w:rsidP="00AC763F" w:rsidRDefault="00AC763F">
      <w:pPr>
        <w:pStyle w:val="ListParagraph"/>
        <w:shd w:val="pct25" w:color="auto" w:fill="auto"/>
        <w:tabs>
          <w:tab w:val="left" w:pos="-720"/>
        </w:tabs>
        <w:suppressAutoHyphens/>
        <w:ind w:left="0"/>
      </w:pPr>
      <w:r>
        <w:t xml:space="preserve">       </w:t>
      </w:r>
      <w:r w:rsidRPr="00741061">
        <w:t xml:space="preserve">annual reporting and recordkeeping </w:t>
      </w:r>
      <w:r w:rsidRPr="00A10BE7">
        <w:rPr>
          <w:b/>
        </w:rPr>
        <w:t>hour</w:t>
      </w:r>
      <w:r w:rsidRPr="00741061">
        <w:t xml:space="preserve"> and </w:t>
      </w:r>
      <w:r w:rsidRPr="00A10BE7">
        <w:rPr>
          <w:b/>
        </w:rPr>
        <w:t>cost</w:t>
      </w:r>
      <w:r w:rsidRPr="00741061">
        <w:t xml:space="preserve"> burden. A program change is the result </w:t>
      </w:r>
    </w:p>
    <w:p w:rsidR="00AC763F" w:rsidP="00AC763F" w:rsidRDefault="00AC763F">
      <w:pPr>
        <w:pStyle w:val="ListParagraph"/>
        <w:shd w:val="pct25" w:color="auto" w:fill="auto"/>
        <w:tabs>
          <w:tab w:val="left" w:pos="-720"/>
        </w:tabs>
        <w:suppressAutoHyphens/>
        <w:ind w:left="0"/>
      </w:pPr>
      <w:r>
        <w:t xml:space="preserve">       </w:t>
      </w:r>
      <w:r w:rsidRPr="00741061">
        <w:t xml:space="preserve">of deliberate Federal government action. All new collections and any subsequent revisions </w:t>
      </w:r>
      <w:r>
        <w:t xml:space="preserve">  </w:t>
      </w:r>
    </w:p>
    <w:p w:rsidR="00AC763F" w:rsidP="00AC763F" w:rsidRDefault="00AC763F">
      <w:pPr>
        <w:pStyle w:val="ListParagraph"/>
        <w:shd w:val="pct25" w:color="auto" w:fill="auto"/>
        <w:tabs>
          <w:tab w:val="left" w:pos="-720"/>
        </w:tabs>
        <w:suppressAutoHyphens/>
        <w:ind w:left="0"/>
      </w:pPr>
      <w:r>
        <w:t xml:space="preserve">       </w:t>
      </w:r>
      <w:r w:rsidRPr="00741061">
        <w:t xml:space="preserve">of existing collections (e.g., the addition or deletion of questions) are recorded as program </w:t>
      </w:r>
      <w:r>
        <w:t xml:space="preserve">  </w:t>
      </w:r>
    </w:p>
    <w:p w:rsidR="00AC763F" w:rsidP="00AC763F" w:rsidRDefault="00AC763F">
      <w:pPr>
        <w:pStyle w:val="ListParagraph"/>
        <w:shd w:val="pct25" w:color="auto" w:fill="auto"/>
        <w:tabs>
          <w:tab w:val="left" w:pos="-720"/>
        </w:tabs>
        <w:suppressAutoHyphens/>
        <w:ind w:left="0"/>
      </w:pPr>
      <w:r>
        <w:t xml:space="preserve">      </w:t>
      </w:r>
      <w:r w:rsidRPr="00741061">
        <w:t xml:space="preserve">changes.  An adjustment is a change that is not the result of a deliberate Federal government </w:t>
      </w:r>
    </w:p>
    <w:p w:rsidR="00AC763F" w:rsidP="00AC763F" w:rsidRDefault="00AC763F">
      <w:pPr>
        <w:pStyle w:val="ListParagraph"/>
        <w:shd w:val="pct25" w:color="auto" w:fill="auto"/>
        <w:tabs>
          <w:tab w:val="left" w:pos="-720"/>
        </w:tabs>
        <w:suppressAutoHyphens/>
        <w:ind w:left="0"/>
      </w:pPr>
      <w:r>
        <w:t xml:space="preserve">      </w:t>
      </w:r>
      <w:r w:rsidRPr="00741061">
        <w:t xml:space="preserve">action.  These changes that result from new estimates or actions not controllable by the </w:t>
      </w:r>
      <w:r>
        <w:t xml:space="preserve"> </w:t>
      </w:r>
    </w:p>
    <w:p w:rsidRPr="00741061" w:rsidR="00AC763F" w:rsidP="00AC763F" w:rsidRDefault="00AC763F">
      <w:pPr>
        <w:pStyle w:val="ListParagraph"/>
        <w:shd w:val="pct25" w:color="auto" w:fill="auto"/>
        <w:tabs>
          <w:tab w:val="left" w:pos="-720"/>
        </w:tabs>
        <w:suppressAutoHyphens/>
        <w:ind w:left="0"/>
      </w:pPr>
      <w:r>
        <w:t xml:space="preserve">      </w:t>
      </w:r>
      <w:r w:rsidRPr="00741061">
        <w:t xml:space="preserve">Federal government are recorded as adjustments. </w:t>
      </w:r>
    </w:p>
    <w:p w:rsidR="00AC763F" w:rsidP="00386E70" w:rsidRDefault="00AC763F"/>
    <w:p w:rsidR="00386E70" w:rsidP="002D06C6" w:rsidRDefault="002D06C6">
      <w:r>
        <w:t xml:space="preserve">      </w:t>
      </w:r>
      <w:r w:rsidR="00386E70">
        <w:t xml:space="preserve">There </w:t>
      </w:r>
      <w:r w:rsidR="003C2E39">
        <w:t>are</w:t>
      </w:r>
      <w:r w:rsidR="00386E70">
        <w:t xml:space="preserve"> no change</w:t>
      </w:r>
      <w:r w:rsidR="003C2E39">
        <w:t>s</w:t>
      </w:r>
      <w:r w:rsidR="00386E70">
        <w:t xml:space="preserve"> </w:t>
      </w:r>
      <w:r w:rsidR="003C2E39">
        <w:t>to</w:t>
      </w:r>
      <w:r w:rsidR="00386E70">
        <w:t xml:space="preserve"> the respondent burden.</w:t>
      </w:r>
    </w:p>
    <w:p w:rsidR="00AC763F" w:rsidP="00AC763F" w:rsidRDefault="00AC763F">
      <w:pPr>
        <w:ind w:left="720"/>
      </w:pPr>
    </w:p>
    <w:p w:rsidR="00AC763F" w:rsidP="00AC763F" w:rsidRDefault="00AC763F">
      <w:pPr>
        <w:pStyle w:val="ListParagraph"/>
        <w:shd w:val="pct25" w:color="auto" w:fill="auto"/>
        <w:tabs>
          <w:tab w:val="left" w:pos="-720"/>
        </w:tabs>
        <w:suppressAutoHyphens/>
        <w:ind w:left="0"/>
      </w:pPr>
      <w:r w:rsidRPr="00741061">
        <w:t xml:space="preserve">16.  For collections of information whose results will be published, outline plans for tabulation </w:t>
      </w:r>
    </w:p>
    <w:p w:rsidR="00AC763F" w:rsidP="00AC763F" w:rsidRDefault="00AC763F">
      <w:pPr>
        <w:pStyle w:val="ListParagraph"/>
        <w:shd w:val="pct25" w:color="auto" w:fill="auto"/>
        <w:tabs>
          <w:tab w:val="left" w:pos="-720"/>
        </w:tabs>
        <w:suppressAutoHyphens/>
        <w:ind w:left="0"/>
      </w:pPr>
      <w:r>
        <w:t xml:space="preserve">       </w:t>
      </w:r>
      <w:r w:rsidRPr="00741061">
        <w:t xml:space="preserve">and publication. Address any complex analytical techniques that will be used.  Provide the </w:t>
      </w:r>
      <w:r>
        <w:t xml:space="preserve"> </w:t>
      </w:r>
    </w:p>
    <w:p w:rsidR="00AC763F" w:rsidP="00AC763F" w:rsidRDefault="00AC763F">
      <w:pPr>
        <w:pStyle w:val="ListParagraph"/>
        <w:shd w:val="pct25" w:color="auto" w:fill="auto"/>
        <w:tabs>
          <w:tab w:val="left" w:pos="-720"/>
        </w:tabs>
        <w:suppressAutoHyphens/>
        <w:ind w:left="0"/>
      </w:pPr>
      <w:r>
        <w:t xml:space="preserve">       </w:t>
      </w:r>
      <w:r w:rsidRPr="00741061">
        <w:t xml:space="preserve">time schedule for the entire project, including beginning and ending dates of the collection </w:t>
      </w:r>
    </w:p>
    <w:p w:rsidRPr="00741061" w:rsidR="00AC763F" w:rsidP="00AC763F" w:rsidRDefault="00AC763F">
      <w:pPr>
        <w:pStyle w:val="ListParagraph"/>
        <w:shd w:val="pct25" w:color="auto" w:fill="auto"/>
        <w:tabs>
          <w:tab w:val="left" w:pos="-720"/>
        </w:tabs>
        <w:suppressAutoHyphens/>
        <w:ind w:left="0"/>
      </w:pPr>
      <w:r>
        <w:t xml:space="preserve">       </w:t>
      </w:r>
      <w:r w:rsidRPr="00741061">
        <w:t xml:space="preserve">of information, completion of report, publication dates, and other actions. </w:t>
      </w:r>
    </w:p>
    <w:p w:rsidR="00CC04E0" w:rsidRDefault="00CC04E0"/>
    <w:p w:rsidR="00CC04E0" w:rsidP="002D06C6" w:rsidRDefault="002D06C6">
      <w:r>
        <w:t xml:space="preserve">       </w:t>
      </w:r>
      <w:r w:rsidR="00CC04E0">
        <w:t>The results of this information collection are not published.</w:t>
      </w:r>
    </w:p>
    <w:p w:rsidR="00AC763F" w:rsidP="00AC763F" w:rsidRDefault="00AC763F">
      <w:pPr>
        <w:ind w:left="720"/>
      </w:pPr>
    </w:p>
    <w:p w:rsidR="00AC763F" w:rsidP="00AC763F" w:rsidRDefault="00AC763F">
      <w:pPr>
        <w:pStyle w:val="ListParagraph"/>
        <w:shd w:val="pct25" w:color="auto" w:fill="auto"/>
        <w:tabs>
          <w:tab w:val="left" w:pos="-720"/>
        </w:tabs>
        <w:suppressAutoHyphens/>
        <w:ind w:left="0"/>
      </w:pPr>
      <w:r w:rsidRPr="00741061">
        <w:t xml:space="preserve">17.  If seeking approval to not display the expiration date for OMB approval of the information </w:t>
      </w:r>
      <w:r>
        <w:t xml:space="preserve">  </w:t>
      </w:r>
    </w:p>
    <w:p w:rsidRPr="00741061" w:rsidR="00AC763F" w:rsidP="00AC763F" w:rsidRDefault="00AC763F">
      <w:pPr>
        <w:pStyle w:val="ListParagraph"/>
        <w:shd w:val="pct25" w:color="auto" w:fill="auto"/>
        <w:tabs>
          <w:tab w:val="left" w:pos="-720"/>
        </w:tabs>
        <w:suppressAutoHyphens/>
        <w:ind w:left="0"/>
      </w:pPr>
      <w:r>
        <w:t xml:space="preserve">       </w:t>
      </w:r>
      <w:proofErr w:type="gramStart"/>
      <w:r w:rsidRPr="00741061">
        <w:t>collection,</w:t>
      </w:r>
      <w:proofErr w:type="gramEnd"/>
      <w:r w:rsidRPr="00741061">
        <w:t xml:space="preserve"> explain reasons that display would be inappropriate.</w:t>
      </w:r>
    </w:p>
    <w:p w:rsidR="00AC763F" w:rsidP="00AC763F" w:rsidRDefault="00AC763F">
      <w:pPr>
        <w:ind w:left="720"/>
      </w:pPr>
    </w:p>
    <w:p w:rsidR="00AC763F" w:rsidP="00AC763F" w:rsidRDefault="00AC763F">
      <w:r>
        <w:t xml:space="preserve">       The Retirement Services program office is the lone processor of the data collected on these    </w:t>
      </w:r>
    </w:p>
    <w:p w:rsidR="00AC763F" w:rsidP="00AC763F" w:rsidRDefault="00AC763F">
      <w:r>
        <w:t xml:space="preserve">       ICRs from approximately 2.8 million customers. The substance of each information   </w:t>
      </w:r>
    </w:p>
    <w:p w:rsidR="00AC763F" w:rsidP="00AC763F" w:rsidRDefault="00AC763F">
      <w:r>
        <w:t xml:space="preserve">       collection does not substantively change at each OMB renewal cycle, but according to </w:t>
      </w:r>
    </w:p>
    <w:p w:rsidR="00AC763F" w:rsidP="00AC763F" w:rsidRDefault="00AC763F">
      <w:r>
        <w:t xml:space="preserve">       changes in law and regulation. These forms are printed and published (internet, intranet and </w:t>
      </w:r>
    </w:p>
    <w:p w:rsidR="00AC763F" w:rsidP="00AC763F" w:rsidRDefault="00AC763F">
      <w:r>
        <w:t xml:space="preserve">       on-board systems) through various agencies for distribution to and implementation by </w:t>
      </w:r>
    </w:p>
    <w:p w:rsidR="00AC763F" w:rsidP="00AC763F" w:rsidRDefault="00AC763F">
      <w:r>
        <w:t xml:space="preserve">       Government customers. Pursuant to title 5 CFR 1320.8(b)(1), it would not be appropriate to </w:t>
      </w:r>
    </w:p>
    <w:p w:rsidR="00AC763F" w:rsidP="00AC763F" w:rsidRDefault="00AC763F">
      <w:r>
        <w:t xml:space="preserve">       display the OMB clearance expiration date where the form will not be revised for the </w:t>
      </w:r>
    </w:p>
    <w:p w:rsidR="00AC763F" w:rsidP="00AC763F" w:rsidRDefault="00AC763F">
      <w:r>
        <w:t xml:space="preserve">       foreseeable future (e.g., because it is used to collect applicant, annuitant, or beneficiary  </w:t>
      </w:r>
    </w:p>
    <w:p w:rsidR="00AC763F" w:rsidP="00AC763F" w:rsidRDefault="00AC763F">
      <w:r>
        <w:t xml:space="preserve">       information required by long-standing statutory provisions), where use of the paper form is </w:t>
      </w:r>
    </w:p>
    <w:p w:rsidR="00AC763F" w:rsidP="00AC763F" w:rsidRDefault="00AC763F">
      <w:r>
        <w:t xml:space="preserve">       prevalent, and where, accordingly, it will be expensive and burdensome to restock the paper   </w:t>
      </w:r>
    </w:p>
    <w:p w:rsidR="00AC763F" w:rsidP="00AC763F" w:rsidRDefault="00AC763F">
      <w:r>
        <w:t xml:space="preserve">       forms inventory with a new version. Last year, under current practice, Retirement Services </w:t>
      </w:r>
    </w:p>
    <w:p w:rsidR="00AC763F" w:rsidP="00AC763F" w:rsidRDefault="00AC763F">
      <w:r>
        <w:t xml:space="preserve">       printed approximately 2 million documents subject to OMB clearance at a cost of  </w:t>
      </w:r>
    </w:p>
    <w:p w:rsidR="00AC763F" w:rsidP="00AC763F" w:rsidRDefault="00AC763F">
      <w:r>
        <w:t xml:space="preserve">       approximately $85,000. Our costs would rise substantially if additional revision cycles are  </w:t>
      </w:r>
    </w:p>
    <w:p w:rsidR="00AC763F" w:rsidP="00AC763F" w:rsidRDefault="00AC763F">
      <w:r>
        <w:t xml:space="preserve">       added. Lastly, by adding the OMB clearance expiration date to the existing format, the end </w:t>
      </w:r>
    </w:p>
    <w:p w:rsidR="00AC763F" w:rsidP="00AC763F" w:rsidRDefault="00AC763F">
      <w:r>
        <w:t xml:space="preserve">       users of OPM’s ICRs may erroneously assume that the expiration date affects the validity of </w:t>
      </w:r>
    </w:p>
    <w:p w:rsidR="00AC763F" w:rsidP="00AC763F" w:rsidRDefault="00AC763F">
      <w:r>
        <w:t xml:space="preserve">       the information collection when it is the OMB clearance expiration date and not reflective of </w:t>
      </w:r>
    </w:p>
    <w:p w:rsidR="00AC763F" w:rsidP="00AC763F" w:rsidRDefault="00AC763F">
      <w:r>
        <w:lastRenderedPageBreak/>
        <w:t xml:space="preserve">       the substance. This may lead to additional submissions by customers, possible litigation and </w:t>
      </w:r>
    </w:p>
    <w:p w:rsidR="00AC763F" w:rsidP="00AC763F" w:rsidRDefault="00AC763F">
      <w:r>
        <w:t xml:space="preserve">       increasing pressures on our Operations workloads.  Therefore, we seek approval to not </w:t>
      </w:r>
    </w:p>
    <w:p w:rsidR="00AC763F" w:rsidP="00AC763F" w:rsidRDefault="00AC763F">
      <w:r>
        <w:t xml:space="preserve">       display the OMB clearance expiration date on the forms and to communicate version </w:t>
      </w:r>
    </w:p>
    <w:p w:rsidR="00AC763F" w:rsidP="00AC763F" w:rsidRDefault="00AC763F">
      <w:r>
        <w:t xml:space="preserve">       changes to the public via the revision date. The results of this collection are not published.</w:t>
      </w:r>
    </w:p>
    <w:p w:rsidR="00AC763F" w:rsidP="00AC763F" w:rsidRDefault="00AC763F"/>
    <w:p w:rsidRPr="00741061" w:rsidR="00AC763F" w:rsidP="00AC763F" w:rsidRDefault="00AC763F">
      <w:pPr>
        <w:pStyle w:val="ListParagraph"/>
        <w:shd w:val="pct25" w:color="auto" w:fill="auto"/>
        <w:tabs>
          <w:tab w:val="left" w:pos="-720"/>
        </w:tabs>
        <w:suppressAutoHyphens/>
        <w:ind w:left="0"/>
      </w:pPr>
      <w:r w:rsidRPr="00741061">
        <w:t xml:space="preserve">18.  Explain each exception to the certification statement identified in Item 19 “Certification for </w:t>
      </w:r>
      <w:r>
        <w:br/>
        <w:t xml:space="preserve">       </w:t>
      </w:r>
      <w:r w:rsidRPr="00741061">
        <w:t>Paperwork Reduction Act Submissions,” of OMB Form 83-I.</w:t>
      </w:r>
    </w:p>
    <w:p w:rsidR="00AC763F" w:rsidP="00AC763F" w:rsidRDefault="00AC763F"/>
    <w:p w:rsidR="00AC763F" w:rsidP="00AC763F" w:rsidRDefault="00AC763F">
      <w:r>
        <w:t xml:space="preserve">       There are no exceptions to the certification statement.</w:t>
      </w:r>
    </w:p>
    <w:p w:rsidR="00CC04E0" w:rsidP="00AC763F" w:rsidRDefault="00CC04E0">
      <w:pPr>
        <w:ind w:left="360"/>
      </w:pPr>
    </w:p>
    <w:sectPr w:rsidR="00CC04E0">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E09FD"/>
    <w:multiLevelType w:val="singleLevel"/>
    <w:tmpl w:val="A1AE365A"/>
    <w:lvl w:ilvl="0">
      <w:start w:val="1"/>
      <w:numFmt w:val="upperLetter"/>
      <w:lvlText w:val="%1."/>
      <w:lvlJc w:val="left"/>
      <w:pPr>
        <w:tabs>
          <w:tab w:val="num" w:pos="360"/>
        </w:tabs>
        <w:ind w:left="360" w:hanging="360"/>
      </w:pPr>
      <w:rPr>
        <w:rFonts w:hint="default"/>
        <w:b w:val="0"/>
      </w:rPr>
    </w:lvl>
  </w:abstractNum>
  <w:abstractNum w:abstractNumId="1" w15:restartNumberingAfterBreak="0">
    <w:nsid w:val="70B3440F"/>
    <w:multiLevelType w:val="singleLevel"/>
    <w:tmpl w:val="8CE24602"/>
    <w:lvl w:ilvl="0">
      <w:start w:val="1"/>
      <w:numFmt w:val="decimal"/>
      <w:lvlText w:val="%1."/>
      <w:lvlJc w:val="left"/>
      <w:pPr>
        <w:tabs>
          <w:tab w:val="num" w:pos="720"/>
        </w:tabs>
        <w:ind w:left="720" w:hanging="360"/>
      </w:pPr>
      <w:rPr>
        <w:rFonts w:hint="default"/>
      </w:rPr>
    </w:lvl>
  </w:abstractNum>
  <w:abstractNum w:abstractNumId="2" w15:restartNumberingAfterBreak="0">
    <w:nsid w:val="74536BC5"/>
    <w:multiLevelType w:val="multilevel"/>
    <w:tmpl w:val="3EE8D19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03B5"/>
    <w:rsid w:val="00097B74"/>
    <w:rsid w:val="000C11D6"/>
    <w:rsid w:val="000D3324"/>
    <w:rsid w:val="00106701"/>
    <w:rsid w:val="00146EB8"/>
    <w:rsid w:val="001A5306"/>
    <w:rsid w:val="002577B4"/>
    <w:rsid w:val="002D06C6"/>
    <w:rsid w:val="00386E70"/>
    <w:rsid w:val="003C2E39"/>
    <w:rsid w:val="00417ADE"/>
    <w:rsid w:val="00471337"/>
    <w:rsid w:val="004A7201"/>
    <w:rsid w:val="006303B5"/>
    <w:rsid w:val="00696586"/>
    <w:rsid w:val="00710BCB"/>
    <w:rsid w:val="0073748E"/>
    <w:rsid w:val="00810138"/>
    <w:rsid w:val="00857DA8"/>
    <w:rsid w:val="009731FA"/>
    <w:rsid w:val="009A0EF5"/>
    <w:rsid w:val="00A4472D"/>
    <w:rsid w:val="00A51F95"/>
    <w:rsid w:val="00A97059"/>
    <w:rsid w:val="00AC763F"/>
    <w:rsid w:val="00CC04E0"/>
    <w:rsid w:val="00D96682"/>
    <w:rsid w:val="00F1150F"/>
    <w:rsid w:val="00FE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58C11620-5A5C-46EB-B822-258ED587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FE28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MEMOORE</dc:creator>
  <cp:keywords/>
  <cp:lastModifiedBy>Ikpe, Yvonne R.</cp:lastModifiedBy>
  <cp:revision>2</cp:revision>
  <cp:lastPrinted>2016-08-29T12:40:00Z</cp:lastPrinted>
  <dcterms:created xsi:type="dcterms:W3CDTF">2020-10-08T00:38:00Z</dcterms:created>
  <dcterms:modified xsi:type="dcterms:W3CDTF">2020-10-08T00:38:00Z</dcterms:modified>
</cp:coreProperties>
</file>