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EE9" w:rsidP="00C76942" w:rsidRDefault="00C76942">
      <w:pPr>
        <w:jc w:val="center"/>
        <w:rPr>
          <w:b/>
          <w:sz w:val="28"/>
          <w:szCs w:val="28"/>
        </w:rPr>
      </w:pPr>
      <w:bookmarkStart w:name="_GoBack" w:id="0"/>
      <w:bookmarkEnd w:id="0"/>
      <w:r>
        <w:rPr>
          <w:b/>
          <w:sz w:val="28"/>
          <w:szCs w:val="28"/>
        </w:rPr>
        <w:t>OMB Supporting Statement</w:t>
      </w:r>
    </w:p>
    <w:p w:rsidR="00C76942" w:rsidP="00C76942" w:rsidRDefault="00C76942"/>
    <w:p w:rsidR="00C76942" w:rsidP="00C567DC" w:rsidRDefault="007F4092">
      <w:pPr>
        <w:ind w:left="1440" w:hanging="1440"/>
      </w:pPr>
      <w:r>
        <w:t xml:space="preserve">SF 2823 - </w:t>
      </w:r>
      <w:r w:rsidR="00C76942">
        <w:t>Designation of Beneficiary</w:t>
      </w:r>
      <w:r w:rsidR="00C567DC">
        <w:t xml:space="preserve"> </w:t>
      </w:r>
      <w:r w:rsidR="00C76942">
        <w:t>(Federal Employees’ Group Life Insurance Program)</w:t>
      </w:r>
    </w:p>
    <w:p w:rsidR="00C76942" w:rsidP="00C76942" w:rsidRDefault="00C76942"/>
    <w:p w:rsidRPr="00C567DC" w:rsidR="00C76942" w:rsidP="00C76942" w:rsidRDefault="00C76942">
      <w:pPr>
        <w:rPr>
          <w:b/>
        </w:rPr>
      </w:pPr>
      <w:r w:rsidRPr="00C567DC">
        <w:rPr>
          <w:b/>
        </w:rPr>
        <w:t>A.</w:t>
      </w:r>
      <w:r w:rsidRPr="00C567DC">
        <w:rPr>
          <w:b/>
        </w:rPr>
        <w:tab/>
      </w:r>
      <w:r w:rsidRPr="0073480D">
        <w:rPr>
          <w:bCs/>
          <w:u w:val="single"/>
        </w:rPr>
        <w:t>Justification</w:t>
      </w:r>
    </w:p>
    <w:p w:rsidR="00C76942" w:rsidP="00C76942" w:rsidRDefault="00C76942">
      <w:pPr>
        <w:rPr>
          <w:b/>
          <w:u w:val="single"/>
        </w:rPr>
      </w:pPr>
    </w:p>
    <w:p w:rsidRPr="00741061" w:rsidR="00135AE8" w:rsidP="00135AE8" w:rsidRDefault="00135AE8">
      <w:pPr>
        <w:pStyle w:val="ListParagraph"/>
        <w:numPr>
          <w:ilvl w:val="0"/>
          <w:numId w:val="1"/>
        </w:numPr>
        <w:shd w:val="pct25" w:color="auto" w:fill="auto"/>
        <w:tabs>
          <w:tab w:val="left" w:pos="-720"/>
        </w:tabs>
        <w:suppressAutoHyphens/>
        <w:contextualSpacing/>
      </w:pP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135AE8" w:rsidP="00C76942" w:rsidRDefault="00135AE8">
      <w:pPr>
        <w:rPr>
          <w:b/>
          <w:u w:val="single"/>
        </w:rPr>
      </w:pPr>
    </w:p>
    <w:p w:rsidR="00C76942" w:rsidP="00C76942" w:rsidRDefault="00C76942">
      <w:pPr>
        <w:ind w:left="720" w:hanging="720"/>
      </w:pPr>
      <w:r>
        <w:tab/>
        <w:t>Title 5, United States Code, Section 8705, provides that employees and annuitants enrolled in the Federal Employees’ Group Life Insurance (FEGLI) Program may designate beneficiaries to receive monies payable under the FEGLI Program after the death of the enrollee.  The law also provides that if the enrollee doesn’t designate a beneficiary, the monies will be paid according to the order of precedence listed in section 8705(a) of the law. Title 5, Code of Federal Regulations, section 870.802, gives further details on the requirements for a designation of beneficiary. Section 870.909 says that an assignee can also use the form to designate beneficiaries. (An assignee is someone who owns and controls the insured’s insurance.)</w:t>
      </w:r>
    </w:p>
    <w:p w:rsidR="00135AE8" w:rsidP="00C76942" w:rsidRDefault="00135AE8">
      <w:pPr>
        <w:ind w:left="720" w:hanging="720"/>
      </w:pPr>
    </w:p>
    <w:p w:rsidRPr="00741061" w:rsidR="00135AE8" w:rsidP="00135AE8" w:rsidRDefault="00135AE8">
      <w:pPr>
        <w:pStyle w:val="ListParagraph"/>
        <w:numPr>
          <w:ilvl w:val="0"/>
          <w:numId w:val="1"/>
        </w:numPr>
        <w:shd w:val="pct25" w:color="auto" w:fill="auto"/>
        <w:tabs>
          <w:tab w:val="left" w:pos="-720"/>
        </w:tabs>
        <w:suppressAutoHyphens/>
        <w:contextualSpacing/>
      </w:pPr>
      <w:r w:rsidRPr="00741061">
        <w:t xml:space="preserve">Indicate how, by whom, and for what purpose the information is to be used.  Except for a new collection, indicate the actual use the agency has made of the information received from the current collection. </w:t>
      </w:r>
    </w:p>
    <w:p w:rsidR="00C76942" w:rsidP="00C76942" w:rsidRDefault="00C76942">
      <w:pPr>
        <w:ind w:left="720" w:hanging="720"/>
      </w:pPr>
    </w:p>
    <w:p w:rsidR="00035AB3" w:rsidP="00C76942" w:rsidRDefault="00C76942">
      <w:pPr>
        <w:ind w:left="720" w:hanging="720"/>
      </w:pPr>
      <w:r>
        <w:tab/>
        <w:t>The Office of Personnel Management (OPM) uses Standard F</w:t>
      </w:r>
      <w:r w:rsidR="00EA3645">
        <w:t>orm</w:t>
      </w:r>
      <w:r>
        <w:t xml:space="preserve"> 2823 to collect the information that our contractor needs in order to pay the benefits as the enrollee or assignee wishes. Federal employees (or their assignees) file the form with their employing agency. Annuitants (or their assignees) file the </w:t>
      </w:r>
      <w:r w:rsidR="00035AB3">
        <w:t xml:space="preserve">form with OPM. OPM and agencies use the information on the form </w:t>
      </w:r>
      <w:r w:rsidR="0087682C">
        <w:t xml:space="preserve">to identify where to send claim </w:t>
      </w:r>
      <w:r w:rsidR="00035AB3">
        <w:t xml:space="preserve">forms upon the insured’s death. OPM’s contractor uses the information on this form to pay life insurance benefits. We are requesting OMB clearance of this form solely due to its use by annuitants and assignees. </w:t>
      </w:r>
      <w:r w:rsidR="00135AE8">
        <w:t xml:space="preserve">The Privacy Act Statement has been revised due to a systematic review by our Chief Privacy Officer. </w:t>
      </w:r>
      <w:r w:rsidR="00D85F40">
        <w:t xml:space="preserve">The Public Burden Statement meets the requirements of 5 CFR 1320.8(b)(3). </w:t>
      </w:r>
    </w:p>
    <w:p w:rsidR="00135AE8" w:rsidP="00C76942" w:rsidRDefault="00135AE8">
      <w:pPr>
        <w:ind w:left="720" w:hanging="720"/>
      </w:pPr>
    </w:p>
    <w:p w:rsidRPr="00741061" w:rsidR="00135AE8" w:rsidP="00135AE8" w:rsidRDefault="00135AE8">
      <w:pPr>
        <w:pStyle w:val="ListParagraph"/>
        <w:numPr>
          <w:ilvl w:val="0"/>
          <w:numId w:val="1"/>
        </w:numPr>
        <w:shd w:val="pct25" w:color="auto" w:fill="auto"/>
        <w:tabs>
          <w:tab w:val="left" w:pos="-720"/>
        </w:tabs>
        <w:suppressAutoHyphens/>
        <w:contextualSpacing/>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135AE8" w:rsidP="00C76942" w:rsidRDefault="00135AE8">
      <w:pPr>
        <w:ind w:left="720" w:hanging="720"/>
      </w:pPr>
    </w:p>
    <w:p w:rsidR="00035AB3" w:rsidP="00135AE8" w:rsidRDefault="00981D7B">
      <w:pPr>
        <w:ind w:left="720"/>
      </w:pPr>
      <w:r>
        <w:t xml:space="preserve">Use of </w:t>
      </w:r>
      <w:r w:rsidR="00035AB3">
        <w:t xml:space="preserve">information technology </w:t>
      </w:r>
      <w:r>
        <w:t>is contingent on changes to the law.</w:t>
      </w:r>
      <w:r w:rsidR="00135AE8">
        <w:t xml:space="preserve"> The information collected is specific to the individual and can only be obtained from the respondents. </w:t>
      </w:r>
      <w:r>
        <w:t xml:space="preserve"> </w:t>
      </w:r>
      <w:r w:rsidR="00C20F8B">
        <w:t xml:space="preserve">However, this form is available in a PDF format on our website </w:t>
      </w:r>
      <w:r>
        <w:t>for printing locally</w:t>
      </w:r>
      <w:r w:rsidR="005507B8">
        <w:t>,</w:t>
      </w:r>
      <w:r>
        <w:t xml:space="preserve"> </w:t>
      </w:r>
      <w:r w:rsidR="00C20F8B">
        <w:t xml:space="preserve">and </w:t>
      </w:r>
      <w:r w:rsidR="005507B8">
        <w:t xml:space="preserve">it meets </w:t>
      </w:r>
      <w:r w:rsidR="00C20F8B">
        <w:t>GPEA requirements.</w:t>
      </w:r>
      <w:r w:rsidR="00035AB3">
        <w:t xml:space="preserve"> </w:t>
      </w:r>
    </w:p>
    <w:p w:rsidR="00035AB3" w:rsidP="00C76942" w:rsidRDefault="00035AB3">
      <w:pPr>
        <w:ind w:left="720" w:hanging="720"/>
      </w:pPr>
    </w:p>
    <w:p w:rsidRPr="00741061" w:rsidR="00135AE8" w:rsidP="00135AE8" w:rsidRDefault="00135AE8">
      <w:pPr>
        <w:pStyle w:val="ListParagraph"/>
        <w:numPr>
          <w:ilvl w:val="0"/>
          <w:numId w:val="1"/>
        </w:numPr>
        <w:shd w:val="pct25" w:color="auto" w:fill="auto"/>
        <w:tabs>
          <w:tab w:val="left" w:pos="-720"/>
        </w:tabs>
        <w:suppressAutoHyphens/>
        <w:contextualSpacing/>
      </w:pPr>
      <w:r w:rsidRPr="00741061">
        <w:t>Describe eff</w:t>
      </w:r>
      <w:r>
        <w:t xml:space="preserve">orts to identify duplication.  </w:t>
      </w:r>
      <w:r w:rsidRPr="00741061">
        <w:t xml:space="preserve">Show specifically why any similar information already available cannot be used or modified for use for the purposes described in Item 2 above. </w:t>
      </w:r>
    </w:p>
    <w:p w:rsidR="00135AE8" w:rsidP="00C76942" w:rsidRDefault="00135AE8">
      <w:pPr>
        <w:ind w:left="720" w:hanging="720"/>
      </w:pPr>
    </w:p>
    <w:p w:rsidR="00035AB3" w:rsidP="00C76942" w:rsidRDefault="00035AB3">
      <w:pPr>
        <w:ind w:left="720" w:hanging="720"/>
      </w:pPr>
      <w:r>
        <w:tab/>
        <w:t xml:space="preserve">Designations are filed individually. Duplication is minimized. Up-to-date, similar information is not available. </w:t>
      </w:r>
    </w:p>
    <w:p w:rsidR="000E4F79" w:rsidP="00C76942" w:rsidRDefault="000E4F79">
      <w:pPr>
        <w:ind w:left="720" w:hanging="720"/>
      </w:pPr>
    </w:p>
    <w:p w:rsidRPr="00741061" w:rsidR="000E4F79" w:rsidP="000E4F79" w:rsidRDefault="000E4F79">
      <w:pPr>
        <w:pStyle w:val="ListParagraph"/>
        <w:numPr>
          <w:ilvl w:val="0"/>
          <w:numId w:val="1"/>
        </w:numPr>
        <w:shd w:val="pct25" w:color="auto" w:fill="auto"/>
        <w:tabs>
          <w:tab w:val="left" w:pos="-720"/>
        </w:tabs>
        <w:suppressAutoHyphens/>
        <w:contextualSpacing/>
      </w:pPr>
      <w:r w:rsidRPr="00741061">
        <w:t>If the collection of information impacts small businesses or other small entities (Item 5 of OMB Form 83-I), describe any methods used to minimize.</w:t>
      </w:r>
    </w:p>
    <w:p w:rsidR="00035AB3" w:rsidP="00C76942" w:rsidRDefault="00035AB3">
      <w:pPr>
        <w:ind w:left="720" w:hanging="720"/>
      </w:pPr>
    </w:p>
    <w:p w:rsidR="00035AB3" w:rsidP="00C76942" w:rsidRDefault="00035AB3">
      <w:pPr>
        <w:ind w:left="720" w:hanging="720"/>
      </w:pPr>
      <w:r>
        <w:tab/>
      </w:r>
      <w:r w:rsidR="007F4092">
        <w:t xml:space="preserve">This collection </w:t>
      </w:r>
      <w:r w:rsidR="004774B2">
        <w:t xml:space="preserve">of information does not impact small businesses or other small entities. </w:t>
      </w:r>
    </w:p>
    <w:p w:rsidR="000E4F79" w:rsidP="00C76942" w:rsidRDefault="000E4F79">
      <w:pPr>
        <w:ind w:left="720" w:hanging="720"/>
      </w:pPr>
    </w:p>
    <w:p w:rsidRPr="00741061" w:rsidR="000E4F79" w:rsidP="000E4F79" w:rsidRDefault="000E4F79">
      <w:pPr>
        <w:pStyle w:val="ListParagraph"/>
        <w:numPr>
          <w:ilvl w:val="0"/>
          <w:numId w:val="1"/>
        </w:numPr>
        <w:shd w:val="pct25" w:color="auto" w:fill="auto"/>
        <w:tabs>
          <w:tab w:val="left" w:pos="-720"/>
        </w:tabs>
        <w:suppressAutoHyphens/>
        <w:contextualSpacing/>
      </w:pPr>
      <w:r w:rsidRPr="00741061">
        <w:t>Describe the consequence to Federal/DHS program or policy activities if the collection of information is not conducted, or is conducted less frequently, as well as any technical or legal obstacles to reducing burden.</w:t>
      </w:r>
    </w:p>
    <w:p w:rsidR="004774B2" w:rsidP="00C76942" w:rsidRDefault="004774B2">
      <w:pPr>
        <w:ind w:left="720" w:hanging="720"/>
      </w:pPr>
    </w:p>
    <w:p w:rsidR="004774B2" w:rsidP="00C76942" w:rsidRDefault="004774B2">
      <w:pPr>
        <w:ind w:left="720" w:hanging="720"/>
      </w:pPr>
      <w:r>
        <w:tab/>
        <w:t xml:space="preserve">If this information were not collected, OPM’s contractor could not comply with the provisions of the law and regulations. </w:t>
      </w:r>
      <w:r w:rsidR="00BE0803">
        <w:t>Th</w:t>
      </w:r>
      <w:r>
        <w:t xml:space="preserve">e contractor could not pay the life insurance benefits as the insured or assigned desired. </w:t>
      </w:r>
    </w:p>
    <w:p w:rsidR="000E4F79" w:rsidP="00C76942" w:rsidRDefault="000E4F79">
      <w:pPr>
        <w:ind w:left="720" w:hanging="720"/>
      </w:pPr>
    </w:p>
    <w:p w:rsidRPr="00DF085B" w:rsidR="00392A19" w:rsidP="000453A3" w:rsidRDefault="00392A19">
      <w:pPr>
        <w:pStyle w:val="ListParagraph"/>
        <w:numPr>
          <w:ilvl w:val="0"/>
          <w:numId w:val="1"/>
        </w:numPr>
        <w:shd w:val="pct25" w:color="auto" w:fill="auto"/>
        <w:tabs>
          <w:tab w:val="left" w:pos="-720"/>
        </w:tabs>
        <w:suppressAutoHyphens/>
        <w:contextualSpacing/>
      </w:pPr>
      <w:r w:rsidRPr="00DF085B">
        <w:t xml:space="preserve">Explain any special circumstances that would cause an information collection to be conducted in a manner: </w:t>
      </w:r>
    </w:p>
    <w:p w:rsidRPr="00DF085B" w:rsidR="00392A19" w:rsidP="00392A19" w:rsidRDefault="00392A19">
      <w:pPr>
        <w:pStyle w:val="ListParagraph"/>
        <w:shd w:val="pct25" w:color="auto" w:fill="auto"/>
        <w:tabs>
          <w:tab w:val="left" w:pos="-720"/>
        </w:tabs>
        <w:suppressAutoHyphens/>
      </w:pPr>
      <w:r w:rsidRPr="00DF085B">
        <w:t xml:space="preserve">• requiring respondents to report information to the agency more often than quarterly; </w:t>
      </w:r>
    </w:p>
    <w:p w:rsidRPr="00DF085B" w:rsidR="00392A19" w:rsidP="00392A19" w:rsidRDefault="00392A19">
      <w:pPr>
        <w:pStyle w:val="ListParagraph"/>
        <w:shd w:val="pct25" w:color="auto" w:fill="auto"/>
        <w:tabs>
          <w:tab w:val="left" w:pos="-720"/>
        </w:tabs>
        <w:suppressAutoHyphens/>
      </w:pPr>
      <w:r w:rsidRPr="00DF085B">
        <w:t xml:space="preserve">•requiring respondents to prepare a written response to a collection of information in fewer than 30 days after receipt of it; </w:t>
      </w:r>
    </w:p>
    <w:p w:rsidRPr="00DF085B" w:rsidR="00392A19" w:rsidP="00392A19" w:rsidRDefault="00392A19">
      <w:pPr>
        <w:pStyle w:val="ListParagraph"/>
        <w:shd w:val="pct25" w:color="auto" w:fill="auto"/>
        <w:tabs>
          <w:tab w:val="left" w:pos="-720"/>
        </w:tabs>
        <w:suppressAutoHyphens/>
      </w:pPr>
      <w:r w:rsidRPr="00DF085B">
        <w:t xml:space="preserve">•requiring respondents to submit more than an original and two copies of any document; </w:t>
      </w:r>
    </w:p>
    <w:p w:rsidRPr="00DF085B" w:rsidR="00392A19" w:rsidP="00392A19" w:rsidRDefault="00392A19">
      <w:pPr>
        <w:pStyle w:val="ListParagraph"/>
        <w:shd w:val="pct25" w:color="auto" w:fill="auto"/>
        <w:tabs>
          <w:tab w:val="left" w:pos="-720"/>
        </w:tabs>
        <w:suppressAutoHyphens/>
      </w:pPr>
      <w:r w:rsidRPr="00DF085B">
        <w:t xml:space="preserve">• requiring respondents to retain records, other than health, medical, government contract, grant-in-aid, or tax records, for more than three years; </w:t>
      </w:r>
    </w:p>
    <w:p w:rsidRPr="00DF085B" w:rsidR="00392A19" w:rsidP="00392A19" w:rsidRDefault="00392A19">
      <w:pPr>
        <w:pStyle w:val="ListParagraph"/>
        <w:shd w:val="pct25" w:color="auto" w:fill="auto"/>
        <w:tabs>
          <w:tab w:val="left" w:pos="-720"/>
        </w:tabs>
        <w:suppressAutoHyphens/>
      </w:pPr>
      <w:r w:rsidRPr="00DF085B">
        <w:t xml:space="preserve">• in connection with a statistical survey, that is not designed to produce valid and reliable results that can be generalized to the universe of study; </w:t>
      </w:r>
    </w:p>
    <w:p w:rsidRPr="00DF085B" w:rsidR="00392A19" w:rsidP="00392A19" w:rsidRDefault="00392A19">
      <w:pPr>
        <w:pStyle w:val="ListParagraph"/>
        <w:shd w:val="pct25" w:color="auto" w:fill="auto"/>
        <w:tabs>
          <w:tab w:val="left" w:pos="-720"/>
        </w:tabs>
        <w:suppressAutoHyphens/>
      </w:pPr>
      <w:r w:rsidRPr="00DF085B">
        <w:t xml:space="preserve">• requiring the use of a statistical data classification that has not been reviewed and approved by OMB; </w:t>
      </w:r>
    </w:p>
    <w:p w:rsidRPr="00DF085B" w:rsidR="00392A19" w:rsidP="00392A19" w:rsidRDefault="00392A19">
      <w:pPr>
        <w:pStyle w:val="ListParagraph"/>
        <w:shd w:val="pct25" w:color="auto" w:fill="auto"/>
        <w:tabs>
          <w:tab w:val="left" w:pos="-720"/>
        </w:tabs>
        <w:suppressAutoHyphens/>
      </w:pPr>
      <w:r w:rsidRPr="00DF085B">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DF085B" w:rsidR="00392A19" w:rsidP="00392A19" w:rsidRDefault="00392A19">
      <w:pPr>
        <w:pStyle w:val="ListParagraph"/>
        <w:shd w:val="pct25" w:color="auto" w:fill="auto"/>
        <w:tabs>
          <w:tab w:val="left" w:pos="-720"/>
        </w:tabs>
        <w:suppressAutoHyphens/>
      </w:pPr>
      <w:r w:rsidRPr="00DF085B">
        <w:t>• requiring respondents to submit proprietary trade secrets, or other confidential information unless the agency can demonstrate that it has instituted procedures to protect the information's confidentiality to the extent permitted by law.</w:t>
      </w:r>
    </w:p>
    <w:p w:rsidR="004774B2" w:rsidP="00C76942" w:rsidRDefault="004774B2">
      <w:pPr>
        <w:ind w:left="720" w:hanging="720"/>
      </w:pPr>
    </w:p>
    <w:p w:rsidR="000E4F79" w:rsidP="000E4F79" w:rsidRDefault="004774B2">
      <w:r>
        <w:tab/>
      </w:r>
      <w:r w:rsidR="000E4F79">
        <w:t xml:space="preserve"> </w:t>
      </w:r>
      <w:r>
        <w:t xml:space="preserve">This information is collected at the convenience of the respondent. Less frequent </w:t>
      </w:r>
      <w:r w:rsidR="000E4F79">
        <w:t xml:space="preserve">   </w:t>
      </w:r>
    </w:p>
    <w:p w:rsidR="004774B2" w:rsidP="000E4F79" w:rsidRDefault="000E4F79">
      <w:r>
        <w:t xml:space="preserve">             </w:t>
      </w:r>
      <w:r w:rsidR="004774B2">
        <w:t xml:space="preserve">collections would deny the insured or assignee a right given in the law and regulations. </w:t>
      </w:r>
    </w:p>
    <w:p w:rsidR="000E4F79" w:rsidP="000E4F79" w:rsidRDefault="000E4F79"/>
    <w:p w:rsidRPr="00741061" w:rsidR="000E4F79" w:rsidP="000453A3" w:rsidRDefault="000E4F79">
      <w:pPr>
        <w:pStyle w:val="ListParagraph"/>
        <w:numPr>
          <w:ilvl w:val="0"/>
          <w:numId w:val="1"/>
        </w:numPr>
        <w:shd w:val="pct25" w:color="auto" w:fill="auto"/>
        <w:tabs>
          <w:tab w:val="left" w:pos="-720"/>
        </w:tabs>
        <w:suppressAutoHyphens/>
        <w:contextualSpacing/>
      </w:pPr>
      <w:r w:rsidRPr="00741061">
        <w:lastRenderedPageBreak/>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proofErr w:type="gramStart"/>
      <w:r w:rsidRPr="00741061">
        <w:t>publication</w:t>
      </w:r>
      <w:proofErr w:type="gramEnd"/>
      <w:r w:rsidRPr="00741061">
        <w:t xml:space="preserve"> in the Federal Register of the agency’s notice soliciting comments on the information collection prior to submission to OMB</w:t>
      </w:r>
    </w:p>
    <w:p w:rsidR="000E4F79" w:rsidP="000E4F79" w:rsidRDefault="000E4F79"/>
    <w:p w:rsidR="009A3933" w:rsidP="000E4F79" w:rsidRDefault="000E4F79">
      <w:pPr>
        <w:ind w:left="720"/>
      </w:pPr>
      <w:r>
        <w:t>On March 9, 2020, a 60 Day Federal Register Notice was published at 85</w:t>
      </w:r>
      <w:r w:rsidRPr="00E47B7C">
        <w:t xml:space="preserve"> FR </w:t>
      </w:r>
      <w:r>
        <w:t>13678 requesting comment</w:t>
      </w:r>
      <w:r w:rsidR="00DA3518">
        <w:t>s</w:t>
      </w:r>
      <w:r w:rsidR="00AA4DD1">
        <w:t xml:space="preserve">. The following comment was received for this collection: </w:t>
      </w:r>
      <w:r w:rsidRPr="00122B67" w:rsidR="00AA4DD1">
        <w:rPr>
          <w:i/>
          <w:iCs/>
        </w:rPr>
        <w:t>“Recommend that OPM include a clause to allow employees and witnesses to sign this form using their electronic signature/PIV/CAC card, and to allow agencies to digitally certify the form, using either electronic signatures, or PIV/CAC card, for continuity of operations and also to aid OPM in electronically processing retirement claims.”</w:t>
      </w:r>
      <w:r w:rsidR="00AA4DD1">
        <w:rPr>
          <w:i/>
          <w:iCs/>
        </w:rPr>
        <w:t xml:space="preserve"> </w:t>
      </w:r>
      <w:r w:rsidR="00AA4DD1">
        <w:t>Our response is as follows: “</w:t>
      </w:r>
      <w:r w:rsidR="00AA4DD1">
        <w:rPr>
          <w:i/>
          <w:iCs/>
        </w:rPr>
        <w:t>P</w:t>
      </w:r>
      <w:r w:rsidRPr="00832CD5" w:rsidR="00AA4DD1">
        <w:rPr>
          <w:i/>
          <w:iCs/>
        </w:rPr>
        <w:t>er FEGLI law and regulation, employees are not allowed to use electronic signatures or PIV/CAC cards to sign the SF 2823 (Designation of Beneficiary) form. Per 5 CFR § 870.802(b), a designation of a beneficiary must be completed in writing, signed by the insured individual, and witnessed and signed by two people. OPM is currently working on guidance for agency human resources personnel to allow more flexibility to certify FEGLI forms. Any changes to the process would be temporary.  However, no changes can be made to the Designation of Beneficiary form’s signature requirement, as any change to this form would require a change to FEGLI law.”</w:t>
      </w:r>
    </w:p>
    <w:p w:rsidR="000E4F79" w:rsidP="000E4F79" w:rsidRDefault="000E4F79">
      <w:pPr>
        <w:ind w:left="720"/>
      </w:pPr>
    </w:p>
    <w:p w:rsidR="000E4F79" w:rsidP="000453A3" w:rsidRDefault="00E766F9">
      <w:pPr>
        <w:pStyle w:val="ListParagraph"/>
        <w:numPr>
          <w:ilvl w:val="0"/>
          <w:numId w:val="1"/>
        </w:numPr>
        <w:shd w:val="pct25" w:color="auto" w:fill="auto"/>
        <w:tabs>
          <w:tab w:val="left" w:pos="-720"/>
        </w:tabs>
        <w:suppressAutoHyphens/>
        <w:ind w:right="-288"/>
        <w:contextualSpacing/>
      </w:pPr>
      <w:r w:rsidRPr="00741061">
        <w:t>Explain any decision to provide any payment or gift to respondents, other than remuneration of contractors or grantees.</w:t>
      </w:r>
    </w:p>
    <w:p w:rsidR="000E4F79" w:rsidP="000E4F79" w:rsidRDefault="000E4F79">
      <w:pPr>
        <w:ind w:left="720"/>
      </w:pPr>
    </w:p>
    <w:p w:rsidR="00F837A8" w:rsidP="00F837A8" w:rsidRDefault="00F837A8">
      <w:pPr>
        <w:ind w:left="630"/>
      </w:pPr>
      <w:r>
        <w:t>No payment or gift is provided to respondents.</w:t>
      </w:r>
    </w:p>
    <w:p w:rsidR="00E766F9" w:rsidP="00E766F9" w:rsidRDefault="00E766F9">
      <w:pPr>
        <w:ind w:left="720"/>
      </w:pPr>
    </w:p>
    <w:p w:rsidRPr="00741061" w:rsidR="00E766F9" w:rsidP="000453A3" w:rsidRDefault="00E766F9">
      <w:pPr>
        <w:pStyle w:val="ListParagraph"/>
        <w:numPr>
          <w:ilvl w:val="0"/>
          <w:numId w:val="1"/>
        </w:numPr>
        <w:shd w:val="pct25" w:color="auto" w:fill="auto"/>
        <w:tabs>
          <w:tab w:val="left" w:pos="-720"/>
        </w:tabs>
        <w:suppressAutoHyphens/>
        <w:ind w:left="630" w:right="-288"/>
        <w:contextualSpacing/>
      </w:pPr>
      <w:r w:rsidRPr="00741061">
        <w:t xml:space="preserve">Describe any assurance of confidentiality provided to respondents and the basis for the assurance in statute, regulation, or agency policy.  </w:t>
      </w:r>
    </w:p>
    <w:p w:rsidR="00E766F9" w:rsidP="00E766F9" w:rsidRDefault="00E766F9">
      <w:pPr>
        <w:ind w:left="720"/>
      </w:pPr>
    </w:p>
    <w:p w:rsidR="00F837A8" w:rsidP="00F837A8" w:rsidRDefault="00F837A8">
      <w:pPr>
        <w:ind w:firstLine="630"/>
      </w:pPr>
      <w:r>
        <w:t xml:space="preserve">This information collection is protected by the Privacy Act of 1974 and OPM regulations </w:t>
      </w:r>
    </w:p>
    <w:p w:rsidR="00F837A8" w:rsidP="00F837A8" w:rsidRDefault="00F837A8">
      <w:pPr>
        <w:ind w:firstLine="630"/>
      </w:pPr>
      <w:r>
        <w:t xml:space="preserve">(5 CFR 831.106). The routine uses of disclosure appear in the </w:t>
      </w:r>
      <w:r w:rsidRPr="00E8662C">
        <w:rPr>
          <w:i/>
        </w:rPr>
        <w:t>Federal Register</w:t>
      </w:r>
      <w:r>
        <w:t xml:space="preserve"> for </w:t>
      </w:r>
    </w:p>
    <w:p w:rsidR="00766CFE" w:rsidP="00F837A8" w:rsidRDefault="00F837A8">
      <w:pPr>
        <w:ind w:left="720" w:hanging="90"/>
      </w:pPr>
      <w:r>
        <w:t xml:space="preserve">OPM/Central-1 (73 FR 15013, </w:t>
      </w:r>
      <w:r w:rsidRPr="00E8662C">
        <w:rPr>
          <w:i/>
        </w:rPr>
        <w:t>et seq</w:t>
      </w:r>
      <w:r>
        <w:t>., March 20, 2008, effective April 21, 2008).</w:t>
      </w:r>
    </w:p>
    <w:p w:rsidR="00F837A8" w:rsidP="00F837A8" w:rsidRDefault="00F837A8">
      <w:pPr>
        <w:ind w:left="720" w:hanging="90"/>
      </w:pPr>
    </w:p>
    <w:p w:rsidRPr="00741061" w:rsidR="00F837A8" w:rsidP="000453A3" w:rsidRDefault="00F837A8">
      <w:pPr>
        <w:pStyle w:val="ListParagraph"/>
        <w:numPr>
          <w:ilvl w:val="0"/>
          <w:numId w:val="1"/>
        </w:numPr>
        <w:shd w:val="pct25" w:color="auto" w:fill="auto"/>
        <w:tabs>
          <w:tab w:val="left" w:pos="-720"/>
        </w:tabs>
        <w:suppressAutoHyphens/>
        <w:ind w:left="630"/>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837A8" w:rsidP="00F837A8" w:rsidRDefault="00F837A8">
      <w:pPr>
        <w:ind w:left="720" w:hanging="720"/>
      </w:pPr>
    </w:p>
    <w:p w:rsidR="00766CFE" w:rsidP="00C76942" w:rsidRDefault="00766CFE">
      <w:pPr>
        <w:ind w:left="720" w:hanging="720"/>
      </w:pPr>
      <w:r>
        <w:tab/>
      </w:r>
      <w:r w:rsidR="000866D0">
        <w:t xml:space="preserve">This information collection does not include questions of a sensitive nature, such as sexual behavior and attitudes, religious beliefs, and other matters that are commonly considered private. </w:t>
      </w:r>
    </w:p>
    <w:p w:rsidR="00550AF7" w:rsidP="00C76942" w:rsidRDefault="00550AF7">
      <w:pPr>
        <w:ind w:left="720" w:hanging="720"/>
      </w:pPr>
    </w:p>
    <w:p w:rsidR="00550AF7" w:rsidP="00C76942" w:rsidRDefault="00550AF7">
      <w:pPr>
        <w:ind w:left="720" w:hanging="720"/>
      </w:pPr>
    </w:p>
    <w:p w:rsidR="00550AF7" w:rsidP="00C76942" w:rsidRDefault="00550AF7">
      <w:pPr>
        <w:ind w:left="720" w:hanging="720"/>
      </w:pPr>
    </w:p>
    <w:p w:rsidR="00550AF7" w:rsidP="00C76942" w:rsidRDefault="00550AF7">
      <w:pPr>
        <w:ind w:left="720" w:hanging="720"/>
      </w:pPr>
    </w:p>
    <w:p w:rsidR="00F837A8" w:rsidP="00C76942" w:rsidRDefault="00F837A8">
      <w:pPr>
        <w:ind w:left="720" w:hanging="720"/>
      </w:pPr>
    </w:p>
    <w:p w:rsidR="00F837A8" w:rsidP="00F837A8" w:rsidRDefault="00F837A8">
      <w:pPr>
        <w:pStyle w:val="ListParagraph"/>
        <w:shd w:val="pct25" w:color="auto" w:fill="FFFFFF"/>
        <w:tabs>
          <w:tab w:val="left" w:pos="-720"/>
        </w:tabs>
        <w:suppressAutoHyphens/>
        <w:ind w:left="360"/>
      </w:pPr>
      <w:r w:rsidRPr="00741061">
        <w:lastRenderedPageBreak/>
        <w:t>12. Provide estimates of the hour burden of the collection of informat</w:t>
      </w:r>
      <w:r>
        <w:t xml:space="preserve">ion. </w:t>
      </w:r>
      <w:r w:rsidRPr="00741061">
        <w:t xml:space="preserve">The statement </w:t>
      </w:r>
      <w:r>
        <w:t xml:space="preserve"> </w:t>
      </w:r>
    </w:p>
    <w:p w:rsidRPr="00741061" w:rsidR="00F837A8" w:rsidP="00F837A8" w:rsidRDefault="00F837A8">
      <w:pPr>
        <w:pStyle w:val="ListParagraph"/>
        <w:shd w:val="pct25" w:color="auto" w:fill="FFFFFF"/>
        <w:tabs>
          <w:tab w:val="left" w:pos="-720"/>
        </w:tabs>
        <w:suppressAutoHyphens/>
        <w:ind w:left="360"/>
      </w:pPr>
      <w:r>
        <w:tab/>
      </w:r>
      <w:r w:rsidRPr="00741061">
        <w:t>should:</w:t>
      </w:r>
    </w:p>
    <w:p w:rsidRPr="00741061" w:rsidR="00F837A8" w:rsidP="00F837A8" w:rsidRDefault="00F837A8">
      <w:pPr>
        <w:pStyle w:val="ListParagraph"/>
        <w:tabs>
          <w:tab w:val="left" w:pos="-720"/>
        </w:tabs>
        <w:suppressAutoHyphens/>
        <w:ind w:left="360"/>
      </w:pPr>
    </w:p>
    <w:p w:rsidR="00F837A8" w:rsidP="00F837A8" w:rsidRDefault="00F837A8">
      <w:pPr>
        <w:pStyle w:val="ListParagraph"/>
        <w:shd w:val="pct25" w:color="auto" w:fill="auto"/>
        <w:tabs>
          <w:tab w:val="left" w:pos="-720"/>
        </w:tabs>
        <w:suppressAutoHyphens/>
        <w:ind w:left="360"/>
      </w:pPr>
      <w:r w:rsidRPr="00741061">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w:t>
      </w:r>
      <w:r>
        <w:t xml:space="preserve">the reasons for the variance.  </w:t>
      </w:r>
      <w:r w:rsidRPr="00741061">
        <w:t>Generally, estimates should not include burden hours for customary and usual business practices.</w:t>
      </w:r>
      <w:r w:rsidRPr="00A10BE7">
        <w:t xml:space="preserve"> </w:t>
      </w:r>
    </w:p>
    <w:p w:rsidR="00F837A8" w:rsidP="00F837A8" w:rsidRDefault="00F837A8">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br/>
        <w:t xml:space="preserve">c.  </w:t>
      </w:r>
      <w:r w:rsidRPr="00741061">
        <w:t xml:space="preserve">Provide estimates of annualized cost to respondents for the hour burdens for collections </w:t>
      </w:r>
      <w:r>
        <w:br/>
      </w:r>
      <w:r w:rsidRPr="00741061">
        <w:t>of information, identifying and using appr</w:t>
      </w:r>
      <w:r>
        <w:t xml:space="preserve">opriate wage rate categories. </w:t>
      </w:r>
      <w:r w:rsidRPr="00741061">
        <w:t>The cost of contracting out or paying outside parties for information collection activiti</w:t>
      </w:r>
      <w:r>
        <w:t>es should not be included here.</w:t>
      </w:r>
      <w:r w:rsidRPr="00741061">
        <w:t xml:space="preserve"> Instead, this cost should be included in Item 14.</w:t>
      </w:r>
    </w:p>
    <w:p w:rsidR="000866D0" w:rsidP="00C76942" w:rsidRDefault="000866D0">
      <w:pPr>
        <w:ind w:left="720" w:hanging="720"/>
      </w:pPr>
    </w:p>
    <w:p w:rsidR="000866D0" w:rsidP="00F837A8" w:rsidRDefault="000866D0">
      <w:pPr>
        <w:ind w:left="720"/>
      </w:pPr>
      <w:r>
        <w:t xml:space="preserve">We </w:t>
      </w:r>
      <w:r w:rsidR="00981920">
        <w:t>estimate</w:t>
      </w:r>
      <w:r>
        <w:t xml:space="preserve"> 4</w:t>
      </w:r>
      <w:r w:rsidR="00D73D70">
        <w:t>8</w:t>
      </w:r>
      <w:r>
        <w:t>,000</w:t>
      </w:r>
      <w:r w:rsidR="00981920">
        <w:t xml:space="preserve"> SF 2823</w:t>
      </w:r>
      <w:r>
        <w:t xml:space="preserve"> forms from annuitants and </w:t>
      </w:r>
      <w:r w:rsidR="00C05E1B">
        <w:t xml:space="preserve">approximately </w:t>
      </w:r>
      <w:r>
        <w:t>1</w:t>
      </w:r>
      <w:r w:rsidR="00C74116">
        <w:t>,</w:t>
      </w:r>
      <w:r w:rsidR="007E454B">
        <w:t>0</w:t>
      </w:r>
      <w:r>
        <w:t>00 designation forms from assignees</w:t>
      </w:r>
      <w:r w:rsidR="00981920">
        <w:t xml:space="preserve"> are processed</w:t>
      </w:r>
      <w:r>
        <w:t xml:space="preserve"> each year. We estimate it takes 15 minutes to complete the form. The annual burden is 12</w:t>
      </w:r>
      <w:r w:rsidR="00C74116">
        <w:t>,</w:t>
      </w:r>
      <w:r>
        <w:t>0</w:t>
      </w:r>
      <w:r w:rsidR="00CC3EF3">
        <w:t>00</w:t>
      </w:r>
      <w:r>
        <w:t xml:space="preserve"> hours.</w:t>
      </w:r>
    </w:p>
    <w:p w:rsidR="00F159B4" w:rsidP="00F837A8" w:rsidRDefault="00F159B4">
      <w:pPr>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6"/>
        <w:gridCol w:w="995"/>
        <w:gridCol w:w="1244"/>
        <w:gridCol w:w="1178"/>
        <w:gridCol w:w="1087"/>
        <w:gridCol w:w="969"/>
        <w:gridCol w:w="1010"/>
        <w:gridCol w:w="1179"/>
      </w:tblGrid>
      <w:tr w:rsidR="00F159B4" w:rsidTr="009F4BBB">
        <w:trPr>
          <w:trHeight w:val="938"/>
        </w:trPr>
        <w:tc>
          <w:tcPr>
            <w:tcW w:w="1086" w:type="dxa"/>
            <w:shd w:val="clear" w:color="auto" w:fill="D9D9D9"/>
          </w:tcPr>
          <w:p w:rsidRPr="005E399C" w:rsidR="00F159B4" w:rsidP="009F4BBB" w:rsidRDefault="00F159B4">
            <w:pPr>
              <w:spacing w:before="240"/>
              <w:rPr>
                <w:rFonts w:ascii="Arial" w:hAnsi="Arial" w:cs="Arial"/>
                <w:b/>
                <w:sz w:val="16"/>
                <w:szCs w:val="16"/>
              </w:rPr>
            </w:pPr>
            <w:r w:rsidRPr="005E399C">
              <w:rPr>
                <w:rFonts w:ascii="Arial" w:hAnsi="Arial" w:cs="Arial"/>
                <w:b/>
                <w:sz w:val="16"/>
                <w:szCs w:val="16"/>
              </w:rPr>
              <w:t>Form Name</w:t>
            </w:r>
          </w:p>
        </w:tc>
        <w:tc>
          <w:tcPr>
            <w:tcW w:w="995" w:type="dxa"/>
            <w:shd w:val="clear" w:color="auto" w:fill="D9D9D9"/>
          </w:tcPr>
          <w:p w:rsidRPr="005E399C" w:rsidR="00F159B4" w:rsidP="009F4BBB" w:rsidRDefault="00F159B4">
            <w:pPr>
              <w:spacing w:before="240"/>
              <w:rPr>
                <w:rFonts w:ascii="Arial" w:hAnsi="Arial" w:cs="Arial"/>
                <w:b/>
                <w:sz w:val="16"/>
                <w:szCs w:val="16"/>
              </w:rPr>
            </w:pPr>
            <w:r w:rsidRPr="005E399C">
              <w:rPr>
                <w:rFonts w:ascii="Arial" w:hAnsi="Arial" w:cs="Arial"/>
                <w:b/>
                <w:sz w:val="16"/>
                <w:szCs w:val="16"/>
              </w:rPr>
              <w:t>Form Number</w:t>
            </w:r>
          </w:p>
        </w:tc>
        <w:tc>
          <w:tcPr>
            <w:tcW w:w="1244" w:type="dxa"/>
            <w:shd w:val="clear" w:color="auto" w:fill="D9D9D9"/>
          </w:tcPr>
          <w:p w:rsidRPr="005E399C" w:rsidR="00F159B4" w:rsidP="009F4BBB" w:rsidRDefault="00F159B4">
            <w:pPr>
              <w:spacing w:before="240"/>
              <w:rPr>
                <w:rFonts w:ascii="Arial" w:hAnsi="Arial" w:cs="Arial"/>
                <w:b/>
                <w:sz w:val="16"/>
                <w:szCs w:val="16"/>
              </w:rPr>
            </w:pPr>
            <w:r w:rsidRPr="005E399C">
              <w:rPr>
                <w:rFonts w:ascii="Arial" w:hAnsi="Arial" w:cs="Arial"/>
                <w:b/>
                <w:sz w:val="16"/>
                <w:szCs w:val="16"/>
              </w:rPr>
              <w:t>No. of Respondents</w:t>
            </w:r>
          </w:p>
        </w:tc>
        <w:tc>
          <w:tcPr>
            <w:tcW w:w="1178" w:type="dxa"/>
            <w:shd w:val="clear" w:color="auto" w:fill="D9D9D9"/>
          </w:tcPr>
          <w:p w:rsidRPr="005E399C" w:rsidR="00F159B4" w:rsidP="009F4BBB" w:rsidRDefault="00F159B4">
            <w:pPr>
              <w:spacing w:before="240"/>
              <w:rPr>
                <w:rFonts w:ascii="Arial" w:hAnsi="Arial" w:cs="Arial"/>
                <w:b/>
                <w:sz w:val="16"/>
                <w:szCs w:val="16"/>
              </w:rPr>
            </w:pPr>
            <w:r w:rsidRPr="005E399C">
              <w:rPr>
                <w:rFonts w:ascii="Arial" w:hAnsi="Arial" w:cs="Arial"/>
                <w:b/>
                <w:sz w:val="16"/>
                <w:szCs w:val="16"/>
              </w:rPr>
              <w:t>No. of Responses per Respondent</w:t>
            </w:r>
          </w:p>
        </w:tc>
        <w:tc>
          <w:tcPr>
            <w:tcW w:w="1087" w:type="dxa"/>
            <w:shd w:val="clear" w:color="auto" w:fill="D9D9D9"/>
          </w:tcPr>
          <w:p w:rsidRPr="005E399C" w:rsidR="00F159B4" w:rsidP="009F4BBB" w:rsidRDefault="00F159B4">
            <w:pPr>
              <w:spacing w:before="240"/>
              <w:rPr>
                <w:rFonts w:ascii="Arial" w:hAnsi="Arial" w:cs="Arial"/>
                <w:b/>
                <w:sz w:val="16"/>
                <w:szCs w:val="16"/>
              </w:rPr>
            </w:pPr>
            <w:r w:rsidRPr="005E399C">
              <w:rPr>
                <w:rFonts w:ascii="Arial" w:hAnsi="Arial" w:cs="Arial"/>
                <w:b/>
                <w:sz w:val="16"/>
                <w:szCs w:val="16"/>
              </w:rPr>
              <w:t>Average Burden per Response (in hours)</w:t>
            </w:r>
          </w:p>
        </w:tc>
        <w:tc>
          <w:tcPr>
            <w:tcW w:w="969" w:type="dxa"/>
            <w:shd w:val="clear" w:color="auto" w:fill="D9D9D9"/>
          </w:tcPr>
          <w:p w:rsidRPr="005E399C" w:rsidR="00F159B4" w:rsidP="009F4BBB" w:rsidRDefault="00F159B4">
            <w:pPr>
              <w:spacing w:before="240"/>
              <w:rPr>
                <w:rFonts w:ascii="Arial" w:hAnsi="Arial" w:cs="Arial"/>
                <w:b/>
                <w:sz w:val="16"/>
                <w:szCs w:val="16"/>
              </w:rPr>
            </w:pPr>
            <w:r w:rsidRPr="005E399C">
              <w:rPr>
                <w:rFonts w:ascii="Arial" w:hAnsi="Arial" w:cs="Arial"/>
                <w:b/>
                <w:sz w:val="16"/>
                <w:szCs w:val="16"/>
              </w:rPr>
              <w:t>Total Annual Burden (in hours)</w:t>
            </w:r>
          </w:p>
        </w:tc>
        <w:tc>
          <w:tcPr>
            <w:tcW w:w="1010" w:type="dxa"/>
            <w:shd w:val="clear" w:color="auto" w:fill="D9D9D9"/>
          </w:tcPr>
          <w:p w:rsidRPr="005E399C" w:rsidR="00F159B4" w:rsidP="009F4BBB" w:rsidRDefault="00F159B4">
            <w:pPr>
              <w:spacing w:before="240"/>
              <w:rPr>
                <w:rFonts w:ascii="Arial" w:hAnsi="Arial" w:cs="Arial"/>
                <w:b/>
                <w:sz w:val="16"/>
                <w:szCs w:val="16"/>
              </w:rPr>
            </w:pPr>
            <w:r w:rsidRPr="005E399C">
              <w:rPr>
                <w:rFonts w:ascii="Arial" w:hAnsi="Arial" w:cs="Arial"/>
                <w:b/>
                <w:sz w:val="16"/>
                <w:szCs w:val="16"/>
              </w:rPr>
              <w:t>Average Hourly Wage Rate</w:t>
            </w:r>
          </w:p>
        </w:tc>
        <w:tc>
          <w:tcPr>
            <w:tcW w:w="1179" w:type="dxa"/>
            <w:shd w:val="clear" w:color="auto" w:fill="D9D9D9"/>
          </w:tcPr>
          <w:p w:rsidRPr="005E399C" w:rsidR="00F159B4" w:rsidP="009F4BBB" w:rsidRDefault="00F159B4">
            <w:pPr>
              <w:spacing w:before="240"/>
              <w:rPr>
                <w:rFonts w:ascii="Arial" w:hAnsi="Arial" w:cs="Arial"/>
                <w:b/>
                <w:sz w:val="16"/>
                <w:szCs w:val="16"/>
              </w:rPr>
            </w:pPr>
            <w:r w:rsidRPr="005E399C">
              <w:rPr>
                <w:rFonts w:ascii="Arial" w:hAnsi="Arial" w:cs="Arial"/>
                <w:b/>
                <w:sz w:val="16"/>
                <w:szCs w:val="16"/>
              </w:rPr>
              <w:t>Total Annual Respondent Cost</w:t>
            </w:r>
          </w:p>
        </w:tc>
      </w:tr>
      <w:tr w:rsidR="00F159B4" w:rsidTr="009F4BBB">
        <w:trPr>
          <w:trHeight w:val="1024"/>
        </w:trPr>
        <w:tc>
          <w:tcPr>
            <w:tcW w:w="1086" w:type="dxa"/>
            <w:shd w:val="clear" w:color="auto" w:fill="auto"/>
          </w:tcPr>
          <w:p w:rsidRPr="005E399C" w:rsidR="00F159B4" w:rsidP="009F4BBB" w:rsidRDefault="00023EFF">
            <w:pPr>
              <w:spacing w:before="240"/>
              <w:rPr>
                <w:sz w:val="18"/>
                <w:szCs w:val="18"/>
              </w:rPr>
            </w:pPr>
            <w:r>
              <w:rPr>
                <w:sz w:val="18"/>
                <w:szCs w:val="18"/>
              </w:rPr>
              <w:t>Designation of Beneficiary</w:t>
            </w:r>
            <w:r w:rsidRPr="00E8662C" w:rsidR="00F159B4">
              <w:rPr>
                <w:sz w:val="18"/>
                <w:szCs w:val="18"/>
              </w:rPr>
              <w:t xml:space="preserve"> </w:t>
            </w:r>
            <w:r w:rsidR="0001037B">
              <w:rPr>
                <w:sz w:val="18"/>
                <w:szCs w:val="18"/>
              </w:rPr>
              <w:t>(</w:t>
            </w:r>
            <w:r w:rsidRPr="00E8662C" w:rsidR="00F159B4">
              <w:rPr>
                <w:sz w:val="18"/>
                <w:szCs w:val="18"/>
              </w:rPr>
              <w:t>Federal Employees' Group Life Insurance (FEGLI) Program</w:t>
            </w:r>
          </w:p>
        </w:tc>
        <w:tc>
          <w:tcPr>
            <w:tcW w:w="995" w:type="dxa"/>
            <w:shd w:val="clear" w:color="auto" w:fill="auto"/>
          </w:tcPr>
          <w:p w:rsidRPr="005E399C" w:rsidR="00F159B4" w:rsidP="009F4BBB" w:rsidRDefault="0001037B">
            <w:pPr>
              <w:spacing w:before="240"/>
              <w:rPr>
                <w:sz w:val="18"/>
                <w:szCs w:val="18"/>
              </w:rPr>
            </w:pPr>
            <w:r>
              <w:rPr>
                <w:sz w:val="18"/>
                <w:szCs w:val="18"/>
              </w:rPr>
              <w:t>SF 2823</w:t>
            </w:r>
          </w:p>
        </w:tc>
        <w:tc>
          <w:tcPr>
            <w:tcW w:w="1244" w:type="dxa"/>
            <w:shd w:val="clear" w:color="auto" w:fill="auto"/>
          </w:tcPr>
          <w:p w:rsidRPr="005E399C" w:rsidR="00F159B4" w:rsidP="009F4BBB" w:rsidRDefault="00F159B4">
            <w:pPr>
              <w:spacing w:before="240"/>
              <w:jc w:val="right"/>
              <w:rPr>
                <w:sz w:val="18"/>
                <w:szCs w:val="18"/>
              </w:rPr>
            </w:pPr>
            <w:r>
              <w:rPr>
                <w:sz w:val="18"/>
                <w:szCs w:val="18"/>
              </w:rPr>
              <w:t>4</w:t>
            </w:r>
            <w:r w:rsidR="000E77A7">
              <w:rPr>
                <w:sz w:val="18"/>
                <w:szCs w:val="18"/>
              </w:rPr>
              <w:t>8,0</w:t>
            </w:r>
            <w:r>
              <w:rPr>
                <w:sz w:val="18"/>
                <w:szCs w:val="18"/>
              </w:rPr>
              <w:t>00</w:t>
            </w:r>
          </w:p>
          <w:p w:rsidRPr="005E399C" w:rsidR="00F159B4" w:rsidP="009F4BBB" w:rsidRDefault="00F159B4">
            <w:pPr>
              <w:jc w:val="right"/>
              <w:rPr>
                <w:sz w:val="18"/>
                <w:szCs w:val="18"/>
              </w:rPr>
            </w:pPr>
          </w:p>
        </w:tc>
        <w:tc>
          <w:tcPr>
            <w:tcW w:w="1178" w:type="dxa"/>
            <w:shd w:val="clear" w:color="auto" w:fill="auto"/>
          </w:tcPr>
          <w:p w:rsidRPr="005E399C" w:rsidR="00F159B4" w:rsidP="009F4BBB" w:rsidRDefault="00F159B4">
            <w:pPr>
              <w:spacing w:before="240"/>
              <w:jc w:val="right"/>
              <w:rPr>
                <w:sz w:val="18"/>
                <w:szCs w:val="18"/>
              </w:rPr>
            </w:pPr>
            <w:r w:rsidRPr="005E399C">
              <w:rPr>
                <w:sz w:val="18"/>
                <w:szCs w:val="18"/>
              </w:rPr>
              <w:t>1</w:t>
            </w:r>
          </w:p>
          <w:p w:rsidRPr="005E399C" w:rsidR="00F159B4" w:rsidP="009F4BBB" w:rsidRDefault="00F159B4">
            <w:pPr>
              <w:jc w:val="right"/>
              <w:rPr>
                <w:sz w:val="18"/>
                <w:szCs w:val="18"/>
              </w:rPr>
            </w:pPr>
          </w:p>
        </w:tc>
        <w:tc>
          <w:tcPr>
            <w:tcW w:w="1087" w:type="dxa"/>
            <w:shd w:val="clear" w:color="auto" w:fill="auto"/>
          </w:tcPr>
          <w:p w:rsidRPr="005E399C" w:rsidR="00F159B4" w:rsidP="009F4BBB" w:rsidRDefault="00F159B4">
            <w:pPr>
              <w:spacing w:before="240"/>
              <w:jc w:val="right"/>
              <w:rPr>
                <w:sz w:val="18"/>
                <w:szCs w:val="18"/>
              </w:rPr>
            </w:pPr>
            <w:r>
              <w:rPr>
                <w:sz w:val="18"/>
                <w:szCs w:val="18"/>
              </w:rPr>
              <w:t>.</w:t>
            </w:r>
            <w:r w:rsidR="000E77A7">
              <w:rPr>
                <w:sz w:val="18"/>
                <w:szCs w:val="18"/>
              </w:rPr>
              <w:t>25</w:t>
            </w:r>
            <w:r w:rsidRPr="005E399C">
              <w:rPr>
                <w:sz w:val="18"/>
                <w:szCs w:val="18"/>
              </w:rPr>
              <w:br/>
            </w:r>
          </w:p>
        </w:tc>
        <w:tc>
          <w:tcPr>
            <w:tcW w:w="969" w:type="dxa"/>
            <w:shd w:val="clear" w:color="auto" w:fill="auto"/>
          </w:tcPr>
          <w:p w:rsidRPr="005E399C" w:rsidR="00F159B4" w:rsidP="009F4BBB" w:rsidRDefault="00F159B4">
            <w:pPr>
              <w:spacing w:before="240"/>
              <w:jc w:val="right"/>
              <w:rPr>
                <w:sz w:val="18"/>
                <w:szCs w:val="18"/>
              </w:rPr>
            </w:pPr>
            <w:r>
              <w:rPr>
                <w:sz w:val="18"/>
                <w:szCs w:val="18"/>
              </w:rPr>
              <w:t>1</w:t>
            </w:r>
            <w:r w:rsidR="000E77A7">
              <w:rPr>
                <w:sz w:val="18"/>
                <w:szCs w:val="18"/>
              </w:rPr>
              <w:t>2,0</w:t>
            </w:r>
            <w:r>
              <w:rPr>
                <w:sz w:val="18"/>
                <w:szCs w:val="18"/>
              </w:rPr>
              <w:t>00</w:t>
            </w:r>
          </w:p>
          <w:p w:rsidRPr="005E399C" w:rsidR="00F159B4" w:rsidP="009F4BBB" w:rsidRDefault="00F159B4">
            <w:pPr>
              <w:jc w:val="right"/>
              <w:rPr>
                <w:sz w:val="18"/>
                <w:szCs w:val="18"/>
              </w:rPr>
            </w:pPr>
          </w:p>
        </w:tc>
        <w:tc>
          <w:tcPr>
            <w:tcW w:w="1010" w:type="dxa"/>
            <w:shd w:val="clear" w:color="auto" w:fill="auto"/>
          </w:tcPr>
          <w:p w:rsidRPr="005E399C" w:rsidR="00F159B4" w:rsidP="009F4BBB" w:rsidRDefault="00F159B4">
            <w:pPr>
              <w:spacing w:before="240"/>
              <w:jc w:val="center"/>
              <w:rPr>
                <w:sz w:val="18"/>
                <w:szCs w:val="18"/>
              </w:rPr>
            </w:pPr>
            <w:r>
              <w:rPr>
                <w:sz w:val="18"/>
                <w:szCs w:val="18"/>
              </w:rPr>
              <w:t>$5.37</w:t>
            </w:r>
          </w:p>
          <w:p w:rsidRPr="005E399C" w:rsidR="00F159B4" w:rsidP="009F4BBB" w:rsidRDefault="00F159B4">
            <w:pPr>
              <w:jc w:val="center"/>
              <w:rPr>
                <w:sz w:val="18"/>
                <w:szCs w:val="18"/>
              </w:rPr>
            </w:pPr>
          </w:p>
        </w:tc>
        <w:tc>
          <w:tcPr>
            <w:tcW w:w="1179" w:type="dxa"/>
            <w:shd w:val="clear" w:color="auto" w:fill="auto"/>
          </w:tcPr>
          <w:p w:rsidRPr="005E399C" w:rsidR="00F159B4" w:rsidP="009F4BBB" w:rsidRDefault="00F159B4">
            <w:pPr>
              <w:spacing w:before="240"/>
              <w:jc w:val="center"/>
              <w:rPr>
                <w:sz w:val="18"/>
                <w:szCs w:val="18"/>
              </w:rPr>
            </w:pPr>
            <w:r>
              <w:rPr>
                <w:sz w:val="18"/>
                <w:szCs w:val="18"/>
              </w:rPr>
              <w:t>$2,685.00</w:t>
            </w:r>
          </w:p>
          <w:p w:rsidRPr="005E399C" w:rsidR="00F159B4" w:rsidP="009F4BBB" w:rsidRDefault="00F159B4">
            <w:pPr>
              <w:jc w:val="center"/>
              <w:rPr>
                <w:sz w:val="18"/>
                <w:szCs w:val="18"/>
              </w:rPr>
            </w:pPr>
          </w:p>
          <w:p w:rsidRPr="005E399C" w:rsidR="00F159B4" w:rsidP="009F4BBB" w:rsidRDefault="00F159B4">
            <w:pPr>
              <w:jc w:val="center"/>
              <w:rPr>
                <w:sz w:val="18"/>
                <w:szCs w:val="18"/>
              </w:rPr>
            </w:pPr>
          </w:p>
          <w:p w:rsidRPr="005E399C" w:rsidR="00F159B4" w:rsidP="009F4BBB" w:rsidRDefault="00F159B4">
            <w:pPr>
              <w:rPr>
                <w:sz w:val="18"/>
                <w:szCs w:val="18"/>
              </w:rPr>
            </w:pPr>
          </w:p>
        </w:tc>
      </w:tr>
    </w:tbl>
    <w:p w:rsidR="00F159B4" w:rsidP="00F837A8" w:rsidRDefault="00F159B4">
      <w:pPr>
        <w:ind w:left="720"/>
      </w:pPr>
    </w:p>
    <w:p w:rsidR="000E77A7" w:rsidP="00F837A8" w:rsidRDefault="000E77A7">
      <w:pPr>
        <w:ind w:left="720"/>
      </w:pPr>
      <w:r>
        <w:t xml:space="preserve">The </w:t>
      </w:r>
      <w:r w:rsidR="00D32942">
        <w:t xml:space="preserve">Total Annual Respondent Cost </w:t>
      </w:r>
      <w:r>
        <w:t>is $2,685.00</w:t>
      </w:r>
      <w:r w:rsidR="00D32942">
        <w:t>.</w:t>
      </w:r>
    </w:p>
    <w:p w:rsidR="000E77A7" w:rsidP="00F837A8" w:rsidRDefault="000E77A7">
      <w:pPr>
        <w:ind w:left="720"/>
      </w:pPr>
    </w:p>
    <w:p w:rsidRPr="00741061" w:rsidR="00090319" w:rsidP="00090319" w:rsidRDefault="00090319">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Pr="00741061" w:rsidR="00090319" w:rsidP="00090319" w:rsidRDefault="00090319">
      <w:pPr>
        <w:pStyle w:val="ListParagraph"/>
        <w:shd w:val="pct25" w:color="auto" w:fill="auto"/>
        <w:tabs>
          <w:tab w:val="left" w:pos="-720"/>
        </w:tabs>
        <w:suppressAutoHyphens/>
        <w:ind w:left="0"/>
      </w:pPr>
    </w:p>
    <w:p w:rsidRPr="00741061" w:rsidR="00090319" w:rsidP="00090319" w:rsidRDefault="00090319">
      <w:pPr>
        <w:pStyle w:val="ListParagraph"/>
        <w:shd w:val="pct25" w:color="auto" w:fill="auto"/>
        <w:tabs>
          <w:tab w:val="left" w:pos="-720"/>
          <w:tab w:val="left" w:pos="810"/>
        </w:tabs>
        <w:suppressAutoHyphens/>
        <w:ind w:left="0"/>
      </w:pPr>
      <w:r w:rsidRPr="00741061">
        <w:t>The cost estimate should be split into two components</w:t>
      </w:r>
      <w:proofErr w:type="gramStart"/>
      <w:r w:rsidRPr="00741061">
        <w:t>:  (</w:t>
      </w:r>
      <w:proofErr w:type="gramEnd"/>
      <w:r w:rsidRPr="00741061">
        <w:t xml:space="preserve">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w:t>
      </w:r>
      <w:r w:rsidRPr="00741061">
        <w:lastRenderedPageBreak/>
        <w:t>costs will be incurred.  Capital and start-up costs include, among other items, preparations for collecting information such as purchasing computers and software; monitoring, sampling, drilling and testing equipment; and record storage facilities.</w:t>
      </w:r>
    </w:p>
    <w:p w:rsidRPr="00741061" w:rsidR="00090319" w:rsidP="00090319" w:rsidRDefault="00090319">
      <w:pPr>
        <w:pStyle w:val="ListParagraph"/>
        <w:shd w:val="pct25" w:color="auto" w:fill="FFFFFF"/>
        <w:tabs>
          <w:tab w:val="left" w:pos="-720"/>
        </w:tabs>
        <w:suppressAutoHyphens/>
        <w:ind w:left="0"/>
      </w:pPr>
    </w:p>
    <w:p w:rsidRPr="00741061" w:rsidR="00090319" w:rsidP="00090319" w:rsidRDefault="00090319">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090319" w:rsidP="00090319" w:rsidRDefault="00090319">
      <w:pPr>
        <w:pStyle w:val="ListParagraph"/>
        <w:shd w:val="pct25" w:color="auto" w:fill="FFFFFF"/>
        <w:tabs>
          <w:tab w:val="left" w:pos="-720"/>
        </w:tabs>
        <w:suppressAutoHyphens/>
        <w:ind w:left="0"/>
      </w:pPr>
    </w:p>
    <w:p w:rsidRPr="00741061" w:rsidR="00090319" w:rsidP="00090319" w:rsidRDefault="00090319">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0866D0" w:rsidP="00C76942" w:rsidRDefault="000866D0">
      <w:pPr>
        <w:ind w:left="720" w:hanging="720"/>
      </w:pPr>
    </w:p>
    <w:p w:rsidR="000E77A7" w:rsidP="000453A3" w:rsidRDefault="00090319">
      <w:r>
        <w:t xml:space="preserve">       </w:t>
      </w:r>
      <w:r w:rsidR="00B93208">
        <w:t>Th</w:t>
      </w:r>
      <w:r w:rsidR="000E77A7">
        <w:t>ere is no change in the respondent burden</w:t>
      </w:r>
      <w:r w:rsidR="00B93208">
        <w:t>.</w:t>
      </w:r>
    </w:p>
    <w:p w:rsidR="000E77A7" w:rsidP="000E77A7" w:rsidRDefault="000E77A7">
      <w:pPr>
        <w:ind w:left="720"/>
      </w:pPr>
    </w:p>
    <w:p w:rsidR="000E77A7" w:rsidP="000E77A7" w:rsidRDefault="000E77A7">
      <w:pPr>
        <w:shd w:val="pct25" w:color="auto" w:fill="auto"/>
        <w:tabs>
          <w:tab w:val="left" w:pos="-720"/>
        </w:tabs>
        <w:suppressAutoHyphens/>
      </w:pPr>
      <w:r w:rsidRPr="00741061">
        <w:t xml:space="preserve">14.  Provide estimates of annualized cost to the Federal Government.  Also, provide a description </w:t>
      </w:r>
    </w:p>
    <w:p w:rsidR="000E77A7" w:rsidP="000E77A7" w:rsidRDefault="000E77A7">
      <w:pPr>
        <w:shd w:val="pct25" w:color="auto" w:fill="auto"/>
        <w:tabs>
          <w:tab w:val="left" w:pos="-720"/>
        </w:tabs>
        <w:suppressAutoHyphens/>
      </w:pPr>
      <w:r>
        <w:t xml:space="preserve">       </w:t>
      </w:r>
      <w:r w:rsidRPr="00741061">
        <w:t xml:space="preserve">of the method used to estimate cost, which should include quantification of hours, </w:t>
      </w:r>
      <w:r>
        <w:t xml:space="preserve">        </w:t>
      </w:r>
    </w:p>
    <w:p w:rsidR="000E77A7" w:rsidP="000E77A7" w:rsidRDefault="000E77A7">
      <w:pPr>
        <w:shd w:val="pct25" w:color="auto" w:fill="auto"/>
        <w:tabs>
          <w:tab w:val="left" w:pos="-720"/>
        </w:tabs>
        <w:suppressAutoHyphens/>
      </w:pPr>
      <w:r>
        <w:t xml:space="preserve">       </w:t>
      </w:r>
      <w:r w:rsidRPr="00741061">
        <w:t xml:space="preserve">operational expenses (such as equipment, overhead, printing and support staff), and any </w:t>
      </w:r>
    </w:p>
    <w:p w:rsidR="000E77A7" w:rsidP="000E77A7" w:rsidRDefault="000E77A7">
      <w:pPr>
        <w:shd w:val="pct25" w:color="auto" w:fill="auto"/>
        <w:tabs>
          <w:tab w:val="left" w:pos="-720"/>
        </w:tabs>
        <w:suppressAutoHyphens/>
      </w:pPr>
      <w:r>
        <w:t xml:space="preserve">       </w:t>
      </w:r>
      <w:r w:rsidRPr="00741061">
        <w:t xml:space="preserve">other expense that would have been incurred without this collection of information.   You </w:t>
      </w:r>
    </w:p>
    <w:p w:rsidR="000E77A7" w:rsidP="000E77A7" w:rsidRDefault="000E77A7">
      <w:pPr>
        <w:shd w:val="pct25" w:color="auto" w:fill="auto"/>
        <w:tabs>
          <w:tab w:val="left" w:pos="-720"/>
        </w:tabs>
        <w:suppressAutoHyphens/>
      </w:pPr>
      <w:r>
        <w:t xml:space="preserve">       </w:t>
      </w:r>
      <w:r w:rsidRPr="00741061">
        <w:t>may also aggregate cost estimates for Items 12,</w:t>
      </w:r>
      <w:r>
        <w:t xml:space="preserve"> 13, and 14 in a single table.</w:t>
      </w:r>
    </w:p>
    <w:p w:rsidR="000866D0" w:rsidP="000E77A7" w:rsidRDefault="00B93208">
      <w:pPr>
        <w:ind w:left="720"/>
      </w:pPr>
      <w:r>
        <w:t xml:space="preserve"> </w:t>
      </w:r>
    </w:p>
    <w:p w:rsidR="00090319" w:rsidP="00090319" w:rsidRDefault="00090319">
      <w:r>
        <w:t xml:space="preserve">      </w:t>
      </w:r>
      <w:r w:rsidR="005B7A8C">
        <w:t xml:space="preserve">The estimated total annual cost to the Federal </w:t>
      </w:r>
      <w:r w:rsidR="00BE0803">
        <w:t>Government</w:t>
      </w:r>
      <w:r w:rsidR="005B7A8C">
        <w:t xml:space="preserve"> is </w:t>
      </w:r>
      <w:r w:rsidRPr="00337395" w:rsidR="005B7A8C">
        <w:t>$</w:t>
      </w:r>
      <w:r w:rsidRPr="00337395" w:rsidR="00BE0803">
        <w:t>12,700</w:t>
      </w:r>
      <w:r w:rsidR="005B7A8C">
        <w:t xml:space="preserve">. The cost includes </w:t>
      </w:r>
    </w:p>
    <w:p w:rsidR="00B93208" w:rsidP="000453A3" w:rsidRDefault="00090319">
      <w:r>
        <w:t xml:space="preserve">      </w:t>
      </w:r>
      <w:r w:rsidR="005B7A8C">
        <w:t xml:space="preserve">employee salary hours devoted to the program, overhead, and forms costs. </w:t>
      </w:r>
    </w:p>
    <w:p w:rsidR="005B7A8C" w:rsidP="00C76942" w:rsidRDefault="005B7A8C">
      <w:pPr>
        <w:ind w:left="720" w:hanging="720"/>
      </w:pPr>
    </w:p>
    <w:p w:rsidR="00090319" w:rsidP="00090319" w:rsidRDefault="00090319">
      <w:pPr>
        <w:pStyle w:val="ListParagraph"/>
        <w:shd w:val="pct25" w:color="auto" w:fill="auto"/>
        <w:tabs>
          <w:tab w:val="left" w:pos="-720"/>
        </w:tabs>
        <w:suppressAutoHyphens/>
        <w:ind w:left="0"/>
      </w:pPr>
      <w:r w:rsidRPr="00741061">
        <w:t xml:space="preserve">15.  Explain the reasons for any program changes or adjustments reported in Items 13 or 14 of </w:t>
      </w:r>
    </w:p>
    <w:p w:rsidR="00090319" w:rsidP="00090319" w:rsidRDefault="00090319">
      <w:pPr>
        <w:pStyle w:val="ListParagraph"/>
        <w:shd w:val="pct25" w:color="auto" w:fill="auto"/>
        <w:tabs>
          <w:tab w:val="left" w:pos="-720"/>
        </w:tabs>
        <w:suppressAutoHyphens/>
        <w:ind w:left="0"/>
      </w:pPr>
      <w:r>
        <w:t xml:space="preserve">       </w:t>
      </w:r>
      <w:r w:rsidRPr="00741061">
        <w:t xml:space="preserve">the OMB Form 83-I.  Changes in hour burden, i.e., program changes or adjustments made to </w:t>
      </w:r>
      <w:r>
        <w:t xml:space="preserve">  </w:t>
      </w:r>
    </w:p>
    <w:p w:rsidR="00090319" w:rsidP="00090319" w:rsidRDefault="00090319">
      <w:pPr>
        <w:pStyle w:val="ListParagraph"/>
        <w:shd w:val="pct25" w:color="auto" w:fill="auto"/>
        <w:tabs>
          <w:tab w:val="left" w:pos="-720"/>
        </w:tabs>
        <w:suppressAutoHyphens/>
        <w:ind w:left="0"/>
      </w:pPr>
      <w:r>
        <w:t xml:space="preserve">       </w:t>
      </w:r>
      <w:r w:rsidRPr="00741061">
        <w:t xml:space="preserve">annual reporting and recordkeeping </w:t>
      </w:r>
      <w:r w:rsidRPr="00A10BE7">
        <w:rPr>
          <w:b/>
        </w:rPr>
        <w:t>hour</w:t>
      </w:r>
      <w:r w:rsidRPr="00741061">
        <w:t xml:space="preserve"> and </w:t>
      </w:r>
      <w:r w:rsidRPr="00A10BE7">
        <w:rPr>
          <w:b/>
        </w:rPr>
        <w:t>cost</w:t>
      </w:r>
      <w:r w:rsidRPr="00741061">
        <w:t xml:space="preserve"> burden.  A program change is the result </w:t>
      </w:r>
    </w:p>
    <w:p w:rsidR="00090319" w:rsidP="00090319" w:rsidRDefault="00090319">
      <w:pPr>
        <w:pStyle w:val="ListParagraph"/>
        <w:shd w:val="pct25" w:color="auto" w:fill="auto"/>
        <w:tabs>
          <w:tab w:val="left" w:pos="-720"/>
        </w:tabs>
        <w:suppressAutoHyphens/>
        <w:ind w:left="0"/>
      </w:pPr>
      <w:r>
        <w:t xml:space="preserve">       </w:t>
      </w:r>
      <w:r w:rsidRPr="00741061">
        <w:t xml:space="preserve">of deliberate Federal government action.  All new collections and any subsequent revisions </w:t>
      </w:r>
    </w:p>
    <w:p w:rsidR="00090319" w:rsidP="00090319" w:rsidRDefault="00090319">
      <w:pPr>
        <w:pStyle w:val="ListParagraph"/>
        <w:shd w:val="pct25" w:color="auto" w:fill="auto"/>
        <w:tabs>
          <w:tab w:val="left" w:pos="-720"/>
        </w:tabs>
        <w:suppressAutoHyphens/>
        <w:ind w:left="0"/>
      </w:pPr>
      <w:r>
        <w:t xml:space="preserve">       </w:t>
      </w:r>
      <w:r w:rsidRPr="00741061">
        <w:t xml:space="preserve">of existing collections (e.g., the addition or deletion of questions) are recorded as program </w:t>
      </w:r>
    </w:p>
    <w:p w:rsidR="00090319" w:rsidP="00090319" w:rsidRDefault="00090319">
      <w:pPr>
        <w:pStyle w:val="ListParagraph"/>
        <w:shd w:val="pct25" w:color="auto" w:fill="auto"/>
        <w:tabs>
          <w:tab w:val="left" w:pos="-720"/>
        </w:tabs>
        <w:suppressAutoHyphens/>
        <w:ind w:left="0"/>
      </w:pPr>
      <w:r>
        <w:t xml:space="preserve">       </w:t>
      </w:r>
      <w:r w:rsidRPr="00741061">
        <w:t xml:space="preserve">changes. An adjustment is a change that is not the result of a deliberate Federal government </w:t>
      </w:r>
    </w:p>
    <w:p w:rsidR="00090319" w:rsidP="00090319" w:rsidRDefault="00090319">
      <w:pPr>
        <w:pStyle w:val="ListParagraph"/>
        <w:shd w:val="pct25" w:color="auto" w:fill="auto"/>
        <w:tabs>
          <w:tab w:val="left" w:pos="-720"/>
        </w:tabs>
        <w:suppressAutoHyphens/>
        <w:ind w:left="0"/>
      </w:pPr>
      <w:r>
        <w:t xml:space="preserve">       </w:t>
      </w:r>
      <w:r w:rsidRPr="00741061">
        <w:t xml:space="preserve">action. These changes that result from new estimates or actions not controllable by the </w:t>
      </w:r>
    </w:p>
    <w:p w:rsidRPr="00741061" w:rsidR="00090319" w:rsidP="00090319" w:rsidRDefault="00090319">
      <w:pPr>
        <w:pStyle w:val="ListParagraph"/>
        <w:shd w:val="pct25" w:color="auto" w:fill="auto"/>
        <w:tabs>
          <w:tab w:val="left" w:pos="-720"/>
        </w:tabs>
        <w:suppressAutoHyphens/>
        <w:ind w:left="0"/>
      </w:pPr>
      <w:r>
        <w:t xml:space="preserve">       </w:t>
      </w:r>
      <w:r w:rsidRPr="00741061">
        <w:t xml:space="preserve">Federal government are recorded as adjustments. </w:t>
      </w:r>
    </w:p>
    <w:p w:rsidR="000E77A7" w:rsidP="00C76942" w:rsidRDefault="000E77A7">
      <w:pPr>
        <w:ind w:left="720" w:hanging="720"/>
      </w:pPr>
    </w:p>
    <w:p w:rsidR="005B7A8C" w:rsidP="000453A3" w:rsidRDefault="00090319">
      <w:r>
        <w:t xml:space="preserve">      </w:t>
      </w:r>
      <w:r w:rsidRPr="00144293" w:rsidR="00144293">
        <w:t>There are no changes to the respondent burden</w:t>
      </w:r>
      <w:r w:rsidR="00144293">
        <w:t>.</w:t>
      </w:r>
    </w:p>
    <w:p w:rsidR="008740B8" w:rsidP="008740B8" w:rsidRDefault="008740B8">
      <w:pPr>
        <w:ind w:left="720"/>
      </w:pPr>
    </w:p>
    <w:p w:rsidR="00DF48A1" w:rsidP="00DF48A1" w:rsidRDefault="00DF48A1">
      <w:pPr>
        <w:pStyle w:val="ListParagraph"/>
        <w:shd w:val="pct25" w:color="auto" w:fill="auto"/>
        <w:tabs>
          <w:tab w:val="left" w:pos="-720"/>
        </w:tabs>
        <w:suppressAutoHyphens/>
        <w:ind w:left="0"/>
      </w:pPr>
      <w:r w:rsidRPr="00DF085B">
        <w:t xml:space="preserve">16.  For collections of information whose results will be published, outline plans for tabulation </w:t>
      </w:r>
      <w:r>
        <w:t xml:space="preserve"> </w:t>
      </w:r>
    </w:p>
    <w:p w:rsidR="00DF48A1" w:rsidP="00DF48A1" w:rsidRDefault="00DF48A1">
      <w:pPr>
        <w:pStyle w:val="ListParagraph"/>
        <w:shd w:val="pct25" w:color="auto" w:fill="auto"/>
        <w:tabs>
          <w:tab w:val="left" w:pos="-720"/>
        </w:tabs>
        <w:suppressAutoHyphens/>
        <w:ind w:left="0"/>
      </w:pPr>
      <w:r>
        <w:t xml:space="preserve">       </w:t>
      </w:r>
      <w:r w:rsidRPr="00DF085B">
        <w:t xml:space="preserve">and publication.  Address any complex analytical techniques that will be used.  Provide the </w:t>
      </w:r>
    </w:p>
    <w:p w:rsidR="00DF48A1" w:rsidP="00DF48A1" w:rsidRDefault="00DF48A1">
      <w:pPr>
        <w:pStyle w:val="ListParagraph"/>
        <w:shd w:val="pct25" w:color="auto" w:fill="auto"/>
        <w:tabs>
          <w:tab w:val="left" w:pos="-720"/>
        </w:tabs>
        <w:suppressAutoHyphens/>
        <w:ind w:left="0"/>
      </w:pPr>
      <w:r>
        <w:t xml:space="preserve">       </w:t>
      </w:r>
      <w:r w:rsidRPr="00DF085B">
        <w:t xml:space="preserve">time schedule for the entire project, including beginning and ending dates of the collection </w:t>
      </w:r>
      <w:r>
        <w:t xml:space="preserve">  </w:t>
      </w:r>
    </w:p>
    <w:p w:rsidRPr="00DF085B" w:rsidR="00DF48A1" w:rsidP="00DF48A1" w:rsidRDefault="00DF48A1">
      <w:pPr>
        <w:pStyle w:val="ListParagraph"/>
        <w:shd w:val="pct25" w:color="auto" w:fill="auto"/>
        <w:tabs>
          <w:tab w:val="left" w:pos="-720"/>
        </w:tabs>
        <w:suppressAutoHyphens/>
        <w:ind w:left="0"/>
      </w:pPr>
      <w:r>
        <w:t xml:space="preserve">       </w:t>
      </w:r>
      <w:r w:rsidRPr="00DF085B">
        <w:t xml:space="preserve">of information, completion of report, publication dates, and other actions. </w:t>
      </w:r>
    </w:p>
    <w:p w:rsidRPr="00144293" w:rsidR="008740B8" w:rsidP="008740B8" w:rsidRDefault="008740B8">
      <w:pPr>
        <w:ind w:left="720"/>
      </w:pPr>
    </w:p>
    <w:p w:rsidR="005B7A8C" w:rsidP="000453A3" w:rsidRDefault="00DF48A1">
      <w:r>
        <w:t xml:space="preserve">      </w:t>
      </w:r>
      <w:r w:rsidR="005B7A8C">
        <w:t xml:space="preserve">The results of this information are not published. </w:t>
      </w:r>
    </w:p>
    <w:p w:rsidR="008740B8" w:rsidP="008740B8" w:rsidRDefault="008740B8">
      <w:pPr>
        <w:ind w:firstLine="720"/>
      </w:pPr>
    </w:p>
    <w:p w:rsidR="008740B8" w:rsidP="008740B8" w:rsidRDefault="008740B8">
      <w:pPr>
        <w:pStyle w:val="ListParagraph"/>
        <w:shd w:val="pct25" w:color="auto" w:fill="auto"/>
        <w:tabs>
          <w:tab w:val="left" w:pos="-720"/>
        </w:tabs>
        <w:suppressAutoHyphens/>
        <w:ind w:left="0"/>
      </w:pPr>
      <w:r w:rsidRPr="00741061">
        <w:lastRenderedPageBreak/>
        <w:t xml:space="preserve">17.  If seeking approval to not display the expiration date for OMB approval of the information </w:t>
      </w:r>
      <w:r>
        <w:t xml:space="preserve">  </w:t>
      </w:r>
    </w:p>
    <w:p w:rsidRPr="00741061" w:rsidR="008740B8" w:rsidP="008740B8" w:rsidRDefault="008740B8">
      <w:pPr>
        <w:pStyle w:val="ListParagraph"/>
        <w:shd w:val="pct25" w:color="auto" w:fill="auto"/>
        <w:tabs>
          <w:tab w:val="left" w:pos="-720"/>
        </w:tabs>
        <w:suppressAutoHyphens/>
        <w:ind w:left="0"/>
      </w:pPr>
      <w:r>
        <w:t xml:space="preserve">      </w:t>
      </w:r>
      <w:proofErr w:type="gramStart"/>
      <w:r w:rsidRPr="00741061">
        <w:t>collection,</w:t>
      </w:r>
      <w:proofErr w:type="gramEnd"/>
      <w:r w:rsidRPr="00741061">
        <w:t xml:space="preserve"> explain reasons that display would be inappropriate.</w:t>
      </w:r>
    </w:p>
    <w:p w:rsidR="008740B8" w:rsidP="008740B8" w:rsidRDefault="008740B8">
      <w:pPr>
        <w:ind w:firstLine="720"/>
      </w:pPr>
    </w:p>
    <w:p w:rsidR="008740B8" w:rsidP="000453A3" w:rsidRDefault="00DA3518">
      <w:pPr>
        <w:ind w:left="280"/>
        <w:rPr>
          <w:sz w:val="22"/>
          <w:szCs w:val="22"/>
        </w:rPr>
      </w:pPr>
      <w:r>
        <w:rPr>
          <w:sz w:val="22"/>
          <w:szCs w:val="22"/>
        </w:rPr>
        <w:t>The substance of this information collection does not substantively change at each OMB renewal cycle, but according to changes in law and regulation</w:t>
      </w:r>
      <w:r w:rsidR="00681A66">
        <w:rPr>
          <w:sz w:val="22"/>
          <w:szCs w:val="22"/>
        </w:rPr>
        <w:t xml:space="preserve"> </w:t>
      </w:r>
      <w:r w:rsidR="003B5726">
        <w:rPr>
          <w:sz w:val="22"/>
          <w:szCs w:val="22"/>
        </w:rPr>
        <w:t>Federal employees and annuitants routinely use this form to designate their beneficiaries</w:t>
      </w:r>
      <w:r w:rsidR="008B1F50">
        <w:rPr>
          <w:sz w:val="22"/>
          <w:szCs w:val="22"/>
        </w:rPr>
        <w:t xml:space="preserve"> and submit the completed form to their employing office or OPM Retirement Services. Pursuant to 870.802(b), t</w:t>
      </w:r>
      <w:r w:rsidR="003B5726">
        <w:rPr>
          <w:sz w:val="22"/>
          <w:szCs w:val="22"/>
        </w:rPr>
        <w:t>he form is provided to the Office of Federal Employees’ Group Life Insurance (OFEGLI) for</w:t>
      </w:r>
      <w:r w:rsidR="008B1F50">
        <w:rPr>
          <w:sz w:val="22"/>
          <w:szCs w:val="22"/>
        </w:rPr>
        <w:t xml:space="preserve"> the payment of a claim upon the insured’s death</w:t>
      </w:r>
      <w:r w:rsidR="003B5726">
        <w:rPr>
          <w:sz w:val="22"/>
          <w:szCs w:val="22"/>
        </w:rPr>
        <w:t xml:space="preserve">. </w:t>
      </w:r>
      <w:r>
        <w:rPr>
          <w:sz w:val="22"/>
          <w:szCs w:val="22"/>
        </w:rPr>
        <w:t>These forms are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information required by long-standing statutory provisions.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00DA3518" w:rsidP="008740B8" w:rsidRDefault="00DA3518">
      <w:pPr>
        <w:ind w:left="720"/>
      </w:pPr>
    </w:p>
    <w:p w:rsidRPr="00741061" w:rsidR="008740B8" w:rsidP="008740B8" w:rsidRDefault="008740B8">
      <w:pPr>
        <w:pStyle w:val="ListParagraph"/>
        <w:shd w:val="pct25" w:color="auto" w:fill="auto"/>
        <w:tabs>
          <w:tab w:val="left" w:pos="-720"/>
        </w:tabs>
        <w:suppressAutoHyphens/>
        <w:ind w:left="0"/>
      </w:pPr>
      <w:r w:rsidRPr="00741061">
        <w:t xml:space="preserve">18.  Explain each exception to the certification statement identified in Item 19 “Certification for </w:t>
      </w:r>
      <w:r>
        <w:br/>
        <w:t xml:space="preserve">       </w:t>
      </w:r>
      <w:r w:rsidRPr="00741061">
        <w:t>Paperwork Reduction Act Submissions,” of OMB Form 83-I.</w:t>
      </w:r>
    </w:p>
    <w:p w:rsidR="00DF48A1" w:rsidP="00DF48A1" w:rsidRDefault="00DF48A1"/>
    <w:p w:rsidR="0067398F" w:rsidP="000453A3" w:rsidRDefault="00DF48A1">
      <w:r>
        <w:t xml:space="preserve">      </w:t>
      </w:r>
      <w:r w:rsidR="00CC3EF3">
        <w:t>There are no exceptions to the certification statement</w:t>
      </w:r>
      <w:r w:rsidR="00D320CF">
        <w:t>.</w:t>
      </w:r>
    </w:p>
    <w:p w:rsidR="00CC3EF3" w:rsidP="00C76942" w:rsidRDefault="00CC3EF3">
      <w:pPr>
        <w:ind w:left="720" w:hanging="720"/>
      </w:pPr>
    </w:p>
    <w:sectPr w:rsidR="00CC3EF3" w:rsidSect="00D32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92C6B"/>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BF12E31"/>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A2F0CD7"/>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35664FBE"/>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7571267"/>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6280A7F"/>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74536BC5"/>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7EF378F0"/>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3BC"/>
    <w:rsid w:val="0001037B"/>
    <w:rsid w:val="000126EC"/>
    <w:rsid w:val="00023EFF"/>
    <w:rsid w:val="00035AB3"/>
    <w:rsid w:val="00042F38"/>
    <w:rsid w:val="000453A3"/>
    <w:rsid w:val="00067F24"/>
    <w:rsid w:val="000866D0"/>
    <w:rsid w:val="00090319"/>
    <w:rsid w:val="000A18CE"/>
    <w:rsid w:val="000A725A"/>
    <w:rsid w:val="000E4F79"/>
    <w:rsid w:val="000E77A7"/>
    <w:rsid w:val="00103A85"/>
    <w:rsid w:val="00106751"/>
    <w:rsid w:val="001165AD"/>
    <w:rsid w:val="00135AE8"/>
    <w:rsid w:val="00141F7C"/>
    <w:rsid w:val="00144293"/>
    <w:rsid w:val="0017090F"/>
    <w:rsid w:val="001E698D"/>
    <w:rsid w:val="001F592D"/>
    <w:rsid w:val="002259F4"/>
    <w:rsid w:val="002403BC"/>
    <w:rsid w:val="00260F77"/>
    <w:rsid w:val="00277A85"/>
    <w:rsid w:val="00281042"/>
    <w:rsid w:val="0029021C"/>
    <w:rsid w:val="002E31CD"/>
    <w:rsid w:val="00337395"/>
    <w:rsid w:val="003520D1"/>
    <w:rsid w:val="00392A19"/>
    <w:rsid w:val="00397A9F"/>
    <w:rsid w:val="003A2FF4"/>
    <w:rsid w:val="003B5726"/>
    <w:rsid w:val="003D1084"/>
    <w:rsid w:val="003E0A98"/>
    <w:rsid w:val="003E172E"/>
    <w:rsid w:val="003F2FD5"/>
    <w:rsid w:val="003F4C90"/>
    <w:rsid w:val="0045752A"/>
    <w:rsid w:val="0046135D"/>
    <w:rsid w:val="0046453E"/>
    <w:rsid w:val="00471966"/>
    <w:rsid w:val="004774B2"/>
    <w:rsid w:val="00486EE9"/>
    <w:rsid w:val="004B7766"/>
    <w:rsid w:val="004E22F9"/>
    <w:rsid w:val="005115B4"/>
    <w:rsid w:val="005456E4"/>
    <w:rsid w:val="005507B8"/>
    <w:rsid w:val="00550AF7"/>
    <w:rsid w:val="00551E37"/>
    <w:rsid w:val="005634BA"/>
    <w:rsid w:val="005A72A2"/>
    <w:rsid w:val="005B7A8C"/>
    <w:rsid w:val="005C31BC"/>
    <w:rsid w:val="00624197"/>
    <w:rsid w:val="00652F5D"/>
    <w:rsid w:val="0067398F"/>
    <w:rsid w:val="00681A66"/>
    <w:rsid w:val="00683EA6"/>
    <w:rsid w:val="0073480D"/>
    <w:rsid w:val="00756C0E"/>
    <w:rsid w:val="00756C37"/>
    <w:rsid w:val="00766CFE"/>
    <w:rsid w:val="00775492"/>
    <w:rsid w:val="007854BC"/>
    <w:rsid w:val="00795429"/>
    <w:rsid w:val="00797AF8"/>
    <w:rsid w:val="007E454B"/>
    <w:rsid w:val="007F0DE6"/>
    <w:rsid w:val="007F4092"/>
    <w:rsid w:val="00800C77"/>
    <w:rsid w:val="00840B00"/>
    <w:rsid w:val="008700EC"/>
    <w:rsid w:val="008740B8"/>
    <w:rsid w:val="0087682C"/>
    <w:rsid w:val="00885C8B"/>
    <w:rsid w:val="008A1A71"/>
    <w:rsid w:val="008B1F50"/>
    <w:rsid w:val="008F4FDF"/>
    <w:rsid w:val="00901C4E"/>
    <w:rsid w:val="00906BDC"/>
    <w:rsid w:val="009431A4"/>
    <w:rsid w:val="009439B5"/>
    <w:rsid w:val="00981920"/>
    <w:rsid w:val="00981D7B"/>
    <w:rsid w:val="00984801"/>
    <w:rsid w:val="009A0D83"/>
    <w:rsid w:val="009A3933"/>
    <w:rsid w:val="009C1F25"/>
    <w:rsid w:val="009F4BBB"/>
    <w:rsid w:val="00A94685"/>
    <w:rsid w:val="00AA4DD1"/>
    <w:rsid w:val="00AF32F4"/>
    <w:rsid w:val="00B20B84"/>
    <w:rsid w:val="00B366D3"/>
    <w:rsid w:val="00B46A63"/>
    <w:rsid w:val="00B76F3F"/>
    <w:rsid w:val="00B93208"/>
    <w:rsid w:val="00BE0803"/>
    <w:rsid w:val="00C05E1B"/>
    <w:rsid w:val="00C20F8B"/>
    <w:rsid w:val="00C21919"/>
    <w:rsid w:val="00C501E3"/>
    <w:rsid w:val="00C567DC"/>
    <w:rsid w:val="00C736C2"/>
    <w:rsid w:val="00C74116"/>
    <w:rsid w:val="00C76942"/>
    <w:rsid w:val="00CC3EF3"/>
    <w:rsid w:val="00CC5538"/>
    <w:rsid w:val="00CE3ABD"/>
    <w:rsid w:val="00CF7DFB"/>
    <w:rsid w:val="00D320CF"/>
    <w:rsid w:val="00D32942"/>
    <w:rsid w:val="00D44C6C"/>
    <w:rsid w:val="00D62DC6"/>
    <w:rsid w:val="00D73D70"/>
    <w:rsid w:val="00D85F40"/>
    <w:rsid w:val="00DA3518"/>
    <w:rsid w:val="00DE38B9"/>
    <w:rsid w:val="00DE51F1"/>
    <w:rsid w:val="00DF48A1"/>
    <w:rsid w:val="00DF698E"/>
    <w:rsid w:val="00E21F24"/>
    <w:rsid w:val="00E377B2"/>
    <w:rsid w:val="00E63A75"/>
    <w:rsid w:val="00E766F9"/>
    <w:rsid w:val="00E95B4F"/>
    <w:rsid w:val="00EA3645"/>
    <w:rsid w:val="00ED222F"/>
    <w:rsid w:val="00F159B4"/>
    <w:rsid w:val="00F23033"/>
    <w:rsid w:val="00F2523F"/>
    <w:rsid w:val="00F35821"/>
    <w:rsid w:val="00F360E5"/>
    <w:rsid w:val="00F6250F"/>
    <w:rsid w:val="00F638C8"/>
    <w:rsid w:val="00F837A8"/>
    <w:rsid w:val="00F97099"/>
    <w:rsid w:val="00FA4D39"/>
    <w:rsid w:val="00FC1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4E5CB6C-67AA-45B2-8990-F9E0AF28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135AE8"/>
    <w:pPr>
      <w:ind w:left="720"/>
    </w:pPr>
  </w:style>
  <w:style w:type="paragraph" w:styleId="BalloonText">
    <w:name w:val="Balloon Text"/>
    <w:basedOn w:val="Normal"/>
    <w:link w:val="BalloonTextChar"/>
    <w:rsid w:val="000453A3"/>
    <w:rPr>
      <w:rFonts w:ascii="Segoe UI" w:hAnsi="Segoe UI" w:cs="Segoe UI"/>
      <w:sz w:val="18"/>
      <w:szCs w:val="18"/>
    </w:rPr>
  </w:style>
  <w:style w:type="character" w:customStyle="1" w:styleId="BalloonTextChar">
    <w:name w:val="Balloon Text Char"/>
    <w:link w:val="BalloonText"/>
    <w:rsid w:val="000453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78411-083A-4FF7-9FE5-C5CC482F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2353</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OPM</dc:creator>
  <cp:keywords/>
  <cp:lastModifiedBy>Ikpe, Yvonne R.</cp:lastModifiedBy>
  <cp:revision>2</cp:revision>
  <cp:lastPrinted>2010-08-23T14:21:00Z</cp:lastPrinted>
  <dcterms:created xsi:type="dcterms:W3CDTF">2020-10-22T19:21:00Z</dcterms:created>
  <dcterms:modified xsi:type="dcterms:W3CDTF">2020-10-22T19:21:00Z</dcterms:modified>
</cp:coreProperties>
</file>