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C1110" w:rsidR="00447C1E" w:rsidP="00447C1E" w:rsidRDefault="00447C1E" w14:paraId="1CE8F823" w14:textId="77777777">
      <w:pPr>
        <w:tabs>
          <w:tab w:val="center" w:pos="4680"/>
        </w:tabs>
        <w:suppressAutoHyphens/>
        <w:spacing w:line="480" w:lineRule="auto"/>
        <w:jc w:val="center"/>
        <w:rPr>
          <w:rFonts w:asciiTheme="minorHAnsi" w:hAnsiTheme="minorHAnsi" w:cstheme="minorHAnsi"/>
          <w:b/>
          <w:szCs w:val="24"/>
        </w:rPr>
      </w:pPr>
      <w:r w:rsidRPr="00FC1110">
        <w:rPr>
          <w:rFonts w:asciiTheme="minorHAnsi" w:hAnsiTheme="minorHAnsi" w:cstheme="minorHAnsi"/>
          <w:b/>
          <w:szCs w:val="24"/>
        </w:rPr>
        <w:t>SUPPORTING STATEMENT</w:t>
      </w:r>
      <w:r w:rsidRPr="00FC1110" w:rsidR="0062567E">
        <w:rPr>
          <w:rFonts w:asciiTheme="minorHAnsi" w:hAnsiTheme="minorHAnsi" w:cstheme="minorHAnsi"/>
          <w:b/>
          <w:szCs w:val="24"/>
        </w:rPr>
        <w:t xml:space="preserve"> </w:t>
      </w:r>
      <w:r w:rsidRPr="00FC1110" w:rsidR="00204E6E">
        <w:rPr>
          <w:rFonts w:asciiTheme="minorHAnsi" w:hAnsiTheme="minorHAnsi" w:cstheme="minorHAnsi"/>
          <w:b/>
          <w:szCs w:val="24"/>
        </w:rPr>
        <w:t xml:space="preserve">- PART A </w:t>
      </w:r>
      <w:r w:rsidRPr="00FC1110" w:rsidR="0062567E">
        <w:rPr>
          <w:rFonts w:asciiTheme="minorHAnsi" w:hAnsiTheme="minorHAnsi" w:cstheme="minorHAnsi"/>
          <w:b/>
          <w:szCs w:val="24"/>
        </w:rPr>
        <w:t>for</w:t>
      </w:r>
    </w:p>
    <w:p w:rsidRPr="00FC1110" w:rsidR="00BD1DD0" w:rsidP="00447C1E" w:rsidRDefault="00AD4629" w14:paraId="30841B5A" w14:textId="358C355E">
      <w:pPr>
        <w:tabs>
          <w:tab w:val="right" w:pos="9360"/>
        </w:tabs>
        <w:spacing w:line="480" w:lineRule="auto"/>
        <w:jc w:val="center"/>
        <w:rPr>
          <w:rFonts w:asciiTheme="minorHAnsi" w:hAnsiTheme="minorHAnsi" w:cstheme="minorHAnsi"/>
          <w:b/>
          <w:szCs w:val="24"/>
          <w:lang w:val="es-US"/>
        </w:rPr>
      </w:pPr>
      <w:r w:rsidRPr="00FC1110">
        <w:rPr>
          <w:rFonts w:asciiTheme="minorHAnsi" w:hAnsiTheme="minorHAnsi" w:cstheme="minorHAnsi"/>
          <w:b/>
          <w:szCs w:val="24"/>
          <w:lang w:val="es-US"/>
        </w:rPr>
        <w:t xml:space="preserve">OMB </w:t>
      </w:r>
      <w:r w:rsidRPr="00FC1110" w:rsidR="009F7E1A">
        <w:rPr>
          <w:rFonts w:asciiTheme="minorHAnsi" w:hAnsiTheme="minorHAnsi" w:cstheme="minorHAnsi"/>
          <w:b/>
          <w:szCs w:val="24"/>
          <w:lang w:val="es-US"/>
        </w:rPr>
        <w:t xml:space="preserve">Control </w:t>
      </w:r>
      <w:r w:rsidRPr="00FC1110" w:rsidR="009F7E1A">
        <w:rPr>
          <w:rFonts w:asciiTheme="minorHAnsi" w:hAnsiTheme="minorHAnsi" w:cstheme="minorHAnsi"/>
          <w:b/>
          <w:szCs w:val="24"/>
        </w:rPr>
        <w:t>Number</w:t>
      </w:r>
      <w:r w:rsidRPr="00FC1110">
        <w:rPr>
          <w:rFonts w:asciiTheme="minorHAnsi" w:hAnsiTheme="minorHAnsi" w:cstheme="minorHAnsi"/>
          <w:b/>
          <w:szCs w:val="24"/>
          <w:lang w:val="es-US"/>
        </w:rPr>
        <w:t xml:space="preserve"> 0584-</w:t>
      </w:r>
      <w:r w:rsidR="00171E96">
        <w:rPr>
          <w:rFonts w:asciiTheme="minorHAnsi" w:hAnsiTheme="minorHAnsi" w:cstheme="minorHAnsi"/>
          <w:b/>
          <w:szCs w:val="24"/>
          <w:lang w:val="es-US"/>
        </w:rPr>
        <w:t>0652</w:t>
      </w:r>
      <w:r w:rsidRPr="00FC1110" w:rsidR="00B335C9">
        <w:rPr>
          <w:rFonts w:asciiTheme="minorHAnsi" w:hAnsiTheme="minorHAnsi" w:cstheme="minorHAnsi"/>
          <w:b/>
          <w:szCs w:val="24"/>
          <w:lang w:val="es-US"/>
        </w:rPr>
        <w:t xml:space="preserve">:  </w:t>
      </w:r>
    </w:p>
    <w:p w:rsidRPr="00FC1110" w:rsidR="00B335C9" w:rsidP="00447C1E" w:rsidRDefault="008C59D7" w14:paraId="571A0DDB" w14:textId="77777777">
      <w:pPr>
        <w:tabs>
          <w:tab w:val="right" w:pos="9360"/>
        </w:tabs>
        <w:spacing w:line="480" w:lineRule="auto"/>
        <w:jc w:val="center"/>
        <w:rPr>
          <w:rFonts w:asciiTheme="minorHAnsi" w:hAnsiTheme="minorHAnsi" w:cstheme="minorHAnsi"/>
          <w:szCs w:val="24"/>
          <w:lang w:val="es-US"/>
        </w:rPr>
      </w:pPr>
      <w:r w:rsidRPr="00FC1110">
        <w:rPr>
          <w:rFonts w:asciiTheme="minorHAnsi" w:hAnsiTheme="minorHAnsi" w:cstheme="minorHAnsi"/>
          <w:b/>
          <w:szCs w:val="24"/>
        </w:rPr>
        <w:t>Agency Information Collection Activities:  Supplemental Nutrition Assistance Program Emergency Allotments (COVID-19)</w:t>
      </w:r>
    </w:p>
    <w:p w:rsidRPr="00FC1110" w:rsidR="00B335C9" w:rsidP="00447C1E" w:rsidRDefault="00B335C9" w14:paraId="1D927350" w14:textId="77777777">
      <w:pPr>
        <w:tabs>
          <w:tab w:val="right" w:pos="9360"/>
        </w:tabs>
        <w:spacing w:line="480" w:lineRule="auto"/>
        <w:jc w:val="center"/>
        <w:rPr>
          <w:rFonts w:asciiTheme="minorHAnsi" w:hAnsiTheme="minorHAnsi" w:cstheme="minorHAnsi"/>
          <w:szCs w:val="24"/>
          <w:lang w:val="es-US"/>
        </w:rPr>
      </w:pPr>
    </w:p>
    <w:p w:rsidRPr="00FC1110" w:rsidR="008C59D7" w:rsidP="00447C1E" w:rsidRDefault="008C59D7" w14:paraId="165E74FE" w14:textId="77777777">
      <w:pPr>
        <w:spacing w:line="480" w:lineRule="auto"/>
        <w:jc w:val="center"/>
        <w:rPr>
          <w:rFonts w:asciiTheme="minorHAnsi" w:hAnsiTheme="minorHAnsi" w:cstheme="minorHAnsi"/>
          <w:szCs w:val="24"/>
          <w:lang w:val="es-US"/>
        </w:rPr>
      </w:pPr>
    </w:p>
    <w:p w:rsidRPr="00FC1110" w:rsidR="008C59D7" w:rsidP="00447C1E" w:rsidRDefault="008C59D7" w14:paraId="40BAFF34" w14:textId="77777777">
      <w:pPr>
        <w:spacing w:line="480" w:lineRule="auto"/>
        <w:jc w:val="center"/>
        <w:rPr>
          <w:rFonts w:asciiTheme="minorHAnsi" w:hAnsiTheme="minorHAnsi" w:cstheme="minorHAnsi"/>
          <w:szCs w:val="24"/>
          <w:lang w:val="es-US"/>
        </w:rPr>
      </w:pPr>
    </w:p>
    <w:p w:rsidRPr="00FC1110" w:rsidR="008C59D7" w:rsidP="00447C1E" w:rsidRDefault="008C59D7" w14:paraId="60DD39F1" w14:textId="77777777">
      <w:pPr>
        <w:spacing w:line="480" w:lineRule="auto"/>
        <w:jc w:val="center"/>
        <w:rPr>
          <w:rFonts w:asciiTheme="minorHAnsi" w:hAnsiTheme="minorHAnsi" w:cstheme="minorHAnsi"/>
          <w:szCs w:val="24"/>
          <w:lang w:val="es-US"/>
        </w:rPr>
      </w:pPr>
    </w:p>
    <w:p w:rsidRPr="00FC1110" w:rsidR="008C59D7" w:rsidP="00447C1E" w:rsidRDefault="008C59D7" w14:paraId="2204BA67" w14:textId="77777777">
      <w:pPr>
        <w:spacing w:line="480" w:lineRule="auto"/>
        <w:jc w:val="center"/>
        <w:rPr>
          <w:rFonts w:asciiTheme="minorHAnsi" w:hAnsiTheme="minorHAnsi" w:cstheme="minorHAnsi"/>
          <w:szCs w:val="24"/>
          <w:lang w:val="es-US"/>
        </w:rPr>
      </w:pPr>
    </w:p>
    <w:p w:rsidRPr="00FC1110" w:rsidR="008C59D7" w:rsidP="00447C1E" w:rsidRDefault="008C59D7" w14:paraId="2A6FD1D1" w14:textId="77777777">
      <w:pPr>
        <w:spacing w:line="480" w:lineRule="auto"/>
        <w:jc w:val="center"/>
        <w:rPr>
          <w:rFonts w:asciiTheme="minorHAnsi" w:hAnsiTheme="minorHAnsi" w:cstheme="minorHAnsi"/>
          <w:szCs w:val="24"/>
          <w:lang w:val="es-US"/>
        </w:rPr>
      </w:pPr>
    </w:p>
    <w:p w:rsidRPr="00FC1110" w:rsidR="008C59D7" w:rsidP="00447C1E" w:rsidRDefault="008C59D7" w14:paraId="1ED114F2" w14:textId="77777777">
      <w:pPr>
        <w:spacing w:line="480" w:lineRule="auto"/>
        <w:jc w:val="center"/>
        <w:rPr>
          <w:rFonts w:asciiTheme="minorHAnsi" w:hAnsiTheme="minorHAnsi" w:cstheme="minorHAnsi"/>
          <w:szCs w:val="24"/>
          <w:lang w:val="es-US"/>
        </w:rPr>
      </w:pPr>
    </w:p>
    <w:p w:rsidRPr="00FC1110" w:rsidR="008C59D7" w:rsidP="00447C1E" w:rsidRDefault="008C59D7" w14:paraId="561D4F78" w14:textId="77777777">
      <w:pPr>
        <w:spacing w:line="480" w:lineRule="auto"/>
        <w:jc w:val="center"/>
        <w:rPr>
          <w:rFonts w:asciiTheme="minorHAnsi" w:hAnsiTheme="minorHAnsi" w:cstheme="minorHAnsi"/>
          <w:szCs w:val="24"/>
          <w:lang w:val="es-US"/>
        </w:rPr>
      </w:pPr>
    </w:p>
    <w:p w:rsidRPr="00FC1110" w:rsidR="008C59D7" w:rsidP="00447C1E" w:rsidRDefault="008C59D7" w14:paraId="3D7E9A57" w14:textId="77777777">
      <w:pPr>
        <w:spacing w:line="480" w:lineRule="auto"/>
        <w:jc w:val="center"/>
        <w:rPr>
          <w:rFonts w:asciiTheme="minorHAnsi" w:hAnsiTheme="minorHAnsi" w:cstheme="minorHAnsi"/>
          <w:szCs w:val="24"/>
          <w:lang w:val="es-US"/>
        </w:rPr>
      </w:pPr>
    </w:p>
    <w:p w:rsidRPr="00FC1110" w:rsidR="008C59D7" w:rsidP="00447C1E" w:rsidRDefault="008C59D7" w14:paraId="3CF3DD16" w14:textId="77777777">
      <w:pPr>
        <w:spacing w:line="480" w:lineRule="auto"/>
        <w:jc w:val="center"/>
        <w:rPr>
          <w:rFonts w:asciiTheme="minorHAnsi" w:hAnsiTheme="minorHAnsi" w:cstheme="minorHAnsi"/>
          <w:szCs w:val="24"/>
          <w:lang w:val="es-US"/>
        </w:rPr>
      </w:pPr>
    </w:p>
    <w:p w:rsidRPr="00FC1110" w:rsidR="008C59D7" w:rsidP="00447C1E" w:rsidRDefault="008C59D7" w14:paraId="72757AE4" w14:textId="77777777">
      <w:pPr>
        <w:spacing w:line="480" w:lineRule="auto"/>
        <w:jc w:val="center"/>
        <w:rPr>
          <w:rFonts w:asciiTheme="minorHAnsi" w:hAnsiTheme="minorHAnsi" w:cstheme="minorHAnsi"/>
          <w:szCs w:val="24"/>
          <w:lang w:val="es-US"/>
        </w:rPr>
      </w:pPr>
    </w:p>
    <w:p w:rsidRPr="00FC1110" w:rsidR="008C59D7" w:rsidP="00447C1E" w:rsidRDefault="008C59D7" w14:paraId="1B0F6B96" w14:textId="77777777">
      <w:pPr>
        <w:spacing w:line="480" w:lineRule="auto"/>
        <w:jc w:val="center"/>
        <w:rPr>
          <w:rFonts w:asciiTheme="minorHAnsi" w:hAnsiTheme="minorHAnsi" w:cstheme="minorHAnsi"/>
          <w:szCs w:val="24"/>
          <w:lang w:val="es-US"/>
        </w:rPr>
      </w:pPr>
    </w:p>
    <w:p w:rsidRPr="00FC1110" w:rsidR="00447C1E" w:rsidP="00447C1E" w:rsidRDefault="008C59D7" w14:paraId="399F1E47" w14:textId="77777777">
      <w:pPr>
        <w:spacing w:line="480" w:lineRule="auto"/>
        <w:jc w:val="center"/>
        <w:rPr>
          <w:rFonts w:asciiTheme="minorHAnsi" w:hAnsiTheme="minorHAnsi" w:cstheme="minorHAnsi"/>
          <w:szCs w:val="24"/>
          <w:lang w:val="es-US"/>
        </w:rPr>
      </w:pPr>
      <w:r w:rsidRPr="00FC1110">
        <w:rPr>
          <w:rFonts w:asciiTheme="minorHAnsi" w:hAnsiTheme="minorHAnsi" w:cstheme="minorHAnsi"/>
          <w:szCs w:val="24"/>
          <w:lang w:val="es-US"/>
        </w:rPr>
        <w:t>Kelly Stewart</w:t>
      </w:r>
    </w:p>
    <w:p w:rsidRPr="00FC1110" w:rsidR="00447C1E" w:rsidP="00447C1E" w:rsidRDefault="008C59D7" w14:paraId="285959E5" w14:textId="77777777">
      <w:pPr>
        <w:spacing w:line="480" w:lineRule="auto"/>
        <w:jc w:val="center"/>
        <w:rPr>
          <w:rFonts w:asciiTheme="minorHAnsi" w:hAnsiTheme="minorHAnsi" w:cstheme="minorHAnsi"/>
          <w:szCs w:val="24"/>
        </w:rPr>
      </w:pPr>
      <w:r w:rsidRPr="00FC1110">
        <w:rPr>
          <w:rFonts w:asciiTheme="minorHAnsi" w:hAnsiTheme="minorHAnsi" w:cstheme="minorHAnsi"/>
          <w:szCs w:val="24"/>
        </w:rPr>
        <w:t>Senior Technical Advisor</w:t>
      </w:r>
    </w:p>
    <w:p w:rsidRPr="00FC1110" w:rsidR="00447C1E" w:rsidP="00447C1E" w:rsidRDefault="008C59D7" w14:paraId="06DA6057" w14:textId="77777777">
      <w:pPr>
        <w:tabs>
          <w:tab w:val="left" w:pos="-720"/>
        </w:tabs>
        <w:suppressAutoHyphens/>
        <w:spacing w:line="480" w:lineRule="auto"/>
        <w:jc w:val="center"/>
        <w:rPr>
          <w:rFonts w:asciiTheme="minorHAnsi" w:hAnsiTheme="minorHAnsi" w:cstheme="minorHAnsi"/>
          <w:szCs w:val="24"/>
        </w:rPr>
      </w:pPr>
      <w:r w:rsidRPr="00FC1110">
        <w:rPr>
          <w:rFonts w:asciiTheme="minorHAnsi" w:hAnsiTheme="minorHAnsi" w:cstheme="minorHAnsi"/>
          <w:szCs w:val="24"/>
        </w:rPr>
        <w:t>Supplemental Nutrition Assistance Program</w:t>
      </w:r>
    </w:p>
    <w:p w:rsidRPr="00FC1110" w:rsidR="00447C1E" w:rsidP="00447C1E" w:rsidRDefault="009F7E1A" w14:paraId="02AE9B49" w14:textId="77777777">
      <w:pPr>
        <w:spacing w:line="480" w:lineRule="auto"/>
        <w:jc w:val="center"/>
        <w:rPr>
          <w:rFonts w:asciiTheme="minorHAnsi" w:hAnsiTheme="minorHAnsi" w:cstheme="minorHAnsi"/>
          <w:szCs w:val="24"/>
        </w:rPr>
      </w:pPr>
      <w:r w:rsidRPr="00FC1110">
        <w:rPr>
          <w:rFonts w:asciiTheme="minorHAnsi" w:hAnsiTheme="minorHAnsi" w:cstheme="minorHAnsi"/>
          <w:szCs w:val="24"/>
        </w:rPr>
        <w:t xml:space="preserve">USDA, </w:t>
      </w:r>
      <w:r w:rsidRPr="00FC1110" w:rsidR="00447C1E">
        <w:rPr>
          <w:rFonts w:asciiTheme="minorHAnsi" w:hAnsiTheme="minorHAnsi" w:cstheme="minorHAnsi"/>
          <w:szCs w:val="24"/>
        </w:rPr>
        <w:t>Food and Nutrition Service</w:t>
      </w:r>
    </w:p>
    <w:p w:rsidRPr="00FC1110" w:rsidR="00447C1E" w:rsidP="00447C1E" w:rsidRDefault="008C59D7" w14:paraId="7F880367" w14:textId="77777777">
      <w:pPr>
        <w:spacing w:line="480" w:lineRule="auto"/>
        <w:jc w:val="center"/>
        <w:rPr>
          <w:rFonts w:asciiTheme="minorHAnsi" w:hAnsiTheme="minorHAnsi" w:cstheme="minorHAnsi"/>
          <w:szCs w:val="24"/>
        </w:rPr>
      </w:pPr>
      <w:r w:rsidRPr="00FC1110">
        <w:rPr>
          <w:rFonts w:asciiTheme="minorHAnsi" w:hAnsiTheme="minorHAnsi" w:cstheme="minorHAnsi"/>
          <w:szCs w:val="24"/>
        </w:rPr>
        <w:t>1320 Braddock Place</w:t>
      </w:r>
    </w:p>
    <w:p w:rsidRPr="00FC1110" w:rsidR="00447C1E" w:rsidP="00447C1E" w:rsidRDefault="008C59D7" w14:paraId="1FF775FE" w14:textId="77777777">
      <w:pPr>
        <w:spacing w:line="480" w:lineRule="auto"/>
        <w:jc w:val="center"/>
        <w:rPr>
          <w:rFonts w:asciiTheme="minorHAnsi" w:hAnsiTheme="minorHAnsi" w:cstheme="minorHAnsi"/>
          <w:szCs w:val="24"/>
        </w:rPr>
      </w:pPr>
      <w:r w:rsidRPr="00FC1110">
        <w:rPr>
          <w:rFonts w:asciiTheme="minorHAnsi" w:hAnsiTheme="minorHAnsi" w:cstheme="minorHAnsi"/>
          <w:szCs w:val="24"/>
        </w:rPr>
        <w:t>Alexandria, Virginia 22314</w:t>
      </w:r>
    </w:p>
    <w:p w:rsidRPr="00F81358" w:rsidR="00905A5F" w:rsidP="008C59D7" w:rsidRDefault="00905A5F" w14:paraId="73764725" w14:textId="77777777">
      <w:pPr>
        <w:widowControl/>
        <w:overflowPunct/>
        <w:autoSpaceDE/>
        <w:autoSpaceDN/>
        <w:adjustRightInd/>
        <w:textAlignment w:val="auto"/>
        <w:rPr>
          <w:rFonts w:asciiTheme="minorHAnsi" w:hAnsiTheme="minorHAnsi" w:cstheme="minorHAnsi"/>
          <w:b/>
          <w:szCs w:val="24"/>
          <w:u w:val="single"/>
        </w:rPr>
      </w:pPr>
      <w:r w:rsidRPr="00F81358">
        <w:rPr>
          <w:rFonts w:asciiTheme="minorHAnsi" w:hAnsiTheme="minorHAnsi" w:cstheme="minorHAnsi"/>
          <w:b/>
          <w:szCs w:val="24"/>
          <w:u w:val="single"/>
        </w:rPr>
        <w:lastRenderedPageBreak/>
        <w:t>Table of Contents</w:t>
      </w:r>
    </w:p>
    <w:p w:rsidRPr="00F81358" w:rsidR="006D7476" w:rsidRDefault="00905A5F" w14:paraId="672D1D6B" w14:textId="4FC60BCF">
      <w:pPr>
        <w:pStyle w:val="TOC1"/>
        <w:rPr>
          <w:rFonts w:asciiTheme="minorHAnsi" w:hAnsiTheme="minorHAnsi" w:eastAsiaTheme="minorEastAsia" w:cstheme="minorHAnsi"/>
          <w:b w:val="0"/>
          <w:bCs w:val="0"/>
          <w:caps w:val="0"/>
          <w:sz w:val="22"/>
          <w:szCs w:val="22"/>
        </w:rPr>
      </w:pPr>
      <w:r w:rsidRPr="00F81358">
        <w:rPr>
          <w:rFonts w:asciiTheme="minorHAnsi" w:hAnsiTheme="minorHAnsi" w:cstheme="minorHAnsi"/>
          <w:szCs w:val="24"/>
        </w:rPr>
        <w:fldChar w:fldCharType="begin"/>
      </w:r>
      <w:r w:rsidRPr="00F81358">
        <w:rPr>
          <w:rFonts w:asciiTheme="minorHAnsi" w:hAnsiTheme="minorHAnsi" w:cstheme="minorHAnsi"/>
          <w:szCs w:val="24"/>
        </w:rPr>
        <w:instrText xml:space="preserve"> TOC \o "1-2" \h \z \u </w:instrText>
      </w:r>
      <w:r w:rsidRPr="00F81358">
        <w:rPr>
          <w:rFonts w:asciiTheme="minorHAnsi" w:hAnsiTheme="minorHAnsi" w:cstheme="minorHAnsi"/>
          <w:szCs w:val="24"/>
        </w:rPr>
        <w:fldChar w:fldCharType="separate"/>
      </w:r>
      <w:hyperlink w:history="1" w:anchor="_Toc55565777">
        <w:r w:rsidRPr="00F81358" w:rsidR="006D7476">
          <w:rPr>
            <w:rStyle w:val="Hyperlink"/>
            <w:rFonts w:asciiTheme="minorHAnsi" w:hAnsiTheme="minorHAnsi" w:cstheme="minorHAnsi"/>
          </w:rPr>
          <w:t>A1. Circumstances that make the collection of information necessary.</w:t>
        </w:r>
        <w:r w:rsidRPr="00F81358" w:rsidR="006D7476">
          <w:rPr>
            <w:rFonts w:asciiTheme="minorHAnsi" w:hAnsiTheme="minorHAnsi" w:cstheme="minorHAnsi"/>
            <w:webHidden/>
          </w:rPr>
          <w:tab/>
        </w:r>
        <w:r w:rsidRPr="00F81358" w:rsidR="006D7476">
          <w:rPr>
            <w:rFonts w:asciiTheme="minorHAnsi" w:hAnsiTheme="minorHAnsi" w:cstheme="minorHAnsi"/>
            <w:webHidden/>
          </w:rPr>
          <w:fldChar w:fldCharType="begin"/>
        </w:r>
        <w:r w:rsidRPr="00F81358" w:rsidR="006D7476">
          <w:rPr>
            <w:rFonts w:asciiTheme="minorHAnsi" w:hAnsiTheme="minorHAnsi" w:cstheme="minorHAnsi"/>
            <w:webHidden/>
          </w:rPr>
          <w:instrText xml:space="preserve"> PAGEREF _Toc55565777 \h </w:instrText>
        </w:r>
        <w:r w:rsidRPr="00F81358" w:rsidR="006D7476">
          <w:rPr>
            <w:rFonts w:asciiTheme="minorHAnsi" w:hAnsiTheme="minorHAnsi" w:cstheme="minorHAnsi"/>
            <w:webHidden/>
          </w:rPr>
        </w:r>
        <w:r w:rsidRPr="00F81358" w:rsidR="006D7476">
          <w:rPr>
            <w:rFonts w:asciiTheme="minorHAnsi" w:hAnsiTheme="minorHAnsi" w:cstheme="minorHAnsi"/>
            <w:webHidden/>
          </w:rPr>
          <w:fldChar w:fldCharType="separate"/>
        </w:r>
        <w:r w:rsidRPr="00F81358" w:rsidR="006D7476">
          <w:rPr>
            <w:rFonts w:asciiTheme="minorHAnsi" w:hAnsiTheme="minorHAnsi" w:cstheme="minorHAnsi"/>
            <w:webHidden/>
          </w:rPr>
          <w:t>4</w:t>
        </w:r>
        <w:r w:rsidRPr="00F81358" w:rsidR="006D7476">
          <w:rPr>
            <w:rFonts w:asciiTheme="minorHAnsi" w:hAnsiTheme="minorHAnsi" w:cstheme="minorHAnsi"/>
            <w:webHidden/>
          </w:rPr>
          <w:fldChar w:fldCharType="end"/>
        </w:r>
      </w:hyperlink>
    </w:p>
    <w:p w:rsidRPr="00F81358" w:rsidR="006D7476" w:rsidRDefault="00F82137" w14:paraId="326B9244" w14:textId="502368E5">
      <w:pPr>
        <w:pStyle w:val="TOC1"/>
        <w:rPr>
          <w:rFonts w:asciiTheme="minorHAnsi" w:hAnsiTheme="minorHAnsi" w:eastAsiaTheme="minorEastAsia" w:cstheme="minorHAnsi"/>
          <w:b w:val="0"/>
          <w:bCs w:val="0"/>
          <w:caps w:val="0"/>
          <w:sz w:val="22"/>
          <w:szCs w:val="22"/>
        </w:rPr>
      </w:pPr>
      <w:hyperlink w:history="1" w:anchor="_Toc55565779">
        <w:r w:rsidRPr="00F81358" w:rsidR="006D7476">
          <w:rPr>
            <w:rStyle w:val="Hyperlink"/>
            <w:rFonts w:asciiTheme="minorHAnsi" w:hAnsiTheme="minorHAnsi" w:cstheme="minorHAnsi"/>
          </w:rPr>
          <w:t>A2. Purpose and Use of the Information.</w:t>
        </w:r>
        <w:r w:rsidRPr="00F81358" w:rsidR="006D7476">
          <w:rPr>
            <w:rFonts w:asciiTheme="minorHAnsi" w:hAnsiTheme="minorHAnsi" w:cstheme="minorHAnsi"/>
            <w:webHidden/>
          </w:rPr>
          <w:tab/>
        </w:r>
        <w:r w:rsidRPr="00F81358" w:rsidR="006D7476">
          <w:rPr>
            <w:rFonts w:asciiTheme="minorHAnsi" w:hAnsiTheme="minorHAnsi" w:cstheme="minorHAnsi"/>
            <w:webHidden/>
          </w:rPr>
          <w:fldChar w:fldCharType="begin"/>
        </w:r>
        <w:r w:rsidRPr="00F81358" w:rsidR="006D7476">
          <w:rPr>
            <w:rFonts w:asciiTheme="minorHAnsi" w:hAnsiTheme="minorHAnsi" w:cstheme="minorHAnsi"/>
            <w:webHidden/>
          </w:rPr>
          <w:instrText xml:space="preserve"> PAGEREF _Toc55565779 \h </w:instrText>
        </w:r>
        <w:r w:rsidRPr="00F81358" w:rsidR="006D7476">
          <w:rPr>
            <w:rFonts w:asciiTheme="minorHAnsi" w:hAnsiTheme="minorHAnsi" w:cstheme="minorHAnsi"/>
            <w:webHidden/>
          </w:rPr>
        </w:r>
        <w:r w:rsidRPr="00F81358" w:rsidR="006D7476">
          <w:rPr>
            <w:rFonts w:asciiTheme="minorHAnsi" w:hAnsiTheme="minorHAnsi" w:cstheme="minorHAnsi"/>
            <w:webHidden/>
          </w:rPr>
          <w:fldChar w:fldCharType="separate"/>
        </w:r>
        <w:r w:rsidRPr="00F81358" w:rsidR="006D7476">
          <w:rPr>
            <w:rFonts w:asciiTheme="minorHAnsi" w:hAnsiTheme="minorHAnsi" w:cstheme="minorHAnsi"/>
            <w:webHidden/>
          </w:rPr>
          <w:t>4</w:t>
        </w:r>
        <w:r w:rsidRPr="00F81358" w:rsidR="006D7476">
          <w:rPr>
            <w:rFonts w:asciiTheme="minorHAnsi" w:hAnsiTheme="minorHAnsi" w:cstheme="minorHAnsi"/>
            <w:webHidden/>
          </w:rPr>
          <w:fldChar w:fldCharType="end"/>
        </w:r>
      </w:hyperlink>
    </w:p>
    <w:p w:rsidRPr="00F81358" w:rsidR="006D7476" w:rsidRDefault="00F82137" w14:paraId="5395341E" w14:textId="2A10F8FF">
      <w:pPr>
        <w:pStyle w:val="TOC1"/>
        <w:rPr>
          <w:rFonts w:asciiTheme="minorHAnsi" w:hAnsiTheme="minorHAnsi" w:eastAsiaTheme="minorEastAsia" w:cstheme="minorHAnsi"/>
          <w:b w:val="0"/>
          <w:bCs w:val="0"/>
          <w:caps w:val="0"/>
          <w:sz w:val="22"/>
          <w:szCs w:val="22"/>
        </w:rPr>
      </w:pPr>
      <w:hyperlink w:history="1" w:anchor="_Toc55565791">
        <w:r w:rsidRPr="00F81358" w:rsidR="006D7476">
          <w:rPr>
            <w:rStyle w:val="Hyperlink"/>
            <w:rFonts w:asciiTheme="minorHAnsi" w:hAnsiTheme="minorHAnsi" w:cstheme="minorHAnsi"/>
          </w:rPr>
          <w:t>A3.  Use of information technology and burden reduction.</w:t>
        </w:r>
        <w:r w:rsidRPr="00F81358" w:rsidR="006D7476">
          <w:rPr>
            <w:rFonts w:asciiTheme="minorHAnsi" w:hAnsiTheme="minorHAnsi" w:cstheme="minorHAnsi"/>
            <w:webHidden/>
          </w:rPr>
          <w:tab/>
        </w:r>
        <w:r w:rsidRPr="00F81358" w:rsidR="006D7476">
          <w:rPr>
            <w:rFonts w:asciiTheme="minorHAnsi" w:hAnsiTheme="minorHAnsi" w:cstheme="minorHAnsi"/>
            <w:webHidden/>
          </w:rPr>
          <w:fldChar w:fldCharType="begin"/>
        </w:r>
        <w:r w:rsidRPr="00F81358" w:rsidR="006D7476">
          <w:rPr>
            <w:rFonts w:asciiTheme="minorHAnsi" w:hAnsiTheme="minorHAnsi" w:cstheme="minorHAnsi"/>
            <w:webHidden/>
          </w:rPr>
          <w:instrText xml:space="preserve"> PAGEREF _Toc55565791 \h </w:instrText>
        </w:r>
        <w:r w:rsidRPr="00F81358" w:rsidR="006D7476">
          <w:rPr>
            <w:rFonts w:asciiTheme="minorHAnsi" w:hAnsiTheme="minorHAnsi" w:cstheme="minorHAnsi"/>
            <w:webHidden/>
          </w:rPr>
        </w:r>
        <w:r w:rsidRPr="00F81358" w:rsidR="006D7476">
          <w:rPr>
            <w:rFonts w:asciiTheme="minorHAnsi" w:hAnsiTheme="minorHAnsi" w:cstheme="minorHAnsi"/>
            <w:webHidden/>
          </w:rPr>
          <w:fldChar w:fldCharType="separate"/>
        </w:r>
        <w:r w:rsidRPr="00F81358" w:rsidR="006D7476">
          <w:rPr>
            <w:rFonts w:asciiTheme="minorHAnsi" w:hAnsiTheme="minorHAnsi" w:cstheme="minorHAnsi"/>
            <w:webHidden/>
          </w:rPr>
          <w:t>6</w:t>
        </w:r>
        <w:r w:rsidRPr="00F81358" w:rsidR="006D7476">
          <w:rPr>
            <w:rFonts w:asciiTheme="minorHAnsi" w:hAnsiTheme="minorHAnsi" w:cstheme="minorHAnsi"/>
            <w:webHidden/>
          </w:rPr>
          <w:fldChar w:fldCharType="end"/>
        </w:r>
      </w:hyperlink>
    </w:p>
    <w:p w:rsidRPr="00F81358" w:rsidR="006D7476" w:rsidRDefault="00F82137" w14:paraId="1DFD5398" w14:textId="4E2F099D">
      <w:pPr>
        <w:pStyle w:val="TOC1"/>
        <w:rPr>
          <w:rFonts w:asciiTheme="minorHAnsi" w:hAnsiTheme="minorHAnsi" w:eastAsiaTheme="minorEastAsia" w:cstheme="minorHAnsi"/>
          <w:b w:val="0"/>
          <w:bCs w:val="0"/>
          <w:caps w:val="0"/>
          <w:sz w:val="22"/>
          <w:szCs w:val="22"/>
        </w:rPr>
      </w:pPr>
      <w:hyperlink w:history="1" w:anchor="_Toc55565792">
        <w:r w:rsidRPr="00F81358" w:rsidR="006D7476">
          <w:rPr>
            <w:rStyle w:val="Hyperlink"/>
            <w:rFonts w:asciiTheme="minorHAnsi" w:hAnsiTheme="minorHAnsi" w:cstheme="minorHAnsi"/>
          </w:rPr>
          <w:t>A4.  Efforts to identify duplication.</w:t>
        </w:r>
        <w:r w:rsidRPr="00F81358" w:rsidR="006D7476">
          <w:rPr>
            <w:rFonts w:asciiTheme="minorHAnsi" w:hAnsiTheme="minorHAnsi" w:cstheme="minorHAnsi"/>
            <w:webHidden/>
          </w:rPr>
          <w:tab/>
        </w:r>
        <w:r w:rsidRPr="00F81358" w:rsidR="006D7476">
          <w:rPr>
            <w:rFonts w:asciiTheme="minorHAnsi" w:hAnsiTheme="minorHAnsi" w:cstheme="minorHAnsi"/>
            <w:webHidden/>
          </w:rPr>
          <w:fldChar w:fldCharType="begin"/>
        </w:r>
        <w:r w:rsidRPr="00F81358" w:rsidR="006D7476">
          <w:rPr>
            <w:rFonts w:asciiTheme="minorHAnsi" w:hAnsiTheme="minorHAnsi" w:cstheme="minorHAnsi"/>
            <w:webHidden/>
          </w:rPr>
          <w:instrText xml:space="preserve"> PAGEREF _Toc55565792 \h </w:instrText>
        </w:r>
        <w:r w:rsidRPr="00F81358" w:rsidR="006D7476">
          <w:rPr>
            <w:rFonts w:asciiTheme="minorHAnsi" w:hAnsiTheme="minorHAnsi" w:cstheme="minorHAnsi"/>
            <w:webHidden/>
          </w:rPr>
        </w:r>
        <w:r w:rsidRPr="00F81358" w:rsidR="006D7476">
          <w:rPr>
            <w:rFonts w:asciiTheme="minorHAnsi" w:hAnsiTheme="minorHAnsi" w:cstheme="minorHAnsi"/>
            <w:webHidden/>
          </w:rPr>
          <w:fldChar w:fldCharType="separate"/>
        </w:r>
        <w:r w:rsidRPr="00F81358" w:rsidR="006D7476">
          <w:rPr>
            <w:rFonts w:asciiTheme="minorHAnsi" w:hAnsiTheme="minorHAnsi" w:cstheme="minorHAnsi"/>
            <w:webHidden/>
          </w:rPr>
          <w:t>7</w:t>
        </w:r>
        <w:r w:rsidRPr="00F81358" w:rsidR="006D7476">
          <w:rPr>
            <w:rFonts w:asciiTheme="minorHAnsi" w:hAnsiTheme="minorHAnsi" w:cstheme="minorHAnsi"/>
            <w:webHidden/>
          </w:rPr>
          <w:fldChar w:fldCharType="end"/>
        </w:r>
      </w:hyperlink>
    </w:p>
    <w:p w:rsidRPr="00F81358" w:rsidR="006D7476" w:rsidRDefault="00F82137" w14:paraId="1A7CA8E4" w14:textId="23D6C6FB">
      <w:pPr>
        <w:pStyle w:val="TOC1"/>
        <w:rPr>
          <w:rFonts w:asciiTheme="minorHAnsi" w:hAnsiTheme="minorHAnsi" w:eastAsiaTheme="minorEastAsia" w:cstheme="minorHAnsi"/>
          <w:b w:val="0"/>
          <w:bCs w:val="0"/>
          <w:caps w:val="0"/>
          <w:sz w:val="22"/>
          <w:szCs w:val="22"/>
        </w:rPr>
      </w:pPr>
      <w:hyperlink w:history="1" w:anchor="_Toc55565793">
        <w:r w:rsidRPr="00F81358" w:rsidR="006D7476">
          <w:rPr>
            <w:rStyle w:val="Hyperlink"/>
            <w:rFonts w:asciiTheme="minorHAnsi" w:hAnsiTheme="minorHAnsi" w:cstheme="minorHAnsi"/>
          </w:rPr>
          <w:t>A5.  Impacts on small businesses or other small entities.</w:t>
        </w:r>
        <w:r w:rsidRPr="00F81358" w:rsidR="006D7476">
          <w:rPr>
            <w:rFonts w:asciiTheme="minorHAnsi" w:hAnsiTheme="minorHAnsi" w:cstheme="minorHAnsi"/>
            <w:webHidden/>
          </w:rPr>
          <w:tab/>
        </w:r>
        <w:r w:rsidRPr="00F81358" w:rsidR="006D7476">
          <w:rPr>
            <w:rFonts w:asciiTheme="minorHAnsi" w:hAnsiTheme="minorHAnsi" w:cstheme="minorHAnsi"/>
            <w:webHidden/>
          </w:rPr>
          <w:fldChar w:fldCharType="begin"/>
        </w:r>
        <w:r w:rsidRPr="00F81358" w:rsidR="006D7476">
          <w:rPr>
            <w:rFonts w:asciiTheme="minorHAnsi" w:hAnsiTheme="minorHAnsi" w:cstheme="minorHAnsi"/>
            <w:webHidden/>
          </w:rPr>
          <w:instrText xml:space="preserve"> PAGEREF _Toc55565793 \h </w:instrText>
        </w:r>
        <w:r w:rsidRPr="00F81358" w:rsidR="006D7476">
          <w:rPr>
            <w:rFonts w:asciiTheme="minorHAnsi" w:hAnsiTheme="minorHAnsi" w:cstheme="minorHAnsi"/>
            <w:webHidden/>
          </w:rPr>
        </w:r>
        <w:r w:rsidRPr="00F81358" w:rsidR="006D7476">
          <w:rPr>
            <w:rFonts w:asciiTheme="minorHAnsi" w:hAnsiTheme="minorHAnsi" w:cstheme="minorHAnsi"/>
            <w:webHidden/>
          </w:rPr>
          <w:fldChar w:fldCharType="separate"/>
        </w:r>
        <w:r w:rsidRPr="00F81358" w:rsidR="006D7476">
          <w:rPr>
            <w:rFonts w:asciiTheme="minorHAnsi" w:hAnsiTheme="minorHAnsi" w:cstheme="minorHAnsi"/>
            <w:webHidden/>
          </w:rPr>
          <w:t>8</w:t>
        </w:r>
        <w:r w:rsidRPr="00F81358" w:rsidR="006D7476">
          <w:rPr>
            <w:rFonts w:asciiTheme="minorHAnsi" w:hAnsiTheme="minorHAnsi" w:cstheme="minorHAnsi"/>
            <w:webHidden/>
          </w:rPr>
          <w:fldChar w:fldCharType="end"/>
        </w:r>
      </w:hyperlink>
    </w:p>
    <w:p w:rsidRPr="00F81358" w:rsidR="006D7476" w:rsidRDefault="00F82137" w14:paraId="3B67EEEC" w14:textId="0E6B366A">
      <w:pPr>
        <w:pStyle w:val="TOC1"/>
        <w:rPr>
          <w:rFonts w:asciiTheme="minorHAnsi" w:hAnsiTheme="minorHAnsi" w:eastAsiaTheme="minorEastAsia" w:cstheme="minorHAnsi"/>
          <w:b w:val="0"/>
          <w:bCs w:val="0"/>
          <w:caps w:val="0"/>
          <w:sz w:val="22"/>
          <w:szCs w:val="22"/>
        </w:rPr>
      </w:pPr>
      <w:hyperlink w:history="1" w:anchor="_Toc55565794">
        <w:r w:rsidRPr="00F81358" w:rsidR="006D7476">
          <w:rPr>
            <w:rStyle w:val="Hyperlink"/>
            <w:rFonts w:asciiTheme="minorHAnsi" w:hAnsiTheme="minorHAnsi" w:cstheme="minorHAnsi"/>
          </w:rPr>
          <w:t>A6.  Consequences of collecting the information less frequently.</w:t>
        </w:r>
        <w:r w:rsidRPr="00F81358" w:rsidR="006D7476">
          <w:rPr>
            <w:rFonts w:asciiTheme="minorHAnsi" w:hAnsiTheme="minorHAnsi" w:cstheme="minorHAnsi"/>
            <w:webHidden/>
          </w:rPr>
          <w:tab/>
        </w:r>
        <w:r w:rsidRPr="00F81358" w:rsidR="006D7476">
          <w:rPr>
            <w:rFonts w:asciiTheme="minorHAnsi" w:hAnsiTheme="minorHAnsi" w:cstheme="minorHAnsi"/>
            <w:webHidden/>
          </w:rPr>
          <w:fldChar w:fldCharType="begin"/>
        </w:r>
        <w:r w:rsidRPr="00F81358" w:rsidR="006D7476">
          <w:rPr>
            <w:rFonts w:asciiTheme="minorHAnsi" w:hAnsiTheme="minorHAnsi" w:cstheme="minorHAnsi"/>
            <w:webHidden/>
          </w:rPr>
          <w:instrText xml:space="preserve"> PAGEREF _Toc55565794 \h </w:instrText>
        </w:r>
        <w:r w:rsidRPr="00F81358" w:rsidR="006D7476">
          <w:rPr>
            <w:rFonts w:asciiTheme="minorHAnsi" w:hAnsiTheme="minorHAnsi" w:cstheme="minorHAnsi"/>
            <w:webHidden/>
          </w:rPr>
        </w:r>
        <w:r w:rsidRPr="00F81358" w:rsidR="006D7476">
          <w:rPr>
            <w:rFonts w:asciiTheme="minorHAnsi" w:hAnsiTheme="minorHAnsi" w:cstheme="minorHAnsi"/>
            <w:webHidden/>
          </w:rPr>
          <w:fldChar w:fldCharType="separate"/>
        </w:r>
        <w:r w:rsidRPr="00F81358" w:rsidR="006D7476">
          <w:rPr>
            <w:rFonts w:asciiTheme="minorHAnsi" w:hAnsiTheme="minorHAnsi" w:cstheme="minorHAnsi"/>
            <w:webHidden/>
          </w:rPr>
          <w:t>8</w:t>
        </w:r>
        <w:r w:rsidRPr="00F81358" w:rsidR="006D7476">
          <w:rPr>
            <w:rFonts w:asciiTheme="minorHAnsi" w:hAnsiTheme="minorHAnsi" w:cstheme="minorHAnsi"/>
            <w:webHidden/>
          </w:rPr>
          <w:fldChar w:fldCharType="end"/>
        </w:r>
      </w:hyperlink>
    </w:p>
    <w:p w:rsidRPr="00F81358" w:rsidR="006D7476" w:rsidRDefault="00F82137" w14:paraId="1343878C" w14:textId="5F8D6554">
      <w:pPr>
        <w:pStyle w:val="TOC1"/>
        <w:rPr>
          <w:rFonts w:asciiTheme="minorHAnsi" w:hAnsiTheme="minorHAnsi" w:eastAsiaTheme="minorEastAsia" w:cstheme="minorHAnsi"/>
          <w:b w:val="0"/>
          <w:bCs w:val="0"/>
          <w:caps w:val="0"/>
          <w:sz w:val="22"/>
          <w:szCs w:val="22"/>
        </w:rPr>
      </w:pPr>
      <w:hyperlink w:history="1" w:anchor="_Toc55565796">
        <w:r w:rsidRPr="00F81358" w:rsidR="006D7476">
          <w:rPr>
            <w:rStyle w:val="Hyperlink"/>
            <w:rFonts w:asciiTheme="minorHAnsi" w:hAnsiTheme="minorHAnsi" w:cstheme="minorHAnsi"/>
          </w:rPr>
          <w:t>A7.  Special circumstances relating to the Guidelines of 5 CFR 1320.5.</w:t>
        </w:r>
        <w:r w:rsidRPr="00F81358" w:rsidR="006D7476">
          <w:rPr>
            <w:rFonts w:asciiTheme="minorHAnsi" w:hAnsiTheme="minorHAnsi" w:cstheme="minorHAnsi"/>
            <w:webHidden/>
          </w:rPr>
          <w:tab/>
        </w:r>
        <w:r w:rsidRPr="00F81358" w:rsidR="006D7476">
          <w:rPr>
            <w:rFonts w:asciiTheme="minorHAnsi" w:hAnsiTheme="minorHAnsi" w:cstheme="minorHAnsi"/>
            <w:webHidden/>
          </w:rPr>
          <w:fldChar w:fldCharType="begin"/>
        </w:r>
        <w:r w:rsidRPr="00F81358" w:rsidR="006D7476">
          <w:rPr>
            <w:rFonts w:asciiTheme="minorHAnsi" w:hAnsiTheme="minorHAnsi" w:cstheme="minorHAnsi"/>
            <w:webHidden/>
          </w:rPr>
          <w:instrText xml:space="preserve"> PAGEREF _Toc55565796 \h </w:instrText>
        </w:r>
        <w:r w:rsidRPr="00F81358" w:rsidR="006D7476">
          <w:rPr>
            <w:rFonts w:asciiTheme="minorHAnsi" w:hAnsiTheme="minorHAnsi" w:cstheme="minorHAnsi"/>
            <w:webHidden/>
          </w:rPr>
        </w:r>
        <w:r w:rsidRPr="00F81358" w:rsidR="006D7476">
          <w:rPr>
            <w:rFonts w:asciiTheme="minorHAnsi" w:hAnsiTheme="minorHAnsi" w:cstheme="minorHAnsi"/>
            <w:webHidden/>
          </w:rPr>
          <w:fldChar w:fldCharType="separate"/>
        </w:r>
        <w:r w:rsidRPr="00F81358" w:rsidR="006D7476">
          <w:rPr>
            <w:rFonts w:asciiTheme="minorHAnsi" w:hAnsiTheme="minorHAnsi" w:cstheme="minorHAnsi"/>
            <w:webHidden/>
          </w:rPr>
          <w:t>9</w:t>
        </w:r>
        <w:r w:rsidRPr="00F81358" w:rsidR="006D7476">
          <w:rPr>
            <w:rFonts w:asciiTheme="minorHAnsi" w:hAnsiTheme="minorHAnsi" w:cstheme="minorHAnsi"/>
            <w:webHidden/>
          </w:rPr>
          <w:fldChar w:fldCharType="end"/>
        </w:r>
      </w:hyperlink>
    </w:p>
    <w:p w:rsidRPr="00F81358" w:rsidR="006D7476" w:rsidRDefault="00F82137" w14:paraId="20B3B272" w14:textId="5C77ABC6">
      <w:pPr>
        <w:pStyle w:val="TOC1"/>
        <w:rPr>
          <w:rFonts w:asciiTheme="minorHAnsi" w:hAnsiTheme="minorHAnsi" w:eastAsiaTheme="minorEastAsia" w:cstheme="minorHAnsi"/>
          <w:b w:val="0"/>
          <w:bCs w:val="0"/>
          <w:caps w:val="0"/>
          <w:sz w:val="22"/>
          <w:szCs w:val="22"/>
        </w:rPr>
      </w:pPr>
      <w:hyperlink w:history="1" w:anchor="_Toc55565797">
        <w:r w:rsidRPr="00F81358" w:rsidR="006D7476">
          <w:rPr>
            <w:rStyle w:val="Hyperlink"/>
            <w:rFonts w:asciiTheme="minorHAnsi" w:hAnsiTheme="minorHAnsi" w:cstheme="minorHAnsi"/>
          </w:rPr>
          <w:t>A8.  Comments to the Federal Register Notice and efforts for consultation.</w:t>
        </w:r>
        <w:r w:rsidRPr="00F81358" w:rsidR="006D7476">
          <w:rPr>
            <w:rFonts w:asciiTheme="minorHAnsi" w:hAnsiTheme="minorHAnsi" w:cstheme="minorHAnsi"/>
            <w:webHidden/>
          </w:rPr>
          <w:tab/>
        </w:r>
        <w:r w:rsidRPr="00F81358" w:rsidR="006D7476">
          <w:rPr>
            <w:rFonts w:asciiTheme="minorHAnsi" w:hAnsiTheme="minorHAnsi" w:cstheme="minorHAnsi"/>
            <w:webHidden/>
          </w:rPr>
          <w:fldChar w:fldCharType="begin"/>
        </w:r>
        <w:r w:rsidRPr="00F81358" w:rsidR="006D7476">
          <w:rPr>
            <w:rFonts w:asciiTheme="minorHAnsi" w:hAnsiTheme="minorHAnsi" w:cstheme="minorHAnsi"/>
            <w:webHidden/>
          </w:rPr>
          <w:instrText xml:space="preserve"> PAGEREF _Toc55565797 \h </w:instrText>
        </w:r>
        <w:r w:rsidRPr="00F81358" w:rsidR="006D7476">
          <w:rPr>
            <w:rFonts w:asciiTheme="minorHAnsi" w:hAnsiTheme="minorHAnsi" w:cstheme="minorHAnsi"/>
            <w:webHidden/>
          </w:rPr>
        </w:r>
        <w:r w:rsidRPr="00F81358" w:rsidR="006D7476">
          <w:rPr>
            <w:rFonts w:asciiTheme="minorHAnsi" w:hAnsiTheme="minorHAnsi" w:cstheme="minorHAnsi"/>
            <w:webHidden/>
          </w:rPr>
          <w:fldChar w:fldCharType="separate"/>
        </w:r>
        <w:r w:rsidRPr="00F81358" w:rsidR="006D7476">
          <w:rPr>
            <w:rFonts w:asciiTheme="minorHAnsi" w:hAnsiTheme="minorHAnsi" w:cstheme="minorHAnsi"/>
            <w:webHidden/>
          </w:rPr>
          <w:t>10</w:t>
        </w:r>
        <w:r w:rsidRPr="00F81358" w:rsidR="006D7476">
          <w:rPr>
            <w:rFonts w:asciiTheme="minorHAnsi" w:hAnsiTheme="minorHAnsi" w:cstheme="minorHAnsi"/>
            <w:webHidden/>
          </w:rPr>
          <w:fldChar w:fldCharType="end"/>
        </w:r>
      </w:hyperlink>
    </w:p>
    <w:p w:rsidRPr="00F81358" w:rsidR="006D7476" w:rsidRDefault="00F82137" w14:paraId="28D175D0" w14:textId="76851705">
      <w:pPr>
        <w:pStyle w:val="TOC1"/>
        <w:rPr>
          <w:rFonts w:asciiTheme="minorHAnsi" w:hAnsiTheme="minorHAnsi" w:eastAsiaTheme="minorEastAsia" w:cstheme="minorHAnsi"/>
          <w:b w:val="0"/>
          <w:bCs w:val="0"/>
          <w:caps w:val="0"/>
          <w:sz w:val="22"/>
          <w:szCs w:val="22"/>
        </w:rPr>
      </w:pPr>
      <w:hyperlink w:history="1" w:anchor="_Toc55565798">
        <w:r w:rsidRPr="00F81358" w:rsidR="006D7476">
          <w:rPr>
            <w:rStyle w:val="Hyperlink"/>
            <w:rFonts w:asciiTheme="minorHAnsi" w:hAnsiTheme="minorHAnsi" w:cstheme="minorHAnsi"/>
          </w:rPr>
          <w:t>A9.  Explain any decisions to provide any payment or gift to respondents.</w:t>
        </w:r>
        <w:r w:rsidRPr="00F81358" w:rsidR="006D7476">
          <w:rPr>
            <w:rFonts w:asciiTheme="minorHAnsi" w:hAnsiTheme="minorHAnsi" w:cstheme="minorHAnsi"/>
            <w:webHidden/>
          </w:rPr>
          <w:tab/>
        </w:r>
        <w:r w:rsidRPr="00F81358" w:rsidR="006D7476">
          <w:rPr>
            <w:rFonts w:asciiTheme="minorHAnsi" w:hAnsiTheme="minorHAnsi" w:cstheme="minorHAnsi"/>
            <w:webHidden/>
          </w:rPr>
          <w:fldChar w:fldCharType="begin"/>
        </w:r>
        <w:r w:rsidRPr="00F81358" w:rsidR="006D7476">
          <w:rPr>
            <w:rFonts w:asciiTheme="minorHAnsi" w:hAnsiTheme="minorHAnsi" w:cstheme="minorHAnsi"/>
            <w:webHidden/>
          </w:rPr>
          <w:instrText xml:space="preserve"> PAGEREF _Toc55565798 \h </w:instrText>
        </w:r>
        <w:r w:rsidRPr="00F81358" w:rsidR="006D7476">
          <w:rPr>
            <w:rFonts w:asciiTheme="minorHAnsi" w:hAnsiTheme="minorHAnsi" w:cstheme="minorHAnsi"/>
            <w:webHidden/>
          </w:rPr>
        </w:r>
        <w:r w:rsidRPr="00F81358" w:rsidR="006D7476">
          <w:rPr>
            <w:rFonts w:asciiTheme="minorHAnsi" w:hAnsiTheme="minorHAnsi" w:cstheme="minorHAnsi"/>
            <w:webHidden/>
          </w:rPr>
          <w:fldChar w:fldCharType="separate"/>
        </w:r>
        <w:r w:rsidRPr="00F81358" w:rsidR="006D7476">
          <w:rPr>
            <w:rFonts w:asciiTheme="minorHAnsi" w:hAnsiTheme="minorHAnsi" w:cstheme="minorHAnsi"/>
            <w:webHidden/>
          </w:rPr>
          <w:t>11</w:t>
        </w:r>
        <w:r w:rsidRPr="00F81358" w:rsidR="006D7476">
          <w:rPr>
            <w:rFonts w:asciiTheme="minorHAnsi" w:hAnsiTheme="minorHAnsi" w:cstheme="minorHAnsi"/>
            <w:webHidden/>
          </w:rPr>
          <w:fldChar w:fldCharType="end"/>
        </w:r>
      </w:hyperlink>
    </w:p>
    <w:p w:rsidRPr="00F81358" w:rsidR="006D7476" w:rsidRDefault="00F82137" w14:paraId="06A18176" w14:textId="4263AE88">
      <w:pPr>
        <w:pStyle w:val="TOC1"/>
        <w:rPr>
          <w:rFonts w:asciiTheme="minorHAnsi" w:hAnsiTheme="minorHAnsi" w:eastAsiaTheme="minorEastAsia" w:cstheme="minorHAnsi"/>
          <w:b w:val="0"/>
          <w:bCs w:val="0"/>
          <w:caps w:val="0"/>
          <w:sz w:val="22"/>
          <w:szCs w:val="22"/>
        </w:rPr>
      </w:pPr>
      <w:hyperlink w:history="1" w:anchor="_Toc55565799">
        <w:r w:rsidRPr="00F81358" w:rsidR="006D7476">
          <w:rPr>
            <w:rStyle w:val="Hyperlink"/>
            <w:rFonts w:asciiTheme="minorHAnsi" w:hAnsiTheme="minorHAnsi" w:cstheme="minorHAnsi"/>
          </w:rPr>
          <w:t>A10.  Assurances of confidentiality provided to respondents.</w:t>
        </w:r>
        <w:r w:rsidRPr="00F81358" w:rsidR="006D7476">
          <w:rPr>
            <w:rFonts w:asciiTheme="minorHAnsi" w:hAnsiTheme="minorHAnsi" w:cstheme="minorHAnsi"/>
            <w:webHidden/>
          </w:rPr>
          <w:tab/>
        </w:r>
        <w:r w:rsidRPr="00F81358" w:rsidR="006D7476">
          <w:rPr>
            <w:rFonts w:asciiTheme="minorHAnsi" w:hAnsiTheme="minorHAnsi" w:cstheme="minorHAnsi"/>
            <w:webHidden/>
          </w:rPr>
          <w:fldChar w:fldCharType="begin"/>
        </w:r>
        <w:r w:rsidRPr="00F81358" w:rsidR="006D7476">
          <w:rPr>
            <w:rFonts w:asciiTheme="minorHAnsi" w:hAnsiTheme="minorHAnsi" w:cstheme="minorHAnsi"/>
            <w:webHidden/>
          </w:rPr>
          <w:instrText xml:space="preserve"> PAGEREF _Toc55565799 \h </w:instrText>
        </w:r>
        <w:r w:rsidRPr="00F81358" w:rsidR="006D7476">
          <w:rPr>
            <w:rFonts w:asciiTheme="minorHAnsi" w:hAnsiTheme="minorHAnsi" w:cstheme="minorHAnsi"/>
            <w:webHidden/>
          </w:rPr>
        </w:r>
        <w:r w:rsidRPr="00F81358" w:rsidR="006D7476">
          <w:rPr>
            <w:rFonts w:asciiTheme="minorHAnsi" w:hAnsiTheme="minorHAnsi" w:cstheme="minorHAnsi"/>
            <w:webHidden/>
          </w:rPr>
          <w:fldChar w:fldCharType="separate"/>
        </w:r>
        <w:r w:rsidRPr="00F81358" w:rsidR="006D7476">
          <w:rPr>
            <w:rFonts w:asciiTheme="minorHAnsi" w:hAnsiTheme="minorHAnsi" w:cstheme="minorHAnsi"/>
            <w:webHidden/>
          </w:rPr>
          <w:t>11</w:t>
        </w:r>
        <w:r w:rsidRPr="00F81358" w:rsidR="006D7476">
          <w:rPr>
            <w:rFonts w:asciiTheme="minorHAnsi" w:hAnsiTheme="minorHAnsi" w:cstheme="minorHAnsi"/>
            <w:webHidden/>
          </w:rPr>
          <w:fldChar w:fldCharType="end"/>
        </w:r>
      </w:hyperlink>
    </w:p>
    <w:p w:rsidRPr="00F81358" w:rsidR="006D7476" w:rsidRDefault="00F82137" w14:paraId="7CF0379F" w14:textId="25119E09">
      <w:pPr>
        <w:pStyle w:val="TOC1"/>
        <w:rPr>
          <w:rFonts w:asciiTheme="minorHAnsi" w:hAnsiTheme="minorHAnsi" w:eastAsiaTheme="minorEastAsia" w:cstheme="minorHAnsi"/>
          <w:b w:val="0"/>
          <w:bCs w:val="0"/>
          <w:caps w:val="0"/>
          <w:sz w:val="22"/>
          <w:szCs w:val="22"/>
        </w:rPr>
      </w:pPr>
      <w:hyperlink w:history="1" w:anchor="_Toc55565800">
        <w:r w:rsidRPr="00F81358" w:rsidR="006D7476">
          <w:rPr>
            <w:rStyle w:val="Hyperlink"/>
            <w:rFonts w:asciiTheme="minorHAnsi" w:hAnsiTheme="minorHAnsi" w:cstheme="minorHAnsi"/>
          </w:rPr>
          <w:t>A11.  Justification for any questions of a sensitive nature.</w:t>
        </w:r>
        <w:r w:rsidRPr="00F81358" w:rsidR="006D7476">
          <w:rPr>
            <w:rFonts w:asciiTheme="minorHAnsi" w:hAnsiTheme="minorHAnsi" w:cstheme="minorHAnsi"/>
            <w:webHidden/>
          </w:rPr>
          <w:tab/>
        </w:r>
        <w:r w:rsidRPr="00F81358" w:rsidR="006D7476">
          <w:rPr>
            <w:rFonts w:asciiTheme="minorHAnsi" w:hAnsiTheme="minorHAnsi" w:cstheme="minorHAnsi"/>
            <w:webHidden/>
          </w:rPr>
          <w:fldChar w:fldCharType="begin"/>
        </w:r>
        <w:r w:rsidRPr="00F81358" w:rsidR="006D7476">
          <w:rPr>
            <w:rFonts w:asciiTheme="minorHAnsi" w:hAnsiTheme="minorHAnsi" w:cstheme="minorHAnsi"/>
            <w:webHidden/>
          </w:rPr>
          <w:instrText xml:space="preserve"> PAGEREF _Toc55565800 \h </w:instrText>
        </w:r>
        <w:r w:rsidRPr="00F81358" w:rsidR="006D7476">
          <w:rPr>
            <w:rFonts w:asciiTheme="minorHAnsi" w:hAnsiTheme="minorHAnsi" w:cstheme="minorHAnsi"/>
            <w:webHidden/>
          </w:rPr>
        </w:r>
        <w:r w:rsidRPr="00F81358" w:rsidR="006D7476">
          <w:rPr>
            <w:rFonts w:asciiTheme="minorHAnsi" w:hAnsiTheme="minorHAnsi" w:cstheme="minorHAnsi"/>
            <w:webHidden/>
          </w:rPr>
          <w:fldChar w:fldCharType="separate"/>
        </w:r>
        <w:r w:rsidRPr="00F81358" w:rsidR="006D7476">
          <w:rPr>
            <w:rFonts w:asciiTheme="minorHAnsi" w:hAnsiTheme="minorHAnsi" w:cstheme="minorHAnsi"/>
            <w:webHidden/>
          </w:rPr>
          <w:t>11</w:t>
        </w:r>
        <w:r w:rsidRPr="00F81358" w:rsidR="006D7476">
          <w:rPr>
            <w:rFonts w:asciiTheme="minorHAnsi" w:hAnsiTheme="minorHAnsi" w:cstheme="minorHAnsi"/>
            <w:webHidden/>
          </w:rPr>
          <w:fldChar w:fldCharType="end"/>
        </w:r>
      </w:hyperlink>
    </w:p>
    <w:p w:rsidRPr="00F81358" w:rsidR="006D7476" w:rsidRDefault="00F82137" w14:paraId="2692D1F7" w14:textId="263FA187">
      <w:pPr>
        <w:pStyle w:val="TOC1"/>
        <w:rPr>
          <w:rFonts w:asciiTheme="minorHAnsi" w:hAnsiTheme="minorHAnsi" w:eastAsiaTheme="minorEastAsia" w:cstheme="minorHAnsi"/>
          <w:b w:val="0"/>
          <w:bCs w:val="0"/>
          <w:caps w:val="0"/>
          <w:sz w:val="22"/>
          <w:szCs w:val="22"/>
        </w:rPr>
      </w:pPr>
      <w:hyperlink w:history="1" w:anchor="_Toc55565801">
        <w:r w:rsidRPr="00F81358" w:rsidR="006D7476">
          <w:rPr>
            <w:rStyle w:val="Hyperlink"/>
            <w:rFonts w:asciiTheme="minorHAnsi" w:hAnsiTheme="minorHAnsi" w:cstheme="minorHAnsi"/>
          </w:rPr>
          <w:t>A12.  Estimates of the hour burden of the collection of information.</w:t>
        </w:r>
        <w:r w:rsidRPr="00F81358" w:rsidR="006D7476">
          <w:rPr>
            <w:rFonts w:asciiTheme="minorHAnsi" w:hAnsiTheme="minorHAnsi" w:cstheme="minorHAnsi"/>
            <w:webHidden/>
          </w:rPr>
          <w:tab/>
        </w:r>
        <w:r w:rsidRPr="00F81358" w:rsidR="006D7476">
          <w:rPr>
            <w:rFonts w:asciiTheme="minorHAnsi" w:hAnsiTheme="minorHAnsi" w:cstheme="minorHAnsi"/>
            <w:webHidden/>
          </w:rPr>
          <w:fldChar w:fldCharType="begin"/>
        </w:r>
        <w:r w:rsidRPr="00F81358" w:rsidR="006D7476">
          <w:rPr>
            <w:rFonts w:asciiTheme="minorHAnsi" w:hAnsiTheme="minorHAnsi" w:cstheme="minorHAnsi"/>
            <w:webHidden/>
          </w:rPr>
          <w:instrText xml:space="preserve"> PAGEREF _Toc55565801 \h </w:instrText>
        </w:r>
        <w:r w:rsidRPr="00F81358" w:rsidR="006D7476">
          <w:rPr>
            <w:rFonts w:asciiTheme="minorHAnsi" w:hAnsiTheme="minorHAnsi" w:cstheme="minorHAnsi"/>
            <w:webHidden/>
          </w:rPr>
        </w:r>
        <w:r w:rsidRPr="00F81358" w:rsidR="006D7476">
          <w:rPr>
            <w:rFonts w:asciiTheme="minorHAnsi" w:hAnsiTheme="minorHAnsi" w:cstheme="minorHAnsi"/>
            <w:webHidden/>
          </w:rPr>
          <w:fldChar w:fldCharType="separate"/>
        </w:r>
        <w:r w:rsidRPr="00F81358" w:rsidR="006D7476">
          <w:rPr>
            <w:rFonts w:asciiTheme="minorHAnsi" w:hAnsiTheme="minorHAnsi" w:cstheme="minorHAnsi"/>
            <w:webHidden/>
          </w:rPr>
          <w:t>12</w:t>
        </w:r>
        <w:r w:rsidRPr="00F81358" w:rsidR="006D7476">
          <w:rPr>
            <w:rFonts w:asciiTheme="minorHAnsi" w:hAnsiTheme="minorHAnsi" w:cstheme="minorHAnsi"/>
            <w:webHidden/>
          </w:rPr>
          <w:fldChar w:fldCharType="end"/>
        </w:r>
      </w:hyperlink>
    </w:p>
    <w:p w:rsidRPr="00F81358" w:rsidR="006D7476" w:rsidRDefault="00F82137" w14:paraId="698DA64D" w14:textId="4F790540">
      <w:pPr>
        <w:pStyle w:val="TOC1"/>
        <w:rPr>
          <w:rFonts w:asciiTheme="minorHAnsi" w:hAnsiTheme="minorHAnsi" w:eastAsiaTheme="minorEastAsia" w:cstheme="minorHAnsi"/>
          <w:b w:val="0"/>
          <w:bCs w:val="0"/>
          <w:caps w:val="0"/>
          <w:sz w:val="22"/>
          <w:szCs w:val="22"/>
        </w:rPr>
      </w:pPr>
      <w:hyperlink w:history="1" w:anchor="_Toc55565802">
        <w:r w:rsidRPr="00F81358" w:rsidR="006D7476">
          <w:rPr>
            <w:rStyle w:val="Hyperlink"/>
            <w:rFonts w:asciiTheme="minorHAnsi" w:hAnsiTheme="minorHAnsi" w:cstheme="minorHAnsi"/>
          </w:rPr>
          <w:t>A13.  Estimates of other total annual cost burden.</w:t>
        </w:r>
        <w:r w:rsidRPr="00F81358" w:rsidR="006D7476">
          <w:rPr>
            <w:rFonts w:asciiTheme="minorHAnsi" w:hAnsiTheme="minorHAnsi" w:cstheme="minorHAnsi"/>
            <w:webHidden/>
          </w:rPr>
          <w:tab/>
        </w:r>
        <w:r w:rsidRPr="00F81358" w:rsidR="006D7476">
          <w:rPr>
            <w:rFonts w:asciiTheme="minorHAnsi" w:hAnsiTheme="minorHAnsi" w:cstheme="minorHAnsi"/>
            <w:webHidden/>
          </w:rPr>
          <w:fldChar w:fldCharType="begin"/>
        </w:r>
        <w:r w:rsidRPr="00F81358" w:rsidR="006D7476">
          <w:rPr>
            <w:rFonts w:asciiTheme="minorHAnsi" w:hAnsiTheme="minorHAnsi" w:cstheme="minorHAnsi"/>
            <w:webHidden/>
          </w:rPr>
          <w:instrText xml:space="preserve"> PAGEREF _Toc55565802 \h </w:instrText>
        </w:r>
        <w:r w:rsidRPr="00F81358" w:rsidR="006D7476">
          <w:rPr>
            <w:rFonts w:asciiTheme="minorHAnsi" w:hAnsiTheme="minorHAnsi" w:cstheme="minorHAnsi"/>
            <w:webHidden/>
          </w:rPr>
        </w:r>
        <w:r w:rsidRPr="00F81358" w:rsidR="006D7476">
          <w:rPr>
            <w:rFonts w:asciiTheme="minorHAnsi" w:hAnsiTheme="minorHAnsi" w:cstheme="minorHAnsi"/>
            <w:webHidden/>
          </w:rPr>
          <w:fldChar w:fldCharType="separate"/>
        </w:r>
        <w:r w:rsidRPr="00F81358" w:rsidR="006D7476">
          <w:rPr>
            <w:rFonts w:asciiTheme="minorHAnsi" w:hAnsiTheme="minorHAnsi" w:cstheme="minorHAnsi"/>
            <w:webHidden/>
          </w:rPr>
          <w:t>14</w:t>
        </w:r>
        <w:r w:rsidRPr="00F81358" w:rsidR="006D7476">
          <w:rPr>
            <w:rFonts w:asciiTheme="minorHAnsi" w:hAnsiTheme="minorHAnsi" w:cstheme="minorHAnsi"/>
            <w:webHidden/>
          </w:rPr>
          <w:fldChar w:fldCharType="end"/>
        </w:r>
      </w:hyperlink>
    </w:p>
    <w:p w:rsidRPr="00F81358" w:rsidR="006D7476" w:rsidRDefault="00F82137" w14:paraId="7A31D34D" w14:textId="07565FCA">
      <w:pPr>
        <w:pStyle w:val="TOC1"/>
        <w:rPr>
          <w:rFonts w:asciiTheme="minorHAnsi" w:hAnsiTheme="minorHAnsi" w:eastAsiaTheme="minorEastAsia" w:cstheme="minorHAnsi"/>
          <w:b w:val="0"/>
          <w:bCs w:val="0"/>
          <w:caps w:val="0"/>
          <w:sz w:val="22"/>
          <w:szCs w:val="22"/>
        </w:rPr>
      </w:pPr>
      <w:hyperlink w:history="1" w:anchor="_Toc55565803">
        <w:r w:rsidRPr="00F81358" w:rsidR="006D7476">
          <w:rPr>
            <w:rStyle w:val="Hyperlink"/>
            <w:rFonts w:asciiTheme="minorHAnsi" w:hAnsiTheme="minorHAnsi" w:cstheme="minorHAnsi"/>
          </w:rPr>
          <w:t>A14.  Provide estimates of annualized cost to the Federal government.</w:t>
        </w:r>
        <w:r w:rsidRPr="00F81358" w:rsidR="006D7476">
          <w:rPr>
            <w:rFonts w:asciiTheme="minorHAnsi" w:hAnsiTheme="minorHAnsi" w:cstheme="minorHAnsi"/>
            <w:webHidden/>
          </w:rPr>
          <w:tab/>
        </w:r>
        <w:r w:rsidRPr="00F81358" w:rsidR="006D7476">
          <w:rPr>
            <w:rFonts w:asciiTheme="minorHAnsi" w:hAnsiTheme="minorHAnsi" w:cstheme="minorHAnsi"/>
            <w:webHidden/>
          </w:rPr>
          <w:fldChar w:fldCharType="begin"/>
        </w:r>
        <w:r w:rsidRPr="00F81358" w:rsidR="006D7476">
          <w:rPr>
            <w:rFonts w:asciiTheme="minorHAnsi" w:hAnsiTheme="minorHAnsi" w:cstheme="minorHAnsi"/>
            <w:webHidden/>
          </w:rPr>
          <w:instrText xml:space="preserve"> PAGEREF _Toc55565803 \h </w:instrText>
        </w:r>
        <w:r w:rsidRPr="00F81358" w:rsidR="006D7476">
          <w:rPr>
            <w:rFonts w:asciiTheme="minorHAnsi" w:hAnsiTheme="minorHAnsi" w:cstheme="minorHAnsi"/>
            <w:webHidden/>
          </w:rPr>
        </w:r>
        <w:r w:rsidRPr="00F81358" w:rsidR="006D7476">
          <w:rPr>
            <w:rFonts w:asciiTheme="minorHAnsi" w:hAnsiTheme="minorHAnsi" w:cstheme="minorHAnsi"/>
            <w:webHidden/>
          </w:rPr>
          <w:fldChar w:fldCharType="separate"/>
        </w:r>
        <w:r w:rsidRPr="00F81358" w:rsidR="006D7476">
          <w:rPr>
            <w:rFonts w:asciiTheme="minorHAnsi" w:hAnsiTheme="minorHAnsi" w:cstheme="minorHAnsi"/>
            <w:webHidden/>
          </w:rPr>
          <w:t>14</w:t>
        </w:r>
        <w:r w:rsidRPr="00F81358" w:rsidR="006D7476">
          <w:rPr>
            <w:rFonts w:asciiTheme="minorHAnsi" w:hAnsiTheme="minorHAnsi" w:cstheme="minorHAnsi"/>
            <w:webHidden/>
          </w:rPr>
          <w:fldChar w:fldCharType="end"/>
        </w:r>
      </w:hyperlink>
    </w:p>
    <w:p w:rsidRPr="00F81358" w:rsidR="006D7476" w:rsidRDefault="00F82137" w14:paraId="6484306C" w14:textId="03C63F92">
      <w:pPr>
        <w:pStyle w:val="TOC1"/>
        <w:rPr>
          <w:rFonts w:asciiTheme="minorHAnsi" w:hAnsiTheme="minorHAnsi" w:eastAsiaTheme="minorEastAsia" w:cstheme="minorHAnsi"/>
          <w:b w:val="0"/>
          <w:bCs w:val="0"/>
          <w:caps w:val="0"/>
          <w:sz w:val="22"/>
          <w:szCs w:val="22"/>
        </w:rPr>
      </w:pPr>
      <w:hyperlink w:history="1" w:anchor="_Toc55565804">
        <w:r w:rsidRPr="00F81358" w:rsidR="006D7476">
          <w:rPr>
            <w:rStyle w:val="Hyperlink"/>
            <w:rFonts w:asciiTheme="minorHAnsi" w:hAnsiTheme="minorHAnsi" w:cstheme="minorHAnsi"/>
          </w:rPr>
          <w:t>A15.  Explanation of program changes or adjustments.</w:t>
        </w:r>
        <w:r w:rsidRPr="00F81358" w:rsidR="006D7476">
          <w:rPr>
            <w:rFonts w:asciiTheme="minorHAnsi" w:hAnsiTheme="minorHAnsi" w:cstheme="minorHAnsi"/>
            <w:webHidden/>
          </w:rPr>
          <w:tab/>
        </w:r>
        <w:r w:rsidRPr="00F81358" w:rsidR="006D7476">
          <w:rPr>
            <w:rFonts w:asciiTheme="minorHAnsi" w:hAnsiTheme="minorHAnsi" w:cstheme="minorHAnsi"/>
            <w:webHidden/>
          </w:rPr>
          <w:fldChar w:fldCharType="begin"/>
        </w:r>
        <w:r w:rsidRPr="00F81358" w:rsidR="006D7476">
          <w:rPr>
            <w:rFonts w:asciiTheme="minorHAnsi" w:hAnsiTheme="minorHAnsi" w:cstheme="minorHAnsi"/>
            <w:webHidden/>
          </w:rPr>
          <w:instrText xml:space="preserve"> PAGEREF _Toc55565804 \h </w:instrText>
        </w:r>
        <w:r w:rsidRPr="00F81358" w:rsidR="006D7476">
          <w:rPr>
            <w:rFonts w:asciiTheme="minorHAnsi" w:hAnsiTheme="minorHAnsi" w:cstheme="minorHAnsi"/>
            <w:webHidden/>
          </w:rPr>
        </w:r>
        <w:r w:rsidRPr="00F81358" w:rsidR="006D7476">
          <w:rPr>
            <w:rFonts w:asciiTheme="minorHAnsi" w:hAnsiTheme="minorHAnsi" w:cstheme="minorHAnsi"/>
            <w:webHidden/>
          </w:rPr>
          <w:fldChar w:fldCharType="separate"/>
        </w:r>
        <w:r w:rsidRPr="00F81358" w:rsidR="006D7476">
          <w:rPr>
            <w:rFonts w:asciiTheme="minorHAnsi" w:hAnsiTheme="minorHAnsi" w:cstheme="minorHAnsi"/>
            <w:webHidden/>
          </w:rPr>
          <w:t>15</w:t>
        </w:r>
        <w:r w:rsidRPr="00F81358" w:rsidR="006D7476">
          <w:rPr>
            <w:rFonts w:asciiTheme="minorHAnsi" w:hAnsiTheme="minorHAnsi" w:cstheme="minorHAnsi"/>
            <w:webHidden/>
          </w:rPr>
          <w:fldChar w:fldCharType="end"/>
        </w:r>
      </w:hyperlink>
    </w:p>
    <w:p w:rsidRPr="00F81358" w:rsidR="006D7476" w:rsidRDefault="00F82137" w14:paraId="3E429E63" w14:textId="5CE32ADA">
      <w:pPr>
        <w:pStyle w:val="TOC1"/>
        <w:rPr>
          <w:rFonts w:asciiTheme="minorHAnsi" w:hAnsiTheme="minorHAnsi" w:eastAsiaTheme="minorEastAsia" w:cstheme="minorHAnsi"/>
          <w:b w:val="0"/>
          <w:bCs w:val="0"/>
          <w:caps w:val="0"/>
          <w:sz w:val="22"/>
          <w:szCs w:val="22"/>
        </w:rPr>
      </w:pPr>
      <w:hyperlink w:history="1" w:anchor="_Toc55565805">
        <w:r w:rsidRPr="00F81358" w:rsidR="006D7476">
          <w:rPr>
            <w:rStyle w:val="Hyperlink"/>
            <w:rFonts w:asciiTheme="minorHAnsi" w:hAnsiTheme="minorHAnsi" w:cstheme="minorHAnsi"/>
          </w:rPr>
          <w:t>A16.  Plans for tabulation, and publication and project time schedule.</w:t>
        </w:r>
        <w:r w:rsidRPr="00F81358" w:rsidR="006D7476">
          <w:rPr>
            <w:rFonts w:asciiTheme="minorHAnsi" w:hAnsiTheme="minorHAnsi" w:cstheme="minorHAnsi"/>
            <w:webHidden/>
          </w:rPr>
          <w:tab/>
        </w:r>
        <w:r w:rsidRPr="00F81358" w:rsidR="006D7476">
          <w:rPr>
            <w:rFonts w:asciiTheme="minorHAnsi" w:hAnsiTheme="minorHAnsi" w:cstheme="minorHAnsi"/>
            <w:webHidden/>
          </w:rPr>
          <w:fldChar w:fldCharType="begin"/>
        </w:r>
        <w:r w:rsidRPr="00F81358" w:rsidR="006D7476">
          <w:rPr>
            <w:rFonts w:asciiTheme="minorHAnsi" w:hAnsiTheme="minorHAnsi" w:cstheme="minorHAnsi"/>
            <w:webHidden/>
          </w:rPr>
          <w:instrText xml:space="preserve"> PAGEREF _Toc55565805 \h </w:instrText>
        </w:r>
        <w:r w:rsidRPr="00F81358" w:rsidR="006D7476">
          <w:rPr>
            <w:rFonts w:asciiTheme="minorHAnsi" w:hAnsiTheme="minorHAnsi" w:cstheme="minorHAnsi"/>
            <w:webHidden/>
          </w:rPr>
        </w:r>
        <w:r w:rsidRPr="00F81358" w:rsidR="006D7476">
          <w:rPr>
            <w:rFonts w:asciiTheme="minorHAnsi" w:hAnsiTheme="minorHAnsi" w:cstheme="minorHAnsi"/>
            <w:webHidden/>
          </w:rPr>
          <w:fldChar w:fldCharType="separate"/>
        </w:r>
        <w:r w:rsidRPr="00F81358" w:rsidR="006D7476">
          <w:rPr>
            <w:rFonts w:asciiTheme="minorHAnsi" w:hAnsiTheme="minorHAnsi" w:cstheme="minorHAnsi"/>
            <w:webHidden/>
          </w:rPr>
          <w:t>15</w:t>
        </w:r>
        <w:r w:rsidRPr="00F81358" w:rsidR="006D7476">
          <w:rPr>
            <w:rFonts w:asciiTheme="minorHAnsi" w:hAnsiTheme="minorHAnsi" w:cstheme="minorHAnsi"/>
            <w:webHidden/>
          </w:rPr>
          <w:fldChar w:fldCharType="end"/>
        </w:r>
      </w:hyperlink>
    </w:p>
    <w:p w:rsidRPr="00F81358" w:rsidR="006D7476" w:rsidRDefault="00F82137" w14:paraId="1CC31F2C" w14:textId="70BCB650">
      <w:pPr>
        <w:pStyle w:val="TOC1"/>
        <w:rPr>
          <w:rFonts w:asciiTheme="minorHAnsi" w:hAnsiTheme="minorHAnsi" w:eastAsiaTheme="minorEastAsia" w:cstheme="minorHAnsi"/>
          <w:b w:val="0"/>
          <w:bCs w:val="0"/>
          <w:caps w:val="0"/>
          <w:sz w:val="22"/>
          <w:szCs w:val="22"/>
        </w:rPr>
      </w:pPr>
      <w:hyperlink w:history="1" w:anchor="_Toc55565806">
        <w:r w:rsidRPr="00F81358" w:rsidR="006D7476">
          <w:rPr>
            <w:rStyle w:val="Hyperlink"/>
            <w:rFonts w:asciiTheme="minorHAnsi" w:hAnsiTheme="minorHAnsi" w:cstheme="minorHAnsi"/>
          </w:rPr>
          <w:t>A17.  Displaying the OMB Approval Expiration Date.</w:t>
        </w:r>
        <w:r w:rsidRPr="00F81358" w:rsidR="006D7476">
          <w:rPr>
            <w:rFonts w:asciiTheme="minorHAnsi" w:hAnsiTheme="minorHAnsi" w:cstheme="minorHAnsi"/>
            <w:webHidden/>
          </w:rPr>
          <w:tab/>
        </w:r>
        <w:r w:rsidRPr="00F81358" w:rsidR="006D7476">
          <w:rPr>
            <w:rFonts w:asciiTheme="minorHAnsi" w:hAnsiTheme="minorHAnsi" w:cstheme="minorHAnsi"/>
            <w:webHidden/>
          </w:rPr>
          <w:fldChar w:fldCharType="begin"/>
        </w:r>
        <w:r w:rsidRPr="00F81358" w:rsidR="006D7476">
          <w:rPr>
            <w:rFonts w:asciiTheme="minorHAnsi" w:hAnsiTheme="minorHAnsi" w:cstheme="minorHAnsi"/>
            <w:webHidden/>
          </w:rPr>
          <w:instrText xml:space="preserve"> PAGEREF _Toc55565806 \h </w:instrText>
        </w:r>
        <w:r w:rsidRPr="00F81358" w:rsidR="006D7476">
          <w:rPr>
            <w:rFonts w:asciiTheme="minorHAnsi" w:hAnsiTheme="minorHAnsi" w:cstheme="minorHAnsi"/>
            <w:webHidden/>
          </w:rPr>
        </w:r>
        <w:r w:rsidRPr="00F81358" w:rsidR="006D7476">
          <w:rPr>
            <w:rFonts w:asciiTheme="minorHAnsi" w:hAnsiTheme="minorHAnsi" w:cstheme="minorHAnsi"/>
            <w:webHidden/>
          </w:rPr>
          <w:fldChar w:fldCharType="separate"/>
        </w:r>
        <w:r w:rsidRPr="00F81358" w:rsidR="006D7476">
          <w:rPr>
            <w:rFonts w:asciiTheme="minorHAnsi" w:hAnsiTheme="minorHAnsi" w:cstheme="minorHAnsi"/>
            <w:webHidden/>
          </w:rPr>
          <w:t>15</w:t>
        </w:r>
        <w:r w:rsidRPr="00F81358" w:rsidR="006D7476">
          <w:rPr>
            <w:rFonts w:asciiTheme="minorHAnsi" w:hAnsiTheme="minorHAnsi" w:cstheme="minorHAnsi"/>
            <w:webHidden/>
          </w:rPr>
          <w:fldChar w:fldCharType="end"/>
        </w:r>
      </w:hyperlink>
    </w:p>
    <w:p w:rsidRPr="00F81358" w:rsidR="006D7476" w:rsidRDefault="00F82137" w14:paraId="048FA159" w14:textId="01618566">
      <w:pPr>
        <w:pStyle w:val="TOC1"/>
        <w:rPr>
          <w:rFonts w:asciiTheme="minorHAnsi" w:hAnsiTheme="minorHAnsi" w:eastAsiaTheme="minorEastAsia" w:cstheme="minorHAnsi"/>
          <w:b w:val="0"/>
          <w:bCs w:val="0"/>
          <w:caps w:val="0"/>
          <w:sz w:val="22"/>
          <w:szCs w:val="22"/>
        </w:rPr>
      </w:pPr>
      <w:hyperlink w:history="1" w:anchor="_Toc55565807">
        <w:r w:rsidRPr="00F81358" w:rsidR="006D7476">
          <w:rPr>
            <w:rStyle w:val="Hyperlink"/>
            <w:rFonts w:asciiTheme="minorHAnsi" w:hAnsiTheme="minorHAnsi" w:cstheme="minorHAnsi"/>
          </w:rPr>
          <w:t>A18.  Exceptions to the certification statement identified in Item 19.</w:t>
        </w:r>
        <w:r w:rsidRPr="00F81358" w:rsidR="006D7476">
          <w:rPr>
            <w:rFonts w:asciiTheme="minorHAnsi" w:hAnsiTheme="minorHAnsi" w:cstheme="minorHAnsi"/>
            <w:webHidden/>
          </w:rPr>
          <w:tab/>
        </w:r>
        <w:r w:rsidRPr="00F81358" w:rsidR="006D7476">
          <w:rPr>
            <w:rFonts w:asciiTheme="minorHAnsi" w:hAnsiTheme="minorHAnsi" w:cstheme="minorHAnsi"/>
            <w:webHidden/>
          </w:rPr>
          <w:fldChar w:fldCharType="begin"/>
        </w:r>
        <w:r w:rsidRPr="00F81358" w:rsidR="006D7476">
          <w:rPr>
            <w:rFonts w:asciiTheme="minorHAnsi" w:hAnsiTheme="minorHAnsi" w:cstheme="minorHAnsi"/>
            <w:webHidden/>
          </w:rPr>
          <w:instrText xml:space="preserve"> PAGEREF _Toc55565807 \h </w:instrText>
        </w:r>
        <w:r w:rsidRPr="00F81358" w:rsidR="006D7476">
          <w:rPr>
            <w:rFonts w:asciiTheme="minorHAnsi" w:hAnsiTheme="minorHAnsi" w:cstheme="minorHAnsi"/>
            <w:webHidden/>
          </w:rPr>
        </w:r>
        <w:r w:rsidRPr="00F81358" w:rsidR="006D7476">
          <w:rPr>
            <w:rFonts w:asciiTheme="minorHAnsi" w:hAnsiTheme="minorHAnsi" w:cstheme="minorHAnsi"/>
            <w:webHidden/>
          </w:rPr>
          <w:fldChar w:fldCharType="separate"/>
        </w:r>
        <w:r w:rsidRPr="00F81358" w:rsidR="006D7476">
          <w:rPr>
            <w:rFonts w:asciiTheme="minorHAnsi" w:hAnsiTheme="minorHAnsi" w:cstheme="minorHAnsi"/>
            <w:webHidden/>
          </w:rPr>
          <w:t>15</w:t>
        </w:r>
        <w:r w:rsidRPr="00F81358" w:rsidR="006D7476">
          <w:rPr>
            <w:rFonts w:asciiTheme="minorHAnsi" w:hAnsiTheme="minorHAnsi" w:cstheme="minorHAnsi"/>
            <w:webHidden/>
          </w:rPr>
          <w:fldChar w:fldCharType="end"/>
        </w:r>
      </w:hyperlink>
    </w:p>
    <w:p w:rsidRPr="00FC1110" w:rsidR="00905A5F" w:rsidP="009F7E1A" w:rsidRDefault="00905A5F" w14:paraId="610B71F2" w14:textId="5DE2F711">
      <w:pPr>
        <w:tabs>
          <w:tab w:val="center" w:pos="4680"/>
        </w:tabs>
        <w:rPr>
          <w:rFonts w:asciiTheme="minorHAnsi" w:hAnsiTheme="minorHAnsi" w:cstheme="minorHAnsi"/>
          <w:b/>
          <w:szCs w:val="24"/>
          <w:u w:val="single"/>
        </w:rPr>
      </w:pPr>
      <w:r w:rsidRPr="00F81358">
        <w:rPr>
          <w:rFonts w:asciiTheme="minorHAnsi" w:hAnsiTheme="minorHAnsi" w:cstheme="minorHAnsi"/>
          <w:b/>
          <w:szCs w:val="24"/>
          <w:u w:val="single"/>
        </w:rPr>
        <w:fldChar w:fldCharType="end"/>
      </w:r>
    </w:p>
    <w:p w:rsidRPr="00FC1110" w:rsidR="00905A5F" w:rsidP="009F7E1A" w:rsidRDefault="00905A5F" w14:paraId="0F1F3EC3" w14:textId="77777777">
      <w:pPr>
        <w:tabs>
          <w:tab w:val="center" w:pos="4680"/>
        </w:tabs>
        <w:rPr>
          <w:rFonts w:asciiTheme="minorHAnsi" w:hAnsiTheme="minorHAnsi" w:cstheme="minorHAnsi"/>
          <w:b/>
          <w:szCs w:val="24"/>
          <w:u w:val="single"/>
        </w:rPr>
      </w:pPr>
    </w:p>
    <w:p w:rsidRPr="00FC1110" w:rsidR="00905A5F" w:rsidP="009F7E1A" w:rsidRDefault="00905A5F" w14:paraId="3CB77D41" w14:textId="77777777">
      <w:pPr>
        <w:tabs>
          <w:tab w:val="center" w:pos="4680"/>
        </w:tabs>
        <w:rPr>
          <w:rFonts w:asciiTheme="minorHAnsi" w:hAnsiTheme="minorHAnsi" w:cstheme="minorHAnsi"/>
          <w:b/>
          <w:szCs w:val="24"/>
          <w:u w:val="single"/>
        </w:rPr>
      </w:pPr>
    </w:p>
    <w:p w:rsidRPr="00FC1110" w:rsidR="002568E6" w:rsidP="009F7E1A" w:rsidRDefault="00905A5F" w14:paraId="664D0C37" w14:textId="77777777">
      <w:pPr>
        <w:tabs>
          <w:tab w:val="center" w:pos="4680"/>
        </w:tabs>
        <w:rPr>
          <w:rFonts w:asciiTheme="minorHAnsi" w:hAnsiTheme="minorHAnsi" w:cstheme="minorHAnsi"/>
          <w:b/>
          <w:szCs w:val="24"/>
          <w:u w:val="single"/>
        </w:rPr>
      </w:pPr>
      <w:r w:rsidRPr="00FC1110">
        <w:rPr>
          <w:rFonts w:asciiTheme="minorHAnsi" w:hAnsiTheme="minorHAnsi" w:cstheme="minorHAnsi"/>
          <w:b/>
          <w:szCs w:val="24"/>
          <w:u w:val="single"/>
        </w:rPr>
        <w:t>App</w:t>
      </w:r>
      <w:r w:rsidRPr="00FC1110" w:rsidR="002568E6">
        <w:rPr>
          <w:rFonts w:asciiTheme="minorHAnsi" w:hAnsiTheme="minorHAnsi" w:cstheme="minorHAnsi"/>
          <w:b/>
          <w:szCs w:val="24"/>
          <w:u w:val="single"/>
        </w:rPr>
        <w:t>endices</w:t>
      </w:r>
    </w:p>
    <w:p w:rsidR="002568E6" w:rsidP="009F7E1A" w:rsidRDefault="003B2F99" w14:paraId="34DA7F82" w14:textId="12314DB6">
      <w:pPr>
        <w:tabs>
          <w:tab w:val="center" w:pos="4680"/>
        </w:tabs>
        <w:rPr>
          <w:rFonts w:asciiTheme="minorHAnsi" w:hAnsiTheme="minorHAnsi" w:cstheme="minorHAnsi"/>
          <w:szCs w:val="24"/>
        </w:rPr>
      </w:pPr>
      <w:r>
        <w:rPr>
          <w:rFonts w:asciiTheme="minorHAnsi" w:hAnsiTheme="minorHAnsi" w:cstheme="minorHAnsi"/>
          <w:szCs w:val="24"/>
        </w:rPr>
        <w:t>Appendix A – Families First Coronavirus Relief Act</w:t>
      </w:r>
      <w:r w:rsidR="002F6565">
        <w:rPr>
          <w:rFonts w:asciiTheme="minorHAnsi" w:hAnsiTheme="minorHAnsi" w:cstheme="minorHAnsi"/>
          <w:szCs w:val="24"/>
        </w:rPr>
        <w:t xml:space="preserve"> (P.L. 116-127)</w:t>
      </w:r>
    </w:p>
    <w:p w:rsidR="002F6565" w:rsidP="009F7E1A" w:rsidRDefault="002F6565" w14:paraId="087F0BFF" w14:textId="0F241E9C">
      <w:pPr>
        <w:tabs>
          <w:tab w:val="center" w:pos="4680"/>
        </w:tabs>
        <w:rPr>
          <w:rFonts w:asciiTheme="minorHAnsi" w:hAnsiTheme="minorHAnsi" w:cstheme="minorHAnsi"/>
          <w:szCs w:val="24"/>
        </w:rPr>
      </w:pPr>
      <w:r>
        <w:rPr>
          <w:rFonts w:asciiTheme="minorHAnsi" w:hAnsiTheme="minorHAnsi" w:cstheme="minorHAnsi"/>
          <w:szCs w:val="24"/>
        </w:rPr>
        <w:t>Appendix B – Emergency Allotments Phase 2 Guidance (April 21, 2020)</w:t>
      </w:r>
    </w:p>
    <w:p w:rsidR="003B2F99" w:rsidP="009F7E1A" w:rsidRDefault="002F6565" w14:paraId="28E1E07B" w14:textId="604F630C">
      <w:pPr>
        <w:tabs>
          <w:tab w:val="center" w:pos="4680"/>
        </w:tabs>
        <w:rPr>
          <w:rFonts w:asciiTheme="minorHAnsi" w:hAnsiTheme="minorHAnsi" w:cstheme="minorHAnsi"/>
          <w:szCs w:val="24"/>
        </w:rPr>
      </w:pPr>
      <w:r>
        <w:rPr>
          <w:rFonts w:asciiTheme="minorHAnsi" w:hAnsiTheme="minorHAnsi" w:cstheme="minorHAnsi"/>
          <w:szCs w:val="24"/>
        </w:rPr>
        <w:t>Appendix C – FNS-292B Screenshot</w:t>
      </w:r>
    </w:p>
    <w:p w:rsidRPr="00FC1110" w:rsidR="006D7476" w:rsidP="009F7E1A" w:rsidRDefault="006D7476" w14:paraId="6097ACDB" w14:textId="25536387">
      <w:pPr>
        <w:tabs>
          <w:tab w:val="center" w:pos="4680"/>
        </w:tabs>
        <w:rPr>
          <w:rFonts w:asciiTheme="minorHAnsi" w:hAnsiTheme="minorHAnsi" w:cstheme="minorHAnsi"/>
          <w:szCs w:val="24"/>
        </w:rPr>
      </w:pPr>
      <w:r>
        <w:rPr>
          <w:rFonts w:asciiTheme="minorHAnsi" w:hAnsiTheme="minorHAnsi" w:cstheme="minorHAnsi"/>
          <w:szCs w:val="24"/>
        </w:rPr>
        <w:t>Appendix D – Excel Burden Table</w:t>
      </w:r>
    </w:p>
    <w:p w:rsidRPr="00FC1110" w:rsidR="002568E6" w:rsidRDefault="002568E6" w14:paraId="3D5A7CC9" w14:textId="77777777">
      <w:pPr>
        <w:widowControl/>
        <w:overflowPunct/>
        <w:autoSpaceDE/>
        <w:autoSpaceDN/>
        <w:adjustRightInd/>
        <w:textAlignment w:val="auto"/>
        <w:rPr>
          <w:rFonts w:asciiTheme="minorHAnsi" w:hAnsiTheme="minorHAnsi" w:cstheme="minorHAnsi"/>
          <w:szCs w:val="24"/>
        </w:rPr>
      </w:pPr>
      <w:r w:rsidRPr="00FC1110">
        <w:rPr>
          <w:rFonts w:asciiTheme="minorHAnsi" w:hAnsiTheme="minorHAnsi" w:cstheme="minorHAnsi"/>
          <w:szCs w:val="24"/>
        </w:rPr>
        <w:br w:type="page"/>
      </w:r>
    </w:p>
    <w:p w:rsidRPr="00FC1110" w:rsidR="005A3F80" w:rsidP="0062567E" w:rsidRDefault="005A3F80" w14:paraId="53720DB3" w14:textId="77777777">
      <w:pPr>
        <w:pStyle w:val="Heading1"/>
        <w:rPr>
          <w:rFonts w:asciiTheme="minorHAnsi" w:hAnsiTheme="minorHAnsi" w:cstheme="minorHAnsi"/>
          <w:szCs w:val="24"/>
        </w:rPr>
      </w:pPr>
      <w:bookmarkStart w:name="_Toc401831357" w:id="0"/>
      <w:bookmarkStart w:name="_Toc55565777" w:id="1"/>
      <w:r w:rsidRPr="00FC1110">
        <w:rPr>
          <w:rFonts w:asciiTheme="minorHAnsi" w:hAnsiTheme="minorHAnsi" w:cstheme="minorHAnsi"/>
          <w:szCs w:val="24"/>
        </w:rPr>
        <w:lastRenderedPageBreak/>
        <w:t xml:space="preserve">A1. </w:t>
      </w:r>
      <w:r w:rsidRPr="00FC1110" w:rsidR="002568E6">
        <w:rPr>
          <w:rFonts w:asciiTheme="minorHAnsi" w:hAnsiTheme="minorHAnsi" w:cstheme="minorHAnsi"/>
          <w:szCs w:val="24"/>
        </w:rPr>
        <w:t>C</w:t>
      </w:r>
      <w:r w:rsidRPr="00FC1110">
        <w:rPr>
          <w:rFonts w:asciiTheme="minorHAnsi" w:hAnsiTheme="minorHAnsi" w:cstheme="minorHAnsi"/>
          <w:szCs w:val="24"/>
        </w:rPr>
        <w:t>ircumstances that make the collection of information necessary.</w:t>
      </w:r>
      <w:bookmarkEnd w:id="0"/>
      <w:bookmarkEnd w:id="1"/>
    </w:p>
    <w:p w:rsidRPr="00FC1110" w:rsidR="003333DF" w:rsidP="003333DF" w:rsidRDefault="003333DF" w14:paraId="59846E55" w14:textId="77777777">
      <w:pPr>
        <w:tabs>
          <w:tab w:val="left" w:pos="-720"/>
        </w:tabs>
        <w:suppressAutoHyphens/>
        <w:rPr>
          <w:rFonts w:asciiTheme="minorHAnsi" w:hAnsiTheme="minorHAnsi" w:cstheme="minorHAnsi"/>
          <w:b/>
          <w:szCs w:val="24"/>
        </w:rPr>
      </w:pPr>
    </w:p>
    <w:p w:rsidRPr="00FC1110" w:rsidR="003333DF" w:rsidP="003333DF" w:rsidRDefault="003333DF" w14:paraId="488998B5" w14:textId="77777777">
      <w:pPr>
        <w:tabs>
          <w:tab w:val="left" w:pos="-720"/>
        </w:tabs>
        <w:suppressAutoHyphens/>
        <w:rPr>
          <w:rFonts w:asciiTheme="minorHAnsi" w:hAnsiTheme="minorHAnsi" w:cstheme="minorHAnsi"/>
          <w:b/>
          <w:szCs w:val="24"/>
        </w:rPr>
      </w:pPr>
      <w:r w:rsidRPr="00FC1110">
        <w:rPr>
          <w:rFonts w:asciiTheme="minorHAnsi" w:hAnsiTheme="minorHAnsi" w:cstheme="minorHAnsi"/>
          <w:b/>
          <w:szCs w:val="24"/>
        </w:rPr>
        <w:t>Identify any legal or administrative requirements that necessitate the collection. Attach a copy of the appropriate section of each statute and regulation mandating or authorizing the collection of information.</w:t>
      </w:r>
    </w:p>
    <w:p w:rsidRPr="00FC1110" w:rsidR="00A308DB" w:rsidP="009F7E1A" w:rsidRDefault="00A308DB" w14:paraId="61B42BD2" w14:textId="77777777">
      <w:pPr>
        <w:tabs>
          <w:tab w:val="left" w:pos="-720"/>
        </w:tabs>
        <w:suppressAutoHyphens/>
        <w:rPr>
          <w:rFonts w:asciiTheme="minorHAnsi" w:hAnsiTheme="minorHAnsi" w:cstheme="minorHAnsi"/>
          <w:szCs w:val="24"/>
        </w:rPr>
      </w:pPr>
    </w:p>
    <w:p w:rsidRPr="00FC1110" w:rsidR="001F6622" w:rsidP="000D5A4A" w:rsidRDefault="001F6622" w14:paraId="58020FD9" w14:textId="3D03F820">
      <w:pPr>
        <w:pStyle w:val="Heading1"/>
        <w:spacing w:line="480" w:lineRule="auto"/>
        <w:rPr>
          <w:rFonts w:asciiTheme="minorHAnsi" w:hAnsiTheme="minorHAnsi" w:cstheme="minorHAnsi"/>
          <w:b w:val="0"/>
          <w:szCs w:val="24"/>
        </w:rPr>
      </w:pPr>
      <w:bookmarkStart w:name="_Toc55565778" w:id="2"/>
      <w:bookmarkStart w:name="_Toc401831358" w:id="3"/>
      <w:r w:rsidRPr="00FC1110">
        <w:rPr>
          <w:rFonts w:asciiTheme="minorHAnsi" w:hAnsiTheme="minorHAnsi" w:cstheme="minorHAnsi"/>
          <w:b w:val="0"/>
          <w:szCs w:val="24"/>
        </w:rPr>
        <w:t>The Families First Coronavirus Response Act of 2020 (P.L. 116-127), enacted March 18, 2020, includes a general provision that allows the Department of Agriculture to issue emergency allotments (EA) based on a public health emergency declaration by the Secretary of Health and Human Services under section 319 of the Public Health Service Act related to an outbreak of COVID-19 when a State has also issued an emergency or disas</w:t>
      </w:r>
      <w:r w:rsidR="00171E96">
        <w:rPr>
          <w:rFonts w:asciiTheme="minorHAnsi" w:hAnsiTheme="minorHAnsi" w:cstheme="minorHAnsi"/>
          <w:b w:val="0"/>
          <w:szCs w:val="24"/>
        </w:rPr>
        <w:t xml:space="preserve">ter declaration.  This is a </w:t>
      </w:r>
      <w:r w:rsidRPr="00FC1110">
        <w:rPr>
          <w:rFonts w:asciiTheme="minorHAnsi" w:hAnsiTheme="minorHAnsi" w:cstheme="minorHAnsi"/>
          <w:b w:val="0"/>
          <w:szCs w:val="24"/>
        </w:rPr>
        <w:t>collection for activities associated with administering emergency allotments.</w:t>
      </w:r>
      <w:bookmarkEnd w:id="2"/>
      <w:r w:rsidR="00171E96">
        <w:rPr>
          <w:rFonts w:asciiTheme="minorHAnsi" w:hAnsiTheme="minorHAnsi" w:cstheme="minorHAnsi"/>
          <w:b w:val="0"/>
          <w:szCs w:val="24"/>
        </w:rPr>
        <w:t xml:space="preserve">  The title of this collection has changed from </w:t>
      </w:r>
      <w:r w:rsidRPr="00171E96" w:rsidR="00171E96">
        <w:rPr>
          <w:rFonts w:asciiTheme="minorHAnsi" w:hAnsiTheme="minorHAnsi" w:cstheme="minorHAnsi"/>
          <w:b w:val="0"/>
          <w:szCs w:val="24"/>
        </w:rPr>
        <w:t>SNAP Implementation of Families First Coronavirus Response Act of 2020</w:t>
      </w:r>
      <w:r w:rsidR="00171E96">
        <w:rPr>
          <w:rFonts w:asciiTheme="minorHAnsi" w:hAnsiTheme="minorHAnsi" w:cstheme="minorHAnsi"/>
          <w:b w:val="0"/>
          <w:szCs w:val="24"/>
        </w:rPr>
        <w:t xml:space="preserve"> to </w:t>
      </w:r>
      <w:r w:rsidRPr="00171E96" w:rsidR="00171E96">
        <w:rPr>
          <w:rFonts w:asciiTheme="minorHAnsi" w:hAnsiTheme="minorHAnsi" w:cstheme="minorHAnsi"/>
          <w:b w:val="0"/>
          <w:szCs w:val="24"/>
        </w:rPr>
        <w:t>Supplemental Nutrition Assistance Program Emergency Allotments (COVID-19)</w:t>
      </w:r>
      <w:r w:rsidR="00171E96">
        <w:rPr>
          <w:rFonts w:asciiTheme="minorHAnsi" w:hAnsiTheme="minorHAnsi" w:cstheme="minorHAnsi"/>
          <w:b w:val="0"/>
          <w:szCs w:val="24"/>
        </w:rPr>
        <w:t>.</w:t>
      </w:r>
    </w:p>
    <w:p w:rsidRPr="00FC1110" w:rsidR="001F6622" w:rsidP="0062567E" w:rsidRDefault="001F6622" w14:paraId="6226DBA2" w14:textId="77777777">
      <w:pPr>
        <w:pStyle w:val="Heading1"/>
        <w:rPr>
          <w:rFonts w:asciiTheme="minorHAnsi" w:hAnsiTheme="minorHAnsi" w:cstheme="minorHAnsi"/>
          <w:b w:val="0"/>
          <w:szCs w:val="24"/>
        </w:rPr>
      </w:pPr>
    </w:p>
    <w:p w:rsidRPr="00FC1110" w:rsidR="00A308DB" w:rsidP="0062567E" w:rsidRDefault="005A3F80" w14:paraId="07C4D3F6" w14:textId="77777777">
      <w:pPr>
        <w:pStyle w:val="Heading1"/>
        <w:rPr>
          <w:rFonts w:asciiTheme="minorHAnsi" w:hAnsiTheme="minorHAnsi" w:cstheme="minorHAnsi"/>
          <w:szCs w:val="24"/>
        </w:rPr>
      </w:pPr>
      <w:bookmarkStart w:name="_Toc55565779" w:id="4"/>
      <w:r w:rsidRPr="00FC1110">
        <w:rPr>
          <w:rFonts w:asciiTheme="minorHAnsi" w:hAnsiTheme="minorHAnsi" w:cstheme="minorHAnsi"/>
          <w:szCs w:val="24"/>
        </w:rPr>
        <w:t xml:space="preserve">A2. </w:t>
      </w:r>
      <w:r w:rsidRPr="00FC1110" w:rsidR="00447C1E">
        <w:rPr>
          <w:rFonts w:asciiTheme="minorHAnsi" w:hAnsiTheme="minorHAnsi" w:cstheme="minorHAnsi"/>
          <w:szCs w:val="24"/>
        </w:rPr>
        <w:t>Purpose and Use of the Information.</w:t>
      </w:r>
      <w:bookmarkEnd w:id="3"/>
      <w:bookmarkEnd w:id="4"/>
    </w:p>
    <w:p w:rsidRPr="00FC1110" w:rsidR="0062567E" w:rsidRDefault="0062567E" w14:paraId="25042C62" w14:textId="77777777">
      <w:pPr>
        <w:tabs>
          <w:tab w:val="left" w:pos="-720"/>
        </w:tabs>
        <w:suppressAutoHyphens/>
        <w:rPr>
          <w:rFonts w:asciiTheme="minorHAnsi" w:hAnsiTheme="minorHAnsi" w:cstheme="minorHAnsi"/>
          <w:b/>
          <w:szCs w:val="24"/>
        </w:rPr>
      </w:pPr>
    </w:p>
    <w:p w:rsidRPr="00FC1110" w:rsidR="003333DF" w:rsidRDefault="003333DF" w14:paraId="2C275EEE" w14:textId="77777777">
      <w:pPr>
        <w:tabs>
          <w:tab w:val="left" w:pos="-720"/>
        </w:tabs>
        <w:suppressAutoHyphens/>
        <w:rPr>
          <w:rFonts w:asciiTheme="minorHAnsi" w:hAnsiTheme="minorHAnsi" w:cstheme="minorHAnsi"/>
          <w:b/>
          <w:szCs w:val="24"/>
        </w:rPr>
      </w:pPr>
      <w:r w:rsidRPr="00FC1110">
        <w:rPr>
          <w:rFonts w:asciiTheme="minorHAnsi" w:hAnsiTheme="minorHAnsi" w:cstheme="minorHAnsi"/>
          <w:b/>
          <w:szCs w:val="24"/>
        </w:rPr>
        <w:t>Indicate</w:t>
      </w:r>
      <w:r w:rsidRPr="00FC1110" w:rsidR="009F0786">
        <w:rPr>
          <w:rFonts w:asciiTheme="minorHAnsi" w:hAnsiTheme="minorHAnsi" w:cstheme="minorHAnsi"/>
          <w:b/>
          <w:szCs w:val="24"/>
        </w:rPr>
        <w:t xml:space="preserve"> how, by whom, and for what pur</w:t>
      </w:r>
      <w:r w:rsidRPr="00FC1110">
        <w:rPr>
          <w:rFonts w:asciiTheme="minorHAnsi" w:hAnsiTheme="minorHAnsi" w:cstheme="minorHAnsi"/>
          <w:b/>
          <w:szCs w:val="24"/>
        </w:rPr>
        <w:t>pose the information is to be used.</w:t>
      </w:r>
      <w:r w:rsidRPr="00FC1110" w:rsidR="009F0786">
        <w:rPr>
          <w:rFonts w:asciiTheme="minorHAnsi" w:hAnsiTheme="minorHAnsi" w:cstheme="minorHAnsi"/>
          <w:b/>
          <w:szCs w:val="24"/>
        </w:rPr>
        <w:t xml:space="preserve">  Except for a new collec</w:t>
      </w:r>
      <w:r w:rsidRPr="00FC1110">
        <w:rPr>
          <w:rFonts w:asciiTheme="minorHAnsi" w:hAnsiTheme="minorHAnsi" w:cstheme="minorHAnsi"/>
          <w:b/>
          <w:szCs w:val="24"/>
        </w:rPr>
        <w:t>tion, indicate how the agency has ac</w:t>
      </w:r>
      <w:r w:rsidRPr="00FC1110" w:rsidR="00E27BE9">
        <w:rPr>
          <w:rFonts w:asciiTheme="minorHAnsi" w:hAnsiTheme="minorHAnsi" w:cstheme="minorHAnsi"/>
          <w:b/>
          <w:szCs w:val="24"/>
        </w:rPr>
        <w:t>tually used the informa</w:t>
      </w:r>
      <w:r w:rsidRPr="00FC1110">
        <w:rPr>
          <w:rFonts w:asciiTheme="minorHAnsi" w:hAnsiTheme="minorHAnsi" w:cstheme="minorHAnsi"/>
          <w:b/>
          <w:szCs w:val="24"/>
        </w:rPr>
        <w:t>tion r</w:t>
      </w:r>
      <w:r w:rsidRPr="00FC1110" w:rsidR="00E27BE9">
        <w:rPr>
          <w:rFonts w:asciiTheme="minorHAnsi" w:hAnsiTheme="minorHAnsi" w:cstheme="minorHAnsi"/>
          <w:b/>
          <w:szCs w:val="24"/>
        </w:rPr>
        <w:t>eceived from the current collec</w:t>
      </w:r>
      <w:r w:rsidRPr="00FC1110">
        <w:rPr>
          <w:rFonts w:asciiTheme="minorHAnsi" w:hAnsiTheme="minorHAnsi" w:cstheme="minorHAnsi"/>
          <w:b/>
          <w:szCs w:val="24"/>
        </w:rPr>
        <w:t>tion.</w:t>
      </w:r>
    </w:p>
    <w:p w:rsidRPr="00FC1110" w:rsidR="009F7E1A" w:rsidP="009F7E1A" w:rsidRDefault="009F7E1A" w14:paraId="7D719431" w14:textId="77777777">
      <w:pPr>
        <w:tabs>
          <w:tab w:val="left" w:pos="-720"/>
        </w:tabs>
        <w:suppressAutoHyphens/>
        <w:rPr>
          <w:rFonts w:asciiTheme="minorHAnsi" w:hAnsiTheme="minorHAnsi" w:cstheme="minorHAnsi"/>
          <w:szCs w:val="24"/>
        </w:rPr>
      </w:pPr>
    </w:p>
    <w:p w:rsidRPr="00FC1110" w:rsidR="001F6622" w:rsidP="000D5A4A" w:rsidRDefault="001F6622" w14:paraId="094F23CD" w14:textId="77777777">
      <w:pPr>
        <w:pStyle w:val="Heading2"/>
        <w:spacing w:line="480" w:lineRule="auto"/>
        <w:jc w:val="left"/>
        <w:rPr>
          <w:rFonts w:asciiTheme="minorHAnsi" w:hAnsiTheme="minorHAnsi" w:cstheme="minorHAnsi"/>
          <w:b w:val="0"/>
          <w:szCs w:val="24"/>
        </w:rPr>
      </w:pPr>
      <w:bookmarkStart w:name="_Toc55565780" w:id="5"/>
      <w:r w:rsidRPr="00FC1110">
        <w:rPr>
          <w:rFonts w:asciiTheme="minorHAnsi" w:hAnsiTheme="minorHAnsi" w:cstheme="minorHAnsi"/>
          <w:b w:val="0"/>
          <w:szCs w:val="24"/>
        </w:rPr>
        <w:t xml:space="preserve">The Families First Coronavirus Response Act of 2020 (P.L. 116-127), enacted March 18, 2020, includes a general provision that allows the Department of Agriculture to issue emergency allotments (EA) based on a public health emergency declaration by the Secretary of Health and Human Services under section 319 of the Public Health Service Act related to an outbreak of COVID-19 when a State has also issued an emergency or disaster declaration.  The Department obtained approval through an emergency clearance to collect the information as described in this Notice (OMB Control Number 0854-0652; expiration 11/30/2020).  USDA anticipates the need to collect the data beyond the expiration date and is seeking approval of this Information </w:t>
      </w:r>
      <w:r w:rsidRPr="00FC1110">
        <w:rPr>
          <w:rFonts w:asciiTheme="minorHAnsi" w:hAnsiTheme="minorHAnsi" w:cstheme="minorHAnsi"/>
          <w:b w:val="0"/>
          <w:szCs w:val="24"/>
        </w:rPr>
        <w:lastRenderedPageBreak/>
        <w:t>Collection Request in order to meet the continuing information collection and reporting requirements detailed in the Families First Coronavirus Response Act of 2020.</w:t>
      </w:r>
      <w:bookmarkEnd w:id="5"/>
    </w:p>
    <w:p w:rsidRPr="00FC1110" w:rsidR="001F6622" w:rsidP="000D5A4A" w:rsidRDefault="001F6622" w14:paraId="3C1D16A9" w14:textId="77777777">
      <w:pPr>
        <w:pStyle w:val="Heading2"/>
        <w:spacing w:line="480" w:lineRule="auto"/>
        <w:jc w:val="left"/>
        <w:rPr>
          <w:rFonts w:asciiTheme="minorHAnsi" w:hAnsiTheme="minorHAnsi" w:cstheme="minorHAnsi"/>
          <w:b w:val="0"/>
          <w:szCs w:val="24"/>
        </w:rPr>
      </w:pPr>
    </w:p>
    <w:p w:rsidRPr="00FC1110" w:rsidR="001F6622" w:rsidP="000D5A4A" w:rsidRDefault="001F6622" w14:paraId="42FB2B29" w14:textId="384F8017">
      <w:pPr>
        <w:pStyle w:val="Heading2"/>
        <w:spacing w:line="480" w:lineRule="auto"/>
        <w:jc w:val="left"/>
        <w:rPr>
          <w:rFonts w:asciiTheme="minorHAnsi" w:hAnsiTheme="minorHAnsi" w:cstheme="minorHAnsi"/>
          <w:b w:val="0"/>
          <w:szCs w:val="24"/>
        </w:rPr>
      </w:pPr>
      <w:bookmarkStart w:name="_Toc55565781" w:id="6"/>
      <w:r w:rsidRPr="00FC1110">
        <w:rPr>
          <w:rFonts w:asciiTheme="minorHAnsi" w:hAnsiTheme="minorHAnsi" w:cstheme="minorHAnsi"/>
          <w:b w:val="0"/>
          <w:szCs w:val="24"/>
        </w:rPr>
        <w:t xml:space="preserve">As authorized by Families First Coronavirus Response Act of 2020, State agencies impacted by COVID-19 may submit a waiver request </w:t>
      </w:r>
      <w:r w:rsidR="009137C6">
        <w:rPr>
          <w:rFonts w:asciiTheme="minorHAnsi" w:hAnsiTheme="minorHAnsi" w:cstheme="minorHAnsi"/>
          <w:b w:val="0"/>
          <w:szCs w:val="24"/>
        </w:rPr>
        <w:t xml:space="preserve">via e-mail </w:t>
      </w:r>
      <w:r w:rsidRPr="00FC1110">
        <w:rPr>
          <w:rFonts w:asciiTheme="minorHAnsi" w:hAnsiTheme="minorHAnsi" w:cstheme="minorHAnsi"/>
          <w:b w:val="0"/>
          <w:szCs w:val="24"/>
        </w:rPr>
        <w:t>to their FNS Regional Office for approval to provide a</w:t>
      </w:r>
      <w:r w:rsidR="000F4DDD">
        <w:rPr>
          <w:rFonts w:asciiTheme="minorHAnsi" w:hAnsiTheme="minorHAnsi" w:cstheme="minorHAnsi"/>
          <w:b w:val="0"/>
          <w:szCs w:val="24"/>
        </w:rPr>
        <w:t>n</w:t>
      </w:r>
      <w:r w:rsidRPr="00FC1110">
        <w:rPr>
          <w:rFonts w:asciiTheme="minorHAnsi" w:hAnsiTheme="minorHAnsi" w:cstheme="minorHAnsi"/>
          <w:b w:val="0"/>
          <w:szCs w:val="24"/>
        </w:rPr>
        <w:t xml:space="preserve"> EA to households to bring all households up to the maximum benefit due to pandemic related economic conditions. State agency waivers will generally be approved under one or more the following conditions as it relates to COVID-19:</w:t>
      </w:r>
      <w:bookmarkEnd w:id="6"/>
      <w:r w:rsidRPr="00FC1110">
        <w:rPr>
          <w:rFonts w:asciiTheme="minorHAnsi" w:hAnsiTheme="minorHAnsi" w:cstheme="minorHAnsi"/>
          <w:b w:val="0"/>
          <w:szCs w:val="24"/>
        </w:rPr>
        <w:t xml:space="preserve">  </w:t>
      </w:r>
    </w:p>
    <w:p w:rsidRPr="00FC1110" w:rsidR="001F6622" w:rsidP="000D5A4A" w:rsidRDefault="001F6622" w14:paraId="38B38E99" w14:textId="77777777">
      <w:pPr>
        <w:pStyle w:val="Heading2"/>
        <w:numPr>
          <w:ilvl w:val="0"/>
          <w:numId w:val="20"/>
        </w:numPr>
        <w:spacing w:line="480" w:lineRule="auto"/>
        <w:jc w:val="left"/>
        <w:rPr>
          <w:rFonts w:asciiTheme="minorHAnsi" w:hAnsiTheme="minorHAnsi" w:cstheme="minorHAnsi"/>
          <w:b w:val="0"/>
          <w:szCs w:val="24"/>
        </w:rPr>
      </w:pPr>
      <w:bookmarkStart w:name="_Toc55565782" w:id="7"/>
      <w:r w:rsidRPr="00FC1110">
        <w:rPr>
          <w:rFonts w:asciiTheme="minorHAnsi" w:hAnsiTheme="minorHAnsi" w:cstheme="minorHAnsi"/>
          <w:b w:val="0"/>
          <w:szCs w:val="24"/>
        </w:rPr>
        <w:t>Residents of the State are confirmed to have contracted COVID-19</w:t>
      </w:r>
      <w:bookmarkEnd w:id="7"/>
    </w:p>
    <w:p w:rsidRPr="00FC1110" w:rsidR="001F6622" w:rsidP="000D5A4A" w:rsidRDefault="001F6622" w14:paraId="5B726117" w14:textId="77777777">
      <w:pPr>
        <w:pStyle w:val="Heading2"/>
        <w:numPr>
          <w:ilvl w:val="0"/>
          <w:numId w:val="20"/>
        </w:numPr>
        <w:spacing w:line="480" w:lineRule="auto"/>
        <w:jc w:val="left"/>
        <w:rPr>
          <w:rFonts w:asciiTheme="minorHAnsi" w:hAnsiTheme="minorHAnsi" w:cstheme="minorHAnsi"/>
          <w:b w:val="0"/>
          <w:szCs w:val="24"/>
        </w:rPr>
      </w:pPr>
      <w:bookmarkStart w:name="_Toc55565783" w:id="8"/>
      <w:r w:rsidRPr="00FC1110">
        <w:rPr>
          <w:rFonts w:asciiTheme="minorHAnsi" w:hAnsiTheme="minorHAnsi" w:cstheme="minorHAnsi"/>
          <w:b w:val="0"/>
          <w:szCs w:val="24"/>
        </w:rPr>
        <w:t>Some or all areas of the State are containment or quarantine zones</w:t>
      </w:r>
      <w:bookmarkEnd w:id="8"/>
    </w:p>
    <w:p w:rsidRPr="00FC1110" w:rsidR="001F6622" w:rsidP="000D5A4A" w:rsidRDefault="001F6622" w14:paraId="4E03A392" w14:textId="77777777">
      <w:pPr>
        <w:pStyle w:val="Heading2"/>
        <w:numPr>
          <w:ilvl w:val="0"/>
          <w:numId w:val="20"/>
        </w:numPr>
        <w:spacing w:line="480" w:lineRule="auto"/>
        <w:jc w:val="left"/>
        <w:rPr>
          <w:rFonts w:asciiTheme="minorHAnsi" w:hAnsiTheme="minorHAnsi" w:cstheme="minorHAnsi"/>
          <w:b w:val="0"/>
          <w:szCs w:val="24"/>
        </w:rPr>
      </w:pPr>
      <w:bookmarkStart w:name="_Toc55565784" w:id="9"/>
      <w:r w:rsidRPr="00FC1110">
        <w:rPr>
          <w:rFonts w:asciiTheme="minorHAnsi" w:hAnsiTheme="minorHAnsi" w:cstheme="minorHAnsi"/>
          <w:b w:val="0"/>
          <w:szCs w:val="24"/>
        </w:rPr>
        <w:t>Businesses have closed or significantly reduced their hours</w:t>
      </w:r>
      <w:bookmarkEnd w:id="9"/>
    </w:p>
    <w:p w:rsidRPr="009137C6" w:rsidR="001F6622" w:rsidP="000D5A4A" w:rsidRDefault="001F6622" w14:paraId="7CA6E74F" w14:textId="77777777">
      <w:pPr>
        <w:pStyle w:val="Heading2"/>
        <w:numPr>
          <w:ilvl w:val="0"/>
          <w:numId w:val="20"/>
        </w:numPr>
        <w:spacing w:line="480" w:lineRule="auto"/>
        <w:jc w:val="left"/>
        <w:rPr>
          <w:rFonts w:asciiTheme="minorHAnsi" w:hAnsiTheme="minorHAnsi" w:cstheme="minorHAnsi"/>
          <w:b w:val="0"/>
          <w:szCs w:val="24"/>
        </w:rPr>
      </w:pPr>
      <w:bookmarkStart w:name="_Toc55565785" w:id="10"/>
      <w:r w:rsidRPr="00FC1110">
        <w:rPr>
          <w:rFonts w:asciiTheme="minorHAnsi" w:hAnsiTheme="minorHAnsi" w:cstheme="minorHAnsi"/>
          <w:b w:val="0"/>
          <w:szCs w:val="24"/>
        </w:rPr>
        <w:t xml:space="preserve">The State’s residents have experienced economic impacts due to job suspensions or </w:t>
      </w:r>
      <w:r w:rsidRPr="009137C6">
        <w:rPr>
          <w:rFonts w:asciiTheme="minorHAnsi" w:hAnsiTheme="minorHAnsi" w:cstheme="minorHAnsi"/>
          <w:b w:val="0"/>
          <w:szCs w:val="24"/>
        </w:rPr>
        <w:t>losses</w:t>
      </w:r>
      <w:bookmarkEnd w:id="10"/>
    </w:p>
    <w:p w:rsidRPr="009137C6" w:rsidR="001F6622" w:rsidP="000D5A4A" w:rsidRDefault="001F6622" w14:paraId="2A04C8A6" w14:textId="77777777">
      <w:pPr>
        <w:pStyle w:val="Heading2"/>
        <w:numPr>
          <w:ilvl w:val="0"/>
          <w:numId w:val="20"/>
        </w:numPr>
        <w:spacing w:line="480" w:lineRule="auto"/>
        <w:jc w:val="left"/>
        <w:rPr>
          <w:rFonts w:asciiTheme="minorHAnsi" w:hAnsiTheme="minorHAnsi" w:cstheme="minorHAnsi"/>
          <w:b w:val="0"/>
          <w:szCs w:val="24"/>
        </w:rPr>
      </w:pPr>
      <w:bookmarkStart w:name="_Toc55565786" w:id="11"/>
      <w:r w:rsidRPr="009137C6">
        <w:rPr>
          <w:rFonts w:asciiTheme="minorHAnsi" w:hAnsiTheme="minorHAnsi" w:cstheme="minorHAnsi"/>
          <w:b w:val="0"/>
          <w:szCs w:val="24"/>
        </w:rPr>
        <w:t>The State’s residents have been directed to practice social distancing</w:t>
      </w:r>
      <w:bookmarkEnd w:id="11"/>
    </w:p>
    <w:p w:rsidRPr="009137C6" w:rsidR="001F6622" w:rsidP="000D5A4A" w:rsidRDefault="001F6622" w14:paraId="14924107" w14:textId="77777777">
      <w:pPr>
        <w:pStyle w:val="Heading2"/>
        <w:spacing w:line="480" w:lineRule="auto"/>
        <w:jc w:val="left"/>
        <w:rPr>
          <w:rFonts w:asciiTheme="minorHAnsi" w:hAnsiTheme="minorHAnsi" w:cstheme="minorHAnsi"/>
          <w:b w:val="0"/>
          <w:szCs w:val="24"/>
        </w:rPr>
      </w:pPr>
    </w:p>
    <w:p w:rsidRPr="009137C6" w:rsidR="009137C6" w:rsidP="000D5A4A" w:rsidRDefault="009137C6" w14:paraId="78B76D80" w14:textId="07DEFB67">
      <w:pPr>
        <w:pStyle w:val="Heading2"/>
        <w:spacing w:line="480" w:lineRule="auto"/>
        <w:jc w:val="left"/>
        <w:rPr>
          <w:rFonts w:asciiTheme="minorHAnsi" w:hAnsiTheme="minorHAnsi" w:cstheme="minorHAnsi"/>
          <w:b w:val="0"/>
          <w:szCs w:val="24"/>
        </w:rPr>
      </w:pPr>
      <w:bookmarkStart w:name="_Toc55565787" w:id="12"/>
      <w:r w:rsidRPr="009137C6">
        <w:rPr>
          <w:rFonts w:asciiTheme="minorHAnsi" w:hAnsiTheme="minorHAnsi" w:cstheme="minorHAnsi"/>
          <w:b w:val="0"/>
          <w:szCs w:val="24"/>
        </w:rPr>
        <w:t>Information to be included in the</w:t>
      </w:r>
      <w:r w:rsidR="00E442C5">
        <w:rPr>
          <w:rFonts w:asciiTheme="minorHAnsi" w:hAnsiTheme="minorHAnsi" w:cstheme="minorHAnsi"/>
          <w:b w:val="0"/>
          <w:szCs w:val="24"/>
        </w:rPr>
        <w:t xml:space="preserve"> State’s</w:t>
      </w:r>
      <w:r w:rsidRPr="009137C6">
        <w:rPr>
          <w:rFonts w:asciiTheme="minorHAnsi" w:hAnsiTheme="minorHAnsi" w:cstheme="minorHAnsi"/>
          <w:b w:val="0"/>
          <w:szCs w:val="24"/>
        </w:rPr>
        <w:t xml:space="preserve"> e-mailed request includes:</w:t>
      </w:r>
      <w:bookmarkEnd w:id="12"/>
    </w:p>
    <w:p w:rsidRPr="009137C6" w:rsidR="009137C6" w:rsidP="009137C6" w:rsidRDefault="009137C6" w14:paraId="474ADC46" w14:textId="55D5682D">
      <w:pPr>
        <w:pStyle w:val="Heading2"/>
        <w:numPr>
          <w:ilvl w:val="0"/>
          <w:numId w:val="21"/>
        </w:numPr>
        <w:spacing w:line="480" w:lineRule="auto"/>
        <w:jc w:val="left"/>
        <w:rPr>
          <w:rFonts w:asciiTheme="minorHAnsi" w:hAnsiTheme="minorHAnsi" w:cstheme="minorHAnsi"/>
          <w:b w:val="0"/>
          <w:szCs w:val="24"/>
        </w:rPr>
      </w:pPr>
      <w:bookmarkStart w:name="_Toc55565788" w:id="13"/>
      <w:r w:rsidRPr="009137C6">
        <w:rPr>
          <w:rFonts w:asciiTheme="minorHAnsi" w:hAnsiTheme="minorHAnsi" w:cstheme="minorHAnsi"/>
          <w:b w:val="0"/>
          <w:szCs w:val="24"/>
        </w:rPr>
        <w:t>Dates of EA issuance, if different from the State’s regular issuance schedule</w:t>
      </w:r>
      <w:bookmarkEnd w:id="13"/>
    </w:p>
    <w:p w:rsidRPr="009137C6" w:rsidR="009137C6" w:rsidP="009137C6" w:rsidRDefault="009137C6" w14:paraId="770A6FFE" w14:textId="1C36398F">
      <w:pPr>
        <w:pStyle w:val="ListParagraph"/>
        <w:numPr>
          <w:ilvl w:val="0"/>
          <w:numId w:val="21"/>
        </w:numPr>
        <w:rPr>
          <w:rFonts w:asciiTheme="minorHAnsi" w:hAnsiTheme="minorHAnsi" w:cstheme="minorHAnsi"/>
        </w:rPr>
      </w:pPr>
      <w:r w:rsidRPr="009137C6">
        <w:rPr>
          <w:rFonts w:asciiTheme="minorHAnsi" w:hAnsiTheme="minorHAnsi" w:cstheme="minorHAnsi"/>
        </w:rPr>
        <w:t>Estimated number of households</w:t>
      </w:r>
    </w:p>
    <w:p w:rsidRPr="009137C6" w:rsidR="009137C6" w:rsidP="009137C6" w:rsidRDefault="009137C6" w14:paraId="674AD9DF" w14:textId="3A68F228">
      <w:pPr>
        <w:pStyle w:val="ListParagraph"/>
        <w:numPr>
          <w:ilvl w:val="0"/>
          <w:numId w:val="21"/>
        </w:numPr>
        <w:rPr>
          <w:rFonts w:asciiTheme="minorHAnsi" w:hAnsiTheme="minorHAnsi" w:cstheme="minorHAnsi"/>
        </w:rPr>
      </w:pPr>
      <w:r w:rsidRPr="009137C6">
        <w:rPr>
          <w:rFonts w:asciiTheme="minorHAnsi" w:hAnsiTheme="minorHAnsi" w:cstheme="minorHAnsi"/>
        </w:rPr>
        <w:t>Estimated dollar amount of EA benefit issuance</w:t>
      </w:r>
    </w:p>
    <w:p w:rsidRPr="009137C6" w:rsidR="009137C6" w:rsidP="009137C6" w:rsidRDefault="009137C6" w14:paraId="671EA898" w14:textId="3E4344D3">
      <w:pPr>
        <w:pStyle w:val="ListParagraph"/>
        <w:numPr>
          <w:ilvl w:val="0"/>
          <w:numId w:val="21"/>
        </w:numPr>
        <w:rPr>
          <w:rFonts w:asciiTheme="minorHAnsi" w:hAnsiTheme="minorHAnsi" w:cstheme="minorHAnsi"/>
        </w:rPr>
      </w:pPr>
      <w:r w:rsidRPr="009137C6">
        <w:rPr>
          <w:rFonts w:asciiTheme="minorHAnsi" w:hAnsiTheme="minorHAnsi" w:cstheme="minorHAnsi"/>
        </w:rPr>
        <w:t>Confirmation that one of the above listed conditions exist in the State.</w:t>
      </w:r>
    </w:p>
    <w:p w:rsidRPr="009137C6" w:rsidR="009137C6" w:rsidP="009137C6" w:rsidRDefault="009137C6" w14:paraId="35B41C62" w14:textId="77777777">
      <w:pPr>
        <w:pStyle w:val="ListParagraph"/>
      </w:pPr>
    </w:p>
    <w:p w:rsidRPr="00FC1110" w:rsidR="001F6622" w:rsidP="000D5A4A" w:rsidRDefault="001F6622" w14:paraId="49D57046" w14:textId="2F8B05F2">
      <w:pPr>
        <w:pStyle w:val="Heading2"/>
        <w:spacing w:line="480" w:lineRule="auto"/>
        <w:jc w:val="left"/>
        <w:rPr>
          <w:rFonts w:asciiTheme="minorHAnsi" w:hAnsiTheme="minorHAnsi" w:cstheme="minorHAnsi"/>
          <w:b w:val="0"/>
          <w:szCs w:val="24"/>
        </w:rPr>
      </w:pPr>
      <w:bookmarkStart w:name="_Toc55565789" w:id="14"/>
      <w:r w:rsidRPr="00FC1110">
        <w:rPr>
          <w:rFonts w:asciiTheme="minorHAnsi" w:hAnsiTheme="minorHAnsi" w:cstheme="minorHAnsi"/>
          <w:b w:val="0"/>
          <w:szCs w:val="24"/>
        </w:rPr>
        <w:t xml:space="preserve">Once the State’s waiver has been approved by FNS, the State may provide the EA without </w:t>
      </w:r>
      <w:r w:rsidRPr="00FC1110">
        <w:rPr>
          <w:rFonts w:asciiTheme="minorHAnsi" w:hAnsiTheme="minorHAnsi" w:cstheme="minorHAnsi"/>
          <w:b w:val="0"/>
          <w:szCs w:val="24"/>
        </w:rPr>
        <w:lastRenderedPageBreak/>
        <w:t xml:space="preserve">contacting the household.   Following </w:t>
      </w:r>
      <w:r w:rsidR="00E442C5">
        <w:rPr>
          <w:rFonts w:asciiTheme="minorHAnsi" w:hAnsiTheme="minorHAnsi" w:cstheme="minorHAnsi"/>
          <w:b w:val="0"/>
          <w:szCs w:val="24"/>
        </w:rPr>
        <w:t>initial</w:t>
      </w:r>
      <w:r w:rsidRPr="00FC1110">
        <w:rPr>
          <w:rFonts w:asciiTheme="minorHAnsi" w:hAnsiTheme="minorHAnsi" w:cstheme="minorHAnsi"/>
          <w:b w:val="0"/>
          <w:szCs w:val="24"/>
        </w:rPr>
        <w:t xml:space="preserve"> approval, FNS will require State Agencies to attest to FNS </w:t>
      </w:r>
      <w:r w:rsidR="00E442C5">
        <w:rPr>
          <w:rFonts w:asciiTheme="minorHAnsi" w:hAnsiTheme="minorHAnsi" w:cstheme="minorHAnsi"/>
          <w:b w:val="0"/>
          <w:szCs w:val="24"/>
        </w:rPr>
        <w:t xml:space="preserve">via e-mail </w:t>
      </w:r>
      <w:r w:rsidRPr="00FC1110">
        <w:rPr>
          <w:rFonts w:asciiTheme="minorHAnsi" w:hAnsiTheme="minorHAnsi" w:cstheme="minorHAnsi"/>
          <w:b w:val="0"/>
          <w:szCs w:val="24"/>
        </w:rPr>
        <w:t xml:space="preserve">on a monthly basis the EA waiver is still needed.  Both the initial </w:t>
      </w:r>
      <w:r w:rsidR="00E442C5">
        <w:rPr>
          <w:rFonts w:asciiTheme="minorHAnsi" w:hAnsiTheme="minorHAnsi" w:cstheme="minorHAnsi"/>
          <w:b w:val="0"/>
          <w:szCs w:val="24"/>
        </w:rPr>
        <w:t>request</w:t>
      </w:r>
      <w:r w:rsidRPr="00FC1110">
        <w:rPr>
          <w:rFonts w:asciiTheme="minorHAnsi" w:hAnsiTheme="minorHAnsi" w:cstheme="minorHAnsi"/>
          <w:b w:val="0"/>
          <w:szCs w:val="24"/>
        </w:rPr>
        <w:t xml:space="preserve"> and the monthly attestation are conducted via e-mail.</w:t>
      </w:r>
      <w:bookmarkEnd w:id="14"/>
      <w:r w:rsidRPr="00FC1110">
        <w:rPr>
          <w:rFonts w:asciiTheme="minorHAnsi" w:hAnsiTheme="minorHAnsi" w:cstheme="minorHAnsi"/>
          <w:b w:val="0"/>
          <w:szCs w:val="24"/>
        </w:rPr>
        <w:t xml:space="preserve">  </w:t>
      </w:r>
    </w:p>
    <w:p w:rsidRPr="00FC1110" w:rsidR="001F6622" w:rsidP="000D5A4A" w:rsidRDefault="001F6622" w14:paraId="1C411941" w14:textId="77777777">
      <w:pPr>
        <w:pStyle w:val="Heading2"/>
        <w:spacing w:line="480" w:lineRule="auto"/>
        <w:jc w:val="left"/>
        <w:rPr>
          <w:rFonts w:asciiTheme="minorHAnsi" w:hAnsiTheme="minorHAnsi" w:cstheme="minorHAnsi"/>
          <w:b w:val="0"/>
          <w:szCs w:val="24"/>
        </w:rPr>
      </w:pPr>
    </w:p>
    <w:p w:rsidR="001F6622" w:rsidP="000D5A4A" w:rsidRDefault="001F6622" w14:paraId="087294B4" w14:textId="0E1FD115">
      <w:pPr>
        <w:pStyle w:val="Heading2"/>
        <w:spacing w:line="480" w:lineRule="auto"/>
        <w:jc w:val="left"/>
        <w:rPr>
          <w:rFonts w:asciiTheme="minorHAnsi" w:hAnsiTheme="minorHAnsi" w:cstheme="minorHAnsi"/>
          <w:b w:val="0"/>
          <w:szCs w:val="24"/>
        </w:rPr>
      </w:pPr>
      <w:bookmarkStart w:name="_Toc55565790" w:id="15"/>
      <w:r w:rsidRPr="00FC1110">
        <w:rPr>
          <w:rFonts w:asciiTheme="minorHAnsi" w:hAnsiTheme="minorHAnsi" w:cstheme="minorHAnsi"/>
          <w:b w:val="0"/>
          <w:szCs w:val="24"/>
        </w:rPr>
        <w:t>Section 18(b) of the Food and Nutrition Act of 2008, as amended, requires that, “In any fiscal year, the Secretary shall limit the value of those allotments issued to an amount not in excess of the appropriation for such fiscal year.”  Because the EA waiver increases the monthly benefit of participants above the amount originally anticipated for this fiscal year, the amount of benefits issued and redeemed must be carefully tracked to ensure FNS does not exceed its appropriation.  As such, it is necessary for FNS to collect information from State agencies operating EA on a more frequent basis than would be reported normally.  Generally, States report disaster-related SNAP participation and issuance data to FNS on the FNS-292B, Report of Disaster Supplemental Nutrition Assistance Benefit Issuance, within 45 days of terminating disaster assistance.</w:t>
      </w:r>
      <w:bookmarkEnd w:id="15"/>
    </w:p>
    <w:p w:rsidRPr="00893FBD" w:rsidR="00893FBD" w:rsidP="00893FBD" w:rsidRDefault="00893FBD" w14:paraId="75A4BCBC" w14:textId="77777777"/>
    <w:p w:rsidRPr="00893FBD" w:rsidR="00893FBD" w:rsidP="00893FBD" w:rsidRDefault="00893FBD" w14:paraId="2A817EE5" w14:textId="4A6BA1EA">
      <w:pPr>
        <w:spacing w:line="480" w:lineRule="auto"/>
        <w:rPr>
          <w:rFonts w:asciiTheme="minorHAnsi" w:hAnsiTheme="minorHAnsi" w:cstheme="minorHAnsi"/>
        </w:rPr>
      </w:pPr>
      <w:r w:rsidRPr="00893FBD">
        <w:rPr>
          <w:rFonts w:asciiTheme="minorHAnsi" w:hAnsiTheme="minorHAnsi" w:cstheme="minorHAnsi"/>
        </w:rPr>
        <w:t>While a State is operating under an EA waiver, FNS requires</w:t>
      </w:r>
      <w:r>
        <w:rPr>
          <w:rFonts w:asciiTheme="minorHAnsi" w:hAnsiTheme="minorHAnsi" w:cstheme="minorHAnsi"/>
        </w:rPr>
        <w:t xml:space="preserve"> the State to submit bi-weekly </w:t>
      </w:r>
      <w:r w:rsidRPr="00893FBD">
        <w:rPr>
          <w:rFonts w:asciiTheme="minorHAnsi" w:hAnsiTheme="minorHAnsi" w:cstheme="minorHAnsi"/>
        </w:rPr>
        <w:t xml:space="preserve">FNS-292B reports. The burden for a State agency to submit FNS-292B reports during normal operations is currently captured under the information collection for the Food Programs Reporting System (FPRS), OMB Control Number 0584-0594 (expiration date 7/31/2023).  However, FNS is including the burden for submitting this form more frequently during COVID-19 under this information collection.  </w:t>
      </w:r>
    </w:p>
    <w:p w:rsidRPr="00FC1110" w:rsidR="00341DEE" w:rsidP="00E11A38" w:rsidRDefault="00341DEE" w14:paraId="2EBF78CF" w14:textId="77777777">
      <w:pPr>
        <w:pStyle w:val="Heading2"/>
        <w:jc w:val="left"/>
        <w:rPr>
          <w:rFonts w:asciiTheme="minorHAnsi" w:hAnsiTheme="minorHAnsi" w:cstheme="minorHAnsi"/>
          <w:szCs w:val="24"/>
        </w:rPr>
      </w:pPr>
    </w:p>
    <w:p w:rsidRPr="00FC1110" w:rsidR="00A308DB" w:rsidP="0062567E" w:rsidRDefault="005A3F80" w14:paraId="028A789E" w14:textId="77777777">
      <w:pPr>
        <w:pStyle w:val="Heading1"/>
        <w:rPr>
          <w:rFonts w:asciiTheme="minorHAnsi" w:hAnsiTheme="minorHAnsi" w:cstheme="minorHAnsi"/>
          <w:szCs w:val="24"/>
        </w:rPr>
      </w:pPr>
      <w:bookmarkStart w:name="_Toc401831359" w:id="16"/>
      <w:bookmarkStart w:name="_Toc55565791" w:id="17"/>
      <w:r w:rsidRPr="00FC1110">
        <w:rPr>
          <w:rFonts w:asciiTheme="minorHAnsi" w:hAnsiTheme="minorHAnsi" w:cstheme="minorHAnsi"/>
          <w:szCs w:val="24"/>
        </w:rPr>
        <w:t xml:space="preserve">A3.  </w:t>
      </w:r>
      <w:r w:rsidRPr="00FC1110" w:rsidR="00831EA7">
        <w:rPr>
          <w:rFonts w:asciiTheme="minorHAnsi" w:hAnsiTheme="minorHAnsi" w:cstheme="minorHAnsi"/>
          <w:szCs w:val="24"/>
        </w:rPr>
        <w:t xml:space="preserve">Use of </w:t>
      </w:r>
      <w:r w:rsidRPr="00FC1110" w:rsidR="00826253">
        <w:rPr>
          <w:rFonts w:asciiTheme="minorHAnsi" w:hAnsiTheme="minorHAnsi" w:cstheme="minorHAnsi"/>
          <w:szCs w:val="24"/>
        </w:rPr>
        <w:t>i</w:t>
      </w:r>
      <w:r w:rsidRPr="00FC1110" w:rsidR="00831EA7">
        <w:rPr>
          <w:rFonts w:asciiTheme="minorHAnsi" w:hAnsiTheme="minorHAnsi" w:cstheme="minorHAnsi"/>
          <w:szCs w:val="24"/>
        </w:rPr>
        <w:t xml:space="preserve">nformation </w:t>
      </w:r>
      <w:r w:rsidRPr="00FC1110" w:rsidR="00826253">
        <w:rPr>
          <w:rFonts w:asciiTheme="minorHAnsi" w:hAnsiTheme="minorHAnsi" w:cstheme="minorHAnsi"/>
          <w:szCs w:val="24"/>
        </w:rPr>
        <w:t>t</w:t>
      </w:r>
      <w:r w:rsidRPr="00FC1110" w:rsidR="00831EA7">
        <w:rPr>
          <w:rFonts w:asciiTheme="minorHAnsi" w:hAnsiTheme="minorHAnsi" w:cstheme="minorHAnsi"/>
          <w:szCs w:val="24"/>
        </w:rPr>
        <w:t xml:space="preserve">echnology and </w:t>
      </w:r>
      <w:r w:rsidRPr="00FC1110" w:rsidR="00826253">
        <w:rPr>
          <w:rFonts w:asciiTheme="minorHAnsi" w:hAnsiTheme="minorHAnsi" w:cstheme="minorHAnsi"/>
          <w:szCs w:val="24"/>
        </w:rPr>
        <w:t>b</w:t>
      </w:r>
      <w:r w:rsidRPr="00FC1110" w:rsidR="00831EA7">
        <w:rPr>
          <w:rFonts w:asciiTheme="minorHAnsi" w:hAnsiTheme="minorHAnsi" w:cstheme="minorHAnsi"/>
          <w:szCs w:val="24"/>
        </w:rPr>
        <w:t xml:space="preserve">urden </w:t>
      </w:r>
      <w:r w:rsidRPr="00FC1110" w:rsidR="00826253">
        <w:rPr>
          <w:rFonts w:asciiTheme="minorHAnsi" w:hAnsiTheme="minorHAnsi" w:cstheme="minorHAnsi"/>
          <w:szCs w:val="24"/>
        </w:rPr>
        <w:t>r</w:t>
      </w:r>
      <w:r w:rsidRPr="00FC1110" w:rsidR="00831EA7">
        <w:rPr>
          <w:rFonts w:asciiTheme="minorHAnsi" w:hAnsiTheme="minorHAnsi" w:cstheme="minorHAnsi"/>
          <w:szCs w:val="24"/>
        </w:rPr>
        <w:t>eduction</w:t>
      </w:r>
      <w:r w:rsidRPr="00FC1110">
        <w:rPr>
          <w:rFonts w:asciiTheme="minorHAnsi" w:hAnsiTheme="minorHAnsi" w:cstheme="minorHAnsi"/>
          <w:szCs w:val="24"/>
        </w:rPr>
        <w:t>.</w:t>
      </w:r>
      <w:bookmarkEnd w:id="16"/>
      <w:bookmarkEnd w:id="17"/>
      <w:r w:rsidRPr="00FC1110">
        <w:rPr>
          <w:rFonts w:asciiTheme="minorHAnsi" w:hAnsiTheme="minorHAnsi" w:cstheme="minorHAnsi"/>
          <w:szCs w:val="24"/>
        </w:rPr>
        <w:t xml:space="preserve">  </w:t>
      </w:r>
    </w:p>
    <w:p w:rsidRPr="00FC1110" w:rsidR="003333DF" w:rsidRDefault="003333DF" w14:paraId="1541E997" w14:textId="77777777">
      <w:pPr>
        <w:tabs>
          <w:tab w:val="left" w:pos="0"/>
        </w:tabs>
        <w:suppressAutoHyphens/>
        <w:rPr>
          <w:rFonts w:asciiTheme="minorHAnsi" w:hAnsiTheme="minorHAnsi" w:cstheme="minorHAnsi"/>
          <w:szCs w:val="24"/>
        </w:rPr>
      </w:pPr>
    </w:p>
    <w:p w:rsidRPr="00FC1110" w:rsidR="003333DF" w:rsidP="0062567E" w:rsidRDefault="003333DF" w14:paraId="1CAB156F" w14:textId="77777777">
      <w:pPr>
        <w:rPr>
          <w:rFonts w:asciiTheme="minorHAnsi" w:hAnsiTheme="minorHAnsi" w:cstheme="minorHAnsi"/>
          <w:b/>
          <w:szCs w:val="24"/>
        </w:rPr>
      </w:pPr>
      <w:r w:rsidRPr="00FC1110">
        <w:rPr>
          <w:rFonts w:asciiTheme="minorHAnsi" w:hAnsiTheme="minorHAnsi" w:cstheme="minorHAnsi"/>
          <w:b/>
          <w:szCs w:val="24"/>
        </w:rPr>
        <w:lastRenderedPageBreak/>
        <w:t xml:space="preserve">Describe whether, and to what extent, the collection of information involves the use of </w:t>
      </w:r>
      <w:r w:rsidRPr="00FC1110" w:rsidR="00542C4F">
        <w:rPr>
          <w:rFonts w:asciiTheme="minorHAnsi" w:hAnsiTheme="minorHAnsi" w:cstheme="minorHAnsi"/>
          <w:b/>
          <w:szCs w:val="24"/>
        </w:rPr>
        <w:t>automated, electronic, mechanical, or other technolog</w:t>
      </w:r>
      <w:r w:rsidRPr="00FC1110">
        <w:rPr>
          <w:rFonts w:asciiTheme="minorHAnsi" w:hAnsiTheme="minorHAnsi" w:cstheme="minorHAnsi"/>
          <w:b/>
          <w:szCs w:val="24"/>
        </w:rPr>
        <w:t>ical collection techniques or oth</w:t>
      </w:r>
      <w:r w:rsidRPr="00FC1110" w:rsidR="00542C4F">
        <w:rPr>
          <w:rFonts w:asciiTheme="minorHAnsi" w:hAnsiTheme="minorHAnsi" w:cstheme="minorHAnsi"/>
          <w:b/>
          <w:szCs w:val="24"/>
        </w:rPr>
        <w:t>er forms of information technology, e.g., permitting electronic sub</w:t>
      </w:r>
      <w:r w:rsidRPr="00FC1110">
        <w:rPr>
          <w:rFonts w:asciiTheme="minorHAnsi" w:hAnsiTheme="minorHAnsi" w:cstheme="minorHAnsi"/>
          <w:b/>
          <w:szCs w:val="24"/>
        </w:rPr>
        <w:t>mission of responses, and the basis for the decision for adopting this means of co</w:t>
      </w:r>
      <w:r w:rsidRPr="00FC1110" w:rsidR="00542C4F">
        <w:rPr>
          <w:rFonts w:asciiTheme="minorHAnsi" w:hAnsiTheme="minorHAnsi" w:cstheme="minorHAnsi"/>
          <w:b/>
          <w:szCs w:val="24"/>
        </w:rPr>
        <w:t>llection. Also describe any con</w:t>
      </w:r>
      <w:r w:rsidRPr="00FC1110">
        <w:rPr>
          <w:rFonts w:asciiTheme="minorHAnsi" w:hAnsiTheme="minorHAnsi" w:cstheme="minorHAnsi"/>
          <w:b/>
          <w:szCs w:val="24"/>
        </w:rPr>
        <w:t>sideratio</w:t>
      </w:r>
      <w:r w:rsidRPr="00FC1110" w:rsidR="00542C4F">
        <w:rPr>
          <w:rFonts w:asciiTheme="minorHAnsi" w:hAnsiTheme="minorHAnsi" w:cstheme="minorHAnsi"/>
          <w:b/>
          <w:szCs w:val="24"/>
        </w:rPr>
        <w:t>n of using information technology to reduce bur</w:t>
      </w:r>
      <w:r w:rsidRPr="00FC1110">
        <w:rPr>
          <w:rFonts w:asciiTheme="minorHAnsi" w:hAnsiTheme="minorHAnsi" w:cstheme="minorHAnsi"/>
          <w:b/>
          <w:szCs w:val="24"/>
        </w:rPr>
        <w:t>den.</w:t>
      </w:r>
    </w:p>
    <w:p w:rsidRPr="00FC1110" w:rsidR="000D5A4A" w:rsidP="009F7E1A" w:rsidRDefault="000D5A4A" w14:paraId="60203133" w14:textId="77777777">
      <w:pPr>
        <w:tabs>
          <w:tab w:val="left" w:pos="-720"/>
        </w:tabs>
        <w:suppressAutoHyphens/>
        <w:spacing w:line="480" w:lineRule="auto"/>
        <w:rPr>
          <w:rFonts w:asciiTheme="minorHAnsi" w:hAnsiTheme="minorHAnsi" w:cstheme="minorHAnsi"/>
          <w:szCs w:val="24"/>
        </w:rPr>
      </w:pPr>
    </w:p>
    <w:p w:rsidRPr="00FC1110" w:rsidR="003308EC" w:rsidP="009F7E1A" w:rsidRDefault="000D5A4A" w14:paraId="6C8425FA" w14:textId="174C35B7">
      <w:pPr>
        <w:tabs>
          <w:tab w:val="left" w:pos="-720"/>
        </w:tabs>
        <w:suppressAutoHyphens/>
        <w:spacing w:line="480" w:lineRule="auto"/>
        <w:rPr>
          <w:rFonts w:asciiTheme="minorHAnsi" w:hAnsiTheme="minorHAnsi" w:cstheme="minorHAnsi"/>
          <w:szCs w:val="24"/>
        </w:rPr>
      </w:pPr>
      <w:r w:rsidRPr="00FC1110">
        <w:rPr>
          <w:rFonts w:asciiTheme="minorHAnsi" w:hAnsiTheme="minorHAnsi" w:cstheme="minorHAnsi"/>
          <w:szCs w:val="24"/>
        </w:rPr>
        <w:t>FNS makes every effort to comply with E-Government Act, 2002 (E-</w:t>
      </w:r>
      <w:proofErr w:type="spellStart"/>
      <w:r w:rsidRPr="00FC1110">
        <w:rPr>
          <w:rFonts w:asciiTheme="minorHAnsi" w:hAnsiTheme="minorHAnsi" w:cstheme="minorHAnsi"/>
          <w:szCs w:val="24"/>
        </w:rPr>
        <w:t>Gov</w:t>
      </w:r>
      <w:proofErr w:type="spellEnd"/>
      <w:r w:rsidRPr="00FC1110">
        <w:rPr>
          <w:rFonts w:asciiTheme="minorHAnsi" w:hAnsiTheme="minorHAnsi" w:cstheme="minorHAnsi"/>
          <w:szCs w:val="24"/>
        </w:rPr>
        <w:t>) and to provide for alternative submission of information collections.  Currently, States submit waiver requests to FNS via e-mail; as such we anticipate 100% of responses will be submitted electronically.</w:t>
      </w:r>
    </w:p>
    <w:p w:rsidRPr="00FC1110" w:rsidR="000D5A4A" w:rsidP="009F7E1A" w:rsidRDefault="000D5A4A" w14:paraId="66CB542A" w14:textId="77777777">
      <w:pPr>
        <w:tabs>
          <w:tab w:val="left" w:pos="-720"/>
        </w:tabs>
        <w:suppressAutoHyphens/>
        <w:spacing w:line="480" w:lineRule="auto"/>
        <w:rPr>
          <w:rFonts w:asciiTheme="minorHAnsi" w:hAnsiTheme="minorHAnsi" w:cstheme="minorHAnsi"/>
          <w:szCs w:val="24"/>
        </w:rPr>
      </w:pPr>
    </w:p>
    <w:p w:rsidRPr="00FC1110" w:rsidR="00A308DB" w:rsidP="0062567E" w:rsidRDefault="005A3F80" w14:paraId="497AB9B7" w14:textId="77777777">
      <w:pPr>
        <w:pStyle w:val="Heading1"/>
        <w:rPr>
          <w:rFonts w:asciiTheme="minorHAnsi" w:hAnsiTheme="minorHAnsi" w:cstheme="minorHAnsi"/>
          <w:szCs w:val="24"/>
        </w:rPr>
      </w:pPr>
      <w:bookmarkStart w:name="_Toc401831360" w:id="18"/>
      <w:bookmarkStart w:name="_Toc55565792" w:id="19"/>
      <w:r w:rsidRPr="00FC1110">
        <w:rPr>
          <w:rFonts w:asciiTheme="minorHAnsi" w:hAnsiTheme="minorHAnsi" w:cstheme="minorHAnsi"/>
          <w:szCs w:val="24"/>
        </w:rPr>
        <w:t xml:space="preserve">A4.  </w:t>
      </w:r>
      <w:r w:rsidRPr="00FC1110" w:rsidR="002568E6">
        <w:rPr>
          <w:rFonts w:asciiTheme="minorHAnsi" w:hAnsiTheme="minorHAnsi" w:cstheme="minorHAnsi"/>
          <w:szCs w:val="24"/>
        </w:rPr>
        <w:t>E</w:t>
      </w:r>
      <w:r w:rsidRPr="00FC1110">
        <w:rPr>
          <w:rFonts w:asciiTheme="minorHAnsi" w:hAnsiTheme="minorHAnsi" w:cstheme="minorHAnsi"/>
          <w:szCs w:val="24"/>
        </w:rPr>
        <w:t>fforts to identify duplication.</w:t>
      </w:r>
      <w:bookmarkEnd w:id="18"/>
      <w:bookmarkEnd w:id="19"/>
      <w:r w:rsidRPr="00FC1110">
        <w:rPr>
          <w:rFonts w:asciiTheme="minorHAnsi" w:hAnsiTheme="minorHAnsi" w:cstheme="minorHAnsi"/>
          <w:szCs w:val="24"/>
        </w:rPr>
        <w:t xml:space="preserve"> </w:t>
      </w:r>
    </w:p>
    <w:p w:rsidRPr="00FC1110" w:rsidR="003333DF" w:rsidRDefault="003333DF" w14:paraId="04337CE6" w14:textId="77777777">
      <w:pPr>
        <w:tabs>
          <w:tab w:val="left" w:pos="0"/>
        </w:tabs>
        <w:suppressAutoHyphens/>
        <w:rPr>
          <w:rFonts w:asciiTheme="minorHAnsi" w:hAnsiTheme="minorHAnsi" w:cstheme="minorHAnsi"/>
          <w:szCs w:val="24"/>
        </w:rPr>
      </w:pPr>
    </w:p>
    <w:p w:rsidRPr="00FC1110" w:rsidR="003333DF" w:rsidRDefault="003333DF" w14:paraId="464B27BF" w14:textId="77777777">
      <w:pPr>
        <w:tabs>
          <w:tab w:val="left" w:pos="0"/>
        </w:tabs>
        <w:suppressAutoHyphens/>
        <w:rPr>
          <w:rFonts w:asciiTheme="minorHAnsi" w:hAnsiTheme="minorHAnsi" w:cstheme="minorHAnsi"/>
          <w:szCs w:val="24"/>
        </w:rPr>
      </w:pPr>
      <w:r w:rsidRPr="00FC1110">
        <w:rPr>
          <w:rFonts w:asciiTheme="minorHAnsi" w:hAnsiTheme="minorHAnsi" w:cstheme="minorHAnsi"/>
          <w:b/>
          <w:szCs w:val="24"/>
        </w:rPr>
        <w:t>Descr</w:t>
      </w:r>
      <w:r w:rsidRPr="00FC1110" w:rsidR="00751946">
        <w:rPr>
          <w:rFonts w:asciiTheme="minorHAnsi" w:hAnsiTheme="minorHAnsi" w:cstheme="minorHAnsi"/>
          <w:b/>
          <w:szCs w:val="24"/>
        </w:rPr>
        <w:t>ibe efforts to identify duplica</w:t>
      </w:r>
      <w:r w:rsidRPr="00FC1110">
        <w:rPr>
          <w:rFonts w:asciiTheme="minorHAnsi" w:hAnsiTheme="minorHAnsi" w:cstheme="minorHAnsi"/>
          <w:b/>
          <w:szCs w:val="24"/>
        </w:rPr>
        <w:t>tion.</w:t>
      </w:r>
      <w:r w:rsidRPr="00FC1110" w:rsidR="00751946">
        <w:rPr>
          <w:rFonts w:asciiTheme="minorHAnsi" w:hAnsiTheme="minorHAnsi" w:cstheme="minorHAnsi"/>
          <w:b/>
          <w:szCs w:val="24"/>
        </w:rPr>
        <w:t xml:space="preserve">  Show specifically why any similar information already avail</w:t>
      </w:r>
      <w:r w:rsidRPr="00FC1110">
        <w:rPr>
          <w:rFonts w:asciiTheme="minorHAnsi" w:hAnsiTheme="minorHAnsi" w:cstheme="minorHAnsi"/>
          <w:b/>
          <w:szCs w:val="24"/>
        </w:rPr>
        <w:t xml:space="preserve">able cannot be used or </w:t>
      </w:r>
      <w:r w:rsidRPr="00FC1110" w:rsidR="00751946">
        <w:rPr>
          <w:rFonts w:asciiTheme="minorHAnsi" w:hAnsiTheme="minorHAnsi" w:cstheme="minorHAnsi"/>
          <w:b/>
          <w:szCs w:val="24"/>
        </w:rPr>
        <w:t>modified for use for the purposes descri</w:t>
      </w:r>
      <w:r w:rsidRPr="00FC1110">
        <w:rPr>
          <w:rFonts w:asciiTheme="minorHAnsi" w:hAnsiTheme="minorHAnsi" w:cstheme="minorHAnsi"/>
          <w:b/>
          <w:szCs w:val="24"/>
        </w:rPr>
        <w:t>bed in Question 2.</w:t>
      </w:r>
    </w:p>
    <w:p w:rsidRPr="00FC1110" w:rsidR="009F7E1A" w:rsidP="009F7E1A" w:rsidRDefault="009F7E1A" w14:paraId="4C4099F6" w14:textId="77777777">
      <w:pPr>
        <w:tabs>
          <w:tab w:val="left" w:pos="-720"/>
        </w:tabs>
        <w:suppressAutoHyphens/>
        <w:rPr>
          <w:rFonts w:asciiTheme="minorHAnsi" w:hAnsiTheme="minorHAnsi" w:cstheme="minorHAnsi"/>
          <w:szCs w:val="24"/>
        </w:rPr>
      </w:pPr>
    </w:p>
    <w:p w:rsidRPr="00FC1110" w:rsidR="003308EC" w:rsidP="0062567E" w:rsidRDefault="003308EC" w14:paraId="01AEDC2B" w14:textId="3A7E01A9">
      <w:pPr>
        <w:pStyle w:val="Heading1"/>
        <w:rPr>
          <w:rFonts w:asciiTheme="minorHAnsi" w:hAnsiTheme="minorHAnsi" w:cstheme="minorHAnsi"/>
          <w:szCs w:val="24"/>
        </w:rPr>
      </w:pPr>
      <w:bookmarkStart w:name="_Toc401831361" w:id="20"/>
    </w:p>
    <w:p w:rsidR="000D5A4A" w:rsidP="000D5A4A" w:rsidRDefault="000D5A4A" w14:paraId="30454B22" w14:textId="0611C944">
      <w:pPr>
        <w:tabs>
          <w:tab w:val="left" w:pos="-720"/>
        </w:tabs>
        <w:suppressAutoHyphens/>
        <w:spacing w:line="480" w:lineRule="auto"/>
        <w:rPr>
          <w:rFonts w:asciiTheme="minorHAnsi" w:hAnsiTheme="minorHAnsi" w:cstheme="minorHAnsi"/>
          <w:szCs w:val="24"/>
        </w:rPr>
      </w:pPr>
      <w:r w:rsidRPr="00FC1110">
        <w:rPr>
          <w:rFonts w:asciiTheme="minorHAnsi" w:hAnsiTheme="minorHAnsi" w:cstheme="minorHAnsi"/>
          <w:szCs w:val="24"/>
        </w:rPr>
        <w:t>Every effort has been made to avoid duplication. FNS has reviewed USDA reporting requirements, state administrative agency reporting requirements, and special studies by other government and private agencies.</w:t>
      </w:r>
      <w:r w:rsidRPr="00FC1110">
        <w:rPr>
          <w:rFonts w:asciiTheme="minorHAnsi" w:hAnsiTheme="minorHAnsi" w:cstheme="minorHAnsi"/>
        </w:rPr>
        <w:t xml:space="preserve"> </w:t>
      </w:r>
      <w:r w:rsidRPr="00FC1110">
        <w:rPr>
          <w:rFonts w:asciiTheme="minorHAnsi" w:hAnsiTheme="minorHAnsi" w:cstheme="minorHAnsi"/>
          <w:szCs w:val="24"/>
        </w:rPr>
        <w:t xml:space="preserve">FNS monitors State performance to ensure that the program is being efficiently and economically operated.  </w:t>
      </w:r>
    </w:p>
    <w:p w:rsidRPr="00FC1110" w:rsidR="00FC1110" w:rsidP="000D5A4A" w:rsidRDefault="00FC1110" w14:paraId="7362F7B6" w14:textId="77777777">
      <w:pPr>
        <w:tabs>
          <w:tab w:val="left" w:pos="-720"/>
        </w:tabs>
        <w:suppressAutoHyphens/>
        <w:spacing w:line="480" w:lineRule="auto"/>
        <w:rPr>
          <w:rFonts w:asciiTheme="minorHAnsi" w:hAnsiTheme="minorHAnsi" w:cstheme="minorHAnsi"/>
          <w:szCs w:val="24"/>
        </w:rPr>
      </w:pPr>
    </w:p>
    <w:p w:rsidRPr="00FC1110" w:rsidR="00FC2F64" w:rsidP="00FC2F64" w:rsidRDefault="00FC2F64" w14:paraId="49598257" w14:textId="0FB82B9F">
      <w:pPr>
        <w:tabs>
          <w:tab w:val="left" w:pos="-720"/>
        </w:tabs>
        <w:suppressAutoHyphens/>
        <w:spacing w:line="480" w:lineRule="auto"/>
        <w:rPr>
          <w:rFonts w:asciiTheme="minorHAnsi" w:hAnsiTheme="minorHAnsi" w:cstheme="minorHAnsi"/>
          <w:szCs w:val="24"/>
        </w:rPr>
      </w:pPr>
      <w:r w:rsidRPr="00FC1110">
        <w:rPr>
          <w:rFonts w:asciiTheme="minorHAnsi" w:hAnsiTheme="minorHAnsi" w:cstheme="minorHAnsi"/>
          <w:szCs w:val="24"/>
        </w:rPr>
        <w:t xml:space="preserve">FNS currently requires State agencies to report Disaster SNAP issuance and participation data using form FNS-292B, Report of Disaster Supplemental Nutrition Assistance Program Benefit Issuance.  Form FNS-292B must be submitted to the agency within 45 days of the termination of a Disaster SNAP operation and captures final issuance and participation data.  The information collection burden for the recordkeeping of FNS-292B is included in OMB 0584-0037, expiration date 2/28/2021. The reporting burden estimates are currently approved under </w:t>
      </w:r>
      <w:r w:rsidRPr="00FC1110">
        <w:rPr>
          <w:rFonts w:asciiTheme="minorHAnsi" w:hAnsiTheme="minorHAnsi" w:cstheme="minorHAnsi"/>
          <w:szCs w:val="24"/>
        </w:rPr>
        <w:lastRenderedPageBreak/>
        <w:t>Food Programs Reporting System (FPRS) – OMB Control No. 0584-0594 Expiration 07/31/2023.  Monthly SNAP data is collected on FNS-388, but does not duplicate any data collection currently in place, as the FNS-292B serves as a final summary and closeout of the disaster response period and is not meant to provide periodic updates.</w:t>
      </w:r>
    </w:p>
    <w:p w:rsidRPr="00FC1110" w:rsidR="000D5A4A" w:rsidP="000D5A4A" w:rsidRDefault="000D5A4A" w14:paraId="0F1286A4" w14:textId="77777777">
      <w:pPr>
        <w:rPr>
          <w:rFonts w:asciiTheme="minorHAnsi" w:hAnsiTheme="minorHAnsi" w:cstheme="minorHAnsi"/>
        </w:rPr>
      </w:pPr>
    </w:p>
    <w:p w:rsidRPr="00FC1110" w:rsidR="00A308DB" w:rsidP="0062567E" w:rsidRDefault="005A3F80" w14:paraId="23B4D4F5" w14:textId="58C972AF">
      <w:pPr>
        <w:pStyle w:val="Heading1"/>
        <w:rPr>
          <w:rFonts w:asciiTheme="minorHAnsi" w:hAnsiTheme="minorHAnsi" w:cstheme="minorHAnsi"/>
          <w:szCs w:val="24"/>
        </w:rPr>
      </w:pPr>
      <w:bookmarkStart w:name="_Toc55565793" w:id="21"/>
      <w:r w:rsidRPr="00FC1110">
        <w:rPr>
          <w:rFonts w:asciiTheme="minorHAnsi" w:hAnsiTheme="minorHAnsi" w:cstheme="minorHAnsi"/>
          <w:szCs w:val="24"/>
        </w:rPr>
        <w:t>A5.  Impacts on small businesses or other small entities.</w:t>
      </w:r>
      <w:bookmarkEnd w:id="20"/>
      <w:bookmarkEnd w:id="21"/>
      <w:r w:rsidRPr="00FC1110">
        <w:rPr>
          <w:rFonts w:asciiTheme="minorHAnsi" w:hAnsiTheme="minorHAnsi" w:cstheme="minorHAnsi"/>
          <w:szCs w:val="24"/>
        </w:rPr>
        <w:t xml:space="preserve">  </w:t>
      </w:r>
    </w:p>
    <w:p w:rsidRPr="00FC1110" w:rsidR="003333DF" w:rsidRDefault="003333DF" w14:paraId="6B5A767F" w14:textId="77777777">
      <w:pPr>
        <w:tabs>
          <w:tab w:val="left" w:pos="0"/>
        </w:tabs>
        <w:suppressAutoHyphens/>
        <w:rPr>
          <w:rFonts w:asciiTheme="minorHAnsi" w:hAnsiTheme="minorHAnsi" w:cstheme="minorHAnsi"/>
          <w:szCs w:val="24"/>
        </w:rPr>
      </w:pPr>
    </w:p>
    <w:p w:rsidRPr="00FC1110" w:rsidR="003333DF" w:rsidRDefault="003333DF" w14:paraId="0880C885" w14:textId="77777777">
      <w:pPr>
        <w:tabs>
          <w:tab w:val="left" w:pos="0"/>
        </w:tabs>
        <w:suppressAutoHyphens/>
        <w:rPr>
          <w:rFonts w:asciiTheme="minorHAnsi" w:hAnsiTheme="minorHAnsi" w:cstheme="minorHAnsi"/>
          <w:szCs w:val="24"/>
        </w:rPr>
      </w:pPr>
      <w:r w:rsidRPr="00FC1110">
        <w:rPr>
          <w:rFonts w:asciiTheme="minorHAnsi" w:hAnsiTheme="minorHAnsi" w:cstheme="minorHAnsi"/>
          <w:b/>
          <w:szCs w:val="24"/>
        </w:rPr>
        <w:t>If t</w:t>
      </w:r>
      <w:r w:rsidRPr="00FC1110" w:rsidR="006E4B7F">
        <w:rPr>
          <w:rFonts w:asciiTheme="minorHAnsi" w:hAnsiTheme="minorHAnsi" w:cstheme="minorHAnsi"/>
          <w:b/>
          <w:szCs w:val="24"/>
        </w:rPr>
        <w:t>he collection of information im</w:t>
      </w:r>
      <w:r w:rsidRPr="00FC1110">
        <w:rPr>
          <w:rFonts w:asciiTheme="minorHAnsi" w:hAnsiTheme="minorHAnsi" w:cstheme="minorHAnsi"/>
          <w:b/>
          <w:szCs w:val="24"/>
        </w:rPr>
        <w:t>pacts small businesses or other small entities (Item 5 of OMB Form 83-I), de</w:t>
      </w:r>
      <w:r w:rsidRPr="00FC1110" w:rsidR="006E4B7F">
        <w:rPr>
          <w:rFonts w:asciiTheme="minorHAnsi" w:hAnsiTheme="minorHAnsi" w:cstheme="minorHAnsi"/>
          <w:b/>
          <w:szCs w:val="24"/>
        </w:rPr>
        <w:t>scribe any methods used to mini</w:t>
      </w:r>
      <w:r w:rsidRPr="00FC1110">
        <w:rPr>
          <w:rFonts w:asciiTheme="minorHAnsi" w:hAnsiTheme="minorHAnsi" w:cstheme="minorHAnsi"/>
          <w:b/>
          <w:szCs w:val="24"/>
        </w:rPr>
        <w:t>mize burden.</w:t>
      </w:r>
    </w:p>
    <w:p w:rsidRPr="00FC1110" w:rsidR="00A308DB" w:rsidRDefault="00A308DB" w14:paraId="4F995CD3" w14:textId="77777777">
      <w:pPr>
        <w:tabs>
          <w:tab w:val="left" w:pos="0"/>
        </w:tabs>
        <w:suppressAutoHyphens/>
        <w:rPr>
          <w:rFonts w:asciiTheme="minorHAnsi" w:hAnsiTheme="minorHAnsi" w:cstheme="minorHAnsi"/>
          <w:szCs w:val="24"/>
        </w:rPr>
      </w:pPr>
    </w:p>
    <w:p w:rsidRPr="00FC1110" w:rsidR="00FC2F64" w:rsidP="00FC2F64" w:rsidRDefault="00FC2F64" w14:paraId="0B5C86C9" w14:textId="77777777">
      <w:pPr>
        <w:tabs>
          <w:tab w:val="left" w:pos="-720"/>
        </w:tabs>
        <w:suppressAutoHyphens/>
        <w:spacing w:line="480" w:lineRule="auto"/>
        <w:rPr>
          <w:rFonts w:asciiTheme="minorHAnsi" w:hAnsiTheme="minorHAnsi" w:cstheme="minorHAnsi"/>
          <w:szCs w:val="24"/>
        </w:rPr>
      </w:pPr>
      <w:r w:rsidRPr="00FC1110">
        <w:rPr>
          <w:rFonts w:asciiTheme="minorHAnsi" w:hAnsiTheme="minorHAnsi" w:cstheme="minorHAnsi"/>
          <w:spacing w:val="-3"/>
          <w:szCs w:val="24"/>
        </w:rPr>
        <w:t xml:space="preserve">Information being requested or required has been held to the minimum required for the intended use.  Although two smaller State, Local, or Tribal Government Agencies are involved in this data collection effort, they delivered the same program benefits and perform the same function as any other State Agencies.  Thus, they maintain the same kinds of information on file.  There are no other entities involved with this data collection. </w:t>
      </w:r>
      <w:r w:rsidRPr="00FC1110">
        <w:rPr>
          <w:rFonts w:asciiTheme="minorHAnsi" w:hAnsiTheme="minorHAnsi" w:cstheme="minorHAnsi"/>
          <w:szCs w:val="24"/>
        </w:rPr>
        <w:t xml:space="preserve">  </w:t>
      </w:r>
    </w:p>
    <w:p w:rsidRPr="00FC1110" w:rsidR="00E11A38" w:rsidP="009F7E1A" w:rsidRDefault="00E11A38" w14:paraId="6FFC6C7D" w14:textId="77777777">
      <w:pPr>
        <w:tabs>
          <w:tab w:val="left" w:pos="-720"/>
        </w:tabs>
        <w:suppressAutoHyphens/>
        <w:spacing w:line="480" w:lineRule="auto"/>
        <w:rPr>
          <w:rFonts w:asciiTheme="minorHAnsi" w:hAnsiTheme="minorHAnsi" w:cstheme="minorHAnsi"/>
          <w:spacing w:val="-3"/>
          <w:szCs w:val="24"/>
        </w:rPr>
      </w:pPr>
    </w:p>
    <w:p w:rsidRPr="00FC1110" w:rsidR="00A308DB" w:rsidP="0062567E" w:rsidRDefault="005A3F80" w14:paraId="41DAD811" w14:textId="77777777">
      <w:pPr>
        <w:pStyle w:val="Heading1"/>
        <w:rPr>
          <w:rFonts w:asciiTheme="minorHAnsi" w:hAnsiTheme="minorHAnsi" w:cstheme="minorHAnsi"/>
          <w:szCs w:val="24"/>
        </w:rPr>
      </w:pPr>
      <w:bookmarkStart w:name="_Toc401831362" w:id="22"/>
      <w:bookmarkStart w:name="_Toc55565794" w:id="23"/>
      <w:r w:rsidRPr="00FC1110">
        <w:rPr>
          <w:rFonts w:asciiTheme="minorHAnsi" w:hAnsiTheme="minorHAnsi" w:cstheme="minorHAnsi"/>
          <w:szCs w:val="24"/>
        </w:rPr>
        <w:t xml:space="preserve">A6.  Consequences </w:t>
      </w:r>
      <w:r w:rsidRPr="00FC1110" w:rsidR="00826253">
        <w:rPr>
          <w:rFonts w:asciiTheme="minorHAnsi" w:hAnsiTheme="minorHAnsi" w:cstheme="minorHAnsi"/>
          <w:szCs w:val="24"/>
        </w:rPr>
        <w:t xml:space="preserve">of collecting the </w:t>
      </w:r>
      <w:r w:rsidRPr="00FC1110" w:rsidR="00DA0E06">
        <w:rPr>
          <w:rFonts w:asciiTheme="minorHAnsi" w:hAnsiTheme="minorHAnsi" w:cstheme="minorHAnsi"/>
          <w:szCs w:val="24"/>
        </w:rPr>
        <w:t>i</w:t>
      </w:r>
      <w:r w:rsidRPr="00FC1110" w:rsidR="00826253">
        <w:rPr>
          <w:rFonts w:asciiTheme="minorHAnsi" w:hAnsiTheme="minorHAnsi" w:cstheme="minorHAnsi"/>
          <w:szCs w:val="24"/>
        </w:rPr>
        <w:t xml:space="preserve">nformation </w:t>
      </w:r>
      <w:r w:rsidRPr="00FC1110">
        <w:rPr>
          <w:rFonts w:asciiTheme="minorHAnsi" w:hAnsiTheme="minorHAnsi" w:cstheme="minorHAnsi"/>
          <w:szCs w:val="24"/>
        </w:rPr>
        <w:t>less frequently.</w:t>
      </w:r>
      <w:bookmarkEnd w:id="22"/>
      <w:bookmarkEnd w:id="23"/>
      <w:r w:rsidRPr="00FC1110">
        <w:rPr>
          <w:rFonts w:asciiTheme="minorHAnsi" w:hAnsiTheme="minorHAnsi" w:cstheme="minorHAnsi"/>
          <w:szCs w:val="24"/>
        </w:rPr>
        <w:t xml:space="preserve">  </w:t>
      </w:r>
    </w:p>
    <w:p w:rsidRPr="00FC1110" w:rsidR="003333DF" w:rsidP="005C04BB" w:rsidRDefault="003333DF" w14:paraId="039FEA4F" w14:textId="77777777">
      <w:pPr>
        <w:tabs>
          <w:tab w:val="left" w:pos="0"/>
        </w:tabs>
        <w:suppressAutoHyphens/>
        <w:rPr>
          <w:rFonts w:asciiTheme="minorHAnsi" w:hAnsiTheme="minorHAnsi" w:cstheme="minorHAnsi"/>
          <w:szCs w:val="24"/>
        </w:rPr>
      </w:pPr>
    </w:p>
    <w:p w:rsidRPr="00FC1110" w:rsidR="003333DF" w:rsidP="0062567E" w:rsidRDefault="003333DF" w14:paraId="28EC7BEB" w14:textId="77777777">
      <w:pPr>
        <w:rPr>
          <w:rFonts w:asciiTheme="minorHAnsi" w:hAnsiTheme="minorHAnsi" w:cstheme="minorHAnsi"/>
          <w:b/>
          <w:szCs w:val="24"/>
        </w:rPr>
      </w:pPr>
      <w:r w:rsidRPr="00FC1110">
        <w:rPr>
          <w:rFonts w:asciiTheme="minorHAnsi" w:hAnsiTheme="minorHAnsi" w:cstheme="minorHAnsi"/>
          <w:b/>
          <w:szCs w:val="24"/>
        </w:rPr>
        <w:t>Describe the consequence to Federal program or policy activities if the collect</w:t>
      </w:r>
      <w:r w:rsidRPr="00FC1110" w:rsidR="00E315C8">
        <w:rPr>
          <w:rFonts w:asciiTheme="minorHAnsi" w:hAnsiTheme="minorHAnsi" w:cstheme="minorHAnsi"/>
          <w:b/>
          <w:szCs w:val="24"/>
        </w:rPr>
        <w:t>ion is not conducted, or is conducted less frequent</w:t>
      </w:r>
      <w:r w:rsidRPr="00FC1110">
        <w:rPr>
          <w:rFonts w:asciiTheme="minorHAnsi" w:hAnsiTheme="minorHAnsi" w:cstheme="minorHAnsi"/>
          <w:b/>
          <w:szCs w:val="24"/>
        </w:rPr>
        <w:t>ly, as well as any technical or legal obstacles to reducing burden.</w:t>
      </w:r>
    </w:p>
    <w:p w:rsidRPr="00FC1110" w:rsidR="00E11A38" w:rsidP="00E11A38" w:rsidRDefault="00E11A38" w14:paraId="135AA816" w14:textId="77777777">
      <w:pPr>
        <w:tabs>
          <w:tab w:val="left" w:pos="-720"/>
        </w:tabs>
        <w:suppressAutoHyphens/>
        <w:rPr>
          <w:rFonts w:asciiTheme="minorHAnsi" w:hAnsiTheme="minorHAnsi" w:cstheme="minorHAnsi"/>
          <w:szCs w:val="24"/>
        </w:rPr>
      </w:pPr>
    </w:p>
    <w:p w:rsidRPr="00FC1110" w:rsidR="00CE03D8" w:rsidP="00CE03D8" w:rsidRDefault="00CE03D8" w14:paraId="2D7708CE" w14:textId="7394EE56">
      <w:pPr>
        <w:pStyle w:val="Heading2"/>
        <w:spacing w:line="480" w:lineRule="auto"/>
        <w:jc w:val="left"/>
        <w:rPr>
          <w:rFonts w:asciiTheme="minorHAnsi" w:hAnsiTheme="minorHAnsi" w:cstheme="minorHAnsi"/>
          <w:b w:val="0"/>
          <w:szCs w:val="24"/>
        </w:rPr>
      </w:pPr>
      <w:bookmarkStart w:name="_Toc55565795" w:id="24"/>
      <w:r w:rsidRPr="00FC1110">
        <w:rPr>
          <w:rFonts w:asciiTheme="minorHAnsi" w:hAnsiTheme="minorHAnsi" w:cstheme="minorHAnsi"/>
          <w:b w:val="0"/>
          <w:szCs w:val="24"/>
        </w:rPr>
        <w:t xml:space="preserve">Because the EA waiver increases the monthly benefit of participants above the amount originally anticipated for this fiscal year, the amount of benefits issued and redeemed must be carefully tracked to ensure FNS does not exceed its appropriation.  As such, it is necessary for FNS to collect information from State agencies operating EA on a more frequent basis than would be reported normally.  Generally, States report disaster-related SNAP participation and issuance data to FNS on the FNS-292B, Report of Disaster Supplemental Nutrition Assistance </w:t>
      </w:r>
      <w:r w:rsidRPr="00FC1110">
        <w:rPr>
          <w:rFonts w:asciiTheme="minorHAnsi" w:hAnsiTheme="minorHAnsi" w:cstheme="minorHAnsi"/>
          <w:b w:val="0"/>
          <w:szCs w:val="24"/>
        </w:rPr>
        <w:lastRenderedPageBreak/>
        <w:t>Benefit Issuance, within 45 days of terminating disaster assistance.</w:t>
      </w:r>
      <w:r w:rsidR="00893201">
        <w:rPr>
          <w:rFonts w:asciiTheme="minorHAnsi" w:hAnsiTheme="minorHAnsi" w:cstheme="minorHAnsi"/>
          <w:b w:val="0"/>
          <w:szCs w:val="24"/>
        </w:rPr>
        <w:t xml:space="preserve">  Collecting this information bi-weekly allows FNS to closely monitor benefit expenditures to prevent exceeding appropriations.</w:t>
      </w:r>
      <w:bookmarkEnd w:id="24"/>
    </w:p>
    <w:p w:rsidRPr="00FC1110" w:rsidR="00E11A38" w:rsidP="00E11A38" w:rsidRDefault="00E11A38" w14:paraId="17EF12EF" w14:textId="0B488C83">
      <w:pPr>
        <w:tabs>
          <w:tab w:val="left" w:pos="-720"/>
        </w:tabs>
        <w:suppressAutoHyphens/>
        <w:spacing w:line="480" w:lineRule="auto"/>
        <w:rPr>
          <w:rFonts w:asciiTheme="minorHAnsi" w:hAnsiTheme="minorHAnsi" w:cstheme="minorHAnsi"/>
          <w:szCs w:val="24"/>
        </w:rPr>
      </w:pPr>
    </w:p>
    <w:p w:rsidRPr="00FC1110" w:rsidR="00A308DB" w:rsidP="0062567E" w:rsidRDefault="00213436" w14:paraId="6BA24B5D" w14:textId="77777777">
      <w:pPr>
        <w:pStyle w:val="Heading1"/>
        <w:rPr>
          <w:rFonts w:asciiTheme="minorHAnsi" w:hAnsiTheme="minorHAnsi" w:cstheme="minorHAnsi"/>
          <w:szCs w:val="24"/>
        </w:rPr>
      </w:pPr>
      <w:bookmarkStart w:name="_Toc401831363" w:id="25"/>
      <w:bookmarkStart w:name="_Toc55565796" w:id="26"/>
      <w:r w:rsidRPr="00FC1110">
        <w:rPr>
          <w:rFonts w:asciiTheme="minorHAnsi" w:hAnsiTheme="minorHAnsi" w:cstheme="minorHAnsi"/>
          <w:szCs w:val="24"/>
        </w:rPr>
        <w:t xml:space="preserve">A7.  </w:t>
      </w:r>
      <w:r w:rsidRPr="00FC1110" w:rsidR="00A37C87">
        <w:rPr>
          <w:rFonts w:asciiTheme="minorHAnsi" w:hAnsiTheme="minorHAnsi" w:cstheme="minorHAnsi"/>
          <w:szCs w:val="24"/>
        </w:rPr>
        <w:t>Special c</w:t>
      </w:r>
      <w:r w:rsidRPr="00FC1110">
        <w:rPr>
          <w:rFonts w:asciiTheme="minorHAnsi" w:hAnsiTheme="minorHAnsi" w:cstheme="minorHAnsi"/>
          <w:szCs w:val="24"/>
        </w:rPr>
        <w:t xml:space="preserve">ircumstances </w:t>
      </w:r>
      <w:r w:rsidRPr="00FC1110" w:rsidR="00A37C87">
        <w:rPr>
          <w:rFonts w:asciiTheme="minorHAnsi" w:hAnsiTheme="minorHAnsi" w:cstheme="minorHAnsi"/>
          <w:szCs w:val="24"/>
        </w:rPr>
        <w:t>relating to the Guidelines of</w:t>
      </w:r>
      <w:r w:rsidRPr="00FC1110">
        <w:rPr>
          <w:rFonts w:asciiTheme="minorHAnsi" w:hAnsiTheme="minorHAnsi" w:cstheme="minorHAnsi"/>
          <w:szCs w:val="24"/>
        </w:rPr>
        <w:t xml:space="preserve"> 5 CFR 1320.</w:t>
      </w:r>
      <w:r w:rsidRPr="00FC1110" w:rsidR="003C6BDD">
        <w:rPr>
          <w:rFonts w:asciiTheme="minorHAnsi" w:hAnsiTheme="minorHAnsi" w:cstheme="minorHAnsi"/>
          <w:szCs w:val="24"/>
        </w:rPr>
        <w:t>5</w:t>
      </w:r>
      <w:r w:rsidRPr="00FC1110">
        <w:rPr>
          <w:rFonts w:asciiTheme="minorHAnsi" w:hAnsiTheme="minorHAnsi" w:cstheme="minorHAnsi"/>
          <w:szCs w:val="24"/>
        </w:rPr>
        <w:t>.</w:t>
      </w:r>
      <w:bookmarkEnd w:id="25"/>
      <w:bookmarkEnd w:id="26"/>
      <w:r w:rsidRPr="00FC1110">
        <w:rPr>
          <w:rFonts w:asciiTheme="minorHAnsi" w:hAnsiTheme="minorHAnsi" w:cstheme="minorHAnsi"/>
          <w:szCs w:val="24"/>
        </w:rPr>
        <w:t xml:space="preserve">  </w:t>
      </w:r>
    </w:p>
    <w:p w:rsidRPr="00FC1110" w:rsidR="00A308DB" w:rsidP="00213436" w:rsidRDefault="00A308DB" w14:paraId="4C320FF7" w14:textId="77777777">
      <w:pPr>
        <w:tabs>
          <w:tab w:val="left" w:pos="0"/>
        </w:tabs>
        <w:suppressAutoHyphens/>
        <w:rPr>
          <w:rFonts w:asciiTheme="minorHAnsi" w:hAnsiTheme="minorHAnsi" w:cstheme="minorHAnsi"/>
          <w:szCs w:val="24"/>
        </w:rPr>
      </w:pPr>
    </w:p>
    <w:p w:rsidRPr="00FC1110" w:rsidR="003333DF" w:rsidP="0062567E" w:rsidRDefault="003333DF" w14:paraId="379B6733" w14:textId="77777777">
      <w:pPr>
        <w:widowControl/>
        <w:rPr>
          <w:rFonts w:asciiTheme="minorHAnsi" w:hAnsiTheme="minorHAnsi" w:cstheme="minorHAnsi"/>
          <w:b/>
          <w:szCs w:val="24"/>
        </w:rPr>
      </w:pPr>
      <w:r w:rsidRPr="00FC1110">
        <w:rPr>
          <w:rFonts w:asciiTheme="minorHAnsi" w:hAnsiTheme="minorHAnsi" w:cstheme="minorHAnsi"/>
          <w:b/>
          <w:szCs w:val="24"/>
        </w:rPr>
        <w:t>Explain any special circumstances that woul</w:t>
      </w:r>
      <w:r w:rsidRPr="00FC1110" w:rsidR="00CF7CB1">
        <w:rPr>
          <w:rFonts w:asciiTheme="minorHAnsi" w:hAnsiTheme="minorHAnsi" w:cstheme="minorHAnsi"/>
          <w:b/>
          <w:szCs w:val="24"/>
        </w:rPr>
        <w:t>d cause an information collecti</w:t>
      </w:r>
      <w:r w:rsidRPr="00FC1110">
        <w:rPr>
          <w:rFonts w:asciiTheme="minorHAnsi" w:hAnsiTheme="minorHAnsi" w:cstheme="minorHAnsi"/>
          <w:b/>
          <w:szCs w:val="24"/>
        </w:rPr>
        <w:t>on to</w:t>
      </w:r>
      <w:r w:rsidRPr="00FC1110" w:rsidR="00CF7CB1">
        <w:rPr>
          <w:rFonts w:asciiTheme="minorHAnsi" w:hAnsiTheme="minorHAnsi" w:cstheme="minorHAnsi"/>
          <w:b/>
          <w:szCs w:val="24"/>
        </w:rPr>
        <w:t xml:space="preserve"> be con</w:t>
      </w:r>
      <w:r w:rsidRPr="00FC1110">
        <w:rPr>
          <w:rFonts w:asciiTheme="minorHAnsi" w:hAnsiTheme="minorHAnsi" w:cstheme="minorHAnsi"/>
          <w:b/>
          <w:szCs w:val="24"/>
        </w:rPr>
        <w:t xml:space="preserve">ducted in a manner: </w:t>
      </w:r>
    </w:p>
    <w:p w:rsidRPr="00FC1110" w:rsidR="003333DF" w:rsidP="0062567E" w:rsidRDefault="003333DF" w14:paraId="5FD2DBA7" w14:textId="77777777">
      <w:pPr>
        <w:widowControl/>
        <w:numPr>
          <w:ilvl w:val="0"/>
          <w:numId w:val="19"/>
        </w:numPr>
        <w:tabs>
          <w:tab w:val="left" w:pos="-720"/>
        </w:tabs>
        <w:suppressAutoHyphens/>
        <w:overflowPunct/>
        <w:autoSpaceDE/>
        <w:autoSpaceDN/>
        <w:adjustRightInd/>
        <w:textAlignment w:val="auto"/>
        <w:rPr>
          <w:rFonts w:asciiTheme="minorHAnsi" w:hAnsiTheme="minorHAnsi" w:cstheme="minorHAnsi"/>
          <w:b/>
          <w:szCs w:val="24"/>
        </w:rPr>
      </w:pPr>
      <w:r w:rsidRPr="00FC1110">
        <w:rPr>
          <w:rFonts w:asciiTheme="minorHAnsi" w:hAnsiTheme="minorHAnsi" w:cstheme="minorHAnsi"/>
          <w:b/>
          <w:szCs w:val="24"/>
        </w:rPr>
        <w:t>Requirin</w:t>
      </w:r>
      <w:r w:rsidRPr="00FC1110" w:rsidR="00CF7CB1">
        <w:rPr>
          <w:rFonts w:asciiTheme="minorHAnsi" w:hAnsiTheme="minorHAnsi" w:cstheme="minorHAnsi"/>
          <w:b/>
          <w:szCs w:val="24"/>
        </w:rPr>
        <w:t>g respondents to report informa</w:t>
      </w:r>
      <w:r w:rsidRPr="00FC1110">
        <w:rPr>
          <w:rFonts w:asciiTheme="minorHAnsi" w:hAnsiTheme="minorHAnsi" w:cstheme="minorHAnsi"/>
          <w:b/>
          <w:szCs w:val="24"/>
        </w:rPr>
        <w:t xml:space="preserve">tion to the agency more often than quarterly; </w:t>
      </w:r>
    </w:p>
    <w:p w:rsidRPr="00FC1110" w:rsidR="003333DF" w:rsidP="0062567E" w:rsidRDefault="003333DF" w14:paraId="3741847D" w14:textId="77777777">
      <w:pPr>
        <w:widowControl/>
        <w:numPr>
          <w:ilvl w:val="0"/>
          <w:numId w:val="19"/>
        </w:numPr>
        <w:tabs>
          <w:tab w:val="left" w:pos="-720"/>
        </w:tabs>
        <w:suppressAutoHyphens/>
        <w:overflowPunct/>
        <w:autoSpaceDE/>
        <w:autoSpaceDN/>
        <w:adjustRightInd/>
        <w:textAlignment w:val="auto"/>
        <w:rPr>
          <w:rFonts w:asciiTheme="minorHAnsi" w:hAnsiTheme="minorHAnsi" w:cstheme="minorHAnsi"/>
          <w:b/>
          <w:szCs w:val="24"/>
        </w:rPr>
      </w:pPr>
      <w:r w:rsidRPr="00FC1110">
        <w:rPr>
          <w:rFonts w:asciiTheme="minorHAnsi" w:hAnsiTheme="minorHAnsi" w:cstheme="minorHAnsi"/>
          <w:b/>
          <w:szCs w:val="24"/>
        </w:rPr>
        <w:t>Requirin</w:t>
      </w:r>
      <w:r w:rsidRPr="00FC1110" w:rsidR="008F3F14">
        <w:rPr>
          <w:rFonts w:asciiTheme="minorHAnsi" w:hAnsiTheme="minorHAnsi" w:cstheme="minorHAnsi"/>
          <w:b/>
          <w:szCs w:val="24"/>
        </w:rPr>
        <w:t>g respondents to prepare a writ</w:t>
      </w:r>
      <w:r w:rsidRPr="00FC1110">
        <w:rPr>
          <w:rFonts w:asciiTheme="minorHAnsi" w:hAnsiTheme="minorHAnsi" w:cstheme="minorHAnsi"/>
          <w:b/>
          <w:szCs w:val="24"/>
        </w:rPr>
        <w:t>ten re</w:t>
      </w:r>
      <w:r w:rsidRPr="00FC1110" w:rsidR="008F3F14">
        <w:rPr>
          <w:rFonts w:asciiTheme="minorHAnsi" w:hAnsiTheme="minorHAnsi" w:cstheme="minorHAnsi"/>
          <w:b/>
          <w:szCs w:val="24"/>
        </w:rPr>
        <w:t>sponse to a collection of informa</w:t>
      </w:r>
      <w:r w:rsidRPr="00FC1110">
        <w:rPr>
          <w:rFonts w:asciiTheme="minorHAnsi" w:hAnsiTheme="minorHAnsi" w:cstheme="minorHAnsi"/>
          <w:b/>
          <w:szCs w:val="24"/>
        </w:rPr>
        <w:t xml:space="preserve">tion in fewer than 30 days after receipt of it; </w:t>
      </w:r>
    </w:p>
    <w:p w:rsidRPr="00FC1110" w:rsidR="003333DF" w:rsidP="0062567E" w:rsidRDefault="003333DF" w14:paraId="67847BAF" w14:textId="77777777">
      <w:pPr>
        <w:widowControl/>
        <w:numPr>
          <w:ilvl w:val="0"/>
          <w:numId w:val="19"/>
        </w:numPr>
        <w:tabs>
          <w:tab w:val="left" w:pos="-720"/>
        </w:tabs>
        <w:suppressAutoHyphens/>
        <w:overflowPunct/>
        <w:autoSpaceDE/>
        <w:autoSpaceDN/>
        <w:adjustRightInd/>
        <w:textAlignment w:val="auto"/>
        <w:rPr>
          <w:rFonts w:asciiTheme="minorHAnsi" w:hAnsiTheme="minorHAnsi" w:cstheme="minorHAnsi"/>
          <w:b/>
          <w:szCs w:val="24"/>
        </w:rPr>
      </w:pPr>
      <w:r w:rsidRPr="00FC1110">
        <w:rPr>
          <w:rFonts w:asciiTheme="minorHAnsi" w:hAnsiTheme="minorHAnsi" w:cstheme="minorHAnsi"/>
          <w:b/>
          <w:szCs w:val="24"/>
        </w:rPr>
        <w:t>Requiring respondents to submit more than an orig</w:t>
      </w:r>
      <w:r w:rsidRPr="00FC1110" w:rsidR="008F3F14">
        <w:rPr>
          <w:rFonts w:asciiTheme="minorHAnsi" w:hAnsiTheme="minorHAnsi" w:cstheme="minorHAnsi"/>
          <w:b/>
          <w:szCs w:val="24"/>
        </w:rPr>
        <w:t>inal and two copies of any docu</w:t>
      </w:r>
      <w:r w:rsidRPr="00FC1110">
        <w:rPr>
          <w:rFonts w:asciiTheme="minorHAnsi" w:hAnsiTheme="minorHAnsi" w:cstheme="minorHAnsi"/>
          <w:b/>
          <w:szCs w:val="24"/>
        </w:rPr>
        <w:t xml:space="preserve">ment; </w:t>
      </w:r>
    </w:p>
    <w:p w:rsidRPr="00FC1110" w:rsidR="003333DF" w:rsidP="0062567E" w:rsidRDefault="003333DF" w14:paraId="6089E554" w14:textId="77777777">
      <w:pPr>
        <w:widowControl/>
        <w:numPr>
          <w:ilvl w:val="0"/>
          <w:numId w:val="19"/>
        </w:numPr>
        <w:tabs>
          <w:tab w:val="left" w:pos="-720"/>
        </w:tabs>
        <w:suppressAutoHyphens/>
        <w:overflowPunct/>
        <w:autoSpaceDE/>
        <w:autoSpaceDN/>
        <w:adjustRightInd/>
        <w:textAlignment w:val="auto"/>
        <w:rPr>
          <w:rFonts w:asciiTheme="minorHAnsi" w:hAnsiTheme="minorHAnsi" w:cstheme="minorHAnsi"/>
          <w:b/>
          <w:szCs w:val="24"/>
        </w:rPr>
      </w:pPr>
      <w:r w:rsidRPr="00FC1110">
        <w:rPr>
          <w:rFonts w:asciiTheme="minorHAnsi" w:hAnsiTheme="minorHAnsi" w:cstheme="minorHAnsi"/>
          <w:b/>
          <w:szCs w:val="24"/>
        </w:rPr>
        <w:t>Req</w:t>
      </w:r>
      <w:r w:rsidRPr="00FC1110" w:rsidR="008F3F14">
        <w:rPr>
          <w:rFonts w:asciiTheme="minorHAnsi" w:hAnsiTheme="minorHAnsi" w:cstheme="minorHAnsi"/>
          <w:b/>
          <w:szCs w:val="24"/>
        </w:rPr>
        <w:t>uiring respondents to retain re</w:t>
      </w:r>
      <w:r w:rsidRPr="00FC1110">
        <w:rPr>
          <w:rFonts w:asciiTheme="minorHAnsi" w:hAnsiTheme="minorHAnsi" w:cstheme="minorHAnsi"/>
          <w:b/>
          <w:szCs w:val="24"/>
        </w:rPr>
        <w:t>cords, othe</w:t>
      </w:r>
      <w:r w:rsidRPr="00FC1110" w:rsidR="008F3F14">
        <w:rPr>
          <w:rFonts w:asciiTheme="minorHAnsi" w:hAnsiTheme="minorHAnsi" w:cstheme="minorHAnsi"/>
          <w:b/>
          <w:szCs w:val="24"/>
        </w:rPr>
        <w:t>r than health, medical, governm</w:t>
      </w:r>
      <w:r w:rsidRPr="00FC1110">
        <w:rPr>
          <w:rFonts w:asciiTheme="minorHAnsi" w:hAnsiTheme="minorHAnsi" w:cstheme="minorHAnsi"/>
          <w:b/>
          <w:szCs w:val="24"/>
        </w:rPr>
        <w:t>ent contract, grant-in-aid, or tax records for more than three years</w:t>
      </w:r>
      <w:r w:rsidRPr="00FC1110" w:rsidR="008F3F14">
        <w:rPr>
          <w:rFonts w:asciiTheme="minorHAnsi" w:hAnsiTheme="minorHAnsi" w:cstheme="minorHAnsi"/>
          <w:b/>
          <w:szCs w:val="24"/>
        </w:rPr>
        <w:t>;</w:t>
      </w:r>
    </w:p>
    <w:p w:rsidRPr="00FC1110" w:rsidR="003333DF" w:rsidP="0062567E" w:rsidRDefault="008F3F14" w14:paraId="252FB1EA" w14:textId="77777777">
      <w:pPr>
        <w:widowControl/>
        <w:numPr>
          <w:ilvl w:val="0"/>
          <w:numId w:val="19"/>
        </w:numPr>
        <w:tabs>
          <w:tab w:val="left" w:pos="-720"/>
        </w:tabs>
        <w:suppressAutoHyphens/>
        <w:overflowPunct/>
        <w:autoSpaceDE/>
        <w:autoSpaceDN/>
        <w:adjustRightInd/>
        <w:textAlignment w:val="auto"/>
        <w:rPr>
          <w:rFonts w:asciiTheme="minorHAnsi" w:hAnsiTheme="minorHAnsi" w:cstheme="minorHAnsi"/>
          <w:b/>
          <w:szCs w:val="24"/>
        </w:rPr>
      </w:pPr>
      <w:r w:rsidRPr="00FC1110">
        <w:rPr>
          <w:rFonts w:asciiTheme="minorHAnsi" w:hAnsiTheme="minorHAnsi" w:cstheme="minorHAnsi"/>
          <w:b/>
          <w:szCs w:val="24"/>
        </w:rPr>
        <w:t>In connection with a statistical survey, that is not de</w:t>
      </w:r>
      <w:r w:rsidRPr="00FC1110" w:rsidR="003333DF">
        <w:rPr>
          <w:rFonts w:asciiTheme="minorHAnsi" w:hAnsiTheme="minorHAnsi" w:cstheme="minorHAnsi"/>
          <w:b/>
          <w:szCs w:val="24"/>
        </w:rPr>
        <w:t>s</w:t>
      </w:r>
      <w:r w:rsidRPr="00FC1110">
        <w:rPr>
          <w:rFonts w:asciiTheme="minorHAnsi" w:hAnsiTheme="minorHAnsi" w:cstheme="minorHAnsi"/>
          <w:b/>
          <w:szCs w:val="24"/>
        </w:rPr>
        <w:t>igned to produce valid and reli</w:t>
      </w:r>
      <w:r w:rsidRPr="00FC1110" w:rsidR="003333DF">
        <w:rPr>
          <w:rFonts w:asciiTheme="minorHAnsi" w:hAnsiTheme="minorHAnsi" w:cstheme="minorHAnsi"/>
          <w:b/>
          <w:szCs w:val="24"/>
        </w:rPr>
        <w:t>a</w:t>
      </w:r>
      <w:r w:rsidRPr="00FC1110">
        <w:rPr>
          <w:rFonts w:asciiTheme="minorHAnsi" w:hAnsiTheme="minorHAnsi" w:cstheme="minorHAnsi"/>
          <w:b/>
          <w:szCs w:val="24"/>
        </w:rPr>
        <w:t>ble results that can be generalized to the uni</w:t>
      </w:r>
      <w:r w:rsidRPr="00FC1110" w:rsidR="003333DF">
        <w:rPr>
          <w:rFonts w:asciiTheme="minorHAnsi" w:hAnsiTheme="minorHAnsi" w:cstheme="minorHAnsi"/>
          <w:b/>
          <w:szCs w:val="24"/>
        </w:rPr>
        <w:t xml:space="preserve">verse of study; </w:t>
      </w:r>
    </w:p>
    <w:p w:rsidRPr="00FC1110" w:rsidR="003333DF" w:rsidP="0062567E" w:rsidRDefault="008F3F14" w14:paraId="31C93527" w14:textId="77777777">
      <w:pPr>
        <w:widowControl/>
        <w:numPr>
          <w:ilvl w:val="0"/>
          <w:numId w:val="19"/>
        </w:numPr>
        <w:tabs>
          <w:tab w:val="left" w:pos="-720"/>
        </w:tabs>
        <w:suppressAutoHyphens/>
        <w:overflowPunct/>
        <w:autoSpaceDE/>
        <w:autoSpaceDN/>
        <w:adjustRightInd/>
        <w:textAlignment w:val="auto"/>
        <w:rPr>
          <w:rFonts w:asciiTheme="minorHAnsi" w:hAnsiTheme="minorHAnsi" w:cstheme="minorHAnsi"/>
          <w:b/>
          <w:szCs w:val="24"/>
        </w:rPr>
      </w:pPr>
      <w:r w:rsidRPr="00FC1110">
        <w:rPr>
          <w:rFonts w:asciiTheme="minorHAnsi" w:hAnsiTheme="minorHAnsi" w:cstheme="minorHAnsi"/>
          <w:b/>
          <w:szCs w:val="24"/>
        </w:rPr>
        <w:t>Requiring the use of a statistical data classi</w:t>
      </w:r>
      <w:r w:rsidRPr="00FC1110" w:rsidR="003333DF">
        <w:rPr>
          <w:rFonts w:asciiTheme="minorHAnsi" w:hAnsiTheme="minorHAnsi" w:cstheme="minorHAnsi"/>
          <w:b/>
          <w:szCs w:val="24"/>
        </w:rPr>
        <w:t>fication that has not been</w:t>
      </w:r>
      <w:r w:rsidRPr="00FC1110">
        <w:rPr>
          <w:rFonts w:asciiTheme="minorHAnsi" w:hAnsiTheme="minorHAnsi" w:cstheme="minorHAnsi"/>
          <w:b/>
          <w:szCs w:val="24"/>
        </w:rPr>
        <w:t xml:space="preserve"> reviewed and approved by OMB;</w:t>
      </w:r>
    </w:p>
    <w:p w:rsidRPr="00FC1110" w:rsidR="003333DF" w:rsidP="0062567E" w:rsidRDefault="003333DF" w14:paraId="0F08D62A" w14:textId="77777777">
      <w:pPr>
        <w:widowControl/>
        <w:numPr>
          <w:ilvl w:val="0"/>
          <w:numId w:val="19"/>
        </w:numPr>
        <w:tabs>
          <w:tab w:val="left" w:pos="-720"/>
        </w:tabs>
        <w:suppressAutoHyphens/>
        <w:overflowPunct/>
        <w:autoSpaceDE/>
        <w:autoSpaceDN/>
        <w:adjustRightInd/>
        <w:textAlignment w:val="auto"/>
        <w:rPr>
          <w:rFonts w:asciiTheme="minorHAnsi" w:hAnsiTheme="minorHAnsi" w:cstheme="minorHAnsi"/>
          <w:b/>
          <w:szCs w:val="24"/>
        </w:rPr>
      </w:pPr>
      <w:r w:rsidRPr="00FC1110">
        <w:rPr>
          <w:rFonts w:asciiTheme="minorHAnsi" w:hAnsiTheme="minorHAnsi" w:cstheme="minorHAnsi"/>
          <w:b/>
          <w:szCs w:val="24"/>
        </w:rPr>
        <w:t>That includ</w:t>
      </w:r>
      <w:r w:rsidRPr="00FC1110" w:rsidR="00383C0A">
        <w:rPr>
          <w:rFonts w:asciiTheme="minorHAnsi" w:hAnsiTheme="minorHAnsi" w:cstheme="minorHAnsi"/>
          <w:b/>
          <w:szCs w:val="24"/>
        </w:rPr>
        <w:t>es a pledge of confidentiality that is not supported by authority established in statute or regulation, that is not supported by dis</w:t>
      </w:r>
      <w:r w:rsidRPr="00FC1110">
        <w:rPr>
          <w:rFonts w:asciiTheme="minorHAnsi" w:hAnsiTheme="minorHAnsi" w:cstheme="minorHAnsi"/>
          <w:b/>
          <w:szCs w:val="24"/>
        </w:rPr>
        <w:t>closure and data security policies that are consistent wi</w:t>
      </w:r>
      <w:r w:rsidRPr="00FC1110" w:rsidR="00383C0A">
        <w:rPr>
          <w:rFonts w:asciiTheme="minorHAnsi" w:hAnsiTheme="minorHAnsi" w:cstheme="minorHAnsi"/>
          <w:b/>
          <w:szCs w:val="24"/>
        </w:rPr>
        <w:t>th the pledge, or which unnecessarily impedes shar</w:t>
      </w:r>
      <w:r w:rsidRPr="00FC1110">
        <w:rPr>
          <w:rFonts w:asciiTheme="minorHAnsi" w:hAnsiTheme="minorHAnsi" w:cstheme="minorHAnsi"/>
          <w:b/>
          <w:szCs w:val="24"/>
        </w:rPr>
        <w:t>ing of d</w:t>
      </w:r>
      <w:r w:rsidRPr="00FC1110" w:rsidR="00383C0A">
        <w:rPr>
          <w:rFonts w:asciiTheme="minorHAnsi" w:hAnsiTheme="minorHAnsi" w:cstheme="minorHAnsi"/>
          <w:b/>
          <w:szCs w:val="24"/>
        </w:rPr>
        <w:t>ata with other agencies for com</w:t>
      </w:r>
      <w:r w:rsidRPr="00FC1110" w:rsidR="00D3753F">
        <w:rPr>
          <w:rFonts w:asciiTheme="minorHAnsi" w:hAnsiTheme="minorHAnsi" w:cstheme="minorHAnsi"/>
          <w:b/>
          <w:szCs w:val="24"/>
        </w:rPr>
        <w:t>patible confiden</w:t>
      </w:r>
      <w:r w:rsidRPr="00FC1110">
        <w:rPr>
          <w:rFonts w:asciiTheme="minorHAnsi" w:hAnsiTheme="minorHAnsi" w:cstheme="minorHAnsi"/>
          <w:b/>
          <w:szCs w:val="24"/>
        </w:rPr>
        <w:t xml:space="preserve">tial use; or </w:t>
      </w:r>
    </w:p>
    <w:p w:rsidRPr="00FC1110" w:rsidR="003333DF" w:rsidP="0062567E" w:rsidRDefault="003333DF" w14:paraId="610CB730" w14:textId="77777777">
      <w:pPr>
        <w:pStyle w:val="BodyText"/>
        <w:numPr>
          <w:ilvl w:val="0"/>
          <w:numId w:val="19"/>
        </w:numPr>
        <w:rPr>
          <w:rFonts w:asciiTheme="minorHAnsi" w:hAnsiTheme="minorHAnsi" w:cstheme="minorHAnsi"/>
          <w:b w:val="0"/>
          <w:szCs w:val="24"/>
        </w:rPr>
      </w:pPr>
      <w:r w:rsidRPr="00FC1110">
        <w:rPr>
          <w:rFonts w:asciiTheme="minorHAnsi" w:hAnsiTheme="minorHAnsi" w:cstheme="minorHAnsi"/>
          <w:szCs w:val="24"/>
        </w:rPr>
        <w:t>Requiri</w:t>
      </w:r>
      <w:r w:rsidRPr="00FC1110" w:rsidR="0032533B">
        <w:rPr>
          <w:rFonts w:asciiTheme="minorHAnsi" w:hAnsiTheme="minorHAnsi" w:cstheme="minorHAnsi"/>
          <w:szCs w:val="24"/>
        </w:rPr>
        <w:t>ng respondents to submit propri</w:t>
      </w:r>
      <w:r w:rsidRPr="00FC1110">
        <w:rPr>
          <w:rFonts w:asciiTheme="minorHAnsi" w:hAnsiTheme="minorHAnsi" w:cstheme="minorHAnsi"/>
          <w:szCs w:val="24"/>
        </w:rPr>
        <w:t>etary trade secret, or other confidential informat</w:t>
      </w:r>
      <w:r w:rsidRPr="00FC1110" w:rsidR="0032533B">
        <w:rPr>
          <w:rFonts w:asciiTheme="minorHAnsi" w:hAnsiTheme="minorHAnsi" w:cstheme="minorHAnsi"/>
          <w:szCs w:val="24"/>
        </w:rPr>
        <w:t>ion unless the agency can demon</w:t>
      </w:r>
      <w:r w:rsidRPr="00FC1110">
        <w:rPr>
          <w:rFonts w:asciiTheme="minorHAnsi" w:hAnsiTheme="minorHAnsi" w:cstheme="minorHAnsi"/>
          <w:szCs w:val="24"/>
        </w:rPr>
        <w:t>strate that it has instituted procedures to protect the information's confidentiali</w:t>
      </w:r>
      <w:r w:rsidRPr="00FC1110" w:rsidR="0032533B">
        <w:rPr>
          <w:rFonts w:asciiTheme="minorHAnsi" w:hAnsiTheme="minorHAnsi" w:cstheme="minorHAnsi"/>
          <w:szCs w:val="24"/>
        </w:rPr>
        <w:t>ty to the extent permit</w:t>
      </w:r>
      <w:r w:rsidRPr="00FC1110">
        <w:rPr>
          <w:rFonts w:asciiTheme="minorHAnsi" w:hAnsiTheme="minorHAnsi" w:cstheme="minorHAnsi"/>
          <w:szCs w:val="24"/>
        </w:rPr>
        <w:t>ted by law.</w:t>
      </w:r>
    </w:p>
    <w:p w:rsidRPr="00FC1110" w:rsidR="003333DF" w:rsidP="00213436" w:rsidRDefault="003333DF" w14:paraId="3FDC938A" w14:textId="77777777">
      <w:pPr>
        <w:tabs>
          <w:tab w:val="left" w:pos="0"/>
        </w:tabs>
        <w:suppressAutoHyphens/>
        <w:rPr>
          <w:rFonts w:asciiTheme="minorHAnsi" w:hAnsiTheme="minorHAnsi" w:cstheme="minorHAnsi"/>
          <w:szCs w:val="24"/>
        </w:rPr>
      </w:pPr>
    </w:p>
    <w:p w:rsidRPr="00FC1110" w:rsidR="00E11A38" w:rsidP="00E11A38" w:rsidRDefault="00E11A38" w14:paraId="0C14EC94" w14:textId="77777777">
      <w:pPr>
        <w:tabs>
          <w:tab w:val="left" w:pos="-720"/>
        </w:tabs>
        <w:suppressAutoHyphens/>
        <w:rPr>
          <w:rFonts w:asciiTheme="minorHAnsi" w:hAnsiTheme="minorHAnsi" w:cstheme="minorHAnsi"/>
          <w:szCs w:val="24"/>
        </w:rPr>
      </w:pPr>
    </w:p>
    <w:p w:rsidR="00893201" w:rsidP="00893201" w:rsidRDefault="00893201" w14:paraId="468F6BC5" w14:textId="58086964">
      <w:pPr>
        <w:spacing w:line="480" w:lineRule="auto"/>
        <w:rPr>
          <w:rFonts w:asciiTheme="minorHAnsi" w:hAnsiTheme="minorHAnsi" w:cstheme="minorHAnsi"/>
          <w:szCs w:val="24"/>
        </w:rPr>
      </w:pPr>
      <w:r>
        <w:rPr>
          <w:rFonts w:asciiTheme="minorHAnsi" w:hAnsiTheme="minorHAnsi" w:cstheme="minorHAnsi"/>
          <w:szCs w:val="24"/>
        </w:rPr>
        <w:t xml:space="preserve">The requirement for States to submit EA issuance on the FNS-292B on a </w:t>
      </w:r>
      <w:r w:rsidR="00EF263A">
        <w:rPr>
          <w:rFonts w:asciiTheme="minorHAnsi" w:hAnsiTheme="minorHAnsi" w:cstheme="minorHAnsi"/>
          <w:szCs w:val="24"/>
        </w:rPr>
        <w:t>bi-</w:t>
      </w:r>
      <w:r>
        <w:rPr>
          <w:rFonts w:asciiTheme="minorHAnsi" w:hAnsiTheme="minorHAnsi" w:cstheme="minorHAnsi"/>
          <w:szCs w:val="24"/>
        </w:rPr>
        <w:t xml:space="preserve">weekly basis provides the necessary data for an early warning system to enable the Department to fulfill the requirements of Section 18(b) of the Act.  FNS monitors issuance estimates on a biweekly basis against the appropriation remains in order to comply with the Act and all FNS to set aside (obligate) funds each month to pay for each type of issuance.  There are no other special circumstances.  The collection of information is conducted in a manner consistent with the </w:t>
      </w:r>
      <w:r>
        <w:rPr>
          <w:rFonts w:asciiTheme="minorHAnsi" w:hAnsiTheme="minorHAnsi" w:cstheme="minorHAnsi"/>
          <w:szCs w:val="24"/>
        </w:rPr>
        <w:lastRenderedPageBreak/>
        <w:t>guidelines in 5 CFR 1320.5.</w:t>
      </w:r>
    </w:p>
    <w:p w:rsidRPr="00FC1110" w:rsidR="00BE0B08" w:rsidP="0062567E" w:rsidRDefault="00BE0B08" w14:paraId="26F967FA" w14:textId="77777777">
      <w:pPr>
        <w:pStyle w:val="Heading1"/>
        <w:rPr>
          <w:rFonts w:asciiTheme="minorHAnsi" w:hAnsiTheme="minorHAnsi" w:cstheme="minorHAnsi"/>
          <w:szCs w:val="24"/>
        </w:rPr>
      </w:pPr>
      <w:bookmarkStart w:name="_Toc401831364" w:id="27"/>
      <w:bookmarkStart w:name="_Toc55565797" w:id="28"/>
      <w:r w:rsidRPr="00FC1110">
        <w:rPr>
          <w:rFonts w:asciiTheme="minorHAnsi" w:hAnsiTheme="minorHAnsi" w:cstheme="minorHAnsi"/>
          <w:szCs w:val="24"/>
        </w:rPr>
        <w:t xml:space="preserve">A8.  </w:t>
      </w:r>
      <w:r w:rsidRPr="00FC1110" w:rsidR="005917B8">
        <w:rPr>
          <w:rFonts w:asciiTheme="minorHAnsi" w:hAnsiTheme="minorHAnsi" w:cstheme="minorHAnsi"/>
          <w:szCs w:val="24"/>
        </w:rPr>
        <w:t xml:space="preserve">Comments to the Federal Register Notice and efforts </w:t>
      </w:r>
      <w:r w:rsidRPr="00FC1110" w:rsidR="002568E6">
        <w:rPr>
          <w:rFonts w:asciiTheme="minorHAnsi" w:hAnsiTheme="minorHAnsi" w:cstheme="minorHAnsi"/>
          <w:szCs w:val="24"/>
        </w:rPr>
        <w:t xml:space="preserve">for </w:t>
      </w:r>
      <w:r w:rsidRPr="00FC1110" w:rsidR="005917B8">
        <w:rPr>
          <w:rFonts w:asciiTheme="minorHAnsi" w:hAnsiTheme="minorHAnsi" w:cstheme="minorHAnsi"/>
          <w:szCs w:val="24"/>
        </w:rPr>
        <w:t>consult</w:t>
      </w:r>
      <w:r w:rsidRPr="00FC1110" w:rsidR="002568E6">
        <w:rPr>
          <w:rFonts w:asciiTheme="minorHAnsi" w:hAnsiTheme="minorHAnsi" w:cstheme="minorHAnsi"/>
          <w:szCs w:val="24"/>
        </w:rPr>
        <w:t>ation</w:t>
      </w:r>
      <w:r w:rsidRPr="00FC1110" w:rsidR="005917B8">
        <w:rPr>
          <w:rFonts w:asciiTheme="minorHAnsi" w:hAnsiTheme="minorHAnsi" w:cstheme="minorHAnsi"/>
          <w:szCs w:val="24"/>
        </w:rPr>
        <w:t>.</w:t>
      </w:r>
      <w:bookmarkEnd w:id="27"/>
      <w:bookmarkEnd w:id="28"/>
      <w:r w:rsidRPr="00FC1110">
        <w:rPr>
          <w:rFonts w:asciiTheme="minorHAnsi" w:hAnsiTheme="minorHAnsi" w:cstheme="minorHAnsi"/>
          <w:szCs w:val="24"/>
        </w:rPr>
        <w:t xml:space="preserve">  </w:t>
      </w:r>
    </w:p>
    <w:p w:rsidRPr="00FC1110" w:rsidR="003333DF" w:rsidP="005917B8" w:rsidRDefault="003333DF" w14:paraId="4916AB2D" w14:textId="77777777">
      <w:pPr>
        <w:tabs>
          <w:tab w:val="left" w:pos="450"/>
        </w:tabs>
        <w:suppressAutoHyphens/>
        <w:ind w:left="450" w:hanging="450"/>
        <w:rPr>
          <w:rFonts w:asciiTheme="minorHAnsi" w:hAnsiTheme="minorHAnsi" w:cstheme="minorHAnsi"/>
          <w:szCs w:val="24"/>
        </w:rPr>
      </w:pPr>
    </w:p>
    <w:p w:rsidRPr="00FC1110" w:rsidR="003333DF" w:rsidP="0062567E" w:rsidRDefault="003333DF" w14:paraId="05B1B086" w14:textId="77777777">
      <w:pPr>
        <w:rPr>
          <w:rFonts w:asciiTheme="minorHAnsi" w:hAnsiTheme="minorHAnsi" w:cstheme="minorHAnsi"/>
          <w:b/>
          <w:szCs w:val="24"/>
        </w:rPr>
      </w:pPr>
      <w:r w:rsidRPr="00FC1110">
        <w:rPr>
          <w:rFonts w:asciiTheme="minorHAnsi" w:hAnsiTheme="minorHAnsi" w:cstheme="minorHAnsi"/>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FC1110">
        <w:rPr>
          <w:rFonts w:asciiTheme="minorHAnsi" w:hAnsiTheme="minorHAnsi" w:cstheme="minorHAnsi"/>
          <w:b/>
          <w:szCs w:val="24"/>
        </w:rPr>
        <w:tab/>
      </w:r>
    </w:p>
    <w:p w:rsidRPr="00FC1110" w:rsidR="003333DF" w:rsidP="0062567E" w:rsidRDefault="003333DF" w14:paraId="0CCDA99F" w14:textId="77777777">
      <w:pPr>
        <w:rPr>
          <w:rFonts w:asciiTheme="minorHAnsi" w:hAnsiTheme="minorHAnsi" w:cstheme="minorHAnsi"/>
          <w:b/>
          <w:szCs w:val="24"/>
        </w:rPr>
      </w:pPr>
    </w:p>
    <w:p w:rsidRPr="00FC1110" w:rsidR="003333DF" w:rsidP="0062567E" w:rsidRDefault="003333DF" w14:paraId="48F1014B" w14:textId="77777777">
      <w:pPr>
        <w:rPr>
          <w:rFonts w:asciiTheme="minorHAnsi" w:hAnsiTheme="minorHAnsi" w:cstheme="minorHAnsi"/>
          <w:b/>
          <w:szCs w:val="24"/>
        </w:rPr>
      </w:pPr>
      <w:r w:rsidRPr="00FC1110">
        <w:rPr>
          <w:rFonts w:asciiTheme="minorHAnsi" w:hAnsiTheme="minorHAnsi" w:cstheme="minorHAnsi"/>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FC1110" w:rsidR="003333DF" w:rsidP="0062567E" w:rsidRDefault="003333DF" w14:paraId="60CB6D7D" w14:textId="77777777">
      <w:pPr>
        <w:rPr>
          <w:rFonts w:asciiTheme="minorHAnsi" w:hAnsiTheme="minorHAnsi" w:cstheme="minorHAnsi"/>
          <w:b/>
          <w:szCs w:val="24"/>
        </w:rPr>
      </w:pPr>
    </w:p>
    <w:p w:rsidRPr="00FC1110" w:rsidR="003333DF" w:rsidP="0062567E" w:rsidRDefault="003333DF" w14:paraId="77344D0B" w14:textId="77777777">
      <w:pPr>
        <w:rPr>
          <w:rFonts w:asciiTheme="minorHAnsi" w:hAnsiTheme="minorHAnsi" w:cstheme="minorHAnsi"/>
          <w:b/>
          <w:szCs w:val="24"/>
        </w:rPr>
      </w:pPr>
      <w:r w:rsidRPr="00FC1110">
        <w:rPr>
          <w:rFonts w:asciiTheme="minorHAnsi" w:hAnsiTheme="minorHAnsi" w:cstheme="minorHAnsi"/>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Pr="00FC1110" w:rsidR="00ED28F2" w:rsidP="00ED28F2" w:rsidRDefault="00ED28F2" w14:paraId="2C7C89C5" w14:textId="77777777">
      <w:pPr>
        <w:tabs>
          <w:tab w:val="left" w:pos="-720"/>
        </w:tabs>
        <w:suppressAutoHyphens/>
        <w:rPr>
          <w:rFonts w:asciiTheme="minorHAnsi" w:hAnsiTheme="minorHAnsi" w:cstheme="minorHAnsi"/>
          <w:szCs w:val="24"/>
        </w:rPr>
      </w:pPr>
      <w:bookmarkStart w:name="OLE_LINK1" w:id="29"/>
      <w:bookmarkStart w:name="OLE_LINK2" w:id="30"/>
    </w:p>
    <w:p w:rsidR="00893201" w:rsidP="00893201" w:rsidRDefault="00893201" w14:paraId="4DCE2598" w14:textId="5DD217D4">
      <w:pPr>
        <w:spacing w:line="480" w:lineRule="auto"/>
        <w:ind w:left="120"/>
        <w:rPr>
          <w:rFonts w:asciiTheme="minorHAnsi" w:hAnsiTheme="minorHAnsi" w:cstheme="minorHAnsi"/>
          <w:szCs w:val="24"/>
        </w:rPr>
      </w:pPr>
      <w:r>
        <w:rPr>
          <w:rFonts w:asciiTheme="minorHAnsi" w:hAnsiTheme="minorHAnsi" w:cstheme="minorHAnsi"/>
          <w:szCs w:val="24"/>
        </w:rPr>
        <w:t xml:space="preserve">On </w:t>
      </w:r>
      <w:r w:rsidR="001312D4">
        <w:rPr>
          <w:rFonts w:asciiTheme="minorHAnsi" w:hAnsiTheme="minorHAnsi" w:cstheme="minorHAnsi"/>
          <w:szCs w:val="24"/>
        </w:rPr>
        <w:t>August 27, 2020</w:t>
      </w:r>
      <w:r>
        <w:rPr>
          <w:rFonts w:asciiTheme="minorHAnsi" w:hAnsiTheme="minorHAnsi" w:cstheme="minorHAnsi"/>
          <w:szCs w:val="24"/>
        </w:rPr>
        <w:t>, the Agency published a notice in the Federal Register (</w:t>
      </w:r>
      <w:r w:rsidRPr="00EF263A" w:rsidR="00EF263A">
        <w:rPr>
          <w:rFonts w:asciiTheme="minorHAnsi" w:hAnsiTheme="minorHAnsi" w:cstheme="minorHAnsi"/>
          <w:szCs w:val="24"/>
        </w:rPr>
        <w:t>85 FR 52945</w:t>
      </w:r>
      <w:r>
        <w:rPr>
          <w:rFonts w:asciiTheme="minorHAnsi" w:hAnsiTheme="minorHAnsi" w:cstheme="minorHAnsi"/>
          <w:szCs w:val="24"/>
        </w:rPr>
        <w:t>) soliciting comments on the information collection prior to submission to OMB.   One comment was received; however the comment was not directly related to this information collection.</w:t>
      </w:r>
    </w:p>
    <w:p w:rsidR="003204E8" w:rsidP="00893201" w:rsidRDefault="003204E8" w14:paraId="22E0037B" w14:textId="411815CC">
      <w:pPr>
        <w:spacing w:line="480" w:lineRule="auto"/>
        <w:ind w:left="120"/>
        <w:rPr>
          <w:rFonts w:asciiTheme="minorHAnsi" w:hAnsiTheme="minorHAnsi" w:cstheme="minorHAnsi"/>
          <w:szCs w:val="24"/>
        </w:rPr>
      </w:pPr>
    </w:p>
    <w:p w:rsidRPr="003204E8" w:rsidR="003204E8" w:rsidP="003204E8" w:rsidRDefault="003204E8" w14:paraId="7EE44530" w14:textId="4703D9EF">
      <w:pPr>
        <w:spacing w:line="480" w:lineRule="auto"/>
        <w:ind w:left="120"/>
        <w:rPr>
          <w:rFonts w:asciiTheme="minorHAnsi" w:hAnsiTheme="minorHAnsi" w:cstheme="minorHAnsi"/>
          <w:szCs w:val="24"/>
        </w:rPr>
      </w:pPr>
      <w:r w:rsidRPr="003204E8">
        <w:rPr>
          <w:rFonts w:asciiTheme="minorHAnsi" w:hAnsiTheme="minorHAnsi" w:cstheme="minorHAnsi"/>
          <w:szCs w:val="24"/>
        </w:rPr>
        <w:t>FNS consults with Regional Offices regarding any proposed changes as a result of regulatory changes. Regional offices are in constant contact with State agencies which provides feedback on FNS processes and procedures that may impact them. For this Information Collection request, FNS contacted one State ag</w:t>
      </w:r>
      <w:r>
        <w:rPr>
          <w:rFonts w:asciiTheme="minorHAnsi" w:hAnsiTheme="minorHAnsi" w:cstheme="minorHAnsi"/>
          <w:szCs w:val="24"/>
        </w:rPr>
        <w:t>ency official that works closely on Emergency Allotments</w:t>
      </w:r>
      <w:r w:rsidRPr="003204E8">
        <w:rPr>
          <w:rFonts w:asciiTheme="minorHAnsi" w:hAnsiTheme="minorHAnsi" w:cstheme="minorHAnsi"/>
          <w:szCs w:val="24"/>
        </w:rPr>
        <w:t xml:space="preserve"> in each of the following States</w:t>
      </w:r>
      <w:r w:rsidRPr="00EF263A">
        <w:rPr>
          <w:rFonts w:asciiTheme="minorHAnsi" w:hAnsiTheme="minorHAnsi" w:cstheme="minorHAnsi"/>
          <w:szCs w:val="24"/>
        </w:rPr>
        <w:t xml:space="preserve">:  </w:t>
      </w:r>
      <w:r w:rsidRPr="00EF263A" w:rsidR="00EF263A">
        <w:rPr>
          <w:rFonts w:asciiTheme="minorHAnsi" w:hAnsiTheme="minorHAnsi" w:cstheme="minorHAnsi"/>
          <w:szCs w:val="24"/>
        </w:rPr>
        <w:t xml:space="preserve">California Department of Social Services, Alexis Fernandez, </w:t>
      </w:r>
      <w:hyperlink w:history="1" r:id="rId13">
        <w:r w:rsidRPr="00EF263A" w:rsidR="00EF263A">
          <w:rPr>
            <w:rStyle w:val="Hyperlink"/>
            <w:rFonts w:asciiTheme="minorHAnsi" w:hAnsiTheme="minorHAnsi" w:cstheme="minorHAnsi"/>
            <w:szCs w:val="24"/>
          </w:rPr>
          <w:t>alexis.fernandez@dss.ca.gov</w:t>
        </w:r>
      </w:hyperlink>
      <w:r w:rsidRPr="00EF263A" w:rsidR="00EF263A">
        <w:rPr>
          <w:rFonts w:asciiTheme="minorHAnsi" w:hAnsiTheme="minorHAnsi" w:cstheme="minorHAnsi"/>
          <w:szCs w:val="24"/>
        </w:rPr>
        <w:t>; Massachusetts Depart</w:t>
      </w:r>
      <w:r w:rsidR="00EF263A">
        <w:rPr>
          <w:rFonts w:asciiTheme="minorHAnsi" w:hAnsiTheme="minorHAnsi" w:cstheme="minorHAnsi"/>
          <w:szCs w:val="24"/>
        </w:rPr>
        <w:t xml:space="preserve">ment of Transitional </w:t>
      </w:r>
      <w:r w:rsidRPr="00EF263A" w:rsidR="00EF263A">
        <w:rPr>
          <w:rFonts w:asciiTheme="minorHAnsi" w:hAnsiTheme="minorHAnsi" w:cstheme="minorHAnsi"/>
          <w:szCs w:val="24"/>
        </w:rPr>
        <w:t xml:space="preserve">Assistance, Brittany </w:t>
      </w:r>
      <w:proofErr w:type="spellStart"/>
      <w:r w:rsidRPr="00EF263A" w:rsidR="00EF263A">
        <w:rPr>
          <w:rFonts w:asciiTheme="minorHAnsi" w:hAnsiTheme="minorHAnsi" w:cstheme="minorHAnsi"/>
          <w:szCs w:val="24"/>
        </w:rPr>
        <w:t>Mangini</w:t>
      </w:r>
      <w:proofErr w:type="spellEnd"/>
      <w:r w:rsidRPr="00EF263A">
        <w:rPr>
          <w:rFonts w:asciiTheme="minorHAnsi" w:hAnsiTheme="minorHAnsi" w:cstheme="minorHAnsi"/>
          <w:szCs w:val="24"/>
        </w:rPr>
        <w:t xml:space="preserve">, </w:t>
      </w:r>
      <w:hyperlink w:history="1" r:id="rId14">
        <w:r w:rsidRPr="00EF263A" w:rsidR="00EF263A">
          <w:rPr>
            <w:rStyle w:val="Hyperlink"/>
            <w:rFonts w:asciiTheme="minorHAnsi" w:hAnsiTheme="minorHAnsi" w:cstheme="minorHAnsi"/>
            <w:szCs w:val="24"/>
          </w:rPr>
          <w:t>brittany.mangini@state.ma.us</w:t>
        </w:r>
      </w:hyperlink>
      <w:r w:rsidR="00EF263A">
        <w:rPr>
          <w:rFonts w:asciiTheme="minorHAnsi" w:hAnsiTheme="minorHAnsi" w:cstheme="minorHAnsi"/>
          <w:szCs w:val="24"/>
        </w:rPr>
        <w:t>;</w:t>
      </w:r>
      <w:r w:rsidRPr="00EF263A" w:rsidR="00EF263A">
        <w:rPr>
          <w:rFonts w:asciiTheme="minorHAnsi" w:hAnsiTheme="minorHAnsi" w:cstheme="minorHAnsi"/>
          <w:szCs w:val="24"/>
        </w:rPr>
        <w:t xml:space="preserve"> New Jersey Department of Human Services, Larry </w:t>
      </w:r>
      <w:proofErr w:type="spellStart"/>
      <w:r w:rsidRPr="00EF263A" w:rsidR="00EF263A">
        <w:rPr>
          <w:rFonts w:asciiTheme="minorHAnsi" w:hAnsiTheme="minorHAnsi" w:cstheme="minorHAnsi"/>
          <w:szCs w:val="24"/>
        </w:rPr>
        <w:t>Braasch</w:t>
      </w:r>
      <w:proofErr w:type="spellEnd"/>
      <w:r w:rsidRPr="00EF263A" w:rsidR="00EF263A">
        <w:rPr>
          <w:rFonts w:asciiTheme="minorHAnsi" w:hAnsiTheme="minorHAnsi" w:cstheme="minorHAnsi"/>
          <w:szCs w:val="24"/>
        </w:rPr>
        <w:t xml:space="preserve">, </w:t>
      </w:r>
      <w:hyperlink w:history="1" r:id="rId15">
        <w:r w:rsidRPr="00263BE8" w:rsidR="00EF263A">
          <w:rPr>
            <w:rStyle w:val="Hyperlink"/>
            <w:rFonts w:asciiTheme="minorHAnsi" w:hAnsiTheme="minorHAnsi" w:cstheme="minorHAnsi"/>
            <w:szCs w:val="24"/>
          </w:rPr>
          <w:t>Larry.braasch@dhs.state.nj.us</w:t>
        </w:r>
      </w:hyperlink>
      <w:r w:rsidRPr="00EF263A">
        <w:rPr>
          <w:rFonts w:asciiTheme="minorHAnsi" w:hAnsiTheme="minorHAnsi" w:cstheme="minorHAnsi"/>
          <w:szCs w:val="24"/>
        </w:rPr>
        <w:t>.</w:t>
      </w:r>
      <w:r>
        <w:rPr>
          <w:rFonts w:asciiTheme="minorHAnsi" w:hAnsiTheme="minorHAnsi" w:cstheme="minorHAnsi"/>
          <w:szCs w:val="24"/>
        </w:rPr>
        <w:t xml:space="preserve"> </w:t>
      </w:r>
      <w:r w:rsidRPr="003204E8">
        <w:rPr>
          <w:rFonts w:asciiTheme="minorHAnsi" w:hAnsiTheme="minorHAnsi" w:cstheme="minorHAnsi"/>
          <w:szCs w:val="24"/>
        </w:rPr>
        <w:t xml:space="preserve"> These State agency contacts were sent the Federal </w:t>
      </w:r>
      <w:r w:rsidRPr="003204E8">
        <w:rPr>
          <w:rFonts w:asciiTheme="minorHAnsi" w:hAnsiTheme="minorHAnsi" w:cstheme="minorHAnsi"/>
          <w:szCs w:val="24"/>
        </w:rPr>
        <w:lastRenderedPageBreak/>
        <w:t xml:space="preserve">Register Notice and asked to share any feedback on the information collected related to </w:t>
      </w:r>
      <w:r>
        <w:rPr>
          <w:rFonts w:asciiTheme="minorHAnsi" w:hAnsiTheme="minorHAnsi" w:cstheme="minorHAnsi"/>
          <w:szCs w:val="24"/>
        </w:rPr>
        <w:t xml:space="preserve">the Emergency Allotments waiver or </w:t>
      </w:r>
      <w:r w:rsidR="00EF263A">
        <w:rPr>
          <w:rFonts w:asciiTheme="minorHAnsi" w:hAnsiTheme="minorHAnsi" w:cstheme="minorHAnsi"/>
          <w:szCs w:val="24"/>
        </w:rPr>
        <w:t xml:space="preserve">increased </w:t>
      </w:r>
      <w:r>
        <w:rPr>
          <w:rFonts w:asciiTheme="minorHAnsi" w:hAnsiTheme="minorHAnsi" w:cstheme="minorHAnsi"/>
          <w:szCs w:val="24"/>
        </w:rPr>
        <w:t>FNS-292B reporting</w:t>
      </w:r>
      <w:r w:rsidRPr="003204E8">
        <w:rPr>
          <w:rFonts w:asciiTheme="minorHAnsi" w:hAnsiTheme="minorHAnsi" w:cstheme="minorHAnsi"/>
          <w:szCs w:val="24"/>
        </w:rPr>
        <w:t xml:space="preserve">. </w:t>
      </w:r>
      <w:r w:rsidR="00EF263A">
        <w:rPr>
          <w:rFonts w:asciiTheme="minorHAnsi" w:hAnsiTheme="minorHAnsi" w:cstheme="minorHAnsi"/>
          <w:szCs w:val="24"/>
        </w:rPr>
        <w:t xml:space="preserve">We have not received any </w:t>
      </w:r>
      <w:r w:rsidRPr="003204E8">
        <w:rPr>
          <w:rFonts w:asciiTheme="minorHAnsi" w:hAnsiTheme="minorHAnsi" w:cstheme="minorHAnsi"/>
          <w:szCs w:val="24"/>
        </w:rPr>
        <w:t xml:space="preserve">feedback on the information collection as of </w:t>
      </w:r>
      <w:r w:rsidR="00EF263A">
        <w:rPr>
          <w:rFonts w:asciiTheme="minorHAnsi" w:hAnsiTheme="minorHAnsi" w:cstheme="minorHAnsi"/>
          <w:szCs w:val="24"/>
        </w:rPr>
        <w:t>November 3, 2020</w:t>
      </w:r>
      <w:r w:rsidRPr="003204E8">
        <w:rPr>
          <w:rFonts w:asciiTheme="minorHAnsi" w:hAnsiTheme="minorHAnsi" w:cstheme="minorHAnsi"/>
          <w:szCs w:val="24"/>
        </w:rPr>
        <w:t>.</w:t>
      </w:r>
    </w:p>
    <w:p w:rsidRPr="004269DF" w:rsidR="00ED28F2" w:rsidP="00ED28F2" w:rsidRDefault="00ED28F2" w14:paraId="589BC60E" w14:textId="0CE51B44">
      <w:pPr>
        <w:tabs>
          <w:tab w:val="left" w:pos="-720"/>
        </w:tabs>
        <w:suppressAutoHyphens/>
        <w:spacing w:line="480" w:lineRule="auto"/>
        <w:rPr>
          <w:rFonts w:ascii="Calibri" w:hAnsi="Calibri" w:cs="Calibri"/>
          <w:sz w:val="22"/>
          <w:szCs w:val="22"/>
        </w:rPr>
      </w:pPr>
    </w:p>
    <w:p w:rsidRPr="00FC1110" w:rsidR="00BE0B08" w:rsidP="0062567E" w:rsidRDefault="00BE0B08" w14:paraId="6B09FF7E" w14:textId="77777777">
      <w:pPr>
        <w:pStyle w:val="Heading1"/>
        <w:rPr>
          <w:rFonts w:asciiTheme="minorHAnsi" w:hAnsiTheme="minorHAnsi" w:cstheme="minorHAnsi"/>
          <w:szCs w:val="24"/>
        </w:rPr>
      </w:pPr>
      <w:bookmarkStart w:name="_Toc401831365" w:id="31"/>
      <w:bookmarkStart w:name="_Toc55565798" w:id="32"/>
      <w:bookmarkEnd w:id="29"/>
      <w:bookmarkEnd w:id="30"/>
      <w:r w:rsidRPr="00FC1110">
        <w:rPr>
          <w:rFonts w:asciiTheme="minorHAnsi" w:hAnsiTheme="minorHAnsi" w:cstheme="minorHAnsi"/>
          <w:szCs w:val="24"/>
        </w:rPr>
        <w:t>A9.  Explain any decisions to provide any payment or gift to respondents.</w:t>
      </w:r>
      <w:bookmarkEnd w:id="31"/>
      <w:bookmarkEnd w:id="32"/>
      <w:r w:rsidRPr="00FC1110">
        <w:rPr>
          <w:rFonts w:asciiTheme="minorHAnsi" w:hAnsiTheme="minorHAnsi" w:cstheme="minorHAnsi"/>
          <w:szCs w:val="24"/>
        </w:rPr>
        <w:t xml:space="preserve">  </w:t>
      </w:r>
    </w:p>
    <w:p w:rsidRPr="00FC1110" w:rsidR="003333DF" w:rsidP="00BE0B08" w:rsidRDefault="003333DF" w14:paraId="799B8100" w14:textId="77777777">
      <w:pPr>
        <w:tabs>
          <w:tab w:val="left" w:pos="0"/>
        </w:tabs>
        <w:suppressAutoHyphens/>
        <w:rPr>
          <w:rFonts w:asciiTheme="minorHAnsi" w:hAnsiTheme="minorHAnsi" w:cstheme="minorHAnsi"/>
          <w:szCs w:val="24"/>
        </w:rPr>
      </w:pPr>
    </w:p>
    <w:p w:rsidRPr="00FC1110" w:rsidR="003333DF" w:rsidP="00BE0B08" w:rsidRDefault="003333DF" w14:paraId="5DB0E37F" w14:textId="77777777">
      <w:pPr>
        <w:tabs>
          <w:tab w:val="left" w:pos="0"/>
        </w:tabs>
        <w:suppressAutoHyphens/>
        <w:rPr>
          <w:rFonts w:asciiTheme="minorHAnsi" w:hAnsiTheme="minorHAnsi" w:cstheme="minorHAnsi"/>
          <w:b/>
          <w:szCs w:val="24"/>
        </w:rPr>
      </w:pPr>
      <w:r w:rsidRPr="00FC1110">
        <w:rPr>
          <w:rFonts w:asciiTheme="minorHAnsi" w:hAnsiTheme="minorHAnsi" w:cstheme="minorHAnsi"/>
          <w:b/>
          <w:szCs w:val="24"/>
        </w:rPr>
        <w:t>Explain any decision to provide any payment or gift to respondents, other than remuneration of contractors or grantees.</w:t>
      </w:r>
    </w:p>
    <w:p w:rsidRPr="00FC1110" w:rsidR="00ED28F2" w:rsidP="00ED28F2" w:rsidRDefault="00ED28F2" w14:paraId="66145AC6" w14:textId="77777777">
      <w:pPr>
        <w:tabs>
          <w:tab w:val="left" w:pos="-720"/>
        </w:tabs>
        <w:suppressAutoHyphens/>
        <w:rPr>
          <w:rFonts w:asciiTheme="minorHAnsi" w:hAnsiTheme="minorHAnsi" w:cstheme="minorHAnsi"/>
          <w:szCs w:val="24"/>
        </w:rPr>
      </w:pPr>
    </w:p>
    <w:p w:rsidR="00ED28F2" w:rsidP="00ED28F2" w:rsidRDefault="004269DF" w14:paraId="1C9EE88B" w14:textId="3F8299CD">
      <w:pPr>
        <w:tabs>
          <w:tab w:val="left" w:pos="-720"/>
        </w:tabs>
        <w:suppressAutoHyphens/>
        <w:spacing w:line="480" w:lineRule="auto"/>
        <w:rPr>
          <w:rFonts w:asciiTheme="minorHAnsi" w:hAnsiTheme="minorHAnsi" w:cstheme="minorHAnsi"/>
          <w:szCs w:val="24"/>
        </w:rPr>
      </w:pPr>
      <w:r w:rsidRPr="004269DF">
        <w:rPr>
          <w:rFonts w:asciiTheme="minorHAnsi" w:hAnsiTheme="minorHAnsi" w:cstheme="minorHAnsi"/>
          <w:szCs w:val="24"/>
        </w:rPr>
        <w:t>FNS has no plans to provide payments or gifts to respondents.</w:t>
      </w:r>
    </w:p>
    <w:p w:rsidRPr="00FC1110" w:rsidR="00EF263A" w:rsidP="00ED28F2" w:rsidRDefault="00EF263A" w14:paraId="10533447" w14:textId="77777777">
      <w:pPr>
        <w:tabs>
          <w:tab w:val="left" w:pos="-720"/>
        </w:tabs>
        <w:suppressAutoHyphens/>
        <w:spacing w:line="480" w:lineRule="auto"/>
        <w:rPr>
          <w:rFonts w:asciiTheme="minorHAnsi" w:hAnsiTheme="minorHAnsi" w:cstheme="minorHAnsi"/>
          <w:szCs w:val="24"/>
        </w:rPr>
      </w:pPr>
    </w:p>
    <w:p w:rsidRPr="00FC1110" w:rsidR="00BE0B08" w:rsidP="0062567E" w:rsidRDefault="00BE0B08" w14:paraId="174BCD5A" w14:textId="77777777">
      <w:pPr>
        <w:pStyle w:val="Heading1"/>
        <w:rPr>
          <w:rFonts w:asciiTheme="minorHAnsi" w:hAnsiTheme="minorHAnsi" w:cstheme="minorHAnsi"/>
          <w:szCs w:val="24"/>
        </w:rPr>
      </w:pPr>
      <w:bookmarkStart w:name="_Toc401831366" w:id="33"/>
      <w:bookmarkStart w:name="_Toc55565799" w:id="34"/>
      <w:r w:rsidRPr="00FC1110">
        <w:rPr>
          <w:rFonts w:asciiTheme="minorHAnsi" w:hAnsiTheme="minorHAnsi" w:cstheme="minorHAnsi"/>
          <w:szCs w:val="24"/>
        </w:rPr>
        <w:t>A10.  Assurances of confidentiality provided to respondents.</w:t>
      </w:r>
      <w:bookmarkEnd w:id="33"/>
      <w:bookmarkEnd w:id="34"/>
      <w:r w:rsidRPr="00FC1110">
        <w:rPr>
          <w:rFonts w:asciiTheme="minorHAnsi" w:hAnsiTheme="minorHAnsi" w:cstheme="minorHAnsi"/>
          <w:szCs w:val="24"/>
        </w:rPr>
        <w:t xml:space="preserve">  </w:t>
      </w:r>
    </w:p>
    <w:p w:rsidRPr="00FC1110" w:rsidR="003333DF" w:rsidP="00BE0B08" w:rsidRDefault="003333DF" w14:paraId="5211B9A8" w14:textId="77777777">
      <w:pPr>
        <w:rPr>
          <w:rFonts w:asciiTheme="minorHAnsi" w:hAnsiTheme="minorHAnsi" w:cstheme="minorHAnsi"/>
          <w:szCs w:val="24"/>
        </w:rPr>
      </w:pPr>
    </w:p>
    <w:p w:rsidRPr="00FC1110" w:rsidR="003333DF" w:rsidP="0062567E" w:rsidRDefault="003333DF" w14:paraId="0D0C3235" w14:textId="77777777">
      <w:pPr>
        <w:pStyle w:val="ListParagraph"/>
        <w:spacing w:line="240" w:lineRule="auto"/>
        <w:ind w:left="0"/>
        <w:rPr>
          <w:rFonts w:asciiTheme="minorHAnsi" w:hAnsiTheme="minorHAnsi" w:cstheme="minorHAnsi"/>
          <w:b/>
          <w:szCs w:val="24"/>
        </w:rPr>
      </w:pPr>
      <w:r w:rsidRPr="00FC1110">
        <w:rPr>
          <w:rFonts w:asciiTheme="minorHAnsi" w:hAnsiTheme="minorHAnsi" w:cstheme="minorHAnsi"/>
          <w:b/>
          <w:szCs w:val="24"/>
        </w:rPr>
        <w:t>Describe any assurance of confidentiality provided to respondents and the basis for the assurance in statute, regulation, or agency policy.</w:t>
      </w:r>
    </w:p>
    <w:p w:rsidRPr="00FC1110" w:rsidR="003333DF" w:rsidP="00BE0B08" w:rsidRDefault="003333DF" w14:paraId="27EEDC5E" w14:textId="77777777">
      <w:pPr>
        <w:rPr>
          <w:rFonts w:asciiTheme="minorHAnsi" w:hAnsiTheme="minorHAnsi" w:cstheme="minorHAnsi"/>
          <w:szCs w:val="24"/>
        </w:rPr>
      </w:pPr>
    </w:p>
    <w:p w:rsidR="00ED28F2" w:rsidP="00ED28F2" w:rsidRDefault="004269DF" w14:paraId="498934CC" w14:textId="6B93716A">
      <w:pPr>
        <w:tabs>
          <w:tab w:val="left" w:pos="-720"/>
        </w:tabs>
        <w:suppressAutoHyphens/>
        <w:spacing w:line="480" w:lineRule="auto"/>
        <w:rPr>
          <w:rFonts w:asciiTheme="minorHAnsi" w:hAnsiTheme="minorHAnsi" w:cstheme="minorHAnsi"/>
          <w:szCs w:val="24"/>
        </w:rPr>
      </w:pPr>
      <w:r w:rsidRPr="004269DF">
        <w:rPr>
          <w:rFonts w:asciiTheme="minorHAnsi" w:hAnsiTheme="minorHAnsi" w:cstheme="minorHAnsi"/>
          <w:szCs w:val="24"/>
        </w:rPr>
        <w:t xml:space="preserve">FNS complies with the Privacy Act of 1974 (5 USC 552a), which requires the safeguarding of individuals against invasion of privacy.  </w:t>
      </w:r>
      <w:r w:rsidR="00C60404">
        <w:rPr>
          <w:rFonts w:asciiTheme="minorHAnsi" w:hAnsiTheme="minorHAnsi" w:cstheme="minorHAnsi"/>
          <w:szCs w:val="24"/>
        </w:rPr>
        <w:t xml:space="preserve">No confidential information is associated with this collection of information.  </w:t>
      </w:r>
      <w:r w:rsidRPr="004269DF">
        <w:rPr>
          <w:rFonts w:asciiTheme="minorHAnsi" w:hAnsiTheme="minorHAnsi" w:cstheme="minorHAnsi"/>
          <w:szCs w:val="24"/>
        </w:rPr>
        <w:t>This ICR has been reviewed and cleared by Miguel Marling, FNS Privacy Officer.</w:t>
      </w:r>
    </w:p>
    <w:p w:rsidRPr="00FC1110" w:rsidR="004269DF" w:rsidP="00ED28F2" w:rsidRDefault="004269DF" w14:paraId="7A933C36" w14:textId="77777777">
      <w:pPr>
        <w:tabs>
          <w:tab w:val="left" w:pos="-720"/>
        </w:tabs>
        <w:suppressAutoHyphens/>
        <w:spacing w:line="480" w:lineRule="auto"/>
        <w:rPr>
          <w:rFonts w:asciiTheme="minorHAnsi" w:hAnsiTheme="minorHAnsi" w:cstheme="minorHAnsi"/>
          <w:szCs w:val="24"/>
        </w:rPr>
      </w:pPr>
    </w:p>
    <w:p w:rsidRPr="00FC1110" w:rsidR="00A308DB" w:rsidP="0062567E" w:rsidRDefault="00BE0B08" w14:paraId="2FBB6228" w14:textId="77777777">
      <w:pPr>
        <w:pStyle w:val="Heading1"/>
        <w:rPr>
          <w:rFonts w:asciiTheme="minorHAnsi" w:hAnsiTheme="minorHAnsi" w:cstheme="minorHAnsi"/>
          <w:szCs w:val="24"/>
        </w:rPr>
      </w:pPr>
      <w:bookmarkStart w:name="_Toc401831367" w:id="35"/>
      <w:bookmarkStart w:name="_Toc55565800" w:id="36"/>
      <w:r w:rsidRPr="00FC1110">
        <w:rPr>
          <w:rFonts w:asciiTheme="minorHAnsi" w:hAnsiTheme="minorHAnsi" w:cstheme="minorHAnsi"/>
          <w:szCs w:val="24"/>
        </w:rPr>
        <w:t>A11.  Justification for any questions of a sensitive nature.</w:t>
      </w:r>
      <w:bookmarkEnd w:id="35"/>
      <w:bookmarkEnd w:id="36"/>
      <w:r w:rsidRPr="00FC1110">
        <w:rPr>
          <w:rFonts w:asciiTheme="minorHAnsi" w:hAnsiTheme="minorHAnsi" w:cstheme="minorHAnsi"/>
          <w:szCs w:val="24"/>
        </w:rPr>
        <w:t xml:space="preserve">  </w:t>
      </w:r>
      <w:r w:rsidRPr="00FC1110" w:rsidR="005A3F80">
        <w:rPr>
          <w:rFonts w:asciiTheme="minorHAnsi" w:hAnsiTheme="minorHAnsi" w:cstheme="minorHAnsi"/>
          <w:szCs w:val="24"/>
        </w:rPr>
        <w:t xml:space="preserve">  </w:t>
      </w:r>
    </w:p>
    <w:p w:rsidRPr="00FC1110" w:rsidR="003333DF" w:rsidP="00BE0B08" w:rsidRDefault="003333DF" w14:paraId="42B16F86" w14:textId="77777777">
      <w:pPr>
        <w:tabs>
          <w:tab w:val="left" w:pos="0"/>
        </w:tabs>
        <w:suppressAutoHyphens/>
        <w:rPr>
          <w:rFonts w:asciiTheme="minorHAnsi" w:hAnsiTheme="minorHAnsi" w:cstheme="minorHAnsi"/>
          <w:szCs w:val="24"/>
        </w:rPr>
      </w:pPr>
    </w:p>
    <w:p w:rsidRPr="00FC1110" w:rsidR="003333DF" w:rsidP="00BE0B08" w:rsidRDefault="003333DF" w14:paraId="2C103D19" w14:textId="77777777">
      <w:pPr>
        <w:tabs>
          <w:tab w:val="left" w:pos="0"/>
        </w:tabs>
        <w:suppressAutoHyphens/>
        <w:rPr>
          <w:rFonts w:asciiTheme="minorHAnsi" w:hAnsiTheme="minorHAnsi" w:cstheme="minorHAnsi"/>
          <w:b/>
          <w:szCs w:val="24"/>
        </w:rPr>
      </w:pPr>
      <w:r w:rsidRPr="00FC1110">
        <w:rPr>
          <w:rFonts w:asciiTheme="minorHAnsi" w:hAnsiTheme="minorHAnsi" w:cstheme="minorHAnsi"/>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FC1110" w:rsidR="00ED28F2" w:rsidP="00ED28F2" w:rsidRDefault="00ED28F2" w14:paraId="0604C49F" w14:textId="77777777">
      <w:pPr>
        <w:tabs>
          <w:tab w:val="left" w:pos="-720"/>
        </w:tabs>
        <w:suppressAutoHyphens/>
        <w:rPr>
          <w:rFonts w:asciiTheme="minorHAnsi" w:hAnsiTheme="minorHAnsi" w:cstheme="minorHAnsi"/>
          <w:szCs w:val="24"/>
        </w:rPr>
      </w:pPr>
    </w:p>
    <w:p w:rsidRPr="00EF263A" w:rsidR="004269DF" w:rsidP="004269DF" w:rsidRDefault="004269DF" w14:paraId="6BDBCE39" w14:textId="77777777">
      <w:pPr>
        <w:tabs>
          <w:tab w:val="left" w:pos="-720"/>
        </w:tabs>
        <w:suppressAutoHyphens/>
        <w:spacing w:line="480" w:lineRule="auto"/>
        <w:rPr>
          <w:rFonts w:asciiTheme="minorHAnsi" w:hAnsiTheme="minorHAnsi" w:cstheme="minorHAnsi"/>
          <w:szCs w:val="24"/>
        </w:rPr>
      </w:pPr>
      <w:r w:rsidRPr="00EF263A">
        <w:rPr>
          <w:rFonts w:asciiTheme="minorHAnsi" w:hAnsiTheme="minorHAnsi" w:cstheme="minorHAnsi"/>
          <w:szCs w:val="24"/>
        </w:rPr>
        <w:t>There are no sensitive questions included in this submission.</w:t>
      </w:r>
    </w:p>
    <w:p w:rsidRPr="00FC1110" w:rsidR="00ED28F2" w:rsidP="00ED28F2" w:rsidRDefault="00ED28F2" w14:paraId="5FB6EF3C" w14:textId="77777777">
      <w:pPr>
        <w:tabs>
          <w:tab w:val="left" w:pos="-720"/>
        </w:tabs>
        <w:suppressAutoHyphens/>
        <w:spacing w:line="480" w:lineRule="auto"/>
        <w:rPr>
          <w:rFonts w:asciiTheme="minorHAnsi" w:hAnsiTheme="minorHAnsi" w:cstheme="minorHAnsi"/>
          <w:szCs w:val="24"/>
        </w:rPr>
      </w:pPr>
    </w:p>
    <w:p w:rsidRPr="00FC1110" w:rsidR="000438E8" w:rsidP="0062567E" w:rsidRDefault="000438E8" w14:paraId="0804AC96" w14:textId="77777777">
      <w:pPr>
        <w:pStyle w:val="Heading1"/>
        <w:rPr>
          <w:rFonts w:asciiTheme="minorHAnsi" w:hAnsiTheme="minorHAnsi" w:cstheme="minorHAnsi"/>
          <w:szCs w:val="24"/>
        </w:rPr>
      </w:pPr>
      <w:bookmarkStart w:name="_Toc401831368" w:id="37"/>
      <w:bookmarkStart w:name="_Toc55565801" w:id="38"/>
      <w:r w:rsidRPr="00FC1110">
        <w:rPr>
          <w:rFonts w:asciiTheme="minorHAnsi" w:hAnsiTheme="minorHAnsi" w:cstheme="minorHAnsi"/>
          <w:szCs w:val="24"/>
        </w:rPr>
        <w:lastRenderedPageBreak/>
        <w:t>A12.  Estimates of the hour burden of the collection of information.</w:t>
      </w:r>
      <w:bookmarkEnd w:id="37"/>
      <w:bookmarkEnd w:id="38"/>
      <w:r w:rsidRPr="00FC1110">
        <w:rPr>
          <w:rFonts w:asciiTheme="minorHAnsi" w:hAnsiTheme="minorHAnsi" w:cstheme="minorHAnsi"/>
          <w:szCs w:val="24"/>
        </w:rPr>
        <w:t xml:space="preserve">  </w:t>
      </w:r>
    </w:p>
    <w:p w:rsidRPr="00FC1110" w:rsidR="003333DF" w:rsidP="000438E8" w:rsidRDefault="003333DF" w14:paraId="365DBD86" w14:textId="77777777">
      <w:pPr>
        <w:tabs>
          <w:tab w:val="left" w:pos="0"/>
        </w:tabs>
        <w:suppressAutoHyphens/>
        <w:rPr>
          <w:rFonts w:asciiTheme="minorHAnsi" w:hAnsiTheme="minorHAnsi" w:cstheme="minorHAnsi"/>
          <w:b/>
          <w:szCs w:val="24"/>
        </w:rPr>
      </w:pPr>
    </w:p>
    <w:p w:rsidRPr="00FC1110" w:rsidR="003333DF" w:rsidP="000438E8" w:rsidRDefault="003333DF" w14:paraId="453C9F03" w14:textId="77777777">
      <w:pPr>
        <w:tabs>
          <w:tab w:val="left" w:pos="0"/>
        </w:tabs>
        <w:suppressAutoHyphens/>
        <w:rPr>
          <w:rFonts w:asciiTheme="minorHAnsi" w:hAnsiTheme="minorHAnsi" w:cstheme="minorHAnsi"/>
          <w:b/>
          <w:szCs w:val="24"/>
        </w:rPr>
      </w:pPr>
      <w:r w:rsidRPr="00FC1110">
        <w:rPr>
          <w:rFonts w:asciiTheme="minorHAnsi" w:hAnsiTheme="minorHAnsi" w:cstheme="minorHAnsi"/>
          <w:b/>
          <w:szCs w:val="24"/>
        </w:rPr>
        <w:t>Provide estimates of the hour burden of the collection of information.  Indicate the number of respondents, frequency of response, annual hour burden, and an explanation of how the burden was estimated.</w:t>
      </w:r>
    </w:p>
    <w:p w:rsidRPr="00FC1110" w:rsidR="003333DF" w:rsidP="000438E8" w:rsidRDefault="003333DF" w14:paraId="41AD0E0E" w14:textId="77777777">
      <w:pPr>
        <w:tabs>
          <w:tab w:val="left" w:pos="0"/>
        </w:tabs>
        <w:suppressAutoHyphens/>
        <w:rPr>
          <w:rFonts w:asciiTheme="minorHAnsi" w:hAnsiTheme="minorHAnsi" w:cstheme="minorHAnsi"/>
          <w:b/>
          <w:szCs w:val="24"/>
        </w:rPr>
      </w:pPr>
    </w:p>
    <w:p w:rsidRPr="00FC1110" w:rsidR="003333DF" w:rsidP="003333DF" w:rsidRDefault="003333DF" w14:paraId="2701125E" w14:textId="77777777">
      <w:pPr>
        <w:tabs>
          <w:tab w:val="left" w:pos="0"/>
        </w:tabs>
        <w:suppressAutoHyphens/>
        <w:rPr>
          <w:rFonts w:asciiTheme="minorHAnsi" w:hAnsiTheme="minorHAnsi" w:cstheme="minorHAnsi"/>
          <w:b/>
          <w:szCs w:val="24"/>
        </w:rPr>
      </w:pPr>
      <w:r w:rsidRPr="00FC1110">
        <w:rPr>
          <w:rFonts w:asciiTheme="minorHAnsi" w:hAnsiTheme="minorHAnsi" w:cstheme="minorHAnsi"/>
          <w:b/>
          <w:szCs w:val="24"/>
        </w:rPr>
        <w:t>A.</w:t>
      </w:r>
      <w:r w:rsidRPr="00FC1110">
        <w:rPr>
          <w:rFonts w:asciiTheme="minorHAnsi" w:hAnsiTheme="minorHAnsi" w:cstheme="minorHAnsi"/>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FC1110" w:rsidR="00ED28F2" w:rsidP="00ED28F2" w:rsidRDefault="00ED28F2" w14:paraId="6F2A6D79" w14:textId="77777777">
      <w:pPr>
        <w:tabs>
          <w:tab w:val="left" w:pos="-720"/>
        </w:tabs>
        <w:suppressAutoHyphens/>
        <w:rPr>
          <w:rFonts w:asciiTheme="minorHAnsi" w:hAnsiTheme="minorHAnsi" w:cstheme="minorHAnsi"/>
          <w:szCs w:val="24"/>
        </w:rPr>
      </w:pPr>
    </w:p>
    <w:p w:rsidR="00ED28F2" w:rsidP="00ED28F2" w:rsidRDefault="0032100A" w14:paraId="7F1209D9" w14:textId="285D16FE">
      <w:pPr>
        <w:tabs>
          <w:tab w:val="left" w:pos="-720"/>
        </w:tabs>
        <w:suppressAutoHyphens/>
        <w:spacing w:line="480" w:lineRule="auto"/>
        <w:rPr>
          <w:rFonts w:asciiTheme="minorHAnsi" w:hAnsiTheme="minorHAnsi" w:cstheme="minorHAnsi"/>
          <w:szCs w:val="24"/>
        </w:rPr>
      </w:pPr>
      <w:r w:rsidRPr="0032100A">
        <w:rPr>
          <w:rFonts w:asciiTheme="minorHAnsi" w:hAnsiTheme="minorHAnsi" w:cstheme="minorHAnsi"/>
          <w:szCs w:val="24"/>
        </w:rPr>
        <w:t>FNS expects 53 State agencies will submit one initial EA waiver to FNS.  Currently 51 State agencies are operating under an EA waiver.  It is possible that States may have more than one declared public health emergency over the next year as COVID-19 rates ebb and flow, therefore we are including hours for these initial waiver requests in this IC as a precautionary measure.  Each initial EA waiver submission should take approximately one hour to complete.  Following waiver approval, FNS will require State Agencies to attest to FNS on a monthly basis the EA waiver is still needed.  Each monthly e-mail attesting to the continued need for the EA waiver is expected to take 15 minutes to complete.</w:t>
      </w:r>
    </w:p>
    <w:p w:rsidR="00C11958" w:rsidP="00C11958" w:rsidRDefault="00C11958" w14:paraId="1647D156" w14:textId="0D63C086">
      <w:pPr>
        <w:pStyle w:val="ListParagraph"/>
        <w:numPr>
          <w:ilvl w:val="0"/>
          <w:numId w:val="23"/>
        </w:numPr>
        <w:rPr>
          <w:rFonts w:asciiTheme="minorHAnsi" w:hAnsiTheme="minorHAnsi" w:cstheme="minorHAnsi"/>
          <w:szCs w:val="24"/>
        </w:rPr>
      </w:pPr>
      <w:r>
        <w:rPr>
          <w:rFonts w:asciiTheme="minorHAnsi" w:hAnsiTheme="minorHAnsi" w:cstheme="minorHAnsi"/>
          <w:szCs w:val="24"/>
        </w:rPr>
        <w:t>EA Initial Request = 53 State agencies x 1 initial request x 1 hour =53 hours</w:t>
      </w:r>
    </w:p>
    <w:p w:rsidRPr="00C11958" w:rsidR="00C11958" w:rsidP="00C11958" w:rsidRDefault="00C11958" w14:paraId="454E93DF" w14:textId="68A37627">
      <w:pPr>
        <w:pStyle w:val="ListParagraph"/>
        <w:numPr>
          <w:ilvl w:val="0"/>
          <w:numId w:val="23"/>
        </w:numPr>
        <w:rPr>
          <w:rFonts w:asciiTheme="minorHAnsi" w:hAnsiTheme="minorHAnsi" w:cstheme="minorHAnsi"/>
          <w:szCs w:val="24"/>
        </w:rPr>
      </w:pPr>
      <w:r>
        <w:rPr>
          <w:rFonts w:asciiTheme="minorHAnsi" w:hAnsiTheme="minorHAnsi" w:cstheme="minorHAnsi"/>
          <w:szCs w:val="24"/>
        </w:rPr>
        <w:t>EA Monthly Update = 53 State agencies x 12 monthly updates x .25 hours = 159 hours</w:t>
      </w:r>
    </w:p>
    <w:p w:rsidR="00E442C5" w:rsidP="00ED28F2" w:rsidRDefault="00E442C5" w14:paraId="0C70856F" w14:textId="3726AE77">
      <w:pPr>
        <w:tabs>
          <w:tab w:val="left" w:pos="-720"/>
        </w:tabs>
        <w:suppressAutoHyphens/>
        <w:spacing w:line="480" w:lineRule="auto"/>
        <w:rPr>
          <w:rFonts w:asciiTheme="minorHAnsi" w:hAnsiTheme="minorHAnsi" w:cstheme="minorHAnsi"/>
          <w:szCs w:val="24"/>
        </w:rPr>
      </w:pPr>
    </w:p>
    <w:p w:rsidRPr="00893FBD" w:rsidR="00893FBD" w:rsidP="00893FBD" w:rsidRDefault="00893FBD" w14:paraId="07F18FFD" w14:textId="77777777">
      <w:pPr>
        <w:spacing w:line="480" w:lineRule="auto"/>
        <w:rPr>
          <w:rFonts w:asciiTheme="minorHAnsi" w:hAnsiTheme="minorHAnsi" w:cstheme="minorHAnsi"/>
        </w:rPr>
      </w:pPr>
      <w:r w:rsidRPr="00893FBD">
        <w:rPr>
          <w:rFonts w:asciiTheme="minorHAnsi" w:hAnsiTheme="minorHAnsi" w:cstheme="minorHAnsi"/>
        </w:rPr>
        <w:t xml:space="preserve">While a State is operating under an EA waiver, FNS requires the State to submit </w:t>
      </w:r>
      <w:r w:rsidRPr="00893FBD">
        <w:rPr>
          <w:rFonts w:asciiTheme="minorHAnsi" w:hAnsiTheme="minorHAnsi" w:cstheme="minorHAnsi"/>
          <w:i/>
        </w:rPr>
        <w:t>bi-</w:t>
      </w:r>
      <w:proofErr w:type="gramStart"/>
      <w:r w:rsidRPr="00893FBD">
        <w:rPr>
          <w:rFonts w:asciiTheme="minorHAnsi" w:hAnsiTheme="minorHAnsi" w:cstheme="minorHAnsi"/>
          <w:i/>
        </w:rPr>
        <w:t>weekly</w:t>
      </w:r>
      <w:r w:rsidRPr="00893FBD">
        <w:rPr>
          <w:rFonts w:asciiTheme="minorHAnsi" w:hAnsiTheme="minorHAnsi" w:cstheme="minorHAnsi"/>
        </w:rPr>
        <w:t xml:space="preserve">  FNS</w:t>
      </w:r>
      <w:proofErr w:type="gramEnd"/>
      <w:r w:rsidRPr="00893FBD">
        <w:rPr>
          <w:rFonts w:asciiTheme="minorHAnsi" w:hAnsiTheme="minorHAnsi" w:cstheme="minorHAnsi"/>
        </w:rPr>
        <w:t xml:space="preserve">-292B reports. The burden for a State agency to submit FNS-292B reports during normal operations is currently captured under the information collection for the Food Programs Reporting System (FPRS), OMB Control Number 0584-0594 (expiration date 7/31/2023).  However, FNS is including the burden for submitting this form more frequently during COVID-19 under this information collection.  </w:t>
      </w:r>
    </w:p>
    <w:p w:rsidR="00893FBD" w:rsidP="00893FBD" w:rsidRDefault="00893FBD" w14:paraId="592D8DB0" w14:textId="5DC007BA">
      <w:pPr>
        <w:numPr>
          <w:ilvl w:val="0"/>
          <w:numId w:val="22"/>
        </w:numPr>
        <w:overflowPunct/>
        <w:spacing w:line="480" w:lineRule="auto"/>
        <w:textAlignment w:val="auto"/>
        <w:rPr>
          <w:rFonts w:asciiTheme="minorHAnsi" w:hAnsiTheme="minorHAnsi" w:cstheme="minorHAnsi"/>
        </w:rPr>
      </w:pPr>
      <w:r w:rsidRPr="00893FBD">
        <w:rPr>
          <w:rFonts w:asciiTheme="minorHAnsi" w:hAnsiTheme="minorHAnsi" w:cstheme="minorHAnsi"/>
        </w:rPr>
        <w:lastRenderedPageBreak/>
        <w:t>FNS-292B - .4 hours per response  x 53 State Agencies x 26 weeks = 551 hours</w:t>
      </w:r>
    </w:p>
    <w:p w:rsidR="00C11958" w:rsidP="00C11958" w:rsidRDefault="00C11958" w14:paraId="2AF55113" w14:textId="29CDC03E">
      <w:pPr>
        <w:overflowPunct/>
        <w:spacing w:line="480" w:lineRule="auto"/>
        <w:textAlignment w:val="auto"/>
        <w:rPr>
          <w:rFonts w:asciiTheme="minorHAnsi" w:hAnsiTheme="minorHAnsi" w:cstheme="minorHAnsi"/>
        </w:rPr>
      </w:pPr>
    </w:p>
    <w:p w:rsidRPr="00893FBD" w:rsidR="00C11958" w:rsidP="00C11958" w:rsidRDefault="00C11958" w14:paraId="5554C976" w14:textId="7A6C076C">
      <w:pPr>
        <w:overflowPunct/>
        <w:spacing w:line="480" w:lineRule="auto"/>
        <w:textAlignment w:val="auto"/>
        <w:rPr>
          <w:rFonts w:asciiTheme="minorHAnsi" w:hAnsiTheme="minorHAnsi" w:cstheme="minorHAnsi"/>
        </w:rPr>
      </w:pPr>
      <w:r>
        <w:rPr>
          <w:rFonts w:asciiTheme="minorHAnsi" w:hAnsiTheme="minorHAnsi" w:cstheme="minorHAnsi"/>
        </w:rPr>
        <w:t xml:space="preserve">In total, this information collection includes 2,067 responses for a total of 763 </w:t>
      </w:r>
      <w:r w:rsidR="004F38AA">
        <w:rPr>
          <w:rFonts w:asciiTheme="minorHAnsi" w:hAnsiTheme="minorHAnsi" w:cstheme="minorHAnsi"/>
        </w:rPr>
        <w:t xml:space="preserve">reporting </w:t>
      </w:r>
      <w:r>
        <w:rPr>
          <w:rFonts w:asciiTheme="minorHAnsi" w:hAnsiTheme="minorHAnsi" w:cstheme="minorHAnsi"/>
        </w:rPr>
        <w:t>burden hours.</w:t>
      </w:r>
      <w:r w:rsidR="004F38AA">
        <w:rPr>
          <w:rFonts w:asciiTheme="minorHAnsi" w:hAnsiTheme="minorHAnsi" w:cstheme="minorHAnsi"/>
        </w:rPr>
        <w:t xml:space="preserve">  There are no recordkeeping burden hours associated with this collection</w:t>
      </w:r>
    </w:p>
    <w:tbl>
      <w:tblPr>
        <w:tblW w:w="10530" w:type="dxa"/>
        <w:tblInd w:w="-252" w:type="dxa"/>
        <w:tblLook w:val="04A0" w:firstRow="1" w:lastRow="0" w:firstColumn="1" w:lastColumn="0" w:noHBand="0" w:noVBand="1"/>
      </w:tblPr>
      <w:tblGrid>
        <w:gridCol w:w="1351"/>
        <w:gridCol w:w="1456"/>
        <w:gridCol w:w="655"/>
        <w:gridCol w:w="1269"/>
        <w:gridCol w:w="1096"/>
        <w:gridCol w:w="1067"/>
        <w:gridCol w:w="1235"/>
        <w:gridCol w:w="1292"/>
        <w:gridCol w:w="1109"/>
      </w:tblGrid>
      <w:tr w:rsidRPr="00610A44" w:rsidR="00C11958" w:rsidTr="0026583C" w14:paraId="0362755F" w14:textId="77777777">
        <w:trPr>
          <w:trHeight w:val="999"/>
        </w:trPr>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10A44" w:rsidR="00C11958" w:rsidP="0026583C" w:rsidRDefault="00C11958" w14:paraId="4F5AC793" w14:textId="77777777">
            <w:pPr>
              <w:widowControl/>
              <w:autoSpaceDE/>
              <w:autoSpaceDN/>
              <w:adjustRightInd/>
              <w:jc w:val="center"/>
              <w:rPr>
                <w:rFonts w:ascii="Calibri" w:hAnsi="Calibri" w:cs="Calibri"/>
                <w:b/>
                <w:bCs/>
                <w:color w:val="000000"/>
                <w:sz w:val="20"/>
              </w:rPr>
            </w:pPr>
            <w:r w:rsidRPr="00610A44">
              <w:rPr>
                <w:rFonts w:ascii="Calibri" w:hAnsi="Calibri" w:cs="Calibri"/>
                <w:b/>
                <w:bCs/>
                <w:color w:val="000000"/>
                <w:sz w:val="20"/>
              </w:rPr>
              <w:t>Respondent Category</w:t>
            </w:r>
          </w:p>
        </w:tc>
        <w:tc>
          <w:tcPr>
            <w:tcW w:w="1456" w:type="dxa"/>
            <w:tcBorders>
              <w:top w:val="single" w:color="auto" w:sz="4" w:space="0"/>
              <w:left w:val="nil"/>
              <w:bottom w:val="single" w:color="auto" w:sz="4" w:space="0"/>
              <w:right w:val="single" w:color="auto" w:sz="4" w:space="0"/>
            </w:tcBorders>
            <w:shd w:val="clear" w:color="auto" w:fill="auto"/>
            <w:vAlign w:val="center"/>
            <w:hideMark/>
          </w:tcPr>
          <w:p w:rsidRPr="00610A44" w:rsidR="00C11958" w:rsidP="0026583C" w:rsidRDefault="00C11958" w14:paraId="68A72E6A" w14:textId="77777777">
            <w:pPr>
              <w:widowControl/>
              <w:autoSpaceDE/>
              <w:autoSpaceDN/>
              <w:adjustRightInd/>
              <w:jc w:val="center"/>
              <w:rPr>
                <w:rFonts w:ascii="Calibri" w:hAnsi="Calibri" w:cs="Calibri"/>
                <w:b/>
                <w:bCs/>
                <w:color w:val="000000"/>
                <w:sz w:val="20"/>
              </w:rPr>
            </w:pPr>
            <w:r w:rsidRPr="00610A44">
              <w:rPr>
                <w:rFonts w:ascii="Calibri" w:hAnsi="Calibri" w:cs="Calibri"/>
                <w:b/>
                <w:bCs/>
                <w:color w:val="000000"/>
                <w:sz w:val="20"/>
              </w:rPr>
              <w:t>Instruments</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Pr="00610A44" w:rsidR="00C11958" w:rsidP="0026583C" w:rsidRDefault="00C11958" w14:paraId="70AC7471" w14:textId="77777777">
            <w:pPr>
              <w:widowControl/>
              <w:autoSpaceDE/>
              <w:autoSpaceDN/>
              <w:adjustRightInd/>
              <w:jc w:val="center"/>
              <w:rPr>
                <w:rFonts w:ascii="Calibri" w:hAnsi="Calibri" w:cs="Calibri"/>
                <w:b/>
                <w:bCs/>
                <w:color w:val="000000"/>
                <w:sz w:val="20"/>
              </w:rPr>
            </w:pPr>
            <w:r w:rsidRPr="00610A44">
              <w:rPr>
                <w:rFonts w:ascii="Calibri" w:hAnsi="Calibri" w:cs="Calibri"/>
                <w:b/>
                <w:bCs/>
                <w:color w:val="000000"/>
                <w:sz w:val="20"/>
              </w:rPr>
              <w:t>Form</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Pr="00610A44" w:rsidR="00C11958" w:rsidP="0026583C" w:rsidRDefault="00C11958" w14:paraId="22FC0E63" w14:textId="77777777">
            <w:pPr>
              <w:widowControl/>
              <w:autoSpaceDE/>
              <w:autoSpaceDN/>
              <w:adjustRightInd/>
              <w:jc w:val="center"/>
              <w:rPr>
                <w:rFonts w:ascii="Calibri" w:hAnsi="Calibri" w:cs="Calibri"/>
                <w:b/>
                <w:bCs/>
                <w:color w:val="000000"/>
                <w:sz w:val="20"/>
              </w:rPr>
            </w:pPr>
            <w:r w:rsidRPr="00610A44">
              <w:rPr>
                <w:rFonts w:ascii="Calibri" w:hAnsi="Calibri" w:cs="Calibri"/>
                <w:b/>
                <w:bCs/>
                <w:color w:val="000000"/>
                <w:sz w:val="20"/>
              </w:rPr>
              <w:t>Number of respondents</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Pr="00610A44" w:rsidR="00C11958" w:rsidP="0026583C" w:rsidRDefault="00C11958" w14:paraId="3AC09ED8" w14:textId="77777777">
            <w:pPr>
              <w:widowControl/>
              <w:autoSpaceDE/>
              <w:autoSpaceDN/>
              <w:adjustRightInd/>
              <w:jc w:val="center"/>
              <w:rPr>
                <w:rFonts w:ascii="Calibri" w:hAnsi="Calibri" w:cs="Calibri"/>
                <w:b/>
                <w:bCs/>
                <w:color w:val="000000"/>
                <w:sz w:val="20"/>
              </w:rPr>
            </w:pPr>
            <w:r w:rsidRPr="00610A44">
              <w:rPr>
                <w:rFonts w:ascii="Calibri" w:hAnsi="Calibri" w:cs="Calibri"/>
                <w:b/>
                <w:bCs/>
                <w:color w:val="000000"/>
                <w:sz w:val="20"/>
              </w:rPr>
              <w:t>Frequency of response</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Pr="00610A44" w:rsidR="00C11958" w:rsidP="0026583C" w:rsidRDefault="00C11958" w14:paraId="0A9A84C3" w14:textId="77777777">
            <w:pPr>
              <w:widowControl/>
              <w:autoSpaceDE/>
              <w:autoSpaceDN/>
              <w:adjustRightInd/>
              <w:jc w:val="center"/>
              <w:rPr>
                <w:rFonts w:ascii="Calibri" w:hAnsi="Calibri" w:cs="Calibri"/>
                <w:b/>
                <w:bCs/>
                <w:color w:val="000000"/>
                <w:sz w:val="20"/>
              </w:rPr>
            </w:pPr>
            <w:r w:rsidRPr="00610A44">
              <w:rPr>
                <w:rFonts w:ascii="Calibri" w:hAnsi="Calibri" w:cs="Calibri"/>
                <w:b/>
                <w:bCs/>
                <w:color w:val="000000"/>
                <w:sz w:val="20"/>
              </w:rPr>
              <w:t>Total Annual responses</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Pr="00610A44" w:rsidR="00C11958" w:rsidP="0026583C" w:rsidRDefault="00C11958" w14:paraId="64E3DA78" w14:textId="77777777">
            <w:pPr>
              <w:widowControl/>
              <w:autoSpaceDE/>
              <w:autoSpaceDN/>
              <w:adjustRightInd/>
              <w:jc w:val="center"/>
              <w:rPr>
                <w:rFonts w:ascii="Calibri" w:hAnsi="Calibri" w:cs="Calibri"/>
                <w:b/>
                <w:bCs/>
                <w:color w:val="000000"/>
                <w:sz w:val="20"/>
              </w:rPr>
            </w:pPr>
            <w:r w:rsidRPr="00610A44">
              <w:rPr>
                <w:rFonts w:ascii="Calibri" w:hAnsi="Calibri" w:cs="Calibri"/>
                <w:b/>
                <w:bCs/>
                <w:color w:val="000000"/>
                <w:sz w:val="20"/>
              </w:rPr>
              <w:t>Responses per Respondent</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Pr="00610A44" w:rsidR="00C11958" w:rsidP="0026583C" w:rsidRDefault="00C11958" w14:paraId="14411F30" w14:textId="77777777">
            <w:pPr>
              <w:widowControl/>
              <w:autoSpaceDE/>
              <w:autoSpaceDN/>
              <w:adjustRightInd/>
              <w:jc w:val="center"/>
              <w:rPr>
                <w:rFonts w:ascii="Calibri" w:hAnsi="Calibri" w:cs="Calibri"/>
                <w:b/>
                <w:bCs/>
                <w:color w:val="000000"/>
                <w:sz w:val="20"/>
              </w:rPr>
            </w:pPr>
            <w:r w:rsidRPr="00610A44">
              <w:rPr>
                <w:rFonts w:ascii="Calibri" w:hAnsi="Calibri" w:cs="Calibri"/>
                <w:b/>
                <w:bCs/>
                <w:color w:val="000000"/>
                <w:sz w:val="20"/>
              </w:rPr>
              <w:t>Hours per response</w:t>
            </w:r>
          </w:p>
        </w:tc>
        <w:tc>
          <w:tcPr>
            <w:tcW w:w="1109" w:type="dxa"/>
            <w:tcBorders>
              <w:top w:val="single" w:color="auto" w:sz="4" w:space="0"/>
              <w:left w:val="nil"/>
              <w:bottom w:val="single" w:color="auto" w:sz="4" w:space="0"/>
              <w:right w:val="single" w:color="auto" w:sz="4" w:space="0"/>
            </w:tcBorders>
            <w:shd w:val="clear" w:color="auto" w:fill="auto"/>
            <w:vAlign w:val="center"/>
            <w:hideMark/>
          </w:tcPr>
          <w:p w:rsidRPr="00610A44" w:rsidR="00C11958" w:rsidP="0026583C" w:rsidRDefault="00C11958" w14:paraId="21563601" w14:textId="77777777">
            <w:pPr>
              <w:widowControl/>
              <w:autoSpaceDE/>
              <w:autoSpaceDN/>
              <w:adjustRightInd/>
              <w:jc w:val="center"/>
              <w:rPr>
                <w:rFonts w:ascii="Calibri" w:hAnsi="Calibri" w:cs="Calibri"/>
                <w:b/>
                <w:bCs/>
                <w:color w:val="000000"/>
                <w:sz w:val="20"/>
              </w:rPr>
            </w:pPr>
            <w:r w:rsidRPr="00610A44">
              <w:rPr>
                <w:rFonts w:ascii="Calibri" w:hAnsi="Calibri" w:cs="Calibri"/>
                <w:b/>
                <w:bCs/>
                <w:color w:val="000000"/>
                <w:sz w:val="20"/>
              </w:rPr>
              <w:t>Annual burden (hours)</w:t>
            </w:r>
          </w:p>
        </w:tc>
      </w:tr>
      <w:tr w:rsidRPr="00610A44" w:rsidR="00C11958" w:rsidTr="0026583C" w14:paraId="02D10DD2" w14:textId="77777777">
        <w:trPr>
          <w:trHeight w:val="888"/>
        </w:trPr>
        <w:tc>
          <w:tcPr>
            <w:tcW w:w="1350" w:type="dxa"/>
            <w:vMerge w:val="restart"/>
            <w:tcBorders>
              <w:top w:val="nil"/>
              <w:left w:val="single" w:color="auto" w:sz="4" w:space="0"/>
              <w:bottom w:val="single" w:color="000000" w:sz="4" w:space="0"/>
              <w:right w:val="single" w:color="auto" w:sz="4" w:space="0"/>
            </w:tcBorders>
            <w:shd w:val="clear" w:color="auto" w:fill="auto"/>
            <w:vAlign w:val="center"/>
            <w:hideMark/>
          </w:tcPr>
          <w:p w:rsidRPr="00610A44" w:rsidR="00C11958" w:rsidP="0026583C" w:rsidRDefault="00C11958" w14:paraId="733D690B" w14:textId="77777777">
            <w:pPr>
              <w:widowControl/>
              <w:autoSpaceDE/>
              <w:autoSpaceDN/>
              <w:adjustRightInd/>
              <w:jc w:val="center"/>
              <w:rPr>
                <w:rFonts w:ascii="Calibri" w:hAnsi="Calibri" w:cs="Calibri"/>
                <w:color w:val="000000"/>
                <w:sz w:val="20"/>
              </w:rPr>
            </w:pPr>
            <w:r w:rsidRPr="00610A44">
              <w:rPr>
                <w:rFonts w:ascii="Calibri" w:hAnsi="Calibri" w:cs="Calibri"/>
                <w:color w:val="000000"/>
                <w:sz w:val="20"/>
              </w:rPr>
              <w:t>State Agencies</w:t>
            </w:r>
          </w:p>
        </w:tc>
        <w:tc>
          <w:tcPr>
            <w:tcW w:w="1456" w:type="dxa"/>
            <w:tcBorders>
              <w:top w:val="nil"/>
              <w:left w:val="nil"/>
              <w:bottom w:val="nil"/>
              <w:right w:val="single" w:color="auto" w:sz="4" w:space="0"/>
            </w:tcBorders>
            <w:shd w:val="clear" w:color="auto" w:fill="auto"/>
            <w:vAlign w:val="center"/>
            <w:hideMark/>
          </w:tcPr>
          <w:p w:rsidRPr="00610A44" w:rsidR="00C11958" w:rsidP="0026583C" w:rsidRDefault="00C11958" w14:paraId="15F3B94B" w14:textId="77777777">
            <w:pPr>
              <w:widowControl/>
              <w:autoSpaceDE/>
              <w:autoSpaceDN/>
              <w:adjustRightInd/>
              <w:rPr>
                <w:rFonts w:ascii="Calibri" w:hAnsi="Calibri" w:cs="Calibri"/>
                <w:color w:val="000000"/>
                <w:sz w:val="20"/>
              </w:rPr>
            </w:pPr>
            <w:r w:rsidRPr="00610A44">
              <w:rPr>
                <w:rFonts w:ascii="Calibri" w:hAnsi="Calibri" w:cs="Calibri"/>
                <w:color w:val="000000"/>
                <w:sz w:val="20"/>
              </w:rPr>
              <w:t>Bi-weekly EA Reporting to FNS</w:t>
            </w:r>
          </w:p>
        </w:tc>
        <w:tc>
          <w:tcPr>
            <w:tcW w:w="0" w:type="auto"/>
            <w:tcBorders>
              <w:top w:val="nil"/>
              <w:left w:val="nil"/>
              <w:bottom w:val="single" w:color="auto" w:sz="4" w:space="0"/>
              <w:right w:val="single" w:color="auto" w:sz="4" w:space="0"/>
            </w:tcBorders>
            <w:shd w:val="clear" w:color="auto" w:fill="auto"/>
            <w:vAlign w:val="center"/>
            <w:hideMark/>
          </w:tcPr>
          <w:p w:rsidRPr="00610A44" w:rsidR="00C11958" w:rsidP="0026583C" w:rsidRDefault="00C11958" w14:paraId="4218341C" w14:textId="77777777">
            <w:pPr>
              <w:widowControl/>
              <w:autoSpaceDE/>
              <w:autoSpaceDN/>
              <w:adjustRightInd/>
              <w:jc w:val="center"/>
              <w:rPr>
                <w:rFonts w:ascii="Calibri" w:hAnsi="Calibri" w:cs="Calibri"/>
                <w:color w:val="000000"/>
                <w:sz w:val="20"/>
              </w:rPr>
            </w:pPr>
            <w:r>
              <w:rPr>
                <w:rFonts w:ascii="Calibri" w:hAnsi="Calibri" w:cs="Calibri"/>
                <w:color w:val="000000"/>
                <w:sz w:val="20"/>
              </w:rPr>
              <w:t>FNS-292B</w:t>
            </w:r>
          </w:p>
        </w:tc>
        <w:tc>
          <w:tcPr>
            <w:tcW w:w="0" w:type="auto"/>
            <w:tcBorders>
              <w:top w:val="nil"/>
              <w:left w:val="nil"/>
              <w:bottom w:val="single" w:color="auto" w:sz="4" w:space="0"/>
              <w:right w:val="single" w:color="auto" w:sz="4" w:space="0"/>
            </w:tcBorders>
            <w:shd w:val="clear" w:color="auto" w:fill="auto"/>
            <w:vAlign w:val="center"/>
            <w:hideMark/>
          </w:tcPr>
          <w:p w:rsidRPr="00610A44" w:rsidR="00C11958" w:rsidP="0026583C" w:rsidRDefault="00C11958" w14:paraId="3593E30D" w14:textId="77777777">
            <w:pPr>
              <w:widowControl/>
              <w:autoSpaceDE/>
              <w:autoSpaceDN/>
              <w:adjustRightInd/>
              <w:jc w:val="center"/>
              <w:rPr>
                <w:rFonts w:ascii="Calibri" w:hAnsi="Calibri" w:cs="Calibri"/>
                <w:color w:val="000000"/>
                <w:sz w:val="20"/>
              </w:rPr>
            </w:pPr>
            <w:r w:rsidRPr="00610A44">
              <w:rPr>
                <w:rFonts w:ascii="Calibri" w:hAnsi="Calibri" w:cs="Calibri"/>
                <w:color w:val="000000"/>
                <w:sz w:val="20"/>
              </w:rPr>
              <w:t>53</w:t>
            </w:r>
          </w:p>
        </w:tc>
        <w:tc>
          <w:tcPr>
            <w:tcW w:w="0" w:type="auto"/>
            <w:tcBorders>
              <w:top w:val="nil"/>
              <w:left w:val="nil"/>
              <w:bottom w:val="single" w:color="auto" w:sz="4" w:space="0"/>
              <w:right w:val="single" w:color="auto" w:sz="4" w:space="0"/>
            </w:tcBorders>
            <w:shd w:val="clear" w:color="auto" w:fill="auto"/>
            <w:vAlign w:val="center"/>
            <w:hideMark/>
          </w:tcPr>
          <w:p w:rsidRPr="00610A44" w:rsidR="00C11958" w:rsidP="0026583C" w:rsidRDefault="00C11958" w14:paraId="057A2B24" w14:textId="77777777">
            <w:pPr>
              <w:widowControl/>
              <w:autoSpaceDE/>
              <w:autoSpaceDN/>
              <w:adjustRightInd/>
              <w:jc w:val="center"/>
              <w:rPr>
                <w:rFonts w:ascii="Calibri" w:hAnsi="Calibri" w:cs="Calibri"/>
                <w:color w:val="000000"/>
                <w:sz w:val="20"/>
              </w:rPr>
            </w:pPr>
            <w:r w:rsidRPr="00610A44">
              <w:rPr>
                <w:rFonts w:ascii="Calibri" w:hAnsi="Calibri" w:cs="Calibri"/>
                <w:color w:val="000000"/>
                <w:sz w:val="20"/>
              </w:rPr>
              <w:t>26</w:t>
            </w:r>
          </w:p>
        </w:tc>
        <w:tc>
          <w:tcPr>
            <w:tcW w:w="0" w:type="auto"/>
            <w:tcBorders>
              <w:top w:val="nil"/>
              <w:left w:val="nil"/>
              <w:bottom w:val="single" w:color="auto" w:sz="4" w:space="0"/>
              <w:right w:val="single" w:color="auto" w:sz="4" w:space="0"/>
            </w:tcBorders>
            <w:shd w:val="clear" w:color="auto" w:fill="auto"/>
            <w:vAlign w:val="center"/>
            <w:hideMark/>
          </w:tcPr>
          <w:p w:rsidRPr="00610A44" w:rsidR="00C11958" w:rsidP="0026583C" w:rsidRDefault="00C11958" w14:paraId="3AD5A725" w14:textId="77777777">
            <w:pPr>
              <w:widowControl/>
              <w:autoSpaceDE/>
              <w:autoSpaceDN/>
              <w:adjustRightInd/>
              <w:jc w:val="center"/>
              <w:rPr>
                <w:rFonts w:ascii="Calibri" w:hAnsi="Calibri" w:cs="Calibri"/>
                <w:color w:val="000000"/>
                <w:sz w:val="20"/>
              </w:rPr>
            </w:pPr>
            <w:r w:rsidRPr="00610A44">
              <w:rPr>
                <w:rFonts w:ascii="Calibri" w:hAnsi="Calibri" w:cs="Calibri"/>
                <w:color w:val="000000"/>
                <w:sz w:val="20"/>
              </w:rPr>
              <w:t>1,378</w:t>
            </w:r>
          </w:p>
        </w:tc>
        <w:tc>
          <w:tcPr>
            <w:tcW w:w="0" w:type="auto"/>
            <w:tcBorders>
              <w:top w:val="nil"/>
              <w:left w:val="nil"/>
              <w:bottom w:val="single" w:color="auto" w:sz="4" w:space="0"/>
              <w:right w:val="single" w:color="auto" w:sz="4" w:space="0"/>
            </w:tcBorders>
            <w:shd w:val="clear" w:color="auto" w:fill="auto"/>
            <w:vAlign w:val="center"/>
            <w:hideMark/>
          </w:tcPr>
          <w:p w:rsidRPr="00610A44" w:rsidR="00C11958" w:rsidP="0026583C" w:rsidRDefault="00C11958" w14:paraId="317A1095" w14:textId="77777777">
            <w:pPr>
              <w:widowControl/>
              <w:autoSpaceDE/>
              <w:autoSpaceDN/>
              <w:adjustRightInd/>
              <w:jc w:val="center"/>
              <w:rPr>
                <w:rFonts w:ascii="Calibri" w:hAnsi="Calibri" w:cs="Calibri"/>
                <w:color w:val="000000"/>
                <w:sz w:val="20"/>
              </w:rPr>
            </w:pPr>
            <w:r w:rsidRPr="00610A44">
              <w:rPr>
                <w:rFonts w:ascii="Calibri" w:hAnsi="Calibri" w:cs="Calibri"/>
                <w:color w:val="000000"/>
                <w:sz w:val="20"/>
              </w:rPr>
              <w:t>26</w:t>
            </w:r>
          </w:p>
        </w:tc>
        <w:tc>
          <w:tcPr>
            <w:tcW w:w="0" w:type="auto"/>
            <w:tcBorders>
              <w:top w:val="nil"/>
              <w:left w:val="nil"/>
              <w:bottom w:val="single" w:color="auto" w:sz="4" w:space="0"/>
              <w:right w:val="single" w:color="auto" w:sz="4" w:space="0"/>
            </w:tcBorders>
            <w:shd w:val="clear" w:color="auto" w:fill="auto"/>
            <w:vAlign w:val="center"/>
            <w:hideMark/>
          </w:tcPr>
          <w:p w:rsidRPr="00610A44" w:rsidR="00C11958" w:rsidP="0026583C" w:rsidRDefault="00C11958" w14:paraId="32DAEB50" w14:textId="77777777">
            <w:pPr>
              <w:widowControl/>
              <w:autoSpaceDE/>
              <w:autoSpaceDN/>
              <w:adjustRightInd/>
              <w:jc w:val="center"/>
              <w:rPr>
                <w:rFonts w:ascii="Calibri" w:hAnsi="Calibri" w:cs="Calibri"/>
                <w:color w:val="000000"/>
                <w:sz w:val="20"/>
              </w:rPr>
            </w:pPr>
            <w:r w:rsidRPr="00610A44">
              <w:rPr>
                <w:rFonts w:ascii="Calibri" w:hAnsi="Calibri" w:cs="Calibri"/>
                <w:color w:val="000000"/>
                <w:sz w:val="20"/>
              </w:rPr>
              <w:t>0.4</w:t>
            </w:r>
          </w:p>
        </w:tc>
        <w:tc>
          <w:tcPr>
            <w:tcW w:w="1109" w:type="dxa"/>
            <w:tcBorders>
              <w:top w:val="nil"/>
              <w:left w:val="nil"/>
              <w:bottom w:val="single" w:color="auto" w:sz="4" w:space="0"/>
              <w:right w:val="single" w:color="auto" w:sz="4" w:space="0"/>
            </w:tcBorders>
            <w:shd w:val="clear" w:color="auto" w:fill="auto"/>
            <w:vAlign w:val="center"/>
            <w:hideMark/>
          </w:tcPr>
          <w:p w:rsidRPr="00610A44" w:rsidR="00C11958" w:rsidP="0026583C" w:rsidRDefault="00C11958" w14:paraId="138224F9" w14:textId="77777777">
            <w:pPr>
              <w:widowControl/>
              <w:autoSpaceDE/>
              <w:autoSpaceDN/>
              <w:adjustRightInd/>
              <w:jc w:val="center"/>
              <w:rPr>
                <w:rFonts w:ascii="Calibri" w:hAnsi="Calibri" w:cs="Calibri"/>
                <w:color w:val="000000"/>
                <w:sz w:val="20"/>
              </w:rPr>
            </w:pPr>
            <w:r w:rsidRPr="00610A44">
              <w:rPr>
                <w:rFonts w:ascii="Calibri" w:hAnsi="Calibri" w:cs="Calibri"/>
                <w:color w:val="000000"/>
                <w:sz w:val="20"/>
              </w:rPr>
              <w:t>551.20</w:t>
            </w:r>
          </w:p>
        </w:tc>
      </w:tr>
      <w:tr w:rsidRPr="00610A44" w:rsidR="00C11958" w:rsidTr="0026583C" w14:paraId="33C582B4" w14:textId="77777777">
        <w:trPr>
          <w:trHeight w:val="888"/>
        </w:trPr>
        <w:tc>
          <w:tcPr>
            <w:tcW w:w="1350" w:type="dxa"/>
            <w:vMerge/>
            <w:tcBorders>
              <w:top w:val="nil"/>
              <w:left w:val="single" w:color="auto" w:sz="4" w:space="0"/>
              <w:bottom w:val="single" w:color="000000" w:sz="4" w:space="0"/>
              <w:right w:val="single" w:color="auto" w:sz="4" w:space="0"/>
            </w:tcBorders>
            <w:vAlign w:val="center"/>
            <w:hideMark/>
          </w:tcPr>
          <w:p w:rsidRPr="00610A44" w:rsidR="00C11958" w:rsidP="0026583C" w:rsidRDefault="00C11958" w14:paraId="290BEEF5" w14:textId="77777777">
            <w:pPr>
              <w:widowControl/>
              <w:autoSpaceDE/>
              <w:autoSpaceDN/>
              <w:adjustRightInd/>
              <w:rPr>
                <w:rFonts w:ascii="Calibri" w:hAnsi="Calibri" w:cs="Calibri"/>
                <w:color w:val="000000"/>
                <w:sz w:val="20"/>
              </w:rPr>
            </w:pPr>
          </w:p>
        </w:tc>
        <w:tc>
          <w:tcPr>
            <w:tcW w:w="1456" w:type="dxa"/>
            <w:tcBorders>
              <w:top w:val="single" w:color="auto" w:sz="4" w:space="0"/>
              <w:left w:val="nil"/>
              <w:bottom w:val="single" w:color="auto" w:sz="4" w:space="0"/>
              <w:right w:val="single" w:color="auto" w:sz="4" w:space="0"/>
            </w:tcBorders>
            <w:shd w:val="clear" w:color="auto" w:fill="auto"/>
            <w:vAlign w:val="center"/>
            <w:hideMark/>
          </w:tcPr>
          <w:p w:rsidRPr="00610A44" w:rsidR="00C11958" w:rsidP="0026583C" w:rsidRDefault="00C11958" w14:paraId="49DAF34A" w14:textId="77777777">
            <w:pPr>
              <w:widowControl/>
              <w:autoSpaceDE/>
              <w:autoSpaceDN/>
              <w:adjustRightInd/>
              <w:jc w:val="center"/>
              <w:rPr>
                <w:rFonts w:ascii="Calibri" w:hAnsi="Calibri" w:cs="Calibri"/>
                <w:color w:val="000000"/>
                <w:sz w:val="20"/>
              </w:rPr>
            </w:pPr>
            <w:r w:rsidRPr="00610A44">
              <w:rPr>
                <w:rFonts w:ascii="Calibri" w:hAnsi="Calibri" w:cs="Calibri"/>
                <w:color w:val="000000"/>
                <w:sz w:val="20"/>
              </w:rPr>
              <w:t xml:space="preserve"> Initial Waiver Request - Emergency Allotment</w:t>
            </w:r>
          </w:p>
        </w:tc>
        <w:tc>
          <w:tcPr>
            <w:tcW w:w="0" w:type="auto"/>
            <w:tcBorders>
              <w:top w:val="nil"/>
              <w:left w:val="nil"/>
              <w:bottom w:val="single" w:color="auto" w:sz="4" w:space="0"/>
              <w:right w:val="single" w:color="auto" w:sz="4" w:space="0"/>
            </w:tcBorders>
            <w:shd w:val="clear" w:color="auto" w:fill="auto"/>
            <w:vAlign w:val="center"/>
            <w:hideMark/>
          </w:tcPr>
          <w:p w:rsidRPr="00610A44" w:rsidR="00C11958" w:rsidP="0026583C" w:rsidRDefault="00C11958" w14:paraId="6FB436E5" w14:textId="77777777">
            <w:pPr>
              <w:widowControl/>
              <w:autoSpaceDE/>
              <w:autoSpaceDN/>
              <w:adjustRightInd/>
              <w:jc w:val="center"/>
              <w:rPr>
                <w:rFonts w:ascii="Calibri" w:hAnsi="Calibri" w:cs="Calibri"/>
                <w:color w:val="000000"/>
                <w:sz w:val="20"/>
              </w:rPr>
            </w:pPr>
            <w:r w:rsidRPr="00610A44">
              <w:rPr>
                <w:rFonts w:ascii="Calibri" w:hAnsi="Calibri" w:cs="Calibri"/>
                <w:color w:val="000000"/>
                <w:sz w:val="20"/>
              </w:rPr>
              <w:t>N/A</w:t>
            </w:r>
          </w:p>
        </w:tc>
        <w:tc>
          <w:tcPr>
            <w:tcW w:w="0" w:type="auto"/>
            <w:tcBorders>
              <w:top w:val="nil"/>
              <w:left w:val="nil"/>
              <w:bottom w:val="single" w:color="auto" w:sz="4" w:space="0"/>
              <w:right w:val="single" w:color="auto" w:sz="4" w:space="0"/>
            </w:tcBorders>
            <w:shd w:val="clear" w:color="auto" w:fill="auto"/>
            <w:vAlign w:val="center"/>
            <w:hideMark/>
          </w:tcPr>
          <w:p w:rsidRPr="00610A44" w:rsidR="00C11958" w:rsidP="0026583C" w:rsidRDefault="00C11958" w14:paraId="6FAAE74D" w14:textId="77777777">
            <w:pPr>
              <w:widowControl/>
              <w:autoSpaceDE/>
              <w:autoSpaceDN/>
              <w:adjustRightInd/>
              <w:jc w:val="center"/>
              <w:rPr>
                <w:rFonts w:ascii="Calibri" w:hAnsi="Calibri" w:cs="Calibri"/>
                <w:color w:val="000000"/>
                <w:sz w:val="20"/>
              </w:rPr>
            </w:pPr>
            <w:r w:rsidRPr="00610A44">
              <w:rPr>
                <w:rFonts w:ascii="Calibri" w:hAnsi="Calibri" w:cs="Calibri"/>
                <w:color w:val="000000"/>
                <w:sz w:val="20"/>
              </w:rPr>
              <w:t>53</w:t>
            </w:r>
          </w:p>
        </w:tc>
        <w:tc>
          <w:tcPr>
            <w:tcW w:w="0" w:type="auto"/>
            <w:tcBorders>
              <w:top w:val="nil"/>
              <w:left w:val="nil"/>
              <w:bottom w:val="single" w:color="auto" w:sz="4" w:space="0"/>
              <w:right w:val="single" w:color="auto" w:sz="4" w:space="0"/>
            </w:tcBorders>
            <w:shd w:val="clear" w:color="auto" w:fill="auto"/>
            <w:vAlign w:val="center"/>
            <w:hideMark/>
          </w:tcPr>
          <w:p w:rsidRPr="00610A44" w:rsidR="00C11958" w:rsidP="0026583C" w:rsidRDefault="00C11958" w14:paraId="0A785569" w14:textId="77777777">
            <w:pPr>
              <w:widowControl/>
              <w:autoSpaceDE/>
              <w:autoSpaceDN/>
              <w:adjustRightInd/>
              <w:jc w:val="center"/>
              <w:rPr>
                <w:rFonts w:ascii="Calibri" w:hAnsi="Calibri" w:cs="Calibri"/>
                <w:color w:val="000000"/>
                <w:sz w:val="20"/>
              </w:rPr>
            </w:pPr>
            <w:r w:rsidRPr="00610A44">
              <w:rPr>
                <w:rFonts w:ascii="Calibri" w:hAnsi="Calibri" w:cs="Calibri"/>
                <w:color w:val="000000"/>
                <w:sz w:val="20"/>
              </w:rPr>
              <w:t>1</w:t>
            </w:r>
          </w:p>
        </w:tc>
        <w:tc>
          <w:tcPr>
            <w:tcW w:w="0" w:type="auto"/>
            <w:tcBorders>
              <w:top w:val="nil"/>
              <w:left w:val="nil"/>
              <w:bottom w:val="single" w:color="auto" w:sz="4" w:space="0"/>
              <w:right w:val="single" w:color="auto" w:sz="4" w:space="0"/>
            </w:tcBorders>
            <w:shd w:val="clear" w:color="auto" w:fill="auto"/>
            <w:vAlign w:val="center"/>
            <w:hideMark/>
          </w:tcPr>
          <w:p w:rsidRPr="00610A44" w:rsidR="00C11958" w:rsidP="0026583C" w:rsidRDefault="00C11958" w14:paraId="457147EE" w14:textId="77777777">
            <w:pPr>
              <w:widowControl/>
              <w:autoSpaceDE/>
              <w:autoSpaceDN/>
              <w:adjustRightInd/>
              <w:jc w:val="center"/>
              <w:rPr>
                <w:rFonts w:ascii="Calibri" w:hAnsi="Calibri" w:cs="Calibri"/>
                <w:color w:val="000000"/>
                <w:sz w:val="20"/>
              </w:rPr>
            </w:pPr>
            <w:r w:rsidRPr="00610A44">
              <w:rPr>
                <w:rFonts w:ascii="Calibri" w:hAnsi="Calibri" w:cs="Calibri"/>
                <w:color w:val="000000"/>
                <w:sz w:val="20"/>
              </w:rPr>
              <w:t>53</w:t>
            </w:r>
          </w:p>
        </w:tc>
        <w:tc>
          <w:tcPr>
            <w:tcW w:w="0" w:type="auto"/>
            <w:tcBorders>
              <w:top w:val="nil"/>
              <w:left w:val="nil"/>
              <w:bottom w:val="single" w:color="auto" w:sz="4" w:space="0"/>
              <w:right w:val="single" w:color="auto" w:sz="4" w:space="0"/>
            </w:tcBorders>
            <w:shd w:val="clear" w:color="auto" w:fill="auto"/>
            <w:vAlign w:val="center"/>
            <w:hideMark/>
          </w:tcPr>
          <w:p w:rsidRPr="00610A44" w:rsidR="00C11958" w:rsidP="0026583C" w:rsidRDefault="00C11958" w14:paraId="25E14470" w14:textId="77777777">
            <w:pPr>
              <w:widowControl/>
              <w:autoSpaceDE/>
              <w:autoSpaceDN/>
              <w:adjustRightInd/>
              <w:jc w:val="center"/>
              <w:rPr>
                <w:rFonts w:ascii="Calibri" w:hAnsi="Calibri" w:cs="Calibri"/>
                <w:color w:val="000000"/>
                <w:sz w:val="20"/>
              </w:rPr>
            </w:pPr>
            <w:r w:rsidRPr="00610A44">
              <w:rPr>
                <w:rFonts w:ascii="Calibri" w:hAnsi="Calibri" w:cs="Calibri"/>
                <w:color w:val="000000"/>
                <w:sz w:val="20"/>
              </w:rPr>
              <w:t>1</w:t>
            </w:r>
          </w:p>
        </w:tc>
        <w:tc>
          <w:tcPr>
            <w:tcW w:w="0" w:type="auto"/>
            <w:tcBorders>
              <w:top w:val="nil"/>
              <w:left w:val="nil"/>
              <w:bottom w:val="single" w:color="auto" w:sz="4" w:space="0"/>
              <w:right w:val="single" w:color="auto" w:sz="4" w:space="0"/>
            </w:tcBorders>
            <w:shd w:val="clear" w:color="auto" w:fill="auto"/>
            <w:vAlign w:val="center"/>
            <w:hideMark/>
          </w:tcPr>
          <w:p w:rsidRPr="00610A44" w:rsidR="00C11958" w:rsidP="0026583C" w:rsidRDefault="00C11958" w14:paraId="4E0B4165" w14:textId="77777777">
            <w:pPr>
              <w:widowControl/>
              <w:autoSpaceDE/>
              <w:autoSpaceDN/>
              <w:adjustRightInd/>
              <w:jc w:val="center"/>
              <w:rPr>
                <w:rFonts w:ascii="Calibri" w:hAnsi="Calibri" w:cs="Calibri"/>
                <w:color w:val="000000"/>
                <w:sz w:val="20"/>
              </w:rPr>
            </w:pPr>
            <w:r w:rsidRPr="00610A44">
              <w:rPr>
                <w:rFonts w:ascii="Calibri" w:hAnsi="Calibri" w:cs="Calibri"/>
                <w:color w:val="000000"/>
                <w:sz w:val="20"/>
              </w:rPr>
              <w:t>1</w:t>
            </w:r>
          </w:p>
        </w:tc>
        <w:tc>
          <w:tcPr>
            <w:tcW w:w="1109" w:type="dxa"/>
            <w:tcBorders>
              <w:top w:val="nil"/>
              <w:left w:val="nil"/>
              <w:bottom w:val="single" w:color="auto" w:sz="4" w:space="0"/>
              <w:right w:val="single" w:color="auto" w:sz="4" w:space="0"/>
            </w:tcBorders>
            <w:shd w:val="clear" w:color="auto" w:fill="auto"/>
            <w:vAlign w:val="center"/>
            <w:hideMark/>
          </w:tcPr>
          <w:p w:rsidRPr="00610A44" w:rsidR="00C11958" w:rsidP="0026583C" w:rsidRDefault="00C11958" w14:paraId="20D8AF30" w14:textId="77777777">
            <w:pPr>
              <w:widowControl/>
              <w:autoSpaceDE/>
              <w:autoSpaceDN/>
              <w:adjustRightInd/>
              <w:jc w:val="center"/>
              <w:rPr>
                <w:rFonts w:ascii="Calibri" w:hAnsi="Calibri" w:cs="Calibri"/>
                <w:color w:val="000000"/>
                <w:sz w:val="20"/>
              </w:rPr>
            </w:pPr>
            <w:r w:rsidRPr="00610A44">
              <w:rPr>
                <w:rFonts w:ascii="Calibri" w:hAnsi="Calibri" w:cs="Calibri"/>
                <w:color w:val="000000"/>
                <w:sz w:val="20"/>
              </w:rPr>
              <w:t>53</w:t>
            </w:r>
          </w:p>
        </w:tc>
      </w:tr>
      <w:tr w:rsidRPr="00610A44" w:rsidR="00C11958" w:rsidTr="0026583C" w14:paraId="1FD4A7A4" w14:textId="77777777">
        <w:trPr>
          <w:trHeight w:val="888"/>
        </w:trPr>
        <w:tc>
          <w:tcPr>
            <w:tcW w:w="1350" w:type="dxa"/>
            <w:vMerge/>
            <w:tcBorders>
              <w:top w:val="nil"/>
              <w:left w:val="single" w:color="auto" w:sz="4" w:space="0"/>
              <w:bottom w:val="single" w:color="000000" w:sz="4" w:space="0"/>
              <w:right w:val="single" w:color="auto" w:sz="4" w:space="0"/>
            </w:tcBorders>
            <w:vAlign w:val="center"/>
            <w:hideMark/>
          </w:tcPr>
          <w:p w:rsidRPr="00610A44" w:rsidR="00C11958" w:rsidP="0026583C" w:rsidRDefault="00C11958" w14:paraId="3B340B0F" w14:textId="77777777">
            <w:pPr>
              <w:widowControl/>
              <w:autoSpaceDE/>
              <w:autoSpaceDN/>
              <w:adjustRightInd/>
              <w:rPr>
                <w:rFonts w:ascii="Calibri" w:hAnsi="Calibri" w:cs="Calibri"/>
                <w:color w:val="000000"/>
                <w:sz w:val="20"/>
              </w:rPr>
            </w:pPr>
          </w:p>
        </w:tc>
        <w:tc>
          <w:tcPr>
            <w:tcW w:w="1456" w:type="dxa"/>
            <w:tcBorders>
              <w:top w:val="nil"/>
              <w:left w:val="nil"/>
              <w:bottom w:val="single" w:color="auto" w:sz="4" w:space="0"/>
              <w:right w:val="single" w:color="auto" w:sz="4" w:space="0"/>
            </w:tcBorders>
            <w:shd w:val="clear" w:color="auto" w:fill="auto"/>
            <w:vAlign w:val="center"/>
            <w:hideMark/>
          </w:tcPr>
          <w:p w:rsidRPr="00610A44" w:rsidR="00C11958" w:rsidP="0026583C" w:rsidRDefault="00C11958" w14:paraId="569905DB" w14:textId="77777777">
            <w:pPr>
              <w:widowControl/>
              <w:autoSpaceDE/>
              <w:autoSpaceDN/>
              <w:adjustRightInd/>
              <w:jc w:val="center"/>
              <w:rPr>
                <w:rFonts w:ascii="Calibri" w:hAnsi="Calibri" w:cs="Calibri"/>
                <w:color w:val="000000"/>
                <w:sz w:val="20"/>
              </w:rPr>
            </w:pPr>
            <w:r w:rsidRPr="00610A44">
              <w:rPr>
                <w:rFonts w:ascii="Calibri" w:hAnsi="Calibri" w:cs="Calibri"/>
                <w:color w:val="000000"/>
                <w:sz w:val="20"/>
              </w:rPr>
              <w:t>Monthly EA Attestation</w:t>
            </w:r>
          </w:p>
        </w:tc>
        <w:tc>
          <w:tcPr>
            <w:tcW w:w="0" w:type="auto"/>
            <w:tcBorders>
              <w:top w:val="nil"/>
              <w:left w:val="nil"/>
              <w:bottom w:val="single" w:color="auto" w:sz="4" w:space="0"/>
              <w:right w:val="single" w:color="auto" w:sz="4" w:space="0"/>
            </w:tcBorders>
            <w:shd w:val="clear" w:color="auto" w:fill="auto"/>
            <w:vAlign w:val="center"/>
            <w:hideMark/>
          </w:tcPr>
          <w:p w:rsidRPr="00610A44" w:rsidR="00C11958" w:rsidP="0026583C" w:rsidRDefault="00C11958" w14:paraId="4782805E" w14:textId="77777777">
            <w:pPr>
              <w:widowControl/>
              <w:autoSpaceDE/>
              <w:autoSpaceDN/>
              <w:adjustRightInd/>
              <w:jc w:val="center"/>
              <w:rPr>
                <w:rFonts w:ascii="Calibri" w:hAnsi="Calibri" w:cs="Calibri"/>
                <w:color w:val="000000"/>
                <w:sz w:val="20"/>
              </w:rPr>
            </w:pPr>
            <w:r w:rsidRPr="00610A44">
              <w:rPr>
                <w:rFonts w:ascii="Calibri" w:hAnsi="Calibri" w:cs="Calibri"/>
                <w:color w:val="000000"/>
                <w:sz w:val="20"/>
              </w:rPr>
              <w:t>N/A</w:t>
            </w:r>
          </w:p>
        </w:tc>
        <w:tc>
          <w:tcPr>
            <w:tcW w:w="0" w:type="auto"/>
            <w:tcBorders>
              <w:top w:val="nil"/>
              <w:left w:val="nil"/>
              <w:bottom w:val="single" w:color="auto" w:sz="4" w:space="0"/>
              <w:right w:val="single" w:color="auto" w:sz="4" w:space="0"/>
            </w:tcBorders>
            <w:shd w:val="clear" w:color="auto" w:fill="auto"/>
            <w:vAlign w:val="center"/>
            <w:hideMark/>
          </w:tcPr>
          <w:p w:rsidRPr="00610A44" w:rsidR="00C11958" w:rsidP="0026583C" w:rsidRDefault="00C11958" w14:paraId="74837FDF" w14:textId="77777777">
            <w:pPr>
              <w:widowControl/>
              <w:autoSpaceDE/>
              <w:autoSpaceDN/>
              <w:adjustRightInd/>
              <w:jc w:val="center"/>
              <w:rPr>
                <w:rFonts w:ascii="Calibri" w:hAnsi="Calibri" w:cs="Calibri"/>
                <w:color w:val="000000"/>
                <w:sz w:val="20"/>
              </w:rPr>
            </w:pPr>
            <w:r w:rsidRPr="00610A44">
              <w:rPr>
                <w:rFonts w:ascii="Calibri" w:hAnsi="Calibri" w:cs="Calibri"/>
                <w:color w:val="000000"/>
                <w:sz w:val="20"/>
              </w:rPr>
              <w:t>53</w:t>
            </w:r>
          </w:p>
        </w:tc>
        <w:tc>
          <w:tcPr>
            <w:tcW w:w="0" w:type="auto"/>
            <w:tcBorders>
              <w:top w:val="nil"/>
              <w:left w:val="nil"/>
              <w:bottom w:val="single" w:color="auto" w:sz="4" w:space="0"/>
              <w:right w:val="single" w:color="auto" w:sz="4" w:space="0"/>
            </w:tcBorders>
            <w:shd w:val="clear" w:color="auto" w:fill="auto"/>
            <w:vAlign w:val="center"/>
            <w:hideMark/>
          </w:tcPr>
          <w:p w:rsidRPr="00610A44" w:rsidR="00C11958" w:rsidP="0026583C" w:rsidRDefault="00C11958" w14:paraId="73CD7329" w14:textId="77777777">
            <w:pPr>
              <w:widowControl/>
              <w:autoSpaceDE/>
              <w:autoSpaceDN/>
              <w:adjustRightInd/>
              <w:jc w:val="center"/>
              <w:rPr>
                <w:rFonts w:ascii="Calibri" w:hAnsi="Calibri" w:cs="Calibri"/>
                <w:color w:val="000000"/>
                <w:sz w:val="20"/>
              </w:rPr>
            </w:pPr>
            <w:r w:rsidRPr="00610A44">
              <w:rPr>
                <w:rFonts w:ascii="Calibri" w:hAnsi="Calibri" w:cs="Calibri"/>
                <w:color w:val="000000"/>
                <w:sz w:val="20"/>
              </w:rPr>
              <w:t>12</w:t>
            </w:r>
          </w:p>
        </w:tc>
        <w:tc>
          <w:tcPr>
            <w:tcW w:w="0" w:type="auto"/>
            <w:tcBorders>
              <w:top w:val="nil"/>
              <w:left w:val="nil"/>
              <w:bottom w:val="single" w:color="auto" w:sz="4" w:space="0"/>
              <w:right w:val="single" w:color="auto" w:sz="4" w:space="0"/>
            </w:tcBorders>
            <w:shd w:val="clear" w:color="auto" w:fill="auto"/>
            <w:vAlign w:val="center"/>
            <w:hideMark/>
          </w:tcPr>
          <w:p w:rsidRPr="00610A44" w:rsidR="00C11958" w:rsidP="0026583C" w:rsidRDefault="00C11958" w14:paraId="2BC7F47E" w14:textId="77777777">
            <w:pPr>
              <w:widowControl/>
              <w:autoSpaceDE/>
              <w:autoSpaceDN/>
              <w:adjustRightInd/>
              <w:jc w:val="center"/>
              <w:rPr>
                <w:rFonts w:ascii="Calibri" w:hAnsi="Calibri" w:cs="Calibri"/>
                <w:color w:val="000000"/>
                <w:sz w:val="20"/>
              </w:rPr>
            </w:pPr>
            <w:r w:rsidRPr="00610A44">
              <w:rPr>
                <w:rFonts w:ascii="Calibri" w:hAnsi="Calibri" w:cs="Calibri"/>
                <w:color w:val="000000"/>
                <w:sz w:val="20"/>
              </w:rPr>
              <w:t>636</w:t>
            </w:r>
          </w:p>
        </w:tc>
        <w:tc>
          <w:tcPr>
            <w:tcW w:w="0" w:type="auto"/>
            <w:tcBorders>
              <w:top w:val="nil"/>
              <w:left w:val="nil"/>
              <w:bottom w:val="single" w:color="auto" w:sz="4" w:space="0"/>
              <w:right w:val="single" w:color="auto" w:sz="4" w:space="0"/>
            </w:tcBorders>
            <w:shd w:val="clear" w:color="auto" w:fill="auto"/>
            <w:vAlign w:val="center"/>
            <w:hideMark/>
          </w:tcPr>
          <w:p w:rsidRPr="00610A44" w:rsidR="00C11958" w:rsidP="0026583C" w:rsidRDefault="00C11958" w14:paraId="30FB3E58" w14:textId="77777777">
            <w:pPr>
              <w:widowControl/>
              <w:autoSpaceDE/>
              <w:autoSpaceDN/>
              <w:adjustRightInd/>
              <w:jc w:val="center"/>
              <w:rPr>
                <w:rFonts w:ascii="Calibri" w:hAnsi="Calibri" w:cs="Calibri"/>
                <w:color w:val="000000"/>
                <w:sz w:val="20"/>
              </w:rPr>
            </w:pPr>
            <w:r w:rsidRPr="00610A44">
              <w:rPr>
                <w:rFonts w:ascii="Calibri" w:hAnsi="Calibri" w:cs="Calibri"/>
                <w:color w:val="000000"/>
                <w:sz w:val="20"/>
              </w:rPr>
              <w:t>12</w:t>
            </w:r>
          </w:p>
        </w:tc>
        <w:tc>
          <w:tcPr>
            <w:tcW w:w="0" w:type="auto"/>
            <w:tcBorders>
              <w:top w:val="nil"/>
              <w:left w:val="nil"/>
              <w:bottom w:val="single" w:color="auto" w:sz="4" w:space="0"/>
              <w:right w:val="single" w:color="auto" w:sz="4" w:space="0"/>
            </w:tcBorders>
            <w:shd w:val="clear" w:color="auto" w:fill="auto"/>
            <w:vAlign w:val="center"/>
            <w:hideMark/>
          </w:tcPr>
          <w:p w:rsidRPr="00610A44" w:rsidR="00C11958" w:rsidP="0026583C" w:rsidRDefault="00C11958" w14:paraId="31939521" w14:textId="77777777">
            <w:pPr>
              <w:widowControl/>
              <w:autoSpaceDE/>
              <w:autoSpaceDN/>
              <w:adjustRightInd/>
              <w:jc w:val="center"/>
              <w:rPr>
                <w:rFonts w:ascii="Calibri" w:hAnsi="Calibri" w:cs="Calibri"/>
                <w:color w:val="000000"/>
                <w:sz w:val="20"/>
              </w:rPr>
            </w:pPr>
            <w:r w:rsidRPr="00610A44">
              <w:rPr>
                <w:rFonts w:ascii="Calibri" w:hAnsi="Calibri" w:cs="Calibri"/>
                <w:color w:val="000000"/>
                <w:sz w:val="20"/>
              </w:rPr>
              <w:t>0.25</w:t>
            </w:r>
          </w:p>
        </w:tc>
        <w:tc>
          <w:tcPr>
            <w:tcW w:w="1109" w:type="dxa"/>
            <w:tcBorders>
              <w:top w:val="nil"/>
              <w:left w:val="nil"/>
              <w:bottom w:val="single" w:color="auto" w:sz="4" w:space="0"/>
              <w:right w:val="single" w:color="auto" w:sz="4" w:space="0"/>
            </w:tcBorders>
            <w:shd w:val="clear" w:color="auto" w:fill="auto"/>
            <w:vAlign w:val="center"/>
            <w:hideMark/>
          </w:tcPr>
          <w:p w:rsidRPr="00610A44" w:rsidR="00C11958" w:rsidP="0026583C" w:rsidRDefault="00C11958" w14:paraId="05CCE0B1" w14:textId="77777777">
            <w:pPr>
              <w:widowControl/>
              <w:autoSpaceDE/>
              <w:autoSpaceDN/>
              <w:adjustRightInd/>
              <w:jc w:val="center"/>
              <w:rPr>
                <w:rFonts w:ascii="Calibri" w:hAnsi="Calibri" w:cs="Calibri"/>
                <w:color w:val="000000"/>
                <w:sz w:val="20"/>
              </w:rPr>
            </w:pPr>
            <w:r w:rsidRPr="00610A44">
              <w:rPr>
                <w:rFonts w:ascii="Calibri" w:hAnsi="Calibri" w:cs="Calibri"/>
                <w:color w:val="000000"/>
                <w:sz w:val="20"/>
              </w:rPr>
              <w:t>159</w:t>
            </w:r>
          </w:p>
        </w:tc>
      </w:tr>
      <w:tr w:rsidRPr="00610A44" w:rsidR="00C11958" w:rsidTr="0026583C" w14:paraId="0EF3DAE1" w14:textId="77777777">
        <w:trPr>
          <w:trHeight w:val="276"/>
        </w:trPr>
        <w:tc>
          <w:tcPr>
            <w:tcW w:w="1350" w:type="dxa"/>
            <w:tcBorders>
              <w:top w:val="nil"/>
              <w:left w:val="single" w:color="auto" w:sz="4" w:space="0"/>
              <w:bottom w:val="single" w:color="auto" w:sz="4" w:space="0"/>
              <w:right w:val="single" w:color="auto" w:sz="4" w:space="0"/>
            </w:tcBorders>
            <w:shd w:val="clear" w:color="auto" w:fill="auto"/>
            <w:vAlign w:val="center"/>
            <w:hideMark/>
          </w:tcPr>
          <w:p w:rsidRPr="00610A44" w:rsidR="00C11958" w:rsidP="0026583C" w:rsidRDefault="00C11958" w14:paraId="3C30010A" w14:textId="77777777">
            <w:pPr>
              <w:widowControl/>
              <w:autoSpaceDE/>
              <w:autoSpaceDN/>
              <w:adjustRightInd/>
              <w:jc w:val="center"/>
              <w:rPr>
                <w:rFonts w:ascii="Calibri" w:hAnsi="Calibri" w:cs="Calibri"/>
                <w:b/>
                <w:bCs/>
                <w:color w:val="000000"/>
                <w:sz w:val="20"/>
              </w:rPr>
            </w:pPr>
            <w:r w:rsidRPr="00610A44">
              <w:rPr>
                <w:rFonts w:ascii="Calibri" w:hAnsi="Calibri" w:cs="Calibri"/>
                <w:b/>
                <w:bCs/>
                <w:color w:val="000000"/>
                <w:sz w:val="20"/>
              </w:rPr>
              <w:t>Total</w:t>
            </w:r>
          </w:p>
        </w:tc>
        <w:tc>
          <w:tcPr>
            <w:tcW w:w="1456" w:type="dxa"/>
            <w:tcBorders>
              <w:top w:val="nil"/>
              <w:left w:val="nil"/>
              <w:bottom w:val="single" w:color="auto" w:sz="4" w:space="0"/>
              <w:right w:val="single" w:color="auto" w:sz="4" w:space="0"/>
            </w:tcBorders>
            <w:shd w:val="clear" w:color="000000" w:fill="F2F2F2"/>
            <w:vAlign w:val="center"/>
            <w:hideMark/>
          </w:tcPr>
          <w:p w:rsidRPr="00610A44" w:rsidR="00C11958" w:rsidP="0026583C" w:rsidRDefault="00C11958" w14:paraId="18A4BAE5" w14:textId="77777777">
            <w:pPr>
              <w:widowControl/>
              <w:autoSpaceDE/>
              <w:autoSpaceDN/>
              <w:adjustRightInd/>
              <w:jc w:val="center"/>
              <w:rPr>
                <w:rFonts w:ascii="Calibri" w:hAnsi="Calibri" w:cs="Calibri"/>
                <w:b/>
                <w:bCs/>
                <w:color w:val="000000"/>
                <w:sz w:val="20"/>
              </w:rPr>
            </w:pPr>
          </w:p>
        </w:tc>
        <w:tc>
          <w:tcPr>
            <w:tcW w:w="0" w:type="auto"/>
            <w:tcBorders>
              <w:top w:val="nil"/>
              <w:left w:val="nil"/>
              <w:bottom w:val="single" w:color="auto" w:sz="4" w:space="0"/>
              <w:right w:val="single" w:color="auto" w:sz="4" w:space="0"/>
            </w:tcBorders>
            <w:shd w:val="clear" w:color="000000" w:fill="F2F2F2"/>
            <w:vAlign w:val="center"/>
            <w:hideMark/>
          </w:tcPr>
          <w:p w:rsidRPr="00610A44" w:rsidR="00C11958" w:rsidP="0026583C" w:rsidRDefault="00C11958" w14:paraId="02A2AA01" w14:textId="77777777">
            <w:pPr>
              <w:widowControl/>
              <w:autoSpaceDE/>
              <w:autoSpaceDN/>
              <w:adjustRightInd/>
              <w:jc w:val="center"/>
              <w:rPr>
                <w:rFonts w:ascii="Calibri" w:hAnsi="Calibri" w:cs="Calibri"/>
                <w:b/>
                <w:bCs/>
                <w:color w:val="000000"/>
                <w:sz w:val="20"/>
              </w:rPr>
            </w:pPr>
            <w:r w:rsidRPr="00610A44">
              <w:rPr>
                <w:rFonts w:ascii="Calibri" w:hAnsi="Calibri" w:cs="Calibri"/>
                <w:b/>
                <w:bCs/>
                <w:color w:val="000000"/>
                <w:sz w:val="20"/>
              </w:rPr>
              <w:t> </w:t>
            </w:r>
          </w:p>
        </w:tc>
        <w:tc>
          <w:tcPr>
            <w:tcW w:w="0" w:type="auto"/>
            <w:tcBorders>
              <w:top w:val="nil"/>
              <w:left w:val="nil"/>
              <w:bottom w:val="single" w:color="auto" w:sz="4" w:space="0"/>
              <w:right w:val="single" w:color="auto" w:sz="4" w:space="0"/>
            </w:tcBorders>
            <w:shd w:val="clear" w:color="auto" w:fill="auto"/>
            <w:vAlign w:val="center"/>
            <w:hideMark/>
          </w:tcPr>
          <w:p w:rsidRPr="00610A44" w:rsidR="00C11958" w:rsidP="0026583C" w:rsidRDefault="00C11958" w14:paraId="35608E6E" w14:textId="77777777">
            <w:pPr>
              <w:widowControl/>
              <w:autoSpaceDE/>
              <w:autoSpaceDN/>
              <w:adjustRightInd/>
              <w:jc w:val="center"/>
              <w:rPr>
                <w:rFonts w:ascii="Calibri" w:hAnsi="Calibri" w:cs="Calibri"/>
                <w:b/>
                <w:bCs/>
                <w:color w:val="000000"/>
                <w:sz w:val="20"/>
              </w:rPr>
            </w:pPr>
            <w:r w:rsidRPr="00610A44">
              <w:rPr>
                <w:rFonts w:ascii="Calibri" w:hAnsi="Calibri" w:cs="Calibri"/>
                <w:b/>
                <w:bCs/>
                <w:color w:val="000000"/>
                <w:sz w:val="20"/>
              </w:rPr>
              <w:t>53</w:t>
            </w:r>
          </w:p>
        </w:tc>
        <w:tc>
          <w:tcPr>
            <w:tcW w:w="0" w:type="auto"/>
            <w:tcBorders>
              <w:top w:val="nil"/>
              <w:left w:val="nil"/>
              <w:bottom w:val="single" w:color="auto" w:sz="4" w:space="0"/>
              <w:right w:val="single" w:color="auto" w:sz="4" w:space="0"/>
            </w:tcBorders>
            <w:shd w:val="clear" w:color="auto" w:fill="auto"/>
            <w:vAlign w:val="center"/>
            <w:hideMark/>
          </w:tcPr>
          <w:p w:rsidRPr="00610A44" w:rsidR="00C11958" w:rsidP="0026583C" w:rsidRDefault="00C11958" w14:paraId="5444CFEE" w14:textId="77777777">
            <w:pPr>
              <w:widowControl/>
              <w:autoSpaceDE/>
              <w:autoSpaceDN/>
              <w:adjustRightInd/>
              <w:jc w:val="center"/>
              <w:rPr>
                <w:rFonts w:ascii="Calibri" w:hAnsi="Calibri" w:cs="Calibri"/>
                <w:b/>
                <w:bCs/>
                <w:color w:val="000000"/>
                <w:sz w:val="20"/>
              </w:rPr>
            </w:pPr>
            <w:r w:rsidRPr="00610A44">
              <w:rPr>
                <w:rFonts w:ascii="Calibri" w:hAnsi="Calibri" w:cs="Calibri"/>
                <w:b/>
                <w:bCs/>
                <w:color w:val="000000"/>
                <w:sz w:val="20"/>
              </w:rPr>
              <w:t>39</w:t>
            </w:r>
          </w:p>
        </w:tc>
        <w:tc>
          <w:tcPr>
            <w:tcW w:w="0" w:type="auto"/>
            <w:tcBorders>
              <w:top w:val="nil"/>
              <w:left w:val="nil"/>
              <w:bottom w:val="single" w:color="auto" w:sz="4" w:space="0"/>
              <w:right w:val="single" w:color="auto" w:sz="4" w:space="0"/>
            </w:tcBorders>
            <w:shd w:val="clear" w:color="auto" w:fill="auto"/>
            <w:vAlign w:val="center"/>
            <w:hideMark/>
          </w:tcPr>
          <w:p w:rsidRPr="00610A44" w:rsidR="00C11958" w:rsidP="0026583C" w:rsidRDefault="00C11958" w14:paraId="6EE9B041" w14:textId="77777777">
            <w:pPr>
              <w:widowControl/>
              <w:autoSpaceDE/>
              <w:autoSpaceDN/>
              <w:adjustRightInd/>
              <w:jc w:val="center"/>
              <w:rPr>
                <w:rFonts w:ascii="Calibri" w:hAnsi="Calibri" w:cs="Calibri"/>
                <w:b/>
                <w:bCs/>
                <w:color w:val="000000"/>
                <w:sz w:val="20"/>
              </w:rPr>
            </w:pPr>
            <w:r w:rsidRPr="00610A44">
              <w:rPr>
                <w:rFonts w:ascii="Calibri" w:hAnsi="Calibri" w:cs="Calibri"/>
                <w:b/>
                <w:bCs/>
                <w:color w:val="000000"/>
                <w:sz w:val="20"/>
              </w:rPr>
              <w:t>2,067</w:t>
            </w:r>
          </w:p>
        </w:tc>
        <w:tc>
          <w:tcPr>
            <w:tcW w:w="0" w:type="auto"/>
            <w:tcBorders>
              <w:top w:val="nil"/>
              <w:left w:val="nil"/>
              <w:bottom w:val="single" w:color="auto" w:sz="4" w:space="0"/>
              <w:right w:val="single" w:color="auto" w:sz="4" w:space="0"/>
            </w:tcBorders>
            <w:shd w:val="clear" w:color="auto" w:fill="auto"/>
            <w:vAlign w:val="center"/>
            <w:hideMark/>
          </w:tcPr>
          <w:p w:rsidRPr="00610A44" w:rsidR="00C11958" w:rsidP="0026583C" w:rsidRDefault="00C11958" w14:paraId="161BA2CE" w14:textId="77777777">
            <w:pPr>
              <w:widowControl/>
              <w:autoSpaceDE/>
              <w:autoSpaceDN/>
              <w:adjustRightInd/>
              <w:jc w:val="center"/>
              <w:rPr>
                <w:rFonts w:ascii="Calibri" w:hAnsi="Calibri" w:cs="Calibri"/>
                <w:b/>
                <w:bCs/>
                <w:color w:val="000000"/>
                <w:sz w:val="20"/>
              </w:rPr>
            </w:pPr>
            <w:r w:rsidRPr="00610A44">
              <w:rPr>
                <w:rFonts w:ascii="Calibri" w:hAnsi="Calibri" w:cs="Calibri"/>
                <w:b/>
                <w:bCs/>
                <w:color w:val="000000"/>
                <w:sz w:val="20"/>
              </w:rPr>
              <w:t>39</w:t>
            </w:r>
          </w:p>
        </w:tc>
        <w:tc>
          <w:tcPr>
            <w:tcW w:w="0" w:type="auto"/>
            <w:tcBorders>
              <w:top w:val="nil"/>
              <w:left w:val="nil"/>
              <w:bottom w:val="single" w:color="auto" w:sz="4" w:space="0"/>
              <w:right w:val="single" w:color="auto" w:sz="4" w:space="0"/>
            </w:tcBorders>
            <w:shd w:val="clear" w:color="auto" w:fill="auto"/>
            <w:vAlign w:val="center"/>
            <w:hideMark/>
          </w:tcPr>
          <w:p w:rsidRPr="00610A44" w:rsidR="00C11958" w:rsidP="0026583C" w:rsidRDefault="00C11958" w14:paraId="3D416F9C" w14:textId="77777777">
            <w:pPr>
              <w:widowControl/>
              <w:autoSpaceDE/>
              <w:autoSpaceDN/>
              <w:adjustRightInd/>
              <w:jc w:val="center"/>
              <w:rPr>
                <w:rFonts w:ascii="Calibri" w:hAnsi="Calibri" w:cs="Calibri"/>
                <w:b/>
                <w:bCs/>
                <w:color w:val="000000"/>
                <w:sz w:val="20"/>
              </w:rPr>
            </w:pPr>
            <w:r w:rsidRPr="00610A44">
              <w:rPr>
                <w:rFonts w:ascii="Calibri" w:hAnsi="Calibri" w:cs="Calibri"/>
                <w:b/>
                <w:bCs/>
                <w:color w:val="000000"/>
                <w:sz w:val="20"/>
              </w:rPr>
              <w:t>0.369230769</w:t>
            </w:r>
          </w:p>
        </w:tc>
        <w:tc>
          <w:tcPr>
            <w:tcW w:w="1109" w:type="dxa"/>
            <w:tcBorders>
              <w:top w:val="nil"/>
              <w:left w:val="nil"/>
              <w:bottom w:val="single" w:color="auto" w:sz="4" w:space="0"/>
              <w:right w:val="single" w:color="auto" w:sz="4" w:space="0"/>
            </w:tcBorders>
            <w:shd w:val="clear" w:color="auto" w:fill="auto"/>
            <w:vAlign w:val="center"/>
            <w:hideMark/>
          </w:tcPr>
          <w:p w:rsidRPr="00610A44" w:rsidR="00C11958" w:rsidP="0026583C" w:rsidRDefault="00C11958" w14:paraId="1263850C" w14:textId="77777777">
            <w:pPr>
              <w:widowControl/>
              <w:autoSpaceDE/>
              <w:autoSpaceDN/>
              <w:adjustRightInd/>
              <w:jc w:val="center"/>
              <w:rPr>
                <w:rFonts w:ascii="Calibri" w:hAnsi="Calibri" w:cs="Calibri"/>
                <w:b/>
                <w:bCs/>
                <w:color w:val="000000"/>
                <w:sz w:val="20"/>
              </w:rPr>
            </w:pPr>
            <w:r w:rsidRPr="00610A44">
              <w:rPr>
                <w:rFonts w:ascii="Calibri" w:hAnsi="Calibri" w:cs="Calibri"/>
                <w:b/>
                <w:bCs/>
                <w:color w:val="000000"/>
                <w:sz w:val="20"/>
              </w:rPr>
              <w:t>763</w:t>
            </w:r>
          </w:p>
        </w:tc>
      </w:tr>
    </w:tbl>
    <w:p w:rsidR="00893FBD" w:rsidP="00ED28F2" w:rsidRDefault="00893FBD" w14:paraId="61FFD110" w14:textId="77777777">
      <w:pPr>
        <w:tabs>
          <w:tab w:val="left" w:pos="-720"/>
        </w:tabs>
        <w:suppressAutoHyphens/>
        <w:spacing w:line="480" w:lineRule="auto"/>
        <w:rPr>
          <w:rFonts w:asciiTheme="minorHAnsi" w:hAnsiTheme="minorHAnsi" w:cstheme="minorHAnsi"/>
          <w:szCs w:val="24"/>
        </w:rPr>
      </w:pPr>
    </w:p>
    <w:p w:rsidRPr="00FC1110" w:rsidR="00E442C5" w:rsidP="00ED28F2" w:rsidRDefault="00E442C5" w14:paraId="4EB74AD7" w14:textId="77777777">
      <w:pPr>
        <w:tabs>
          <w:tab w:val="left" w:pos="-720"/>
        </w:tabs>
        <w:suppressAutoHyphens/>
        <w:spacing w:line="480" w:lineRule="auto"/>
        <w:rPr>
          <w:rFonts w:asciiTheme="minorHAnsi" w:hAnsiTheme="minorHAnsi" w:cstheme="minorHAnsi"/>
          <w:szCs w:val="24"/>
        </w:rPr>
      </w:pPr>
    </w:p>
    <w:p w:rsidRPr="00FC1110" w:rsidR="0062567E" w:rsidP="000438E8" w:rsidRDefault="00FD71D3" w14:paraId="7210D38C" w14:textId="77777777">
      <w:pPr>
        <w:tabs>
          <w:tab w:val="left" w:pos="0"/>
        </w:tabs>
        <w:suppressAutoHyphens/>
        <w:rPr>
          <w:rFonts w:asciiTheme="minorHAnsi" w:hAnsiTheme="minorHAnsi" w:cstheme="minorHAnsi"/>
          <w:b/>
          <w:szCs w:val="24"/>
        </w:rPr>
      </w:pPr>
      <w:r w:rsidRPr="00FC1110">
        <w:rPr>
          <w:rFonts w:asciiTheme="minorHAnsi" w:hAnsiTheme="minorHAnsi" w:cstheme="minorHAnsi"/>
          <w:b/>
          <w:szCs w:val="24"/>
        </w:rPr>
        <w:t>B.</w:t>
      </w:r>
      <w:r w:rsidRPr="00FC1110">
        <w:rPr>
          <w:rFonts w:asciiTheme="minorHAnsi" w:hAnsiTheme="minorHAnsi" w:cstheme="minorHAnsi"/>
          <w:b/>
          <w:szCs w:val="24"/>
        </w:rPr>
        <w:tab/>
        <w:t>Provide estimates of annualized cost to respondents for the hour burdens for collections of information, identifying and using appropriate wage rate categories.</w:t>
      </w:r>
    </w:p>
    <w:p w:rsidRPr="00FC1110" w:rsidR="00A308DB" w:rsidP="000438E8" w:rsidRDefault="00A308DB" w14:paraId="0A909CAC" w14:textId="77777777">
      <w:pPr>
        <w:tabs>
          <w:tab w:val="left" w:pos="0"/>
        </w:tabs>
        <w:suppressAutoHyphens/>
        <w:rPr>
          <w:rFonts w:asciiTheme="minorHAnsi" w:hAnsiTheme="minorHAnsi" w:cstheme="minorHAnsi"/>
          <w:b/>
          <w:szCs w:val="24"/>
        </w:rPr>
      </w:pPr>
    </w:p>
    <w:tbl>
      <w:tblPr>
        <w:tblW w:w="10705" w:type="dxa"/>
        <w:tblInd w:w="-275" w:type="dxa"/>
        <w:tblLook w:val="04A0" w:firstRow="1" w:lastRow="0" w:firstColumn="1" w:lastColumn="0" w:noHBand="0" w:noVBand="1"/>
      </w:tblPr>
      <w:tblGrid>
        <w:gridCol w:w="1216"/>
        <w:gridCol w:w="2375"/>
        <w:gridCol w:w="1167"/>
        <w:gridCol w:w="982"/>
        <w:gridCol w:w="1885"/>
        <w:gridCol w:w="1520"/>
        <w:gridCol w:w="1560"/>
      </w:tblGrid>
      <w:tr w:rsidRPr="004F38AA" w:rsidR="00F2066E" w:rsidTr="00235988" w14:paraId="5710F7D5" w14:textId="77777777">
        <w:trPr>
          <w:trHeight w:val="999"/>
        </w:trPr>
        <w:tc>
          <w:tcPr>
            <w:tcW w:w="121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F38AA" w:rsidR="00F2066E" w:rsidP="00F2066E" w:rsidRDefault="00F2066E" w14:paraId="732FABD8" w14:textId="77777777">
            <w:pPr>
              <w:widowControl/>
              <w:overflowPunct/>
              <w:autoSpaceDE/>
              <w:autoSpaceDN/>
              <w:adjustRightInd/>
              <w:jc w:val="center"/>
              <w:textAlignment w:val="auto"/>
              <w:rPr>
                <w:rFonts w:ascii="Calibri" w:hAnsi="Calibri" w:cs="Calibri"/>
                <w:b/>
                <w:bCs/>
                <w:color w:val="000000"/>
                <w:sz w:val="20"/>
              </w:rPr>
            </w:pPr>
            <w:r w:rsidRPr="004F38AA">
              <w:rPr>
                <w:rFonts w:ascii="Calibri" w:hAnsi="Calibri" w:cs="Calibri"/>
                <w:b/>
                <w:bCs/>
                <w:color w:val="000000"/>
                <w:sz w:val="20"/>
              </w:rPr>
              <w:t>Respondent Category</w:t>
            </w:r>
          </w:p>
        </w:tc>
        <w:tc>
          <w:tcPr>
            <w:tcW w:w="2375" w:type="dxa"/>
            <w:tcBorders>
              <w:top w:val="single" w:color="auto" w:sz="4" w:space="0"/>
              <w:left w:val="nil"/>
              <w:bottom w:val="single" w:color="auto" w:sz="4" w:space="0"/>
              <w:right w:val="single" w:color="auto" w:sz="4" w:space="0"/>
            </w:tcBorders>
            <w:shd w:val="clear" w:color="auto" w:fill="auto"/>
            <w:vAlign w:val="center"/>
            <w:hideMark/>
          </w:tcPr>
          <w:p w:rsidRPr="004F38AA" w:rsidR="00F2066E" w:rsidP="00F2066E" w:rsidRDefault="00F2066E" w14:paraId="06E07270" w14:textId="77777777">
            <w:pPr>
              <w:widowControl/>
              <w:overflowPunct/>
              <w:autoSpaceDE/>
              <w:autoSpaceDN/>
              <w:adjustRightInd/>
              <w:jc w:val="center"/>
              <w:textAlignment w:val="auto"/>
              <w:rPr>
                <w:rFonts w:ascii="Calibri" w:hAnsi="Calibri" w:cs="Calibri"/>
                <w:b/>
                <w:bCs/>
                <w:color w:val="000000"/>
                <w:sz w:val="20"/>
              </w:rPr>
            </w:pPr>
            <w:r w:rsidRPr="004F38AA">
              <w:rPr>
                <w:rFonts w:ascii="Calibri" w:hAnsi="Calibri" w:cs="Calibri"/>
                <w:b/>
                <w:bCs/>
                <w:color w:val="000000"/>
                <w:sz w:val="20"/>
              </w:rPr>
              <w:t>Instruments</w:t>
            </w:r>
          </w:p>
        </w:tc>
        <w:tc>
          <w:tcPr>
            <w:tcW w:w="1167" w:type="dxa"/>
            <w:tcBorders>
              <w:top w:val="single" w:color="auto" w:sz="4" w:space="0"/>
              <w:left w:val="nil"/>
              <w:bottom w:val="single" w:color="auto" w:sz="4" w:space="0"/>
              <w:right w:val="single" w:color="auto" w:sz="4" w:space="0"/>
            </w:tcBorders>
            <w:shd w:val="clear" w:color="auto" w:fill="auto"/>
            <w:vAlign w:val="center"/>
            <w:hideMark/>
          </w:tcPr>
          <w:p w:rsidRPr="004F38AA" w:rsidR="00F2066E" w:rsidP="00F2066E" w:rsidRDefault="00F2066E" w14:paraId="6B92E02B" w14:textId="77777777">
            <w:pPr>
              <w:widowControl/>
              <w:overflowPunct/>
              <w:autoSpaceDE/>
              <w:autoSpaceDN/>
              <w:adjustRightInd/>
              <w:jc w:val="center"/>
              <w:textAlignment w:val="auto"/>
              <w:rPr>
                <w:rFonts w:ascii="Calibri" w:hAnsi="Calibri" w:cs="Calibri"/>
                <w:b/>
                <w:bCs/>
                <w:color w:val="000000"/>
                <w:sz w:val="20"/>
              </w:rPr>
            </w:pPr>
            <w:r w:rsidRPr="004F38AA">
              <w:rPr>
                <w:rFonts w:ascii="Calibri" w:hAnsi="Calibri" w:cs="Calibri"/>
                <w:b/>
                <w:bCs/>
                <w:color w:val="000000"/>
                <w:sz w:val="20"/>
              </w:rPr>
              <w:t>Form</w:t>
            </w:r>
          </w:p>
        </w:tc>
        <w:tc>
          <w:tcPr>
            <w:tcW w:w="982" w:type="dxa"/>
            <w:tcBorders>
              <w:top w:val="single" w:color="auto" w:sz="4" w:space="0"/>
              <w:left w:val="nil"/>
              <w:bottom w:val="single" w:color="auto" w:sz="4" w:space="0"/>
              <w:right w:val="single" w:color="auto" w:sz="4" w:space="0"/>
            </w:tcBorders>
            <w:shd w:val="clear" w:color="auto" w:fill="auto"/>
            <w:vAlign w:val="center"/>
            <w:hideMark/>
          </w:tcPr>
          <w:p w:rsidRPr="004F38AA" w:rsidR="00F2066E" w:rsidP="00F2066E" w:rsidRDefault="00F2066E" w14:paraId="2E1194EF" w14:textId="77777777">
            <w:pPr>
              <w:widowControl/>
              <w:overflowPunct/>
              <w:autoSpaceDE/>
              <w:autoSpaceDN/>
              <w:adjustRightInd/>
              <w:jc w:val="center"/>
              <w:textAlignment w:val="auto"/>
              <w:rPr>
                <w:rFonts w:ascii="Calibri" w:hAnsi="Calibri" w:cs="Calibri"/>
                <w:b/>
                <w:bCs/>
                <w:color w:val="000000"/>
                <w:sz w:val="20"/>
              </w:rPr>
            </w:pPr>
            <w:r w:rsidRPr="004F38AA">
              <w:rPr>
                <w:rFonts w:ascii="Calibri" w:hAnsi="Calibri" w:cs="Calibri"/>
                <w:b/>
                <w:bCs/>
                <w:color w:val="000000"/>
                <w:sz w:val="20"/>
              </w:rPr>
              <w:t>Annual burden (hours)</w:t>
            </w:r>
          </w:p>
        </w:tc>
        <w:tc>
          <w:tcPr>
            <w:tcW w:w="18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F38AA" w:rsidR="00F2066E" w:rsidP="00F2066E" w:rsidRDefault="00F2066E" w14:paraId="738B582F" w14:textId="7EB1DBB6">
            <w:pPr>
              <w:widowControl/>
              <w:overflowPunct/>
              <w:autoSpaceDE/>
              <w:autoSpaceDN/>
              <w:adjustRightInd/>
              <w:jc w:val="center"/>
              <w:textAlignment w:val="auto"/>
              <w:rPr>
                <w:rFonts w:ascii="Calibri" w:hAnsi="Calibri" w:cs="Calibri"/>
                <w:b/>
                <w:bCs/>
                <w:color w:val="000000"/>
                <w:sz w:val="20"/>
              </w:rPr>
            </w:pPr>
            <w:r>
              <w:rPr>
                <w:rFonts w:ascii="Calibri" w:hAnsi="Calibri" w:cs="Calibri"/>
                <w:b/>
                <w:bCs/>
                <w:color w:val="000000"/>
                <w:sz w:val="20"/>
              </w:rPr>
              <w:t>Hourly Wage</w:t>
            </w:r>
          </w:p>
        </w:tc>
        <w:tc>
          <w:tcPr>
            <w:tcW w:w="1520" w:type="dxa"/>
            <w:tcBorders>
              <w:top w:val="single" w:color="auto" w:sz="4" w:space="0"/>
              <w:left w:val="nil"/>
              <w:bottom w:val="single" w:color="auto" w:sz="4" w:space="0"/>
              <w:right w:val="single" w:color="auto" w:sz="4" w:space="0"/>
            </w:tcBorders>
            <w:shd w:val="clear" w:color="auto" w:fill="auto"/>
            <w:vAlign w:val="center"/>
            <w:hideMark/>
          </w:tcPr>
          <w:p w:rsidRPr="004F38AA" w:rsidR="00F2066E" w:rsidP="00F2066E" w:rsidRDefault="00F2066E" w14:paraId="43C2E83A" w14:textId="1F084CD5">
            <w:pPr>
              <w:widowControl/>
              <w:overflowPunct/>
              <w:autoSpaceDE/>
              <w:autoSpaceDN/>
              <w:adjustRightInd/>
              <w:jc w:val="center"/>
              <w:textAlignment w:val="auto"/>
              <w:rPr>
                <w:rFonts w:ascii="Calibri" w:hAnsi="Calibri" w:cs="Calibri"/>
                <w:b/>
                <w:bCs/>
                <w:color w:val="000000"/>
                <w:sz w:val="20"/>
              </w:rPr>
            </w:pPr>
            <w:r>
              <w:rPr>
                <w:rFonts w:ascii="Calibri" w:hAnsi="Calibri" w:cs="Calibri"/>
                <w:b/>
                <w:bCs/>
                <w:color w:val="000000"/>
                <w:sz w:val="20"/>
              </w:rPr>
              <w:t>Cost to Respondents</w:t>
            </w:r>
          </w:p>
        </w:tc>
        <w:tc>
          <w:tcPr>
            <w:tcW w:w="1560" w:type="dxa"/>
            <w:tcBorders>
              <w:top w:val="single" w:color="auto" w:sz="4" w:space="0"/>
              <w:left w:val="nil"/>
              <w:bottom w:val="single" w:color="auto" w:sz="4" w:space="0"/>
              <w:right w:val="single" w:color="auto" w:sz="4" w:space="0"/>
            </w:tcBorders>
            <w:shd w:val="clear" w:color="auto" w:fill="auto"/>
            <w:vAlign w:val="center"/>
            <w:hideMark/>
          </w:tcPr>
          <w:p w:rsidRPr="008B03A9" w:rsidR="00F2066E" w:rsidP="00F2066E" w:rsidRDefault="00F2066E" w14:paraId="2753DB4E" w14:textId="64AA2851">
            <w:pPr>
              <w:widowControl/>
              <w:overflowPunct/>
              <w:autoSpaceDE/>
              <w:autoSpaceDN/>
              <w:adjustRightInd/>
              <w:jc w:val="center"/>
              <w:textAlignment w:val="auto"/>
              <w:rPr>
                <w:rFonts w:ascii="Calibri" w:hAnsi="Calibri" w:cs="Calibri"/>
                <w:b/>
                <w:bCs/>
                <w:color w:val="000000"/>
                <w:sz w:val="20"/>
                <w:highlight w:val="yellow"/>
              </w:rPr>
            </w:pPr>
            <w:r w:rsidRPr="004E6476">
              <w:rPr>
                <w:rFonts w:ascii="Calibri" w:hAnsi="Calibri" w:cs="Calibri"/>
                <w:b/>
                <w:bCs/>
                <w:color w:val="000000"/>
                <w:sz w:val="20"/>
              </w:rPr>
              <w:t>Fully Loaded</w:t>
            </w:r>
            <w:r w:rsidRPr="004E6476" w:rsidR="008B03A9">
              <w:rPr>
                <w:rFonts w:ascii="Calibri" w:hAnsi="Calibri" w:cs="Calibri"/>
                <w:b/>
                <w:bCs/>
                <w:color w:val="000000"/>
                <w:sz w:val="20"/>
              </w:rPr>
              <w:t xml:space="preserve"> (x .33)</w:t>
            </w:r>
          </w:p>
        </w:tc>
      </w:tr>
      <w:tr w:rsidRPr="004F38AA" w:rsidR="00F2066E" w:rsidTr="00235988" w14:paraId="480D1404" w14:textId="77777777">
        <w:trPr>
          <w:trHeight w:val="888"/>
        </w:trPr>
        <w:tc>
          <w:tcPr>
            <w:tcW w:w="1216" w:type="dxa"/>
            <w:vMerge w:val="restart"/>
            <w:tcBorders>
              <w:top w:val="nil"/>
              <w:left w:val="single" w:color="auto" w:sz="4" w:space="0"/>
              <w:bottom w:val="single" w:color="000000" w:sz="4" w:space="0"/>
              <w:right w:val="single" w:color="auto" w:sz="4" w:space="0"/>
            </w:tcBorders>
            <w:shd w:val="clear" w:color="auto" w:fill="auto"/>
            <w:vAlign w:val="center"/>
            <w:hideMark/>
          </w:tcPr>
          <w:p w:rsidRPr="004F38AA" w:rsidR="00F2066E" w:rsidP="00F2066E" w:rsidRDefault="00F2066E" w14:paraId="41007E92" w14:textId="77777777">
            <w:pPr>
              <w:widowControl/>
              <w:overflowPunct/>
              <w:autoSpaceDE/>
              <w:autoSpaceDN/>
              <w:adjustRightInd/>
              <w:jc w:val="center"/>
              <w:textAlignment w:val="auto"/>
              <w:rPr>
                <w:rFonts w:ascii="Calibri" w:hAnsi="Calibri" w:cs="Calibri"/>
                <w:color w:val="000000"/>
                <w:sz w:val="20"/>
              </w:rPr>
            </w:pPr>
            <w:r w:rsidRPr="004F38AA">
              <w:rPr>
                <w:rFonts w:ascii="Calibri" w:hAnsi="Calibri" w:cs="Calibri"/>
                <w:color w:val="000000"/>
                <w:sz w:val="20"/>
              </w:rPr>
              <w:t>State Agencies</w:t>
            </w:r>
          </w:p>
        </w:tc>
        <w:tc>
          <w:tcPr>
            <w:tcW w:w="2375" w:type="dxa"/>
            <w:tcBorders>
              <w:top w:val="nil"/>
              <w:left w:val="nil"/>
              <w:bottom w:val="nil"/>
              <w:right w:val="single" w:color="auto" w:sz="4" w:space="0"/>
            </w:tcBorders>
            <w:shd w:val="clear" w:color="auto" w:fill="auto"/>
            <w:vAlign w:val="center"/>
            <w:hideMark/>
          </w:tcPr>
          <w:p w:rsidRPr="004F38AA" w:rsidR="00F2066E" w:rsidP="00F2066E" w:rsidRDefault="00F2066E" w14:paraId="4B0478DC" w14:textId="77777777">
            <w:pPr>
              <w:widowControl/>
              <w:overflowPunct/>
              <w:autoSpaceDE/>
              <w:autoSpaceDN/>
              <w:adjustRightInd/>
              <w:textAlignment w:val="auto"/>
              <w:rPr>
                <w:rFonts w:ascii="Calibri" w:hAnsi="Calibri" w:cs="Calibri"/>
                <w:color w:val="000000"/>
                <w:sz w:val="20"/>
              </w:rPr>
            </w:pPr>
            <w:r w:rsidRPr="004F38AA">
              <w:rPr>
                <w:rFonts w:ascii="Calibri" w:hAnsi="Calibri" w:cs="Calibri"/>
                <w:color w:val="000000"/>
                <w:sz w:val="20"/>
              </w:rPr>
              <w:t>Bi-weekly EA Reporting to FNS</w:t>
            </w:r>
          </w:p>
        </w:tc>
        <w:tc>
          <w:tcPr>
            <w:tcW w:w="1167" w:type="dxa"/>
            <w:tcBorders>
              <w:top w:val="nil"/>
              <w:left w:val="nil"/>
              <w:bottom w:val="single" w:color="auto" w:sz="4" w:space="0"/>
              <w:right w:val="single" w:color="auto" w:sz="4" w:space="0"/>
            </w:tcBorders>
            <w:shd w:val="clear" w:color="auto" w:fill="auto"/>
            <w:vAlign w:val="center"/>
            <w:hideMark/>
          </w:tcPr>
          <w:p w:rsidRPr="004F38AA" w:rsidR="00F2066E" w:rsidP="00F2066E" w:rsidRDefault="00F2066E" w14:paraId="059D7740" w14:textId="77777777">
            <w:pPr>
              <w:widowControl/>
              <w:overflowPunct/>
              <w:autoSpaceDE/>
              <w:autoSpaceDN/>
              <w:adjustRightInd/>
              <w:jc w:val="center"/>
              <w:textAlignment w:val="auto"/>
              <w:rPr>
                <w:rFonts w:ascii="Calibri" w:hAnsi="Calibri" w:cs="Calibri"/>
                <w:color w:val="000000"/>
                <w:sz w:val="20"/>
              </w:rPr>
            </w:pPr>
            <w:r w:rsidRPr="004F38AA">
              <w:rPr>
                <w:rFonts w:ascii="Calibri" w:hAnsi="Calibri" w:cs="Calibri"/>
                <w:color w:val="000000"/>
                <w:sz w:val="20"/>
              </w:rPr>
              <w:t>FNS-292B*</w:t>
            </w:r>
          </w:p>
        </w:tc>
        <w:tc>
          <w:tcPr>
            <w:tcW w:w="982" w:type="dxa"/>
            <w:tcBorders>
              <w:top w:val="nil"/>
              <w:left w:val="nil"/>
              <w:bottom w:val="single" w:color="auto" w:sz="4" w:space="0"/>
              <w:right w:val="single" w:color="auto" w:sz="4" w:space="0"/>
            </w:tcBorders>
            <w:shd w:val="clear" w:color="auto" w:fill="auto"/>
            <w:vAlign w:val="center"/>
            <w:hideMark/>
          </w:tcPr>
          <w:p w:rsidRPr="004F38AA" w:rsidR="00F2066E" w:rsidP="00F2066E" w:rsidRDefault="00F2066E" w14:paraId="7F06E816" w14:textId="77777777">
            <w:pPr>
              <w:widowControl/>
              <w:overflowPunct/>
              <w:autoSpaceDE/>
              <w:autoSpaceDN/>
              <w:adjustRightInd/>
              <w:jc w:val="center"/>
              <w:textAlignment w:val="auto"/>
              <w:rPr>
                <w:rFonts w:ascii="Calibri" w:hAnsi="Calibri" w:cs="Calibri"/>
                <w:color w:val="000000"/>
                <w:sz w:val="20"/>
              </w:rPr>
            </w:pPr>
            <w:r w:rsidRPr="004F38AA">
              <w:rPr>
                <w:rFonts w:ascii="Calibri" w:hAnsi="Calibri" w:cs="Calibri"/>
                <w:color w:val="000000"/>
                <w:sz w:val="20"/>
              </w:rPr>
              <w:t>551.20</w:t>
            </w:r>
          </w:p>
        </w:tc>
        <w:tc>
          <w:tcPr>
            <w:tcW w:w="1885" w:type="dxa"/>
            <w:tcBorders>
              <w:top w:val="nil"/>
              <w:left w:val="single" w:color="auto" w:sz="4" w:space="0"/>
              <w:bottom w:val="single" w:color="auto" w:sz="4" w:space="0"/>
              <w:right w:val="single" w:color="auto" w:sz="4" w:space="0"/>
            </w:tcBorders>
            <w:shd w:val="clear" w:color="auto" w:fill="auto"/>
            <w:noWrap/>
            <w:vAlign w:val="bottom"/>
            <w:hideMark/>
          </w:tcPr>
          <w:p w:rsidRPr="004F38AA" w:rsidR="00F2066E" w:rsidP="00F2066E" w:rsidRDefault="00F2066E" w14:paraId="47029DA3" w14:textId="3F9F9314">
            <w:pPr>
              <w:widowControl/>
              <w:overflowPunct/>
              <w:autoSpaceDE/>
              <w:autoSpaceDN/>
              <w:adjustRightInd/>
              <w:jc w:val="center"/>
              <w:textAlignment w:val="auto"/>
              <w:rPr>
                <w:rFonts w:ascii="Calibri" w:hAnsi="Calibri" w:cs="Calibri"/>
                <w:color w:val="000000"/>
                <w:sz w:val="20"/>
              </w:rPr>
            </w:pPr>
            <w:r>
              <w:rPr>
                <w:rFonts w:ascii="Calibri" w:hAnsi="Calibri" w:cs="Calibri"/>
                <w:color w:val="000000"/>
                <w:sz w:val="20"/>
              </w:rPr>
              <w:t>$23.26</w:t>
            </w:r>
          </w:p>
        </w:tc>
        <w:tc>
          <w:tcPr>
            <w:tcW w:w="1520" w:type="dxa"/>
            <w:tcBorders>
              <w:top w:val="nil"/>
              <w:left w:val="nil"/>
              <w:bottom w:val="single" w:color="auto" w:sz="4" w:space="0"/>
              <w:right w:val="single" w:color="auto" w:sz="4" w:space="0"/>
            </w:tcBorders>
            <w:shd w:val="clear" w:color="auto" w:fill="auto"/>
            <w:noWrap/>
            <w:vAlign w:val="bottom"/>
            <w:hideMark/>
          </w:tcPr>
          <w:p w:rsidRPr="004F38AA" w:rsidR="00F2066E" w:rsidP="00F2066E" w:rsidRDefault="00F2066E" w14:paraId="4A66439E" w14:textId="37F19EFA">
            <w:pPr>
              <w:widowControl/>
              <w:overflowPunct/>
              <w:autoSpaceDE/>
              <w:autoSpaceDN/>
              <w:adjustRightInd/>
              <w:jc w:val="center"/>
              <w:textAlignment w:val="auto"/>
              <w:rPr>
                <w:rFonts w:ascii="Calibri" w:hAnsi="Calibri" w:cs="Calibri"/>
                <w:color w:val="000000"/>
                <w:sz w:val="20"/>
              </w:rPr>
            </w:pPr>
            <w:r>
              <w:rPr>
                <w:rFonts w:ascii="Calibri" w:hAnsi="Calibri" w:cs="Calibri"/>
                <w:color w:val="000000"/>
                <w:sz w:val="20"/>
              </w:rPr>
              <w:t>$12,820.91</w:t>
            </w:r>
          </w:p>
        </w:tc>
        <w:tc>
          <w:tcPr>
            <w:tcW w:w="1560" w:type="dxa"/>
            <w:tcBorders>
              <w:top w:val="nil"/>
              <w:left w:val="nil"/>
              <w:bottom w:val="single" w:color="auto" w:sz="4" w:space="0"/>
              <w:right w:val="single" w:color="auto" w:sz="4" w:space="0"/>
            </w:tcBorders>
            <w:shd w:val="clear" w:color="auto" w:fill="auto"/>
            <w:noWrap/>
            <w:vAlign w:val="bottom"/>
            <w:hideMark/>
          </w:tcPr>
          <w:p w:rsidRPr="008B03A9" w:rsidR="00F2066E" w:rsidP="00F2066E" w:rsidRDefault="00F2066E" w14:paraId="503CD03A" w14:textId="23916F9D">
            <w:pPr>
              <w:widowControl/>
              <w:overflowPunct/>
              <w:autoSpaceDE/>
              <w:autoSpaceDN/>
              <w:adjustRightInd/>
              <w:jc w:val="center"/>
              <w:textAlignment w:val="auto"/>
              <w:rPr>
                <w:rFonts w:ascii="Calibri" w:hAnsi="Calibri" w:cs="Calibri"/>
                <w:color w:val="000000"/>
                <w:sz w:val="20"/>
                <w:highlight w:val="yellow"/>
              </w:rPr>
            </w:pPr>
            <w:r w:rsidRPr="004E6476">
              <w:rPr>
                <w:rFonts w:ascii="Calibri" w:hAnsi="Calibri" w:cs="Calibri"/>
                <w:color w:val="000000"/>
                <w:sz w:val="20"/>
              </w:rPr>
              <w:t>$17,051.81</w:t>
            </w:r>
          </w:p>
        </w:tc>
      </w:tr>
      <w:tr w:rsidRPr="004F38AA" w:rsidR="00F2066E" w:rsidTr="00235988" w14:paraId="7F6C742A" w14:textId="77777777">
        <w:trPr>
          <w:trHeight w:val="888"/>
        </w:trPr>
        <w:tc>
          <w:tcPr>
            <w:tcW w:w="1216" w:type="dxa"/>
            <w:vMerge/>
            <w:tcBorders>
              <w:top w:val="nil"/>
              <w:left w:val="single" w:color="auto" w:sz="4" w:space="0"/>
              <w:bottom w:val="single" w:color="000000" w:sz="4" w:space="0"/>
              <w:right w:val="single" w:color="auto" w:sz="4" w:space="0"/>
            </w:tcBorders>
            <w:vAlign w:val="center"/>
            <w:hideMark/>
          </w:tcPr>
          <w:p w:rsidRPr="004F38AA" w:rsidR="00F2066E" w:rsidP="00F2066E" w:rsidRDefault="00F2066E" w14:paraId="38C5BA37" w14:textId="77777777">
            <w:pPr>
              <w:widowControl/>
              <w:overflowPunct/>
              <w:autoSpaceDE/>
              <w:autoSpaceDN/>
              <w:adjustRightInd/>
              <w:textAlignment w:val="auto"/>
              <w:rPr>
                <w:rFonts w:ascii="Calibri" w:hAnsi="Calibri" w:cs="Calibri"/>
                <w:color w:val="000000"/>
                <w:sz w:val="20"/>
              </w:rPr>
            </w:pPr>
          </w:p>
        </w:tc>
        <w:tc>
          <w:tcPr>
            <w:tcW w:w="2375" w:type="dxa"/>
            <w:tcBorders>
              <w:top w:val="single" w:color="auto" w:sz="4" w:space="0"/>
              <w:left w:val="nil"/>
              <w:bottom w:val="single" w:color="auto" w:sz="4" w:space="0"/>
              <w:right w:val="single" w:color="auto" w:sz="4" w:space="0"/>
            </w:tcBorders>
            <w:shd w:val="clear" w:color="auto" w:fill="auto"/>
            <w:vAlign w:val="center"/>
            <w:hideMark/>
          </w:tcPr>
          <w:p w:rsidRPr="004F38AA" w:rsidR="00F2066E" w:rsidP="00F2066E" w:rsidRDefault="00F2066E" w14:paraId="1485A4E1" w14:textId="77777777">
            <w:pPr>
              <w:widowControl/>
              <w:overflowPunct/>
              <w:autoSpaceDE/>
              <w:autoSpaceDN/>
              <w:adjustRightInd/>
              <w:jc w:val="center"/>
              <w:textAlignment w:val="auto"/>
              <w:rPr>
                <w:rFonts w:ascii="Calibri" w:hAnsi="Calibri" w:cs="Calibri"/>
                <w:color w:val="000000"/>
                <w:sz w:val="20"/>
              </w:rPr>
            </w:pPr>
            <w:r w:rsidRPr="004F38AA">
              <w:rPr>
                <w:rFonts w:ascii="Calibri" w:hAnsi="Calibri" w:cs="Calibri"/>
                <w:color w:val="000000"/>
                <w:sz w:val="20"/>
              </w:rPr>
              <w:t xml:space="preserve"> Initial Waiver Request - Emergency Allotment</w:t>
            </w:r>
          </w:p>
        </w:tc>
        <w:tc>
          <w:tcPr>
            <w:tcW w:w="1167" w:type="dxa"/>
            <w:tcBorders>
              <w:top w:val="nil"/>
              <w:left w:val="nil"/>
              <w:bottom w:val="single" w:color="auto" w:sz="4" w:space="0"/>
              <w:right w:val="single" w:color="auto" w:sz="4" w:space="0"/>
            </w:tcBorders>
            <w:shd w:val="clear" w:color="auto" w:fill="auto"/>
            <w:vAlign w:val="center"/>
            <w:hideMark/>
          </w:tcPr>
          <w:p w:rsidRPr="004F38AA" w:rsidR="00F2066E" w:rsidP="00F2066E" w:rsidRDefault="00F2066E" w14:paraId="6612F77F" w14:textId="77777777">
            <w:pPr>
              <w:widowControl/>
              <w:overflowPunct/>
              <w:autoSpaceDE/>
              <w:autoSpaceDN/>
              <w:adjustRightInd/>
              <w:jc w:val="center"/>
              <w:textAlignment w:val="auto"/>
              <w:rPr>
                <w:rFonts w:ascii="Calibri" w:hAnsi="Calibri" w:cs="Calibri"/>
                <w:color w:val="000000"/>
                <w:sz w:val="20"/>
              </w:rPr>
            </w:pPr>
            <w:r w:rsidRPr="004F38AA">
              <w:rPr>
                <w:rFonts w:ascii="Calibri" w:hAnsi="Calibri" w:cs="Calibri"/>
                <w:color w:val="000000"/>
                <w:sz w:val="20"/>
              </w:rPr>
              <w:t>N/A</w:t>
            </w:r>
          </w:p>
        </w:tc>
        <w:tc>
          <w:tcPr>
            <w:tcW w:w="982" w:type="dxa"/>
            <w:tcBorders>
              <w:top w:val="nil"/>
              <w:left w:val="nil"/>
              <w:bottom w:val="single" w:color="auto" w:sz="4" w:space="0"/>
              <w:right w:val="single" w:color="auto" w:sz="4" w:space="0"/>
            </w:tcBorders>
            <w:shd w:val="clear" w:color="auto" w:fill="auto"/>
            <w:vAlign w:val="center"/>
            <w:hideMark/>
          </w:tcPr>
          <w:p w:rsidRPr="004F38AA" w:rsidR="00F2066E" w:rsidP="00F2066E" w:rsidRDefault="00F2066E" w14:paraId="187B62FE" w14:textId="77777777">
            <w:pPr>
              <w:widowControl/>
              <w:overflowPunct/>
              <w:autoSpaceDE/>
              <w:autoSpaceDN/>
              <w:adjustRightInd/>
              <w:jc w:val="center"/>
              <w:textAlignment w:val="auto"/>
              <w:rPr>
                <w:rFonts w:ascii="Calibri" w:hAnsi="Calibri" w:cs="Calibri"/>
                <w:color w:val="000000"/>
                <w:sz w:val="20"/>
              </w:rPr>
            </w:pPr>
            <w:r w:rsidRPr="004F38AA">
              <w:rPr>
                <w:rFonts w:ascii="Calibri" w:hAnsi="Calibri" w:cs="Calibri"/>
                <w:color w:val="000000"/>
                <w:sz w:val="20"/>
              </w:rPr>
              <w:t>53</w:t>
            </w:r>
          </w:p>
        </w:tc>
        <w:tc>
          <w:tcPr>
            <w:tcW w:w="1885" w:type="dxa"/>
            <w:tcBorders>
              <w:top w:val="nil"/>
              <w:left w:val="single" w:color="auto" w:sz="4" w:space="0"/>
              <w:bottom w:val="single" w:color="auto" w:sz="4" w:space="0"/>
              <w:right w:val="single" w:color="auto" w:sz="4" w:space="0"/>
            </w:tcBorders>
            <w:shd w:val="clear" w:color="auto" w:fill="auto"/>
            <w:vAlign w:val="center"/>
            <w:hideMark/>
          </w:tcPr>
          <w:p w:rsidRPr="004F38AA" w:rsidR="00F2066E" w:rsidP="00F2066E" w:rsidRDefault="00F2066E" w14:paraId="50916504" w14:textId="7761713B">
            <w:pPr>
              <w:widowControl/>
              <w:overflowPunct/>
              <w:autoSpaceDE/>
              <w:autoSpaceDN/>
              <w:adjustRightInd/>
              <w:jc w:val="center"/>
              <w:textAlignment w:val="auto"/>
              <w:rPr>
                <w:rFonts w:ascii="Calibri" w:hAnsi="Calibri" w:cs="Calibri"/>
                <w:color w:val="000000"/>
                <w:sz w:val="20"/>
              </w:rPr>
            </w:pPr>
            <w:r>
              <w:rPr>
                <w:rFonts w:ascii="Calibri" w:hAnsi="Calibri" w:cs="Calibri"/>
                <w:color w:val="000000"/>
                <w:sz w:val="20"/>
              </w:rPr>
              <w:t>$23.26</w:t>
            </w:r>
          </w:p>
        </w:tc>
        <w:tc>
          <w:tcPr>
            <w:tcW w:w="1520" w:type="dxa"/>
            <w:tcBorders>
              <w:top w:val="nil"/>
              <w:left w:val="nil"/>
              <w:bottom w:val="single" w:color="auto" w:sz="4" w:space="0"/>
              <w:right w:val="single" w:color="auto" w:sz="4" w:space="0"/>
            </w:tcBorders>
            <w:shd w:val="clear" w:color="auto" w:fill="auto"/>
            <w:noWrap/>
            <w:vAlign w:val="bottom"/>
            <w:hideMark/>
          </w:tcPr>
          <w:p w:rsidRPr="004F38AA" w:rsidR="00F2066E" w:rsidP="00F2066E" w:rsidRDefault="00F2066E" w14:paraId="74DD33E0" w14:textId="2843D1B0">
            <w:pPr>
              <w:widowControl/>
              <w:overflowPunct/>
              <w:autoSpaceDE/>
              <w:autoSpaceDN/>
              <w:adjustRightInd/>
              <w:jc w:val="center"/>
              <w:textAlignment w:val="auto"/>
              <w:rPr>
                <w:rFonts w:ascii="Calibri" w:hAnsi="Calibri" w:cs="Calibri"/>
                <w:color w:val="000000"/>
                <w:sz w:val="20"/>
              </w:rPr>
            </w:pPr>
            <w:r>
              <w:rPr>
                <w:rFonts w:ascii="Calibri" w:hAnsi="Calibri" w:cs="Calibri"/>
                <w:color w:val="000000"/>
                <w:sz w:val="20"/>
              </w:rPr>
              <w:t>$1,232.78</w:t>
            </w:r>
          </w:p>
        </w:tc>
        <w:tc>
          <w:tcPr>
            <w:tcW w:w="1560" w:type="dxa"/>
            <w:tcBorders>
              <w:top w:val="nil"/>
              <w:left w:val="nil"/>
              <w:bottom w:val="single" w:color="auto" w:sz="4" w:space="0"/>
              <w:right w:val="single" w:color="auto" w:sz="4" w:space="0"/>
            </w:tcBorders>
            <w:shd w:val="clear" w:color="auto" w:fill="auto"/>
            <w:noWrap/>
            <w:vAlign w:val="bottom"/>
            <w:hideMark/>
          </w:tcPr>
          <w:p w:rsidRPr="008B03A9" w:rsidR="00F2066E" w:rsidP="00F2066E" w:rsidRDefault="00F2066E" w14:paraId="651C0804" w14:textId="67587E61">
            <w:pPr>
              <w:widowControl/>
              <w:overflowPunct/>
              <w:autoSpaceDE/>
              <w:autoSpaceDN/>
              <w:adjustRightInd/>
              <w:jc w:val="center"/>
              <w:textAlignment w:val="auto"/>
              <w:rPr>
                <w:rFonts w:ascii="Calibri" w:hAnsi="Calibri" w:cs="Calibri"/>
                <w:color w:val="000000"/>
                <w:sz w:val="20"/>
                <w:highlight w:val="yellow"/>
              </w:rPr>
            </w:pPr>
            <w:r w:rsidRPr="004E6476">
              <w:rPr>
                <w:rFonts w:ascii="Calibri" w:hAnsi="Calibri" w:cs="Calibri"/>
                <w:color w:val="000000"/>
                <w:sz w:val="20"/>
              </w:rPr>
              <w:t>$1,639.60</w:t>
            </w:r>
          </w:p>
        </w:tc>
      </w:tr>
      <w:tr w:rsidRPr="004F38AA" w:rsidR="00F2066E" w:rsidTr="00235988" w14:paraId="4244EE00" w14:textId="77777777">
        <w:trPr>
          <w:trHeight w:val="888"/>
        </w:trPr>
        <w:tc>
          <w:tcPr>
            <w:tcW w:w="1216" w:type="dxa"/>
            <w:vMerge/>
            <w:tcBorders>
              <w:top w:val="nil"/>
              <w:left w:val="single" w:color="auto" w:sz="4" w:space="0"/>
              <w:bottom w:val="single" w:color="000000" w:sz="4" w:space="0"/>
              <w:right w:val="single" w:color="auto" w:sz="4" w:space="0"/>
            </w:tcBorders>
            <w:vAlign w:val="center"/>
            <w:hideMark/>
          </w:tcPr>
          <w:p w:rsidRPr="004F38AA" w:rsidR="00F2066E" w:rsidP="00F2066E" w:rsidRDefault="00F2066E" w14:paraId="7EB172FA" w14:textId="77777777">
            <w:pPr>
              <w:widowControl/>
              <w:overflowPunct/>
              <w:autoSpaceDE/>
              <w:autoSpaceDN/>
              <w:adjustRightInd/>
              <w:textAlignment w:val="auto"/>
              <w:rPr>
                <w:rFonts w:ascii="Calibri" w:hAnsi="Calibri" w:cs="Calibri"/>
                <w:color w:val="000000"/>
                <w:sz w:val="20"/>
              </w:rPr>
            </w:pPr>
          </w:p>
        </w:tc>
        <w:tc>
          <w:tcPr>
            <w:tcW w:w="2375" w:type="dxa"/>
            <w:tcBorders>
              <w:top w:val="nil"/>
              <w:left w:val="nil"/>
              <w:bottom w:val="single" w:color="auto" w:sz="4" w:space="0"/>
              <w:right w:val="single" w:color="auto" w:sz="4" w:space="0"/>
            </w:tcBorders>
            <w:shd w:val="clear" w:color="auto" w:fill="auto"/>
            <w:vAlign w:val="center"/>
            <w:hideMark/>
          </w:tcPr>
          <w:p w:rsidRPr="004F38AA" w:rsidR="00F2066E" w:rsidP="00F2066E" w:rsidRDefault="00F2066E" w14:paraId="7894ED9C" w14:textId="77777777">
            <w:pPr>
              <w:widowControl/>
              <w:overflowPunct/>
              <w:autoSpaceDE/>
              <w:autoSpaceDN/>
              <w:adjustRightInd/>
              <w:jc w:val="center"/>
              <w:textAlignment w:val="auto"/>
              <w:rPr>
                <w:rFonts w:ascii="Calibri" w:hAnsi="Calibri" w:cs="Calibri"/>
                <w:color w:val="000000"/>
                <w:sz w:val="20"/>
              </w:rPr>
            </w:pPr>
            <w:r w:rsidRPr="004F38AA">
              <w:rPr>
                <w:rFonts w:ascii="Calibri" w:hAnsi="Calibri" w:cs="Calibri"/>
                <w:color w:val="000000"/>
                <w:sz w:val="20"/>
              </w:rPr>
              <w:t>Monthly EA Attestation</w:t>
            </w:r>
          </w:p>
        </w:tc>
        <w:tc>
          <w:tcPr>
            <w:tcW w:w="1167" w:type="dxa"/>
            <w:tcBorders>
              <w:top w:val="nil"/>
              <w:left w:val="nil"/>
              <w:bottom w:val="single" w:color="auto" w:sz="4" w:space="0"/>
              <w:right w:val="single" w:color="auto" w:sz="4" w:space="0"/>
            </w:tcBorders>
            <w:shd w:val="clear" w:color="auto" w:fill="auto"/>
            <w:vAlign w:val="center"/>
            <w:hideMark/>
          </w:tcPr>
          <w:p w:rsidRPr="004F38AA" w:rsidR="00F2066E" w:rsidP="00F2066E" w:rsidRDefault="00F2066E" w14:paraId="046C5F34" w14:textId="77777777">
            <w:pPr>
              <w:widowControl/>
              <w:overflowPunct/>
              <w:autoSpaceDE/>
              <w:autoSpaceDN/>
              <w:adjustRightInd/>
              <w:jc w:val="center"/>
              <w:textAlignment w:val="auto"/>
              <w:rPr>
                <w:rFonts w:ascii="Calibri" w:hAnsi="Calibri" w:cs="Calibri"/>
                <w:color w:val="000000"/>
                <w:sz w:val="20"/>
              </w:rPr>
            </w:pPr>
            <w:r w:rsidRPr="004F38AA">
              <w:rPr>
                <w:rFonts w:ascii="Calibri" w:hAnsi="Calibri" w:cs="Calibri"/>
                <w:color w:val="000000"/>
                <w:sz w:val="20"/>
              </w:rPr>
              <w:t>N/A</w:t>
            </w:r>
          </w:p>
        </w:tc>
        <w:tc>
          <w:tcPr>
            <w:tcW w:w="982" w:type="dxa"/>
            <w:tcBorders>
              <w:top w:val="nil"/>
              <w:left w:val="nil"/>
              <w:bottom w:val="single" w:color="auto" w:sz="4" w:space="0"/>
              <w:right w:val="single" w:color="auto" w:sz="4" w:space="0"/>
            </w:tcBorders>
            <w:shd w:val="clear" w:color="auto" w:fill="auto"/>
            <w:vAlign w:val="center"/>
            <w:hideMark/>
          </w:tcPr>
          <w:p w:rsidRPr="004F38AA" w:rsidR="00F2066E" w:rsidP="00F2066E" w:rsidRDefault="00F2066E" w14:paraId="2E5BFB0B" w14:textId="77777777">
            <w:pPr>
              <w:widowControl/>
              <w:overflowPunct/>
              <w:autoSpaceDE/>
              <w:autoSpaceDN/>
              <w:adjustRightInd/>
              <w:jc w:val="center"/>
              <w:textAlignment w:val="auto"/>
              <w:rPr>
                <w:rFonts w:ascii="Calibri" w:hAnsi="Calibri" w:cs="Calibri"/>
                <w:color w:val="000000"/>
                <w:sz w:val="20"/>
              </w:rPr>
            </w:pPr>
            <w:r w:rsidRPr="004F38AA">
              <w:rPr>
                <w:rFonts w:ascii="Calibri" w:hAnsi="Calibri" w:cs="Calibri"/>
                <w:color w:val="000000"/>
                <w:sz w:val="20"/>
              </w:rPr>
              <w:t>159</w:t>
            </w:r>
          </w:p>
        </w:tc>
        <w:tc>
          <w:tcPr>
            <w:tcW w:w="1885" w:type="dxa"/>
            <w:tcBorders>
              <w:top w:val="nil"/>
              <w:left w:val="single" w:color="auto" w:sz="4" w:space="0"/>
              <w:bottom w:val="single" w:color="auto" w:sz="4" w:space="0"/>
              <w:right w:val="single" w:color="auto" w:sz="4" w:space="0"/>
            </w:tcBorders>
            <w:shd w:val="clear" w:color="auto" w:fill="auto"/>
            <w:vAlign w:val="center"/>
            <w:hideMark/>
          </w:tcPr>
          <w:p w:rsidRPr="004F38AA" w:rsidR="00F2066E" w:rsidP="00F2066E" w:rsidRDefault="00F2066E" w14:paraId="19BA9450" w14:textId="01F06207">
            <w:pPr>
              <w:widowControl/>
              <w:overflowPunct/>
              <w:autoSpaceDE/>
              <w:autoSpaceDN/>
              <w:adjustRightInd/>
              <w:jc w:val="center"/>
              <w:textAlignment w:val="auto"/>
              <w:rPr>
                <w:rFonts w:ascii="Calibri" w:hAnsi="Calibri" w:cs="Calibri"/>
                <w:color w:val="000000"/>
                <w:sz w:val="20"/>
              </w:rPr>
            </w:pPr>
            <w:r>
              <w:rPr>
                <w:rFonts w:ascii="Calibri" w:hAnsi="Calibri" w:cs="Calibri"/>
                <w:color w:val="000000"/>
                <w:sz w:val="20"/>
              </w:rPr>
              <w:t>$23.26</w:t>
            </w:r>
          </w:p>
        </w:tc>
        <w:tc>
          <w:tcPr>
            <w:tcW w:w="1520" w:type="dxa"/>
            <w:tcBorders>
              <w:top w:val="nil"/>
              <w:left w:val="nil"/>
              <w:bottom w:val="single" w:color="auto" w:sz="4" w:space="0"/>
              <w:right w:val="single" w:color="auto" w:sz="4" w:space="0"/>
            </w:tcBorders>
            <w:shd w:val="clear" w:color="auto" w:fill="auto"/>
            <w:noWrap/>
            <w:vAlign w:val="bottom"/>
            <w:hideMark/>
          </w:tcPr>
          <w:p w:rsidRPr="004F38AA" w:rsidR="00F2066E" w:rsidP="00F2066E" w:rsidRDefault="00F2066E" w14:paraId="25D88733" w14:textId="1272E839">
            <w:pPr>
              <w:widowControl/>
              <w:overflowPunct/>
              <w:autoSpaceDE/>
              <w:autoSpaceDN/>
              <w:adjustRightInd/>
              <w:jc w:val="center"/>
              <w:textAlignment w:val="auto"/>
              <w:rPr>
                <w:rFonts w:ascii="Calibri" w:hAnsi="Calibri" w:cs="Calibri"/>
                <w:color w:val="000000"/>
                <w:sz w:val="20"/>
              </w:rPr>
            </w:pPr>
            <w:r>
              <w:rPr>
                <w:rFonts w:ascii="Calibri" w:hAnsi="Calibri" w:cs="Calibri"/>
                <w:color w:val="000000"/>
                <w:sz w:val="20"/>
              </w:rPr>
              <w:t>$3,698.34</w:t>
            </w:r>
          </w:p>
        </w:tc>
        <w:tc>
          <w:tcPr>
            <w:tcW w:w="1560" w:type="dxa"/>
            <w:tcBorders>
              <w:top w:val="nil"/>
              <w:left w:val="nil"/>
              <w:bottom w:val="single" w:color="auto" w:sz="4" w:space="0"/>
              <w:right w:val="single" w:color="auto" w:sz="4" w:space="0"/>
            </w:tcBorders>
            <w:shd w:val="clear" w:color="auto" w:fill="auto"/>
            <w:noWrap/>
            <w:vAlign w:val="bottom"/>
            <w:hideMark/>
          </w:tcPr>
          <w:p w:rsidRPr="008B03A9" w:rsidR="00F2066E" w:rsidP="00F2066E" w:rsidRDefault="00F2066E" w14:paraId="7EC76399" w14:textId="030F4449">
            <w:pPr>
              <w:widowControl/>
              <w:overflowPunct/>
              <w:autoSpaceDE/>
              <w:autoSpaceDN/>
              <w:adjustRightInd/>
              <w:jc w:val="center"/>
              <w:textAlignment w:val="auto"/>
              <w:rPr>
                <w:rFonts w:ascii="Calibri" w:hAnsi="Calibri" w:cs="Calibri"/>
                <w:color w:val="000000"/>
                <w:sz w:val="20"/>
                <w:highlight w:val="yellow"/>
              </w:rPr>
            </w:pPr>
            <w:r w:rsidRPr="004E6476">
              <w:rPr>
                <w:rFonts w:ascii="Calibri" w:hAnsi="Calibri" w:cs="Calibri"/>
                <w:color w:val="000000"/>
                <w:sz w:val="20"/>
              </w:rPr>
              <w:t>$4,918.79</w:t>
            </w:r>
          </w:p>
        </w:tc>
      </w:tr>
      <w:tr w:rsidRPr="004F38AA" w:rsidR="00F2066E" w:rsidTr="00235988" w14:paraId="0DC28A60" w14:textId="77777777">
        <w:trPr>
          <w:trHeight w:val="276"/>
        </w:trPr>
        <w:tc>
          <w:tcPr>
            <w:tcW w:w="1216" w:type="dxa"/>
            <w:tcBorders>
              <w:top w:val="nil"/>
              <w:left w:val="single" w:color="auto" w:sz="4" w:space="0"/>
              <w:bottom w:val="single" w:color="auto" w:sz="4" w:space="0"/>
              <w:right w:val="single" w:color="auto" w:sz="4" w:space="0"/>
            </w:tcBorders>
            <w:shd w:val="clear" w:color="auto" w:fill="auto"/>
            <w:vAlign w:val="center"/>
            <w:hideMark/>
          </w:tcPr>
          <w:p w:rsidRPr="004F38AA" w:rsidR="00F2066E" w:rsidP="00F2066E" w:rsidRDefault="00F2066E" w14:paraId="696B54EF" w14:textId="77777777">
            <w:pPr>
              <w:widowControl/>
              <w:overflowPunct/>
              <w:autoSpaceDE/>
              <w:autoSpaceDN/>
              <w:adjustRightInd/>
              <w:jc w:val="center"/>
              <w:textAlignment w:val="auto"/>
              <w:rPr>
                <w:rFonts w:ascii="Calibri" w:hAnsi="Calibri" w:cs="Calibri"/>
                <w:b/>
                <w:bCs/>
                <w:color w:val="000000"/>
                <w:sz w:val="20"/>
              </w:rPr>
            </w:pPr>
            <w:r w:rsidRPr="004F38AA">
              <w:rPr>
                <w:rFonts w:ascii="Calibri" w:hAnsi="Calibri" w:cs="Calibri"/>
                <w:b/>
                <w:bCs/>
                <w:color w:val="000000"/>
                <w:sz w:val="20"/>
              </w:rPr>
              <w:t>Total</w:t>
            </w:r>
          </w:p>
        </w:tc>
        <w:tc>
          <w:tcPr>
            <w:tcW w:w="2375" w:type="dxa"/>
            <w:tcBorders>
              <w:top w:val="nil"/>
              <w:left w:val="nil"/>
              <w:bottom w:val="single" w:color="auto" w:sz="4" w:space="0"/>
              <w:right w:val="single" w:color="auto" w:sz="4" w:space="0"/>
            </w:tcBorders>
            <w:shd w:val="clear" w:color="000000" w:fill="F2F2F2"/>
            <w:vAlign w:val="center"/>
            <w:hideMark/>
          </w:tcPr>
          <w:p w:rsidRPr="004F38AA" w:rsidR="00F2066E" w:rsidP="00F2066E" w:rsidRDefault="00F2066E" w14:paraId="55A633FB" w14:textId="77777777">
            <w:pPr>
              <w:widowControl/>
              <w:overflowPunct/>
              <w:autoSpaceDE/>
              <w:autoSpaceDN/>
              <w:adjustRightInd/>
              <w:jc w:val="center"/>
              <w:textAlignment w:val="auto"/>
              <w:rPr>
                <w:rFonts w:ascii="Calibri" w:hAnsi="Calibri" w:cs="Calibri"/>
                <w:b/>
                <w:bCs/>
                <w:color w:val="000000"/>
                <w:sz w:val="20"/>
              </w:rPr>
            </w:pPr>
            <w:r w:rsidRPr="004F38AA">
              <w:rPr>
                <w:rFonts w:ascii="Calibri" w:hAnsi="Calibri" w:cs="Calibri"/>
                <w:b/>
                <w:bCs/>
                <w:color w:val="000000"/>
                <w:sz w:val="20"/>
              </w:rPr>
              <w:t>.</w:t>
            </w:r>
          </w:p>
        </w:tc>
        <w:tc>
          <w:tcPr>
            <w:tcW w:w="1167" w:type="dxa"/>
            <w:tcBorders>
              <w:top w:val="nil"/>
              <w:left w:val="nil"/>
              <w:bottom w:val="single" w:color="auto" w:sz="4" w:space="0"/>
              <w:right w:val="single" w:color="auto" w:sz="4" w:space="0"/>
            </w:tcBorders>
            <w:shd w:val="clear" w:color="000000" w:fill="F2F2F2"/>
            <w:vAlign w:val="center"/>
            <w:hideMark/>
          </w:tcPr>
          <w:p w:rsidRPr="004F38AA" w:rsidR="00F2066E" w:rsidP="00F2066E" w:rsidRDefault="00F2066E" w14:paraId="6425183F" w14:textId="77777777">
            <w:pPr>
              <w:widowControl/>
              <w:overflowPunct/>
              <w:autoSpaceDE/>
              <w:autoSpaceDN/>
              <w:adjustRightInd/>
              <w:jc w:val="center"/>
              <w:textAlignment w:val="auto"/>
              <w:rPr>
                <w:rFonts w:ascii="Calibri" w:hAnsi="Calibri" w:cs="Calibri"/>
                <w:b/>
                <w:bCs/>
                <w:color w:val="000000"/>
                <w:sz w:val="20"/>
              </w:rPr>
            </w:pPr>
            <w:r w:rsidRPr="004F38AA">
              <w:rPr>
                <w:rFonts w:ascii="Calibri" w:hAnsi="Calibri" w:cs="Calibri"/>
                <w:b/>
                <w:bCs/>
                <w:color w:val="000000"/>
                <w:sz w:val="20"/>
              </w:rPr>
              <w:t> </w:t>
            </w:r>
          </w:p>
        </w:tc>
        <w:tc>
          <w:tcPr>
            <w:tcW w:w="982" w:type="dxa"/>
            <w:tcBorders>
              <w:top w:val="nil"/>
              <w:left w:val="nil"/>
              <w:bottom w:val="single" w:color="auto" w:sz="4" w:space="0"/>
              <w:right w:val="single" w:color="auto" w:sz="4" w:space="0"/>
            </w:tcBorders>
            <w:shd w:val="clear" w:color="auto" w:fill="auto"/>
            <w:vAlign w:val="center"/>
            <w:hideMark/>
          </w:tcPr>
          <w:p w:rsidRPr="004F38AA" w:rsidR="00F2066E" w:rsidP="00F2066E" w:rsidRDefault="00F2066E" w14:paraId="0C9DBD19" w14:textId="77777777">
            <w:pPr>
              <w:widowControl/>
              <w:overflowPunct/>
              <w:autoSpaceDE/>
              <w:autoSpaceDN/>
              <w:adjustRightInd/>
              <w:jc w:val="center"/>
              <w:textAlignment w:val="auto"/>
              <w:rPr>
                <w:rFonts w:ascii="Calibri" w:hAnsi="Calibri" w:cs="Calibri"/>
                <w:b/>
                <w:bCs/>
                <w:color w:val="000000"/>
                <w:sz w:val="20"/>
              </w:rPr>
            </w:pPr>
            <w:r w:rsidRPr="004F38AA">
              <w:rPr>
                <w:rFonts w:ascii="Calibri" w:hAnsi="Calibri" w:cs="Calibri"/>
                <w:b/>
                <w:bCs/>
                <w:color w:val="000000"/>
                <w:sz w:val="20"/>
              </w:rPr>
              <w:t>763</w:t>
            </w:r>
          </w:p>
        </w:tc>
        <w:tc>
          <w:tcPr>
            <w:tcW w:w="1885" w:type="dxa"/>
            <w:tcBorders>
              <w:top w:val="nil"/>
              <w:left w:val="single" w:color="auto" w:sz="4" w:space="0"/>
              <w:bottom w:val="single" w:color="auto" w:sz="4" w:space="0"/>
              <w:right w:val="single" w:color="auto" w:sz="4" w:space="0"/>
            </w:tcBorders>
            <w:shd w:val="clear" w:color="auto" w:fill="auto"/>
            <w:noWrap/>
            <w:vAlign w:val="bottom"/>
            <w:hideMark/>
          </w:tcPr>
          <w:p w:rsidRPr="004F38AA" w:rsidR="00F2066E" w:rsidP="00F2066E" w:rsidRDefault="00F2066E" w14:paraId="1A6C205B" w14:textId="5AF83CA8">
            <w:pPr>
              <w:widowControl/>
              <w:overflowPunct/>
              <w:autoSpaceDE/>
              <w:autoSpaceDN/>
              <w:adjustRightInd/>
              <w:jc w:val="center"/>
              <w:textAlignment w:val="auto"/>
              <w:rPr>
                <w:rFonts w:ascii="Calibri" w:hAnsi="Calibri" w:cs="Calibri"/>
                <w:color w:val="000000"/>
                <w:sz w:val="20"/>
              </w:rPr>
            </w:pPr>
            <w:r>
              <w:rPr>
                <w:rFonts w:ascii="Calibri" w:hAnsi="Calibri" w:cs="Calibri"/>
                <w:color w:val="000000"/>
                <w:sz w:val="20"/>
              </w:rPr>
              <w:t>$23.26</w:t>
            </w:r>
          </w:p>
        </w:tc>
        <w:tc>
          <w:tcPr>
            <w:tcW w:w="1520" w:type="dxa"/>
            <w:tcBorders>
              <w:top w:val="nil"/>
              <w:left w:val="nil"/>
              <w:bottom w:val="single" w:color="auto" w:sz="4" w:space="0"/>
              <w:right w:val="single" w:color="auto" w:sz="4" w:space="0"/>
            </w:tcBorders>
            <w:shd w:val="clear" w:color="auto" w:fill="auto"/>
            <w:noWrap/>
            <w:vAlign w:val="bottom"/>
            <w:hideMark/>
          </w:tcPr>
          <w:p w:rsidRPr="00EF263A" w:rsidR="00F2066E" w:rsidP="00F2066E" w:rsidRDefault="00F2066E" w14:paraId="41220658" w14:textId="15CA1C02">
            <w:pPr>
              <w:widowControl/>
              <w:overflowPunct/>
              <w:autoSpaceDE/>
              <w:autoSpaceDN/>
              <w:adjustRightInd/>
              <w:jc w:val="center"/>
              <w:textAlignment w:val="auto"/>
              <w:rPr>
                <w:rFonts w:ascii="Calibri" w:hAnsi="Calibri" w:cs="Calibri"/>
                <w:bCs/>
                <w:color w:val="000000"/>
                <w:sz w:val="20"/>
              </w:rPr>
            </w:pPr>
            <w:r>
              <w:rPr>
                <w:rFonts w:ascii="Calibri" w:hAnsi="Calibri" w:cs="Calibri"/>
                <w:b/>
                <w:bCs/>
                <w:color w:val="000000"/>
                <w:sz w:val="20"/>
              </w:rPr>
              <w:t>$17,752.03</w:t>
            </w:r>
          </w:p>
        </w:tc>
        <w:tc>
          <w:tcPr>
            <w:tcW w:w="1560" w:type="dxa"/>
            <w:tcBorders>
              <w:top w:val="nil"/>
              <w:left w:val="nil"/>
              <w:bottom w:val="single" w:color="auto" w:sz="4" w:space="0"/>
              <w:right w:val="single" w:color="auto" w:sz="4" w:space="0"/>
            </w:tcBorders>
            <w:shd w:val="clear" w:color="auto" w:fill="auto"/>
            <w:noWrap/>
            <w:vAlign w:val="bottom"/>
            <w:hideMark/>
          </w:tcPr>
          <w:p w:rsidRPr="008B03A9" w:rsidR="00F2066E" w:rsidP="00F2066E" w:rsidRDefault="00F2066E" w14:paraId="515A3C27" w14:textId="1643033D">
            <w:pPr>
              <w:widowControl/>
              <w:overflowPunct/>
              <w:autoSpaceDE/>
              <w:autoSpaceDN/>
              <w:adjustRightInd/>
              <w:jc w:val="center"/>
              <w:textAlignment w:val="auto"/>
              <w:rPr>
                <w:rFonts w:ascii="Calibri" w:hAnsi="Calibri" w:cs="Calibri"/>
                <w:b/>
                <w:bCs/>
                <w:color w:val="000000"/>
                <w:sz w:val="20"/>
                <w:highlight w:val="yellow"/>
              </w:rPr>
            </w:pPr>
            <w:r w:rsidRPr="004E6476">
              <w:rPr>
                <w:rFonts w:ascii="Calibri" w:hAnsi="Calibri" w:cs="Calibri"/>
                <w:b/>
                <w:bCs/>
                <w:color w:val="000000"/>
                <w:sz w:val="20"/>
              </w:rPr>
              <w:t>$23,610.20</w:t>
            </w:r>
          </w:p>
        </w:tc>
      </w:tr>
    </w:tbl>
    <w:p w:rsidR="00ED28F2" w:rsidP="00ED28F2" w:rsidRDefault="00ED28F2" w14:paraId="1F2EB32E" w14:textId="6F1752ED">
      <w:pPr>
        <w:tabs>
          <w:tab w:val="left" w:pos="-720"/>
        </w:tabs>
        <w:suppressAutoHyphens/>
        <w:spacing w:line="480" w:lineRule="auto"/>
        <w:rPr>
          <w:rFonts w:asciiTheme="minorHAnsi" w:hAnsiTheme="minorHAnsi" w:cstheme="minorHAnsi"/>
          <w:szCs w:val="24"/>
        </w:rPr>
      </w:pPr>
    </w:p>
    <w:p w:rsidRPr="004F38AA" w:rsidR="004F38AA" w:rsidP="004F38AA" w:rsidRDefault="004F38AA" w14:paraId="0B4B40F7" w14:textId="2E98CC19">
      <w:pPr>
        <w:tabs>
          <w:tab w:val="left" w:pos="-720"/>
        </w:tabs>
        <w:suppressAutoHyphens/>
        <w:spacing w:line="480" w:lineRule="auto"/>
        <w:rPr>
          <w:rFonts w:asciiTheme="minorHAnsi" w:hAnsiTheme="minorHAnsi" w:cstheme="minorHAnsi"/>
          <w:szCs w:val="24"/>
        </w:rPr>
      </w:pPr>
      <w:r w:rsidRPr="004F38AA">
        <w:rPr>
          <w:rFonts w:asciiTheme="minorHAnsi" w:hAnsiTheme="minorHAnsi" w:cstheme="minorHAnsi"/>
          <w:szCs w:val="24"/>
        </w:rPr>
        <w:lastRenderedPageBreak/>
        <w:t>The estimate of respo</w:t>
      </w:r>
      <w:r w:rsidR="00F2066E">
        <w:rPr>
          <w:rFonts w:asciiTheme="minorHAnsi" w:hAnsiTheme="minorHAnsi" w:cstheme="minorHAnsi"/>
          <w:szCs w:val="24"/>
        </w:rPr>
        <w:t xml:space="preserve">ndent cost is based on the 2019 </w:t>
      </w:r>
      <w:r w:rsidRPr="004F38AA">
        <w:rPr>
          <w:rFonts w:asciiTheme="minorHAnsi" w:hAnsiTheme="minorHAnsi" w:cstheme="minorHAnsi"/>
          <w:szCs w:val="24"/>
        </w:rPr>
        <w:t>Bureau of Labor statistics hourly mean w</w:t>
      </w:r>
      <w:r w:rsidR="00F2066E">
        <w:rPr>
          <w:rFonts w:asciiTheme="minorHAnsi" w:hAnsiTheme="minorHAnsi" w:cstheme="minorHAnsi"/>
          <w:szCs w:val="24"/>
        </w:rPr>
        <w:t>age for State government community and social service specialists</w:t>
      </w:r>
      <w:r w:rsidRPr="004F38AA">
        <w:rPr>
          <w:rFonts w:asciiTheme="minorHAnsi" w:hAnsiTheme="minorHAnsi" w:cstheme="minorHAnsi"/>
          <w:szCs w:val="24"/>
        </w:rPr>
        <w:t>, found at http://w</w:t>
      </w:r>
      <w:r w:rsidR="00F2066E">
        <w:rPr>
          <w:rFonts w:asciiTheme="minorHAnsi" w:hAnsiTheme="minorHAnsi" w:cstheme="minorHAnsi"/>
          <w:szCs w:val="24"/>
        </w:rPr>
        <w:t>ww.bls.gov/oes/current/oes211099</w:t>
      </w:r>
      <w:r w:rsidRPr="004F38AA">
        <w:rPr>
          <w:rFonts w:asciiTheme="minorHAnsi" w:hAnsiTheme="minorHAnsi" w:cstheme="minorHAnsi"/>
          <w:szCs w:val="24"/>
        </w:rPr>
        <w:t>.htm. Functions performed by State and local agency staff</w:t>
      </w:r>
      <w:r w:rsidR="00F2066E">
        <w:rPr>
          <w:rFonts w:asciiTheme="minorHAnsi" w:hAnsiTheme="minorHAnsi" w:cstheme="minorHAnsi"/>
          <w:szCs w:val="24"/>
        </w:rPr>
        <w:t xml:space="preserve"> for reporting are valued at $23.26</w:t>
      </w:r>
      <w:r w:rsidRPr="004F38AA">
        <w:rPr>
          <w:rFonts w:asciiTheme="minorHAnsi" w:hAnsiTheme="minorHAnsi" w:cstheme="minorHAnsi"/>
          <w:szCs w:val="24"/>
        </w:rPr>
        <w:t xml:space="preserve"> per staff hour.   The estimated an</w:t>
      </w:r>
      <w:r w:rsidR="009541C4">
        <w:rPr>
          <w:rFonts w:asciiTheme="minorHAnsi" w:hAnsiTheme="minorHAnsi" w:cstheme="minorHAnsi"/>
          <w:szCs w:val="24"/>
        </w:rPr>
        <w:t>nualized</w:t>
      </w:r>
      <w:r w:rsidR="00040BC0">
        <w:rPr>
          <w:rFonts w:asciiTheme="minorHAnsi" w:hAnsiTheme="minorHAnsi" w:cstheme="minorHAnsi"/>
          <w:szCs w:val="24"/>
        </w:rPr>
        <w:t xml:space="preserve">, </w:t>
      </w:r>
      <w:r w:rsidRPr="004E6476" w:rsidR="00040BC0">
        <w:rPr>
          <w:rFonts w:asciiTheme="minorHAnsi" w:hAnsiTheme="minorHAnsi" w:cstheme="minorHAnsi"/>
          <w:szCs w:val="24"/>
        </w:rPr>
        <w:t>fully loaded</w:t>
      </w:r>
      <w:r w:rsidRPr="004E6476" w:rsidR="008B03A9">
        <w:rPr>
          <w:rFonts w:asciiTheme="minorHAnsi" w:hAnsiTheme="minorHAnsi" w:cstheme="minorHAnsi"/>
          <w:szCs w:val="24"/>
        </w:rPr>
        <w:t xml:space="preserve"> (x .33),</w:t>
      </w:r>
      <w:r w:rsidR="009541C4">
        <w:rPr>
          <w:rFonts w:asciiTheme="minorHAnsi" w:hAnsiTheme="minorHAnsi" w:cstheme="minorHAnsi"/>
          <w:szCs w:val="24"/>
        </w:rPr>
        <w:t xml:space="preserve"> cost to respondent after </w:t>
      </w:r>
      <w:r w:rsidRPr="004F38AA">
        <w:rPr>
          <w:rFonts w:asciiTheme="minorHAnsi" w:hAnsiTheme="minorHAnsi" w:cstheme="minorHAnsi"/>
          <w:szCs w:val="24"/>
        </w:rPr>
        <w:t>50 percent reimbu</w:t>
      </w:r>
      <w:r w:rsidR="009541C4">
        <w:rPr>
          <w:rFonts w:asciiTheme="minorHAnsi" w:hAnsiTheme="minorHAnsi" w:cstheme="minorHAnsi"/>
          <w:szCs w:val="24"/>
        </w:rPr>
        <w:t>rsement from Federal government</w:t>
      </w:r>
      <w:r w:rsidRPr="004F38AA">
        <w:rPr>
          <w:rFonts w:asciiTheme="minorHAnsi" w:hAnsiTheme="minorHAnsi" w:cstheme="minorHAnsi"/>
          <w:szCs w:val="24"/>
        </w:rPr>
        <w:t xml:space="preserve"> is $</w:t>
      </w:r>
      <w:r w:rsidR="009541C4">
        <w:rPr>
          <w:rFonts w:asciiTheme="minorHAnsi" w:hAnsiTheme="minorHAnsi" w:cstheme="minorHAnsi"/>
          <w:szCs w:val="24"/>
        </w:rPr>
        <w:t>11,805.10 ($23,610.20 x .5 = 11,805.10)</w:t>
      </w:r>
      <w:r w:rsidRPr="004F38AA">
        <w:rPr>
          <w:rFonts w:asciiTheme="minorHAnsi" w:hAnsiTheme="minorHAnsi" w:cstheme="minorHAnsi"/>
          <w:szCs w:val="24"/>
        </w:rPr>
        <w:t>.</w:t>
      </w:r>
    </w:p>
    <w:p w:rsidRPr="00FC1110" w:rsidR="000438E8" w:rsidP="0062567E" w:rsidRDefault="00FD71D3" w14:paraId="5D9CC134" w14:textId="77777777">
      <w:pPr>
        <w:pStyle w:val="Heading1"/>
        <w:rPr>
          <w:rFonts w:asciiTheme="minorHAnsi" w:hAnsiTheme="minorHAnsi" w:cstheme="minorHAnsi"/>
          <w:szCs w:val="24"/>
        </w:rPr>
      </w:pPr>
      <w:bookmarkStart w:name="_Toc55565802" w:id="39"/>
      <w:r w:rsidRPr="00FC1110">
        <w:rPr>
          <w:rFonts w:asciiTheme="minorHAnsi" w:hAnsiTheme="minorHAnsi" w:cstheme="minorHAnsi"/>
          <w:szCs w:val="24"/>
        </w:rPr>
        <w:t xml:space="preserve">A13.  Estimates of other total annual cost </w:t>
      </w:r>
      <w:r w:rsidRPr="00FC1110" w:rsidR="00ED28F2">
        <w:rPr>
          <w:rFonts w:asciiTheme="minorHAnsi" w:hAnsiTheme="minorHAnsi" w:cstheme="minorHAnsi"/>
          <w:szCs w:val="24"/>
        </w:rPr>
        <w:t>burden</w:t>
      </w:r>
      <w:r w:rsidRPr="00FC1110">
        <w:rPr>
          <w:rFonts w:asciiTheme="minorHAnsi" w:hAnsiTheme="minorHAnsi" w:cstheme="minorHAnsi"/>
          <w:szCs w:val="24"/>
        </w:rPr>
        <w:t>.</w:t>
      </w:r>
      <w:bookmarkEnd w:id="39"/>
    </w:p>
    <w:p w:rsidRPr="00FC1110" w:rsidR="0062567E" w:rsidP="000438E8" w:rsidRDefault="0062567E" w14:paraId="61ACCB65" w14:textId="77777777">
      <w:pPr>
        <w:tabs>
          <w:tab w:val="left" w:pos="0"/>
        </w:tabs>
        <w:suppressAutoHyphens/>
        <w:rPr>
          <w:rFonts w:asciiTheme="minorHAnsi" w:hAnsiTheme="minorHAnsi" w:cstheme="minorHAnsi"/>
          <w:b/>
          <w:szCs w:val="24"/>
        </w:rPr>
      </w:pPr>
    </w:p>
    <w:p w:rsidR="0062567E" w:rsidP="000438E8" w:rsidRDefault="0062567E" w14:paraId="3D03C3EC" w14:textId="66569460">
      <w:pPr>
        <w:tabs>
          <w:tab w:val="left" w:pos="0"/>
        </w:tabs>
        <w:suppressAutoHyphens/>
        <w:rPr>
          <w:rFonts w:asciiTheme="minorHAnsi" w:hAnsiTheme="minorHAnsi" w:cstheme="minorHAnsi"/>
          <w:b/>
          <w:szCs w:val="24"/>
        </w:rPr>
      </w:pPr>
      <w:r w:rsidRPr="00FC1110">
        <w:rPr>
          <w:rFonts w:asciiTheme="minorHAnsi" w:hAnsiTheme="minorHAnsi" w:cstheme="minorHAnsi"/>
          <w:b/>
          <w:szCs w:val="24"/>
        </w:rPr>
        <w:t xml:space="preserve">Provide estimates of the total annual cost burden to respondents or </w:t>
      </w:r>
      <w:proofErr w:type="spellStart"/>
      <w:r w:rsidRPr="00FC1110">
        <w:rPr>
          <w:rFonts w:asciiTheme="minorHAnsi" w:hAnsiTheme="minorHAnsi" w:cstheme="minorHAnsi"/>
          <w:b/>
          <w:szCs w:val="24"/>
        </w:rPr>
        <w:t>recordkeepers</w:t>
      </w:r>
      <w:proofErr w:type="spellEnd"/>
      <w:r w:rsidRPr="00FC1110">
        <w:rPr>
          <w:rFonts w:asciiTheme="minorHAnsi" w:hAnsiTheme="minorHAnsi" w:cstheme="minorHAnsi"/>
          <w:b/>
          <w:szCs w:val="24"/>
        </w:rPr>
        <w:t xml:space="preserve">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Pr="00FC1110" w:rsidR="009541C4" w:rsidP="000438E8" w:rsidRDefault="009541C4" w14:paraId="22871805" w14:textId="77777777">
      <w:pPr>
        <w:tabs>
          <w:tab w:val="left" w:pos="0"/>
        </w:tabs>
        <w:suppressAutoHyphens/>
        <w:rPr>
          <w:rFonts w:asciiTheme="minorHAnsi" w:hAnsiTheme="minorHAnsi" w:cstheme="minorHAnsi"/>
          <w:b/>
          <w:szCs w:val="24"/>
        </w:rPr>
      </w:pPr>
    </w:p>
    <w:p w:rsidRPr="00FC1110" w:rsidR="009541C4" w:rsidP="00ED28F2" w:rsidRDefault="009541C4" w14:paraId="7EDA4389" w14:textId="00AA8C46">
      <w:pPr>
        <w:tabs>
          <w:tab w:val="left" w:pos="-720"/>
        </w:tabs>
        <w:suppressAutoHyphens/>
        <w:spacing w:line="480" w:lineRule="auto"/>
        <w:rPr>
          <w:rFonts w:asciiTheme="minorHAnsi" w:hAnsiTheme="minorHAnsi" w:cstheme="minorHAnsi"/>
          <w:szCs w:val="24"/>
        </w:rPr>
      </w:pPr>
      <w:r w:rsidRPr="00AF7683">
        <w:rPr>
          <w:rFonts w:asciiTheme="minorHAnsi" w:hAnsiTheme="minorHAnsi" w:cstheme="minorHAnsi"/>
        </w:rPr>
        <w:t xml:space="preserve">There are no capital, start-up and/or annualized maintenance costs associated with this burden.  </w:t>
      </w:r>
    </w:p>
    <w:p w:rsidRPr="00FC1110" w:rsidR="00A308DB" w:rsidP="0062567E" w:rsidRDefault="000438E8" w14:paraId="4C325A0E" w14:textId="77777777">
      <w:pPr>
        <w:pStyle w:val="Heading1"/>
        <w:rPr>
          <w:rFonts w:asciiTheme="minorHAnsi" w:hAnsiTheme="minorHAnsi" w:cstheme="minorHAnsi"/>
          <w:szCs w:val="24"/>
        </w:rPr>
      </w:pPr>
      <w:bookmarkStart w:name="_Toc401831370" w:id="40"/>
      <w:bookmarkStart w:name="_Toc55565803" w:id="41"/>
      <w:r w:rsidRPr="00FC1110">
        <w:rPr>
          <w:rFonts w:asciiTheme="minorHAnsi" w:hAnsiTheme="minorHAnsi" w:cstheme="minorHAnsi"/>
          <w:szCs w:val="24"/>
        </w:rPr>
        <w:t>A14.  Provide estimates of annualized cost to the Federal government.</w:t>
      </w:r>
      <w:bookmarkEnd w:id="40"/>
      <w:bookmarkEnd w:id="41"/>
      <w:r w:rsidRPr="00FC1110" w:rsidR="0088245A">
        <w:rPr>
          <w:rFonts w:asciiTheme="minorHAnsi" w:hAnsiTheme="minorHAnsi" w:cstheme="minorHAnsi"/>
          <w:szCs w:val="24"/>
        </w:rPr>
        <w:t xml:space="preserve">  </w:t>
      </w:r>
    </w:p>
    <w:p w:rsidRPr="00FC1110" w:rsidR="0062567E" w:rsidP="000438E8" w:rsidRDefault="0062567E" w14:paraId="42B5B76F" w14:textId="77777777">
      <w:pPr>
        <w:tabs>
          <w:tab w:val="left" w:pos="0"/>
        </w:tabs>
        <w:suppressAutoHyphens/>
        <w:rPr>
          <w:rFonts w:asciiTheme="minorHAnsi" w:hAnsiTheme="minorHAnsi" w:cstheme="minorHAnsi"/>
          <w:szCs w:val="24"/>
        </w:rPr>
      </w:pPr>
    </w:p>
    <w:p w:rsidRPr="00FC1110" w:rsidR="0062567E" w:rsidP="0062567E" w:rsidRDefault="0062567E" w14:paraId="504AE9D3" w14:textId="77777777">
      <w:pPr>
        <w:pStyle w:val="ListParagraph"/>
        <w:widowControl/>
        <w:spacing w:line="240" w:lineRule="auto"/>
        <w:ind w:left="0"/>
        <w:rPr>
          <w:rFonts w:asciiTheme="minorHAnsi" w:hAnsiTheme="minorHAnsi" w:cstheme="minorHAnsi"/>
          <w:b/>
          <w:szCs w:val="24"/>
        </w:rPr>
      </w:pPr>
      <w:r w:rsidRPr="00FC1110">
        <w:rPr>
          <w:rFonts w:asciiTheme="minorHAnsi" w:hAnsiTheme="minorHAnsi" w:cstheme="minorHAnsi"/>
          <w:b/>
          <w:szCs w:val="24"/>
        </w:rPr>
        <w:t>Provide estimates of annualized cost to the Federal government.  Provide a description of the method used to estimate cost and any other expense that would not have been incurred without this collection of information.</w:t>
      </w:r>
    </w:p>
    <w:p w:rsidRPr="00FC1110" w:rsidR="0062567E" w:rsidP="000438E8" w:rsidRDefault="0062567E" w14:paraId="64F92EF3" w14:textId="77777777">
      <w:pPr>
        <w:tabs>
          <w:tab w:val="left" w:pos="0"/>
        </w:tabs>
        <w:suppressAutoHyphens/>
        <w:rPr>
          <w:rFonts w:asciiTheme="minorHAnsi" w:hAnsiTheme="minorHAnsi" w:cstheme="minorHAnsi"/>
          <w:szCs w:val="24"/>
        </w:rPr>
      </w:pPr>
    </w:p>
    <w:p w:rsidR="006E6025" w:rsidP="006E6025" w:rsidRDefault="006E6025" w14:paraId="268D3ED7" w14:textId="43BC9ED3">
      <w:pPr>
        <w:tabs>
          <w:tab w:val="left" w:pos="-720"/>
        </w:tabs>
        <w:suppressAutoHyphens/>
        <w:spacing w:line="480" w:lineRule="auto"/>
        <w:rPr>
          <w:rFonts w:asciiTheme="minorHAnsi" w:hAnsiTheme="minorHAnsi" w:cstheme="minorHAnsi"/>
          <w:szCs w:val="24"/>
        </w:rPr>
      </w:pPr>
      <w:r w:rsidRPr="006E6025">
        <w:rPr>
          <w:rFonts w:asciiTheme="minorHAnsi" w:hAnsiTheme="minorHAnsi" w:cstheme="minorHAnsi"/>
          <w:szCs w:val="24"/>
        </w:rPr>
        <w:t xml:space="preserve">The estimate of the total annual cost to the Federal government for this data collection is </w:t>
      </w:r>
      <w:r w:rsidR="008B03A9">
        <w:rPr>
          <w:rFonts w:asciiTheme="minorHAnsi" w:hAnsiTheme="minorHAnsi" w:cstheme="minorHAnsi"/>
          <w:szCs w:val="24"/>
        </w:rPr>
        <w:t>$12,476.62</w:t>
      </w:r>
      <w:r w:rsidRPr="008611A2">
        <w:rPr>
          <w:rFonts w:asciiTheme="minorHAnsi" w:hAnsiTheme="minorHAnsi" w:cstheme="minorHAnsi"/>
          <w:szCs w:val="24"/>
        </w:rPr>
        <w:t>.</w:t>
      </w:r>
      <w:r w:rsidRPr="006E6025">
        <w:rPr>
          <w:rFonts w:asciiTheme="minorHAnsi" w:hAnsiTheme="minorHAnsi" w:cstheme="minorHAnsi"/>
          <w:szCs w:val="24"/>
        </w:rPr>
        <w:t xml:space="preserve">  It is estimated that </w:t>
      </w:r>
      <w:r w:rsidRPr="006E6025" w:rsidR="0048090F">
        <w:rPr>
          <w:rFonts w:asciiTheme="minorHAnsi" w:hAnsiTheme="minorHAnsi" w:cstheme="minorHAnsi"/>
          <w:szCs w:val="24"/>
        </w:rPr>
        <w:t>preparation for this information collection takes approximately 10 hours to complete</w:t>
      </w:r>
      <w:r w:rsidR="00A313B8">
        <w:rPr>
          <w:rFonts w:asciiTheme="minorHAnsi" w:hAnsiTheme="minorHAnsi" w:cstheme="minorHAnsi"/>
          <w:szCs w:val="24"/>
        </w:rPr>
        <w:t xml:space="preserve"> by a</w:t>
      </w:r>
      <w:r w:rsidRPr="006E6025" w:rsidR="0048090F">
        <w:rPr>
          <w:rFonts w:asciiTheme="minorHAnsi" w:hAnsiTheme="minorHAnsi" w:cstheme="minorHAnsi"/>
          <w:szCs w:val="24"/>
        </w:rPr>
        <w:t xml:space="preserve"> </w:t>
      </w:r>
      <w:r w:rsidR="00A313B8">
        <w:rPr>
          <w:rFonts w:asciiTheme="minorHAnsi" w:hAnsiTheme="minorHAnsi" w:cstheme="minorHAnsi"/>
          <w:szCs w:val="24"/>
        </w:rPr>
        <w:t xml:space="preserve">Federal employee </w:t>
      </w:r>
      <w:r w:rsidRPr="006E6025">
        <w:rPr>
          <w:rFonts w:asciiTheme="minorHAnsi" w:hAnsiTheme="minorHAnsi" w:cstheme="minorHAnsi"/>
          <w:szCs w:val="24"/>
        </w:rPr>
        <w:t xml:space="preserve">receiving an average Grade 14 Step </w:t>
      </w:r>
      <w:r w:rsidR="002F6565">
        <w:rPr>
          <w:rFonts w:asciiTheme="minorHAnsi" w:hAnsiTheme="minorHAnsi" w:cstheme="minorHAnsi"/>
          <w:szCs w:val="24"/>
        </w:rPr>
        <w:t>5</w:t>
      </w:r>
      <w:r w:rsidRPr="006E6025">
        <w:rPr>
          <w:rFonts w:asciiTheme="minorHAnsi" w:hAnsiTheme="minorHAnsi" w:cstheme="minorHAnsi"/>
          <w:szCs w:val="24"/>
        </w:rPr>
        <w:t xml:space="preserve"> respectively.  (</w:t>
      </w:r>
      <w:hyperlink w:history="1" r:id="rId16">
        <w:r w:rsidRPr="00C61D13" w:rsidR="008611A2">
          <w:rPr>
            <w:rStyle w:val="Hyperlink"/>
            <w:rFonts w:asciiTheme="minorHAnsi" w:hAnsiTheme="minorHAnsi" w:cstheme="minorHAnsi"/>
            <w:szCs w:val="24"/>
          </w:rPr>
          <w:t>https://www.opm.gov/policy-data-oversight/pay-leave/salaries-wages/salary-tables/pdf/2020/GS_h.pdf</w:t>
        </w:r>
      </w:hyperlink>
      <w:r w:rsidRPr="006E6025">
        <w:rPr>
          <w:rFonts w:asciiTheme="minorHAnsi" w:hAnsiTheme="minorHAnsi" w:cstheme="minorHAnsi"/>
          <w:szCs w:val="24"/>
        </w:rPr>
        <w:t>)</w:t>
      </w:r>
      <w:r w:rsidR="008B03A9">
        <w:rPr>
          <w:rFonts w:asciiTheme="minorHAnsi" w:hAnsiTheme="minorHAnsi" w:cstheme="minorHAnsi"/>
          <w:szCs w:val="24"/>
        </w:rPr>
        <w:t xml:space="preserve">. </w:t>
      </w:r>
      <w:r w:rsidRPr="004E6476" w:rsidR="008B03A9">
        <w:rPr>
          <w:rFonts w:asciiTheme="minorHAnsi" w:hAnsiTheme="minorHAnsi" w:cstheme="minorHAnsi"/>
          <w:szCs w:val="24"/>
        </w:rPr>
        <w:t>The fully loaded (x .33) cost</w:t>
      </w:r>
      <w:r w:rsidR="008B03A9">
        <w:rPr>
          <w:rFonts w:asciiTheme="minorHAnsi" w:hAnsiTheme="minorHAnsi" w:cstheme="minorHAnsi"/>
          <w:szCs w:val="24"/>
        </w:rPr>
        <w:t xml:space="preserve"> for this is $671.52</w:t>
      </w:r>
      <w:r w:rsidR="00BC5FB0">
        <w:rPr>
          <w:rFonts w:asciiTheme="minorHAnsi" w:hAnsiTheme="minorHAnsi" w:cstheme="minorHAnsi"/>
          <w:szCs w:val="24"/>
        </w:rPr>
        <w:t xml:space="preserve"> (10 x $50.</w:t>
      </w:r>
      <w:r w:rsidRPr="004E6476" w:rsidR="00BC5FB0">
        <w:rPr>
          <w:rFonts w:asciiTheme="minorHAnsi" w:hAnsiTheme="minorHAnsi" w:cstheme="minorHAnsi"/>
          <w:szCs w:val="24"/>
        </w:rPr>
        <w:t xml:space="preserve">49 </w:t>
      </w:r>
      <w:r w:rsidRPr="004E6476" w:rsidR="008B03A9">
        <w:rPr>
          <w:rFonts w:asciiTheme="minorHAnsi" w:hAnsiTheme="minorHAnsi" w:cstheme="minorHAnsi"/>
          <w:szCs w:val="24"/>
        </w:rPr>
        <w:t>x .33</w:t>
      </w:r>
      <w:r w:rsidR="008B03A9">
        <w:rPr>
          <w:rFonts w:asciiTheme="minorHAnsi" w:hAnsiTheme="minorHAnsi" w:cstheme="minorHAnsi"/>
          <w:szCs w:val="24"/>
        </w:rPr>
        <w:t xml:space="preserve"> </w:t>
      </w:r>
      <w:r w:rsidR="00BC5FB0">
        <w:rPr>
          <w:rFonts w:asciiTheme="minorHAnsi" w:hAnsiTheme="minorHAnsi" w:cstheme="minorHAnsi"/>
          <w:szCs w:val="24"/>
        </w:rPr>
        <w:t>=</w:t>
      </w:r>
      <w:r w:rsidR="008B03A9">
        <w:rPr>
          <w:rFonts w:asciiTheme="minorHAnsi" w:hAnsiTheme="minorHAnsi" w:cstheme="minorHAnsi"/>
          <w:szCs w:val="24"/>
        </w:rPr>
        <w:t xml:space="preserve"> 671.52</w:t>
      </w:r>
      <w:r w:rsidR="00BC5FB0">
        <w:rPr>
          <w:rFonts w:asciiTheme="minorHAnsi" w:hAnsiTheme="minorHAnsi" w:cstheme="minorHAnsi"/>
          <w:szCs w:val="24"/>
        </w:rPr>
        <w:t>)</w:t>
      </w:r>
      <w:r w:rsidR="008611A2">
        <w:rPr>
          <w:rFonts w:asciiTheme="minorHAnsi" w:hAnsiTheme="minorHAnsi" w:cstheme="minorHAnsi"/>
          <w:szCs w:val="24"/>
        </w:rPr>
        <w:t xml:space="preserve">.  The Federal share of State costs is </w:t>
      </w:r>
      <w:r w:rsidR="00A313B8">
        <w:rPr>
          <w:rFonts w:asciiTheme="minorHAnsi" w:hAnsiTheme="minorHAnsi" w:cstheme="minorHAnsi"/>
          <w:szCs w:val="24"/>
        </w:rPr>
        <w:t>$11,805.10.</w:t>
      </w:r>
    </w:p>
    <w:p w:rsidRPr="006E6025" w:rsidR="00BC5FB0" w:rsidP="006E6025" w:rsidRDefault="00BC5FB0" w14:paraId="0A88EC51" w14:textId="77777777">
      <w:pPr>
        <w:tabs>
          <w:tab w:val="left" w:pos="-720"/>
        </w:tabs>
        <w:suppressAutoHyphens/>
        <w:spacing w:line="480" w:lineRule="auto"/>
        <w:rPr>
          <w:rFonts w:asciiTheme="minorHAnsi" w:hAnsiTheme="minorHAnsi" w:cstheme="minorHAnsi"/>
          <w:szCs w:val="24"/>
        </w:rPr>
      </w:pPr>
    </w:p>
    <w:p w:rsidRPr="00BC5FB0" w:rsidR="006E6025" w:rsidP="006E6025" w:rsidRDefault="006E6025" w14:paraId="747951EC" w14:textId="77777777">
      <w:pPr>
        <w:tabs>
          <w:tab w:val="left" w:pos="-720"/>
        </w:tabs>
        <w:suppressAutoHyphens/>
        <w:spacing w:line="480" w:lineRule="auto"/>
        <w:rPr>
          <w:rFonts w:asciiTheme="minorHAnsi" w:hAnsiTheme="minorHAnsi" w:cstheme="minorHAnsi"/>
          <w:b/>
          <w:szCs w:val="24"/>
        </w:rPr>
      </w:pPr>
      <w:r w:rsidRPr="00BC5FB0">
        <w:rPr>
          <w:rFonts w:asciiTheme="minorHAnsi" w:hAnsiTheme="minorHAnsi" w:cstheme="minorHAnsi"/>
          <w:b/>
          <w:szCs w:val="24"/>
        </w:rPr>
        <w:t>Table A.14-1 Summary of Cost to the Federal Government</w:t>
      </w:r>
    </w:p>
    <w:tbl>
      <w:tblPr>
        <w:tblStyle w:val="TableGrid"/>
        <w:tblW w:w="0" w:type="auto"/>
        <w:tblLook w:val="04A0" w:firstRow="1" w:lastRow="0" w:firstColumn="1" w:lastColumn="0" w:noHBand="0" w:noVBand="1"/>
      </w:tblPr>
      <w:tblGrid>
        <w:gridCol w:w="2770"/>
        <w:gridCol w:w="1773"/>
        <w:gridCol w:w="1076"/>
        <w:gridCol w:w="1202"/>
        <w:gridCol w:w="2035"/>
      </w:tblGrid>
      <w:tr w:rsidRPr="00564BC0" w:rsidR="00564BC0" w:rsidTr="00564BC0" w14:paraId="0EF5B8D3" w14:textId="77777777">
        <w:tc>
          <w:tcPr>
            <w:tcW w:w="2770" w:type="dxa"/>
            <w:tcBorders>
              <w:top w:val="single" w:color="000000" w:sz="4" w:space="0"/>
              <w:left w:val="single" w:color="000000" w:sz="4" w:space="0"/>
              <w:bottom w:val="single" w:color="000000" w:sz="4" w:space="0"/>
              <w:right w:val="single" w:color="000000" w:sz="4" w:space="0"/>
            </w:tcBorders>
            <w:hideMark/>
          </w:tcPr>
          <w:p w:rsidRPr="00564BC0" w:rsidR="00564BC0" w:rsidP="008611A2" w:rsidRDefault="00564BC0" w14:paraId="50AF1734" w14:textId="77777777">
            <w:pPr>
              <w:tabs>
                <w:tab w:val="left" w:pos="-720"/>
              </w:tabs>
              <w:suppressAutoHyphens/>
              <w:rPr>
                <w:rFonts w:asciiTheme="minorHAnsi" w:hAnsiTheme="minorHAnsi" w:cstheme="minorHAnsi"/>
                <w:b/>
                <w:szCs w:val="24"/>
              </w:rPr>
            </w:pPr>
            <w:r w:rsidRPr="00564BC0">
              <w:rPr>
                <w:rFonts w:asciiTheme="minorHAnsi" w:hAnsiTheme="minorHAnsi" w:cstheme="minorHAnsi"/>
                <w:b/>
                <w:szCs w:val="24"/>
              </w:rPr>
              <w:lastRenderedPageBreak/>
              <w:t>Source of Cost</w:t>
            </w:r>
          </w:p>
        </w:tc>
        <w:tc>
          <w:tcPr>
            <w:tcW w:w="1773" w:type="dxa"/>
            <w:tcBorders>
              <w:top w:val="single" w:color="000000" w:sz="4" w:space="0"/>
              <w:left w:val="single" w:color="000000" w:sz="4" w:space="0"/>
              <w:bottom w:val="single" w:color="000000" w:sz="4" w:space="0"/>
              <w:right w:val="single" w:color="000000" w:sz="4" w:space="0"/>
            </w:tcBorders>
            <w:hideMark/>
          </w:tcPr>
          <w:p w:rsidRPr="00564BC0" w:rsidR="00564BC0" w:rsidP="008611A2" w:rsidRDefault="00564BC0" w14:paraId="6819FD2E" w14:textId="77777777">
            <w:pPr>
              <w:tabs>
                <w:tab w:val="left" w:pos="-720"/>
              </w:tabs>
              <w:suppressAutoHyphens/>
              <w:rPr>
                <w:rFonts w:asciiTheme="minorHAnsi" w:hAnsiTheme="minorHAnsi" w:cstheme="minorHAnsi"/>
                <w:b/>
                <w:szCs w:val="24"/>
              </w:rPr>
            </w:pPr>
            <w:r w:rsidRPr="00564BC0">
              <w:rPr>
                <w:rFonts w:asciiTheme="minorHAnsi" w:hAnsiTheme="minorHAnsi" w:cstheme="minorHAnsi"/>
                <w:b/>
                <w:szCs w:val="24"/>
              </w:rPr>
              <w:t>Number of Respondents</w:t>
            </w:r>
          </w:p>
        </w:tc>
        <w:tc>
          <w:tcPr>
            <w:tcW w:w="1076" w:type="dxa"/>
            <w:tcBorders>
              <w:top w:val="single" w:color="000000" w:sz="4" w:space="0"/>
              <w:left w:val="single" w:color="000000" w:sz="4" w:space="0"/>
              <w:bottom w:val="single" w:color="000000" w:sz="4" w:space="0"/>
              <w:right w:val="single" w:color="000000" w:sz="4" w:space="0"/>
            </w:tcBorders>
            <w:hideMark/>
          </w:tcPr>
          <w:p w:rsidRPr="00564BC0" w:rsidR="00564BC0" w:rsidP="008611A2" w:rsidRDefault="00564BC0" w14:paraId="4812BF01" w14:textId="77777777">
            <w:pPr>
              <w:tabs>
                <w:tab w:val="left" w:pos="-720"/>
              </w:tabs>
              <w:suppressAutoHyphens/>
              <w:rPr>
                <w:rFonts w:asciiTheme="minorHAnsi" w:hAnsiTheme="minorHAnsi" w:cstheme="minorHAnsi"/>
                <w:b/>
                <w:szCs w:val="24"/>
              </w:rPr>
            </w:pPr>
            <w:r w:rsidRPr="00564BC0">
              <w:rPr>
                <w:rFonts w:asciiTheme="minorHAnsi" w:hAnsiTheme="minorHAnsi" w:cstheme="minorHAnsi"/>
                <w:b/>
                <w:szCs w:val="24"/>
              </w:rPr>
              <w:t>Number of Hours</w:t>
            </w:r>
          </w:p>
        </w:tc>
        <w:tc>
          <w:tcPr>
            <w:tcW w:w="1202" w:type="dxa"/>
            <w:tcBorders>
              <w:top w:val="single" w:color="000000" w:sz="4" w:space="0"/>
              <w:left w:val="single" w:color="000000" w:sz="4" w:space="0"/>
              <w:bottom w:val="single" w:color="000000" w:sz="4" w:space="0"/>
              <w:right w:val="single" w:color="000000" w:sz="4" w:space="0"/>
            </w:tcBorders>
            <w:hideMark/>
          </w:tcPr>
          <w:p w:rsidRPr="00564BC0" w:rsidR="00564BC0" w:rsidP="008611A2" w:rsidRDefault="00564BC0" w14:paraId="1236556B" w14:textId="77777777">
            <w:pPr>
              <w:tabs>
                <w:tab w:val="left" w:pos="-720"/>
              </w:tabs>
              <w:suppressAutoHyphens/>
              <w:rPr>
                <w:rFonts w:asciiTheme="minorHAnsi" w:hAnsiTheme="minorHAnsi" w:cstheme="minorHAnsi"/>
                <w:b/>
                <w:szCs w:val="24"/>
              </w:rPr>
            </w:pPr>
            <w:r w:rsidRPr="00564BC0">
              <w:rPr>
                <w:rFonts w:asciiTheme="minorHAnsi" w:hAnsiTheme="minorHAnsi" w:cstheme="minorHAnsi"/>
                <w:b/>
                <w:szCs w:val="24"/>
              </w:rPr>
              <w:t>Hourly Rate</w:t>
            </w:r>
          </w:p>
        </w:tc>
        <w:tc>
          <w:tcPr>
            <w:tcW w:w="2035" w:type="dxa"/>
            <w:tcBorders>
              <w:top w:val="single" w:color="000000" w:sz="4" w:space="0"/>
              <w:left w:val="single" w:color="000000" w:sz="4" w:space="0"/>
              <w:bottom w:val="single" w:color="000000" w:sz="4" w:space="0"/>
              <w:right w:val="single" w:color="000000" w:sz="4" w:space="0"/>
            </w:tcBorders>
            <w:hideMark/>
          </w:tcPr>
          <w:p w:rsidRPr="00564BC0" w:rsidR="00564BC0" w:rsidP="008611A2" w:rsidRDefault="00564BC0" w14:paraId="4977AB5C" w14:textId="4D85B2EE">
            <w:pPr>
              <w:tabs>
                <w:tab w:val="left" w:pos="-720"/>
              </w:tabs>
              <w:suppressAutoHyphens/>
              <w:rPr>
                <w:rFonts w:asciiTheme="minorHAnsi" w:hAnsiTheme="minorHAnsi" w:cstheme="minorHAnsi"/>
                <w:b/>
                <w:szCs w:val="24"/>
              </w:rPr>
            </w:pPr>
            <w:r w:rsidRPr="00564BC0">
              <w:rPr>
                <w:rFonts w:asciiTheme="minorHAnsi" w:hAnsiTheme="minorHAnsi" w:cstheme="minorHAnsi"/>
                <w:b/>
                <w:szCs w:val="24"/>
              </w:rPr>
              <w:t>Total Cost</w:t>
            </w:r>
            <w:r w:rsidR="008B03A9">
              <w:rPr>
                <w:rFonts w:asciiTheme="minorHAnsi" w:hAnsiTheme="minorHAnsi" w:cstheme="minorHAnsi"/>
                <w:b/>
                <w:szCs w:val="24"/>
              </w:rPr>
              <w:t xml:space="preserve"> (Fully Loaded x .33)</w:t>
            </w:r>
          </w:p>
        </w:tc>
      </w:tr>
      <w:tr w:rsidRPr="00564BC0" w:rsidR="00564BC0" w:rsidTr="00564BC0" w14:paraId="68CEB11B" w14:textId="77777777">
        <w:tc>
          <w:tcPr>
            <w:tcW w:w="2770" w:type="dxa"/>
            <w:tcBorders>
              <w:top w:val="single" w:color="000000" w:sz="4" w:space="0"/>
              <w:left w:val="single" w:color="000000" w:sz="4" w:space="0"/>
              <w:bottom w:val="single" w:color="000000" w:sz="4" w:space="0"/>
              <w:right w:val="single" w:color="000000" w:sz="4" w:space="0"/>
            </w:tcBorders>
            <w:hideMark/>
          </w:tcPr>
          <w:p w:rsidRPr="00564BC0" w:rsidR="00564BC0" w:rsidP="008611A2" w:rsidRDefault="00564BC0" w14:paraId="03C02650" w14:textId="74997EB1">
            <w:pPr>
              <w:tabs>
                <w:tab w:val="left" w:pos="-720"/>
              </w:tabs>
              <w:suppressAutoHyphens/>
              <w:rPr>
                <w:rFonts w:asciiTheme="minorHAnsi" w:hAnsiTheme="minorHAnsi" w:cstheme="minorHAnsi"/>
                <w:szCs w:val="24"/>
              </w:rPr>
            </w:pPr>
            <w:r>
              <w:rPr>
                <w:rFonts w:asciiTheme="minorHAnsi" w:hAnsiTheme="minorHAnsi" w:cstheme="minorHAnsi"/>
                <w:szCs w:val="24"/>
              </w:rPr>
              <w:t>Federal Employees (GS-14,</w:t>
            </w:r>
            <w:r w:rsidRPr="00564BC0">
              <w:rPr>
                <w:rFonts w:asciiTheme="minorHAnsi" w:hAnsiTheme="minorHAnsi" w:cstheme="minorHAnsi"/>
                <w:szCs w:val="24"/>
              </w:rPr>
              <w:t xml:space="preserve"> step 5)</w:t>
            </w:r>
          </w:p>
        </w:tc>
        <w:tc>
          <w:tcPr>
            <w:tcW w:w="1773" w:type="dxa"/>
            <w:tcBorders>
              <w:top w:val="single" w:color="000000" w:sz="4" w:space="0"/>
              <w:left w:val="single" w:color="000000" w:sz="4" w:space="0"/>
              <w:bottom w:val="single" w:color="000000" w:sz="4" w:space="0"/>
              <w:right w:val="single" w:color="000000" w:sz="4" w:space="0"/>
            </w:tcBorders>
            <w:hideMark/>
          </w:tcPr>
          <w:p w:rsidRPr="00564BC0" w:rsidR="00564BC0" w:rsidP="008611A2" w:rsidRDefault="00564BC0" w14:paraId="7D8A6C41" w14:textId="77777777">
            <w:pPr>
              <w:tabs>
                <w:tab w:val="left" w:pos="-720"/>
              </w:tabs>
              <w:suppressAutoHyphens/>
              <w:rPr>
                <w:rFonts w:asciiTheme="minorHAnsi" w:hAnsiTheme="minorHAnsi" w:cstheme="minorHAnsi"/>
                <w:szCs w:val="24"/>
              </w:rPr>
            </w:pPr>
            <w:r w:rsidRPr="00564BC0">
              <w:rPr>
                <w:rFonts w:asciiTheme="minorHAnsi" w:hAnsiTheme="minorHAnsi" w:cstheme="minorHAnsi"/>
                <w:szCs w:val="24"/>
              </w:rPr>
              <w:t>1</w:t>
            </w:r>
          </w:p>
        </w:tc>
        <w:tc>
          <w:tcPr>
            <w:tcW w:w="1076" w:type="dxa"/>
            <w:tcBorders>
              <w:top w:val="single" w:color="000000" w:sz="4" w:space="0"/>
              <w:left w:val="single" w:color="000000" w:sz="4" w:space="0"/>
              <w:bottom w:val="single" w:color="000000" w:sz="4" w:space="0"/>
              <w:right w:val="single" w:color="000000" w:sz="4" w:space="0"/>
            </w:tcBorders>
            <w:hideMark/>
          </w:tcPr>
          <w:p w:rsidRPr="00564BC0" w:rsidR="00564BC0" w:rsidP="008611A2" w:rsidRDefault="00564BC0" w14:paraId="4267E55C" w14:textId="77777777">
            <w:pPr>
              <w:tabs>
                <w:tab w:val="left" w:pos="-720"/>
              </w:tabs>
              <w:suppressAutoHyphens/>
              <w:rPr>
                <w:rFonts w:asciiTheme="minorHAnsi" w:hAnsiTheme="minorHAnsi" w:cstheme="minorHAnsi"/>
                <w:szCs w:val="24"/>
              </w:rPr>
            </w:pPr>
            <w:r w:rsidRPr="00564BC0">
              <w:rPr>
                <w:rFonts w:asciiTheme="minorHAnsi" w:hAnsiTheme="minorHAnsi" w:cstheme="minorHAnsi"/>
                <w:szCs w:val="24"/>
              </w:rPr>
              <w:t>10</w:t>
            </w:r>
          </w:p>
        </w:tc>
        <w:tc>
          <w:tcPr>
            <w:tcW w:w="1202" w:type="dxa"/>
            <w:tcBorders>
              <w:top w:val="single" w:color="000000" w:sz="4" w:space="0"/>
              <w:left w:val="single" w:color="000000" w:sz="4" w:space="0"/>
              <w:bottom w:val="single" w:color="000000" w:sz="4" w:space="0"/>
              <w:right w:val="single" w:color="000000" w:sz="4" w:space="0"/>
            </w:tcBorders>
            <w:hideMark/>
          </w:tcPr>
          <w:p w:rsidRPr="00564BC0" w:rsidR="00564BC0" w:rsidP="008611A2" w:rsidRDefault="008611A2" w14:paraId="26D6DC0E" w14:textId="63F71610">
            <w:pPr>
              <w:tabs>
                <w:tab w:val="left" w:pos="-720"/>
              </w:tabs>
              <w:suppressAutoHyphens/>
              <w:rPr>
                <w:rFonts w:asciiTheme="minorHAnsi" w:hAnsiTheme="minorHAnsi" w:cstheme="minorHAnsi"/>
                <w:szCs w:val="24"/>
              </w:rPr>
            </w:pPr>
            <w:r>
              <w:rPr>
                <w:rFonts w:asciiTheme="minorHAnsi" w:hAnsiTheme="minorHAnsi" w:cstheme="minorHAnsi"/>
                <w:szCs w:val="24"/>
              </w:rPr>
              <w:t>$50.49</w:t>
            </w:r>
          </w:p>
        </w:tc>
        <w:tc>
          <w:tcPr>
            <w:tcW w:w="2035" w:type="dxa"/>
            <w:tcBorders>
              <w:top w:val="single" w:color="000000" w:sz="4" w:space="0"/>
              <w:left w:val="single" w:color="000000" w:sz="4" w:space="0"/>
              <w:bottom w:val="single" w:color="000000" w:sz="4" w:space="0"/>
              <w:right w:val="single" w:color="000000" w:sz="4" w:space="0"/>
            </w:tcBorders>
            <w:hideMark/>
          </w:tcPr>
          <w:p w:rsidRPr="00564BC0" w:rsidR="00564BC0" w:rsidP="008611A2" w:rsidRDefault="008B03A9" w14:paraId="1BC4D290" w14:textId="3F9EC04C">
            <w:pPr>
              <w:tabs>
                <w:tab w:val="left" w:pos="-720"/>
              </w:tabs>
              <w:suppressAutoHyphens/>
              <w:rPr>
                <w:rFonts w:asciiTheme="minorHAnsi" w:hAnsiTheme="minorHAnsi" w:cstheme="minorHAnsi"/>
                <w:szCs w:val="24"/>
              </w:rPr>
            </w:pPr>
            <w:r>
              <w:rPr>
                <w:rFonts w:asciiTheme="minorHAnsi" w:hAnsiTheme="minorHAnsi" w:cstheme="minorHAnsi"/>
                <w:szCs w:val="24"/>
              </w:rPr>
              <w:t>$671.52</w:t>
            </w:r>
          </w:p>
        </w:tc>
      </w:tr>
      <w:tr w:rsidRPr="00564BC0" w:rsidR="00564BC0" w:rsidTr="008611A2" w14:paraId="12A97511" w14:textId="77777777">
        <w:tc>
          <w:tcPr>
            <w:tcW w:w="2770" w:type="dxa"/>
            <w:tcBorders>
              <w:top w:val="single" w:color="000000" w:sz="4" w:space="0"/>
              <w:left w:val="single" w:color="000000" w:sz="4" w:space="0"/>
              <w:bottom w:val="single" w:color="000000" w:sz="4" w:space="0"/>
              <w:right w:val="single" w:color="000000" w:sz="4" w:space="0"/>
            </w:tcBorders>
            <w:hideMark/>
          </w:tcPr>
          <w:p w:rsidRPr="00564BC0" w:rsidR="00564BC0" w:rsidP="008611A2" w:rsidRDefault="008611A2" w14:paraId="0077D2D6" w14:textId="7E4A0FCA">
            <w:pPr>
              <w:tabs>
                <w:tab w:val="left" w:pos="-720"/>
              </w:tabs>
              <w:suppressAutoHyphens/>
              <w:rPr>
                <w:rFonts w:asciiTheme="minorHAnsi" w:hAnsiTheme="minorHAnsi" w:cstheme="minorHAnsi"/>
                <w:szCs w:val="24"/>
              </w:rPr>
            </w:pPr>
            <w:r>
              <w:rPr>
                <w:rFonts w:asciiTheme="minorHAnsi" w:hAnsiTheme="minorHAnsi" w:cstheme="minorHAnsi"/>
                <w:szCs w:val="24"/>
              </w:rPr>
              <w:t>Federal Share of State Costs</w:t>
            </w:r>
          </w:p>
        </w:tc>
        <w:tc>
          <w:tcPr>
            <w:tcW w:w="1773" w:type="dxa"/>
            <w:tcBorders>
              <w:top w:val="single" w:color="000000" w:sz="4" w:space="0"/>
              <w:left w:val="single" w:color="000000" w:sz="4" w:space="0"/>
              <w:bottom w:val="single" w:color="000000" w:sz="4" w:space="0"/>
              <w:right w:val="single" w:color="000000" w:sz="4" w:space="0"/>
            </w:tcBorders>
            <w:shd w:val="clear" w:color="auto" w:fill="F2F2F2" w:themeFill="background1" w:themeFillShade="F2"/>
          </w:tcPr>
          <w:p w:rsidRPr="00564BC0" w:rsidR="00564BC0" w:rsidP="008611A2" w:rsidRDefault="00564BC0" w14:paraId="0FE01C1C" w14:textId="77777777">
            <w:pPr>
              <w:tabs>
                <w:tab w:val="left" w:pos="-720"/>
              </w:tabs>
              <w:suppressAutoHyphens/>
              <w:rPr>
                <w:rFonts w:asciiTheme="minorHAnsi" w:hAnsiTheme="minorHAnsi" w:cstheme="minorHAnsi"/>
                <w:szCs w:val="24"/>
              </w:rPr>
            </w:pPr>
          </w:p>
        </w:tc>
        <w:tc>
          <w:tcPr>
            <w:tcW w:w="1076" w:type="dxa"/>
            <w:tcBorders>
              <w:top w:val="single" w:color="000000" w:sz="4" w:space="0"/>
              <w:left w:val="single" w:color="000000" w:sz="4" w:space="0"/>
              <w:bottom w:val="single" w:color="000000" w:sz="4" w:space="0"/>
              <w:right w:val="single" w:color="000000" w:sz="4" w:space="0"/>
            </w:tcBorders>
            <w:shd w:val="clear" w:color="auto" w:fill="F2F2F2" w:themeFill="background1" w:themeFillShade="F2"/>
          </w:tcPr>
          <w:p w:rsidRPr="00564BC0" w:rsidR="00564BC0" w:rsidP="008611A2" w:rsidRDefault="00564BC0" w14:paraId="23A312C6" w14:textId="0A366689">
            <w:pPr>
              <w:tabs>
                <w:tab w:val="left" w:pos="-720"/>
              </w:tabs>
              <w:suppressAutoHyphens/>
              <w:rPr>
                <w:rFonts w:asciiTheme="minorHAnsi" w:hAnsiTheme="minorHAnsi" w:cstheme="minorHAnsi"/>
                <w:szCs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F2F2F2" w:themeFill="background1" w:themeFillShade="F2"/>
          </w:tcPr>
          <w:p w:rsidRPr="00564BC0" w:rsidR="00564BC0" w:rsidP="008611A2" w:rsidRDefault="00564BC0" w14:paraId="4214088A" w14:textId="1A27F6DE">
            <w:pPr>
              <w:tabs>
                <w:tab w:val="left" w:pos="-720"/>
              </w:tabs>
              <w:suppressAutoHyphens/>
              <w:rPr>
                <w:rFonts w:asciiTheme="minorHAnsi" w:hAnsiTheme="minorHAnsi" w:cstheme="minorHAnsi"/>
                <w:szCs w:val="24"/>
              </w:rPr>
            </w:pPr>
          </w:p>
        </w:tc>
        <w:tc>
          <w:tcPr>
            <w:tcW w:w="2035" w:type="dxa"/>
            <w:tcBorders>
              <w:top w:val="single" w:color="000000" w:sz="4" w:space="0"/>
              <w:left w:val="single" w:color="000000" w:sz="4" w:space="0"/>
              <w:bottom w:val="single" w:color="000000" w:sz="4" w:space="0"/>
              <w:right w:val="single" w:color="000000" w:sz="4" w:space="0"/>
            </w:tcBorders>
            <w:hideMark/>
          </w:tcPr>
          <w:p w:rsidRPr="00564BC0" w:rsidR="00564BC0" w:rsidP="008611A2" w:rsidRDefault="00564BC0" w14:paraId="159866B9" w14:textId="71F9E707">
            <w:pPr>
              <w:tabs>
                <w:tab w:val="left" w:pos="-720"/>
              </w:tabs>
              <w:suppressAutoHyphens/>
              <w:rPr>
                <w:rFonts w:asciiTheme="minorHAnsi" w:hAnsiTheme="minorHAnsi" w:cstheme="minorHAnsi"/>
                <w:szCs w:val="24"/>
              </w:rPr>
            </w:pPr>
            <w:r w:rsidRPr="00564BC0">
              <w:rPr>
                <w:rFonts w:asciiTheme="minorHAnsi" w:hAnsiTheme="minorHAnsi" w:cstheme="minorHAnsi"/>
                <w:szCs w:val="24"/>
              </w:rPr>
              <w:t>$</w:t>
            </w:r>
            <w:r w:rsidR="008611A2">
              <w:rPr>
                <w:rFonts w:asciiTheme="minorHAnsi" w:hAnsiTheme="minorHAnsi" w:cstheme="minorHAnsi"/>
                <w:szCs w:val="24"/>
              </w:rPr>
              <w:t>11,805.10</w:t>
            </w:r>
          </w:p>
        </w:tc>
      </w:tr>
      <w:tr w:rsidRPr="00564BC0" w:rsidR="00564BC0" w:rsidTr="00564BC0" w14:paraId="53E4E7C0" w14:textId="77777777">
        <w:tc>
          <w:tcPr>
            <w:tcW w:w="2770" w:type="dxa"/>
            <w:tcBorders>
              <w:top w:val="single" w:color="000000" w:sz="4" w:space="0"/>
              <w:left w:val="single" w:color="000000" w:sz="4" w:space="0"/>
              <w:bottom w:val="single" w:color="000000" w:sz="4" w:space="0"/>
              <w:right w:val="single" w:color="000000" w:sz="4" w:space="0"/>
            </w:tcBorders>
            <w:hideMark/>
          </w:tcPr>
          <w:p w:rsidRPr="00564BC0" w:rsidR="00564BC0" w:rsidP="008611A2" w:rsidRDefault="00564BC0" w14:paraId="09FCC6F3" w14:textId="77777777">
            <w:pPr>
              <w:tabs>
                <w:tab w:val="left" w:pos="-720"/>
              </w:tabs>
              <w:suppressAutoHyphens/>
              <w:rPr>
                <w:rFonts w:asciiTheme="minorHAnsi" w:hAnsiTheme="minorHAnsi" w:cstheme="minorHAnsi"/>
                <w:szCs w:val="24"/>
              </w:rPr>
            </w:pPr>
            <w:r w:rsidRPr="00564BC0">
              <w:rPr>
                <w:rFonts w:asciiTheme="minorHAnsi" w:hAnsiTheme="minorHAnsi" w:cstheme="minorHAnsi"/>
                <w:szCs w:val="24"/>
              </w:rPr>
              <w:t>Total</w:t>
            </w:r>
          </w:p>
        </w:tc>
        <w:tc>
          <w:tcPr>
            <w:tcW w:w="1773" w:type="dxa"/>
            <w:tcBorders>
              <w:top w:val="single" w:color="000000" w:sz="4" w:space="0"/>
              <w:left w:val="single" w:color="000000" w:sz="4" w:space="0"/>
              <w:bottom w:val="single" w:color="000000" w:sz="4" w:space="0"/>
              <w:right w:val="single" w:color="000000" w:sz="4" w:space="0"/>
            </w:tcBorders>
            <w:hideMark/>
          </w:tcPr>
          <w:p w:rsidRPr="00564BC0" w:rsidR="00564BC0" w:rsidP="008611A2" w:rsidRDefault="00564BC0" w14:paraId="41690D7A" w14:textId="77777777">
            <w:pPr>
              <w:tabs>
                <w:tab w:val="left" w:pos="-720"/>
              </w:tabs>
              <w:suppressAutoHyphens/>
              <w:rPr>
                <w:rFonts w:asciiTheme="minorHAnsi" w:hAnsiTheme="minorHAnsi" w:cstheme="minorHAnsi"/>
                <w:szCs w:val="24"/>
              </w:rPr>
            </w:pPr>
          </w:p>
        </w:tc>
        <w:tc>
          <w:tcPr>
            <w:tcW w:w="1076" w:type="dxa"/>
            <w:tcBorders>
              <w:top w:val="single" w:color="000000" w:sz="4" w:space="0"/>
              <w:left w:val="single" w:color="000000" w:sz="4" w:space="0"/>
              <w:bottom w:val="single" w:color="000000" w:sz="4" w:space="0"/>
              <w:right w:val="single" w:color="000000" w:sz="4" w:space="0"/>
            </w:tcBorders>
            <w:hideMark/>
          </w:tcPr>
          <w:p w:rsidRPr="00564BC0" w:rsidR="00564BC0" w:rsidP="008611A2" w:rsidRDefault="00564BC0" w14:paraId="7636D9CF" w14:textId="77777777">
            <w:pPr>
              <w:tabs>
                <w:tab w:val="left" w:pos="-720"/>
              </w:tabs>
              <w:suppressAutoHyphens/>
              <w:rPr>
                <w:rFonts w:asciiTheme="minorHAnsi" w:hAnsiTheme="minorHAnsi" w:cstheme="minorHAnsi"/>
                <w:szCs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7F7F7F" w:themeFill="text1" w:themeFillTint="80"/>
          </w:tcPr>
          <w:p w:rsidRPr="00564BC0" w:rsidR="00564BC0" w:rsidP="008611A2" w:rsidRDefault="00564BC0" w14:paraId="314EC7E5" w14:textId="77777777">
            <w:pPr>
              <w:tabs>
                <w:tab w:val="left" w:pos="-720"/>
              </w:tabs>
              <w:suppressAutoHyphens/>
              <w:rPr>
                <w:rFonts w:asciiTheme="minorHAnsi" w:hAnsiTheme="minorHAnsi" w:cstheme="minorHAnsi"/>
                <w:szCs w:val="24"/>
              </w:rPr>
            </w:pPr>
          </w:p>
        </w:tc>
        <w:tc>
          <w:tcPr>
            <w:tcW w:w="2035" w:type="dxa"/>
            <w:tcBorders>
              <w:top w:val="single" w:color="000000" w:sz="4" w:space="0"/>
              <w:left w:val="single" w:color="000000" w:sz="4" w:space="0"/>
              <w:bottom w:val="single" w:color="000000" w:sz="4" w:space="0"/>
              <w:right w:val="single" w:color="000000" w:sz="4" w:space="0"/>
            </w:tcBorders>
            <w:hideMark/>
          </w:tcPr>
          <w:p w:rsidRPr="00564BC0" w:rsidR="00564BC0" w:rsidP="008611A2" w:rsidRDefault="008B03A9" w14:paraId="36577309" w14:textId="1A043EAE">
            <w:pPr>
              <w:tabs>
                <w:tab w:val="left" w:pos="-720"/>
              </w:tabs>
              <w:suppressAutoHyphens/>
              <w:rPr>
                <w:rFonts w:asciiTheme="minorHAnsi" w:hAnsiTheme="minorHAnsi" w:cstheme="minorHAnsi"/>
                <w:szCs w:val="24"/>
              </w:rPr>
            </w:pPr>
            <w:r>
              <w:rPr>
                <w:rFonts w:asciiTheme="minorHAnsi" w:hAnsiTheme="minorHAnsi" w:cstheme="minorHAnsi"/>
                <w:szCs w:val="24"/>
              </w:rPr>
              <w:t>$12,476.62</w:t>
            </w:r>
          </w:p>
        </w:tc>
      </w:tr>
    </w:tbl>
    <w:p w:rsidRPr="00FC1110" w:rsidR="00ED28F2" w:rsidP="00ED28F2" w:rsidRDefault="00ED28F2" w14:paraId="5D4B1B54" w14:textId="77777777">
      <w:pPr>
        <w:tabs>
          <w:tab w:val="left" w:pos="-720"/>
        </w:tabs>
        <w:suppressAutoHyphens/>
        <w:spacing w:line="480" w:lineRule="auto"/>
        <w:rPr>
          <w:rFonts w:asciiTheme="minorHAnsi" w:hAnsiTheme="minorHAnsi" w:cstheme="minorHAnsi"/>
          <w:szCs w:val="24"/>
        </w:rPr>
      </w:pPr>
    </w:p>
    <w:p w:rsidRPr="00FC1110" w:rsidR="000438E8" w:rsidP="0062567E" w:rsidRDefault="000438E8" w14:paraId="25643E4F" w14:textId="77777777">
      <w:pPr>
        <w:pStyle w:val="Heading1"/>
        <w:rPr>
          <w:rFonts w:asciiTheme="minorHAnsi" w:hAnsiTheme="minorHAnsi" w:cstheme="minorHAnsi"/>
          <w:szCs w:val="24"/>
        </w:rPr>
      </w:pPr>
      <w:bookmarkStart w:name="_Toc401831371" w:id="42"/>
      <w:bookmarkStart w:name="_Toc55565804" w:id="43"/>
      <w:r w:rsidRPr="00FC1110">
        <w:rPr>
          <w:rFonts w:asciiTheme="minorHAnsi" w:hAnsiTheme="minorHAnsi" w:cstheme="minorHAnsi"/>
          <w:szCs w:val="24"/>
        </w:rPr>
        <w:t xml:space="preserve">A15.  </w:t>
      </w:r>
      <w:r w:rsidRPr="00FC1110" w:rsidR="00C619D0">
        <w:rPr>
          <w:rFonts w:asciiTheme="minorHAnsi" w:hAnsiTheme="minorHAnsi" w:cstheme="minorHAnsi"/>
          <w:szCs w:val="24"/>
        </w:rPr>
        <w:t xml:space="preserve">Explanation of </w:t>
      </w:r>
      <w:r w:rsidRPr="00FC1110" w:rsidR="00E0371E">
        <w:rPr>
          <w:rFonts w:asciiTheme="minorHAnsi" w:hAnsiTheme="minorHAnsi" w:cstheme="minorHAnsi"/>
          <w:szCs w:val="24"/>
        </w:rPr>
        <w:t xml:space="preserve">program </w:t>
      </w:r>
      <w:r w:rsidRPr="00FC1110" w:rsidR="00C619D0">
        <w:rPr>
          <w:rFonts w:asciiTheme="minorHAnsi" w:hAnsiTheme="minorHAnsi" w:cstheme="minorHAnsi"/>
          <w:szCs w:val="24"/>
        </w:rPr>
        <w:t>changes or adjustments</w:t>
      </w:r>
      <w:r w:rsidRPr="00FC1110" w:rsidR="005E0A1A">
        <w:rPr>
          <w:rFonts w:asciiTheme="minorHAnsi" w:hAnsiTheme="minorHAnsi" w:cstheme="minorHAnsi"/>
          <w:szCs w:val="24"/>
        </w:rPr>
        <w:t>.</w:t>
      </w:r>
      <w:bookmarkEnd w:id="42"/>
      <w:bookmarkEnd w:id="43"/>
    </w:p>
    <w:p w:rsidRPr="00FC1110" w:rsidR="0062567E" w:rsidP="0062567E" w:rsidRDefault="0062567E" w14:paraId="11B7198B" w14:textId="77777777">
      <w:pPr>
        <w:tabs>
          <w:tab w:val="left" w:pos="0"/>
        </w:tabs>
        <w:suppressAutoHyphens/>
        <w:jc w:val="center"/>
        <w:rPr>
          <w:rFonts w:asciiTheme="minorHAnsi" w:hAnsiTheme="minorHAnsi" w:cstheme="minorHAnsi"/>
          <w:b/>
          <w:szCs w:val="24"/>
        </w:rPr>
      </w:pPr>
    </w:p>
    <w:p w:rsidRPr="00FC1110" w:rsidR="0062567E" w:rsidP="0062567E" w:rsidRDefault="0062567E" w14:paraId="385BAFDB" w14:textId="77777777">
      <w:pPr>
        <w:pStyle w:val="ListParagraph"/>
        <w:widowControl/>
        <w:spacing w:line="360" w:lineRule="auto"/>
        <w:ind w:left="0"/>
        <w:rPr>
          <w:rFonts w:asciiTheme="minorHAnsi" w:hAnsiTheme="minorHAnsi" w:cstheme="minorHAnsi"/>
          <w:b/>
          <w:szCs w:val="24"/>
        </w:rPr>
      </w:pPr>
      <w:r w:rsidRPr="00FC1110">
        <w:rPr>
          <w:rFonts w:asciiTheme="minorHAnsi" w:hAnsiTheme="minorHAnsi" w:cstheme="minorHAnsi"/>
          <w:b/>
          <w:szCs w:val="24"/>
        </w:rPr>
        <w:t>Explain the reasons for any program changes or adjustments reported in Items 13 or 14 of the OMB Form 83-</w:t>
      </w:r>
      <w:r w:rsidRPr="00FC1110" w:rsidR="00ED28F2">
        <w:rPr>
          <w:rFonts w:asciiTheme="minorHAnsi" w:hAnsiTheme="minorHAnsi" w:cstheme="minorHAnsi"/>
          <w:b/>
          <w:szCs w:val="24"/>
        </w:rPr>
        <w:t>I</w:t>
      </w:r>
      <w:r w:rsidRPr="00FC1110">
        <w:rPr>
          <w:rFonts w:asciiTheme="minorHAnsi" w:hAnsiTheme="minorHAnsi" w:cstheme="minorHAnsi"/>
          <w:b/>
          <w:szCs w:val="24"/>
        </w:rPr>
        <w:t>.</w:t>
      </w:r>
    </w:p>
    <w:p w:rsidR="0046397E" w:rsidP="000438E8" w:rsidRDefault="0046397E" w14:paraId="468331AB" w14:textId="77777777">
      <w:pPr>
        <w:tabs>
          <w:tab w:val="left" w:pos="0"/>
        </w:tabs>
        <w:suppressAutoHyphens/>
        <w:rPr>
          <w:rFonts w:asciiTheme="minorHAnsi" w:hAnsiTheme="minorHAnsi" w:cstheme="minorHAnsi"/>
          <w:szCs w:val="24"/>
        </w:rPr>
      </w:pPr>
      <w:r w:rsidRPr="0046397E">
        <w:rPr>
          <w:rFonts w:asciiTheme="minorHAnsi" w:hAnsiTheme="minorHAnsi" w:cstheme="minorHAnsi"/>
          <w:szCs w:val="24"/>
        </w:rPr>
        <w:t xml:space="preserve">The emergency information collection approved by OMB (0584-0652) sought approval of the </w:t>
      </w:r>
    </w:p>
    <w:p w:rsidR="0046397E" w:rsidP="000438E8" w:rsidRDefault="0046397E" w14:paraId="4BD06E1B" w14:textId="77777777">
      <w:pPr>
        <w:tabs>
          <w:tab w:val="left" w:pos="0"/>
        </w:tabs>
        <w:suppressAutoHyphens/>
        <w:rPr>
          <w:rFonts w:asciiTheme="minorHAnsi" w:hAnsiTheme="minorHAnsi" w:cstheme="minorHAnsi"/>
          <w:szCs w:val="24"/>
        </w:rPr>
      </w:pPr>
    </w:p>
    <w:p w:rsidR="0046397E" w:rsidP="000438E8" w:rsidRDefault="0046397E" w14:paraId="6D82441F" w14:textId="77777777">
      <w:pPr>
        <w:tabs>
          <w:tab w:val="left" w:pos="0"/>
        </w:tabs>
        <w:suppressAutoHyphens/>
        <w:rPr>
          <w:rFonts w:asciiTheme="minorHAnsi" w:hAnsiTheme="minorHAnsi" w:cstheme="minorHAnsi"/>
          <w:szCs w:val="24"/>
        </w:rPr>
      </w:pPr>
      <w:proofErr w:type="gramStart"/>
      <w:r w:rsidRPr="0046397E">
        <w:rPr>
          <w:rFonts w:asciiTheme="minorHAnsi" w:hAnsiTheme="minorHAnsi" w:cstheme="minorHAnsi"/>
          <w:szCs w:val="24"/>
        </w:rPr>
        <w:t>burden</w:t>
      </w:r>
      <w:proofErr w:type="gramEnd"/>
      <w:r w:rsidRPr="0046397E">
        <w:rPr>
          <w:rFonts w:asciiTheme="minorHAnsi" w:hAnsiTheme="minorHAnsi" w:cstheme="minorHAnsi"/>
          <w:szCs w:val="24"/>
        </w:rPr>
        <w:t xml:space="preserve"> associated with expanding the SNAP online purchasing pilot, operation of the Pandemic </w:t>
      </w:r>
    </w:p>
    <w:p w:rsidR="0046397E" w:rsidP="000438E8" w:rsidRDefault="0046397E" w14:paraId="23F7CC9F" w14:textId="77777777">
      <w:pPr>
        <w:tabs>
          <w:tab w:val="left" w:pos="0"/>
        </w:tabs>
        <w:suppressAutoHyphens/>
        <w:rPr>
          <w:rFonts w:asciiTheme="minorHAnsi" w:hAnsiTheme="minorHAnsi" w:cstheme="minorHAnsi"/>
          <w:szCs w:val="24"/>
        </w:rPr>
      </w:pPr>
    </w:p>
    <w:p w:rsidR="0046397E" w:rsidP="000438E8" w:rsidRDefault="0046397E" w14:paraId="502425F2" w14:textId="77777777">
      <w:pPr>
        <w:tabs>
          <w:tab w:val="left" w:pos="0"/>
        </w:tabs>
        <w:suppressAutoHyphens/>
        <w:rPr>
          <w:rFonts w:asciiTheme="minorHAnsi" w:hAnsiTheme="minorHAnsi" w:cstheme="minorHAnsi"/>
          <w:szCs w:val="24"/>
        </w:rPr>
      </w:pPr>
      <w:r w:rsidRPr="0046397E">
        <w:rPr>
          <w:rFonts w:asciiTheme="minorHAnsi" w:hAnsiTheme="minorHAnsi" w:cstheme="minorHAnsi"/>
          <w:szCs w:val="24"/>
        </w:rPr>
        <w:t xml:space="preserve">EBT (P-EBT) program, and SNAP emergency allotments (EA).  This information collection request </w:t>
      </w:r>
    </w:p>
    <w:p w:rsidR="0046397E" w:rsidP="000438E8" w:rsidRDefault="0046397E" w14:paraId="0430CA3D" w14:textId="77777777">
      <w:pPr>
        <w:tabs>
          <w:tab w:val="left" w:pos="0"/>
        </w:tabs>
        <w:suppressAutoHyphens/>
        <w:rPr>
          <w:rFonts w:asciiTheme="minorHAnsi" w:hAnsiTheme="minorHAnsi" w:cstheme="minorHAnsi"/>
          <w:szCs w:val="24"/>
        </w:rPr>
      </w:pPr>
    </w:p>
    <w:p w:rsidR="0046397E" w:rsidP="000438E8" w:rsidRDefault="0046397E" w14:paraId="4CBB8395" w14:textId="77777777">
      <w:pPr>
        <w:tabs>
          <w:tab w:val="left" w:pos="0"/>
        </w:tabs>
        <w:suppressAutoHyphens/>
        <w:rPr>
          <w:rFonts w:asciiTheme="minorHAnsi" w:hAnsiTheme="minorHAnsi" w:cstheme="minorHAnsi"/>
          <w:szCs w:val="24"/>
        </w:rPr>
      </w:pPr>
      <w:proofErr w:type="gramStart"/>
      <w:r w:rsidRPr="0046397E">
        <w:rPr>
          <w:rFonts w:asciiTheme="minorHAnsi" w:hAnsiTheme="minorHAnsi" w:cstheme="minorHAnsi"/>
          <w:szCs w:val="24"/>
        </w:rPr>
        <w:t>only</w:t>
      </w:r>
      <w:proofErr w:type="gramEnd"/>
      <w:r w:rsidRPr="0046397E">
        <w:rPr>
          <w:rFonts w:asciiTheme="minorHAnsi" w:hAnsiTheme="minorHAnsi" w:cstheme="minorHAnsi"/>
          <w:szCs w:val="24"/>
        </w:rPr>
        <w:t xml:space="preserve"> seeks approval for the continued burden associated with EA which is 2,067 responses and </w:t>
      </w:r>
    </w:p>
    <w:p w:rsidR="0046397E" w:rsidP="000438E8" w:rsidRDefault="0046397E" w14:paraId="7700D6DB" w14:textId="77777777">
      <w:pPr>
        <w:tabs>
          <w:tab w:val="left" w:pos="0"/>
        </w:tabs>
        <w:suppressAutoHyphens/>
        <w:rPr>
          <w:rFonts w:asciiTheme="minorHAnsi" w:hAnsiTheme="minorHAnsi" w:cstheme="minorHAnsi"/>
          <w:szCs w:val="24"/>
        </w:rPr>
      </w:pPr>
    </w:p>
    <w:p w:rsidR="0046397E" w:rsidP="000438E8" w:rsidRDefault="0046397E" w14:paraId="3C7DC1A2" w14:textId="77777777">
      <w:pPr>
        <w:tabs>
          <w:tab w:val="left" w:pos="0"/>
        </w:tabs>
        <w:suppressAutoHyphens/>
        <w:rPr>
          <w:rFonts w:asciiTheme="minorHAnsi" w:hAnsiTheme="minorHAnsi" w:cstheme="minorHAnsi"/>
          <w:szCs w:val="24"/>
        </w:rPr>
      </w:pPr>
      <w:r w:rsidRPr="0046397E">
        <w:rPr>
          <w:rFonts w:asciiTheme="minorHAnsi" w:hAnsiTheme="minorHAnsi" w:cstheme="minorHAnsi"/>
          <w:szCs w:val="24"/>
        </w:rPr>
        <w:t xml:space="preserve">763 burden hours, because the SNAP online purchasing pilot is now complete and the burden </w:t>
      </w:r>
    </w:p>
    <w:p w:rsidR="0046397E" w:rsidP="000438E8" w:rsidRDefault="0046397E" w14:paraId="2E075F11" w14:textId="77777777">
      <w:pPr>
        <w:tabs>
          <w:tab w:val="left" w:pos="0"/>
        </w:tabs>
        <w:suppressAutoHyphens/>
        <w:rPr>
          <w:rFonts w:asciiTheme="minorHAnsi" w:hAnsiTheme="minorHAnsi" w:cstheme="minorHAnsi"/>
          <w:szCs w:val="24"/>
        </w:rPr>
      </w:pPr>
    </w:p>
    <w:p w:rsidR="0046397E" w:rsidP="000438E8" w:rsidRDefault="0046397E" w14:paraId="1283B442" w14:textId="77777777">
      <w:pPr>
        <w:tabs>
          <w:tab w:val="left" w:pos="0"/>
        </w:tabs>
        <w:suppressAutoHyphens/>
        <w:rPr>
          <w:rFonts w:asciiTheme="minorHAnsi" w:hAnsiTheme="minorHAnsi" w:cstheme="minorHAnsi"/>
          <w:szCs w:val="24"/>
        </w:rPr>
      </w:pPr>
      <w:proofErr w:type="gramStart"/>
      <w:r w:rsidRPr="0046397E">
        <w:rPr>
          <w:rFonts w:asciiTheme="minorHAnsi" w:hAnsiTheme="minorHAnsi" w:cstheme="minorHAnsi"/>
          <w:szCs w:val="24"/>
        </w:rPr>
        <w:t>associated</w:t>
      </w:r>
      <w:proofErr w:type="gramEnd"/>
      <w:r w:rsidRPr="0046397E">
        <w:rPr>
          <w:rFonts w:asciiTheme="minorHAnsi" w:hAnsiTheme="minorHAnsi" w:cstheme="minorHAnsi"/>
          <w:szCs w:val="24"/>
        </w:rPr>
        <w:t xml:space="preserve"> with P-EBT will be handled through a separate ICR process.  This information </w:t>
      </w:r>
    </w:p>
    <w:p w:rsidR="0046397E" w:rsidP="000438E8" w:rsidRDefault="0046397E" w14:paraId="283185C4" w14:textId="77777777">
      <w:pPr>
        <w:tabs>
          <w:tab w:val="left" w:pos="0"/>
        </w:tabs>
        <w:suppressAutoHyphens/>
        <w:rPr>
          <w:rFonts w:asciiTheme="minorHAnsi" w:hAnsiTheme="minorHAnsi" w:cstheme="minorHAnsi"/>
          <w:szCs w:val="24"/>
        </w:rPr>
      </w:pPr>
    </w:p>
    <w:p w:rsidR="0046397E" w:rsidP="000438E8" w:rsidRDefault="0046397E" w14:paraId="7FEB594E" w14:textId="77777777">
      <w:pPr>
        <w:tabs>
          <w:tab w:val="left" w:pos="0"/>
        </w:tabs>
        <w:suppressAutoHyphens/>
        <w:rPr>
          <w:rFonts w:asciiTheme="minorHAnsi" w:hAnsiTheme="minorHAnsi" w:cstheme="minorHAnsi"/>
          <w:szCs w:val="24"/>
        </w:rPr>
      </w:pPr>
      <w:proofErr w:type="gramStart"/>
      <w:r w:rsidRPr="0046397E">
        <w:rPr>
          <w:rFonts w:asciiTheme="minorHAnsi" w:hAnsiTheme="minorHAnsi" w:cstheme="minorHAnsi"/>
          <w:szCs w:val="24"/>
        </w:rPr>
        <w:t>coll</w:t>
      </w:r>
      <w:bookmarkStart w:name="_GoBack" w:id="44"/>
      <w:bookmarkEnd w:id="44"/>
      <w:r w:rsidRPr="0046397E">
        <w:rPr>
          <w:rFonts w:asciiTheme="minorHAnsi" w:hAnsiTheme="minorHAnsi" w:cstheme="minorHAnsi"/>
          <w:szCs w:val="24"/>
        </w:rPr>
        <w:t>ection</w:t>
      </w:r>
      <w:proofErr w:type="gramEnd"/>
      <w:r w:rsidRPr="0046397E">
        <w:rPr>
          <w:rFonts w:asciiTheme="minorHAnsi" w:hAnsiTheme="minorHAnsi" w:cstheme="minorHAnsi"/>
          <w:szCs w:val="24"/>
        </w:rPr>
        <w:t xml:space="preserve"> request is the result of program changes and will decrease 3,458.782 burden hours </w:t>
      </w:r>
    </w:p>
    <w:p w:rsidR="0046397E" w:rsidP="000438E8" w:rsidRDefault="0046397E" w14:paraId="3349E9AA" w14:textId="77777777">
      <w:pPr>
        <w:tabs>
          <w:tab w:val="left" w:pos="0"/>
        </w:tabs>
        <w:suppressAutoHyphens/>
        <w:rPr>
          <w:rFonts w:asciiTheme="minorHAnsi" w:hAnsiTheme="minorHAnsi" w:cstheme="minorHAnsi"/>
          <w:szCs w:val="24"/>
        </w:rPr>
      </w:pPr>
    </w:p>
    <w:p w:rsidRPr="00FC1110" w:rsidR="006B4BFE" w:rsidP="000438E8" w:rsidRDefault="0046397E" w14:paraId="4EF3C78F" w14:textId="6BB90035">
      <w:pPr>
        <w:tabs>
          <w:tab w:val="left" w:pos="0"/>
        </w:tabs>
        <w:suppressAutoHyphens/>
        <w:rPr>
          <w:rFonts w:asciiTheme="minorHAnsi" w:hAnsiTheme="minorHAnsi" w:cstheme="minorHAnsi"/>
          <w:szCs w:val="24"/>
        </w:rPr>
      </w:pPr>
      <w:proofErr w:type="gramStart"/>
      <w:r w:rsidRPr="0046397E">
        <w:rPr>
          <w:rFonts w:asciiTheme="minorHAnsi" w:hAnsiTheme="minorHAnsi" w:cstheme="minorHAnsi"/>
          <w:szCs w:val="24"/>
        </w:rPr>
        <w:t>and</w:t>
      </w:r>
      <w:proofErr w:type="gramEnd"/>
      <w:r w:rsidRPr="0046397E">
        <w:rPr>
          <w:rFonts w:asciiTheme="minorHAnsi" w:hAnsiTheme="minorHAnsi" w:cstheme="minorHAnsi"/>
          <w:szCs w:val="24"/>
        </w:rPr>
        <w:t xml:space="preserve"> 16,598,675 responses from OMB’s inventory.</w:t>
      </w:r>
    </w:p>
    <w:p w:rsidR="0046397E" w:rsidP="0062567E" w:rsidRDefault="0046397E" w14:paraId="24B42B92" w14:textId="77777777">
      <w:pPr>
        <w:pStyle w:val="Heading1"/>
        <w:rPr>
          <w:rFonts w:asciiTheme="minorHAnsi" w:hAnsiTheme="minorHAnsi" w:cstheme="minorHAnsi"/>
          <w:szCs w:val="24"/>
        </w:rPr>
      </w:pPr>
      <w:bookmarkStart w:name="_Toc401831372" w:id="45"/>
      <w:bookmarkStart w:name="_Toc55565805" w:id="46"/>
    </w:p>
    <w:p w:rsidR="0046397E" w:rsidP="0062567E" w:rsidRDefault="0046397E" w14:paraId="5B2D56EE" w14:textId="77777777">
      <w:pPr>
        <w:pStyle w:val="Heading1"/>
        <w:rPr>
          <w:rFonts w:asciiTheme="minorHAnsi" w:hAnsiTheme="minorHAnsi" w:cstheme="minorHAnsi"/>
          <w:szCs w:val="24"/>
        </w:rPr>
      </w:pPr>
    </w:p>
    <w:p w:rsidRPr="00FC1110" w:rsidR="00A308DB" w:rsidP="0062567E" w:rsidRDefault="000438E8" w14:paraId="793BA5F7" w14:textId="4CAE70E1">
      <w:pPr>
        <w:pStyle w:val="Heading1"/>
        <w:rPr>
          <w:rFonts w:asciiTheme="minorHAnsi" w:hAnsiTheme="minorHAnsi" w:cstheme="minorHAnsi"/>
          <w:szCs w:val="24"/>
        </w:rPr>
      </w:pPr>
      <w:r w:rsidRPr="00FC1110">
        <w:rPr>
          <w:rFonts w:asciiTheme="minorHAnsi" w:hAnsiTheme="minorHAnsi" w:cstheme="minorHAnsi"/>
          <w:szCs w:val="24"/>
        </w:rPr>
        <w:t xml:space="preserve">A16.  </w:t>
      </w:r>
      <w:r w:rsidRPr="00FC1110" w:rsidR="00842E02">
        <w:rPr>
          <w:rFonts w:asciiTheme="minorHAnsi" w:hAnsiTheme="minorHAnsi" w:cstheme="minorHAnsi"/>
          <w:szCs w:val="24"/>
        </w:rPr>
        <w:t>Plans</w:t>
      </w:r>
      <w:r w:rsidRPr="00FC1110">
        <w:rPr>
          <w:rFonts w:asciiTheme="minorHAnsi" w:hAnsiTheme="minorHAnsi" w:cstheme="minorHAnsi"/>
          <w:szCs w:val="24"/>
        </w:rPr>
        <w:t xml:space="preserve"> for tabulation, and publication</w:t>
      </w:r>
      <w:r w:rsidRPr="00FC1110" w:rsidR="00842E02">
        <w:rPr>
          <w:rFonts w:asciiTheme="minorHAnsi" w:hAnsiTheme="minorHAnsi" w:cstheme="minorHAnsi"/>
          <w:szCs w:val="24"/>
        </w:rPr>
        <w:t xml:space="preserve"> and project time schedule</w:t>
      </w:r>
      <w:r w:rsidRPr="00FC1110">
        <w:rPr>
          <w:rFonts w:asciiTheme="minorHAnsi" w:hAnsiTheme="minorHAnsi" w:cstheme="minorHAnsi"/>
          <w:szCs w:val="24"/>
        </w:rPr>
        <w:t>.</w:t>
      </w:r>
      <w:bookmarkEnd w:id="45"/>
      <w:bookmarkEnd w:id="46"/>
      <w:r w:rsidRPr="00FC1110">
        <w:rPr>
          <w:rFonts w:asciiTheme="minorHAnsi" w:hAnsiTheme="minorHAnsi" w:cstheme="minorHAnsi"/>
          <w:szCs w:val="24"/>
        </w:rPr>
        <w:t xml:space="preserve"> </w:t>
      </w:r>
    </w:p>
    <w:p w:rsidRPr="00FC1110" w:rsidR="00A308DB" w:rsidP="000438E8" w:rsidRDefault="00A308DB" w14:paraId="005AFFF4" w14:textId="77777777">
      <w:pPr>
        <w:tabs>
          <w:tab w:val="left" w:pos="0"/>
        </w:tabs>
        <w:suppressAutoHyphens/>
        <w:rPr>
          <w:rFonts w:asciiTheme="minorHAnsi" w:hAnsiTheme="minorHAnsi" w:cstheme="minorHAnsi"/>
          <w:b/>
          <w:szCs w:val="24"/>
        </w:rPr>
      </w:pPr>
    </w:p>
    <w:p w:rsidRPr="00FC1110" w:rsidR="0062567E" w:rsidP="0062567E" w:rsidRDefault="0062567E" w14:paraId="3E19D3A3" w14:textId="77777777">
      <w:pPr>
        <w:pStyle w:val="ListParagraph"/>
        <w:widowControl/>
        <w:spacing w:line="360" w:lineRule="auto"/>
        <w:ind w:left="0"/>
        <w:rPr>
          <w:rFonts w:asciiTheme="minorHAnsi" w:hAnsiTheme="minorHAnsi" w:cstheme="minorHAnsi"/>
          <w:b/>
          <w:szCs w:val="24"/>
        </w:rPr>
      </w:pPr>
      <w:r w:rsidRPr="00FC1110">
        <w:rPr>
          <w:rFonts w:asciiTheme="minorHAnsi" w:hAnsiTheme="minorHAnsi" w:cstheme="minorHAnsi"/>
          <w:b/>
          <w:szCs w:val="24"/>
        </w:rPr>
        <w:t>For collections of information whose results are planned to be published, outline plans for tabulation and publication.</w:t>
      </w:r>
    </w:p>
    <w:p w:rsidRPr="00FC1110" w:rsidR="00ED28F2" w:rsidP="00ED28F2" w:rsidRDefault="00ED28F2" w14:paraId="7FD8DD31" w14:textId="77777777">
      <w:pPr>
        <w:tabs>
          <w:tab w:val="left" w:pos="-720"/>
        </w:tabs>
        <w:suppressAutoHyphens/>
        <w:rPr>
          <w:rFonts w:asciiTheme="minorHAnsi" w:hAnsiTheme="minorHAnsi" w:cstheme="minorHAnsi"/>
          <w:szCs w:val="24"/>
        </w:rPr>
      </w:pPr>
    </w:p>
    <w:p w:rsidRPr="00BC5FB0" w:rsidR="000438E8" w:rsidP="000438E8" w:rsidRDefault="00BC5FB0" w14:paraId="579EA1B6" w14:textId="1DA9B0B5">
      <w:pPr>
        <w:tabs>
          <w:tab w:val="left" w:pos="0"/>
        </w:tabs>
        <w:suppressAutoHyphens/>
        <w:rPr>
          <w:rFonts w:asciiTheme="minorHAnsi" w:hAnsiTheme="minorHAnsi" w:cstheme="minorHAnsi"/>
          <w:szCs w:val="24"/>
        </w:rPr>
      </w:pPr>
      <w:r w:rsidRPr="00BC5FB0">
        <w:rPr>
          <w:rFonts w:asciiTheme="minorHAnsi" w:hAnsiTheme="minorHAnsi" w:cstheme="minorHAnsi"/>
          <w:szCs w:val="24"/>
        </w:rPr>
        <w:t>FNS does not intend to publish the information included in this collection.</w:t>
      </w:r>
    </w:p>
    <w:p w:rsidRPr="00FC1110" w:rsidR="00BC5FB0" w:rsidP="000438E8" w:rsidRDefault="00BC5FB0" w14:paraId="347D3C24" w14:textId="77777777">
      <w:pPr>
        <w:tabs>
          <w:tab w:val="left" w:pos="0"/>
        </w:tabs>
        <w:suppressAutoHyphens/>
        <w:rPr>
          <w:rFonts w:asciiTheme="minorHAnsi" w:hAnsiTheme="minorHAnsi" w:cstheme="minorHAnsi"/>
          <w:szCs w:val="24"/>
        </w:rPr>
      </w:pPr>
    </w:p>
    <w:p w:rsidRPr="00FC1110" w:rsidR="00A308DB" w:rsidP="0062567E" w:rsidRDefault="000438E8" w14:paraId="7BAE9F20" w14:textId="77777777">
      <w:pPr>
        <w:pStyle w:val="Heading1"/>
        <w:rPr>
          <w:rFonts w:asciiTheme="minorHAnsi" w:hAnsiTheme="minorHAnsi" w:cstheme="minorHAnsi"/>
          <w:szCs w:val="24"/>
        </w:rPr>
      </w:pPr>
      <w:bookmarkStart w:name="_Toc401831373" w:id="47"/>
      <w:bookmarkStart w:name="_Toc55565806" w:id="48"/>
      <w:r w:rsidRPr="00FC1110">
        <w:rPr>
          <w:rFonts w:asciiTheme="minorHAnsi" w:hAnsiTheme="minorHAnsi" w:cstheme="minorHAnsi"/>
          <w:szCs w:val="24"/>
        </w:rPr>
        <w:t xml:space="preserve">A17.  </w:t>
      </w:r>
      <w:r w:rsidRPr="00FC1110" w:rsidR="001C6CBE">
        <w:rPr>
          <w:rFonts w:asciiTheme="minorHAnsi" w:hAnsiTheme="minorHAnsi" w:cstheme="minorHAnsi"/>
          <w:szCs w:val="24"/>
        </w:rPr>
        <w:t>Displaying the OMB Approval Expiration Date.</w:t>
      </w:r>
      <w:bookmarkEnd w:id="47"/>
      <w:bookmarkEnd w:id="48"/>
    </w:p>
    <w:p w:rsidRPr="00FC1110" w:rsidR="0062567E" w:rsidP="0062567E" w:rsidRDefault="0062567E" w14:paraId="751B90EC" w14:textId="77777777">
      <w:pPr>
        <w:pStyle w:val="ListParagraph"/>
        <w:widowControl/>
        <w:spacing w:line="240" w:lineRule="auto"/>
        <w:ind w:left="0"/>
        <w:rPr>
          <w:rFonts w:asciiTheme="minorHAnsi" w:hAnsiTheme="minorHAnsi" w:cstheme="minorHAnsi"/>
          <w:b/>
          <w:szCs w:val="24"/>
        </w:rPr>
      </w:pPr>
    </w:p>
    <w:p w:rsidRPr="00FC1110" w:rsidR="0062567E" w:rsidP="0062567E" w:rsidRDefault="0062567E" w14:paraId="3D93A924" w14:textId="77777777">
      <w:pPr>
        <w:pStyle w:val="ListParagraph"/>
        <w:widowControl/>
        <w:spacing w:line="240" w:lineRule="auto"/>
        <w:ind w:left="0"/>
        <w:rPr>
          <w:rFonts w:asciiTheme="minorHAnsi" w:hAnsiTheme="minorHAnsi" w:cstheme="minorHAnsi"/>
          <w:b/>
          <w:szCs w:val="24"/>
        </w:rPr>
      </w:pPr>
      <w:r w:rsidRPr="00FC1110">
        <w:rPr>
          <w:rFonts w:asciiTheme="minorHAnsi" w:hAnsiTheme="minorHAnsi" w:cstheme="minorHAnsi"/>
          <w:b/>
          <w:szCs w:val="24"/>
        </w:rPr>
        <w:t>If seeking approval to not display the expiration date for OMB approval of the information collection, explain the reasons that display would be inappropriate.</w:t>
      </w:r>
    </w:p>
    <w:p w:rsidRPr="00FC1110" w:rsidR="00ED28F2" w:rsidP="00ED28F2" w:rsidRDefault="00ED28F2" w14:paraId="64CCAA36" w14:textId="77777777">
      <w:pPr>
        <w:tabs>
          <w:tab w:val="left" w:pos="-720"/>
        </w:tabs>
        <w:suppressAutoHyphens/>
        <w:rPr>
          <w:rFonts w:asciiTheme="minorHAnsi" w:hAnsiTheme="minorHAnsi" w:cstheme="minorHAnsi"/>
          <w:szCs w:val="24"/>
        </w:rPr>
      </w:pPr>
    </w:p>
    <w:p w:rsidR="000438E8" w:rsidP="000438E8" w:rsidRDefault="00BC5FB0" w14:paraId="21F57E34" w14:textId="58D122B2">
      <w:pPr>
        <w:tabs>
          <w:tab w:val="left" w:pos="0"/>
        </w:tabs>
        <w:suppressAutoHyphens/>
        <w:rPr>
          <w:rFonts w:asciiTheme="minorHAnsi" w:hAnsiTheme="minorHAnsi" w:cstheme="minorHAnsi"/>
          <w:szCs w:val="24"/>
        </w:rPr>
      </w:pPr>
      <w:r w:rsidRPr="00BC5FB0">
        <w:rPr>
          <w:rFonts w:asciiTheme="minorHAnsi" w:hAnsiTheme="minorHAnsi" w:cstheme="minorHAnsi"/>
          <w:szCs w:val="24"/>
        </w:rPr>
        <w:lastRenderedPageBreak/>
        <w:t>FNS is not seeking approval to omit the expiration date of OMB.</w:t>
      </w:r>
    </w:p>
    <w:p w:rsidRPr="00FC1110" w:rsidR="00BC5FB0" w:rsidP="000438E8" w:rsidRDefault="00BC5FB0" w14:paraId="6A2CEF30" w14:textId="77777777">
      <w:pPr>
        <w:tabs>
          <w:tab w:val="left" w:pos="0"/>
        </w:tabs>
        <w:suppressAutoHyphens/>
        <w:rPr>
          <w:rFonts w:asciiTheme="minorHAnsi" w:hAnsiTheme="minorHAnsi" w:cstheme="minorHAnsi"/>
          <w:szCs w:val="24"/>
        </w:rPr>
      </w:pPr>
    </w:p>
    <w:p w:rsidRPr="00FC1110" w:rsidR="00A308DB" w:rsidP="0062567E" w:rsidRDefault="000438E8" w14:paraId="61F75838" w14:textId="77777777">
      <w:pPr>
        <w:pStyle w:val="Heading1"/>
        <w:rPr>
          <w:rFonts w:asciiTheme="minorHAnsi" w:hAnsiTheme="minorHAnsi" w:cstheme="minorHAnsi"/>
          <w:szCs w:val="24"/>
        </w:rPr>
      </w:pPr>
      <w:bookmarkStart w:name="_Toc401831374" w:id="49"/>
      <w:bookmarkStart w:name="_Toc55565807" w:id="50"/>
      <w:r w:rsidRPr="00FC1110">
        <w:rPr>
          <w:rFonts w:asciiTheme="minorHAnsi" w:hAnsiTheme="minorHAnsi" w:cstheme="minorHAnsi"/>
          <w:szCs w:val="24"/>
        </w:rPr>
        <w:t>A18.  Exception</w:t>
      </w:r>
      <w:r w:rsidRPr="00FC1110" w:rsidR="002568E6">
        <w:rPr>
          <w:rFonts w:asciiTheme="minorHAnsi" w:hAnsiTheme="minorHAnsi" w:cstheme="minorHAnsi"/>
          <w:szCs w:val="24"/>
        </w:rPr>
        <w:t>s</w:t>
      </w:r>
      <w:r w:rsidRPr="00FC1110">
        <w:rPr>
          <w:rFonts w:asciiTheme="minorHAnsi" w:hAnsiTheme="minorHAnsi" w:cstheme="minorHAnsi"/>
          <w:szCs w:val="24"/>
        </w:rPr>
        <w:t xml:space="preserve"> to the certification statement identified in Item 19.</w:t>
      </w:r>
      <w:bookmarkEnd w:id="49"/>
      <w:bookmarkEnd w:id="50"/>
      <w:r w:rsidRPr="00FC1110" w:rsidR="006F346E">
        <w:rPr>
          <w:rFonts w:asciiTheme="minorHAnsi" w:hAnsiTheme="minorHAnsi" w:cstheme="minorHAnsi"/>
          <w:szCs w:val="24"/>
        </w:rPr>
        <w:t xml:space="preserve">  </w:t>
      </w:r>
    </w:p>
    <w:p w:rsidRPr="00FC1110" w:rsidR="0062567E" w:rsidP="000438E8" w:rsidRDefault="0062567E" w14:paraId="6900598C" w14:textId="77777777">
      <w:pPr>
        <w:tabs>
          <w:tab w:val="left" w:pos="0"/>
        </w:tabs>
        <w:suppressAutoHyphens/>
        <w:rPr>
          <w:rFonts w:asciiTheme="minorHAnsi" w:hAnsiTheme="minorHAnsi" w:cstheme="minorHAnsi"/>
          <w:b/>
          <w:szCs w:val="24"/>
        </w:rPr>
      </w:pPr>
    </w:p>
    <w:p w:rsidRPr="00FC1110" w:rsidR="0062567E" w:rsidP="000438E8" w:rsidRDefault="0062567E" w14:paraId="4D783DB4" w14:textId="77777777">
      <w:pPr>
        <w:tabs>
          <w:tab w:val="left" w:pos="0"/>
        </w:tabs>
        <w:suppressAutoHyphens/>
        <w:rPr>
          <w:rFonts w:asciiTheme="minorHAnsi" w:hAnsiTheme="minorHAnsi" w:cstheme="minorHAnsi"/>
          <w:b/>
          <w:szCs w:val="24"/>
        </w:rPr>
      </w:pPr>
      <w:r w:rsidRPr="00FC1110">
        <w:rPr>
          <w:rFonts w:asciiTheme="minorHAnsi" w:hAnsiTheme="minorHAnsi" w:cstheme="minorHAnsi"/>
          <w:b/>
          <w:szCs w:val="24"/>
        </w:rPr>
        <w:t xml:space="preserve">Explain each exception to the certification statement identified in Item 19 of the </w:t>
      </w:r>
      <w:proofErr w:type="gramStart"/>
      <w:r w:rsidRPr="00FC1110">
        <w:rPr>
          <w:rFonts w:asciiTheme="minorHAnsi" w:hAnsiTheme="minorHAnsi" w:cstheme="minorHAnsi"/>
          <w:b/>
          <w:szCs w:val="24"/>
        </w:rPr>
        <w:t>OMB  83</w:t>
      </w:r>
      <w:proofErr w:type="gramEnd"/>
      <w:r w:rsidRPr="00FC1110">
        <w:rPr>
          <w:rFonts w:asciiTheme="minorHAnsi" w:hAnsiTheme="minorHAnsi" w:cstheme="minorHAnsi"/>
          <w:b/>
          <w:szCs w:val="24"/>
        </w:rPr>
        <w:t>-I" Certification for Paperwork Reduction Act."</w:t>
      </w:r>
    </w:p>
    <w:p w:rsidRPr="00FC1110" w:rsidR="00ED28F2" w:rsidP="00ED28F2" w:rsidRDefault="00ED28F2" w14:paraId="18E4072C" w14:textId="77777777">
      <w:pPr>
        <w:tabs>
          <w:tab w:val="left" w:pos="-720"/>
        </w:tabs>
        <w:suppressAutoHyphens/>
        <w:rPr>
          <w:rFonts w:asciiTheme="minorHAnsi" w:hAnsiTheme="minorHAnsi" w:cstheme="minorHAnsi"/>
          <w:szCs w:val="24"/>
        </w:rPr>
      </w:pPr>
    </w:p>
    <w:p w:rsidRPr="00FC1110" w:rsidR="006F346E" w:rsidP="00ED28F2" w:rsidRDefault="00BC5FB0" w14:paraId="6D3A8A3C" w14:textId="6D3E5350">
      <w:pPr>
        <w:tabs>
          <w:tab w:val="left" w:pos="0"/>
        </w:tabs>
        <w:suppressAutoHyphens/>
        <w:rPr>
          <w:rFonts w:asciiTheme="minorHAnsi" w:hAnsiTheme="minorHAnsi" w:cstheme="minorHAnsi"/>
          <w:szCs w:val="24"/>
        </w:rPr>
      </w:pPr>
      <w:r w:rsidRPr="00BC5FB0">
        <w:rPr>
          <w:rFonts w:asciiTheme="minorHAnsi" w:hAnsiTheme="minorHAnsi" w:cstheme="minorHAnsi"/>
          <w:szCs w:val="24"/>
        </w:rPr>
        <w:t>There are no exceptions to the certification statement.</w:t>
      </w:r>
    </w:p>
    <w:sectPr w:rsidRPr="00FC1110" w:rsidR="006F346E" w:rsidSect="002568E6">
      <w:footerReference w:type="default" r:id="rId17"/>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31A2E" w14:textId="77777777" w:rsidR="00F82137" w:rsidRDefault="00F82137">
      <w:pPr>
        <w:spacing w:line="20" w:lineRule="exact"/>
      </w:pPr>
    </w:p>
  </w:endnote>
  <w:endnote w:type="continuationSeparator" w:id="0">
    <w:p w14:paraId="484A7CD1" w14:textId="77777777" w:rsidR="00F82137" w:rsidRDefault="00F82137">
      <w:r>
        <w:t xml:space="preserve"> </w:t>
      </w:r>
    </w:p>
  </w:endnote>
  <w:endnote w:type="continuationNotice" w:id="1">
    <w:p w14:paraId="4C460FE2" w14:textId="77777777" w:rsidR="00F82137" w:rsidRDefault="00F8213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0057946"/>
      <w:docPartObj>
        <w:docPartGallery w:val="Page Numbers (Bottom of Page)"/>
        <w:docPartUnique/>
      </w:docPartObj>
    </w:sdtPr>
    <w:sdtEndPr>
      <w:rPr>
        <w:rFonts w:ascii="Times New Roman" w:hAnsi="Times New Roman"/>
        <w:noProof/>
      </w:rPr>
    </w:sdtEndPr>
    <w:sdtContent>
      <w:p w14:paraId="129B040C" w14:textId="46072F62" w:rsidR="002568E6" w:rsidRPr="002568E6" w:rsidRDefault="002568E6">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46397E">
          <w:rPr>
            <w:rFonts w:ascii="Times New Roman" w:hAnsi="Times New Roman"/>
            <w:noProof/>
          </w:rPr>
          <w:t>15</w:t>
        </w:r>
        <w:r w:rsidRPr="002568E6">
          <w:rPr>
            <w:rFonts w:ascii="Times New Roman" w:hAnsi="Times New Roman"/>
            <w:noProof/>
          </w:rPr>
          <w:fldChar w:fldCharType="end"/>
        </w:r>
      </w:p>
    </w:sdtContent>
  </w:sdt>
  <w:p w14:paraId="5FF6FA21" w14:textId="77777777" w:rsidR="00BF780B" w:rsidRDefault="00BF780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D5E54" w14:textId="77777777" w:rsidR="00F82137" w:rsidRDefault="00F82137">
      <w:r>
        <w:separator/>
      </w:r>
    </w:p>
  </w:footnote>
  <w:footnote w:type="continuationSeparator" w:id="0">
    <w:p w14:paraId="785E5129" w14:textId="77777777" w:rsidR="00F82137" w:rsidRDefault="00F821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E467F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FC68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1251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1442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E8E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15:restartNumberingAfterBreak="0">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15:restartNumberingAfterBreak="0">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2104F7"/>
    <w:multiLevelType w:val="hybridMultilevel"/>
    <w:tmpl w:val="6E0E9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78187A"/>
    <w:multiLevelType w:val="hybridMultilevel"/>
    <w:tmpl w:val="6CAE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19" w15:restartNumberingAfterBreak="0">
    <w:nsid w:val="71C5750E"/>
    <w:multiLevelType w:val="hybridMultilevel"/>
    <w:tmpl w:val="F9387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1" w15:restartNumberingAfterBreak="0">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DA4019"/>
    <w:multiLevelType w:val="hybridMultilevel"/>
    <w:tmpl w:val="671E5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0"/>
  </w:num>
  <w:num w:numId="3">
    <w:abstractNumId w:val="18"/>
  </w:num>
  <w:num w:numId="4">
    <w:abstractNumId w:val="11"/>
  </w:num>
  <w:num w:numId="5">
    <w:abstractNumId w:val="2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4"/>
  </w:num>
  <w:num w:numId="19">
    <w:abstractNumId w:val="10"/>
  </w:num>
  <w:num w:numId="20">
    <w:abstractNumId w:val="22"/>
  </w:num>
  <w:num w:numId="21">
    <w:abstractNumId w:val="19"/>
  </w:num>
  <w:num w:numId="22">
    <w:abstractNumId w:val="16"/>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US"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45E1"/>
    <w:rsid w:val="00014B4D"/>
    <w:rsid w:val="00015FCF"/>
    <w:rsid w:val="000223C1"/>
    <w:rsid w:val="00022592"/>
    <w:rsid w:val="000234FF"/>
    <w:rsid w:val="00023BFF"/>
    <w:rsid w:val="00027233"/>
    <w:rsid w:val="00032621"/>
    <w:rsid w:val="000329F0"/>
    <w:rsid w:val="000373C7"/>
    <w:rsid w:val="00040718"/>
    <w:rsid w:val="00040BC0"/>
    <w:rsid w:val="000417D2"/>
    <w:rsid w:val="000431A5"/>
    <w:rsid w:val="0004364B"/>
    <w:rsid w:val="000438E8"/>
    <w:rsid w:val="000447C0"/>
    <w:rsid w:val="0004539F"/>
    <w:rsid w:val="000460EC"/>
    <w:rsid w:val="0004668E"/>
    <w:rsid w:val="00047338"/>
    <w:rsid w:val="000507EA"/>
    <w:rsid w:val="00052C5C"/>
    <w:rsid w:val="00053AB5"/>
    <w:rsid w:val="00054647"/>
    <w:rsid w:val="00054E5E"/>
    <w:rsid w:val="00056479"/>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D3A"/>
    <w:rsid w:val="00080C3F"/>
    <w:rsid w:val="000812F7"/>
    <w:rsid w:val="000814FD"/>
    <w:rsid w:val="00084B36"/>
    <w:rsid w:val="00086831"/>
    <w:rsid w:val="00090155"/>
    <w:rsid w:val="00090C98"/>
    <w:rsid w:val="00093427"/>
    <w:rsid w:val="0009567D"/>
    <w:rsid w:val="00095C26"/>
    <w:rsid w:val="000A28C4"/>
    <w:rsid w:val="000A34BE"/>
    <w:rsid w:val="000A3781"/>
    <w:rsid w:val="000A4F8D"/>
    <w:rsid w:val="000A60DF"/>
    <w:rsid w:val="000A7424"/>
    <w:rsid w:val="000B26F3"/>
    <w:rsid w:val="000B50C9"/>
    <w:rsid w:val="000B7836"/>
    <w:rsid w:val="000C089B"/>
    <w:rsid w:val="000C10F7"/>
    <w:rsid w:val="000C55A2"/>
    <w:rsid w:val="000C5B0F"/>
    <w:rsid w:val="000D0C93"/>
    <w:rsid w:val="000D17F6"/>
    <w:rsid w:val="000D279A"/>
    <w:rsid w:val="000D5750"/>
    <w:rsid w:val="000D5A4A"/>
    <w:rsid w:val="000D6419"/>
    <w:rsid w:val="000D724C"/>
    <w:rsid w:val="000E1CA0"/>
    <w:rsid w:val="000E2E6E"/>
    <w:rsid w:val="000E3CC6"/>
    <w:rsid w:val="000E4107"/>
    <w:rsid w:val="000E61B9"/>
    <w:rsid w:val="000E6CC9"/>
    <w:rsid w:val="000E7D6D"/>
    <w:rsid w:val="000F1BD4"/>
    <w:rsid w:val="000F24C8"/>
    <w:rsid w:val="000F2BAE"/>
    <w:rsid w:val="000F4DDD"/>
    <w:rsid w:val="000F4EE7"/>
    <w:rsid w:val="001052BD"/>
    <w:rsid w:val="0010698D"/>
    <w:rsid w:val="00110773"/>
    <w:rsid w:val="00115E73"/>
    <w:rsid w:val="001170E4"/>
    <w:rsid w:val="00117A58"/>
    <w:rsid w:val="00120E7F"/>
    <w:rsid w:val="00121633"/>
    <w:rsid w:val="00122007"/>
    <w:rsid w:val="0012249E"/>
    <w:rsid w:val="0012531F"/>
    <w:rsid w:val="00127364"/>
    <w:rsid w:val="00130FB4"/>
    <w:rsid w:val="001312D4"/>
    <w:rsid w:val="00132EF8"/>
    <w:rsid w:val="00132F0C"/>
    <w:rsid w:val="0013306C"/>
    <w:rsid w:val="001334EF"/>
    <w:rsid w:val="0013469F"/>
    <w:rsid w:val="001363FB"/>
    <w:rsid w:val="00143411"/>
    <w:rsid w:val="0014383A"/>
    <w:rsid w:val="00143852"/>
    <w:rsid w:val="00145FCB"/>
    <w:rsid w:val="0015139F"/>
    <w:rsid w:val="00151DF5"/>
    <w:rsid w:val="00154D85"/>
    <w:rsid w:val="00156839"/>
    <w:rsid w:val="00157282"/>
    <w:rsid w:val="00160DAC"/>
    <w:rsid w:val="001613F6"/>
    <w:rsid w:val="00166501"/>
    <w:rsid w:val="00167686"/>
    <w:rsid w:val="001707E2"/>
    <w:rsid w:val="00171619"/>
    <w:rsid w:val="00171E96"/>
    <w:rsid w:val="00172B17"/>
    <w:rsid w:val="0017348C"/>
    <w:rsid w:val="00180150"/>
    <w:rsid w:val="00182728"/>
    <w:rsid w:val="001829D2"/>
    <w:rsid w:val="0018306B"/>
    <w:rsid w:val="001834A9"/>
    <w:rsid w:val="0018456B"/>
    <w:rsid w:val="00185270"/>
    <w:rsid w:val="0018740F"/>
    <w:rsid w:val="001912C2"/>
    <w:rsid w:val="001964E8"/>
    <w:rsid w:val="001A01C9"/>
    <w:rsid w:val="001A63AF"/>
    <w:rsid w:val="001B1E25"/>
    <w:rsid w:val="001B3D92"/>
    <w:rsid w:val="001B7724"/>
    <w:rsid w:val="001C15C7"/>
    <w:rsid w:val="001C256E"/>
    <w:rsid w:val="001C3A4C"/>
    <w:rsid w:val="001C4C39"/>
    <w:rsid w:val="001C5266"/>
    <w:rsid w:val="001C6CBE"/>
    <w:rsid w:val="001C70AF"/>
    <w:rsid w:val="001C7DC9"/>
    <w:rsid w:val="001D1F6E"/>
    <w:rsid w:val="001D2F45"/>
    <w:rsid w:val="001D343E"/>
    <w:rsid w:val="001D4FB0"/>
    <w:rsid w:val="001E22E9"/>
    <w:rsid w:val="001E5E66"/>
    <w:rsid w:val="001F054A"/>
    <w:rsid w:val="001F549E"/>
    <w:rsid w:val="001F6622"/>
    <w:rsid w:val="001F6E85"/>
    <w:rsid w:val="001F73D9"/>
    <w:rsid w:val="00201068"/>
    <w:rsid w:val="00201287"/>
    <w:rsid w:val="00204E6E"/>
    <w:rsid w:val="00205B44"/>
    <w:rsid w:val="002062CF"/>
    <w:rsid w:val="002075EB"/>
    <w:rsid w:val="00210D68"/>
    <w:rsid w:val="00210FA8"/>
    <w:rsid w:val="00212905"/>
    <w:rsid w:val="00213436"/>
    <w:rsid w:val="00215CC6"/>
    <w:rsid w:val="00222EDC"/>
    <w:rsid w:val="0022443A"/>
    <w:rsid w:val="002251B2"/>
    <w:rsid w:val="00231C61"/>
    <w:rsid w:val="00235988"/>
    <w:rsid w:val="00235EB3"/>
    <w:rsid w:val="002370B7"/>
    <w:rsid w:val="00241834"/>
    <w:rsid w:val="00245150"/>
    <w:rsid w:val="00245CF0"/>
    <w:rsid w:val="00246457"/>
    <w:rsid w:val="002468EE"/>
    <w:rsid w:val="00250CEF"/>
    <w:rsid w:val="00252CF2"/>
    <w:rsid w:val="00253ECC"/>
    <w:rsid w:val="00255137"/>
    <w:rsid w:val="0025683E"/>
    <w:rsid w:val="002568E6"/>
    <w:rsid w:val="00262817"/>
    <w:rsid w:val="0026333C"/>
    <w:rsid w:val="002649A9"/>
    <w:rsid w:val="00265623"/>
    <w:rsid w:val="0026583C"/>
    <w:rsid w:val="00267E64"/>
    <w:rsid w:val="00270D71"/>
    <w:rsid w:val="00272DD6"/>
    <w:rsid w:val="002737E9"/>
    <w:rsid w:val="00275494"/>
    <w:rsid w:val="0027695F"/>
    <w:rsid w:val="00283364"/>
    <w:rsid w:val="002900F6"/>
    <w:rsid w:val="002954B1"/>
    <w:rsid w:val="002A1B3D"/>
    <w:rsid w:val="002A7390"/>
    <w:rsid w:val="002B0654"/>
    <w:rsid w:val="002B46E1"/>
    <w:rsid w:val="002B4F85"/>
    <w:rsid w:val="002B6598"/>
    <w:rsid w:val="002C00C0"/>
    <w:rsid w:val="002C05AC"/>
    <w:rsid w:val="002C2401"/>
    <w:rsid w:val="002C4936"/>
    <w:rsid w:val="002C6748"/>
    <w:rsid w:val="002C7B26"/>
    <w:rsid w:val="002D0DED"/>
    <w:rsid w:val="002D1E33"/>
    <w:rsid w:val="002D47CD"/>
    <w:rsid w:val="002E1315"/>
    <w:rsid w:val="002E1A35"/>
    <w:rsid w:val="002E3B1B"/>
    <w:rsid w:val="002E3D8B"/>
    <w:rsid w:val="002E3E5E"/>
    <w:rsid w:val="002E40A9"/>
    <w:rsid w:val="002E6B5E"/>
    <w:rsid w:val="002E7427"/>
    <w:rsid w:val="002F2888"/>
    <w:rsid w:val="002F28FD"/>
    <w:rsid w:val="002F3249"/>
    <w:rsid w:val="002F4036"/>
    <w:rsid w:val="002F5951"/>
    <w:rsid w:val="002F6565"/>
    <w:rsid w:val="00304807"/>
    <w:rsid w:val="00307D2B"/>
    <w:rsid w:val="0031071F"/>
    <w:rsid w:val="003115A9"/>
    <w:rsid w:val="003125D7"/>
    <w:rsid w:val="00312A60"/>
    <w:rsid w:val="00313A06"/>
    <w:rsid w:val="003140F4"/>
    <w:rsid w:val="00315029"/>
    <w:rsid w:val="003164E9"/>
    <w:rsid w:val="003204E8"/>
    <w:rsid w:val="0032100A"/>
    <w:rsid w:val="00324C06"/>
    <w:rsid w:val="00325195"/>
    <w:rsid w:val="0032533B"/>
    <w:rsid w:val="00326F10"/>
    <w:rsid w:val="003308EC"/>
    <w:rsid w:val="00333190"/>
    <w:rsid w:val="003333DF"/>
    <w:rsid w:val="00334635"/>
    <w:rsid w:val="0033630C"/>
    <w:rsid w:val="0033721D"/>
    <w:rsid w:val="00341DA8"/>
    <w:rsid w:val="00341DEE"/>
    <w:rsid w:val="00342170"/>
    <w:rsid w:val="00343967"/>
    <w:rsid w:val="0034535B"/>
    <w:rsid w:val="0034537B"/>
    <w:rsid w:val="00350550"/>
    <w:rsid w:val="003521A9"/>
    <w:rsid w:val="00356D92"/>
    <w:rsid w:val="00360B8B"/>
    <w:rsid w:val="003637E7"/>
    <w:rsid w:val="0036497A"/>
    <w:rsid w:val="00366BB8"/>
    <w:rsid w:val="0037115C"/>
    <w:rsid w:val="00372784"/>
    <w:rsid w:val="00376E39"/>
    <w:rsid w:val="003770FE"/>
    <w:rsid w:val="00383C0A"/>
    <w:rsid w:val="00385A58"/>
    <w:rsid w:val="00386068"/>
    <w:rsid w:val="003874A5"/>
    <w:rsid w:val="00393405"/>
    <w:rsid w:val="00395831"/>
    <w:rsid w:val="00396E91"/>
    <w:rsid w:val="003A222F"/>
    <w:rsid w:val="003A4F9D"/>
    <w:rsid w:val="003A556E"/>
    <w:rsid w:val="003A7703"/>
    <w:rsid w:val="003B0FD0"/>
    <w:rsid w:val="003B10E4"/>
    <w:rsid w:val="003B1199"/>
    <w:rsid w:val="003B1D07"/>
    <w:rsid w:val="003B28E2"/>
    <w:rsid w:val="003B2F99"/>
    <w:rsid w:val="003B4C92"/>
    <w:rsid w:val="003C2346"/>
    <w:rsid w:val="003C3FCC"/>
    <w:rsid w:val="003C41FC"/>
    <w:rsid w:val="003C5E7D"/>
    <w:rsid w:val="003C646A"/>
    <w:rsid w:val="003C6BDD"/>
    <w:rsid w:val="003D2FA4"/>
    <w:rsid w:val="003D3135"/>
    <w:rsid w:val="003D6927"/>
    <w:rsid w:val="003E0D93"/>
    <w:rsid w:val="003E2F2D"/>
    <w:rsid w:val="003E64F6"/>
    <w:rsid w:val="003F7EFD"/>
    <w:rsid w:val="004000FA"/>
    <w:rsid w:val="00400754"/>
    <w:rsid w:val="00400779"/>
    <w:rsid w:val="004033DD"/>
    <w:rsid w:val="004037F9"/>
    <w:rsid w:val="0040495B"/>
    <w:rsid w:val="004060BE"/>
    <w:rsid w:val="004061F0"/>
    <w:rsid w:val="00407AEA"/>
    <w:rsid w:val="004113AB"/>
    <w:rsid w:val="004127EA"/>
    <w:rsid w:val="00415AE6"/>
    <w:rsid w:val="00417C54"/>
    <w:rsid w:val="00422327"/>
    <w:rsid w:val="004269DF"/>
    <w:rsid w:val="0043148A"/>
    <w:rsid w:val="00431975"/>
    <w:rsid w:val="00432716"/>
    <w:rsid w:val="0043383F"/>
    <w:rsid w:val="00435AB5"/>
    <w:rsid w:val="00437234"/>
    <w:rsid w:val="00437471"/>
    <w:rsid w:val="00440392"/>
    <w:rsid w:val="00442B73"/>
    <w:rsid w:val="00443A6D"/>
    <w:rsid w:val="004459C6"/>
    <w:rsid w:val="00446314"/>
    <w:rsid w:val="004470D5"/>
    <w:rsid w:val="00447C1E"/>
    <w:rsid w:val="00451DEC"/>
    <w:rsid w:val="00452E03"/>
    <w:rsid w:val="00455134"/>
    <w:rsid w:val="004600D7"/>
    <w:rsid w:val="00462B00"/>
    <w:rsid w:val="00462C4E"/>
    <w:rsid w:val="0046397E"/>
    <w:rsid w:val="0046423B"/>
    <w:rsid w:val="004708FD"/>
    <w:rsid w:val="004714B1"/>
    <w:rsid w:val="00472A8F"/>
    <w:rsid w:val="00472E23"/>
    <w:rsid w:val="00474A8E"/>
    <w:rsid w:val="004752E2"/>
    <w:rsid w:val="0047544E"/>
    <w:rsid w:val="0047561A"/>
    <w:rsid w:val="00476676"/>
    <w:rsid w:val="00477E91"/>
    <w:rsid w:val="0048090F"/>
    <w:rsid w:val="00483781"/>
    <w:rsid w:val="00483CCC"/>
    <w:rsid w:val="00483F2C"/>
    <w:rsid w:val="00494A82"/>
    <w:rsid w:val="004A2D34"/>
    <w:rsid w:val="004A2F08"/>
    <w:rsid w:val="004A48CA"/>
    <w:rsid w:val="004A543C"/>
    <w:rsid w:val="004A6286"/>
    <w:rsid w:val="004A6581"/>
    <w:rsid w:val="004B46EC"/>
    <w:rsid w:val="004C2E49"/>
    <w:rsid w:val="004C50AE"/>
    <w:rsid w:val="004C615B"/>
    <w:rsid w:val="004C69A7"/>
    <w:rsid w:val="004D04AD"/>
    <w:rsid w:val="004D1FDB"/>
    <w:rsid w:val="004D3638"/>
    <w:rsid w:val="004D43D3"/>
    <w:rsid w:val="004D5E86"/>
    <w:rsid w:val="004D69EA"/>
    <w:rsid w:val="004E11D8"/>
    <w:rsid w:val="004E160F"/>
    <w:rsid w:val="004E4959"/>
    <w:rsid w:val="004E5D8C"/>
    <w:rsid w:val="004E5F80"/>
    <w:rsid w:val="004E6476"/>
    <w:rsid w:val="004E6BFA"/>
    <w:rsid w:val="004E72D3"/>
    <w:rsid w:val="004E7651"/>
    <w:rsid w:val="004E7FD0"/>
    <w:rsid w:val="004F2540"/>
    <w:rsid w:val="004F2F54"/>
    <w:rsid w:val="004F38AA"/>
    <w:rsid w:val="004F4886"/>
    <w:rsid w:val="004F6EDF"/>
    <w:rsid w:val="004F72C7"/>
    <w:rsid w:val="004F77ED"/>
    <w:rsid w:val="0050255B"/>
    <w:rsid w:val="00503920"/>
    <w:rsid w:val="00503F52"/>
    <w:rsid w:val="00505C81"/>
    <w:rsid w:val="00506D32"/>
    <w:rsid w:val="005072CD"/>
    <w:rsid w:val="00510518"/>
    <w:rsid w:val="0051085D"/>
    <w:rsid w:val="00511375"/>
    <w:rsid w:val="00511668"/>
    <w:rsid w:val="00511934"/>
    <w:rsid w:val="00512C6B"/>
    <w:rsid w:val="00520A94"/>
    <w:rsid w:val="005234BE"/>
    <w:rsid w:val="005266CA"/>
    <w:rsid w:val="005358BC"/>
    <w:rsid w:val="005364A3"/>
    <w:rsid w:val="0053713F"/>
    <w:rsid w:val="00540608"/>
    <w:rsid w:val="00542038"/>
    <w:rsid w:val="00542051"/>
    <w:rsid w:val="00542C4F"/>
    <w:rsid w:val="005445BE"/>
    <w:rsid w:val="00545890"/>
    <w:rsid w:val="00550A3B"/>
    <w:rsid w:val="00550E21"/>
    <w:rsid w:val="0055158F"/>
    <w:rsid w:val="005524A2"/>
    <w:rsid w:val="005547E1"/>
    <w:rsid w:val="005601C3"/>
    <w:rsid w:val="00560A01"/>
    <w:rsid w:val="00563EAF"/>
    <w:rsid w:val="00564BC0"/>
    <w:rsid w:val="0056518C"/>
    <w:rsid w:val="00565D5B"/>
    <w:rsid w:val="005674F7"/>
    <w:rsid w:val="00567DE7"/>
    <w:rsid w:val="005721E3"/>
    <w:rsid w:val="00580507"/>
    <w:rsid w:val="00581E48"/>
    <w:rsid w:val="005827E8"/>
    <w:rsid w:val="00586F6C"/>
    <w:rsid w:val="005912FB"/>
    <w:rsid w:val="005917B8"/>
    <w:rsid w:val="00591AD7"/>
    <w:rsid w:val="005940EB"/>
    <w:rsid w:val="0059545A"/>
    <w:rsid w:val="005955C7"/>
    <w:rsid w:val="00596675"/>
    <w:rsid w:val="005967BB"/>
    <w:rsid w:val="005A0C2E"/>
    <w:rsid w:val="005A3F80"/>
    <w:rsid w:val="005A4F79"/>
    <w:rsid w:val="005A598F"/>
    <w:rsid w:val="005B172E"/>
    <w:rsid w:val="005B2A87"/>
    <w:rsid w:val="005C04BB"/>
    <w:rsid w:val="005C286E"/>
    <w:rsid w:val="005C33B4"/>
    <w:rsid w:val="005C423C"/>
    <w:rsid w:val="005C50FC"/>
    <w:rsid w:val="005C54B0"/>
    <w:rsid w:val="005C6321"/>
    <w:rsid w:val="005D021A"/>
    <w:rsid w:val="005D4603"/>
    <w:rsid w:val="005D532E"/>
    <w:rsid w:val="005D7CF3"/>
    <w:rsid w:val="005E0A1A"/>
    <w:rsid w:val="005E22A5"/>
    <w:rsid w:val="005E292E"/>
    <w:rsid w:val="005E6A3C"/>
    <w:rsid w:val="005E7295"/>
    <w:rsid w:val="005F0A77"/>
    <w:rsid w:val="005F2D36"/>
    <w:rsid w:val="005F31C0"/>
    <w:rsid w:val="005F43D7"/>
    <w:rsid w:val="005F5FFE"/>
    <w:rsid w:val="005F6830"/>
    <w:rsid w:val="005F7C5A"/>
    <w:rsid w:val="00600B7F"/>
    <w:rsid w:val="00600F05"/>
    <w:rsid w:val="00603FF7"/>
    <w:rsid w:val="00604BE2"/>
    <w:rsid w:val="006059DF"/>
    <w:rsid w:val="0060707B"/>
    <w:rsid w:val="00616358"/>
    <w:rsid w:val="00617B1B"/>
    <w:rsid w:val="0062182F"/>
    <w:rsid w:val="0062241E"/>
    <w:rsid w:val="006226A2"/>
    <w:rsid w:val="006228E2"/>
    <w:rsid w:val="0062567E"/>
    <w:rsid w:val="00626691"/>
    <w:rsid w:val="00630C90"/>
    <w:rsid w:val="0063244C"/>
    <w:rsid w:val="00634425"/>
    <w:rsid w:val="00634E66"/>
    <w:rsid w:val="0063688D"/>
    <w:rsid w:val="00640767"/>
    <w:rsid w:val="00640F7D"/>
    <w:rsid w:val="0064229A"/>
    <w:rsid w:val="006469D1"/>
    <w:rsid w:val="00646DDA"/>
    <w:rsid w:val="0065006B"/>
    <w:rsid w:val="00650EBF"/>
    <w:rsid w:val="00655D39"/>
    <w:rsid w:val="0065657E"/>
    <w:rsid w:val="0066069C"/>
    <w:rsid w:val="00661AF9"/>
    <w:rsid w:val="00661B51"/>
    <w:rsid w:val="00664AD0"/>
    <w:rsid w:val="00664C7C"/>
    <w:rsid w:val="0066583A"/>
    <w:rsid w:val="00665B4D"/>
    <w:rsid w:val="0066688F"/>
    <w:rsid w:val="00666F6E"/>
    <w:rsid w:val="00673E6A"/>
    <w:rsid w:val="00675EDB"/>
    <w:rsid w:val="00676E4D"/>
    <w:rsid w:val="00677034"/>
    <w:rsid w:val="0068067E"/>
    <w:rsid w:val="00682090"/>
    <w:rsid w:val="0068319C"/>
    <w:rsid w:val="00686481"/>
    <w:rsid w:val="00686BB3"/>
    <w:rsid w:val="00687C66"/>
    <w:rsid w:val="006929FB"/>
    <w:rsid w:val="00694161"/>
    <w:rsid w:val="00694A12"/>
    <w:rsid w:val="00695911"/>
    <w:rsid w:val="00696634"/>
    <w:rsid w:val="006A131B"/>
    <w:rsid w:val="006A3E01"/>
    <w:rsid w:val="006A7A14"/>
    <w:rsid w:val="006A7F48"/>
    <w:rsid w:val="006B005F"/>
    <w:rsid w:val="006B3BF8"/>
    <w:rsid w:val="006B4BFE"/>
    <w:rsid w:val="006C0F33"/>
    <w:rsid w:val="006C2B18"/>
    <w:rsid w:val="006C4942"/>
    <w:rsid w:val="006C4BE5"/>
    <w:rsid w:val="006C5470"/>
    <w:rsid w:val="006C571B"/>
    <w:rsid w:val="006C60D2"/>
    <w:rsid w:val="006C6F61"/>
    <w:rsid w:val="006C7186"/>
    <w:rsid w:val="006D0EAD"/>
    <w:rsid w:val="006D0FF5"/>
    <w:rsid w:val="006D2901"/>
    <w:rsid w:val="006D4339"/>
    <w:rsid w:val="006D5D1F"/>
    <w:rsid w:val="006D6B2A"/>
    <w:rsid w:val="006D7476"/>
    <w:rsid w:val="006D7835"/>
    <w:rsid w:val="006D7F88"/>
    <w:rsid w:val="006E4AC6"/>
    <w:rsid w:val="006E4B7F"/>
    <w:rsid w:val="006E5418"/>
    <w:rsid w:val="006E5E54"/>
    <w:rsid w:val="006E6025"/>
    <w:rsid w:val="006F05C3"/>
    <w:rsid w:val="006F15B1"/>
    <w:rsid w:val="006F174B"/>
    <w:rsid w:val="006F3032"/>
    <w:rsid w:val="006F346E"/>
    <w:rsid w:val="006F5B38"/>
    <w:rsid w:val="006F6A9F"/>
    <w:rsid w:val="006F6E32"/>
    <w:rsid w:val="00700579"/>
    <w:rsid w:val="00700F3B"/>
    <w:rsid w:val="00701E5A"/>
    <w:rsid w:val="00702822"/>
    <w:rsid w:val="0070367B"/>
    <w:rsid w:val="00707ED6"/>
    <w:rsid w:val="00710CF7"/>
    <w:rsid w:val="0071282D"/>
    <w:rsid w:val="007135AF"/>
    <w:rsid w:val="00717835"/>
    <w:rsid w:val="00720489"/>
    <w:rsid w:val="0072072E"/>
    <w:rsid w:val="00720BC7"/>
    <w:rsid w:val="00722B78"/>
    <w:rsid w:val="00723374"/>
    <w:rsid w:val="00730697"/>
    <w:rsid w:val="0073096B"/>
    <w:rsid w:val="007317BC"/>
    <w:rsid w:val="0073357B"/>
    <w:rsid w:val="00733A77"/>
    <w:rsid w:val="00734D74"/>
    <w:rsid w:val="00736CE0"/>
    <w:rsid w:val="007377F1"/>
    <w:rsid w:val="0074205E"/>
    <w:rsid w:val="00742246"/>
    <w:rsid w:val="007439F4"/>
    <w:rsid w:val="00745F3B"/>
    <w:rsid w:val="0074676D"/>
    <w:rsid w:val="00746993"/>
    <w:rsid w:val="00747267"/>
    <w:rsid w:val="007505B0"/>
    <w:rsid w:val="00751946"/>
    <w:rsid w:val="007532C9"/>
    <w:rsid w:val="00754981"/>
    <w:rsid w:val="00756119"/>
    <w:rsid w:val="00760434"/>
    <w:rsid w:val="00761877"/>
    <w:rsid w:val="00763D19"/>
    <w:rsid w:val="00764AB6"/>
    <w:rsid w:val="007704A9"/>
    <w:rsid w:val="00772867"/>
    <w:rsid w:val="00772B26"/>
    <w:rsid w:val="0077330C"/>
    <w:rsid w:val="00776D16"/>
    <w:rsid w:val="00783919"/>
    <w:rsid w:val="00783DA7"/>
    <w:rsid w:val="00784603"/>
    <w:rsid w:val="0078653A"/>
    <w:rsid w:val="00792C32"/>
    <w:rsid w:val="00794AFB"/>
    <w:rsid w:val="00797164"/>
    <w:rsid w:val="007A238A"/>
    <w:rsid w:val="007A293E"/>
    <w:rsid w:val="007A2BBA"/>
    <w:rsid w:val="007A5E7D"/>
    <w:rsid w:val="007A7123"/>
    <w:rsid w:val="007B0003"/>
    <w:rsid w:val="007B008F"/>
    <w:rsid w:val="007B13FA"/>
    <w:rsid w:val="007B17C2"/>
    <w:rsid w:val="007B3030"/>
    <w:rsid w:val="007B32AD"/>
    <w:rsid w:val="007B4A75"/>
    <w:rsid w:val="007C0BE8"/>
    <w:rsid w:val="007C0D2F"/>
    <w:rsid w:val="007C0EBF"/>
    <w:rsid w:val="007C2127"/>
    <w:rsid w:val="007C31C5"/>
    <w:rsid w:val="007C44DA"/>
    <w:rsid w:val="007D1FBD"/>
    <w:rsid w:val="007D46EC"/>
    <w:rsid w:val="007D4D5F"/>
    <w:rsid w:val="007D76FB"/>
    <w:rsid w:val="007E0B9B"/>
    <w:rsid w:val="007E3170"/>
    <w:rsid w:val="007E4256"/>
    <w:rsid w:val="007E5364"/>
    <w:rsid w:val="007F2B2C"/>
    <w:rsid w:val="00800EE9"/>
    <w:rsid w:val="00801786"/>
    <w:rsid w:val="00803F61"/>
    <w:rsid w:val="008050EE"/>
    <w:rsid w:val="008071C5"/>
    <w:rsid w:val="00810BB3"/>
    <w:rsid w:val="00813EE2"/>
    <w:rsid w:val="00816EB4"/>
    <w:rsid w:val="0082083D"/>
    <w:rsid w:val="00821AC8"/>
    <w:rsid w:val="008221AA"/>
    <w:rsid w:val="0082448C"/>
    <w:rsid w:val="00826253"/>
    <w:rsid w:val="0082671D"/>
    <w:rsid w:val="00826DD8"/>
    <w:rsid w:val="008270DC"/>
    <w:rsid w:val="0083118E"/>
    <w:rsid w:val="00831EA7"/>
    <w:rsid w:val="00833324"/>
    <w:rsid w:val="00835A63"/>
    <w:rsid w:val="008377B5"/>
    <w:rsid w:val="00841477"/>
    <w:rsid w:val="00842E02"/>
    <w:rsid w:val="008502C2"/>
    <w:rsid w:val="008507EF"/>
    <w:rsid w:val="00850904"/>
    <w:rsid w:val="008525DD"/>
    <w:rsid w:val="00853829"/>
    <w:rsid w:val="00853BF9"/>
    <w:rsid w:val="00856AB0"/>
    <w:rsid w:val="008611A2"/>
    <w:rsid w:val="00861FED"/>
    <w:rsid w:val="00862A3F"/>
    <w:rsid w:val="008648BF"/>
    <w:rsid w:val="00867811"/>
    <w:rsid w:val="00867C20"/>
    <w:rsid w:val="00870BB1"/>
    <w:rsid w:val="0087187D"/>
    <w:rsid w:val="00871E93"/>
    <w:rsid w:val="00872B95"/>
    <w:rsid w:val="008733D8"/>
    <w:rsid w:val="008745A8"/>
    <w:rsid w:val="0088245A"/>
    <w:rsid w:val="008832DB"/>
    <w:rsid w:val="00884B5C"/>
    <w:rsid w:val="0088500E"/>
    <w:rsid w:val="00886AC1"/>
    <w:rsid w:val="008876AB"/>
    <w:rsid w:val="008915FB"/>
    <w:rsid w:val="00893201"/>
    <w:rsid w:val="00893FBD"/>
    <w:rsid w:val="0089577E"/>
    <w:rsid w:val="00895CB0"/>
    <w:rsid w:val="00897DE4"/>
    <w:rsid w:val="008A1A85"/>
    <w:rsid w:val="008A1F39"/>
    <w:rsid w:val="008A2948"/>
    <w:rsid w:val="008A7380"/>
    <w:rsid w:val="008B03A9"/>
    <w:rsid w:val="008B0F94"/>
    <w:rsid w:val="008B25E6"/>
    <w:rsid w:val="008B3FDA"/>
    <w:rsid w:val="008B4683"/>
    <w:rsid w:val="008B472E"/>
    <w:rsid w:val="008B57A8"/>
    <w:rsid w:val="008C00B4"/>
    <w:rsid w:val="008C1668"/>
    <w:rsid w:val="008C2EB3"/>
    <w:rsid w:val="008C3FAF"/>
    <w:rsid w:val="008C59D7"/>
    <w:rsid w:val="008C62AD"/>
    <w:rsid w:val="008C6BEB"/>
    <w:rsid w:val="008D1717"/>
    <w:rsid w:val="008D174D"/>
    <w:rsid w:val="008D2E1A"/>
    <w:rsid w:val="008D2FF6"/>
    <w:rsid w:val="008D554A"/>
    <w:rsid w:val="008D5DC5"/>
    <w:rsid w:val="008E2B05"/>
    <w:rsid w:val="008E569D"/>
    <w:rsid w:val="008F0099"/>
    <w:rsid w:val="008F0605"/>
    <w:rsid w:val="008F0A60"/>
    <w:rsid w:val="008F2DEC"/>
    <w:rsid w:val="008F3F14"/>
    <w:rsid w:val="00902E57"/>
    <w:rsid w:val="00903920"/>
    <w:rsid w:val="00904305"/>
    <w:rsid w:val="009049D1"/>
    <w:rsid w:val="00904B63"/>
    <w:rsid w:val="00905A5F"/>
    <w:rsid w:val="009062BF"/>
    <w:rsid w:val="00906F7A"/>
    <w:rsid w:val="00910330"/>
    <w:rsid w:val="00910824"/>
    <w:rsid w:val="00910CCC"/>
    <w:rsid w:val="009137C6"/>
    <w:rsid w:val="009141DF"/>
    <w:rsid w:val="00917120"/>
    <w:rsid w:val="009171A0"/>
    <w:rsid w:val="00920B77"/>
    <w:rsid w:val="00921A94"/>
    <w:rsid w:val="0092248C"/>
    <w:rsid w:val="00922DEC"/>
    <w:rsid w:val="00922FC1"/>
    <w:rsid w:val="009232EE"/>
    <w:rsid w:val="00923F25"/>
    <w:rsid w:val="0092466F"/>
    <w:rsid w:val="00925D56"/>
    <w:rsid w:val="0092640D"/>
    <w:rsid w:val="0092668F"/>
    <w:rsid w:val="00930FCC"/>
    <w:rsid w:val="009361A2"/>
    <w:rsid w:val="009379DE"/>
    <w:rsid w:val="0094179F"/>
    <w:rsid w:val="00944853"/>
    <w:rsid w:val="009500BC"/>
    <w:rsid w:val="009536A2"/>
    <w:rsid w:val="009541C4"/>
    <w:rsid w:val="00956D8E"/>
    <w:rsid w:val="009575CF"/>
    <w:rsid w:val="00961994"/>
    <w:rsid w:val="00962F5F"/>
    <w:rsid w:val="00964E59"/>
    <w:rsid w:val="009666C0"/>
    <w:rsid w:val="00966860"/>
    <w:rsid w:val="00967F46"/>
    <w:rsid w:val="00971C3A"/>
    <w:rsid w:val="00972641"/>
    <w:rsid w:val="009727E2"/>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FC3"/>
    <w:rsid w:val="00992CA5"/>
    <w:rsid w:val="00993BC1"/>
    <w:rsid w:val="00994791"/>
    <w:rsid w:val="00994BF3"/>
    <w:rsid w:val="00997530"/>
    <w:rsid w:val="009A28AF"/>
    <w:rsid w:val="009A3AAC"/>
    <w:rsid w:val="009A5A09"/>
    <w:rsid w:val="009A6BE0"/>
    <w:rsid w:val="009A6E3B"/>
    <w:rsid w:val="009A7BE0"/>
    <w:rsid w:val="009B2E15"/>
    <w:rsid w:val="009B4B0D"/>
    <w:rsid w:val="009B6105"/>
    <w:rsid w:val="009C1A67"/>
    <w:rsid w:val="009C32A5"/>
    <w:rsid w:val="009C419C"/>
    <w:rsid w:val="009C5170"/>
    <w:rsid w:val="009C5B28"/>
    <w:rsid w:val="009C7411"/>
    <w:rsid w:val="009D2F27"/>
    <w:rsid w:val="009D5A73"/>
    <w:rsid w:val="009D5B4E"/>
    <w:rsid w:val="009D5C70"/>
    <w:rsid w:val="009D7A98"/>
    <w:rsid w:val="009E07EA"/>
    <w:rsid w:val="009E0DFB"/>
    <w:rsid w:val="009E1059"/>
    <w:rsid w:val="009E120D"/>
    <w:rsid w:val="009E1234"/>
    <w:rsid w:val="009E3311"/>
    <w:rsid w:val="009E6159"/>
    <w:rsid w:val="009F0360"/>
    <w:rsid w:val="009F0786"/>
    <w:rsid w:val="009F0EAB"/>
    <w:rsid w:val="009F104D"/>
    <w:rsid w:val="009F146E"/>
    <w:rsid w:val="009F14CE"/>
    <w:rsid w:val="009F228E"/>
    <w:rsid w:val="009F54AE"/>
    <w:rsid w:val="009F67CC"/>
    <w:rsid w:val="009F7643"/>
    <w:rsid w:val="009F7E1A"/>
    <w:rsid w:val="00A021C3"/>
    <w:rsid w:val="00A1154D"/>
    <w:rsid w:val="00A12F4D"/>
    <w:rsid w:val="00A13F72"/>
    <w:rsid w:val="00A15D98"/>
    <w:rsid w:val="00A160BF"/>
    <w:rsid w:val="00A171D3"/>
    <w:rsid w:val="00A17719"/>
    <w:rsid w:val="00A20EFB"/>
    <w:rsid w:val="00A2115F"/>
    <w:rsid w:val="00A24C1D"/>
    <w:rsid w:val="00A27B3A"/>
    <w:rsid w:val="00A308DB"/>
    <w:rsid w:val="00A3110D"/>
    <w:rsid w:val="00A313B8"/>
    <w:rsid w:val="00A31871"/>
    <w:rsid w:val="00A31B2A"/>
    <w:rsid w:val="00A32543"/>
    <w:rsid w:val="00A3317C"/>
    <w:rsid w:val="00A37C87"/>
    <w:rsid w:val="00A431C7"/>
    <w:rsid w:val="00A439DA"/>
    <w:rsid w:val="00A44347"/>
    <w:rsid w:val="00A45DE3"/>
    <w:rsid w:val="00A500EE"/>
    <w:rsid w:val="00A51D62"/>
    <w:rsid w:val="00A55E93"/>
    <w:rsid w:val="00A56DAE"/>
    <w:rsid w:val="00A616E0"/>
    <w:rsid w:val="00A6232F"/>
    <w:rsid w:val="00A641B0"/>
    <w:rsid w:val="00A64291"/>
    <w:rsid w:val="00A649BB"/>
    <w:rsid w:val="00A66DF7"/>
    <w:rsid w:val="00A6703B"/>
    <w:rsid w:val="00A70E02"/>
    <w:rsid w:val="00A7252E"/>
    <w:rsid w:val="00A73197"/>
    <w:rsid w:val="00A73507"/>
    <w:rsid w:val="00A7459E"/>
    <w:rsid w:val="00A75998"/>
    <w:rsid w:val="00A7688B"/>
    <w:rsid w:val="00A81B52"/>
    <w:rsid w:val="00A82AA1"/>
    <w:rsid w:val="00A82BB4"/>
    <w:rsid w:val="00A83FB0"/>
    <w:rsid w:val="00A905F5"/>
    <w:rsid w:val="00A925C9"/>
    <w:rsid w:val="00A92D91"/>
    <w:rsid w:val="00A95DB5"/>
    <w:rsid w:val="00A969EB"/>
    <w:rsid w:val="00A96B59"/>
    <w:rsid w:val="00AA55D2"/>
    <w:rsid w:val="00AA6BEE"/>
    <w:rsid w:val="00AB5F42"/>
    <w:rsid w:val="00AB67B2"/>
    <w:rsid w:val="00AB6B56"/>
    <w:rsid w:val="00AC0DA1"/>
    <w:rsid w:val="00AC1CF7"/>
    <w:rsid w:val="00AC2B52"/>
    <w:rsid w:val="00AC61A8"/>
    <w:rsid w:val="00AD1B31"/>
    <w:rsid w:val="00AD2642"/>
    <w:rsid w:val="00AD2800"/>
    <w:rsid w:val="00AD4629"/>
    <w:rsid w:val="00AD6ECF"/>
    <w:rsid w:val="00AE0DA1"/>
    <w:rsid w:val="00AE4F48"/>
    <w:rsid w:val="00AE5974"/>
    <w:rsid w:val="00AE6A0B"/>
    <w:rsid w:val="00AE7A2F"/>
    <w:rsid w:val="00AF143D"/>
    <w:rsid w:val="00AF32EA"/>
    <w:rsid w:val="00AF55EF"/>
    <w:rsid w:val="00AF7AC8"/>
    <w:rsid w:val="00B01286"/>
    <w:rsid w:val="00B01769"/>
    <w:rsid w:val="00B01B6B"/>
    <w:rsid w:val="00B06CD9"/>
    <w:rsid w:val="00B12FBB"/>
    <w:rsid w:val="00B20E43"/>
    <w:rsid w:val="00B2117C"/>
    <w:rsid w:val="00B22E0E"/>
    <w:rsid w:val="00B303B9"/>
    <w:rsid w:val="00B30A20"/>
    <w:rsid w:val="00B335C9"/>
    <w:rsid w:val="00B33FB9"/>
    <w:rsid w:val="00B35F66"/>
    <w:rsid w:val="00B36D92"/>
    <w:rsid w:val="00B40E2C"/>
    <w:rsid w:val="00B410B9"/>
    <w:rsid w:val="00B4117A"/>
    <w:rsid w:val="00B42633"/>
    <w:rsid w:val="00B42A4C"/>
    <w:rsid w:val="00B44520"/>
    <w:rsid w:val="00B45036"/>
    <w:rsid w:val="00B46119"/>
    <w:rsid w:val="00B5016E"/>
    <w:rsid w:val="00B502BF"/>
    <w:rsid w:val="00B52C79"/>
    <w:rsid w:val="00B534DA"/>
    <w:rsid w:val="00B55CA4"/>
    <w:rsid w:val="00B616CD"/>
    <w:rsid w:val="00B62726"/>
    <w:rsid w:val="00B6562C"/>
    <w:rsid w:val="00B677F2"/>
    <w:rsid w:val="00B73492"/>
    <w:rsid w:val="00B77958"/>
    <w:rsid w:val="00B77C3D"/>
    <w:rsid w:val="00B8362B"/>
    <w:rsid w:val="00B92C27"/>
    <w:rsid w:val="00B9315A"/>
    <w:rsid w:val="00B932BE"/>
    <w:rsid w:val="00B9352B"/>
    <w:rsid w:val="00B93A5E"/>
    <w:rsid w:val="00B94086"/>
    <w:rsid w:val="00B942FD"/>
    <w:rsid w:val="00B95B69"/>
    <w:rsid w:val="00B96662"/>
    <w:rsid w:val="00BA0965"/>
    <w:rsid w:val="00BA2E7F"/>
    <w:rsid w:val="00BA4BA8"/>
    <w:rsid w:val="00BB1681"/>
    <w:rsid w:val="00BB4B24"/>
    <w:rsid w:val="00BB6B52"/>
    <w:rsid w:val="00BC1F50"/>
    <w:rsid w:val="00BC207F"/>
    <w:rsid w:val="00BC23B8"/>
    <w:rsid w:val="00BC5FB0"/>
    <w:rsid w:val="00BC6ABA"/>
    <w:rsid w:val="00BD1DD0"/>
    <w:rsid w:val="00BD29F1"/>
    <w:rsid w:val="00BD4DF6"/>
    <w:rsid w:val="00BD5404"/>
    <w:rsid w:val="00BD5862"/>
    <w:rsid w:val="00BD63BE"/>
    <w:rsid w:val="00BD6F9A"/>
    <w:rsid w:val="00BE0B08"/>
    <w:rsid w:val="00BE294C"/>
    <w:rsid w:val="00BE308A"/>
    <w:rsid w:val="00BE4553"/>
    <w:rsid w:val="00BE5423"/>
    <w:rsid w:val="00BE589F"/>
    <w:rsid w:val="00BF0F97"/>
    <w:rsid w:val="00BF2B93"/>
    <w:rsid w:val="00BF2C40"/>
    <w:rsid w:val="00BF2DF4"/>
    <w:rsid w:val="00BF4B90"/>
    <w:rsid w:val="00BF780B"/>
    <w:rsid w:val="00C00128"/>
    <w:rsid w:val="00C02236"/>
    <w:rsid w:val="00C02C23"/>
    <w:rsid w:val="00C02C6A"/>
    <w:rsid w:val="00C05443"/>
    <w:rsid w:val="00C05589"/>
    <w:rsid w:val="00C075A4"/>
    <w:rsid w:val="00C10D1F"/>
    <w:rsid w:val="00C11958"/>
    <w:rsid w:val="00C13E67"/>
    <w:rsid w:val="00C15742"/>
    <w:rsid w:val="00C15AB7"/>
    <w:rsid w:val="00C16031"/>
    <w:rsid w:val="00C17A13"/>
    <w:rsid w:val="00C24355"/>
    <w:rsid w:val="00C24C23"/>
    <w:rsid w:val="00C25057"/>
    <w:rsid w:val="00C25696"/>
    <w:rsid w:val="00C279DD"/>
    <w:rsid w:val="00C315EE"/>
    <w:rsid w:val="00C32B1D"/>
    <w:rsid w:val="00C32DEF"/>
    <w:rsid w:val="00C333A0"/>
    <w:rsid w:val="00C34D0E"/>
    <w:rsid w:val="00C351B7"/>
    <w:rsid w:val="00C365BA"/>
    <w:rsid w:val="00C36E90"/>
    <w:rsid w:val="00C37760"/>
    <w:rsid w:val="00C379C4"/>
    <w:rsid w:val="00C408EC"/>
    <w:rsid w:val="00C40BC0"/>
    <w:rsid w:val="00C41E75"/>
    <w:rsid w:val="00C427D6"/>
    <w:rsid w:val="00C45064"/>
    <w:rsid w:val="00C4592B"/>
    <w:rsid w:val="00C5330F"/>
    <w:rsid w:val="00C54A1A"/>
    <w:rsid w:val="00C557D4"/>
    <w:rsid w:val="00C55A6C"/>
    <w:rsid w:val="00C5617B"/>
    <w:rsid w:val="00C6025D"/>
    <w:rsid w:val="00C60404"/>
    <w:rsid w:val="00C619D0"/>
    <w:rsid w:val="00C61B37"/>
    <w:rsid w:val="00C7097C"/>
    <w:rsid w:val="00C70AD9"/>
    <w:rsid w:val="00C72374"/>
    <w:rsid w:val="00C77545"/>
    <w:rsid w:val="00C77CDA"/>
    <w:rsid w:val="00C81187"/>
    <w:rsid w:val="00C82339"/>
    <w:rsid w:val="00C84D5A"/>
    <w:rsid w:val="00C851FC"/>
    <w:rsid w:val="00C860DE"/>
    <w:rsid w:val="00C867FB"/>
    <w:rsid w:val="00C90227"/>
    <w:rsid w:val="00C915DE"/>
    <w:rsid w:val="00C929DD"/>
    <w:rsid w:val="00C93698"/>
    <w:rsid w:val="00CA0412"/>
    <w:rsid w:val="00CA1F00"/>
    <w:rsid w:val="00CA2EE6"/>
    <w:rsid w:val="00CA33C7"/>
    <w:rsid w:val="00CA5F04"/>
    <w:rsid w:val="00CA61A0"/>
    <w:rsid w:val="00CB022F"/>
    <w:rsid w:val="00CB462E"/>
    <w:rsid w:val="00CB4BAA"/>
    <w:rsid w:val="00CC03DA"/>
    <w:rsid w:val="00CC3B51"/>
    <w:rsid w:val="00CC400E"/>
    <w:rsid w:val="00CC5EE3"/>
    <w:rsid w:val="00CC78E0"/>
    <w:rsid w:val="00CC7D21"/>
    <w:rsid w:val="00CD11B6"/>
    <w:rsid w:val="00CD4EFE"/>
    <w:rsid w:val="00CE03D8"/>
    <w:rsid w:val="00CE2F33"/>
    <w:rsid w:val="00CE5DF7"/>
    <w:rsid w:val="00CF0312"/>
    <w:rsid w:val="00CF0BBA"/>
    <w:rsid w:val="00CF198E"/>
    <w:rsid w:val="00CF2F46"/>
    <w:rsid w:val="00CF3028"/>
    <w:rsid w:val="00CF7201"/>
    <w:rsid w:val="00CF7CB1"/>
    <w:rsid w:val="00D0059B"/>
    <w:rsid w:val="00D01018"/>
    <w:rsid w:val="00D02FB0"/>
    <w:rsid w:val="00D04910"/>
    <w:rsid w:val="00D04B01"/>
    <w:rsid w:val="00D076D5"/>
    <w:rsid w:val="00D100BF"/>
    <w:rsid w:val="00D12812"/>
    <w:rsid w:val="00D13013"/>
    <w:rsid w:val="00D15723"/>
    <w:rsid w:val="00D1795D"/>
    <w:rsid w:val="00D17F46"/>
    <w:rsid w:val="00D2213B"/>
    <w:rsid w:val="00D227C2"/>
    <w:rsid w:val="00D245FB"/>
    <w:rsid w:val="00D254A5"/>
    <w:rsid w:val="00D33375"/>
    <w:rsid w:val="00D352D9"/>
    <w:rsid w:val="00D373E1"/>
    <w:rsid w:val="00D3753F"/>
    <w:rsid w:val="00D37A4B"/>
    <w:rsid w:val="00D41FA8"/>
    <w:rsid w:val="00D42417"/>
    <w:rsid w:val="00D4297F"/>
    <w:rsid w:val="00D46D94"/>
    <w:rsid w:val="00D4719E"/>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2746"/>
    <w:rsid w:val="00D83489"/>
    <w:rsid w:val="00D84706"/>
    <w:rsid w:val="00D84C83"/>
    <w:rsid w:val="00D91BC2"/>
    <w:rsid w:val="00D91CEF"/>
    <w:rsid w:val="00D93106"/>
    <w:rsid w:val="00D93DB0"/>
    <w:rsid w:val="00D94CD1"/>
    <w:rsid w:val="00D96C21"/>
    <w:rsid w:val="00DA0E06"/>
    <w:rsid w:val="00DA40F0"/>
    <w:rsid w:val="00DA5801"/>
    <w:rsid w:val="00DA6090"/>
    <w:rsid w:val="00DA6CF2"/>
    <w:rsid w:val="00DB4209"/>
    <w:rsid w:val="00DB71BA"/>
    <w:rsid w:val="00DB739F"/>
    <w:rsid w:val="00DB7E31"/>
    <w:rsid w:val="00DC1BD4"/>
    <w:rsid w:val="00DC3ED1"/>
    <w:rsid w:val="00DC4628"/>
    <w:rsid w:val="00DC6BEA"/>
    <w:rsid w:val="00DD12B3"/>
    <w:rsid w:val="00DD1995"/>
    <w:rsid w:val="00DD1A9F"/>
    <w:rsid w:val="00DD1AF7"/>
    <w:rsid w:val="00DD4661"/>
    <w:rsid w:val="00DD5C89"/>
    <w:rsid w:val="00DD7880"/>
    <w:rsid w:val="00DD7A23"/>
    <w:rsid w:val="00DE13FD"/>
    <w:rsid w:val="00DE1D1B"/>
    <w:rsid w:val="00DE23F4"/>
    <w:rsid w:val="00DE2494"/>
    <w:rsid w:val="00DE283C"/>
    <w:rsid w:val="00DE4085"/>
    <w:rsid w:val="00DF0354"/>
    <w:rsid w:val="00DF2C39"/>
    <w:rsid w:val="00DF2F7E"/>
    <w:rsid w:val="00DF5756"/>
    <w:rsid w:val="00DF57F1"/>
    <w:rsid w:val="00DF70D9"/>
    <w:rsid w:val="00E00927"/>
    <w:rsid w:val="00E0371E"/>
    <w:rsid w:val="00E03B56"/>
    <w:rsid w:val="00E06442"/>
    <w:rsid w:val="00E06672"/>
    <w:rsid w:val="00E1019A"/>
    <w:rsid w:val="00E10AB6"/>
    <w:rsid w:val="00E11A38"/>
    <w:rsid w:val="00E13003"/>
    <w:rsid w:val="00E16AF8"/>
    <w:rsid w:val="00E16D1A"/>
    <w:rsid w:val="00E24C4B"/>
    <w:rsid w:val="00E27695"/>
    <w:rsid w:val="00E279C3"/>
    <w:rsid w:val="00E27BE9"/>
    <w:rsid w:val="00E315C8"/>
    <w:rsid w:val="00E3278B"/>
    <w:rsid w:val="00E35B7D"/>
    <w:rsid w:val="00E368D6"/>
    <w:rsid w:val="00E37B85"/>
    <w:rsid w:val="00E37CF7"/>
    <w:rsid w:val="00E403BF"/>
    <w:rsid w:val="00E41819"/>
    <w:rsid w:val="00E41939"/>
    <w:rsid w:val="00E4401A"/>
    <w:rsid w:val="00E442C5"/>
    <w:rsid w:val="00E44AE6"/>
    <w:rsid w:val="00E46F66"/>
    <w:rsid w:val="00E47383"/>
    <w:rsid w:val="00E52126"/>
    <w:rsid w:val="00E534EB"/>
    <w:rsid w:val="00E5460E"/>
    <w:rsid w:val="00E546CF"/>
    <w:rsid w:val="00E55327"/>
    <w:rsid w:val="00E563A4"/>
    <w:rsid w:val="00E57A43"/>
    <w:rsid w:val="00E606B2"/>
    <w:rsid w:val="00E63ADA"/>
    <w:rsid w:val="00E63BDA"/>
    <w:rsid w:val="00E674D5"/>
    <w:rsid w:val="00E70ABD"/>
    <w:rsid w:val="00E724EC"/>
    <w:rsid w:val="00E730BC"/>
    <w:rsid w:val="00E757B4"/>
    <w:rsid w:val="00E779B7"/>
    <w:rsid w:val="00E77A50"/>
    <w:rsid w:val="00E8084A"/>
    <w:rsid w:val="00E810A3"/>
    <w:rsid w:val="00E812B2"/>
    <w:rsid w:val="00E84E10"/>
    <w:rsid w:val="00E905D4"/>
    <w:rsid w:val="00E91FD4"/>
    <w:rsid w:val="00E948E4"/>
    <w:rsid w:val="00E94D94"/>
    <w:rsid w:val="00E96345"/>
    <w:rsid w:val="00E96E76"/>
    <w:rsid w:val="00E973BF"/>
    <w:rsid w:val="00E97E45"/>
    <w:rsid w:val="00EA0C3D"/>
    <w:rsid w:val="00EA2F5B"/>
    <w:rsid w:val="00EA369C"/>
    <w:rsid w:val="00EA3C99"/>
    <w:rsid w:val="00EA52B6"/>
    <w:rsid w:val="00EA5B71"/>
    <w:rsid w:val="00EA755E"/>
    <w:rsid w:val="00EB0163"/>
    <w:rsid w:val="00EB2A7D"/>
    <w:rsid w:val="00EB3649"/>
    <w:rsid w:val="00EB3985"/>
    <w:rsid w:val="00EB4A80"/>
    <w:rsid w:val="00EB7D33"/>
    <w:rsid w:val="00EC0443"/>
    <w:rsid w:val="00EC17A9"/>
    <w:rsid w:val="00EC1D6A"/>
    <w:rsid w:val="00EC35EA"/>
    <w:rsid w:val="00EC6954"/>
    <w:rsid w:val="00ED28F2"/>
    <w:rsid w:val="00ED3465"/>
    <w:rsid w:val="00ED3E7D"/>
    <w:rsid w:val="00ED5039"/>
    <w:rsid w:val="00EE0069"/>
    <w:rsid w:val="00EE50D2"/>
    <w:rsid w:val="00EE574A"/>
    <w:rsid w:val="00EE59C2"/>
    <w:rsid w:val="00EE7040"/>
    <w:rsid w:val="00EE76C5"/>
    <w:rsid w:val="00EF249A"/>
    <w:rsid w:val="00EF263A"/>
    <w:rsid w:val="00EF347D"/>
    <w:rsid w:val="00EF3E6A"/>
    <w:rsid w:val="00EF415A"/>
    <w:rsid w:val="00EF46A2"/>
    <w:rsid w:val="00F00259"/>
    <w:rsid w:val="00F026D5"/>
    <w:rsid w:val="00F028D8"/>
    <w:rsid w:val="00F02BFD"/>
    <w:rsid w:val="00F05414"/>
    <w:rsid w:val="00F05D6B"/>
    <w:rsid w:val="00F07336"/>
    <w:rsid w:val="00F10753"/>
    <w:rsid w:val="00F10FA6"/>
    <w:rsid w:val="00F1599B"/>
    <w:rsid w:val="00F15ACC"/>
    <w:rsid w:val="00F178A6"/>
    <w:rsid w:val="00F2066E"/>
    <w:rsid w:val="00F20AEF"/>
    <w:rsid w:val="00F22A97"/>
    <w:rsid w:val="00F23533"/>
    <w:rsid w:val="00F23E7C"/>
    <w:rsid w:val="00F26E4E"/>
    <w:rsid w:val="00F27614"/>
    <w:rsid w:val="00F305A7"/>
    <w:rsid w:val="00F31DC7"/>
    <w:rsid w:val="00F326B3"/>
    <w:rsid w:val="00F36057"/>
    <w:rsid w:val="00F36940"/>
    <w:rsid w:val="00F4115C"/>
    <w:rsid w:val="00F411CB"/>
    <w:rsid w:val="00F443C6"/>
    <w:rsid w:val="00F45742"/>
    <w:rsid w:val="00F507F6"/>
    <w:rsid w:val="00F51A73"/>
    <w:rsid w:val="00F54087"/>
    <w:rsid w:val="00F55F14"/>
    <w:rsid w:val="00F56824"/>
    <w:rsid w:val="00F570E0"/>
    <w:rsid w:val="00F62E54"/>
    <w:rsid w:val="00F63FAF"/>
    <w:rsid w:val="00F64EFC"/>
    <w:rsid w:val="00F65818"/>
    <w:rsid w:val="00F7052B"/>
    <w:rsid w:val="00F7632B"/>
    <w:rsid w:val="00F80F6C"/>
    <w:rsid w:val="00F81358"/>
    <w:rsid w:val="00F82137"/>
    <w:rsid w:val="00F8269D"/>
    <w:rsid w:val="00F82BCE"/>
    <w:rsid w:val="00F84248"/>
    <w:rsid w:val="00F854FE"/>
    <w:rsid w:val="00F868A2"/>
    <w:rsid w:val="00F8793E"/>
    <w:rsid w:val="00F91587"/>
    <w:rsid w:val="00F93BAA"/>
    <w:rsid w:val="00F943AD"/>
    <w:rsid w:val="00F95373"/>
    <w:rsid w:val="00F960C4"/>
    <w:rsid w:val="00F96207"/>
    <w:rsid w:val="00F97372"/>
    <w:rsid w:val="00FA03F2"/>
    <w:rsid w:val="00FA2369"/>
    <w:rsid w:val="00FA37DD"/>
    <w:rsid w:val="00FA5256"/>
    <w:rsid w:val="00FB41E1"/>
    <w:rsid w:val="00FB6150"/>
    <w:rsid w:val="00FB7807"/>
    <w:rsid w:val="00FB7AB0"/>
    <w:rsid w:val="00FC1110"/>
    <w:rsid w:val="00FC26B5"/>
    <w:rsid w:val="00FC2F64"/>
    <w:rsid w:val="00FC54F6"/>
    <w:rsid w:val="00FC5505"/>
    <w:rsid w:val="00FC5EF5"/>
    <w:rsid w:val="00FD14C0"/>
    <w:rsid w:val="00FD1B1E"/>
    <w:rsid w:val="00FD48F4"/>
    <w:rsid w:val="00FD65F1"/>
    <w:rsid w:val="00FD71D3"/>
    <w:rsid w:val="00FE09E0"/>
    <w:rsid w:val="00FE1B20"/>
    <w:rsid w:val="00FE21EF"/>
    <w:rsid w:val="00FE37C1"/>
    <w:rsid w:val="00FE4809"/>
    <w:rsid w:val="00FE4AC5"/>
    <w:rsid w:val="00FE7D9F"/>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53C7D2"/>
  <w15:docId w15:val="{6A54F2C2-BCE3-4B3C-992B-A1B1A8175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uiPriority w:val="39"/>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87505651">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376589300">
      <w:bodyDiv w:val="1"/>
      <w:marLeft w:val="0"/>
      <w:marRight w:val="0"/>
      <w:marTop w:val="0"/>
      <w:marBottom w:val="0"/>
      <w:divBdr>
        <w:top w:val="none" w:sz="0" w:space="0" w:color="auto"/>
        <w:left w:val="none" w:sz="0" w:space="0" w:color="auto"/>
        <w:bottom w:val="none" w:sz="0" w:space="0" w:color="auto"/>
        <w:right w:val="none" w:sz="0" w:space="0" w:color="auto"/>
      </w:divBdr>
    </w:div>
    <w:div w:id="438186121">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697896732">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23331197">
      <w:bodyDiv w:val="1"/>
      <w:marLeft w:val="0"/>
      <w:marRight w:val="0"/>
      <w:marTop w:val="0"/>
      <w:marBottom w:val="0"/>
      <w:divBdr>
        <w:top w:val="none" w:sz="0" w:space="0" w:color="auto"/>
        <w:left w:val="none" w:sz="0" w:space="0" w:color="auto"/>
        <w:bottom w:val="none" w:sz="0" w:space="0" w:color="auto"/>
        <w:right w:val="none" w:sz="0" w:space="0" w:color="auto"/>
      </w:divBdr>
    </w:div>
    <w:div w:id="736320766">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294289448">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054958962">
      <w:bodyDiv w:val="1"/>
      <w:marLeft w:val="0"/>
      <w:marRight w:val="0"/>
      <w:marTop w:val="0"/>
      <w:marBottom w:val="0"/>
      <w:divBdr>
        <w:top w:val="none" w:sz="0" w:space="0" w:color="auto"/>
        <w:left w:val="none" w:sz="0" w:space="0" w:color="auto"/>
        <w:bottom w:val="none" w:sz="0" w:space="0" w:color="auto"/>
        <w:right w:val="none" w:sz="0" w:space="0" w:color="auto"/>
      </w:divBdr>
    </w:div>
    <w:div w:id="2123184530">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lexis.fernandez@dss.c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opm.gov/policy-data-oversight/pay-leave/salaries-wages/salary-tables/pdf/2020/GS_h.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Larry.braasch@dhs.state.nj.us"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rittany.mangini@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29365155E8DD45B86265C8C7B61D5E" ma:contentTypeVersion="4" ma:contentTypeDescription="Create a new document." ma:contentTypeScope="" ma:versionID="45e5ccd965349e686fdc65e2e873d70f">
  <xsd:schema xmlns:xsd="http://www.w3.org/2001/XMLSchema" xmlns:xs="http://www.w3.org/2001/XMLSchema" xmlns:p="http://schemas.microsoft.com/office/2006/metadata/properties" xmlns:ns2="e7af00a0-4db2-4e43-90e3-8e4b091aeec2" xmlns:ns3="a962400d-f753-4618-8b3a-acffb4d00039" targetNamespace="http://schemas.microsoft.com/office/2006/metadata/properties" ma:root="true" ma:fieldsID="038b491394e2cdf87fa31e26de55a789" ns2:_="" ns3:_="">
    <xsd:import namespace="e7af00a0-4db2-4e43-90e3-8e4b091aeec2"/>
    <xsd:import namespace="a962400d-f753-4618-8b3a-acffb4d00039"/>
    <xsd:element name="properties">
      <xsd:complexType>
        <xsd:sequence>
          <xsd:element name="documentManagement">
            <xsd:complexType>
              <xsd:all>
                <xsd:element ref="ns2:Rank"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f00a0-4db2-4e43-90e3-8e4b091aeec2" elementFormDefault="qualified">
    <xsd:import namespace="http://schemas.microsoft.com/office/2006/documentManagement/types"/>
    <xsd:import namespace="http://schemas.microsoft.com/office/infopath/2007/PartnerControl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62400d-f753-4618-8b3a-acffb4d000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Rank xmlns="e7af00a0-4db2-4e43-90e3-8e4b091aeec2">2</Rank>
    <Description0 xmlns="e7af00a0-4db2-4e43-90e3-8e4b091aeec2">Standard template for Part A</Description0>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C0B27-8198-40E1-90BB-A34DCAAC9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f00a0-4db2-4e43-90e3-8e4b091aeec2"/>
    <ds:schemaRef ds:uri="a962400d-f753-4618-8b3a-acffb4d00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D7420-095D-468C-BC80-9E7A41869B57}">
  <ds:schemaRefs>
    <ds:schemaRef ds:uri="http://schemas.microsoft.com/office/2006/metadata/properties"/>
    <ds:schemaRef ds:uri="e7af00a0-4db2-4e43-90e3-8e4b091aeec2"/>
  </ds:schemaRefs>
</ds:datastoreItem>
</file>

<file path=customXml/itemProps3.xml><?xml version="1.0" encoding="utf-8"?>
<ds:datastoreItem xmlns:ds="http://schemas.openxmlformats.org/officeDocument/2006/customXml" ds:itemID="{707E9DE3-3D37-4159-953A-B41F31CC7029}">
  <ds:schemaRefs>
    <ds:schemaRef ds:uri="http://schemas.microsoft.com/sharepoint/events"/>
  </ds:schemaRefs>
</ds:datastoreItem>
</file>

<file path=customXml/itemProps4.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5.xml><?xml version="1.0" encoding="utf-8"?>
<ds:datastoreItem xmlns:ds="http://schemas.openxmlformats.org/officeDocument/2006/customXml" ds:itemID="{86656252-E07D-42C7-960A-DDE898B27177}">
  <ds:schemaRefs>
    <ds:schemaRef ds:uri="http://schemas.microsoft.com/office/2006/metadata/customXsn"/>
  </ds:schemaRefs>
</ds:datastoreItem>
</file>

<file path=customXml/itemProps6.xml><?xml version="1.0" encoding="utf-8"?>
<ds:datastoreItem xmlns:ds="http://schemas.openxmlformats.org/officeDocument/2006/customXml" ds:itemID="{41D5CF40-BAB5-4CF8-8AB5-65F18CA5D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15</Pages>
  <Words>3680</Words>
  <Characters>20980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24611</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subject/>
  <dc:creator>USDA</dc:creator>
  <cp:keywords/>
  <dc:description/>
  <cp:lastModifiedBy>Franklin, Jamia - FNS</cp:lastModifiedBy>
  <cp:revision>6</cp:revision>
  <cp:lastPrinted>2013-08-08T14:23:00Z</cp:lastPrinted>
  <dcterms:created xsi:type="dcterms:W3CDTF">2020-11-10T18:34:00Z</dcterms:created>
  <dcterms:modified xsi:type="dcterms:W3CDTF">2020-11-16T15:59:00Z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0x010100F629365155E8DD45B86265C8C7B61D5E</vt:lpwstr>
  </property>
  <property fmtid="{D5CDD505-2E9C-101B-9397-08002B2CF9AE}" pid="3" name="Order">
    <vt:r8>500</vt:r8>
  </property>
  <property fmtid="{D5CDD505-2E9C-101B-9397-08002B2CF9AE}" pid="4" name="xd_ProgID">
    <vt:lpwstr/>
  </property>
  <property fmtid="{D5CDD505-2E9C-101B-9397-08002B2CF9AE}" pid="5" name="_dlc_DocId">
    <vt:lpwstr>PAT56XDWNNC6-1500440792-5</vt:lpwstr>
  </property>
  <property fmtid="{D5CDD505-2E9C-101B-9397-08002B2CF9AE}" pid="6" name="_SourceUrl">
    <vt:lpwstr/>
  </property>
  <property fmtid="{D5CDD505-2E9C-101B-9397-08002B2CF9AE}" pid="7" name="_SharedFileIndex">
    <vt:lpwstr/>
  </property>
  <property fmtid="{D5CDD505-2E9C-101B-9397-08002B2CF9AE}" pid="8" name="_dlc_DocIdUrl">
    <vt:lpwstr>https://fncspro.usda.net/offices/ops/prao/_layouts/15/DocIdRedir.aspx?ID=PAT56XDWNNC6-1500440792-5, PAT56XDWNNC6-1500440792-5</vt:lpwstr>
  </property>
  <property fmtid="{D5CDD505-2E9C-101B-9397-08002B2CF9AE}" pid="9" name="TemplateUrl">
    <vt:lpwstr/>
  </property>
  <property fmtid="{D5CDD505-2E9C-101B-9397-08002B2CF9AE}" pid="10" name="_dlc_DocIdItemGuid">
    <vt:lpwstr>f9460f86-ccb2-45e2-9293-8cbabf720072</vt:lpwstr>
  </property>
</Properties>
</file>