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FA1" w:rsidP="006A5FA1" w:rsidRDefault="006A5FA1" w14:paraId="1D0EB062" w14:textId="635444B5">
      <w:pPr>
        <w:spacing w:before="360" w:after="144" w:line="312" w:lineRule="auto"/>
        <w:ind w:left="5112" w:right="360" w:firstLine="0"/>
        <w:rPr>
          <w:rFonts w:asciiTheme="majorHAnsi" w:hAnsiTheme="majorHAnsi" w:cstheme="minorHAnsi"/>
          <w:b/>
          <w:sz w:val="28"/>
        </w:rPr>
      </w:pPr>
      <w:r w:rsidRPr="00842D7B">
        <w:rPr>
          <w:rFonts w:asciiTheme="majorHAnsi" w:hAnsiTheme="majorHAnsi" w:cstheme="minorHAnsi"/>
          <w:b/>
          <w:sz w:val="28"/>
        </w:rPr>
        <w:t>School Food Purchase Study IV (SFPS IV)</w:t>
      </w:r>
    </w:p>
    <w:p w:rsidR="00A37FA2" w:rsidP="006A5FA1" w:rsidRDefault="00A37FA2" w14:paraId="41A84814" w14:textId="77777777">
      <w:pPr>
        <w:spacing w:before="360" w:after="144" w:line="312" w:lineRule="auto"/>
        <w:ind w:left="5112" w:right="360" w:firstLine="0"/>
        <w:rPr>
          <w:rFonts w:asciiTheme="majorHAnsi" w:hAnsiTheme="majorHAnsi" w:cstheme="minorHAnsi"/>
          <w:b/>
        </w:rPr>
      </w:pPr>
      <w:r w:rsidRPr="00A37FA2">
        <w:rPr>
          <w:rFonts w:asciiTheme="majorHAnsi" w:hAnsiTheme="majorHAnsi" w:cstheme="minorHAnsi"/>
          <w:b/>
        </w:rPr>
        <w:t>OMB# 0584-0471</w:t>
      </w:r>
    </w:p>
    <w:p w:rsidRPr="00842D7B" w:rsidR="006A5FA1" w:rsidP="006A5FA1" w:rsidRDefault="006A5FA1" w14:paraId="57916150" w14:textId="2F25367E">
      <w:pPr>
        <w:spacing w:before="360" w:after="144" w:line="312" w:lineRule="auto"/>
        <w:ind w:left="5112" w:right="360" w:firstLine="0"/>
        <w:rPr>
          <w:rFonts w:asciiTheme="majorHAnsi" w:hAnsiTheme="majorHAnsi" w:cstheme="minorHAnsi"/>
          <w:b/>
        </w:rPr>
      </w:pPr>
      <w:bookmarkStart w:name="_GoBack" w:id="0"/>
      <w:bookmarkEnd w:id="0"/>
      <w:r w:rsidRPr="00842D7B">
        <w:rPr>
          <w:rFonts w:asciiTheme="majorHAnsi" w:hAnsiTheme="majorHAnsi" w:cstheme="minorHAnsi"/>
          <w:b/>
        </w:rPr>
        <w:t>OMB Supporting Statement</w:t>
      </w:r>
      <w:bookmarkStart w:name="RepType" w:id="1"/>
      <w:bookmarkEnd w:id="1"/>
      <w:r w:rsidRPr="00842D7B">
        <w:rPr>
          <w:rFonts w:asciiTheme="majorHAnsi" w:hAnsiTheme="majorHAnsi" w:cstheme="minorHAnsi"/>
          <w:b/>
        </w:rPr>
        <w:br/>
        <w:t>Part B</w:t>
      </w:r>
    </w:p>
    <w:p w:rsidRPr="00842D7B" w:rsidR="006A5FA1" w:rsidP="006A5FA1" w:rsidRDefault="006A5FA1" w14:paraId="7F4F1F5D" w14:textId="77777777">
      <w:pPr>
        <w:spacing w:before="144" w:after="288" w:line="360" w:lineRule="exact"/>
        <w:ind w:left="5112" w:right="360" w:firstLine="0"/>
        <w:rPr>
          <w:rFonts w:asciiTheme="majorHAnsi" w:hAnsiTheme="majorHAnsi" w:cstheme="minorHAnsi"/>
        </w:rPr>
      </w:pPr>
      <w:bookmarkStart w:name="DateMark" w:id="2"/>
      <w:bookmarkEnd w:id="2"/>
    </w:p>
    <w:p w:rsidRPr="00842D7B" w:rsidR="006A5FA1" w:rsidP="006A5FA1" w:rsidRDefault="000804D5" w14:paraId="197322CE" w14:textId="3F176E8F">
      <w:pPr>
        <w:spacing w:before="144" w:after="288" w:line="360" w:lineRule="exact"/>
        <w:ind w:left="5112" w:right="360" w:firstLine="0"/>
        <w:rPr>
          <w:rFonts w:asciiTheme="majorHAnsi" w:hAnsiTheme="majorHAnsi" w:cstheme="minorHAnsi"/>
        </w:rPr>
      </w:pPr>
      <w:r>
        <w:rPr>
          <w:rFonts w:asciiTheme="majorHAnsi" w:hAnsiTheme="majorHAnsi" w:cstheme="minorHAnsi"/>
        </w:rPr>
        <w:t xml:space="preserve">May </w:t>
      </w:r>
      <w:r w:rsidR="009763EB">
        <w:rPr>
          <w:rFonts w:asciiTheme="majorHAnsi" w:hAnsiTheme="majorHAnsi" w:cstheme="minorHAnsi"/>
        </w:rPr>
        <w:t>1</w:t>
      </w:r>
      <w:r>
        <w:rPr>
          <w:rFonts w:asciiTheme="majorHAnsi" w:hAnsiTheme="majorHAnsi" w:cstheme="minorHAnsi"/>
        </w:rPr>
        <w:t>2</w:t>
      </w:r>
      <w:r w:rsidRPr="00842D7B" w:rsidR="006A5FA1">
        <w:rPr>
          <w:rFonts w:asciiTheme="majorHAnsi" w:hAnsiTheme="majorHAnsi" w:cstheme="minorHAnsi"/>
        </w:rPr>
        <w:t>, 2020</w:t>
      </w:r>
    </w:p>
    <w:p w:rsidRPr="00842D7B" w:rsidR="006A5FA1" w:rsidP="006A5FA1" w:rsidRDefault="006A5FA1" w14:paraId="710B0197" w14:textId="77777777">
      <w:pPr>
        <w:spacing w:before="144" w:after="288" w:line="360" w:lineRule="exact"/>
        <w:ind w:left="5112" w:right="360" w:firstLine="0"/>
        <w:rPr>
          <w:rFonts w:asciiTheme="majorHAnsi" w:hAnsiTheme="majorHAnsi" w:cstheme="minorHAnsi"/>
        </w:rPr>
      </w:pPr>
    </w:p>
    <w:p w:rsidRPr="00842D7B" w:rsidR="006A5FA1" w:rsidP="006A5FA1" w:rsidRDefault="006A5FA1" w14:paraId="4E48E601" w14:textId="7BEB961F">
      <w:pPr>
        <w:spacing w:line="240" w:lineRule="auto"/>
        <w:ind w:left="5112" w:right="360" w:firstLine="0"/>
        <w:rPr>
          <w:rFonts w:asciiTheme="majorHAnsi" w:hAnsiTheme="majorHAnsi" w:cstheme="minorHAnsi"/>
        </w:rPr>
      </w:pPr>
      <w:r w:rsidRPr="00842D7B">
        <w:rPr>
          <w:rFonts w:asciiTheme="majorHAnsi" w:hAnsiTheme="majorHAnsi" w:cstheme="minorHAnsi"/>
        </w:rPr>
        <w:t>Project Officer: Jinee Burdg</w:t>
      </w:r>
    </w:p>
    <w:p w:rsidRPr="00842D7B" w:rsidR="006A5FA1" w:rsidP="006A5FA1" w:rsidRDefault="006A5FA1" w14:paraId="5DACA0C8" w14:textId="77777777">
      <w:pPr>
        <w:spacing w:line="240" w:lineRule="auto"/>
        <w:ind w:left="5112" w:right="360" w:firstLine="0"/>
        <w:rPr>
          <w:rFonts w:asciiTheme="majorHAnsi" w:hAnsiTheme="majorHAnsi" w:cstheme="minorHAnsi"/>
        </w:rPr>
      </w:pPr>
    </w:p>
    <w:p w:rsidRPr="00842D7B" w:rsidR="006A5FA1" w:rsidP="006A5FA1" w:rsidRDefault="006A5FA1" w14:paraId="665151C0" w14:textId="0435B003">
      <w:pPr>
        <w:spacing w:line="240" w:lineRule="auto"/>
        <w:ind w:left="5112" w:right="360" w:firstLine="0"/>
        <w:rPr>
          <w:rFonts w:asciiTheme="majorHAnsi" w:hAnsiTheme="majorHAnsi" w:cstheme="minorHAnsi"/>
        </w:rPr>
      </w:pPr>
      <w:r w:rsidRPr="00842D7B">
        <w:rPr>
          <w:rFonts w:asciiTheme="majorHAnsi" w:hAnsiTheme="majorHAnsi" w:cstheme="minorHAnsi"/>
        </w:rPr>
        <w:t xml:space="preserve">1320 Braddock </w:t>
      </w:r>
      <w:r w:rsidR="00A1739B">
        <w:rPr>
          <w:rFonts w:asciiTheme="majorHAnsi" w:hAnsiTheme="majorHAnsi" w:cstheme="minorHAnsi"/>
        </w:rPr>
        <w:t>Place</w:t>
      </w:r>
      <w:r w:rsidRPr="00842D7B">
        <w:rPr>
          <w:rFonts w:asciiTheme="majorHAnsi" w:hAnsiTheme="majorHAnsi" w:cstheme="minorHAnsi"/>
        </w:rPr>
        <w:t xml:space="preserve"> </w:t>
      </w:r>
    </w:p>
    <w:p w:rsidRPr="00842D7B" w:rsidR="006A5FA1" w:rsidP="006A5FA1" w:rsidRDefault="006A5FA1" w14:paraId="506E54E7" w14:textId="756D83EB">
      <w:pPr>
        <w:spacing w:line="240" w:lineRule="auto"/>
        <w:ind w:left="5112" w:right="360" w:firstLine="0"/>
        <w:rPr>
          <w:rFonts w:asciiTheme="majorHAnsi" w:hAnsiTheme="majorHAnsi" w:cstheme="minorHAnsi"/>
        </w:rPr>
      </w:pPr>
      <w:r w:rsidRPr="00842D7B">
        <w:rPr>
          <w:rFonts w:asciiTheme="majorHAnsi" w:hAnsiTheme="majorHAnsi" w:cstheme="minorHAnsi"/>
        </w:rPr>
        <w:t>Alexandria, VA 22314</w:t>
      </w:r>
    </w:p>
    <w:p w:rsidRPr="00842D7B" w:rsidR="006A5FA1" w:rsidP="006A5FA1" w:rsidRDefault="006A5FA1" w14:paraId="33BBF6AA" w14:textId="4EA38F9A">
      <w:pPr>
        <w:spacing w:line="240" w:lineRule="auto"/>
        <w:ind w:left="5112" w:right="360" w:firstLine="0"/>
        <w:rPr>
          <w:rFonts w:asciiTheme="majorHAnsi" w:hAnsiTheme="majorHAnsi" w:cstheme="minorHAnsi"/>
        </w:rPr>
      </w:pPr>
      <w:r w:rsidRPr="00842D7B">
        <w:rPr>
          <w:rFonts w:asciiTheme="majorHAnsi" w:hAnsiTheme="majorHAnsi" w:cstheme="minorHAnsi"/>
        </w:rPr>
        <w:t>Phone: (703) 305-2744</w:t>
      </w:r>
    </w:p>
    <w:p w:rsidRPr="00842D7B" w:rsidR="006A5FA1" w:rsidP="006A5FA1" w:rsidRDefault="006A5FA1" w14:paraId="4CF29BF1" w14:textId="3E452071">
      <w:pPr>
        <w:spacing w:line="240" w:lineRule="auto"/>
        <w:ind w:left="5112" w:right="360" w:firstLine="0"/>
        <w:rPr>
          <w:rFonts w:asciiTheme="majorHAnsi" w:hAnsiTheme="majorHAnsi" w:cstheme="minorHAnsi"/>
        </w:rPr>
      </w:pPr>
      <w:r w:rsidRPr="00842D7B">
        <w:rPr>
          <w:rFonts w:asciiTheme="majorHAnsi" w:hAnsiTheme="majorHAnsi" w:cstheme="minorHAnsi"/>
        </w:rPr>
        <w:t xml:space="preserve">Email: </w:t>
      </w:r>
      <w:hyperlink w:history="1" r:id="rId8">
        <w:r w:rsidRPr="00373E07" w:rsidR="000D3E6A">
          <w:rPr>
            <w:rStyle w:val="Hyperlink"/>
            <w:rFonts w:asciiTheme="majorHAnsi" w:hAnsiTheme="majorHAnsi" w:cstheme="minorHAnsi"/>
          </w:rPr>
          <w:t>Jinee.Burdg@usda.gov</w:t>
        </w:r>
      </w:hyperlink>
    </w:p>
    <w:p w:rsidR="006A5FA1" w:rsidP="006A5FA1" w:rsidRDefault="006A5FA1" w14:paraId="304BFC02" w14:textId="08D2140E">
      <w:pPr>
        <w:spacing w:line="240" w:lineRule="auto"/>
        <w:ind w:left="5112" w:right="360" w:firstLine="0"/>
        <w:rPr>
          <w:rFonts w:cstheme="minorHAnsi"/>
        </w:rPr>
      </w:pPr>
      <w:r>
        <w:rPr>
          <w:rFonts w:cstheme="minorHAnsi"/>
        </w:rPr>
        <w:br w:type="page"/>
      </w:r>
    </w:p>
    <w:sdt>
      <w:sdtPr>
        <w:rPr>
          <w:rFonts w:asciiTheme="minorHAnsi" w:hAnsiTheme="minorHAnsi" w:eastAsiaTheme="minorHAnsi" w:cstheme="minorBidi"/>
          <w:color w:val="auto"/>
          <w:sz w:val="24"/>
          <w:szCs w:val="22"/>
        </w:rPr>
        <w:id w:val="-382250616"/>
        <w:docPartObj>
          <w:docPartGallery w:val="Table of Contents"/>
          <w:docPartUnique/>
        </w:docPartObj>
      </w:sdtPr>
      <w:sdtEndPr>
        <w:rPr>
          <w:b/>
          <w:bCs/>
          <w:noProof/>
        </w:rPr>
      </w:sdtEndPr>
      <w:sdtContent>
        <w:p w:rsidR="006A5FA1" w:rsidP="00D709EE" w:rsidRDefault="006A5FA1" w14:paraId="58EE458E" w14:textId="51744587">
          <w:pPr>
            <w:pStyle w:val="TOCHeading"/>
            <w:spacing w:before="0" w:after="240" w:line="240" w:lineRule="auto"/>
          </w:pPr>
          <w:r>
            <w:t>Contents</w:t>
          </w:r>
        </w:p>
        <w:p w:rsidRPr="006E3E6C" w:rsidR="006A5FA1" w:rsidP="00D709EE" w:rsidRDefault="006A5FA1" w14:paraId="7C2DFD17" w14:textId="2C00690B">
          <w:pPr>
            <w:pStyle w:val="TOC1"/>
            <w:rPr>
              <w:rFonts w:asciiTheme="majorHAnsi" w:hAnsiTheme="majorHAnsi" w:eastAsiaTheme="minorEastAsia" w:cstheme="minorBidi"/>
              <w:b w:val="0"/>
            </w:rPr>
          </w:pPr>
          <w:r>
            <w:fldChar w:fldCharType="begin"/>
          </w:r>
          <w:r>
            <w:instrText xml:space="preserve"> TOC \o "1-3" \h \z \u </w:instrText>
          </w:r>
          <w:r>
            <w:fldChar w:fldCharType="separate"/>
          </w:r>
          <w:hyperlink w:history="1" w:anchor="_Toc29469607">
            <w:r w:rsidRPr="006E3E6C">
              <w:rPr>
                <w:rStyle w:val="Hyperlink"/>
                <w:rFonts w:asciiTheme="majorHAnsi" w:hAnsiTheme="majorHAnsi"/>
              </w:rPr>
              <w:t>B.1</w:t>
            </w:r>
            <w:r w:rsidRPr="006E3E6C">
              <w:rPr>
                <w:rFonts w:asciiTheme="majorHAnsi" w:hAnsiTheme="majorHAnsi" w:eastAsiaTheme="minorEastAsia" w:cstheme="minorBidi"/>
                <w:b w:val="0"/>
              </w:rPr>
              <w:tab/>
            </w:r>
            <w:r w:rsidRPr="006E3E6C" w:rsidR="00A77BCD">
              <w:rPr>
                <w:rStyle w:val="Hyperlink"/>
                <w:rFonts w:asciiTheme="majorHAnsi" w:hAnsiTheme="majorHAnsi"/>
              </w:rPr>
              <w:t>Respondent Universe and Sampling Methods</w:t>
            </w:r>
            <w:r w:rsidRPr="006E3E6C">
              <w:rPr>
                <w:rFonts w:asciiTheme="majorHAnsi" w:hAnsiTheme="majorHAnsi"/>
                <w:webHidden/>
              </w:rPr>
              <w:tab/>
            </w:r>
            <w:r w:rsidRPr="006E3E6C">
              <w:rPr>
                <w:rFonts w:asciiTheme="majorHAnsi" w:hAnsiTheme="majorHAnsi"/>
                <w:webHidden/>
              </w:rPr>
              <w:fldChar w:fldCharType="begin"/>
            </w:r>
            <w:r w:rsidRPr="006E3E6C">
              <w:rPr>
                <w:rFonts w:asciiTheme="majorHAnsi" w:hAnsiTheme="majorHAnsi"/>
                <w:webHidden/>
              </w:rPr>
              <w:instrText xml:space="preserve"> PAGEREF _Toc29469607 \h </w:instrText>
            </w:r>
            <w:r w:rsidRPr="006E3E6C">
              <w:rPr>
                <w:rFonts w:asciiTheme="majorHAnsi" w:hAnsiTheme="majorHAnsi"/>
                <w:webHidden/>
              </w:rPr>
            </w:r>
            <w:r w:rsidRPr="006E3E6C">
              <w:rPr>
                <w:rFonts w:asciiTheme="majorHAnsi" w:hAnsiTheme="majorHAnsi"/>
                <w:webHidden/>
              </w:rPr>
              <w:fldChar w:fldCharType="separate"/>
            </w:r>
            <w:r w:rsidR="00E07BC8">
              <w:rPr>
                <w:rFonts w:asciiTheme="majorHAnsi" w:hAnsiTheme="majorHAnsi"/>
                <w:webHidden/>
              </w:rPr>
              <w:t>1</w:t>
            </w:r>
            <w:r w:rsidRPr="006E3E6C">
              <w:rPr>
                <w:rFonts w:asciiTheme="majorHAnsi" w:hAnsiTheme="majorHAnsi"/>
                <w:webHidden/>
              </w:rPr>
              <w:fldChar w:fldCharType="end"/>
            </w:r>
          </w:hyperlink>
        </w:p>
        <w:p w:rsidRPr="006E3E6C" w:rsidR="006A5FA1" w:rsidP="00D709EE" w:rsidRDefault="0049569B" w14:paraId="0B534E00" w14:textId="2C2392DD">
          <w:pPr>
            <w:pStyle w:val="TOC1"/>
            <w:rPr>
              <w:rFonts w:asciiTheme="majorHAnsi" w:hAnsiTheme="majorHAnsi" w:eastAsiaTheme="minorEastAsia" w:cstheme="minorBidi"/>
              <w:b w:val="0"/>
            </w:rPr>
          </w:pPr>
          <w:hyperlink w:history="1" w:anchor="_Toc29469608">
            <w:r w:rsidRPr="006E3E6C" w:rsidR="006A5FA1">
              <w:rPr>
                <w:rStyle w:val="Hyperlink"/>
                <w:rFonts w:asciiTheme="majorHAnsi" w:hAnsiTheme="majorHAnsi"/>
              </w:rPr>
              <w:t>B.2</w:t>
            </w:r>
            <w:r w:rsidRPr="006E3E6C" w:rsidR="006A5FA1">
              <w:rPr>
                <w:rFonts w:asciiTheme="majorHAnsi" w:hAnsiTheme="majorHAnsi" w:eastAsiaTheme="minorEastAsia" w:cstheme="minorBidi"/>
                <w:b w:val="0"/>
              </w:rPr>
              <w:tab/>
            </w:r>
            <w:r w:rsidRPr="006E3E6C" w:rsidR="00A77BCD">
              <w:rPr>
                <w:rStyle w:val="Hyperlink"/>
                <w:rFonts w:asciiTheme="majorHAnsi" w:hAnsiTheme="majorHAnsi"/>
              </w:rPr>
              <w:t>Procedures for the Collection of Information</w:t>
            </w:r>
            <w:r w:rsidRPr="006E3E6C" w:rsidR="006A5FA1">
              <w:rPr>
                <w:rFonts w:asciiTheme="majorHAnsi" w:hAnsiTheme="majorHAnsi"/>
                <w:webHidden/>
              </w:rPr>
              <w:tab/>
            </w:r>
            <w:r w:rsidRPr="006E3E6C" w:rsidR="006A5FA1">
              <w:rPr>
                <w:rFonts w:asciiTheme="majorHAnsi" w:hAnsiTheme="majorHAnsi"/>
                <w:webHidden/>
              </w:rPr>
              <w:fldChar w:fldCharType="begin"/>
            </w:r>
            <w:r w:rsidRPr="006E3E6C" w:rsidR="006A5FA1">
              <w:rPr>
                <w:rFonts w:asciiTheme="majorHAnsi" w:hAnsiTheme="majorHAnsi"/>
                <w:webHidden/>
              </w:rPr>
              <w:instrText xml:space="preserve"> PAGEREF _Toc29469608 \h </w:instrText>
            </w:r>
            <w:r w:rsidRPr="006E3E6C" w:rsidR="006A5FA1">
              <w:rPr>
                <w:rFonts w:asciiTheme="majorHAnsi" w:hAnsiTheme="majorHAnsi"/>
                <w:webHidden/>
              </w:rPr>
            </w:r>
            <w:r w:rsidRPr="006E3E6C" w:rsidR="006A5FA1">
              <w:rPr>
                <w:rFonts w:asciiTheme="majorHAnsi" w:hAnsiTheme="majorHAnsi"/>
                <w:webHidden/>
              </w:rPr>
              <w:fldChar w:fldCharType="separate"/>
            </w:r>
            <w:r w:rsidR="00E07BC8">
              <w:rPr>
                <w:rFonts w:asciiTheme="majorHAnsi" w:hAnsiTheme="majorHAnsi"/>
                <w:webHidden/>
              </w:rPr>
              <w:t>4</w:t>
            </w:r>
            <w:r w:rsidRPr="006E3E6C" w:rsidR="006A5FA1">
              <w:rPr>
                <w:rFonts w:asciiTheme="majorHAnsi" w:hAnsiTheme="majorHAnsi"/>
                <w:webHidden/>
              </w:rPr>
              <w:fldChar w:fldCharType="end"/>
            </w:r>
          </w:hyperlink>
        </w:p>
        <w:p w:rsidRPr="006E3E6C" w:rsidR="006A5FA1" w:rsidP="00D709EE" w:rsidRDefault="0049569B" w14:paraId="139C0E84" w14:textId="2D258EDC">
          <w:pPr>
            <w:pStyle w:val="TOC1"/>
            <w:rPr>
              <w:rFonts w:asciiTheme="majorHAnsi" w:hAnsiTheme="majorHAnsi" w:eastAsiaTheme="minorEastAsia" w:cstheme="minorBidi"/>
              <w:b w:val="0"/>
            </w:rPr>
          </w:pPr>
          <w:hyperlink w:history="1" w:anchor="_Toc29469614">
            <w:r w:rsidRPr="006E3E6C" w:rsidR="006A5FA1">
              <w:rPr>
                <w:rStyle w:val="Hyperlink"/>
                <w:rFonts w:asciiTheme="majorHAnsi" w:hAnsiTheme="majorHAnsi"/>
              </w:rPr>
              <w:t>B.3</w:t>
            </w:r>
            <w:r w:rsidRPr="006E3E6C" w:rsidR="006A5FA1">
              <w:rPr>
                <w:rFonts w:asciiTheme="majorHAnsi" w:hAnsiTheme="majorHAnsi" w:eastAsiaTheme="minorEastAsia" w:cstheme="minorBidi"/>
                <w:b w:val="0"/>
              </w:rPr>
              <w:tab/>
            </w:r>
            <w:r w:rsidRPr="006E3E6C" w:rsidR="006E3E6C">
              <w:rPr>
                <w:rStyle w:val="Hyperlink"/>
                <w:rFonts w:asciiTheme="majorHAnsi" w:hAnsiTheme="majorHAnsi"/>
              </w:rPr>
              <w:t>Methods to Maximize Response Rates and to Deal with Non-Response</w:t>
            </w:r>
            <w:r w:rsidRPr="006E3E6C" w:rsidR="006A5FA1">
              <w:rPr>
                <w:rFonts w:asciiTheme="majorHAnsi" w:hAnsiTheme="majorHAnsi"/>
                <w:webHidden/>
              </w:rPr>
              <w:tab/>
            </w:r>
            <w:r w:rsidRPr="006E3E6C" w:rsidR="006A5FA1">
              <w:rPr>
                <w:rFonts w:asciiTheme="majorHAnsi" w:hAnsiTheme="majorHAnsi"/>
                <w:webHidden/>
              </w:rPr>
              <w:fldChar w:fldCharType="begin"/>
            </w:r>
            <w:r w:rsidRPr="006E3E6C" w:rsidR="006A5FA1">
              <w:rPr>
                <w:rFonts w:asciiTheme="majorHAnsi" w:hAnsiTheme="majorHAnsi"/>
                <w:webHidden/>
              </w:rPr>
              <w:instrText xml:space="preserve"> PAGEREF _Toc29469614 \h </w:instrText>
            </w:r>
            <w:r w:rsidRPr="006E3E6C" w:rsidR="006A5FA1">
              <w:rPr>
                <w:rFonts w:asciiTheme="majorHAnsi" w:hAnsiTheme="majorHAnsi"/>
                <w:webHidden/>
              </w:rPr>
            </w:r>
            <w:r w:rsidRPr="006E3E6C" w:rsidR="006A5FA1">
              <w:rPr>
                <w:rFonts w:asciiTheme="majorHAnsi" w:hAnsiTheme="majorHAnsi"/>
                <w:webHidden/>
              </w:rPr>
              <w:fldChar w:fldCharType="separate"/>
            </w:r>
            <w:r w:rsidR="00E07BC8">
              <w:rPr>
                <w:rFonts w:asciiTheme="majorHAnsi" w:hAnsiTheme="majorHAnsi"/>
                <w:webHidden/>
              </w:rPr>
              <w:t>9</w:t>
            </w:r>
            <w:r w:rsidRPr="006E3E6C" w:rsidR="006A5FA1">
              <w:rPr>
                <w:rFonts w:asciiTheme="majorHAnsi" w:hAnsiTheme="majorHAnsi"/>
                <w:webHidden/>
              </w:rPr>
              <w:fldChar w:fldCharType="end"/>
            </w:r>
          </w:hyperlink>
        </w:p>
        <w:p w:rsidRPr="006E3E6C" w:rsidR="006A5FA1" w:rsidP="00D709EE" w:rsidRDefault="0049569B" w14:paraId="64E5A189" w14:textId="254840BB">
          <w:pPr>
            <w:pStyle w:val="TOC1"/>
            <w:rPr>
              <w:rFonts w:asciiTheme="majorHAnsi" w:hAnsiTheme="majorHAnsi" w:eastAsiaTheme="minorEastAsia" w:cstheme="minorBidi"/>
              <w:b w:val="0"/>
            </w:rPr>
          </w:pPr>
          <w:hyperlink w:history="1" w:anchor="_Toc29469616">
            <w:r w:rsidRPr="006E3E6C" w:rsidR="006A5FA1">
              <w:rPr>
                <w:rStyle w:val="Hyperlink"/>
                <w:rFonts w:asciiTheme="majorHAnsi" w:hAnsiTheme="majorHAnsi"/>
              </w:rPr>
              <w:t>B.4</w:t>
            </w:r>
            <w:r w:rsidRPr="006E3E6C" w:rsidR="006A5FA1">
              <w:rPr>
                <w:rFonts w:asciiTheme="majorHAnsi" w:hAnsiTheme="majorHAnsi" w:eastAsiaTheme="minorEastAsia" w:cstheme="minorBidi"/>
                <w:b w:val="0"/>
              </w:rPr>
              <w:tab/>
            </w:r>
            <w:r w:rsidRPr="006E3E6C" w:rsidR="006E3E6C">
              <w:rPr>
                <w:rStyle w:val="Hyperlink"/>
                <w:rFonts w:asciiTheme="majorHAnsi" w:hAnsiTheme="majorHAnsi"/>
              </w:rPr>
              <w:t>Tests of Procedures or Methods to Be Undertaken</w:t>
            </w:r>
            <w:r w:rsidRPr="006E3E6C" w:rsidR="006A5FA1">
              <w:rPr>
                <w:rStyle w:val="Hyperlink"/>
                <w:rFonts w:asciiTheme="majorHAnsi" w:hAnsiTheme="majorHAnsi"/>
              </w:rPr>
              <w:t>.</w:t>
            </w:r>
            <w:r w:rsidRPr="006E3E6C" w:rsidR="006A5FA1">
              <w:rPr>
                <w:rFonts w:asciiTheme="majorHAnsi" w:hAnsiTheme="majorHAnsi"/>
                <w:webHidden/>
              </w:rPr>
              <w:tab/>
            </w:r>
            <w:r w:rsidRPr="006E3E6C" w:rsidR="006A5FA1">
              <w:rPr>
                <w:rFonts w:asciiTheme="majorHAnsi" w:hAnsiTheme="majorHAnsi"/>
                <w:webHidden/>
              </w:rPr>
              <w:fldChar w:fldCharType="begin"/>
            </w:r>
            <w:r w:rsidRPr="006E3E6C" w:rsidR="006A5FA1">
              <w:rPr>
                <w:rFonts w:asciiTheme="majorHAnsi" w:hAnsiTheme="majorHAnsi"/>
                <w:webHidden/>
              </w:rPr>
              <w:instrText xml:space="preserve"> PAGEREF _Toc29469616 \h </w:instrText>
            </w:r>
            <w:r w:rsidRPr="006E3E6C" w:rsidR="006A5FA1">
              <w:rPr>
                <w:rFonts w:asciiTheme="majorHAnsi" w:hAnsiTheme="majorHAnsi"/>
                <w:webHidden/>
              </w:rPr>
            </w:r>
            <w:r w:rsidRPr="006E3E6C" w:rsidR="006A5FA1">
              <w:rPr>
                <w:rFonts w:asciiTheme="majorHAnsi" w:hAnsiTheme="majorHAnsi"/>
                <w:webHidden/>
              </w:rPr>
              <w:fldChar w:fldCharType="separate"/>
            </w:r>
            <w:r w:rsidR="00E07BC8">
              <w:rPr>
                <w:rFonts w:asciiTheme="majorHAnsi" w:hAnsiTheme="majorHAnsi"/>
                <w:webHidden/>
              </w:rPr>
              <w:t>13</w:t>
            </w:r>
            <w:r w:rsidRPr="006E3E6C" w:rsidR="006A5FA1">
              <w:rPr>
                <w:rFonts w:asciiTheme="majorHAnsi" w:hAnsiTheme="majorHAnsi"/>
                <w:webHidden/>
              </w:rPr>
              <w:fldChar w:fldCharType="end"/>
            </w:r>
          </w:hyperlink>
        </w:p>
        <w:p w:rsidR="006A5FA1" w:rsidP="00D709EE" w:rsidRDefault="0049569B" w14:paraId="5872FED4" w14:textId="6037081D">
          <w:pPr>
            <w:pStyle w:val="TOC1"/>
            <w:rPr>
              <w:rFonts w:asciiTheme="minorHAnsi" w:hAnsiTheme="minorHAnsi" w:eastAsiaTheme="minorEastAsia" w:cstheme="minorBidi"/>
              <w:b w:val="0"/>
            </w:rPr>
          </w:pPr>
          <w:hyperlink w:history="1" w:anchor="_Toc29469617">
            <w:r w:rsidRPr="006E3E6C" w:rsidR="006A5FA1">
              <w:rPr>
                <w:rStyle w:val="Hyperlink"/>
                <w:rFonts w:asciiTheme="majorHAnsi" w:hAnsiTheme="majorHAnsi"/>
              </w:rPr>
              <w:t>B.5</w:t>
            </w:r>
            <w:r w:rsidRPr="006E3E6C" w:rsidR="006A5FA1">
              <w:rPr>
                <w:rFonts w:asciiTheme="majorHAnsi" w:hAnsiTheme="majorHAnsi" w:eastAsiaTheme="minorEastAsia" w:cstheme="minorBidi"/>
                <w:b w:val="0"/>
              </w:rPr>
              <w:tab/>
            </w:r>
            <w:r w:rsidRPr="006E3E6C" w:rsidR="006E3E6C">
              <w:rPr>
                <w:rStyle w:val="Hyperlink"/>
                <w:rFonts w:asciiTheme="majorHAnsi" w:hAnsiTheme="majorHAnsi"/>
              </w:rPr>
              <w:t>Individuals Consulted on Statistical Aspects and Individuals Collecting and/or Analyzing Data</w:t>
            </w:r>
            <w:r w:rsidRPr="006E3E6C" w:rsidR="006A5FA1">
              <w:rPr>
                <w:rStyle w:val="Hyperlink"/>
                <w:rFonts w:asciiTheme="majorHAnsi" w:hAnsiTheme="majorHAnsi"/>
              </w:rPr>
              <w:t xml:space="preserve"> .</w:t>
            </w:r>
            <w:r w:rsidRPr="006E3E6C" w:rsidR="006A5FA1">
              <w:rPr>
                <w:rFonts w:asciiTheme="majorHAnsi" w:hAnsiTheme="majorHAnsi"/>
                <w:webHidden/>
              </w:rPr>
              <w:tab/>
            </w:r>
            <w:r w:rsidRPr="006E3E6C" w:rsidR="006A5FA1">
              <w:rPr>
                <w:rFonts w:asciiTheme="majorHAnsi" w:hAnsiTheme="majorHAnsi"/>
                <w:webHidden/>
              </w:rPr>
              <w:fldChar w:fldCharType="begin"/>
            </w:r>
            <w:r w:rsidRPr="006E3E6C" w:rsidR="006A5FA1">
              <w:rPr>
                <w:rFonts w:asciiTheme="majorHAnsi" w:hAnsiTheme="majorHAnsi"/>
                <w:webHidden/>
              </w:rPr>
              <w:instrText xml:space="preserve"> PAGEREF _Toc29469617 \h </w:instrText>
            </w:r>
            <w:r w:rsidRPr="006E3E6C" w:rsidR="006A5FA1">
              <w:rPr>
                <w:rFonts w:asciiTheme="majorHAnsi" w:hAnsiTheme="majorHAnsi"/>
                <w:webHidden/>
              </w:rPr>
            </w:r>
            <w:r w:rsidRPr="006E3E6C" w:rsidR="006A5FA1">
              <w:rPr>
                <w:rFonts w:asciiTheme="majorHAnsi" w:hAnsiTheme="majorHAnsi"/>
                <w:webHidden/>
              </w:rPr>
              <w:fldChar w:fldCharType="separate"/>
            </w:r>
            <w:r w:rsidR="00E07BC8">
              <w:rPr>
                <w:rFonts w:asciiTheme="majorHAnsi" w:hAnsiTheme="majorHAnsi"/>
                <w:webHidden/>
              </w:rPr>
              <w:t>15</w:t>
            </w:r>
            <w:r w:rsidRPr="006E3E6C" w:rsidR="006A5FA1">
              <w:rPr>
                <w:rFonts w:asciiTheme="majorHAnsi" w:hAnsiTheme="majorHAnsi"/>
                <w:webHidden/>
              </w:rPr>
              <w:fldChar w:fldCharType="end"/>
            </w:r>
          </w:hyperlink>
        </w:p>
        <w:p w:rsidR="006A5FA1" w:rsidP="00D709EE" w:rsidRDefault="006A5FA1" w14:paraId="47EF35DF" w14:textId="3CA2ED3E">
          <w:pPr>
            <w:spacing w:after="240" w:line="240" w:lineRule="auto"/>
          </w:pPr>
          <w:r>
            <w:rPr>
              <w:b/>
              <w:bCs/>
              <w:noProof/>
            </w:rPr>
            <w:fldChar w:fldCharType="end"/>
          </w:r>
        </w:p>
      </w:sdtContent>
    </w:sdt>
    <w:p w:rsidR="006A5FA1" w:rsidP="00066BE7" w:rsidRDefault="006A5FA1" w14:paraId="03795851" w14:textId="4A80AFF8">
      <w:pPr>
        <w:spacing w:line="276" w:lineRule="auto"/>
        <w:ind w:firstLine="0"/>
        <w:rPr>
          <w:b/>
          <w:kern w:val="48"/>
          <w:szCs w:val="24"/>
        </w:rPr>
      </w:pPr>
    </w:p>
    <w:p w:rsidRPr="00B81972" w:rsidR="00066BE7" w:rsidP="00066BE7" w:rsidRDefault="00066BE7" w14:paraId="0B2C0F37" w14:textId="77777777">
      <w:pPr>
        <w:pStyle w:val="Heading2BlackNoTOC"/>
        <w:rPr>
          <w:rFonts w:asciiTheme="majorHAnsi" w:hAnsiTheme="majorHAnsi"/>
          <w:sz w:val="22"/>
          <w:szCs w:val="22"/>
        </w:rPr>
      </w:pPr>
      <w:r w:rsidRPr="00B81972">
        <w:rPr>
          <w:rFonts w:asciiTheme="majorHAnsi" w:hAnsiTheme="majorHAnsi"/>
          <w:sz w:val="22"/>
          <w:szCs w:val="22"/>
        </w:rPr>
        <w:t>TABLES</w:t>
      </w:r>
    </w:p>
    <w:p w:rsidRPr="00B81972" w:rsidR="00066BE7" w:rsidP="00F2073F" w:rsidRDefault="00066BE7" w14:paraId="34506189" w14:textId="22626DCF">
      <w:pPr>
        <w:pStyle w:val="TableofFigures"/>
        <w:tabs>
          <w:tab w:val="clear" w:pos="1008"/>
          <w:tab w:val="left" w:pos="1440"/>
        </w:tabs>
        <w:rPr>
          <w:rFonts w:asciiTheme="majorHAnsi" w:hAnsiTheme="majorHAnsi" w:eastAsiaTheme="minorEastAsia" w:cstheme="minorBidi"/>
          <w:b/>
          <w:noProof/>
          <w:sz w:val="22"/>
          <w:szCs w:val="22"/>
        </w:rPr>
      </w:pPr>
      <w:r w:rsidRPr="00B81972">
        <w:rPr>
          <w:rFonts w:cs="Arial" w:asciiTheme="majorHAnsi" w:hAnsiTheme="majorHAnsi"/>
          <w:b/>
          <w:sz w:val="22"/>
          <w:szCs w:val="22"/>
        </w:rPr>
        <w:fldChar w:fldCharType="begin"/>
      </w:r>
      <w:r w:rsidRPr="00B81972">
        <w:rPr>
          <w:rFonts w:cs="Arial" w:asciiTheme="majorHAnsi" w:hAnsiTheme="majorHAnsi"/>
          <w:b/>
          <w:sz w:val="22"/>
          <w:szCs w:val="22"/>
        </w:rPr>
        <w:instrText xml:space="preserve"> TOC \t "Mark for Table Heading" \c </w:instrText>
      </w:r>
      <w:r w:rsidRPr="00B81972">
        <w:rPr>
          <w:rFonts w:cs="Arial" w:asciiTheme="majorHAnsi" w:hAnsiTheme="majorHAnsi"/>
          <w:b/>
          <w:sz w:val="22"/>
          <w:szCs w:val="22"/>
        </w:rPr>
        <w:fldChar w:fldCharType="separate"/>
      </w:r>
      <w:r w:rsidRPr="00B81972">
        <w:rPr>
          <w:rFonts w:asciiTheme="majorHAnsi" w:hAnsiTheme="majorHAnsi"/>
          <w:b/>
          <w:noProof/>
          <w:sz w:val="22"/>
          <w:szCs w:val="22"/>
        </w:rPr>
        <w:t>B.1</w:t>
      </w:r>
      <w:r w:rsidRPr="00B81972">
        <w:rPr>
          <w:rFonts w:asciiTheme="majorHAnsi" w:hAnsiTheme="majorHAnsi"/>
          <w:b/>
          <w:noProof/>
          <w:sz w:val="22"/>
          <w:szCs w:val="22"/>
        </w:rPr>
        <w:tab/>
        <w:t>Respondent Universe, Samples, and Expected Response Rates</w:t>
      </w:r>
      <w:r w:rsidRPr="00B81972">
        <w:rPr>
          <w:rFonts w:asciiTheme="majorHAnsi" w:hAnsiTheme="majorHAnsi"/>
          <w:b/>
          <w:noProof/>
          <w:sz w:val="22"/>
          <w:szCs w:val="22"/>
        </w:rPr>
        <w:tab/>
      </w:r>
      <w:r w:rsidR="00E07BC8">
        <w:rPr>
          <w:rFonts w:asciiTheme="majorHAnsi" w:hAnsiTheme="majorHAnsi"/>
          <w:b/>
          <w:noProof/>
          <w:sz w:val="22"/>
          <w:szCs w:val="22"/>
        </w:rPr>
        <w:t>4</w:t>
      </w:r>
    </w:p>
    <w:p w:rsidRPr="00B81972" w:rsidR="00066BE7" w:rsidP="00F2073F" w:rsidRDefault="00066BE7" w14:paraId="0ABA9339" w14:textId="1DF9A388">
      <w:pPr>
        <w:pStyle w:val="TableofFigures"/>
        <w:tabs>
          <w:tab w:val="clear" w:pos="1008"/>
          <w:tab w:val="left" w:pos="1440"/>
        </w:tabs>
        <w:rPr>
          <w:rFonts w:asciiTheme="majorHAnsi" w:hAnsiTheme="majorHAnsi" w:eastAsiaTheme="minorEastAsia" w:cstheme="minorBidi"/>
          <w:b/>
          <w:noProof/>
          <w:sz w:val="22"/>
          <w:szCs w:val="22"/>
        </w:rPr>
      </w:pPr>
      <w:r w:rsidRPr="00B81972">
        <w:rPr>
          <w:rFonts w:asciiTheme="majorHAnsi" w:hAnsiTheme="majorHAnsi"/>
          <w:b/>
          <w:noProof/>
          <w:sz w:val="22"/>
          <w:szCs w:val="22"/>
        </w:rPr>
        <w:t>B.2</w:t>
      </w:r>
      <w:r w:rsidRPr="00B81972">
        <w:rPr>
          <w:rFonts w:asciiTheme="majorHAnsi" w:hAnsiTheme="majorHAnsi"/>
          <w:b/>
          <w:noProof/>
          <w:sz w:val="22"/>
          <w:szCs w:val="22"/>
        </w:rPr>
        <w:tab/>
      </w:r>
      <w:r w:rsidRPr="00B81972">
        <w:rPr>
          <w:rFonts w:asciiTheme="majorHAnsi" w:hAnsiTheme="majorHAnsi"/>
          <w:b/>
          <w:sz w:val="22"/>
          <w:szCs w:val="22"/>
        </w:rPr>
        <w:t>Statistical Precision and Minimum Detectable Differences</w:t>
      </w:r>
      <w:r w:rsidRPr="00B81972">
        <w:rPr>
          <w:rFonts w:asciiTheme="majorHAnsi" w:hAnsiTheme="majorHAnsi"/>
          <w:b/>
          <w:noProof/>
          <w:sz w:val="22"/>
          <w:szCs w:val="22"/>
        </w:rPr>
        <w:tab/>
      </w:r>
      <w:r w:rsidR="00E07BC8">
        <w:rPr>
          <w:rFonts w:asciiTheme="majorHAnsi" w:hAnsiTheme="majorHAnsi"/>
          <w:b/>
          <w:noProof/>
          <w:sz w:val="22"/>
          <w:szCs w:val="22"/>
        </w:rPr>
        <w:t>9</w:t>
      </w:r>
    </w:p>
    <w:p w:rsidRPr="00B81972" w:rsidR="00066BE7" w:rsidP="00F2073F" w:rsidRDefault="00B81972" w14:paraId="32AEAC01" w14:textId="7F02A6D0">
      <w:pPr>
        <w:pStyle w:val="TableofFigures"/>
        <w:tabs>
          <w:tab w:val="clear" w:pos="1008"/>
          <w:tab w:val="left" w:pos="1440"/>
        </w:tabs>
        <w:rPr>
          <w:rFonts w:asciiTheme="majorHAnsi" w:hAnsiTheme="majorHAnsi" w:eastAsiaTheme="minorEastAsia" w:cstheme="minorBidi"/>
          <w:b/>
          <w:noProof/>
          <w:sz w:val="22"/>
          <w:szCs w:val="22"/>
        </w:rPr>
      </w:pPr>
      <w:r w:rsidRPr="00B81972">
        <w:rPr>
          <w:rFonts w:asciiTheme="majorHAnsi" w:hAnsiTheme="majorHAnsi" w:eastAsiaTheme="minorHAnsi"/>
          <w:b/>
          <w:noProof/>
          <w:sz w:val="22"/>
          <w:szCs w:val="22"/>
        </w:rPr>
        <w:t>B.5</w:t>
      </w:r>
      <w:r w:rsidRPr="00B81972" w:rsidR="00066BE7">
        <w:rPr>
          <w:rFonts w:asciiTheme="majorHAnsi" w:hAnsiTheme="majorHAnsi" w:eastAsiaTheme="minorHAnsi"/>
          <w:b/>
          <w:noProof/>
          <w:sz w:val="22"/>
          <w:szCs w:val="22"/>
        </w:rPr>
        <w:tab/>
      </w:r>
      <w:r w:rsidRPr="00B81972">
        <w:rPr>
          <w:rFonts w:asciiTheme="majorHAnsi" w:hAnsiTheme="majorHAnsi"/>
          <w:b/>
          <w:sz w:val="22"/>
          <w:szCs w:val="22"/>
        </w:rPr>
        <w:t>Individuals Consulted on Design, Data Collection, or Analysis</w:t>
      </w:r>
      <w:r w:rsidRPr="00B81972" w:rsidR="00066BE7">
        <w:rPr>
          <w:rFonts w:asciiTheme="majorHAnsi" w:hAnsiTheme="majorHAnsi"/>
          <w:b/>
          <w:noProof/>
          <w:sz w:val="22"/>
          <w:szCs w:val="22"/>
        </w:rPr>
        <w:tab/>
      </w:r>
      <w:r w:rsidR="00E07BC8">
        <w:rPr>
          <w:rFonts w:asciiTheme="majorHAnsi" w:hAnsiTheme="majorHAnsi"/>
          <w:b/>
          <w:noProof/>
          <w:sz w:val="22"/>
          <w:szCs w:val="22"/>
        </w:rPr>
        <w:t>16</w:t>
      </w:r>
    </w:p>
    <w:p w:rsidRPr="00B81972" w:rsidR="00066BE7" w:rsidP="00B81972" w:rsidRDefault="00066BE7" w14:paraId="720961FA" w14:textId="48C30ED5">
      <w:pPr>
        <w:pStyle w:val="TableofFigures"/>
        <w:tabs>
          <w:tab w:val="clear" w:pos="1008"/>
          <w:tab w:val="left" w:pos="1440"/>
        </w:tabs>
        <w:ind w:left="0" w:firstLine="0"/>
        <w:rPr>
          <w:rFonts w:asciiTheme="majorHAnsi" w:hAnsiTheme="majorHAnsi"/>
          <w:b/>
          <w:noProof/>
          <w:sz w:val="22"/>
          <w:szCs w:val="22"/>
        </w:rPr>
      </w:pPr>
    </w:p>
    <w:p w:rsidR="00DF54E2" w:rsidP="00066BE7" w:rsidRDefault="00066BE7" w14:paraId="3EFEBAFD" w14:textId="77777777">
      <w:pPr>
        <w:rPr>
          <w:rFonts w:cs="Arial" w:asciiTheme="majorHAnsi" w:hAnsiTheme="majorHAnsi"/>
          <w:b/>
          <w:sz w:val="22"/>
        </w:rPr>
      </w:pPr>
      <w:r w:rsidRPr="00B81972">
        <w:rPr>
          <w:rFonts w:cs="Arial" w:asciiTheme="majorHAnsi" w:hAnsiTheme="majorHAnsi"/>
          <w:b/>
          <w:sz w:val="22"/>
        </w:rPr>
        <w:fldChar w:fldCharType="end"/>
      </w:r>
      <w:r w:rsidR="00DF54E2">
        <w:rPr>
          <w:rFonts w:cs="Arial" w:asciiTheme="majorHAnsi" w:hAnsiTheme="majorHAnsi"/>
          <w:b/>
          <w:sz w:val="22"/>
        </w:rPr>
        <w:br w:type="page"/>
      </w:r>
    </w:p>
    <w:p w:rsidR="00DF54E2" w:rsidP="00DF54E2" w:rsidRDefault="00DF54E2" w14:paraId="4D58468A" w14:textId="4E96FE23">
      <w:pPr>
        <w:spacing w:before="240" w:after="240" w:line="240" w:lineRule="auto"/>
        <w:ind w:firstLine="0"/>
        <w:jc w:val="center"/>
        <w:outlineLvl w:val="0"/>
        <w:rPr>
          <w:rFonts w:ascii="Arial" w:hAnsi="Arial" w:eastAsia="Arial"/>
          <w:b/>
          <w:caps/>
        </w:rPr>
      </w:pPr>
      <w:r w:rsidRPr="00DF54E2">
        <w:rPr>
          <w:rFonts w:eastAsia="Arial" w:asciiTheme="majorHAnsi" w:hAnsiTheme="majorHAnsi"/>
          <w:b/>
          <w:caps/>
        </w:rPr>
        <w:lastRenderedPageBreak/>
        <w:t>APPENDICES</w:t>
      </w:r>
    </w:p>
    <w:p w:rsidR="00E07BC8" w:rsidP="00C67956" w:rsidRDefault="00E07BC8" w14:paraId="00EB04D1" w14:textId="46616356">
      <w:pPr>
        <w:spacing w:after="120" w:line="240" w:lineRule="auto"/>
        <w:rPr>
          <w:rFonts w:asciiTheme="majorHAnsi" w:hAnsiTheme="majorHAnsi"/>
          <w:szCs w:val="24"/>
        </w:rPr>
      </w:pPr>
    </w:p>
    <w:p w:rsidRPr="004D4ACC" w:rsidR="00656C37" w:rsidP="00656C37" w:rsidRDefault="00656C37" w14:paraId="5DC178EC" w14:textId="77777777">
      <w:pPr>
        <w:pStyle w:val="TOC8"/>
        <w:ind w:left="0" w:firstLine="0"/>
        <w:rPr>
          <w:rFonts w:asciiTheme="majorHAnsi" w:hAnsiTheme="majorHAnsi"/>
          <w:szCs w:val="24"/>
        </w:rPr>
      </w:pPr>
      <w:r w:rsidRPr="004D4ACC">
        <w:rPr>
          <w:rFonts w:asciiTheme="majorHAnsi" w:hAnsiTheme="majorHAnsi"/>
          <w:szCs w:val="24"/>
        </w:rPr>
        <w:t xml:space="preserve">A. </w:t>
      </w:r>
      <w:r w:rsidRPr="004D4ACC">
        <w:rPr>
          <w:rFonts w:asciiTheme="majorHAnsi" w:hAnsiTheme="majorHAnsi"/>
          <w:szCs w:val="24"/>
        </w:rPr>
        <w:tab/>
        <w:t>State Government Materials</w:t>
      </w:r>
    </w:p>
    <w:p w:rsidRPr="00656C37" w:rsidR="00656C37" w:rsidP="00656C37" w:rsidRDefault="00656C37" w14:paraId="6248EFB7" w14:textId="77777777">
      <w:pPr>
        <w:spacing w:after="120" w:line="240" w:lineRule="auto"/>
        <w:rPr>
          <w:rFonts w:asciiTheme="majorHAnsi" w:hAnsiTheme="majorHAnsi"/>
          <w:szCs w:val="24"/>
        </w:rPr>
      </w:pPr>
      <w:r w:rsidRPr="00656C37">
        <w:rPr>
          <w:rFonts w:asciiTheme="majorHAnsi" w:hAnsiTheme="majorHAnsi"/>
          <w:szCs w:val="24"/>
        </w:rPr>
        <w:t xml:space="preserve">A1. </w:t>
      </w:r>
      <w:r w:rsidRPr="00656C37">
        <w:rPr>
          <w:rFonts w:asciiTheme="majorHAnsi" w:hAnsiTheme="majorHAnsi"/>
          <w:szCs w:val="24"/>
        </w:rPr>
        <w:tab/>
        <w:t>FNS Notification to State Directors</w:t>
      </w:r>
    </w:p>
    <w:p w:rsidRPr="00656C37" w:rsidR="00656C37" w:rsidP="00656C37" w:rsidRDefault="00656C37" w14:paraId="23213498" w14:textId="77777777">
      <w:pPr>
        <w:spacing w:after="120" w:line="240" w:lineRule="auto"/>
        <w:rPr>
          <w:rFonts w:asciiTheme="majorHAnsi" w:hAnsiTheme="majorHAnsi"/>
          <w:szCs w:val="24"/>
        </w:rPr>
      </w:pPr>
      <w:r w:rsidRPr="00656C37">
        <w:rPr>
          <w:rFonts w:asciiTheme="majorHAnsi" w:hAnsiTheme="majorHAnsi"/>
          <w:szCs w:val="24"/>
        </w:rPr>
        <w:t xml:space="preserve">A2. </w:t>
      </w:r>
      <w:r w:rsidRPr="00656C37">
        <w:rPr>
          <w:rFonts w:asciiTheme="majorHAnsi" w:hAnsiTheme="majorHAnsi"/>
          <w:szCs w:val="24"/>
        </w:rPr>
        <w:tab/>
        <w:t xml:space="preserve">Notification to States of Sampled SFAs </w:t>
      </w:r>
    </w:p>
    <w:p w:rsidRPr="00656C37" w:rsidR="00656C37" w:rsidP="00656C37" w:rsidRDefault="00656C37" w14:paraId="4BEB8163" w14:textId="77777777">
      <w:pPr>
        <w:spacing w:after="120" w:line="240" w:lineRule="auto"/>
        <w:rPr>
          <w:rFonts w:asciiTheme="majorHAnsi" w:hAnsiTheme="majorHAnsi"/>
          <w:szCs w:val="24"/>
        </w:rPr>
      </w:pPr>
      <w:r w:rsidRPr="00656C37">
        <w:rPr>
          <w:rFonts w:asciiTheme="majorHAnsi" w:hAnsiTheme="majorHAnsi"/>
          <w:szCs w:val="24"/>
        </w:rPr>
        <w:t>A3.</w:t>
      </w:r>
      <w:r w:rsidRPr="00656C37">
        <w:rPr>
          <w:rFonts w:asciiTheme="majorHAnsi" w:hAnsiTheme="majorHAnsi"/>
          <w:szCs w:val="24"/>
        </w:rPr>
        <w:tab/>
        <w:t xml:space="preserve">Study Brochure </w:t>
      </w:r>
    </w:p>
    <w:p w:rsidRPr="00656C37" w:rsidR="00656C37" w:rsidP="00656C37" w:rsidRDefault="00656C37" w14:paraId="24CF8876" w14:textId="77777777">
      <w:pPr>
        <w:spacing w:after="120" w:line="240" w:lineRule="auto"/>
        <w:rPr>
          <w:rFonts w:asciiTheme="majorHAnsi" w:hAnsiTheme="majorHAnsi"/>
          <w:szCs w:val="24"/>
        </w:rPr>
      </w:pPr>
      <w:r w:rsidRPr="00656C37">
        <w:rPr>
          <w:rFonts w:asciiTheme="majorHAnsi" w:hAnsiTheme="majorHAnsi"/>
          <w:szCs w:val="24"/>
        </w:rPr>
        <w:t>A4.</w:t>
      </w:r>
      <w:r w:rsidRPr="00656C37">
        <w:rPr>
          <w:rFonts w:asciiTheme="majorHAnsi" w:hAnsiTheme="majorHAnsi"/>
          <w:szCs w:val="24"/>
        </w:rPr>
        <w:tab/>
        <w:t>State Email to Sampled SFAs</w:t>
      </w:r>
    </w:p>
    <w:p w:rsidRPr="004D4ACC" w:rsidR="00656C37" w:rsidP="00656C37" w:rsidRDefault="00656C37" w14:paraId="48B2D402" w14:textId="77777777">
      <w:pPr>
        <w:spacing w:after="120" w:line="240" w:lineRule="auto"/>
        <w:rPr>
          <w:rFonts w:asciiTheme="majorHAnsi" w:hAnsiTheme="majorHAnsi"/>
          <w:szCs w:val="24"/>
        </w:rPr>
      </w:pPr>
      <w:r w:rsidRPr="004D4ACC">
        <w:rPr>
          <w:rFonts w:asciiTheme="majorHAnsi" w:hAnsiTheme="majorHAnsi"/>
          <w:szCs w:val="24"/>
        </w:rPr>
        <w:t>A</w:t>
      </w:r>
      <w:r>
        <w:rPr>
          <w:rFonts w:asciiTheme="majorHAnsi" w:hAnsiTheme="majorHAnsi"/>
          <w:szCs w:val="24"/>
        </w:rPr>
        <w:t>5.</w:t>
      </w:r>
      <w:r>
        <w:rPr>
          <w:rFonts w:asciiTheme="majorHAnsi" w:hAnsiTheme="majorHAnsi"/>
          <w:szCs w:val="24"/>
        </w:rPr>
        <w:tab/>
        <w:t>Letters of Support</w:t>
      </w:r>
      <w:r w:rsidRPr="004D4ACC" w:rsidDel="00A87652">
        <w:rPr>
          <w:rFonts w:asciiTheme="majorHAnsi" w:hAnsiTheme="majorHAnsi"/>
          <w:szCs w:val="24"/>
        </w:rPr>
        <w:t xml:space="preserve"> </w:t>
      </w:r>
    </w:p>
    <w:p w:rsidRPr="004D4ACC" w:rsidR="00656C37" w:rsidP="00656C37" w:rsidRDefault="00656C37" w14:paraId="0F7C32F6" w14:textId="77777777">
      <w:pPr>
        <w:spacing w:after="120" w:line="240" w:lineRule="auto"/>
        <w:rPr>
          <w:rFonts w:asciiTheme="majorHAnsi" w:hAnsiTheme="majorHAnsi"/>
          <w:szCs w:val="24"/>
        </w:rPr>
      </w:pPr>
      <w:r w:rsidRPr="004D4ACC">
        <w:rPr>
          <w:rFonts w:asciiTheme="majorHAnsi" w:hAnsiTheme="majorHAnsi"/>
          <w:szCs w:val="24"/>
        </w:rPr>
        <w:t>A</w:t>
      </w:r>
      <w:r>
        <w:rPr>
          <w:rFonts w:asciiTheme="majorHAnsi" w:hAnsiTheme="majorHAnsi"/>
          <w:szCs w:val="24"/>
        </w:rPr>
        <w:t>6</w:t>
      </w:r>
      <w:r w:rsidRPr="004D4ACC">
        <w:rPr>
          <w:rFonts w:asciiTheme="majorHAnsi" w:hAnsiTheme="majorHAnsi"/>
          <w:szCs w:val="24"/>
        </w:rPr>
        <w:t>.</w:t>
      </w:r>
      <w:r w:rsidRPr="004D4ACC">
        <w:rPr>
          <w:rFonts w:asciiTheme="majorHAnsi" w:hAnsiTheme="majorHAnsi"/>
          <w:szCs w:val="24"/>
        </w:rPr>
        <w:tab/>
        <w:t>Request to SDAs to Submit USDA Foods Data</w:t>
      </w:r>
    </w:p>
    <w:p w:rsidR="00656C37" w:rsidP="00656C37" w:rsidRDefault="00656C37" w14:paraId="2ABBBFDD" w14:textId="5DAA7625">
      <w:pPr>
        <w:spacing w:after="120" w:line="240" w:lineRule="auto"/>
        <w:rPr>
          <w:rFonts w:asciiTheme="majorHAnsi" w:hAnsiTheme="majorHAnsi"/>
          <w:szCs w:val="24"/>
        </w:rPr>
      </w:pPr>
      <w:r w:rsidRPr="004D4ACC">
        <w:rPr>
          <w:rFonts w:asciiTheme="majorHAnsi" w:hAnsiTheme="majorHAnsi"/>
          <w:szCs w:val="24"/>
        </w:rPr>
        <w:t>A7.</w:t>
      </w:r>
      <w:r w:rsidRPr="004D4ACC">
        <w:rPr>
          <w:rFonts w:asciiTheme="majorHAnsi" w:hAnsiTheme="majorHAnsi"/>
          <w:szCs w:val="24"/>
        </w:rPr>
        <w:tab/>
      </w:r>
      <w:r>
        <w:rPr>
          <w:rFonts w:asciiTheme="majorHAnsi" w:hAnsiTheme="majorHAnsi"/>
          <w:szCs w:val="24"/>
        </w:rPr>
        <w:t>Overview of USDA Foods Data</w:t>
      </w:r>
    </w:p>
    <w:p w:rsidR="009763EB" w:rsidP="00656C37" w:rsidRDefault="009763EB" w14:paraId="6F835CFA" w14:textId="4DB4BDE8">
      <w:pPr>
        <w:spacing w:after="120" w:line="240" w:lineRule="auto"/>
        <w:rPr>
          <w:rFonts w:asciiTheme="majorHAnsi" w:hAnsiTheme="majorHAnsi"/>
          <w:szCs w:val="24"/>
        </w:rPr>
      </w:pPr>
      <w:r>
        <w:rPr>
          <w:rFonts w:asciiTheme="majorHAnsi" w:hAnsiTheme="majorHAnsi"/>
          <w:szCs w:val="24"/>
        </w:rPr>
        <w:t>A8.</w:t>
      </w:r>
      <w:r>
        <w:rPr>
          <w:rFonts w:asciiTheme="majorHAnsi" w:hAnsiTheme="majorHAnsi"/>
          <w:szCs w:val="24"/>
        </w:rPr>
        <w:tab/>
        <w:t>Reminder Email</w:t>
      </w:r>
    </w:p>
    <w:p w:rsidRPr="004D4ACC" w:rsidR="00656C37" w:rsidP="00656C37" w:rsidRDefault="00656C37" w14:paraId="7FBC5979" w14:textId="6ED99A18">
      <w:pPr>
        <w:spacing w:after="120" w:line="240" w:lineRule="auto"/>
        <w:rPr>
          <w:rFonts w:asciiTheme="majorHAnsi" w:hAnsiTheme="majorHAnsi"/>
          <w:szCs w:val="24"/>
        </w:rPr>
      </w:pPr>
      <w:r>
        <w:rPr>
          <w:rFonts w:asciiTheme="majorHAnsi" w:hAnsiTheme="majorHAnsi"/>
          <w:szCs w:val="24"/>
        </w:rPr>
        <w:t>A</w:t>
      </w:r>
      <w:r w:rsidR="009763EB">
        <w:rPr>
          <w:rFonts w:asciiTheme="majorHAnsi" w:hAnsiTheme="majorHAnsi"/>
          <w:szCs w:val="24"/>
        </w:rPr>
        <w:t>9</w:t>
      </w:r>
      <w:r>
        <w:rPr>
          <w:rFonts w:asciiTheme="majorHAnsi" w:hAnsiTheme="majorHAnsi"/>
          <w:szCs w:val="24"/>
        </w:rPr>
        <w:t>.</w:t>
      </w:r>
      <w:r>
        <w:rPr>
          <w:rFonts w:asciiTheme="majorHAnsi" w:hAnsiTheme="majorHAnsi"/>
          <w:szCs w:val="24"/>
        </w:rPr>
        <w:tab/>
      </w:r>
      <w:r w:rsidRPr="004D4ACC">
        <w:rPr>
          <w:rFonts w:asciiTheme="majorHAnsi" w:hAnsiTheme="majorHAnsi"/>
          <w:szCs w:val="24"/>
        </w:rPr>
        <w:t>Telephone Script to Collect USDA Foods Data</w:t>
      </w:r>
    </w:p>
    <w:p w:rsidRPr="004D4ACC" w:rsidR="00656C37" w:rsidP="00656C37" w:rsidRDefault="00656C37" w14:paraId="77C16F24" w14:textId="77777777">
      <w:pPr>
        <w:spacing w:after="120" w:line="240" w:lineRule="auto"/>
        <w:rPr>
          <w:rFonts w:asciiTheme="majorHAnsi" w:hAnsiTheme="majorHAnsi"/>
          <w:szCs w:val="24"/>
        </w:rPr>
      </w:pPr>
    </w:p>
    <w:p w:rsidRPr="004D4ACC" w:rsidR="00656C37" w:rsidP="00656C37" w:rsidRDefault="00656C37" w14:paraId="52D19F67" w14:textId="77777777">
      <w:pPr>
        <w:pStyle w:val="TOC8"/>
        <w:ind w:left="0" w:firstLine="0"/>
        <w:rPr>
          <w:rFonts w:asciiTheme="majorHAnsi" w:hAnsiTheme="majorHAnsi"/>
          <w:szCs w:val="24"/>
        </w:rPr>
      </w:pPr>
      <w:r w:rsidRPr="004D4ACC">
        <w:rPr>
          <w:rFonts w:asciiTheme="majorHAnsi" w:hAnsiTheme="majorHAnsi"/>
          <w:szCs w:val="24"/>
        </w:rPr>
        <w:t xml:space="preserve">B. </w:t>
      </w:r>
      <w:r w:rsidRPr="004D4ACC">
        <w:rPr>
          <w:rFonts w:asciiTheme="majorHAnsi" w:hAnsiTheme="majorHAnsi"/>
          <w:szCs w:val="24"/>
        </w:rPr>
        <w:tab/>
        <w:t>Local Government Materials</w:t>
      </w:r>
    </w:p>
    <w:p w:rsidRPr="00656C37" w:rsidR="00656C37" w:rsidP="00656C37" w:rsidRDefault="00656C37" w14:paraId="4EDD1ED7" w14:textId="77777777">
      <w:pPr>
        <w:spacing w:after="120" w:line="240" w:lineRule="auto"/>
        <w:rPr>
          <w:rFonts w:asciiTheme="majorHAnsi" w:hAnsiTheme="majorHAnsi"/>
          <w:szCs w:val="24"/>
        </w:rPr>
      </w:pPr>
      <w:r w:rsidRPr="00656C37">
        <w:rPr>
          <w:rFonts w:asciiTheme="majorHAnsi" w:hAnsiTheme="majorHAnsi"/>
          <w:szCs w:val="24"/>
        </w:rPr>
        <w:t xml:space="preserve">B1. </w:t>
      </w:r>
      <w:r w:rsidRPr="00656C37">
        <w:rPr>
          <w:rFonts w:asciiTheme="majorHAnsi" w:hAnsiTheme="majorHAnsi"/>
          <w:szCs w:val="24"/>
        </w:rPr>
        <w:tab/>
        <w:t>FedEx Letter to Sampled SFAs</w:t>
      </w:r>
    </w:p>
    <w:p w:rsidRPr="00656C37" w:rsidR="00656C37" w:rsidP="00656C37" w:rsidRDefault="00656C37" w14:paraId="13F4F194" w14:textId="77777777">
      <w:pPr>
        <w:spacing w:after="120" w:line="240" w:lineRule="auto"/>
        <w:rPr>
          <w:rFonts w:asciiTheme="majorHAnsi" w:hAnsiTheme="majorHAnsi"/>
          <w:szCs w:val="24"/>
        </w:rPr>
      </w:pPr>
      <w:r w:rsidRPr="00656C37">
        <w:rPr>
          <w:rFonts w:asciiTheme="majorHAnsi" w:hAnsiTheme="majorHAnsi"/>
          <w:szCs w:val="24"/>
        </w:rPr>
        <w:t xml:space="preserve">B2. </w:t>
      </w:r>
      <w:r w:rsidRPr="00656C37">
        <w:rPr>
          <w:rFonts w:asciiTheme="majorHAnsi" w:hAnsiTheme="majorHAnsi"/>
          <w:szCs w:val="24"/>
        </w:rPr>
        <w:tab/>
        <w:t xml:space="preserve">Frequently Asked Questions </w:t>
      </w:r>
    </w:p>
    <w:p w:rsidRPr="00656C37" w:rsidR="00656C37" w:rsidP="00656C37" w:rsidRDefault="00656C37" w14:paraId="36E47B94" w14:textId="77777777">
      <w:pPr>
        <w:spacing w:after="120" w:line="240" w:lineRule="auto"/>
        <w:rPr>
          <w:rFonts w:asciiTheme="majorHAnsi" w:hAnsiTheme="majorHAnsi"/>
          <w:szCs w:val="24"/>
        </w:rPr>
      </w:pPr>
      <w:r w:rsidRPr="00656C37">
        <w:rPr>
          <w:rFonts w:asciiTheme="majorHAnsi" w:hAnsiTheme="majorHAnsi"/>
          <w:szCs w:val="24"/>
        </w:rPr>
        <w:t>B3.</w:t>
      </w:r>
      <w:r w:rsidRPr="00656C37">
        <w:rPr>
          <w:rFonts w:asciiTheme="majorHAnsi" w:hAnsiTheme="majorHAnsi"/>
          <w:szCs w:val="24"/>
        </w:rPr>
        <w:tab/>
        <w:t xml:space="preserve">Study Overview Webinar Invitation </w:t>
      </w:r>
    </w:p>
    <w:p w:rsidR="00656C37" w:rsidP="00656C37" w:rsidRDefault="00656C37" w14:paraId="7665BB2C" w14:textId="77777777">
      <w:pPr>
        <w:spacing w:after="120" w:line="240" w:lineRule="auto"/>
        <w:rPr>
          <w:rFonts w:asciiTheme="majorHAnsi" w:hAnsiTheme="majorHAnsi"/>
          <w:szCs w:val="24"/>
        </w:rPr>
      </w:pPr>
      <w:r w:rsidRPr="004D4ACC">
        <w:rPr>
          <w:rFonts w:asciiTheme="majorHAnsi" w:hAnsiTheme="majorHAnsi"/>
          <w:szCs w:val="24"/>
        </w:rPr>
        <w:t>B4.</w:t>
      </w:r>
      <w:r w:rsidRPr="004D4ACC">
        <w:rPr>
          <w:rFonts w:asciiTheme="majorHAnsi" w:hAnsiTheme="majorHAnsi"/>
          <w:szCs w:val="24"/>
        </w:rPr>
        <w:tab/>
      </w:r>
      <w:r>
        <w:rPr>
          <w:rFonts w:asciiTheme="majorHAnsi" w:hAnsiTheme="majorHAnsi"/>
          <w:szCs w:val="24"/>
        </w:rPr>
        <w:t>Study Overview Webinar</w:t>
      </w:r>
    </w:p>
    <w:p w:rsidRPr="004D4ACC" w:rsidR="00656C37" w:rsidP="00656C37" w:rsidRDefault="00656C37" w14:paraId="37CA8218" w14:textId="77777777">
      <w:pPr>
        <w:spacing w:after="120" w:line="240" w:lineRule="auto"/>
        <w:rPr>
          <w:rFonts w:asciiTheme="majorHAnsi" w:hAnsiTheme="majorHAnsi"/>
          <w:szCs w:val="24"/>
        </w:rPr>
      </w:pPr>
      <w:r>
        <w:rPr>
          <w:rFonts w:asciiTheme="majorHAnsi" w:hAnsiTheme="majorHAnsi"/>
          <w:szCs w:val="24"/>
        </w:rPr>
        <w:t>B5.</w:t>
      </w:r>
      <w:r>
        <w:rPr>
          <w:rFonts w:asciiTheme="majorHAnsi" w:hAnsiTheme="majorHAnsi"/>
          <w:szCs w:val="24"/>
        </w:rPr>
        <w:tab/>
      </w:r>
      <w:r w:rsidRPr="004D4ACC">
        <w:rPr>
          <w:rFonts w:asciiTheme="majorHAnsi" w:hAnsiTheme="majorHAnsi"/>
          <w:szCs w:val="24"/>
        </w:rPr>
        <w:t>Email with Link to Survey</w:t>
      </w:r>
    </w:p>
    <w:p w:rsidRPr="004D4ACC" w:rsidR="00656C37" w:rsidP="00656C37" w:rsidRDefault="00656C37" w14:paraId="6EED96FA" w14:textId="77777777">
      <w:pPr>
        <w:spacing w:after="120" w:line="240" w:lineRule="auto"/>
        <w:rPr>
          <w:rFonts w:asciiTheme="majorHAnsi" w:hAnsiTheme="majorHAnsi"/>
          <w:szCs w:val="24"/>
        </w:rPr>
      </w:pPr>
      <w:r w:rsidRPr="004D4ACC">
        <w:rPr>
          <w:rFonts w:asciiTheme="majorHAnsi" w:hAnsiTheme="majorHAnsi"/>
          <w:szCs w:val="24"/>
        </w:rPr>
        <w:t xml:space="preserve">B6. </w:t>
      </w:r>
      <w:r w:rsidRPr="004D4ACC">
        <w:rPr>
          <w:rFonts w:asciiTheme="majorHAnsi" w:hAnsiTheme="majorHAnsi"/>
          <w:szCs w:val="24"/>
        </w:rPr>
        <w:tab/>
        <w:t>Telephone Script to Complete Survey</w:t>
      </w:r>
    </w:p>
    <w:p w:rsidR="00656C37" w:rsidP="00656C37" w:rsidRDefault="00656C37" w14:paraId="2BC5E0DE" w14:textId="77777777">
      <w:pPr>
        <w:spacing w:after="120" w:line="240" w:lineRule="auto"/>
        <w:rPr>
          <w:rFonts w:asciiTheme="majorHAnsi" w:hAnsiTheme="majorHAnsi"/>
          <w:szCs w:val="24"/>
        </w:rPr>
      </w:pPr>
      <w:r w:rsidRPr="004D4ACC">
        <w:rPr>
          <w:rFonts w:asciiTheme="majorHAnsi" w:hAnsiTheme="majorHAnsi"/>
          <w:szCs w:val="24"/>
        </w:rPr>
        <w:t>B7.</w:t>
      </w:r>
      <w:r w:rsidRPr="004D4ACC">
        <w:rPr>
          <w:rFonts w:asciiTheme="majorHAnsi" w:hAnsiTheme="majorHAnsi"/>
          <w:szCs w:val="24"/>
        </w:rPr>
        <w:tab/>
        <w:t xml:space="preserve">Survey of Food Purchase Practices </w:t>
      </w:r>
    </w:p>
    <w:p w:rsidRPr="004D4ACC" w:rsidR="00656C37" w:rsidP="00656C37" w:rsidRDefault="00656C37" w14:paraId="61507BCA" w14:textId="77777777">
      <w:pPr>
        <w:spacing w:after="120" w:line="240" w:lineRule="auto"/>
        <w:rPr>
          <w:rFonts w:asciiTheme="majorHAnsi" w:hAnsiTheme="majorHAnsi"/>
          <w:szCs w:val="24"/>
        </w:rPr>
      </w:pPr>
      <w:r w:rsidRPr="004D4ACC">
        <w:rPr>
          <w:rFonts w:asciiTheme="majorHAnsi" w:hAnsiTheme="majorHAnsi"/>
          <w:szCs w:val="24"/>
        </w:rPr>
        <w:t>B8.</w:t>
      </w:r>
      <w:r w:rsidRPr="004D4ACC">
        <w:rPr>
          <w:rFonts w:asciiTheme="majorHAnsi" w:hAnsiTheme="majorHAnsi"/>
          <w:szCs w:val="24"/>
        </w:rPr>
        <w:tab/>
      </w:r>
      <w:r>
        <w:rPr>
          <w:rFonts w:asciiTheme="majorHAnsi" w:hAnsiTheme="majorHAnsi"/>
          <w:szCs w:val="24"/>
        </w:rPr>
        <w:t xml:space="preserve">Purchase Data Webinar Invitation </w:t>
      </w:r>
    </w:p>
    <w:p w:rsidR="00656C37" w:rsidP="00656C37" w:rsidRDefault="00656C37" w14:paraId="67A9D7BC" w14:textId="77777777">
      <w:pPr>
        <w:spacing w:after="120" w:line="240" w:lineRule="auto"/>
        <w:rPr>
          <w:rFonts w:asciiTheme="majorHAnsi" w:hAnsiTheme="majorHAnsi"/>
          <w:szCs w:val="24"/>
        </w:rPr>
      </w:pPr>
      <w:r w:rsidRPr="004D4ACC">
        <w:rPr>
          <w:rFonts w:asciiTheme="majorHAnsi" w:hAnsiTheme="majorHAnsi"/>
          <w:szCs w:val="24"/>
        </w:rPr>
        <w:t>B9.</w:t>
      </w:r>
      <w:r w:rsidRPr="004D4ACC">
        <w:rPr>
          <w:rFonts w:asciiTheme="majorHAnsi" w:hAnsiTheme="majorHAnsi"/>
          <w:szCs w:val="24"/>
        </w:rPr>
        <w:tab/>
      </w:r>
      <w:r>
        <w:rPr>
          <w:rFonts w:asciiTheme="majorHAnsi" w:hAnsiTheme="majorHAnsi"/>
          <w:szCs w:val="24"/>
        </w:rPr>
        <w:t>Purchase Data Webinar</w:t>
      </w:r>
    </w:p>
    <w:p w:rsidRPr="004D4ACC" w:rsidR="00656C37" w:rsidP="00656C37" w:rsidRDefault="00656C37" w14:paraId="79C641F4" w14:textId="2CF98CB9">
      <w:pPr>
        <w:spacing w:after="120" w:line="240" w:lineRule="auto"/>
        <w:rPr>
          <w:rFonts w:asciiTheme="majorHAnsi" w:hAnsiTheme="majorHAnsi"/>
          <w:szCs w:val="24"/>
        </w:rPr>
      </w:pPr>
      <w:r w:rsidRPr="004D4ACC">
        <w:rPr>
          <w:rFonts w:asciiTheme="majorHAnsi" w:hAnsiTheme="majorHAnsi"/>
          <w:szCs w:val="24"/>
        </w:rPr>
        <w:t>B10.</w:t>
      </w:r>
      <w:r w:rsidRPr="004D4ACC">
        <w:rPr>
          <w:rFonts w:asciiTheme="majorHAnsi" w:hAnsiTheme="majorHAnsi"/>
          <w:szCs w:val="24"/>
        </w:rPr>
        <w:tab/>
      </w:r>
      <w:r>
        <w:rPr>
          <w:rFonts w:asciiTheme="majorHAnsi" w:hAnsiTheme="majorHAnsi"/>
          <w:szCs w:val="24"/>
        </w:rPr>
        <w:t xml:space="preserve">Email to Submit </w:t>
      </w:r>
      <w:r w:rsidR="009763EB">
        <w:rPr>
          <w:rFonts w:asciiTheme="majorHAnsi" w:hAnsiTheme="majorHAnsi"/>
          <w:szCs w:val="24"/>
        </w:rPr>
        <w:t xml:space="preserve">Quarterly </w:t>
      </w:r>
      <w:r>
        <w:rPr>
          <w:rFonts w:asciiTheme="majorHAnsi" w:hAnsiTheme="majorHAnsi"/>
          <w:szCs w:val="24"/>
        </w:rPr>
        <w:t xml:space="preserve">Data </w:t>
      </w:r>
    </w:p>
    <w:p w:rsidRPr="004D4ACC" w:rsidR="00656C37" w:rsidP="00656C37" w:rsidRDefault="00656C37" w14:paraId="45DD14BE" w14:textId="56AC5FFB">
      <w:pPr>
        <w:spacing w:after="120" w:line="240" w:lineRule="auto"/>
        <w:rPr>
          <w:rFonts w:asciiTheme="majorHAnsi" w:hAnsiTheme="majorHAnsi"/>
          <w:szCs w:val="24"/>
        </w:rPr>
      </w:pPr>
      <w:r w:rsidRPr="004D4ACC">
        <w:rPr>
          <w:rFonts w:asciiTheme="majorHAnsi" w:hAnsiTheme="majorHAnsi"/>
          <w:szCs w:val="24"/>
        </w:rPr>
        <w:t>B11.</w:t>
      </w:r>
      <w:r w:rsidRPr="004D4ACC">
        <w:rPr>
          <w:rFonts w:asciiTheme="majorHAnsi" w:hAnsiTheme="majorHAnsi"/>
          <w:szCs w:val="24"/>
        </w:rPr>
        <w:tab/>
      </w:r>
      <w:r>
        <w:rPr>
          <w:rFonts w:asciiTheme="majorHAnsi" w:hAnsiTheme="majorHAnsi"/>
          <w:szCs w:val="24"/>
        </w:rPr>
        <w:t xml:space="preserve">Food Purchase Data </w:t>
      </w:r>
      <w:r w:rsidR="00DF03E0">
        <w:rPr>
          <w:rFonts w:asciiTheme="majorHAnsi" w:hAnsiTheme="majorHAnsi"/>
          <w:szCs w:val="24"/>
        </w:rPr>
        <w:t>Checklist</w:t>
      </w:r>
    </w:p>
    <w:p w:rsidRPr="004D4ACC" w:rsidR="00656C37" w:rsidP="00656C37" w:rsidRDefault="00656C37" w14:paraId="4D719477" w14:textId="7C984E60">
      <w:pPr>
        <w:spacing w:after="120" w:line="240" w:lineRule="auto"/>
        <w:rPr>
          <w:rFonts w:asciiTheme="majorHAnsi" w:hAnsiTheme="majorHAnsi"/>
          <w:szCs w:val="24"/>
        </w:rPr>
      </w:pPr>
      <w:r w:rsidRPr="004D4ACC">
        <w:rPr>
          <w:rFonts w:asciiTheme="majorHAnsi" w:hAnsiTheme="majorHAnsi"/>
          <w:szCs w:val="24"/>
        </w:rPr>
        <w:t>B12.</w:t>
      </w:r>
      <w:r w:rsidRPr="004D4ACC">
        <w:rPr>
          <w:rFonts w:asciiTheme="majorHAnsi" w:hAnsiTheme="majorHAnsi"/>
          <w:szCs w:val="24"/>
        </w:rPr>
        <w:tab/>
        <w:t xml:space="preserve">Telephone Script to Collect </w:t>
      </w:r>
      <w:r w:rsidR="009763EB">
        <w:rPr>
          <w:rFonts w:asciiTheme="majorHAnsi" w:hAnsiTheme="majorHAnsi"/>
          <w:szCs w:val="24"/>
        </w:rPr>
        <w:t xml:space="preserve">Quarterly </w:t>
      </w:r>
      <w:r w:rsidRPr="004D4ACC">
        <w:rPr>
          <w:rFonts w:asciiTheme="majorHAnsi" w:hAnsiTheme="majorHAnsi"/>
          <w:szCs w:val="24"/>
        </w:rPr>
        <w:t>Data</w:t>
      </w:r>
    </w:p>
    <w:p w:rsidR="00656C37" w:rsidP="00656C37" w:rsidRDefault="00656C37" w14:paraId="19597219" w14:textId="77777777">
      <w:pPr>
        <w:spacing w:after="120" w:line="240" w:lineRule="auto"/>
        <w:rPr>
          <w:rFonts w:asciiTheme="majorHAnsi" w:hAnsiTheme="majorHAnsi"/>
          <w:szCs w:val="24"/>
        </w:rPr>
      </w:pPr>
      <w:r w:rsidRPr="004D4ACC">
        <w:rPr>
          <w:rFonts w:asciiTheme="majorHAnsi" w:hAnsiTheme="majorHAnsi"/>
          <w:szCs w:val="24"/>
        </w:rPr>
        <w:t>B13.</w:t>
      </w:r>
      <w:r w:rsidRPr="004D4ACC">
        <w:rPr>
          <w:rFonts w:asciiTheme="majorHAnsi" w:hAnsiTheme="majorHAnsi"/>
          <w:szCs w:val="24"/>
        </w:rPr>
        <w:tab/>
      </w:r>
      <w:r>
        <w:rPr>
          <w:rFonts w:asciiTheme="majorHAnsi" w:hAnsiTheme="majorHAnsi"/>
          <w:szCs w:val="24"/>
        </w:rPr>
        <w:t xml:space="preserve">Clarification and Confirmation Email </w:t>
      </w:r>
    </w:p>
    <w:p w:rsidR="00656C37" w:rsidP="00656C37" w:rsidRDefault="00656C37" w14:paraId="177AECE5" w14:textId="7A03A96A">
      <w:pPr>
        <w:spacing w:after="120" w:line="240" w:lineRule="auto"/>
        <w:rPr>
          <w:rFonts w:asciiTheme="majorHAnsi" w:hAnsiTheme="majorHAnsi"/>
          <w:szCs w:val="24"/>
        </w:rPr>
      </w:pPr>
      <w:r>
        <w:rPr>
          <w:rFonts w:asciiTheme="majorHAnsi" w:hAnsiTheme="majorHAnsi"/>
          <w:szCs w:val="24"/>
        </w:rPr>
        <w:t>B14.</w:t>
      </w:r>
      <w:r>
        <w:rPr>
          <w:rFonts w:asciiTheme="majorHAnsi" w:hAnsiTheme="majorHAnsi"/>
          <w:szCs w:val="24"/>
        </w:rPr>
        <w:tab/>
      </w:r>
      <w:r w:rsidRPr="004D4ACC">
        <w:rPr>
          <w:rFonts w:asciiTheme="majorHAnsi" w:hAnsiTheme="majorHAnsi"/>
          <w:szCs w:val="24"/>
        </w:rPr>
        <w:t xml:space="preserve">Telephone Script for </w:t>
      </w:r>
      <w:r w:rsidR="009763EB">
        <w:rPr>
          <w:rFonts w:asciiTheme="majorHAnsi" w:hAnsiTheme="majorHAnsi"/>
          <w:szCs w:val="24"/>
        </w:rPr>
        <w:t xml:space="preserve">Quarterly </w:t>
      </w:r>
      <w:r w:rsidRPr="004D4ACC">
        <w:rPr>
          <w:rFonts w:asciiTheme="majorHAnsi" w:hAnsiTheme="majorHAnsi"/>
          <w:szCs w:val="24"/>
        </w:rPr>
        <w:t>Data Clarifications</w:t>
      </w:r>
      <w:r>
        <w:rPr>
          <w:rFonts w:asciiTheme="majorHAnsi" w:hAnsiTheme="majorHAnsi"/>
          <w:szCs w:val="24"/>
        </w:rPr>
        <w:t xml:space="preserve"> and Confirmation</w:t>
      </w:r>
    </w:p>
    <w:p w:rsidR="009763EB" w:rsidP="00656C37" w:rsidRDefault="009763EB" w14:paraId="5EB68CE4" w14:textId="4A34761E">
      <w:pPr>
        <w:spacing w:after="120" w:line="240" w:lineRule="auto"/>
        <w:rPr>
          <w:rFonts w:asciiTheme="majorHAnsi" w:hAnsiTheme="majorHAnsi"/>
          <w:szCs w:val="24"/>
        </w:rPr>
      </w:pPr>
      <w:r>
        <w:rPr>
          <w:rFonts w:asciiTheme="majorHAnsi" w:hAnsiTheme="majorHAnsi"/>
          <w:szCs w:val="24"/>
        </w:rPr>
        <w:t>B15.</w:t>
      </w:r>
      <w:r>
        <w:rPr>
          <w:rFonts w:asciiTheme="majorHAnsi" w:hAnsiTheme="majorHAnsi"/>
          <w:szCs w:val="24"/>
        </w:rPr>
        <w:tab/>
        <w:t>Quarterly Program Data</w:t>
      </w:r>
    </w:p>
    <w:p w:rsidRPr="004D4ACC" w:rsidR="00656C37" w:rsidP="00656C37" w:rsidRDefault="00656C37" w14:paraId="61DECF6D" w14:textId="77777777">
      <w:pPr>
        <w:spacing w:after="120" w:line="240" w:lineRule="auto"/>
        <w:ind w:firstLine="0"/>
        <w:rPr>
          <w:rFonts w:asciiTheme="majorHAnsi" w:hAnsiTheme="majorHAnsi"/>
          <w:szCs w:val="24"/>
        </w:rPr>
      </w:pPr>
    </w:p>
    <w:p w:rsidRPr="004D4ACC" w:rsidR="00656C37" w:rsidP="00656C37" w:rsidRDefault="00656C37" w14:paraId="14BC8E99" w14:textId="77777777">
      <w:pPr>
        <w:pStyle w:val="TOC8"/>
        <w:ind w:left="0" w:firstLine="0"/>
        <w:rPr>
          <w:rFonts w:asciiTheme="majorHAnsi" w:hAnsiTheme="majorHAnsi"/>
          <w:szCs w:val="24"/>
        </w:rPr>
      </w:pPr>
      <w:r>
        <w:rPr>
          <w:rFonts w:asciiTheme="majorHAnsi" w:hAnsiTheme="majorHAnsi"/>
          <w:szCs w:val="24"/>
        </w:rPr>
        <w:lastRenderedPageBreak/>
        <w:t>C</w:t>
      </w:r>
      <w:r w:rsidRPr="004D4ACC">
        <w:rPr>
          <w:rFonts w:asciiTheme="majorHAnsi" w:hAnsiTheme="majorHAnsi"/>
          <w:szCs w:val="24"/>
        </w:rPr>
        <w:t xml:space="preserve">. </w:t>
      </w:r>
      <w:r w:rsidRPr="004D4ACC">
        <w:rPr>
          <w:rFonts w:asciiTheme="majorHAnsi" w:hAnsiTheme="majorHAnsi"/>
          <w:szCs w:val="24"/>
        </w:rPr>
        <w:tab/>
      </w:r>
      <w:r>
        <w:rPr>
          <w:rFonts w:asciiTheme="majorHAnsi" w:hAnsiTheme="majorHAnsi"/>
          <w:szCs w:val="24"/>
        </w:rPr>
        <w:t>For-Profit Business</w:t>
      </w:r>
      <w:r w:rsidRPr="004D4ACC">
        <w:rPr>
          <w:rFonts w:asciiTheme="majorHAnsi" w:hAnsiTheme="majorHAnsi"/>
          <w:szCs w:val="24"/>
        </w:rPr>
        <w:t xml:space="preserve"> Materials</w:t>
      </w:r>
    </w:p>
    <w:p w:rsidRPr="00656C37" w:rsidR="00656C37" w:rsidP="00656C37" w:rsidRDefault="00656C37" w14:paraId="20B74EE3" w14:textId="77777777">
      <w:pPr>
        <w:spacing w:after="120" w:line="240" w:lineRule="auto"/>
        <w:rPr>
          <w:rFonts w:asciiTheme="majorHAnsi" w:hAnsiTheme="majorHAnsi"/>
          <w:szCs w:val="24"/>
        </w:rPr>
      </w:pPr>
      <w:r w:rsidRPr="00656C37">
        <w:rPr>
          <w:rFonts w:asciiTheme="majorHAnsi" w:hAnsiTheme="majorHAnsi"/>
          <w:szCs w:val="24"/>
        </w:rPr>
        <w:t xml:space="preserve">C1. </w:t>
      </w:r>
      <w:r w:rsidRPr="00656C37">
        <w:rPr>
          <w:rFonts w:asciiTheme="majorHAnsi" w:hAnsiTheme="majorHAnsi"/>
          <w:szCs w:val="24"/>
        </w:rPr>
        <w:tab/>
        <w:t>FNS Notification to Vendors</w:t>
      </w:r>
    </w:p>
    <w:p w:rsidR="00656C37" w:rsidP="00656C37" w:rsidRDefault="00656C37" w14:paraId="68C19C59" w14:textId="77777777">
      <w:pPr>
        <w:pStyle w:val="TOC8"/>
        <w:ind w:left="0" w:firstLine="0"/>
        <w:rPr>
          <w:rFonts w:asciiTheme="majorHAnsi" w:hAnsiTheme="majorHAnsi"/>
          <w:szCs w:val="24"/>
        </w:rPr>
      </w:pPr>
    </w:p>
    <w:p w:rsidR="00656C37" w:rsidP="00656C37" w:rsidRDefault="00656C37" w14:paraId="23FD63E2" w14:textId="43C5FFD6">
      <w:pPr>
        <w:pStyle w:val="TOC8"/>
        <w:ind w:left="0" w:firstLine="0"/>
        <w:rPr>
          <w:rFonts w:asciiTheme="majorHAnsi" w:hAnsiTheme="majorHAnsi"/>
          <w:szCs w:val="24"/>
        </w:rPr>
      </w:pPr>
      <w:r>
        <w:rPr>
          <w:rFonts w:asciiTheme="majorHAnsi" w:hAnsiTheme="majorHAnsi"/>
          <w:szCs w:val="24"/>
        </w:rPr>
        <w:t>D</w:t>
      </w:r>
      <w:r w:rsidRPr="004D4ACC">
        <w:rPr>
          <w:rFonts w:asciiTheme="majorHAnsi" w:hAnsiTheme="majorHAnsi"/>
          <w:szCs w:val="24"/>
        </w:rPr>
        <w:t xml:space="preserve">. </w:t>
      </w:r>
      <w:r w:rsidRPr="004D4ACC">
        <w:rPr>
          <w:rFonts w:asciiTheme="majorHAnsi" w:hAnsiTheme="majorHAnsi"/>
          <w:szCs w:val="24"/>
        </w:rPr>
        <w:tab/>
      </w:r>
      <w:r w:rsidR="009C50FE">
        <w:rPr>
          <w:rFonts w:asciiTheme="majorHAnsi" w:hAnsiTheme="majorHAnsi"/>
          <w:szCs w:val="24"/>
        </w:rPr>
        <w:t xml:space="preserve">Other </w:t>
      </w:r>
      <w:r>
        <w:rPr>
          <w:rFonts w:asciiTheme="majorHAnsi" w:hAnsiTheme="majorHAnsi"/>
          <w:szCs w:val="24"/>
        </w:rPr>
        <w:t>Materials</w:t>
      </w:r>
    </w:p>
    <w:p w:rsidR="00656C37" w:rsidP="00656C37" w:rsidRDefault="00656C37" w14:paraId="4AEDA75F" w14:textId="0C45C489">
      <w:pPr>
        <w:pStyle w:val="TOC8"/>
        <w:spacing w:after="120" w:line="240" w:lineRule="auto"/>
        <w:ind w:left="0"/>
        <w:rPr>
          <w:rFonts w:eastAsia="Arial" w:asciiTheme="majorHAnsi" w:hAnsiTheme="majorHAnsi"/>
        </w:rPr>
      </w:pPr>
      <w:r>
        <w:rPr>
          <w:rFonts w:eastAsia="Arial" w:asciiTheme="majorHAnsi" w:hAnsiTheme="majorHAnsi"/>
        </w:rPr>
        <w:t>D</w:t>
      </w:r>
      <w:r w:rsidRPr="004D4ACC">
        <w:rPr>
          <w:rFonts w:eastAsia="Arial" w:asciiTheme="majorHAnsi" w:hAnsiTheme="majorHAnsi"/>
        </w:rPr>
        <w:t xml:space="preserve">1. </w:t>
      </w:r>
      <w:r w:rsidRPr="004D4ACC">
        <w:rPr>
          <w:rFonts w:eastAsia="Arial" w:asciiTheme="majorHAnsi" w:hAnsiTheme="majorHAnsi"/>
        </w:rPr>
        <w:tab/>
      </w:r>
      <w:r w:rsidRPr="00FE1DC6">
        <w:rPr>
          <w:rFonts w:eastAsia="Arial" w:asciiTheme="majorHAnsi" w:hAnsiTheme="majorHAnsi"/>
        </w:rPr>
        <w:t xml:space="preserve">Richard B. Russell National School Lunch Act </w:t>
      </w:r>
      <w:r w:rsidR="009410F9">
        <w:rPr>
          <w:rFonts w:eastAsia="Arial" w:asciiTheme="majorHAnsi" w:hAnsiTheme="majorHAnsi"/>
        </w:rPr>
        <w:t>(s</w:t>
      </w:r>
      <w:r w:rsidRPr="00FE1DC6" w:rsidR="009410F9">
        <w:rPr>
          <w:rFonts w:eastAsia="Arial" w:asciiTheme="majorHAnsi" w:hAnsiTheme="majorHAnsi"/>
        </w:rPr>
        <w:t>ection 28(c)</w:t>
      </w:r>
      <w:r w:rsidR="009410F9">
        <w:rPr>
          <w:rFonts w:eastAsia="Arial" w:asciiTheme="majorHAnsi" w:hAnsiTheme="majorHAnsi"/>
        </w:rPr>
        <w:t>)</w:t>
      </w:r>
    </w:p>
    <w:p w:rsidR="00656C37" w:rsidP="00656C37" w:rsidRDefault="00656C37" w14:paraId="1A3AD24A" w14:textId="77777777">
      <w:pPr>
        <w:pStyle w:val="TOC8"/>
        <w:spacing w:after="120" w:line="240" w:lineRule="auto"/>
        <w:ind w:left="0"/>
        <w:rPr>
          <w:rFonts w:eastAsia="Arial" w:asciiTheme="majorHAnsi" w:hAnsiTheme="majorHAnsi"/>
        </w:rPr>
      </w:pPr>
      <w:r>
        <w:rPr>
          <w:rFonts w:eastAsia="Arial" w:asciiTheme="majorHAnsi" w:hAnsiTheme="majorHAnsi"/>
          <w:spacing w:val="-1"/>
        </w:rPr>
        <w:t>D</w:t>
      </w:r>
      <w:r w:rsidRPr="004D4ACC">
        <w:rPr>
          <w:rFonts w:eastAsia="Arial" w:asciiTheme="majorHAnsi" w:hAnsiTheme="majorHAnsi"/>
          <w:spacing w:val="-1"/>
        </w:rPr>
        <w:t>2.</w:t>
      </w:r>
      <w:r w:rsidRPr="004D4ACC">
        <w:rPr>
          <w:rFonts w:eastAsia="Arial" w:asciiTheme="majorHAnsi" w:hAnsiTheme="majorHAnsi"/>
        </w:rPr>
        <w:t xml:space="preserve"> </w:t>
      </w:r>
      <w:r w:rsidRPr="004D4ACC">
        <w:rPr>
          <w:rFonts w:eastAsia="Arial" w:asciiTheme="majorHAnsi" w:hAnsiTheme="majorHAnsi"/>
        </w:rPr>
        <w:tab/>
      </w:r>
      <w:r w:rsidRPr="00C1473F">
        <w:rPr>
          <w:rFonts w:eastAsia="Arial" w:asciiTheme="majorHAnsi" w:hAnsiTheme="majorHAnsi"/>
        </w:rPr>
        <w:t>IRB Approval Letter</w:t>
      </w:r>
    </w:p>
    <w:p w:rsidRPr="002F7CD0" w:rsidR="00656C37" w:rsidP="00656C37" w:rsidRDefault="00656C37" w14:paraId="5DA20E23" w14:textId="77777777">
      <w:pPr>
        <w:pStyle w:val="TOC8"/>
        <w:spacing w:after="120" w:line="240" w:lineRule="auto"/>
        <w:ind w:left="0"/>
        <w:rPr>
          <w:rFonts w:asciiTheme="majorHAnsi" w:hAnsiTheme="majorHAnsi"/>
          <w:szCs w:val="24"/>
        </w:rPr>
      </w:pPr>
      <w:r>
        <w:rPr>
          <w:rFonts w:eastAsia="Arial" w:asciiTheme="majorHAnsi" w:hAnsiTheme="majorHAnsi"/>
          <w:spacing w:val="-1"/>
        </w:rPr>
        <w:t>D</w:t>
      </w:r>
      <w:r w:rsidRPr="004D4ACC">
        <w:rPr>
          <w:rFonts w:eastAsia="Arial" w:asciiTheme="majorHAnsi" w:hAnsiTheme="majorHAnsi"/>
          <w:spacing w:val="-1"/>
        </w:rPr>
        <w:t>3.</w:t>
      </w:r>
      <w:r w:rsidRPr="004D4ACC">
        <w:rPr>
          <w:rFonts w:eastAsia="Arial" w:asciiTheme="majorHAnsi" w:hAnsiTheme="majorHAnsi"/>
        </w:rPr>
        <w:tab/>
      </w:r>
      <w:r w:rsidRPr="00653E0F">
        <w:rPr>
          <w:rFonts w:asciiTheme="majorHAnsi" w:hAnsiTheme="majorHAnsi"/>
        </w:rPr>
        <w:t>Pretest Findings</w:t>
      </w:r>
    </w:p>
    <w:p w:rsidR="00656C37" w:rsidP="00656C37" w:rsidRDefault="00656C37" w14:paraId="2D0549D4" w14:textId="066E66CC">
      <w:pPr>
        <w:spacing w:after="120" w:line="240" w:lineRule="auto"/>
        <w:rPr>
          <w:rFonts w:eastAsia="Arial" w:asciiTheme="majorHAnsi" w:hAnsiTheme="majorHAnsi"/>
        </w:rPr>
      </w:pPr>
      <w:r>
        <w:rPr>
          <w:rFonts w:asciiTheme="majorHAnsi" w:hAnsiTheme="majorHAnsi"/>
          <w:szCs w:val="24"/>
        </w:rPr>
        <w:t>D</w:t>
      </w:r>
      <w:r w:rsidRPr="004D4ACC">
        <w:rPr>
          <w:rFonts w:asciiTheme="majorHAnsi" w:hAnsiTheme="majorHAnsi"/>
          <w:szCs w:val="24"/>
        </w:rPr>
        <w:t>4.</w:t>
      </w:r>
      <w:r w:rsidRPr="004D4ACC">
        <w:rPr>
          <w:rFonts w:asciiTheme="majorHAnsi" w:hAnsiTheme="majorHAnsi"/>
          <w:szCs w:val="24"/>
        </w:rPr>
        <w:tab/>
      </w:r>
      <w:r>
        <w:rPr>
          <w:rFonts w:eastAsia="Arial" w:asciiTheme="majorHAnsi" w:hAnsiTheme="majorHAnsi"/>
        </w:rPr>
        <w:t>Confidentiality Agreement</w:t>
      </w:r>
    </w:p>
    <w:p w:rsidRPr="004D4ACC" w:rsidR="000804D5" w:rsidP="00656C37" w:rsidRDefault="000804D5" w14:paraId="546A5EE6" w14:textId="0E716659">
      <w:pPr>
        <w:spacing w:after="120" w:line="240" w:lineRule="auto"/>
        <w:rPr>
          <w:rFonts w:asciiTheme="majorHAnsi" w:hAnsiTheme="majorHAnsi"/>
          <w:szCs w:val="24"/>
        </w:rPr>
      </w:pPr>
      <w:r>
        <w:rPr>
          <w:rFonts w:eastAsia="Arial" w:asciiTheme="majorHAnsi" w:hAnsiTheme="majorHAnsi"/>
        </w:rPr>
        <w:t>D5.</w:t>
      </w:r>
      <w:r>
        <w:rPr>
          <w:rFonts w:eastAsia="Arial" w:asciiTheme="majorHAnsi" w:hAnsiTheme="majorHAnsi"/>
        </w:rPr>
        <w:tab/>
        <w:t>Study Website (screenshot)</w:t>
      </w:r>
    </w:p>
    <w:p w:rsidRPr="004D4ACC" w:rsidR="00656C37" w:rsidP="00656C37" w:rsidRDefault="00656C37" w14:paraId="3EEE202F" w14:textId="77777777">
      <w:pPr>
        <w:spacing w:after="120" w:line="240" w:lineRule="auto"/>
        <w:rPr>
          <w:rFonts w:asciiTheme="majorHAnsi" w:hAnsiTheme="majorHAnsi"/>
          <w:szCs w:val="24"/>
        </w:rPr>
      </w:pPr>
    </w:p>
    <w:p w:rsidR="00656C37" w:rsidP="00656C37" w:rsidRDefault="00656C37" w14:paraId="50558091" w14:textId="77777777">
      <w:pPr>
        <w:pStyle w:val="TOC8"/>
        <w:ind w:left="0" w:firstLine="0"/>
        <w:rPr>
          <w:rFonts w:asciiTheme="majorHAnsi" w:hAnsiTheme="majorHAnsi"/>
          <w:szCs w:val="24"/>
        </w:rPr>
      </w:pPr>
      <w:r>
        <w:rPr>
          <w:rFonts w:asciiTheme="majorHAnsi" w:hAnsiTheme="majorHAnsi"/>
          <w:szCs w:val="24"/>
        </w:rPr>
        <w:t>E</w:t>
      </w:r>
      <w:r w:rsidRPr="004D4ACC">
        <w:rPr>
          <w:rFonts w:asciiTheme="majorHAnsi" w:hAnsiTheme="majorHAnsi"/>
          <w:szCs w:val="24"/>
        </w:rPr>
        <w:t xml:space="preserve">. </w:t>
      </w:r>
      <w:r w:rsidRPr="004D4ACC">
        <w:rPr>
          <w:rFonts w:asciiTheme="majorHAnsi" w:hAnsiTheme="majorHAnsi"/>
          <w:szCs w:val="24"/>
        </w:rPr>
        <w:tab/>
      </w:r>
      <w:r>
        <w:rPr>
          <w:rFonts w:asciiTheme="majorHAnsi" w:hAnsiTheme="majorHAnsi"/>
          <w:szCs w:val="24"/>
        </w:rPr>
        <w:t>NASS Comments</w:t>
      </w:r>
    </w:p>
    <w:p w:rsidR="00656C37" w:rsidP="00656C37" w:rsidRDefault="00656C37" w14:paraId="7B321E2D" w14:textId="4914AB73">
      <w:pPr>
        <w:ind w:firstLine="0"/>
        <w:rPr>
          <w:rFonts w:asciiTheme="majorHAnsi" w:hAnsiTheme="majorHAnsi"/>
        </w:rPr>
      </w:pPr>
      <w:r w:rsidRPr="000B3C38">
        <w:rPr>
          <w:rFonts w:asciiTheme="majorHAnsi" w:hAnsiTheme="majorHAnsi"/>
        </w:rPr>
        <w:t xml:space="preserve">F. </w:t>
      </w:r>
      <w:r>
        <w:rPr>
          <w:rFonts w:asciiTheme="majorHAnsi" w:hAnsiTheme="majorHAnsi"/>
        </w:rPr>
        <w:tab/>
        <w:t xml:space="preserve">Public Comments </w:t>
      </w:r>
    </w:p>
    <w:p w:rsidRPr="000C2D5C" w:rsidR="007960FE" w:rsidP="007960FE" w:rsidRDefault="007960FE" w14:paraId="6E7AADDB" w14:textId="77777777">
      <w:pPr>
        <w:pStyle w:val="TOC8"/>
        <w:spacing w:after="120" w:line="240" w:lineRule="auto"/>
        <w:ind w:left="0"/>
        <w:rPr>
          <w:rFonts w:eastAsia="Arial" w:asciiTheme="majorHAnsi" w:hAnsiTheme="majorHAnsi"/>
          <w:spacing w:val="-1"/>
        </w:rPr>
      </w:pPr>
      <w:r w:rsidRPr="000C2D5C">
        <w:rPr>
          <w:rFonts w:eastAsia="Arial" w:asciiTheme="majorHAnsi" w:hAnsiTheme="majorHAnsi"/>
          <w:spacing w:val="-1"/>
        </w:rPr>
        <w:t xml:space="preserve">F1. </w:t>
      </w:r>
      <w:r>
        <w:rPr>
          <w:rFonts w:eastAsia="Arial" w:asciiTheme="majorHAnsi" w:hAnsiTheme="majorHAnsi"/>
          <w:spacing w:val="-1"/>
        </w:rPr>
        <w:tab/>
      </w:r>
      <w:r w:rsidRPr="000C2D5C">
        <w:rPr>
          <w:rFonts w:eastAsia="Arial" w:asciiTheme="majorHAnsi" w:hAnsiTheme="majorHAnsi"/>
          <w:spacing w:val="-1"/>
        </w:rPr>
        <w:t>Public Comment 1</w:t>
      </w:r>
    </w:p>
    <w:p w:rsidRPr="000C2D5C" w:rsidR="007960FE" w:rsidP="007960FE" w:rsidRDefault="007960FE" w14:paraId="736CA3A4" w14:textId="77777777">
      <w:pPr>
        <w:pStyle w:val="TOC8"/>
        <w:spacing w:after="120" w:line="240" w:lineRule="auto"/>
        <w:ind w:left="0"/>
        <w:rPr>
          <w:rFonts w:eastAsia="Arial" w:asciiTheme="majorHAnsi" w:hAnsiTheme="majorHAnsi"/>
        </w:rPr>
      </w:pPr>
      <w:r w:rsidRPr="000C2D5C">
        <w:rPr>
          <w:rFonts w:eastAsia="Arial" w:asciiTheme="majorHAnsi" w:hAnsiTheme="majorHAnsi"/>
        </w:rPr>
        <w:t xml:space="preserve">F2. </w:t>
      </w:r>
      <w:r>
        <w:rPr>
          <w:rFonts w:eastAsia="Arial" w:asciiTheme="majorHAnsi" w:hAnsiTheme="majorHAnsi"/>
        </w:rPr>
        <w:tab/>
      </w:r>
      <w:r w:rsidRPr="000C2D5C">
        <w:rPr>
          <w:rFonts w:eastAsia="Arial" w:asciiTheme="majorHAnsi" w:hAnsiTheme="majorHAnsi"/>
        </w:rPr>
        <w:t>Public Comment 2</w:t>
      </w:r>
    </w:p>
    <w:p w:rsidRPr="000C2D5C" w:rsidR="007960FE" w:rsidP="007960FE" w:rsidRDefault="007960FE" w14:paraId="29CEB8CD" w14:textId="77777777">
      <w:pPr>
        <w:pStyle w:val="TOC8"/>
        <w:spacing w:after="120" w:line="240" w:lineRule="auto"/>
        <w:ind w:left="0"/>
        <w:rPr>
          <w:rFonts w:eastAsia="Arial" w:asciiTheme="majorHAnsi" w:hAnsiTheme="majorHAnsi"/>
        </w:rPr>
      </w:pPr>
      <w:r w:rsidRPr="000C2D5C">
        <w:rPr>
          <w:rFonts w:eastAsia="Arial" w:asciiTheme="majorHAnsi" w:hAnsiTheme="majorHAnsi"/>
        </w:rPr>
        <w:t xml:space="preserve">F3. </w:t>
      </w:r>
      <w:r>
        <w:rPr>
          <w:rFonts w:eastAsia="Arial" w:asciiTheme="majorHAnsi" w:hAnsiTheme="majorHAnsi"/>
        </w:rPr>
        <w:tab/>
      </w:r>
      <w:r w:rsidRPr="000C2D5C">
        <w:rPr>
          <w:rFonts w:eastAsia="Arial" w:asciiTheme="majorHAnsi" w:hAnsiTheme="majorHAnsi"/>
        </w:rPr>
        <w:t>Public Comment 3</w:t>
      </w:r>
    </w:p>
    <w:p w:rsidRPr="000C2D5C" w:rsidR="007960FE" w:rsidP="007960FE" w:rsidRDefault="007960FE" w14:paraId="7A944B70" w14:textId="77777777">
      <w:pPr>
        <w:pStyle w:val="TOC8"/>
        <w:spacing w:after="120" w:line="240" w:lineRule="auto"/>
        <w:ind w:left="0"/>
        <w:rPr>
          <w:rFonts w:eastAsia="Arial" w:asciiTheme="majorHAnsi" w:hAnsiTheme="majorHAnsi"/>
        </w:rPr>
      </w:pPr>
      <w:r w:rsidRPr="000C2D5C">
        <w:rPr>
          <w:rFonts w:eastAsia="Arial" w:asciiTheme="majorHAnsi" w:hAnsiTheme="majorHAnsi"/>
        </w:rPr>
        <w:t>F4.</w:t>
      </w:r>
      <w:r>
        <w:rPr>
          <w:rFonts w:eastAsia="Arial" w:asciiTheme="majorHAnsi" w:hAnsiTheme="majorHAnsi"/>
        </w:rPr>
        <w:tab/>
      </w:r>
      <w:r w:rsidRPr="000C2D5C">
        <w:rPr>
          <w:rFonts w:eastAsia="Arial" w:asciiTheme="majorHAnsi" w:hAnsiTheme="majorHAnsi"/>
        </w:rPr>
        <w:t>Public Comment 4</w:t>
      </w:r>
    </w:p>
    <w:p w:rsidRPr="000C2D5C" w:rsidR="007960FE" w:rsidP="007960FE" w:rsidRDefault="007960FE" w14:paraId="261F0605" w14:textId="77777777">
      <w:pPr>
        <w:pStyle w:val="TOC8"/>
        <w:spacing w:after="120" w:line="240" w:lineRule="auto"/>
        <w:ind w:left="0"/>
        <w:rPr>
          <w:rFonts w:eastAsia="Arial" w:asciiTheme="majorHAnsi" w:hAnsiTheme="majorHAnsi"/>
        </w:rPr>
      </w:pPr>
      <w:r w:rsidRPr="000C2D5C">
        <w:rPr>
          <w:rFonts w:eastAsia="Arial" w:asciiTheme="majorHAnsi" w:hAnsiTheme="majorHAnsi"/>
        </w:rPr>
        <w:t xml:space="preserve">F5. </w:t>
      </w:r>
      <w:r>
        <w:rPr>
          <w:rFonts w:eastAsia="Arial" w:asciiTheme="majorHAnsi" w:hAnsiTheme="majorHAnsi"/>
        </w:rPr>
        <w:tab/>
      </w:r>
      <w:r w:rsidRPr="000C2D5C">
        <w:rPr>
          <w:rFonts w:eastAsia="Arial" w:asciiTheme="majorHAnsi" w:hAnsiTheme="majorHAnsi"/>
        </w:rPr>
        <w:t>Response to Public Comment 1</w:t>
      </w:r>
    </w:p>
    <w:p w:rsidRPr="000C2D5C" w:rsidR="007960FE" w:rsidP="007960FE" w:rsidRDefault="007960FE" w14:paraId="0F36AAE3" w14:textId="77777777">
      <w:pPr>
        <w:pStyle w:val="TOC8"/>
        <w:spacing w:after="120" w:line="240" w:lineRule="auto"/>
        <w:ind w:left="0"/>
        <w:rPr>
          <w:rFonts w:eastAsia="Arial" w:asciiTheme="majorHAnsi" w:hAnsiTheme="majorHAnsi"/>
        </w:rPr>
      </w:pPr>
      <w:r w:rsidRPr="000C2D5C">
        <w:rPr>
          <w:rFonts w:eastAsia="Arial" w:asciiTheme="majorHAnsi" w:hAnsiTheme="majorHAnsi"/>
        </w:rPr>
        <w:t xml:space="preserve">F6. </w:t>
      </w:r>
      <w:r>
        <w:rPr>
          <w:rFonts w:eastAsia="Arial" w:asciiTheme="majorHAnsi" w:hAnsiTheme="majorHAnsi"/>
        </w:rPr>
        <w:tab/>
      </w:r>
      <w:r w:rsidRPr="000C2D5C">
        <w:rPr>
          <w:rFonts w:eastAsia="Arial" w:asciiTheme="majorHAnsi" w:hAnsiTheme="majorHAnsi"/>
        </w:rPr>
        <w:t>Response to Public Comment 2</w:t>
      </w:r>
    </w:p>
    <w:p w:rsidRPr="000C2D5C" w:rsidR="007960FE" w:rsidP="007960FE" w:rsidRDefault="007960FE" w14:paraId="3F467B5D" w14:textId="77777777">
      <w:pPr>
        <w:pStyle w:val="TOC8"/>
        <w:spacing w:after="120" w:line="240" w:lineRule="auto"/>
        <w:ind w:left="0"/>
        <w:rPr>
          <w:rFonts w:eastAsia="Arial" w:asciiTheme="majorHAnsi" w:hAnsiTheme="majorHAnsi"/>
        </w:rPr>
      </w:pPr>
      <w:r w:rsidRPr="000C2D5C">
        <w:rPr>
          <w:rFonts w:eastAsia="Arial" w:asciiTheme="majorHAnsi" w:hAnsiTheme="majorHAnsi"/>
        </w:rPr>
        <w:t xml:space="preserve">F7. </w:t>
      </w:r>
      <w:r>
        <w:rPr>
          <w:rFonts w:eastAsia="Arial" w:asciiTheme="majorHAnsi" w:hAnsiTheme="majorHAnsi"/>
        </w:rPr>
        <w:tab/>
      </w:r>
      <w:r w:rsidRPr="000C2D5C">
        <w:rPr>
          <w:rFonts w:eastAsia="Arial" w:asciiTheme="majorHAnsi" w:hAnsiTheme="majorHAnsi"/>
        </w:rPr>
        <w:t>Response to Public Comment 3</w:t>
      </w:r>
    </w:p>
    <w:p w:rsidR="007960FE" w:rsidP="007960FE" w:rsidRDefault="007960FE" w14:paraId="0DF781C5" w14:textId="77777777">
      <w:pPr>
        <w:pStyle w:val="TOC8"/>
        <w:spacing w:after="0" w:line="240" w:lineRule="auto"/>
        <w:ind w:left="0"/>
        <w:rPr>
          <w:rFonts w:eastAsia="Arial" w:asciiTheme="majorHAnsi" w:hAnsiTheme="majorHAnsi"/>
        </w:rPr>
      </w:pPr>
      <w:r w:rsidRPr="000C2D5C">
        <w:rPr>
          <w:rFonts w:eastAsia="Arial" w:asciiTheme="majorHAnsi" w:hAnsiTheme="majorHAnsi"/>
        </w:rPr>
        <w:t xml:space="preserve">F8. </w:t>
      </w:r>
      <w:r>
        <w:rPr>
          <w:rFonts w:eastAsia="Arial" w:asciiTheme="majorHAnsi" w:hAnsiTheme="majorHAnsi"/>
        </w:rPr>
        <w:tab/>
      </w:r>
      <w:r w:rsidRPr="000C2D5C">
        <w:rPr>
          <w:rFonts w:eastAsia="Arial" w:asciiTheme="majorHAnsi" w:hAnsiTheme="majorHAnsi"/>
        </w:rPr>
        <w:t>Response to Public Comment 4</w:t>
      </w:r>
    </w:p>
    <w:p w:rsidR="007960FE" w:rsidP="00656C37" w:rsidRDefault="007960FE" w14:paraId="390229AD" w14:textId="77777777">
      <w:pPr>
        <w:ind w:firstLine="0"/>
        <w:rPr>
          <w:rFonts w:asciiTheme="majorHAnsi" w:hAnsiTheme="majorHAnsi"/>
        </w:rPr>
      </w:pPr>
    </w:p>
    <w:p w:rsidRPr="000B3C38" w:rsidR="00656C37" w:rsidP="00656C37" w:rsidRDefault="00656C37" w14:paraId="4CBCACF1" w14:textId="77777777">
      <w:pPr>
        <w:ind w:firstLine="0"/>
        <w:rPr>
          <w:rFonts w:asciiTheme="majorHAnsi" w:hAnsiTheme="majorHAnsi"/>
        </w:rPr>
      </w:pPr>
      <w:r>
        <w:rPr>
          <w:rFonts w:asciiTheme="majorHAnsi" w:hAnsiTheme="majorHAnsi"/>
        </w:rPr>
        <w:t xml:space="preserve">G. </w:t>
      </w:r>
      <w:r>
        <w:rPr>
          <w:rFonts w:asciiTheme="majorHAnsi" w:hAnsiTheme="majorHAnsi"/>
        </w:rPr>
        <w:tab/>
        <w:t>Burden Table</w:t>
      </w:r>
    </w:p>
    <w:p w:rsidR="00656C37" w:rsidP="00C67956" w:rsidRDefault="00656C37" w14:paraId="212CA938" w14:textId="77777777">
      <w:pPr>
        <w:spacing w:after="120" w:line="240" w:lineRule="auto"/>
        <w:rPr>
          <w:rFonts w:asciiTheme="majorHAnsi" w:hAnsiTheme="majorHAnsi"/>
          <w:szCs w:val="24"/>
        </w:rPr>
        <w:sectPr w:rsidR="00656C37">
          <w:pgSz w:w="12240" w:h="15840"/>
          <w:pgMar w:top="1440" w:right="1440" w:bottom="1440" w:left="1440" w:header="720" w:footer="720" w:gutter="0"/>
          <w:cols w:space="720"/>
          <w:docGrid w:linePitch="360"/>
        </w:sectPr>
      </w:pPr>
    </w:p>
    <w:p w:rsidR="00C84AD3" w:rsidP="00066BE7" w:rsidRDefault="00C84AD3" w14:paraId="078331CD" w14:textId="532489BC">
      <w:pPr>
        <w:rPr>
          <w:b/>
        </w:rPr>
      </w:pPr>
      <w:bookmarkStart w:name="_Toc282506041" w:id="3"/>
      <w:r>
        <w:rPr>
          <w:b/>
        </w:rPr>
        <w:lastRenderedPageBreak/>
        <w:t>COLLECTIONS OF INFORMATION EMPLOYING STATISTICAL METHODS</w:t>
      </w:r>
      <w:bookmarkEnd w:id="3"/>
    </w:p>
    <w:p w:rsidR="00C84AD3" w:rsidP="00C84AD3" w:rsidRDefault="00C84AD3" w14:paraId="4F1A4A08" w14:textId="77777777">
      <w:pPr>
        <w:pStyle w:val="Heading1"/>
        <w:rPr>
          <w:b/>
        </w:rPr>
      </w:pPr>
      <w:bookmarkStart w:name="_Toc282506042" w:id="4"/>
      <w:bookmarkStart w:name="_Toc494361127" w:id="5"/>
      <w:bookmarkStart w:name="_Toc29469607" w:id="6"/>
      <w:r>
        <w:rPr>
          <w:b/>
        </w:rPr>
        <w:t>B.1</w:t>
      </w:r>
      <w:r>
        <w:rPr>
          <w:b/>
        </w:rPr>
        <w:tab/>
      </w:r>
      <w:bookmarkEnd w:id="4"/>
      <w:r w:rsidRPr="00CA4368">
        <w:rPr>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5"/>
      <w:bookmarkEnd w:id="6"/>
    </w:p>
    <w:p w:rsidR="00316509" w:rsidP="00071CE5" w:rsidRDefault="00E31780" w14:paraId="56B0F662" w14:textId="1D351D23">
      <w:pPr>
        <w:rPr>
          <w:rFonts w:ascii="Times New Roman" w:hAnsi="Times New Roman" w:cs="Times New Roman"/>
        </w:rPr>
      </w:pPr>
      <w:r w:rsidRPr="00077A29">
        <w:rPr>
          <w:rFonts w:ascii="Times New Roman" w:hAnsi="Times New Roman" w:cs="Times New Roman"/>
        </w:rPr>
        <w:t xml:space="preserve">The fourth School Food Purchase Study (SFPS-IV) </w:t>
      </w:r>
      <w:r w:rsidRPr="00077A29" w:rsidR="00C84AD3">
        <w:rPr>
          <w:rFonts w:ascii="Times New Roman" w:hAnsi="Times New Roman" w:cs="Times New Roman"/>
        </w:rPr>
        <w:t xml:space="preserve">involves data collection from </w:t>
      </w:r>
      <w:r w:rsidRPr="00077A29">
        <w:rPr>
          <w:rFonts w:ascii="Times New Roman" w:hAnsi="Times New Roman" w:cs="Times New Roman"/>
        </w:rPr>
        <w:t>t</w:t>
      </w:r>
      <w:r w:rsidR="00A1739B">
        <w:rPr>
          <w:rFonts w:ascii="Times New Roman" w:hAnsi="Times New Roman" w:cs="Times New Roman"/>
        </w:rPr>
        <w:t>wo</w:t>
      </w:r>
      <w:r w:rsidRPr="00077A29">
        <w:rPr>
          <w:rFonts w:ascii="Times New Roman" w:hAnsi="Times New Roman" w:cs="Times New Roman"/>
        </w:rPr>
        <w:t xml:space="preserve"> respondent groups: (1) </w:t>
      </w:r>
      <w:r w:rsidR="00060C7F">
        <w:rPr>
          <w:rFonts w:ascii="Times New Roman" w:hAnsi="Times New Roman" w:cs="Times New Roman"/>
        </w:rPr>
        <w:t>s</w:t>
      </w:r>
      <w:r w:rsidRPr="00077A29" w:rsidR="004D718C">
        <w:rPr>
          <w:rFonts w:ascii="Times New Roman" w:hAnsi="Times New Roman" w:cs="Times New Roman"/>
        </w:rPr>
        <w:t xml:space="preserve">chool </w:t>
      </w:r>
      <w:r w:rsidR="00060C7F">
        <w:rPr>
          <w:rFonts w:ascii="Times New Roman" w:hAnsi="Times New Roman" w:cs="Times New Roman"/>
        </w:rPr>
        <w:t>f</w:t>
      </w:r>
      <w:r w:rsidRPr="00077A29" w:rsidR="004D718C">
        <w:rPr>
          <w:rFonts w:ascii="Times New Roman" w:hAnsi="Times New Roman" w:cs="Times New Roman"/>
        </w:rPr>
        <w:t xml:space="preserve">ood </w:t>
      </w:r>
      <w:r w:rsidR="00060C7F">
        <w:rPr>
          <w:rFonts w:ascii="Times New Roman" w:hAnsi="Times New Roman" w:cs="Times New Roman"/>
        </w:rPr>
        <w:t>a</w:t>
      </w:r>
      <w:r w:rsidRPr="00077A29" w:rsidR="004D718C">
        <w:rPr>
          <w:rFonts w:ascii="Times New Roman" w:hAnsi="Times New Roman" w:cs="Times New Roman"/>
        </w:rPr>
        <w:t>uthorities (SFAs)</w:t>
      </w:r>
      <w:r w:rsidRPr="00077A29" w:rsidR="002C66A7">
        <w:rPr>
          <w:rFonts w:ascii="Times New Roman" w:hAnsi="Times New Roman" w:cs="Times New Roman"/>
        </w:rPr>
        <w:t xml:space="preserve"> </w:t>
      </w:r>
      <w:r w:rsidRPr="00077A29" w:rsidR="004D718C">
        <w:rPr>
          <w:rFonts w:ascii="Times New Roman" w:hAnsi="Times New Roman" w:cs="Times New Roman"/>
        </w:rPr>
        <w:t xml:space="preserve">and </w:t>
      </w:r>
      <w:r w:rsidRPr="00077A29">
        <w:rPr>
          <w:rFonts w:ascii="Times New Roman" w:hAnsi="Times New Roman" w:cs="Times New Roman"/>
        </w:rPr>
        <w:t>(</w:t>
      </w:r>
      <w:r w:rsidR="00A1739B">
        <w:rPr>
          <w:rFonts w:ascii="Times New Roman" w:hAnsi="Times New Roman" w:cs="Times New Roman"/>
        </w:rPr>
        <w:t>2</w:t>
      </w:r>
      <w:r w:rsidRPr="00077A29">
        <w:rPr>
          <w:rFonts w:ascii="Times New Roman" w:hAnsi="Times New Roman" w:cs="Times New Roman"/>
        </w:rPr>
        <w:t xml:space="preserve">) </w:t>
      </w:r>
      <w:r w:rsidRPr="00077A29" w:rsidR="004D718C">
        <w:rPr>
          <w:rFonts w:ascii="Times New Roman" w:hAnsi="Times New Roman" w:cs="Times New Roman"/>
        </w:rPr>
        <w:t>State Distributing A</w:t>
      </w:r>
      <w:r w:rsidRPr="00077A29" w:rsidR="00C84AD3">
        <w:rPr>
          <w:rFonts w:ascii="Times New Roman" w:hAnsi="Times New Roman" w:cs="Times New Roman"/>
        </w:rPr>
        <w:t>gencies</w:t>
      </w:r>
      <w:r w:rsidRPr="00077A29" w:rsidR="004D718C">
        <w:rPr>
          <w:rFonts w:ascii="Times New Roman" w:hAnsi="Times New Roman" w:cs="Times New Roman"/>
        </w:rPr>
        <w:t xml:space="preserve"> (SDAs)</w:t>
      </w:r>
      <w:r w:rsidRPr="00077A29" w:rsidR="00C84AD3">
        <w:rPr>
          <w:rFonts w:ascii="Times New Roman" w:hAnsi="Times New Roman" w:cs="Times New Roman"/>
        </w:rPr>
        <w:t xml:space="preserve">.  </w:t>
      </w:r>
    </w:p>
    <w:p w:rsidRPr="00077A29" w:rsidR="00077A29" w:rsidP="009A29DF" w:rsidRDefault="00077A29" w14:paraId="58CAF60E" w14:textId="2D8085FB">
      <w:pPr>
        <w:rPr>
          <w:rFonts w:ascii="Times New Roman" w:hAnsi="Times New Roman" w:cs="Times New Roman"/>
        </w:rPr>
      </w:pPr>
      <w:r w:rsidRPr="00077A29">
        <w:rPr>
          <w:rFonts w:ascii="Times New Roman" w:hAnsi="Times New Roman" w:cs="Times New Roman"/>
          <w:szCs w:val="24"/>
          <w:lang w:eastAsia="ko-KR"/>
        </w:rPr>
        <w:t xml:space="preserve">The </w:t>
      </w:r>
      <w:r>
        <w:rPr>
          <w:rFonts w:ascii="Times New Roman" w:hAnsi="Times New Roman" w:cs="Times New Roman"/>
          <w:szCs w:val="24"/>
          <w:lang w:eastAsia="ko-KR"/>
        </w:rPr>
        <w:t xml:space="preserve">universe of SFAs </w:t>
      </w:r>
      <w:r w:rsidRPr="00077A29">
        <w:rPr>
          <w:rFonts w:ascii="Times New Roman" w:hAnsi="Times New Roman" w:cs="Times New Roman"/>
          <w:szCs w:val="24"/>
          <w:lang w:eastAsia="ko-KR"/>
        </w:rPr>
        <w:t xml:space="preserve">includes all </w:t>
      </w:r>
      <w:r w:rsidR="00214C49">
        <w:rPr>
          <w:rFonts w:ascii="Times New Roman" w:hAnsi="Times New Roman"/>
          <w:sz w:val="22"/>
        </w:rPr>
        <w:t>15,190</w:t>
      </w:r>
      <w:r w:rsidR="00CA4368">
        <w:rPr>
          <w:rFonts w:ascii="Times New Roman" w:hAnsi="Times New Roman" w:cs="Times New Roman"/>
          <w:szCs w:val="24"/>
          <w:lang w:eastAsia="ko-KR"/>
        </w:rPr>
        <w:t xml:space="preserve"> </w:t>
      </w:r>
      <w:r w:rsidRPr="00077A29">
        <w:rPr>
          <w:rFonts w:ascii="Times New Roman" w:hAnsi="Times New Roman" w:cs="Times New Roman"/>
          <w:szCs w:val="24"/>
          <w:lang w:eastAsia="ko-KR"/>
        </w:rPr>
        <w:t>public SFAs in the contiguous 48 States and the District of Columbia, excluding SFAs that serve only charter schools.</w:t>
      </w:r>
      <w:r>
        <w:rPr>
          <w:rFonts w:ascii="Times New Roman" w:hAnsi="Times New Roman" w:cs="Times New Roman"/>
          <w:szCs w:val="24"/>
          <w:lang w:eastAsia="ko-KR"/>
        </w:rPr>
        <w:t xml:space="preserve"> </w:t>
      </w:r>
      <w:r w:rsidRPr="007013E5" w:rsidR="003F3463">
        <w:rPr>
          <w:rFonts w:ascii="Times New Roman" w:hAnsi="Times New Roman" w:cs="Times New Roman"/>
          <w:szCs w:val="24"/>
          <w:lang w:eastAsia="ko-KR"/>
        </w:rPr>
        <w:t xml:space="preserve">FNS set precision requirements of </w:t>
      </w:r>
      <w:r w:rsidRPr="007013E5" w:rsidR="003F3463">
        <w:rPr>
          <w:rFonts w:ascii="Times New Roman" w:hAnsi="Times New Roman" w:cs="Times New Roman" w:eastAsiaTheme="minorEastAsia"/>
          <w:szCs w:val="24"/>
        </w:rPr>
        <w:t>±</w:t>
      </w:r>
      <w:r w:rsidRPr="007013E5" w:rsidR="003F3463">
        <w:rPr>
          <w:rFonts w:ascii="Times New Roman" w:hAnsi="Times New Roman" w:cs="Times New Roman"/>
          <w:szCs w:val="24"/>
          <w:lang w:eastAsia="ko-KR"/>
        </w:rPr>
        <w:t xml:space="preserve">5 percent for national and </w:t>
      </w:r>
      <w:r w:rsidRPr="007013E5" w:rsidR="003F3463">
        <w:rPr>
          <w:rFonts w:ascii="Times New Roman" w:hAnsi="Times New Roman" w:cs="Times New Roman" w:eastAsiaTheme="minorEastAsia"/>
          <w:szCs w:val="24"/>
        </w:rPr>
        <w:t>±</w:t>
      </w:r>
      <w:r w:rsidRPr="007013E5" w:rsidR="003F3463">
        <w:rPr>
          <w:rFonts w:ascii="Times New Roman" w:hAnsi="Times New Roman" w:cs="Times New Roman"/>
          <w:szCs w:val="24"/>
          <w:lang w:eastAsia="ko-KR"/>
        </w:rPr>
        <w:t>10 percent for subgroup estimates.</w:t>
      </w:r>
      <w:r w:rsidRPr="007013E5" w:rsidR="003F3463">
        <w:rPr>
          <w:rFonts w:ascii="Times New Roman" w:hAnsi="Times New Roman" w:cs="Times New Roman"/>
        </w:rPr>
        <w:t xml:space="preserve"> </w:t>
      </w:r>
      <w:r w:rsidRPr="00077A29">
        <w:rPr>
          <w:rFonts w:ascii="Times New Roman" w:hAnsi="Times New Roman" w:cs="Times New Roman"/>
          <w:lang w:eastAsia="ko-KR"/>
        </w:rPr>
        <w:t>Our proposed sample design</w:t>
      </w:r>
      <w:r w:rsidR="00CA4368">
        <w:rPr>
          <w:rFonts w:ascii="Times New Roman" w:hAnsi="Times New Roman" w:cs="Times New Roman"/>
          <w:lang w:eastAsia="ko-KR"/>
        </w:rPr>
        <w:t xml:space="preserve"> </w:t>
      </w:r>
      <w:r w:rsidR="00060C7F">
        <w:rPr>
          <w:rFonts w:ascii="Times New Roman" w:hAnsi="Times New Roman" w:cs="Times New Roman"/>
          <w:lang w:eastAsia="ko-KR"/>
        </w:rPr>
        <w:t xml:space="preserve">that </w:t>
      </w:r>
      <w:r w:rsidR="00CA4368">
        <w:rPr>
          <w:rFonts w:ascii="Times New Roman" w:hAnsi="Times New Roman" w:cs="Times New Roman"/>
          <w:lang w:eastAsia="ko-KR"/>
        </w:rPr>
        <w:t>achieves these targets</w:t>
      </w:r>
      <w:r w:rsidRPr="00077A29">
        <w:rPr>
          <w:rFonts w:ascii="Times New Roman" w:hAnsi="Times New Roman" w:cs="Times New Roman"/>
          <w:lang w:eastAsia="ko-KR"/>
        </w:rPr>
        <w:t xml:space="preserve"> is similar to that of SFPS-III but accounts for design effects due to nonresponse adjustments and oversampl</w:t>
      </w:r>
      <w:r w:rsidR="00ED3833">
        <w:rPr>
          <w:rFonts w:ascii="Times New Roman" w:hAnsi="Times New Roman" w:cs="Times New Roman"/>
          <w:lang w:eastAsia="ko-KR"/>
        </w:rPr>
        <w:t>ing</w:t>
      </w:r>
      <w:r w:rsidRPr="00077A29">
        <w:rPr>
          <w:rFonts w:ascii="Times New Roman" w:hAnsi="Times New Roman" w:cs="Times New Roman"/>
          <w:lang w:eastAsia="ko-KR"/>
        </w:rPr>
        <w:t xml:space="preserve"> SFAs that use FSMCs to achieve the </w:t>
      </w:r>
      <w:r w:rsidRPr="00077A29">
        <w:rPr>
          <w:rFonts w:ascii="Times New Roman" w:hAnsi="Times New Roman" w:cs="Times New Roman" w:eastAsiaTheme="minorEastAsia"/>
          <w:szCs w:val="24"/>
        </w:rPr>
        <w:t>±</w:t>
      </w:r>
      <w:r w:rsidRPr="00077A29">
        <w:rPr>
          <w:rFonts w:ascii="Times New Roman" w:hAnsi="Times New Roman" w:cs="Times New Roman"/>
          <w:szCs w:val="24"/>
          <w:lang w:eastAsia="ko-KR"/>
        </w:rPr>
        <w:t xml:space="preserve">10 percent </w:t>
      </w:r>
      <w:r w:rsidRPr="00077A29">
        <w:rPr>
          <w:rFonts w:ascii="Times New Roman" w:hAnsi="Times New Roman" w:cs="Times New Roman"/>
          <w:lang w:eastAsia="ko-KR"/>
        </w:rPr>
        <w:t xml:space="preserve">precision target for this subgroup. </w:t>
      </w:r>
      <w:r w:rsidR="009A29DF">
        <w:rPr>
          <w:rFonts w:ascii="Times New Roman" w:hAnsi="Times New Roman" w:cs="Times New Roman"/>
          <w:lang w:eastAsia="ko-KR"/>
        </w:rPr>
        <w:t xml:space="preserve">About 20 percent of SFAs use FSMCs, but this subgroup needs to comprise 25 percent of the sample to reach the </w:t>
      </w:r>
      <w:r w:rsidRPr="00077A29" w:rsidR="009A29DF">
        <w:rPr>
          <w:rFonts w:ascii="Times New Roman" w:hAnsi="Times New Roman" w:cs="Times New Roman" w:eastAsiaTheme="minorEastAsia"/>
          <w:szCs w:val="24"/>
        </w:rPr>
        <w:t>±</w:t>
      </w:r>
      <w:r w:rsidRPr="00077A29" w:rsidR="009A29DF">
        <w:rPr>
          <w:rFonts w:ascii="Times New Roman" w:hAnsi="Times New Roman" w:cs="Times New Roman"/>
          <w:szCs w:val="24"/>
          <w:lang w:eastAsia="ko-KR"/>
        </w:rPr>
        <w:t xml:space="preserve">10 percent </w:t>
      </w:r>
      <w:r w:rsidR="009A29DF">
        <w:rPr>
          <w:rFonts w:ascii="Times New Roman" w:hAnsi="Times New Roman" w:cs="Times New Roman"/>
          <w:lang w:eastAsia="ko-KR"/>
        </w:rPr>
        <w:t>precision target.</w:t>
      </w:r>
      <w:r w:rsidR="009A29DF">
        <w:rPr>
          <w:rStyle w:val="FootnoteReference"/>
          <w:rFonts w:ascii="Times New Roman" w:hAnsi="Times New Roman" w:cs="Times New Roman"/>
          <w:lang w:eastAsia="ko-KR"/>
        </w:rPr>
        <w:footnoteReference w:id="1"/>
      </w:r>
      <w:r w:rsidR="009A29DF">
        <w:rPr>
          <w:rFonts w:ascii="Times New Roman" w:hAnsi="Times New Roman" w:cs="Times New Roman"/>
          <w:lang w:eastAsia="ko-KR"/>
        </w:rPr>
        <w:t xml:space="preserve"> </w:t>
      </w:r>
      <w:r w:rsidRPr="00077A29">
        <w:rPr>
          <w:rFonts w:ascii="Times New Roman" w:hAnsi="Times New Roman" w:cs="Times New Roman"/>
          <w:lang w:eastAsia="ko-KR"/>
        </w:rPr>
        <w:lastRenderedPageBreak/>
        <w:t xml:space="preserve">The sample will be stratified by whether an SFA uses </w:t>
      </w:r>
      <w:r w:rsidR="00060C7F">
        <w:rPr>
          <w:rFonts w:ascii="Times New Roman" w:hAnsi="Times New Roman" w:cs="Times New Roman"/>
          <w:lang w:eastAsia="ko-KR"/>
        </w:rPr>
        <w:t xml:space="preserve">an </w:t>
      </w:r>
      <w:r w:rsidRPr="00077A29">
        <w:rPr>
          <w:rFonts w:ascii="Times New Roman" w:hAnsi="Times New Roman" w:cs="Times New Roman"/>
          <w:lang w:eastAsia="ko-KR"/>
        </w:rPr>
        <w:t>FSMC</w:t>
      </w:r>
      <w:r w:rsidR="00060C7F">
        <w:rPr>
          <w:rFonts w:ascii="Times New Roman" w:hAnsi="Times New Roman" w:cs="Times New Roman"/>
          <w:lang w:eastAsia="ko-KR"/>
        </w:rPr>
        <w:t>,</w:t>
      </w:r>
      <w:r w:rsidRPr="00077A29">
        <w:rPr>
          <w:rFonts w:ascii="Times New Roman" w:hAnsi="Times New Roman" w:cs="Times New Roman"/>
          <w:lang w:eastAsia="ko-KR"/>
        </w:rPr>
        <w:t xml:space="preserve"> and SFAs that use FSMCs will be oversampled.</w:t>
      </w:r>
      <w:r>
        <w:rPr>
          <w:rFonts w:ascii="Times New Roman" w:hAnsi="Times New Roman" w:cs="Times New Roman"/>
          <w:lang w:eastAsia="ko-KR"/>
        </w:rPr>
        <w:t xml:space="preserve"> </w:t>
      </w:r>
      <w:r w:rsidRPr="00077A29">
        <w:rPr>
          <w:rFonts w:ascii="Times New Roman" w:hAnsi="Times New Roman" w:cs="Times New Roman"/>
          <w:lang w:eastAsia="ko-KR"/>
        </w:rPr>
        <w:t>A sample size of 420 SFAs will achieve the precision targets</w:t>
      </w:r>
      <w:r w:rsidR="00ED3833">
        <w:rPr>
          <w:rFonts w:ascii="Times New Roman" w:hAnsi="Times New Roman" w:cs="Times New Roman"/>
          <w:lang w:eastAsia="ko-KR"/>
        </w:rPr>
        <w:t xml:space="preserve"> of ±5 percent for national estimates and ±10 percent for subgroup estimates</w:t>
      </w:r>
      <w:r w:rsidR="00073FAA">
        <w:rPr>
          <w:rFonts w:ascii="Times New Roman" w:hAnsi="Times New Roman" w:cs="Times New Roman"/>
          <w:lang w:eastAsia="ko-KR"/>
        </w:rPr>
        <w:t>, as discussed in Section B.2</w:t>
      </w:r>
      <w:r w:rsidRPr="00077A29">
        <w:rPr>
          <w:rFonts w:ascii="Times New Roman" w:hAnsi="Times New Roman" w:cs="Times New Roman"/>
          <w:lang w:eastAsia="ko-KR"/>
        </w:rPr>
        <w:t>.</w:t>
      </w:r>
      <w:r w:rsidR="00ED3833">
        <w:rPr>
          <w:rStyle w:val="FootnoteReference"/>
          <w:rFonts w:ascii="Times New Roman" w:hAnsi="Times New Roman" w:cs="Times New Roman"/>
          <w:lang w:eastAsia="ko-KR"/>
        </w:rPr>
        <w:footnoteReference w:id="2"/>
      </w:r>
      <w:r w:rsidRPr="00077A29">
        <w:rPr>
          <w:rFonts w:ascii="Times New Roman" w:hAnsi="Times New Roman" w:cs="Times New Roman"/>
          <w:lang w:eastAsia="ko-KR"/>
        </w:rPr>
        <w:t xml:space="preserve"> To reduce SFA burden and produce national estimates of food purchases, the sample of SFAs will be divided into four equally size</w:t>
      </w:r>
      <w:r w:rsidR="00060C7F">
        <w:rPr>
          <w:rFonts w:ascii="Times New Roman" w:hAnsi="Times New Roman" w:cs="Times New Roman"/>
          <w:lang w:eastAsia="ko-KR"/>
        </w:rPr>
        <w:t>d</w:t>
      </w:r>
      <w:r w:rsidRPr="00077A29">
        <w:rPr>
          <w:rFonts w:ascii="Times New Roman" w:hAnsi="Times New Roman" w:cs="Times New Roman"/>
          <w:lang w:eastAsia="ko-KR"/>
        </w:rPr>
        <w:t xml:space="preserve"> groups and asked to provide food purchase data for one quarter of S</w:t>
      </w:r>
      <w:r w:rsidR="00CE17C2">
        <w:rPr>
          <w:rFonts w:ascii="Times New Roman" w:hAnsi="Times New Roman" w:cs="Times New Roman"/>
          <w:lang w:eastAsia="ko-KR"/>
        </w:rPr>
        <w:t>chool Year (S</w:t>
      </w:r>
      <w:r w:rsidRPr="00077A29">
        <w:rPr>
          <w:rFonts w:ascii="Times New Roman" w:hAnsi="Times New Roman" w:cs="Times New Roman"/>
          <w:lang w:eastAsia="ko-KR"/>
        </w:rPr>
        <w:t>Y</w:t>
      </w:r>
      <w:r w:rsidR="00CE17C2">
        <w:rPr>
          <w:rFonts w:ascii="Times New Roman" w:hAnsi="Times New Roman" w:cs="Times New Roman"/>
          <w:lang w:eastAsia="ko-KR"/>
        </w:rPr>
        <w:t>)</w:t>
      </w:r>
      <w:r w:rsidRPr="00077A29">
        <w:rPr>
          <w:rFonts w:ascii="Times New Roman" w:hAnsi="Times New Roman" w:cs="Times New Roman"/>
          <w:lang w:eastAsia="ko-KR"/>
        </w:rPr>
        <w:t xml:space="preserve"> </w:t>
      </w:r>
      <w:r w:rsidR="00993F00">
        <w:rPr>
          <w:rFonts w:ascii="Times New Roman" w:hAnsi="Times New Roman" w:cs="Times New Roman"/>
          <w:lang w:eastAsia="ko-KR"/>
        </w:rPr>
        <w:t>2021-2022</w:t>
      </w:r>
      <w:r w:rsidRPr="00077A29">
        <w:rPr>
          <w:rFonts w:ascii="Times New Roman" w:hAnsi="Times New Roman" w:cs="Times New Roman"/>
          <w:lang w:eastAsia="ko-KR"/>
        </w:rPr>
        <w:t>. The results will be aggregated to produce annual estimates of food purchases.</w:t>
      </w:r>
    </w:p>
    <w:p w:rsidRPr="00316509" w:rsidR="00316509" w:rsidP="009A29DF" w:rsidRDefault="00316509" w14:paraId="10F042C5" w14:textId="2D7ABBA4">
      <w:pPr>
        <w:pStyle w:val="L1-FlLSp12"/>
        <w:tabs>
          <w:tab w:val="clear" w:pos="1152"/>
          <w:tab w:val="left" w:pos="720"/>
        </w:tabs>
        <w:spacing w:line="480" w:lineRule="auto"/>
        <w:rPr>
          <w:rFonts w:ascii="Times New Roman" w:hAnsi="Times New Roman" w:eastAsiaTheme="minorEastAsia"/>
        </w:rPr>
      </w:pPr>
      <w:r>
        <w:rPr>
          <w:rFonts w:asciiTheme="minorHAnsi" w:hAnsiTheme="minorHAnsi" w:cstheme="minorHAnsi"/>
        </w:rPr>
        <w:tab/>
      </w:r>
      <w:r w:rsidRPr="00316509">
        <w:rPr>
          <w:rFonts w:ascii="Times New Roman" w:hAnsi="Times New Roman"/>
        </w:rPr>
        <w:t xml:space="preserve">Our SFA frame will be based on the most recently available FNS-742 Verification </w:t>
      </w:r>
      <w:r w:rsidR="00CE17C2">
        <w:rPr>
          <w:rFonts w:ascii="Times New Roman" w:hAnsi="Times New Roman"/>
        </w:rPr>
        <w:t xml:space="preserve">Summary </w:t>
      </w:r>
      <w:r w:rsidRPr="00316509">
        <w:rPr>
          <w:rFonts w:ascii="Times New Roman" w:hAnsi="Times New Roman"/>
        </w:rPr>
        <w:t xml:space="preserve">Report data that we will obtain from FNS. </w:t>
      </w:r>
      <w:r w:rsidRPr="00316509">
        <w:rPr>
          <w:rFonts w:ascii="Times New Roman" w:hAnsi="Times New Roman"/>
          <w:bCs/>
        </w:rPr>
        <w:t>This data file contains the list of SFAs currently participating in the NSLP and the SBP, as well as SFA-level information such as type of school and number of schools and students. We will supplement t</w:t>
      </w:r>
      <w:r w:rsidRPr="00316509">
        <w:rPr>
          <w:rFonts w:ascii="Times New Roman" w:hAnsi="Times New Roman"/>
        </w:rPr>
        <w:t>his frame with the Common Core of Data (CCD) “Local Education Agency (School District) Universe Survey” from the National Center for Education Statistics (NCES) that contain</w:t>
      </w:r>
      <w:r w:rsidR="00CE17C2">
        <w:rPr>
          <w:rFonts w:ascii="Times New Roman" w:hAnsi="Times New Roman"/>
        </w:rPr>
        <w:t>s</w:t>
      </w:r>
      <w:r w:rsidRPr="00316509">
        <w:rPr>
          <w:rFonts w:ascii="Times New Roman" w:hAnsi="Times New Roman"/>
        </w:rPr>
        <w:t xml:space="preserve"> additional information about districts, including urbanicity. </w:t>
      </w:r>
      <w:r w:rsidRPr="00316509">
        <w:rPr>
          <w:rFonts w:ascii="Times New Roman" w:hAnsi="Times New Roman" w:eastAsiaTheme="minorEastAsia"/>
        </w:rPr>
        <w:t>We plan to stratify by whether an SFA uses a FSMC and to oversample FSMC SFAs</w:t>
      </w:r>
      <w:r w:rsidR="008A029D">
        <w:rPr>
          <w:rFonts w:ascii="Times New Roman" w:hAnsi="Times New Roman" w:eastAsiaTheme="minorEastAsia"/>
        </w:rPr>
        <w:t xml:space="preserve"> </w:t>
      </w:r>
      <w:r w:rsidRPr="00077A29" w:rsidR="008A029D">
        <w:rPr>
          <w:rFonts w:ascii="Times New Roman" w:hAnsi="Times New Roman"/>
          <w:lang w:eastAsia="ko-KR"/>
        </w:rPr>
        <w:t xml:space="preserve">to achieve the </w:t>
      </w:r>
      <w:r w:rsidRPr="00077A29" w:rsidR="008A029D">
        <w:rPr>
          <w:rFonts w:ascii="Times New Roman" w:hAnsi="Times New Roman" w:eastAsiaTheme="minorEastAsia"/>
          <w:szCs w:val="24"/>
        </w:rPr>
        <w:t>±</w:t>
      </w:r>
      <w:r w:rsidRPr="00077A29" w:rsidR="008A029D">
        <w:rPr>
          <w:rFonts w:ascii="Times New Roman" w:hAnsi="Times New Roman"/>
          <w:szCs w:val="24"/>
          <w:lang w:eastAsia="ko-KR"/>
        </w:rPr>
        <w:t xml:space="preserve">10 percent </w:t>
      </w:r>
      <w:r w:rsidRPr="00077A29" w:rsidR="008A029D">
        <w:rPr>
          <w:rFonts w:ascii="Times New Roman" w:hAnsi="Times New Roman"/>
          <w:lang w:eastAsia="ko-KR"/>
        </w:rPr>
        <w:t>precision target for this subgroup</w:t>
      </w:r>
      <w:r w:rsidRPr="00316509">
        <w:rPr>
          <w:rFonts w:ascii="Times New Roman" w:hAnsi="Times New Roman" w:eastAsiaTheme="minorEastAsia"/>
        </w:rPr>
        <w:t xml:space="preserve">. We will identify SFAs that use FSMCs via </w:t>
      </w:r>
      <w:r w:rsidR="00CE17C2">
        <w:rPr>
          <w:rFonts w:ascii="Times New Roman" w:hAnsi="Times New Roman" w:eastAsiaTheme="minorEastAsia"/>
        </w:rPr>
        <w:t xml:space="preserve">data from </w:t>
      </w:r>
      <w:r w:rsidRPr="00316509">
        <w:rPr>
          <w:rFonts w:ascii="Times New Roman" w:hAnsi="Times New Roman" w:eastAsiaTheme="minorEastAsia"/>
        </w:rPr>
        <w:t>the FNS-640 Administrative Review Report Form</w:t>
      </w:r>
      <w:r w:rsidR="00656C37">
        <w:rPr>
          <w:rFonts w:ascii="Times New Roman" w:hAnsi="Times New Roman" w:eastAsiaTheme="minorEastAsia"/>
        </w:rPr>
        <w:t xml:space="preserve"> and/or the most recently complete Farm to School Census Survey</w:t>
      </w:r>
      <w:r w:rsidRPr="00316509">
        <w:rPr>
          <w:rFonts w:ascii="Times New Roman" w:hAnsi="Times New Roman" w:eastAsiaTheme="minorEastAsia"/>
        </w:rPr>
        <w:t xml:space="preserve">. Within each FSMC stratum, </w:t>
      </w:r>
      <w:r w:rsidRPr="00316509">
        <w:rPr>
          <w:rFonts w:ascii="Times New Roman" w:hAnsi="Times New Roman"/>
        </w:rPr>
        <w:t xml:space="preserve">we will use a probability proportionate to size </w:t>
      </w:r>
      <w:r w:rsidR="00C3368C">
        <w:rPr>
          <w:rFonts w:ascii="Times New Roman" w:hAnsi="Times New Roman"/>
        </w:rPr>
        <w:t xml:space="preserve">(PPS) </w:t>
      </w:r>
      <w:r w:rsidRPr="00316509">
        <w:rPr>
          <w:rFonts w:ascii="Times New Roman" w:hAnsi="Times New Roman"/>
        </w:rPr>
        <w:t>sample, with enrollment as the measure of size. Use of simple random sampling would place equal weight on all SFAs and yield many small SFAs. Use of PPS sampling is statistically efficient and ensures that large SFAs are included in the sample.</w:t>
      </w:r>
    </w:p>
    <w:p w:rsidRPr="00316509" w:rsidR="00316509" w:rsidP="009A29DF" w:rsidRDefault="00316509" w14:paraId="6C3E4433" w14:textId="648FF421">
      <w:pPr>
        <w:autoSpaceDE w:val="0"/>
        <w:autoSpaceDN w:val="0"/>
        <w:adjustRightInd w:val="0"/>
        <w:rPr>
          <w:rFonts w:ascii="Times New Roman" w:hAnsi="Times New Roman" w:cs="Times New Roman"/>
          <w:szCs w:val="24"/>
        </w:rPr>
      </w:pPr>
      <w:r w:rsidRPr="00316509">
        <w:rPr>
          <w:rFonts w:ascii="Times New Roman" w:hAnsi="Times New Roman" w:cs="Times New Roman"/>
          <w:szCs w:val="24"/>
        </w:rPr>
        <w:lastRenderedPageBreak/>
        <w:t>We will divide the SFA sample into four equal-sized quarters as was done in the previous three</w:t>
      </w:r>
      <w:r w:rsidR="000A3ED0">
        <w:rPr>
          <w:rFonts w:ascii="Times New Roman" w:hAnsi="Times New Roman" w:cs="Times New Roman"/>
          <w:szCs w:val="24"/>
        </w:rPr>
        <w:t xml:space="preserve"> School Food Purchase</w:t>
      </w:r>
      <w:r w:rsidRPr="00316509">
        <w:rPr>
          <w:rFonts w:ascii="Times New Roman" w:hAnsi="Times New Roman" w:cs="Times New Roman"/>
          <w:szCs w:val="24"/>
        </w:rPr>
        <w:t xml:space="preserve"> studies. Each quarter, we will collect three months of data from </w:t>
      </w:r>
      <w:r w:rsidR="00CE17C2">
        <w:rPr>
          <w:rFonts w:ascii="Times New Roman" w:hAnsi="Times New Roman" w:cs="Times New Roman"/>
          <w:szCs w:val="24"/>
        </w:rPr>
        <w:t>one</w:t>
      </w:r>
      <w:r w:rsidRPr="00316509">
        <w:rPr>
          <w:rFonts w:ascii="Times New Roman" w:hAnsi="Times New Roman" w:cs="Times New Roman"/>
          <w:szCs w:val="24"/>
        </w:rPr>
        <w:t xml:space="preserve"> quarter of the sample. We will weight these four quarterly samples to be one-fourth each of the full estimate, and put the quarters back together to provide estimates for the full year. This approach has the advantage of imposing a low burden on the respondents and ensures </w:t>
      </w:r>
      <w:r w:rsidRPr="00316509">
        <w:rPr>
          <w:rFonts w:ascii="Times New Roman" w:hAnsi="Times New Roman" w:cs="Times New Roman" w:eastAsiaTheme="minorEastAsia"/>
          <w:szCs w:val="24"/>
        </w:rPr>
        <w:t>that FNS gains an estimate of food purchases that is not biased by any seasonal effects</w:t>
      </w:r>
      <w:r w:rsidRPr="00316509">
        <w:rPr>
          <w:rFonts w:ascii="Times New Roman" w:hAnsi="Times New Roman" w:cs="Times New Roman"/>
          <w:szCs w:val="24"/>
        </w:rPr>
        <w:t xml:space="preserve">. Keeping the burden low is paramount to achieving a high response rate.  </w:t>
      </w:r>
    </w:p>
    <w:p w:rsidRPr="007013E5" w:rsidR="00316509" w:rsidP="009A29DF" w:rsidRDefault="00927040" w14:paraId="777BE4E1" w14:textId="7F7673FD">
      <w:pPr>
        <w:rPr>
          <w:rFonts w:ascii="Times New Roman" w:hAnsi="Times New Roman" w:cs="Times New Roman"/>
        </w:rPr>
      </w:pPr>
      <w:r w:rsidRPr="007013E5">
        <w:rPr>
          <w:rFonts w:ascii="Times New Roman" w:hAnsi="Times New Roman" w:cs="Times New Roman"/>
          <w:lang w:eastAsia="ko-KR"/>
        </w:rPr>
        <w:t xml:space="preserve"> </w:t>
      </w:r>
      <w:r w:rsidRPr="007013E5">
        <w:rPr>
          <w:rFonts w:ascii="Times New Roman" w:hAnsi="Times New Roman" w:cs="Times New Roman"/>
        </w:rPr>
        <w:t xml:space="preserve">The universe for </w:t>
      </w:r>
      <w:r w:rsidRPr="007013E5" w:rsidR="00316509">
        <w:rPr>
          <w:rFonts w:ascii="Times New Roman" w:hAnsi="Times New Roman" w:cs="Times New Roman"/>
        </w:rPr>
        <w:t xml:space="preserve">SDAs </w:t>
      </w:r>
      <w:r w:rsidRPr="007013E5">
        <w:rPr>
          <w:rFonts w:ascii="Times New Roman" w:hAnsi="Times New Roman" w:cs="Times New Roman"/>
        </w:rPr>
        <w:t>includes all 48 contiguous states and the District of Columbia. SDAs will be included based on the SFAs selected. No statistical sampling will be used to select SDAs.</w:t>
      </w:r>
      <w:r w:rsidRPr="007013E5" w:rsidR="000E0C26">
        <w:rPr>
          <w:rFonts w:ascii="Times New Roman" w:hAnsi="Times New Roman" w:cs="Times New Roman"/>
        </w:rPr>
        <w:tab/>
      </w:r>
    </w:p>
    <w:p w:rsidRPr="001109CD" w:rsidR="00316509" w:rsidP="000E0C26" w:rsidRDefault="00316509" w14:paraId="48FFDBE4" w14:textId="7C929007">
      <w:pPr>
        <w:pStyle w:val="L1-FlLSp12"/>
        <w:tabs>
          <w:tab w:val="clear" w:pos="1152"/>
          <w:tab w:val="left" w:pos="720"/>
        </w:tabs>
        <w:spacing w:line="480" w:lineRule="auto"/>
        <w:rPr>
          <w:rFonts w:ascii="Times New Roman" w:hAnsi="Times New Roman"/>
          <w:b/>
        </w:rPr>
      </w:pPr>
      <w:r w:rsidRPr="001109CD">
        <w:rPr>
          <w:rFonts w:ascii="Times New Roman" w:hAnsi="Times New Roman"/>
          <w:b/>
        </w:rPr>
        <w:t>Expected Response Rates</w:t>
      </w:r>
    </w:p>
    <w:p w:rsidRPr="001109CD" w:rsidR="00773DEE" w:rsidP="009A29DF" w:rsidRDefault="00071CE5" w14:paraId="6E1704D3" w14:textId="30BC4BFA">
      <w:pPr>
        <w:pStyle w:val="L1-FlLSp12"/>
        <w:tabs>
          <w:tab w:val="clear" w:pos="1152"/>
          <w:tab w:val="left" w:pos="720"/>
        </w:tabs>
        <w:spacing w:line="480" w:lineRule="auto"/>
        <w:rPr>
          <w:rFonts w:ascii="Times New Roman" w:hAnsi="Times New Roman"/>
          <w:lang w:eastAsia="ko-KR"/>
        </w:rPr>
      </w:pPr>
      <w:r>
        <w:rPr>
          <w:rFonts w:ascii="Times New Roman" w:hAnsi="Times New Roman"/>
        </w:rPr>
        <w:tab/>
      </w:r>
      <w:r w:rsidRPr="001109CD" w:rsidR="006878BA">
        <w:rPr>
          <w:rFonts w:ascii="Times New Roman" w:hAnsi="Times New Roman"/>
        </w:rPr>
        <w:t xml:space="preserve">The </w:t>
      </w:r>
      <w:r w:rsidRPr="001109CD" w:rsidR="00DE76E0">
        <w:rPr>
          <w:rFonts w:ascii="Times New Roman" w:hAnsi="Times New Roman"/>
        </w:rPr>
        <w:t xml:space="preserve">expected response </w:t>
      </w:r>
      <w:r w:rsidRPr="001109CD" w:rsidR="007A38BD">
        <w:rPr>
          <w:rFonts w:ascii="Times New Roman" w:hAnsi="Times New Roman"/>
        </w:rPr>
        <w:t xml:space="preserve">rate </w:t>
      </w:r>
      <w:r w:rsidR="00D66458">
        <w:rPr>
          <w:rFonts w:ascii="Times New Roman" w:hAnsi="Times New Roman"/>
        </w:rPr>
        <w:t xml:space="preserve">for SFAs </w:t>
      </w:r>
      <w:r w:rsidRPr="001109CD" w:rsidR="006878BA">
        <w:rPr>
          <w:rFonts w:ascii="Times New Roman" w:hAnsi="Times New Roman"/>
        </w:rPr>
        <w:t>is 67 percent</w:t>
      </w:r>
      <w:r w:rsidRPr="001109CD" w:rsidR="000E0C26">
        <w:rPr>
          <w:rFonts w:ascii="Times New Roman" w:hAnsi="Times New Roman"/>
        </w:rPr>
        <w:t>, which is the response rate that was achieved</w:t>
      </w:r>
      <w:r w:rsidRPr="001109CD" w:rsidR="006878BA">
        <w:rPr>
          <w:rFonts w:ascii="Times New Roman" w:hAnsi="Times New Roman"/>
        </w:rPr>
        <w:t xml:space="preserve"> for SFPS-III</w:t>
      </w:r>
      <w:r w:rsidRPr="001109CD" w:rsidR="007A38BD">
        <w:rPr>
          <w:rFonts w:ascii="Times New Roman" w:hAnsi="Times New Roman"/>
        </w:rPr>
        <w:t xml:space="preserve">. </w:t>
      </w:r>
      <w:r w:rsidRPr="001109CD" w:rsidR="000E0C26">
        <w:rPr>
          <w:rFonts w:ascii="Times New Roman" w:hAnsi="Times New Roman"/>
        </w:rPr>
        <w:t xml:space="preserve">However, </w:t>
      </w:r>
      <w:r w:rsidR="00CD5882">
        <w:rPr>
          <w:rFonts w:ascii="Times New Roman" w:hAnsi="Times New Roman"/>
        </w:rPr>
        <w:t>67 percent is a conservative response rate</w:t>
      </w:r>
      <w:r w:rsidRPr="001109CD" w:rsidR="007A38BD">
        <w:rPr>
          <w:rFonts w:ascii="Times New Roman" w:hAnsi="Times New Roman"/>
        </w:rPr>
        <w:t xml:space="preserve"> due to the technological changes </w:t>
      </w:r>
      <w:r w:rsidR="00A1739B">
        <w:rPr>
          <w:rFonts w:ascii="Times New Roman" w:hAnsi="Times New Roman"/>
        </w:rPr>
        <w:t xml:space="preserve">over the past decade </w:t>
      </w:r>
      <w:r w:rsidRPr="001109CD" w:rsidR="007A38BD">
        <w:rPr>
          <w:rFonts w:ascii="Times New Roman" w:hAnsi="Times New Roman"/>
        </w:rPr>
        <w:t xml:space="preserve">that have made it less burdensome for SFAs to provide the requested data. </w:t>
      </w:r>
      <w:r w:rsidRPr="00CD5882" w:rsidR="00D66458">
        <w:rPr>
          <w:rFonts w:ascii="Times New Roman" w:hAnsi="Times New Roman"/>
        </w:rPr>
        <w:t xml:space="preserve">In addition, we will follow </w:t>
      </w:r>
      <w:r w:rsidR="00CD5882">
        <w:rPr>
          <w:rFonts w:ascii="Times New Roman" w:hAnsi="Times New Roman"/>
        </w:rPr>
        <w:t>an established process for contacting SFAs</w:t>
      </w:r>
      <w:r w:rsidRPr="00CD5882" w:rsidR="00D66458">
        <w:rPr>
          <w:rFonts w:ascii="Times New Roman" w:hAnsi="Times New Roman"/>
        </w:rPr>
        <w:t>, beginning with notifying key stakeholders about the study through well-established FNS communication channels</w:t>
      </w:r>
      <w:r w:rsidR="00A1739B">
        <w:rPr>
          <w:rFonts w:ascii="Times New Roman" w:hAnsi="Times New Roman"/>
        </w:rPr>
        <w:t xml:space="preserve"> used for other studies</w:t>
      </w:r>
      <w:r w:rsidRPr="00CD5882" w:rsidR="00D66458">
        <w:rPr>
          <w:rFonts w:ascii="Times New Roman" w:hAnsi="Times New Roman"/>
        </w:rPr>
        <w:t xml:space="preserve">, then offering a user-friendly </w:t>
      </w:r>
      <w:r w:rsidR="00CD5882">
        <w:rPr>
          <w:rFonts w:ascii="Times New Roman" w:hAnsi="Times New Roman"/>
        </w:rPr>
        <w:t xml:space="preserve">study website and technical assistance, and conducting nonresponse follow-up via email reminders and telephone calls. </w:t>
      </w:r>
      <w:r w:rsidR="00A1739B">
        <w:rPr>
          <w:rFonts w:ascii="Times New Roman" w:hAnsi="Times New Roman"/>
        </w:rPr>
        <w:t xml:space="preserve">We will also obtain letters of support from two key national professional associations that are prominent in the school nutrition community: the School Nutrition Association and the American Commodity Distribution Association. </w:t>
      </w:r>
      <w:r w:rsidRPr="00CD5882" w:rsidR="007A38BD">
        <w:rPr>
          <w:rFonts w:ascii="Times New Roman" w:hAnsi="Times New Roman"/>
        </w:rPr>
        <w:t xml:space="preserve">To allow for nonresponse, </w:t>
      </w:r>
      <w:r w:rsidRPr="00CD5882" w:rsidR="001F0BDB">
        <w:rPr>
          <w:rFonts w:ascii="Times New Roman" w:hAnsi="Times New Roman"/>
        </w:rPr>
        <w:t xml:space="preserve">a total of </w:t>
      </w:r>
      <w:r w:rsidRPr="00CD5882" w:rsidR="007A38BD">
        <w:rPr>
          <w:rFonts w:ascii="Times New Roman" w:hAnsi="Times New Roman"/>
        </w:rPr>
        <w:t>630 SFAs</w:t>
      </w:r>
      <w:r w:rsidRPr="00CD5882" w:rsidR="001F0BDB">
        <w:rPr>
          <w:rFonts w:ascii="Times New Roman" w:hAnsi="Times New Roman"/>
        </w:rPr>
        <w:t xml:space="preserve"> will be sampled with a </w:t>
      </w:r>
      <w:r w:rsidRPr="00CD5882" w:rsidR="007A38BD">
        <w:rPr>
          <w:rFonts w:ascii="Times New Roman" w:hAnsi="Times New Roman"/>
          <w:lang w:eastAsia="ko-KR"/>
        </w:rPr>
        <w:t>replacement</w:t>
      </w:r>
      <w:r w:rsidRPr="001109CD" w:rsidR="007A38BD">
        <w:rPr>
          <w:rFonts w:ascii="Times New Roman" w:hAnsi="Times New Roman"/>
          <w:lang w:eastAsia="ko-KR"/>
        </w:rPr>
        <w:t xml:space="preserve"> sample of 10 percent as backup</w:t>
      </w:r>
      <w:r w:rsidRPr="001109CD" w:rsidR="001F0BDB">
        <w:rPr>
          <w:rFonts w:ascii="Times New Roman" w:hAnsi="Times New Roman"/>
          <w:lang w:eastAsia="ko-KR"/>
        </w:rPr>
        <w:t>,</w:t>
      </w:r>
      <w:r w:rsidRPr="001109CD" w:rsidR="007A38BD">
        <w:rPr>
          <w:rFonts w:ascii="Times New Roman" w:hAnsi="Times New Roman"/>
          <w:lang w:eastAsia="ko-KR"/>
        </w:rPr>
        <w:t xml:space="preserve"> in case the response rate is lower than expected</w:t>
      </w:r>
      <w:r w:rsidRPr="007013E5" w:rsidR="007A38BD">
        <w:rPr>
          <w:rFonts w:ascii="Times New Roman" w:hAnsi="Times New Roman"/>
          <w:lang w:eastAsia="ko-KR"/>
        </w:rPr>
        <w:t xml:space="preserve">. </w:t>
      </w:r>
      <w:r w:rsidR="00A1739B">
        <w:rPr>
          <w:rFonts w:ascii="Times New Roman" w:hAnsi="Times New Roman"/>
          <w:lang w:eastAsia="ko-KR"/>
        </w:rPr>
        <w:t xml:space="preserve">All </w:t>
      </w:r>
      <w:r w:rsidRPr="007013E5" w:rsidR="006D279F">
        <w:rPr>
          <w:rFonts w:ascii="Times New Roman" w:hAnsi="Times New Roman"/>
          <w:lang w:eastAsia="ko-KR"/>
        </w:rPr>
        <w:t xml:space="preserve">SDAs are expected </w:t>
      </w:r>
      <w:r w:rsidR="00A1739B">
        <w:rPr>
          <w:rFonts w:ascii="Times New Roman" w:hAnsi="Times New Roman"/>
          <w:lang w:eastAsia="ko-KR"/>
        </w:rPr>
        <w:t xml:space="preserve">to respond to the data collection activities. </w:t>
      </w:r>
    </w:p>
    <w:p w:rsidRPr="00927040" w:rsidR="00D66458" w:rsidP="009A29DF" w:rsidRDefault="00D66458" w14:paraId="0182448E" w14:textId="2CD4A649">
      <w:pPr>
        <w:ind w:firstLine="0"/>
        <w:rPr>
          <w:rFonts w:ascii="Times New Roman" w:hAnsi="Times New Roman" w:cs="Times New Roman"/>
        </w:rPr>
      </w:pPr>
      <w:r w:rsidRPr="00927040">
        <w:rPr>
          <w:rFonts w:ascii="Times New Roman" w:hAnsi="Times New Roman" w:cs="Times New Roman"/>
        </w:rPr>
        <w:lastRenderedPageBreak/>
        <w:t>The estimated size of the respondent universe for the st</w:t>
      </w:r>
      <w:r w:rsidR="002E4111">
        <w:rPr>
          <w:rFonts w:ascii="Times New Roman" w:hAnsi="Times New Roman" w:cs="Times New Roman"/>
        </w:rPr>
        <w:t>udy is presented in Table B.1.</w:t>
      </w:r>
    </w:p>
    <w:p w:rsidR="00D66458" w:rsidP="00D66458" w:rsidRDefault="00D66458" w14:paraId="7D8CBAE6" w14:textId="6A377230">
      <w:pPr>
        <w:pStyle w:val="L1-FlLSp12"/>
        <w:spacing w:line="240" w:lineRule="auto"/>
        <w:rPr>
          <w:b/>
          <w:lang w:eastAsia="ko-KR"/>
        </w:rPr>
      </w:pPr>
      <w:r w:rsidRPr="00F30DB2">
        <w:rPr>
          <w:b/>
          <w:lang w:eastAsia="ko-KR"/>
        </w:rPr>
        <w:t>Table B</w:t>
      </w:r>
      <w:r>
        <w:rPr>
          <w:b/>
          <w:lang w:eastAsia="ko-KR"/>
        </w:rPr>
        <w:t>.</w:t>
      </w:r>
      <w:r w:rsidRPr="00F30DB2">
        <w:rPr>
          <w:b/>
          <w:lang w:eastAsia="ko-KR"/>
        </w:rPr>
        <w:t>1</w:t>
      </w:r>
      <w:r w:rsidR="002E4111">
        <w:rPr>
          <w:b/>
          <w:lang w:eastAsia="ko-KR"/>
        </w:rPr>
        <w:t>.</w:t>
      </w:r>
      <w:r w:rsidRPr="00F30DB2">
        <w:rPr>
          <w:b/>
          <w:lang w:eastAsia="ko-KR"/>
        </w:rPr>
        <w:t xml:space="preserve">  Respondent Universe</w:t>
      </w:r>
      <w:r>
        <w:rPr>
          <w:b/>
          <w:lang w:eastAsia="ko-KR"/>
        </w:rPr>
        <w:t>, Samples, and Expected Response Rates</w:t>
      </w:r>
    </w:p>
    <w:p w:rsidRPr="00F30DB2" w:rsidR="00D66458" w:rsidP="00D66458" w:rsidRDefault="00D66458" w14:paraId="1AEAF60E" w14:textId="77777777">
      <w:pPr>
        <w:pStyle w:val="L1-FlLSp12"/>
        <w:spacing w:line="240" w:lineRule="auto"/>
        <w:rPr>
          <w:b/>
          <w:lang w:eastAsia="ko-KR"/>
        </w:rPr>
      </w:pPr>
    </w:p>
    <w:tbl>
      <w:tblPr>
        <w:tblStyle w:val="TableGrid"/>
        <w:tblW w:w="0" w:type="auto"/>
        <w:tblLook w:val="04A0" w:firstRow="1" w:lastRow="0" w:firstColumn="1" w:lastColumn="0" w:noHBand="0" w:noVBand="1"/>
      </w:tblPr>
      <w:tblGrid>
        <w:gridCol w:w="2047"/>
        <w:gridCol w:w="1699"/>
        <w:gridCol w:w="1858"/>
        <w:gridCol w:w="1877"/>
        <w:gridCol w:w="1869"/>
      </w:tblGrid>
      <w:tr w:rsidR="00D66458" w:rsidTr="00665DF5" w14:paraId="09B1732A" w14:textId="77777777">
        <w:tc>
          <w:tcPr>
            <w:tcW w:w="2047" w:type="dxa"/>
            <w:vAlign w:val="bottom"/>
          </w:tcPr>
          <w:p w:rsidRPr="00927040" w:rsidR="00D66458" w:rsidP="00BC641C" w:rsidRDefault="00D66458" w14:paraId="42EE36B3" w14:textId="77777777">
            <w:pPr>
              <w:pStyle w:val="L1-FlLSp12"/>
              <w:spacing w:line="240" w:lineRule="auto"/>
              <w:contextualSpacing/>
              <w:jc w:val="center"/>
              <w:rPr>
                <w:rFonts w:ascii="Times New Roman" w:hAnsi="Times New Roman"/>
                <w:b/>
                <w:sz w:val="22"/>
                <w:szCs w:val="22"/>
              </w:rPr>
            </w:pPr>
            <w:r w:rsidRPr="00927040">
              <w:rPr>
                <w:rFonts w:ascii="Times New Roman" w:hAnsi="Times New Roman"/>
                <w:b/>
                <w:sz w:val="22"/>
                <w:szCs w:val="22"/>
              </w:rPr>
              <w:t>Respondent</w:t>
            </w:r>
          </w:p>
        </w:tc>
        <w:tc>
          <w:tcPr>
            <w:tcW w:w="1699" w:type="dxa"/>
            <w:vAlign w:val="bottom"/>
          </w:tcPr>
          <w:p w:rsidRPr="00927040" w:rsidR="00D66458" w:rsidP="00BC641C" w:rsidRDefault="00D66458" w14:paraId="47B55309" w14:textId="77777777">
            <w:pPr>
              <w:pStyle w:val="L1-FlLSp12"/>
              <w:spacing w:line="240" w:lineRule="auto"/>
              <w:contextualSpacing/>
              <w:jc w:val="center"/>
              <w:rPr>
                <w:rFonts w:ascii="Times New Roman" w:hAnsi="Times New Roman"/>
                <w:b/>
                <w:sz w:val="22"/>
                <w:szCs w:val="22"/>
              </w:rPr>
            </w:pPr>
            <w:r w:rsidRPr="00927040">
              <w:rPr>
                <w:rFonts w:ascii="Times New Roman" w:hAnsi="Times New Roman"/>
                <w:b/>
                <w:sz w:val="22"/>
                <w:szCs w:val="22"/>
              </w:rPr>
              <w:t>Universe</w:t>
            </w:r>
          </w:p>
        </w:tc>
        <w:tc>
          <w:tcPr>
            <w:tcW w:w="1858" w:type="dxa"/>
            <w:vAlign w:val="bottom"/>
          </w:tcPr>
          <w:p w:rsidRPr="00927040" w:rsidR="00D66458" w:rsidP="00BC641C" w:rsidRDefault="00D66458" w14:paraId="123F4A3A" w14:textId="77777777">
            <w:pPr>
              <w:pStyle w:val="L1-FlLSp12"/>
              <w:spacing w:line="240" w:lineRule="auto"/>
              <w:contextualSpacing/>
              <w:jc w:val="center"/>
              <w:rPr>
                <w:rFonts w:ascii="Times New Roman" w:hAnsi="Times New Roman"/>
                <w:b/>
                <w:sz w:val="22"/>
                <w:szCs w:val="22"/>
              </w:rPr>
            </w:pPr>
            <w:r w:rsidRPr="00927040">
              <w:rPr>
                <w:rFonts w:ascii="Times New Roman" w:hAnsi="Times New Roman"/>
                <w:b/>
                <w:sz w:val="22"/>
                <w:szCs w:val="22"/>
              </w:rPr>
              <w:t>Initial Sample</w:t>
            </w:r>
          </w:p>
        </w:tc>
        <w:tc>
          <w:tcPr>
            <w:tcW w:w="1877" w:type="dxa"/>
            <w:vAlign w:val="bottom"/>
          </w:tcPr>
          <w:p w:rsidRPr="00927040" w:rsidR="00D66458" w:rsidP="00BC641C" w:rsidRDefault="00D66458" w14:paraId="210F5143" w14:textId="77777777">
            <w:pPr>
              <w:pStyle w:val="L1-FlLSp12"/>
              <w:spacing w:line="240" w:lineRule="auto"/>
              <w:contextualSpacing/>
              <w:jc w:val="center"/>
              <w:rPr>
                <w:rFonts w:ascii="Times New Roman" w:hAnsi="Times New Roman"/>
                <w:b/>
                <w:sz w:val="22"/>
                <w:szCs w:val="22"/>
              </w:rPr>
            </w:pPr>
            <w:r w:rsidRPr="00927040">
              <w:rPr>
                <w:rFonts w:ascii="Times New Roman" w:hAnsi="Times New Roman"/>
                <w:b/>
                <w:sz w:val="22"/>
                <w:szCs w:val="22"/>
              </w:rPr>
              <w:t>Target Completed Cases</w:t>
            </w:r>
          </w:p>
        </w:tc>
        <w:tc>
          <w:tcPr>
            <w:tcW w:w="1869" w:type="dxa"/>
            <w:vAlign w:val="bottom"/>
          </w:tcPr>
          <w:p w:rsidRPr="00927040" w:rsidR="00D66458" w:rsidP="00BC641C" w:rsidRDefault="00D66458" w14:paraId="63AD4809" w14:textId="77777777">
            <w:pPr>
              <w:pStyle w:val="L1-FlLSp12"/>
              <w:spacing w:line="240" w:lineRule="auto"/>
              <w:contextualSpacing/>
              <w:jc w:val="center"/>
              <w:rPr>
                <w:rFonts w:ascii="Times New Roman" w:hAnsi="Times New Roman"/>
                <w:b/>
                <w:sz w:val="22"/>
                <w:szCs w:val="22"/>
              </w:rPr>
            </w:pPr>
            <w:r w:rsidRPr="00927040">
              <w:rPr>
                <w:rFonts w:ascii="Times New Roman" w:hAnsi="Times New Roman"/>
                <w:b/>
                <w:sz w:val="22"/>
                <w:szCs w:val="22"/>
              </w:rPr>
              <w:t xml:space="preserve">Response Rate </w:t>
            </w:r>
          </w:p>
        </w:tc>
      </w:tr>
      <w:tr w:rsidR="00D66458" w:rsidTr="00665DF5" w14:paraId="39553FF8" w14:textId="77777777">
        <w:tc>
          <w:tcPr>
            <w:tcW w:w="2047" w:type="dxa"/>
          </w:tcPr>
          <w:p w:rsidRPr="00927040" w:rsidR="00D66458" w:rsidP="00BC641C" w:rsidRDefault="00D66458" w14:paraId="779BC954" w14:textId="77777777">
            <w:pPr>
              <w:pStyle w:val="L1-FlLSp12"/>
              <w:spacing w:line="240" w:lineRule="auto"/>
              <w:contextualSpacing/>
              <w:rPr>
                <w:rFonts w:ascii="Times New Roman" w:hAnsi="Times New Roman"/>
                <w:b/>
                <w:sz w:val="22"/>
                <w:szCs w:val="22"/>
              </w:rPr>
            </w:pPr>
            <w:r w:rsidRPr="00927040">
              <w:rPr>
                <w:rFonts w:ascii="Times New Roman" w:hAnsi="Times New Roman"/>
                <w:b/>
                <w:sz w:val="22"/>
                <w:szCs w:val="22"/>
              </w:rPr>
              <w:t>SFAs</w:t>
            </w:r>
          </w:p>
        </w:tc>
        <w:tc>
          <w:tcPr>
            <w:tcW w:w="1699" w:type="dxa"/>
          </w:tcPr>
          <w:p w:rsidRPr="00927040" w:rsidR="00D66458" w:rsidP="00094629" w:rsidRDefault="00094629" w14:paraId="2E8788C3" w14:textId="5B3F7E46">
            <w:pPr>
              <w:pStyle w:val="L1-FlLSp12"/>
              <w:spacing w:line="240" w:lineRule="auto"/>
              <w:contextualSpacing/>
              <w:jc w:val="center"/>
              <w:rPr>
                <w:rFonts w:ascii="Times New Roman" w:hAnsi="Times New Roman"/>
                <w:sz w:val="22"/>
                <w:szCs w:val="22"/>
              </w:rPr>
            </w:pPr>
            <w:r>
              <w:rPr>
                <w:rFonts w:ascii="Times New Roman" w:hAnsi="Times New Roman"/>
                <w:sz w:val="22"/>
                <w:szCs w:val="22"/>
              </w:rPr>
              <w:t>15,190</w:t>
            </w:r>
          </w:p>
        </w:tc>
        <w:tc>
          <w:tcPr>
            <w:tcW w:w="1858" w:type="dxa"/>
          </w:tcPr>
          <w:p w:rsidRPr="00927040" w:rsidR="00D66458" w:rsidP="00BC641C" w:rsidRDefault="00D66458" w14:paraId="20967463" w14:textId="77777777">
            <w:pPr>
              <w:pStyle w:val="L1-FlLSp12"/>
              <w:spacing w:line="240" w:lineRule="auto"/>
              <w:contextualSpacing/>
              <w:jc w:val="center"/>
              <w:rPr>
                <w:rFonts w:ascii="Times New Roman" w:hAnsi="Times New Roman"/>
                <w:sz w:val="22"/>
                <w:szCs w:val="22"/>
              </w:rPr>
            </w:pPr>
            <w:r w:rsidRPr="00927040">
              <w:rPr>
                <w:rFonts w:ascii="Times New Roman" w:hAnsi="Times New Roman"/>
                <w:sz w:val="22"/>
                <w:szCs w:val="22"/>
              </w:rPr>
              <w:t>630</w:t>
            </w:r>
          </w:p>
        </w:tc>
        <w:tc>
          <w:tcPr>
            <w:tcW w:w="1877" w:type="dxa"/>
          </w:tcPr>
          <w:p w:rsidRPr="00927040" w:rsidR="00D66458" w:rsidP="00BC641C" w:rsidRDefault="00D66458" w14:paraId="46FBC1BF" w14:textId="77777777">
            <w:pPr>
              <w:pStyle w:val="L1-FlLSp12"/>
              <w:spacing w:line="240" w:lineRule="auto"/>
              <w:contextualSpacing/>
              <w:jc w:val="center"/>
              <w:rPr>
                <w:rFonts w:ascii="Times New Roman" w:hAnsi="Times New Roman"/>
                <w:sz w:val="22"/>
                <w:szCs w:val="22"/>
              </w:rPr>
            </w:pPr>
            <w:r w:rsidRPr="00927040">
              <w:rPr>
                <w:rFonts w:ascii="Times New Roman" w:hAnsi="Times New Roman"/>
                <w:sz w:val="22"/>
                <w:szCs w:val="22"/>
              </w:rPr>
              <w:t>422</w:t>
            </w:r>
          </w:p>
        </w:tc>
        <w:tc>
          <w:tcPr>
            <w:tcW w:w="1869" w:type="dxa"/>
          </w:tcPr>
          <w:p w:rsidRPr="00927040" w:rsidR="00D66458" w:rsidP="00BC641C" w:rsidRDefault="00D66458" w14:paraId="434496AD" w14:textId="77777777">
            <w:pPr>
              <w:pStyle w:val="L1-FlLSp12"/>
              <w:spacing w:line="240" w:lineRule="auto"/>
              <w:contextualSpacing/>
              <w:jc w:val="center"/>
              <w:rPr>
                <w:rFonts w:ascii="Times New Roman" w:hAnsi="Times New Roman"/>
                <w:sz w:val="22"/>
                <w:szCs w:val="22"/>
              </w:rPr>
            </w:pPr>
            <w:r w:rsidRPr="00927040">
              <w:rPr>
                <w:rFonts w:ascii="Times New Roman" w:hAnsi="Times New Roman"/>
                <w:sz w:val="22"/>
                <w:szCs w:val="22"/>
              </w:rPr>
              <w:t>67</w:t>
            </w:r>
            <w:r>
              <w:rPr>
                <w:rFonts w:ascii="Times New Roman" w:hAnsi="Times New Roman"/>
                <w:sz w:val="22"/>
                <w:szCs w:val="22"/>
              </w:rPr>
              <w:t>%</w:t>
            </w:r>
          </w:p>
        </w:tc>
      </w:tr>
      <w:tr w:rsidR="00ED3003" w:rsidTr="00665DF5" w14:paraId="47BF2D43" w14:textId="77777777">
        <w:tc>
          <w:tcPr>
            <w:tcW w:w="2047" w:type="dxa"/>
          </w:tcPr>
          <w:p w:rsidRPr="00927040" w:rsidR="00ED3003" w:rsidP="00BC641C" w:rsidRDefault="00ED3003" w14:paraId="5179CA47" w14:textId="7FD6C711">
            <w:pPr>
              <w:pStyle w:val="L1-FlLSp12"/>
              <w:spacing w:line="240" w:lineRule="auto"/>
              <w:contextualSpacing/>
              <w:rPr>
                <w:rFonts w:ascii="Times New Roman" w:hAnsi="Times New Roman"/>
                <w:b/>
                <w:sz w:val="22"/>
                <w:szCs w:val="22"/>
              </w:rPr>
            </w:pPr>
            <w:r>
              <w:rPr>
                <w:rFonts w:ascii="Times New Roman" w:hAnsi="Times New Roman"/>
                <w:b/>
                <w:sz w:val="22"/>
                <w:szCs w:val="22"/>
              </w:rPr>
              <w:t xml:space="preserve">    FSMC SFAs</w:t>
            </w:r>
          </w:p>
        </w:tc>
        <w:tc>
          <w:tcPr>
            <w:tcW w:w="1699" w:type="dxa"/>
          </w:tcPr>
          <w:p w:rsidRPr="00927040" w:rsidR="00ED3003" w:rsidP="00BC641C" w:rsidRDefault="00094629" w14:paraId="4851ED45" w14:textId="5E43AAB6">
            <w:pPr>
              <w:pStyle w:val="L1-FlLSp12"/>
              <w:spacing w:line="240" w:lineRule="auto"/>
              <w:contextualSpacing/>
              <w:jc w:val="center"/>
              <w:rPr>
                <w:rFonts w:ascii="Times New Roman" w:hAnsi="Times New Roman"/>
                <w:sz w:val="22"/>
                <w:szCs w:val="22"/>
              </w:rPr>
            </w:pPr>
            <w:r>
              <w:rPr>
                <w:rFonts w:ascii="Times New Roman" w:hAnsi="Times New Roman"/>
                <w:sz w:val="22"/>
                <w:szCs w:val="22"/>
              </w:rPr>
              <w:t>3,038</w:t>
            </w:r>
          </w:p>
        </w:tc>
        <w:tc>
          <w:tcPr>
            <w:tcW w:w="1858" w:type="dxa"/>
          </w:tcPr>
          <w:p w:rsidRPr="00927040" w:rsidR="00ED3003" w:rsidP="00BC641C" w:rsidRDefault="00ED3003" w14:paraId="0A0843FD" w14:textId="1F4F772A">
            <w:pPr>
              <w:pStyle w:val="L1-FlLSp12"/>
              <w:spacing w:line="240" w:lineRule="auto"/>
              <w:contextualSpacing/>
              <w:jc w:val="center"/>
              <w:rPr>
                <w:rFonts w:ascii="Times New Roman" w:hAnsi="Times New Roman"/>
                <w:sz w:val="22"/>
                <w:szCs w:val="22"/>
              </w:rPr>
            </w:pPr>
            <w:r>
              <w:rPr>
                <w:rFonts w:ascii="Times New Roman" w:hAnsi="Times New Roman"/>
                <w:sz w:val="22"/>
                <w:szCs w:val="22"/>
              </w:rPr>
              <w:t>158</w:t>
            </w:r>
          </w:p>
        </w:tc>
        <w:tc>
          <w:tcPr>
            <w:tcW w:w="1877" w:type="dxa"/>
          </w:tcPr>
          <w:p w:rsidRPr="00927040" w:rsidR="00ED3003" w:rsidP="00BC641C" w:rsidRDefault="00ED3003" w14:paraId="7A25052B" w14:textId="6D0BDCE6">
            <w:pPr>
              <w:pStyle w:val="L1-FlLSp12"/>
              <w:spacing w:line="240" w:lineRule="auto"/>
              <w:contextualSpacing/>
              <w:jc w:val="center"/>
              <w:rPr>
                <w:rFonts w:ascii="Times New Roman" w:hAnsi="Times New Roman"/>
                <w:sz w:val="22"/>
                <w:szCs w:val="22"/>
              </w:rPr>
            </w:pPr>
            <w:r>
              <w:rPr>
                <w:rFonts w:ascii="Times New Roman" w:hAnsi="Times New Roman"/>
                <w:sz w:val="22"/>
                <w:szCs w:val="22"/>
              </w:rPr>
              <w:t>106</w:t>
            </w:r>
          </w:p>
        </w:tc>
        <w:tc>
          <w:tcPr>
            <w:tcW w:w="1869" w:type="dxa"/>
          </w:tcPr>
          <w:p w:rsidRPr="00927040" w:rsidR="00ED3003" w:rsidP="00BC641C" w:rsidRDefault="00ED3003" w14:paraId="79442EAA" w14:textId="5818E3B5">
            <w:pPr>
              <w:pStyle w:val="L1-FlLSp12"/>
              <w:spacing w:line="240" w:lineRule="auto"/>
              <w:contextualSpacing/>
              <w:jc w:val="center"/>
              <w:rPr>
                <w:rFonts w:ascii="Times New Roman" w:hAnsi="Times New Roman"/>
                <w:sz w:val="22"/>
                <w:szCs w:val="22"/>
              </w:rPr>
            </w:pPr>
            <w:r w:rsidRPr="00927040">
              <w:rPr>
                <w:rFonts w:ascii="Times New Roman" w:hAnsi="Times New Roman"/>
                <w:sz w:val="22"/>
                <w:szCs w:val="22"/>
              </w:rPr>
              <w:t>67</w:t>
            </w:r>
            <w:r>
              <w:rPr>
                <w:rFonts w:ascii="Times New Roman" w:hAnsi="Times New Roman"/>
                <w:sz w:val="22"/>
                <w:szCs w:val="22"/>
              </w:rPr>
              <w:t>%</w:t>
            </w:r>
          </w:p>
        </w:tc>
      </w:tr>
      <w:tr w:rsidR="00ED3003" w:rsidTr="00665DF5" w14:paraId="140FDDB2" w14:textId="77777777">
        <w:tc>
          <w:tcPr>
            <w:tcW w:w="2047" w:type="dxa"/>
          </w:tcPr>
          <w:p w:rsidRPr="00927040" w:rsidR="00ED3003" w:rsidP="00BC641C" w:rsidRDefault="00ED3003" w14:paraId="70BFD49D" w14:textId="29FFD25A">
            <w:pPr>
              <w:pStyle w:val="L1-FlLSp12"/>
              <w:spacing w:line="240" w:lineRule="auto"/>
              <w:contextualSpacing/>
              <w:rPr>
                <w:rFonts w:ascii="Times New Roman" w:hAnsi="Times New Roman"/>
                <w:b/>
                <w:sz w:val="22"/>
                <w:szCs w:val="22"/>
              </w:rPr>
            </w:pPr>
            <w:r>
              <w:rPr>
                <w:rFonts w:ascii="Times New Roman" w:hAnsi="Times New Roman"/>
                <w:b/>
                <w:sz w:val="22"/>
                <w:szCs w:val="22"/>
              </w:rPr>
              <w:t xml:space="preserve">    Non-FSMC SFAs</w:t>
            </w:r>
          </w:p>
        </w:tc>
        <w:tc>
          <w:tcPr>
            <w:tcW w:w="1699" w:type="dxa"/>
          </w:tcPr>
          <w:p w:rsidRPr="00927040" w:rsidR="00ED3003" w:rsidP="00094629" w:rsidRDefault="00ED3003" w14:paraId="0A4C7583" w14:textId="0C372D4C">
            <w:pPr>
              <w:pStyle w:val="L1-FlLSp12"/>
              <w:spacing w:line="240" w:lineRule="auto"/>
              <w:contextualSpacing/>
              <w:jc w:val="center"/>
              <w:rPr>
                <w:rFonts w:ascii="Times New Roman" w:hAnsi="Times New Roman"/>
                <w:sz w:val="22"/>
                <w:szCs w:val="22"/>
              </w:rPr>
            </w:pPr>
            <w:r>
              <w:rPr>
                <w:rFonts w:ascii="Times New Roman" w:hAnsi="Times New Roman"/>
                <w:sz w:val="22"/>
                <w:szCs w:val="22"/>
              </w:rPr>
              <w:t>1</w:t>
            </w:r>
            <w:r w:rsidR="00094629">
              <w:rPr>
                <w:rFonts w:ascii="Times New Roman" w:hAnsi="Times New Roman"/>
                <w:sz w:val="22"/>
                <w:szCs w:val="22"/>
              </w:rPr>
              <w:t>2</w:t>
            </w:r>
            <w:r>
              <w:rPr>
                <w:rFonts w:ascii="Times New Roman" w:hAnsi="Times New Roman"/>
                <w:sz w:val="22"/>
                <w:szCs w:val="22"/>
              </w:rPr>
              <w:t>,</w:t>
            </w:r>
            <w:r w:rsidR="00094629">
              <w:rPr>
                <w:rFonts w:ascii="Times New Roman" w:hAnsi="Times New Roman"/>
                <w:sz w:val="22"/>
                <w:szCs w:val="22"/>
              </w:rPr>
              <w:t>152</w:t>
            </w:r>
          </w:p>
        </w:tc>
        <w:tc>
          <w:tcPr>
            <w:tcW w:w="1858" w:type="dxa"/>
          </w:tcPr>
          <w:p w:rsidRPr="00927040" w:rsidR="00ED3003" w:rsidP="00BC641C" w:rsidRDefault="00ED3003" w14:paraId="3244DA6A" w14:textId="58FDA793">
            <w:pPr>
              <w:pStyle w:val="L1-FlLSp12"/>
              <w:spacing w:line="240" w:lineRule="auto"/>
              <w:contextualSpacing/>
              <w:jc w:val="center"/>
              <w:rPr>
                <w:rFonts w:ascii="Times New Roman" w:hAnsi="Times New Roman"/>
                <w:sz w:val="22"/>
                <w:szCs w:val="22"/>
              </w:rPr>
            </w:pPr>
            <w:r>
              <w:rPr>
                <w:rFonts w:ascii="Times New Roman" w:hAnsi="Times New Roman"/>
                <w:sz w:val="22"/>
                <w:szCs w:val="22"/>
              </w:rPr>
              <w:t>472</w:t>
            </w:r>
          </w:p>
        </w:tc>
        <w:tc>
          <w:tcPr>
            <w:tcW w:w="1877" w:type="dxa"/>
          </w:tcPr>
          <w:p w:rsidRPr="00927040" w:rsidR="00ED3003" w:rsidP="00BC641C" w:rsidRDefault="00ED3003" w14:paraId="167BD459" w14:textId="613617AE">
            <w:pPr>
              <w:pStyle w:val="L1-FlLSp12"/>
              <w:spacing w:line="240" w:lineRule="auto"/>
              <w:contextualSpacing/>
              <w:jc w:val="center"/>
              <w:rPr>
                <w:rFonts w:ascii="Times New Roman" w:hAnsi="Times New Roman"/>
                <w:sz w:val="22"/>
                <w:szCs w:val="22"/>
              </w:rPr>
            </w:pPr>
            <w:r>
              <w:rPr>
                <w:rFonts w:ascii="Times New Roman" w:hAnsi="Times New Roman"/>
                <w:sz w:val="22"/>
                <w:szCs w:val="22"/>
              </w:rPr>
              <w:t>316</w:t>
            </w:r>
          </w:p>
        </w:tc>
        <w:tc>
          <w:tcPr>
            <w:tcW w:w="1869" w:type="dxa"/>
          </w:tcPr>
          <w:p w:rsidRPr="00927040" w:rsidR="00ED3003" w:rsidP="00BC641C" w:rsidRDefault="00ED3003" w14:paraId="278E2AE2" w14:textId="4DE46E32">
            <w:pPr>
              <w:pStyle w:val="L1-FlLSp12"/>
              <w:spacing w:line="240" w:lineRule="auto"/>
              <w:contextualSpacing/>
              <w:jc w:val="center"/>
              <w:rPr>
                <w:rFonts w:ascii="Times New Roman" w:hAnsi="Times New Roman"/>
                <w:sz w:val="22"/>
                <w:szCs w:val="22"/>
              </w:rPr>
            </w:pPr>
            <w:r w:rsidRPr="00927040">
              <w:rPr>
                <w:rFonts w:ascii="Times New Roman" w:hAnsi="Times New Roman"/>
                <w:sz w:val="22"/>
                <w:szCs w:val="22"/>
              </w:rPr>
              <w:t>67</w:t>
            </w:r>
            <w:r>
              <w:rPr>
                <w:rFonts w:ascii="Times New Roman" w:hAnsi="Times New Roman"/>
                <w:sz w:val="22"/>
                <w:szCs w:val="22"/>
              </w:rPr>
              <w:t>%</w:t>
            </w:r>
          </w:p>
        </w:tc>
      </w:tr>
      <w:tr w:rsidR="00D66458" w:rsidTr="00665DF5" w14:paraId="359F464B" w14:textId="77777777">
        <w:tc>
          <w:tcPr>
            <w:tcW w:w="2047" w:type="dxa"/>
          </w:tcPr>
          <w:p w:rsidRPr="00927040" w:rsidR="00D66458" w:rsidP="00BC641C" w:rsidRDefault="00D66458" w14:paraId="6D4591AF" w14:textId="77777777">
            <w:pPr>
              <w:pStyle w:val="L1-FlLSp12"/>
              <w:spacing w:line="240" w:lineRule="auto"/>
              <w:contextualSpacing/>
              <w:rPr>
                <w:rFonts w:ascii="Times New Roman" w:hAnsi="Times New Roman"/>
                <w:b/>
                <w:sz w:val="22"/>
                <w:szCs w:val="22"/>
              </w:rPr>
            </w:pPr>
            <w:r w:rsidRPr="00927040">
              <w:rPr>
                <w:rFonts w:ascii="Times New Roman" w:hAnsi="Times New Roman"/>
                <w:b/>
                <w:sz w:val="22"/>
                <w:szCs w:val="22"/>
              </w:rPr>
              <w:t>SDAs</w:t>
            </w:r>
          </w:p>
        </w:tc>
        <w:tc>
          <w:tcPr>
            <w:tcW w:w="1699" w:type="dxa"/>
          </w:tcPr>
          <w:p w:rsidRPr="00927040" w:rsidR="00D66458" w:rsidP="00BC641C" w:rsidRDefault="00D66458" w14:paraId="20F2E9DA" w14:textId="77777777">
            <w:pPr>
              <w:pStyle w:val="L1-FlLSp12"/>
              <w:spacing w:line="240" w:lineRule="auto"/>
              <w:contextualSpacing/>
              <w:jc w:val="center"/>
              <w:rPr>
                <w:rFonts w:ascii="Times New Roman" w:hAnsi="Times New Roman"/>
                <w:sz w:val="22"/>
                <w:szCs w:val="22"/>
              </w:rPr>
            </w:pPr>
            <w:r w:rsidRPr="00927040">
              <w:rPr>
                <w:rFonts w:ascii="Times New Roman" w:hAnsi="Times New Roman"/>
                <w:sz w:val="22"/>
                <w:szCs w:val="22"/>
              </w:rPr>
              <w:t>49</w:t>
            </w:r>
          </w:p>
        </w:tc>
        <w:tc>
          <w:tcPr>
            <w:tcW w:w="1858" w:type="dxa"/>
          </w:tcPr>
          <w:p w:rsidRPr="00927040" w:rsidR="00D66458" w:rsidP="00BC641C" w:rsidRDefault="00D66458" w14:paraId="22020CAA" w14:textId="77777777">
            <w:pPr>
              <w:pStyle w:val="L1-FlLSp12"/>
              <w:spacing w:line="240" w:lineRule="auto"/>
              <w:contextualSpacing/>
              <w:jc w:val="center"/>
              <w:rPr>
                <w:rFonts w:ascii="Times New Roman" w:hAnsi="Times New Roman"/>
                <w:sz w:val="22"/>
                <w:szCs w:val="22"/>
              </w:rPr>
            </w:pPr>
            <w:r w:rsidRPr="00927040">
              <w:rPr>
                <w:rFonts w:ascii="Times New Roman" w:hAnsi="Times New Roman"/>
                <w:sz w:val="22"/>
                <w:szCs w:val="22"/>
              </w:rPr>
              <w:t>49</w:t>
            </w:r>
          </w:p>
        </w:tc>
        <w:tc>
          <w:tcPr>
            <w:tcW w:w="1877" w:type="dxa"/>
          </w:tcPr>
          <w:p w:rsidRPr="00927040" w:rsidR="00D66458" w:rsidP="00BC641C" w:rsidRDefault="00D66458" w14:paraId="43AC9FA3" w14:textId="77777777">
            <w:pPr>
              <w:pStyle w:val="L1-FlLSp12"/>
              <w:spacing w:line="240" w:lineRule="auto"/>
              <w:contextualSpacing/>
              <w:jc w:val="center"/>
              <w:rPr>
                <w:rFonts w:ascii="Times New Roman" w:hAnsi="Times New Roman"/>
                <w:sz w:val="22"/>
                <w:szCs w:val="22"/>
              </w:rPr>
            </w:pPr>
            <w:r w:rsidRPr="00927040">
              <w:rPr>
                <w:rFonts w:ascii="Times New Roman" w:hAnsi="Times New Roman"/>
                <w:sz w:val="22"/>
                <w:szCs w:val="22"/>
              </w:rPr>
              <w:t>49</w:t>
            </w:r>
          </w:p>
        </w:tc>
        <w:tc>
          <w:tcPr>
            <w:tcW w:w="1869" w:type="dxa"/>
          </w:tcPr>
          <w:p w:rsidRPr="00927040" w:rsidR="00D66458" w:rsidP="00BC641C" w:rsidRDefault="00D66458" w14:paraId="50750DCD" w14:textId="77777777">
            <w:pPr>
              <w:pStyle w:val="L1-FlLSp12"/>
              <w:spacing w:line="240" w:lineRule="auto"/>
              <w:contextualSpacing/>
              <w:jc w:val="center"/>
              <w:rPr>
                <w:rFonts w:ascii="Times New Roman" w:hAnsi="Times New Roman"/>
                <w:sz w:val="22"/>
                <w:szCs w:val="22"/>
              </w:rPr>
            </w:pPr>
            <w:r w:rsidRPr="00927040">
              <w:rPr>
                <w:rFonts w:ascii="Times New Roman" w:hAnsi="Times New Roman"/>
                <w:sz w:val="22"/>
                <w:szCs w:val="22"/>
              </w:rPr>
              <w:t>100</w:t>
            </w:r>
            <w:r>
              <w:rPr>
                <w:rFonts w:ascii="Times New Roman" w:hAnsi="Times New Roman"/>
                <w:sz w:val="22"/>
                <w:szCs w:val="22"/>
              </w:rPr>
              <w:t>%</w:t>
            </w:r>
          </w:p>
        </w:tc>
      </w:tr>
    </w:tbl>
    <w:p w:rsidRPr="001F37EB" w:rsidR="000E0C26" w:rsidP="001F37EB" w:rsidRDefault="00EE474B" w14:paraId="11D5F738" w14:textId="14554359">
      <w:pPr>
        <w:pStyle w:val="L1-FlLSp12"/>
        <w:spacing w:line="240" w:lineRule="auto"/>
        <w:rPr>
          <w:sz w:val="20"/>
        </w:rPr>
      </w:pPr>
      <w:r w:rsidRPr="001F37EB">
        <w:rPr>
          <w:sz w:val="20"/>
        </w:rPr>
        <w:t>Note: The universe of 1</w:t>
      </w:r>
      <w:r w:rsidR="00094629">
        <w:rPr>
          <w:sz w:val="20"/>
        </w:rPr>
        <w:t>5,190</w:t>
      </w:r>
      <w:r w:rsidRPr="001F37EB">
        <w:rPr>
          <w:sz w:val="20"/>
        </w:rPr>
        <w:t xml:space="preserve"> SFAs is from the FNS-742 Verification Summary Report, school year 201</w:t>
      </w:r>
      <w:r w:rsidR="00094629">
        <w:rPr>
          <w:sz w:val="20"/>
        </w:rPr>
        <w:t>8</w:t>
      </w:r>
      <w:r w:rsidRPr="001F37EB">
        <w:rPr>
          <w:sz w:val="20"/>
        </w:rPr>
        <w:t>-201</w:t>
      </w:r>
      <w:r w:rsidR="00094629">
        <w:rPr>
          <w:sz w:val="20"/>
        </w:rPr>
        <w:t>9</w:t>
      </w:r>
      <w:r w:rsidRPr="001F37EB">
        <w:rPr>
          <w:sz w:val="20"/>
        </w:rPr>
        <w:t xml:space="preserve">. The universe may be slightly smaller because the estimate includes charter school SFAs, which will not be eligible for the study. </w:t>
      </w:r>
    </w:p>
    <w:p w:rsidRPr="001F37EB" w:rsidR="00EE474B" w:rsidP="001F37EB" w:rsidRDefault="00EE474B" w14:paraId="7C1EC25C" w14:textId="77777777">
      <w:pPr>
        <w:pStyle w:val="L1-FlLSp12"/>
        <w:spacing w:line="240" w:lineRule="auto"/>
        <w:rPr>
          <w:sz w:val="22"/>
          <w:szCs w:val="22"/>
          <w:lang w:eastAsia="ko-KR"/>
        </w:rPr>
      </w:pPr>
    </w:p>
    <w:p w:rsidR="00C84AD3" w:rsidP="00C84AD3" w:rsidRDefault="00C84AD3" w14:paraId="226E9E94" w14:textId="5431AD3F">
      <w:pPr>
        <w:pStyle w:val="Heading1"/>
        <w:rPr>
          <w:b/>
        </w:rPr>
      </w:pPr>
      <w:bookmarkStart w:name="_Toc282506043" w:id="7"/>
      <w:bookmarkStart w:name="_Toc494361128" w:id="8"/>
      <w:bookmarkStart w:name="_Toc29469608" w:id="9"/>
      <w:r>
        <w:rPr>
          <w:b/>
          <w:szCs w:val="24"/>
        </w:rPr>
        <w:t>B.2</w:t>
      </w:r>
      <w:r>
        <w:rPr>
          <w:b/>
          <w:szCs w:val="24"/>
        </w:rPr>
        <w:tab/>
      </w:r>
      <w:bookmarkEnd w:id="7"/>
      <w:r w:rsidR="00984470">
        <w:rPr>
          <w:b/>
        </w:rPr>
        <w:t>P</w:t>
      </w:r>
      <w:r>
        <w:rPr>
          <w:b/>
        </w:rPr>
        <w:t>rocedures for the collection of information:</w:t>
      </w:r>
      <w:bookmarkEnd w:id="8"/>
      <w:bookmarkEnd w:id="9"/>
    </w:p>
    <w:p w:rsidRPr="00402301" w:rsidR="00984470" w:rsidP="00984470" w:rsidRDefault="00984470" w14:paraId="08318DFC" w14:textId="77777777">
      <w:pPr>
        <w:tabs>
          <w:tab w:val="left" w:pos="1152"/>
        </w:tabs>
        <w:spacing w:line="240" w:lineRule="auto"/>
        <w:rPr>
          <w:b/>
          <w:szCs w:val="24"/>
        </w:rPr>
      </w:pPr>
      <w:bookmarkStart w:name="_Toc400377725" w:id="10"/>
      <w:r w:rsidRPr="00402301">
        <w:rPr>
          <w:b/>
          <w:szCs w:val="24"/>
        </w:rPr>
        <w:t>Describe the procedures for the collection of information including:</w:t>
      </w:r>
      <w:bookmarkEnd w:id="10"/>
    </w:p>
    <w:p w:rsidRPr="00402301" w:rsidR="00984470" w:rsidP="00984470" w:rsidRDefault="00984470" w14:paraId="7020A754" w14:textId="77777777">
      <w:pPr>
        <w:pStyle w:val="N1-1stBullet"/>
        <w:numPr>
          <w:ilvl w:val="0"/>
          <w:numId w:val="3"/>
        </w:numPr>
        <w:spacing w:after="0" w:line="240" w:lineRule="auto"/>
        <w:rPr>
          <w:rFonts w:ascii="Times New Roman" w:hAnsi="Times New Roman"/>
          <w:b/>
          <w:szCs w:val="24"/>
        </w:rPr>
      </w:pPr>
      <w:bookmarkStart w:name="_Toc325550967" w:id="11"/>
      <w:bookmarkStart w:name="_Toc316652509" w:id="12"/>
      <w:bookmarkStart w:name="_Toc400377726" w:id="13"/>
      <w:r w:rsidRPr="00402301">
        <w:rPr>
          <w:rFonts w:ascii="Times New Roman" w:hAnsi="Times New Roman"/>
          <w:b/>
          <w:szCs w:val="24"/>
        </w:rPr>
        <w:t>Statistical methodology for stratification and sample selection,</w:t>
      </w:r>
      <w:bookmarkEnd w:id="11"/>
      <w:bookmarkEnd w:id="12"/>
      <w:bookmarkEnd w:id="13"/>
    </w:p>
    <w:p w:rsidRPr="00402301" w:rsidR="00984470" w:rsidP="00984470" w:rsidRDefault="00984470" w14:paraId="2FC036DB" w14:textId="77777777">
      <w:pPr>
        <w:pStyle w:val="N1-1stBullet"/>
        <w:numPr>
          <w:ilvl w:val="0"/>
          <w:numId w:val="3"/>
        </w:numPr>
        <w:spacing w:after="0" w:line="240" w:lineRule="auto"/>
        <w:rPr>
          <w:rFonts w:ascii="Times New Roman" w:hAnsi="Times New Roman"/>
          <w:b/>
          <w:szCs w:val="24"/>
        </w:rPr>
      </w:pPr>
      <w:bookmarkStart w:name="_Toc325550968" w:id="14"/>
      <w:bookmarkStart w:name="_Toc316652510" w:id="15"/>
      <w:bookmarkStart w:name="_Toc400377727" w:id="16"/>
      <w:r w:rsidRPr="00402301">
        <w:rPr>
          <w:rFonts w:ascii="Times New Roman" w:hAnsi="Times New Roman"/>
          <w:b/>
          <w:szCs w:val="24"/>
        </w:rPr>
        <w:t>Estimation procedure,</w:t>
      </w:r>
      <w:bookmarkEnd w:id="14"/>
      <w:bookmarkEnd w:id="15"/>
      <w:bookmarkEnd w:id="16"/>
    </w:p>
    <w:p w:rsidRPr="00402301" w:rsidR="00984470" w:rsidP="00984470" w:rsidRDefault="00984470" w14:paraId="7C05346A" w14:textId="77777777">
      <w:pPr>
        <w:pStyle w:val="N1-1stBullet"/>
        <w:numPr>
          <w:ilvl w:val="0"/>
          <w:numId w:val="3"/>
        </w:numPr>
        <w:spacing w:after="0" w:line="240" w:lineRule="auto"/>
        <w:rPr>
          <w:rFonts w:ascii="Times New Roman" w:hAnsi="Times New Roman"/>
          <w:b/>
          <w:szCs w:val="24"/>
        </w:rPr>
      </w:pPr>
      <w:bookmarkStart w:name="_Toc325550969" w:id="17"/>
      <w:bookmarkStart w:name="_Toc316652511" w:id="18"/>
      <w:bookmarkStart w:name="_Toc400377728" w:id="19"/>
      <w:r w:rsidRPr="00402301">
        <w:rPr>
          <w:rFonts w:ascii="Times New Roman" w:hAnsi="Times New Roman"/>
          <w:b/>
          <w:szCs w:val="24"/>
        </w:rPr>
        <w:t>Degree of accuracy needed for the purpose described in the justification,</w:t>
      </w:r>
      <w:bookmarkEnd w:id="17"/>
      <w:bookmarkEnd w:id="18"/>
      <w:bookmarkEnd w:id="19"/>
    </w:p>
    <w:p w:rsidRPr="00402301" w:rsidR="00984470" w:rsidP="00984470" w:rsidRDefault="00984470" w14:paraId="6EB8C3EF" w14:textId="77777777">
      <w:pPr>
        <w:pStyle w:val="N1-1stBullet"/>
        <w:numPr>
          <w:ilvl w:val="0"/>
          <w:numId w:val="3"/>
        </w:numPr>
        <w:spacing w:after="0" w:line="240" w:lineRule="auto"/>
        <w:rPr>
          <w:rFonts w:ascii="Times New Roman" w:hAnsi="Times New Roman"/>
          <w:b/>
          <w:szCs w:val="24"/>
        </w:rPr>
      </w:pPr>
      <w:bookmarkStart w:name="_Toc325550970" w:id="20"/>
      <w:bookmarkStart w:name="_Toc316652512" w:id="21"/>
      <w:bookmarkStart w:name="_Toc400377729" w:id="22"/>
      <w:r w:rsidRPr="00402301">
        <w:rPr>
          <w:rFonts w:ascii="Times New Roman" w:hAnsi="Times New Roman"/>
          <w:b/>
          <w:szCs w:val="24"/>
        </w:rPr>
        <w:t>Unusual problems requiring specialized sampling procedures, and</w:t>
      </w:r>
      <w:bookmarkEnd w:id="20"/>
      <w:bookmarkEnd w:id="21"/>
      <w:bookmarkEnd w:id="22"/>
    </w:p>
    <w:p w:rsidR="00984470" w:rsidP="00984470" w:rsidRDefault="00984470" w14:paraId="4141AAB9" w14:textId="17FD88CE">
      <w:pPr>
        <w:pStyle w:val="N1-1stBullet"/>
        <w:numPr>
          <w:ilvl w:val="0"/>
          <w:numId w:val="3"/>
        </w:numPr>
        <w:spacing w:after="0" w:line="240" w:lineRule="auto"/>
        <w:rPr>
          <w:rFonts w:ascii="Times New Roman" w:hAnsi="Times New Roman"/>
          <w:b/>
          <w:szCs w:val="24"/>
        </w:rPr>
      </w:pPr>
      <w:bookmarkStart w:name="_Toc325550971" w:id="23"/>
      <w:bookmarkStart w:name="_Toc316652513" w:id="24"/>
      <w:bookmarkStart w:name="_Toc400377730" w:id="25"/>
      <w:r w:rsidRPr="00402301">
        <w:rPr>
          <w:rFonts w:ascii="Times New Roman" w:hAnsi="Times New Roman"/>
          <w:b/>
          <w:szCs w:val="24"/>
        </w:rPr>
        <w:t>Any use of periodic (less frequent than annual) data collection cycles to reduce burden.</w:t>
      </w:r>
      <w:bookmarkEnd w:id="23"/>
      <w:bookmarkEnd w:id="24"/>
      <w:bookmarkEnd w:id="25"/>
    </w:p>
    <w:p w:rsidRPr="00402301" w:rsidR="00E21357" w:rsidP="00E21357" w:rsidRDefault="00E21357" w14:paraId="7475F583" w14:textId="77777777">
      <w:pPr>
        <w:pStyle w:val="N1-1stBullet"/>
        <w:numPr>
          <w:ilvl w:val="0"/>
          <w:numId w:val="0"/>
        </w:numPr>
        <w:spacing w:after="0" w:line="240" w:lineRule="auto"/>
        <w:ind w:left="1296"/>
        <w:rPr>
          <w:rFonts w:ascii="Times New Roman" w:hAnsi="Times New Roman"/>
          <w:b/>
          <w:szCs w:val="24"/>
        </w:rPr>
      </w:pPr>
    </w:p>
    <w:p w:rsidRPr="00984470" w:rsidR="00984470" w:rsidP="00984470" w:rsidRDefault="00984470" w14:paraId="0955B673" w14:textId="49688DDE">
      <w:pPr>
        <w:pStyle w:val="Heading2"/>
        <w:rPr>
          <w:b/>
        </w:rPr>
      </w:pPr>
      <w:bookmarkStart w:name="_Toc29469609" w:id="26"/>
      <w:r w:rsidRPr="00984470">
        <w:rPr>
          <w:b/>
        </w:rPr>
        <w:t>Statistical methodology for stratification and sample selection</w:t>
      </w:r>
      <w:bookmarkEnd w:id="26"/>
    </w:p>
    <w:p w:rsidRPr="003F3463" w:rsidR="00F30DB2" w:rsidP="009A29DF" w:rsidRDefault="00071CE5" w14:paraId="77FF56F3" w14:textId="14FC2AA3">
      <w:pPr>
        <w:pStyle w:val="L1-FlLSp12"/>
        <w:spacing w:line="480" w:lineRule="auto"/>
        <w:contextualSpacing/>
        <w:rPr>
          <w:rFonts w:ascii="Times New Roman" w:hAnsi="Times New Roman"/>
        </w:rPr>
      </w:pPr>
      <w:r>
        <w:rPr>
          <w:rFonts w:ascii="Times New Roman" w:hAnsi="Times New Roman"/>
          <w:lang w:eastAsia="ko-KR"/>
        </w:rPr>
        <w:tab/>
      </w:r>
      <w:r w:rsidRPr="007013E5" w:rsidR="007013E5">
        <w:rPr>
          <w:rFonts w:ascii="Times New Roman" w:hAnsi="Times New Roman"/>
          <w:lang w:eastAsia="ko-KR"/>
        </w:rPr>
        <w:t xml:space="preserve">The 630 SFAs will be drawn using FSMC status (yes or no) as an explicit stratum. </w:t>
      </w:r>
      <w:r w:rsidR="009E12FE">
        <w:rPr>
          <w:rFonts w:ascii="Times New Roman" w:hAnsi="Times New Roman"/>
          <w:lang w:eastAsia="ko-KR"/>
        </w:rPr>
        <w:t xml:space="preserve">A total of </w:t>
      </w:r>
      <w:r w:rsidRPr="007013E5" w:rsidR="007013E5">
        <w:rPr>
          <w:rFonts w:ascii="Times New Roman" w:hAnsi="Times New Roman"/>
          <w:lang w:eastAsia="ko-KR"/>
        </w:rPr>
        <w:t>15</w:t>
      </w:r>
      <w:r w:rsidR="00ED3003">
        <w:rPr>
          <w:rFonts w:ascii="Times New Roman" w:hAnsi="Times New Roman"/>
          <w:lang w:eastAsia="ko-KR"/>
        </w:rPr>
        <w:t>8</w:t>
      </w:r>
      <w:r w:rsidRPr="007013E5" w:rsidR="007013E5">
        <w:rPr>
          <w:rFonts w:ascii="Times New Roman" w:hAnsi="Times New Roman"/>
          <w:lang w:eastAsia="ko-KR"/>
        </w:rPr>
        <w:t xml:space="preserve"> SFAs (one-quarter) will be drawn within the FSMC stratum, and 4</w:t>
      </w:r>
      <w:r w:rsidR="00ED3003">
        <w:rPr>
          <w:rFonts w:ascii="Times New Roman" w:hAnsi="Times New Roman"/>
          <w:lang w:eastAsia="ko-KR"/>
        </w:rPr>
        <w:t>72</w:t>
      </w:r>
      <w:r w:rsidRPr="007013E5" w:rsidR="007013E5">
        <w:rPr>
          <w:rFonts w:ascii="Times New Roman" w:hAnsi="Times New Roman"/>
          <w:lang w:eastAsia="ko-KR"/>
        </w:rPr>
        <w:t xml:space="preserve"> SFAs in the no</w:t>
      </w:r>
      <w:r w:rsidR="009A29DF">
        <w:rPr>
          <w:rFonts w:ascii="Times New Roman" w:hAnsi="Times New Roman"/>
          <w:lang w:eastAsia="ko-KR"/>
        </w:rPr>
        <w:t>n-FSMC stratum, to guarantee 25 percent</w:t>
      </w:r>
      <w:r w:rsidRPr="007013E5" w:rsidR="007013E5">
        <w:rPr>
          <w:rFonts w:ascii="Times New Roman" w:hAnsi="Times New Roman"/>
          <w:lang w:eastAsia="ko-KR"/>
        </w:rPr>
        <w:t xml:space="preserve"> of the sample in the FSMC stratum. Within the two explicit stratum, the sample will be drawn using systematic sampling with</w:t>
      </w:r>
      <w:r w:rsidR="005E14F0">
        <w:rPr>
          <w:rFonts w:ascii="Times New Roman" w:hAnsi="Times New Roman"/>
          <w:lang w:eastAsia="ko-KR"/>
        </w:rPr>
        <w:t xml:space="preserve"> the 10</w:t>
      </w:r>
      <w:r w:rsidRPr="007013E5" w:rsidR="007013E5">
        <w:rPr>
          <w:rFonts w:ascii="Times New Roman" w:hAnsi="Times New Roman"/>
          <w:lang w:eastAsia="ko-KR"/>
        </w:rPr>
        <w:t xml:space="preserve"> </w:t>
      </w:r>
      <w:r w:rsidR="009A29DF">
        <w:rPr>
          <w:rFonts w:ascii="Times New Roman" w:hAnsi="Times New Roman"/>
          <w:lang w:eastAsia="ko-KR"/>
        </w:rPr>
        <w:t>USDA Farm Production Region</w:t>
      </w:r>
      <w:r w:rsidR="008164DF">
        <w:rPr>
          <w:rFonts w:ascii="Times New Roman" w:hAnsi="Times New Roman"/>
          <w:lang w:eastAsia="ko-KR"/>
        </w:rPr>
        <w:t>s</w:t>
      </w:r>
      <w:r w:rsidR="009A29DF">
        <w:rPr>
          <w:rFonts w:ascii="Times New Roman" w:hAnsi="Times New Roman"/>
          <w:lang w:eastAsia="ko-KR"/>
        </w:rPr>
        <w:t xml:space="preserve"> </w:t>
      </w:r>
      <w:r w:rsidRPr="007013E5" w:rsidR="007013E5">
        <w:rPr>
          <w:rFonts w:ascii="Times New Roman" w:hAnsi="Times New Roman"/>
          <w:lang w:eastAsia="ko-KR"/>
        </w:rPr>
        <w:t>and size (enrollment) to determine the sort order. This will implement implicit stratification and allow for some control of sample sizes by FNS region (and also by size). The sample will be a Probability Proportionate</w:t>
      </w:r>
      <w:r w:rsidR="00852652">
        <w:rPr>
          <w:rFonts w:ascii="Times New Roman" w:hAnsi="Times New Roman"/>
          <w:lang w:eastAsia="ko-KR"/>
        </w:rPr>
        <w:t xml:space="preserve"> to Size (PPS) sample by size. </w:t>
      </w:r>
      <w:r w:rsidRPr="007013E5" w:rsidR="007013E5">
        <w:rPr>
          <w:rFonts w:ascii="Times New Roman" w:hAnsi="Times New Roman"/>
          <w:lang w:eastAsia="ko-KR"/>
        </w:rPr>
        <w:t xml:space="preserve">The sample of 630 SFAs will be divided into four quarters respecting the explicit and implicit stratification (in the FSMC stratum, there will be </w:t>
      </w:r>
      <w:r w:rsidR="001F37EB">
        <w:rPr>
          <w:rFonts w:ascii="Times New Roman" w:hAnsi="Times New Roman"/>
          <w:lang w:eastAsia="ko-KR"/>
        </w:rPr>
        <w:t>40</w:t>
      </w:r>
      <w:r w:rsidRPr="007013E5" w:rsidR="007013E5">
        <w:rPr>
          <w:rFonts w:ascii="Times New Roman" w:hAnsi="Times New Roman"/>
          <w:lang w:eastAsia="ko-KR"/>
        </w:rPr>
        <w:t xml:space="preserve">, </w:t>
      </w:r>
      <w:r w:rsidR="001F37EB">
        <w:rPr>
          <w:rFonts w:ascii="Times New Roman" w:hAnsi="Times New Roman"/>
          <w:lang w:eastAsia="ko-KR"/>
        </w:rPr>
        <w:t>40</w:t>
      </w:r>
      <w:r w:rsidRPr="007013E5" w:rsidR="007013E5">
        <w:rPr>
          <w:rFonts w:ascii="Times New Roman" w:hAnsi="Times New Roman"/>
          <w:lang w:eastAsia="ko-KR"/>
        </w:rPr>
        <w:t>, 39, and 3</w:t>
      </w:r>
      <w:r w:rsidR="001F37EB">
        <w:rPr>
          <w:rFonts w:ascii="Times New Roman" w:hAnsi="Times New Roman"/>
          <w:lang w:eastAsia="ko-KR"/>
        </w:rPr>
        <w:t>9</w:t>
      </w:r>
      <w:r w:rsidRPr="007013E5" w:rsidR="007013E5">
        <w:rPr>
          <w:rFonts w:ascii="Times New Roman" w:hAnsi="Times New Roman"/>
          <w:lang w:eastAsia="ko-KR"/>
        </w:rPr>
        <w:t xml:space="preserve"> SFAs for each quarterly sample). A </w:t>
      </w:r>
      <w:r w:rsidRPr="007013E5" w:rsidR="007013E5">
        <w:rPr>
          <w:rFonts w:ascii="Times New Roman" w:hAnsi="Times New Roman"/>
          <w:lang w:eastAsia="ko-KR"/>
        </w:rPr>
        <w:lastRenderedPageBreak/>
        <w:t>further reserve sample of 10</w:t>
      </w:r>
      <w:r w:rsidR="00852652">
        <w:rPr>
          <w:rFonts w:ascii="Times New Roman" w:hAnsi="Times New Roman"/>
          <w:lang w:eastAsia="ko-KR"/>
        </w:rPr>
        <w:t xml:space="preserve"> percent</w:t>
      </w:r>
      <w:r w:rsidRPr="007013E5" w:rsidR="007013E5">
        <w:rPr>
          <w:rFonts w:ascii="Times New Roman" w:hAnsi="Times New Roman"/>
          <w:lang w:eastAsia="ko-KR"/>
        </w:rPr>
        <w:t xml:space="preserve"> will be selected, again respecting the explicit and implicit stratification (and PPS by size design). </w:t>
      </w:r>
    </w:p>
    <w:p w:rsidR="00C84AD3" w:rsidP="00C84AD3" w:rsidRDefault="00C84AD3" w14:paraId="3DB2B8A3" w14:textId="1AB3C67D">
      <w:pPr>
        <w:pStyle w:val="Heading2"/>
        <w:rPr>
          <w:b/>
        </w:rPr>
      </w:pPr>
      <w:bookmarkStart w:name="_Toc29469610" w:id="27"/>
      <w:r>
        <w:rPr>
          <w:b/>
        </w:rPr>
        <w:t>Estimation procedure</w:t>
      </w:r>
      <w:r w:rsidR="00415D11">
        <w:rPr>
          <w:b/>
        </w:rPr>
        <w:t>s</w:t>
      </w:r>
      <w:bookmarkEnd w:id="27"/>
    </w:p>
    <w:p w:rsidRPr="006052E1" w:rsidR="006052E1" w:rsidP="00662EBE" w:rsidRDefault="006052E1" w14:paraId="3977AF7D" w14:textId="42BB7236">
      <w:pPr>
        <w:pStyle w:val="L1-FlLSp12"/>
        <w:tabs>
          <w:tab w:val="clear" w:pos="1152"/>
          <w:tab w:val="left" w:pos="720"/>
        </w:tabs>
        <w:spacing w:line="480" w:lineRule="auto"/>
        <w:rPr>
          <w:rFonts w:ascii="Times New Roman" w:hAnsi="Times New Roman"/>
          <w:lang w:eastAsia="ko-KR"/>
        </w:rPr>
      </w:pPr>
      <w:r>
        <w:rPr>
          <w:rFonts w:ascii="Times New Roman" w:hAnsi="Times New Roman" w:eastAsiaTheme="minorEastAsia"/>
          <w:lang w:eastAsia="ko-KR"/>
        </w:rPr>
        <w:tab/>
      </w:r>
      <w:r w:rsidRPr="006052E1">
        <w:rPr>
          <w:rFonts w:ascii="Times New Roman" w:hAnsi="Times New Roman" w:eastAsiaTheme="minorEastAsia"/>
          <w:lang w:eastAsia="ko-KR"/>
        </w:rPr>
        <w:t xml:space="preserve">In general, we need weights in the analysis to (1) reflect the differential probabilities of selection and (2) compensate for survey nonresponse. We will design the weights to produce nationally-representative estimates of the SFA population. The base weight for a sampled SFA is equal to the reciprocal of the probability of selecting the SFA from the sampling frame. Next, we will adjust the SFA base weight for nonresponse. We will make nonresponse adjustments within groups of SFAs referred to as “weighting classes” that are internally homogeneous with respect to response propensity. To construct the weighting classes, we will conduct a search analysis for cells that are homogeneous in response propensity. </w:t>
      </w:r>
      <w:r w:rsidRPr="006052E1">
        <w:rPr>
          <w:rFonts w:ascii="Times New Roman" w:hAnsi="Times New Roman"/>
          <w:lang w:eastAsia="ko-KR"/>
        </w:rPr>
        <w:t xml:space="preserve">We plan to check for extreme weights (which increases variance) and do trimming if necessary. We will carry out poststratification to adjust the SFA weights to frame-based control totals, to reduce variability. Poststratification cells will be based on factors such as urbanicity, SFA size, percent of children eligible for free or reduced-price meals. </w:t>
      </w:r>
    </w:p>
    <w:p w:rsidRPr="006052E1" w:rsidR="006052E1" w:rsidP="00662EBE" w:rsidRDefault="006052E1" w14:paraId="2F944B0C" w14:textId="4248074B">
      <w:pPr>
        <w:pStyle w:val="L1-FlLSp12"/>
        <w:tabs>
          <w:tab w:val="clear" w:pos="1152"/>
          <w:tab w:val="left" w:pos="720"/>
        </w:tabs>
        <w:spacing w:line="480" w:lineRule="auto"/>
        <w:rPr>
          <w:rFonts w:ascii="Times New Roman" w:hAnsi="Times New Roman"/>
        </w:rPr>
      </w:pPr>
      <w:r>
        <w:rPr>
          <w:rFonts w:ascii="Times New Roman" w:hAnsi="Times New Roman"/>
          <w:lang w:eastAsia="ko-KR"/>
        </w:rPr>
        <w:tab/>
      </w:r>
      <w:r w:rsidRPr="006052E1">
        <w:rPr>
          <w:rFonts w:ascii="Times New Roman" w:hAnsi="Times New Roman"/>
        </w:rPr>
        <w:t xml:space="preserve">To adjust for nonresponse bias, we </w:t>
      </w:r>
      <w:r>
        <w:rPr>
          <w:rFonts w:ascii="Times New Roman" w:hAnsi="Times New Roman"/>
        </w:rPr>
        <w:t>will make</w:t>
      </w:r>
      <w:r w:rsidRPr="006052E1">
        <w:rPr>
          <w:rFonts w:ascii="Times New Roman" w:hAnsi="Times New Roman"/>
        </w:rPr>
        <w:t xml:space="preserve"> nonresponse adjustments to offset differences in response propensity. This will prevent systematic differences in response propensity that may cause biases in the estimates. We </w:t>
      </w:r>
      <w:r>
        <w:rPr>
          <w:rFonts w:ascii="Times New Roman" w:hAnsi="Times New Roman"/>
        </w:rPr>
        <w:t>will use</w:t>
      </w:r>
      <w:r w:rsidRPr="006052E1">
        <w:rPr>
          <w:rFonts w:ascii="Times New Roman" w:hAnsi="Times New Roman"/>
        </w:rPr>
        <w:t xml:space="preserve"> a cell-based approach where weighting cells that are heterogeneous in response propensity are developed based on an analysis of response propensity, with weighting adjustments equal to the inverse of weighted response rates within the selected weighting cells.</w:t>
      </w:r>
      <w:r w:rsidRPr="006052E1">
        <w:rPr>
          <w:rStyle w:val="FootnoteReference"/>
          <w:rFonts w:ascii="Times New Roman" w:hAnsi="Times New Roman"/>
        </w:rPr>
        <w:footnoteReference w:id="3"/>
      </w:r>
    </w:p>
    <w:p w:rsidRPr="006052E1" w:rsidR="006052E1" w:rsidP="00662EBE" w:rsidRDefault="006052E1" w14:paraId="67482FCD" w14:textId="5E29CF66">
      <w:pPr>
        <w:pStyle w:val="L1-FlLSp12"/>
        <w:tabs>
          <w:tab w:val="clear" w:pos="1152"/>
          <w:tab w:val="left" w:pos="720"/>
        </w:tabs>
        <w:spacing w:line="480" w:lineRule="auto"/>
        <w:rPr>
          <w:rFonts w:ascii="Times New Roman" w:hAnsi="Times New Roman"/>
          <w:lang w:eastAsia="ko-KR"/>
        </w:rPr>
      </w:pPr>
      <w:r>
        <w:rPr>
          <w:rFonts w:ascii="Times New Roman" w:hAnsi="Times New Roman"/>
          <w:lang w:eastAsia="ko-KR"/>
        </w:rPr>
        <w:lastRenderedPageBreak/>
        <w:tab/>
      </w:r>
      <w:r w:rsidRPr="006052E1">
        <w:rPr>
          <w:rFonts w:ascii="Times New Roman" w:hAnsi="Times New Roman"/>
          <w:lang w:eastAsia="ko-KR"/>
        </w:rPr>
        <w:t xml:space="preserve">We will use jackknife replicate weights to estimate variance for estimation and analysis purposes. Replication weights can be utilized now by many commercially available software packages (SAS, WesVar, STATA) to provide consistent variance estimates for a wide variety of population totals, means, percentiles, ratios, model parameter coefficients, etc. We will form the jackknife by systematically deleting small sets of sample units for each replicate, and reweighting the remaining sample units. Each set of replicate weights will be put through the weighting algorithms so that the replicate weights reflect nonresponse adjustments and poststratification (raking) adjustments, as is standard practice. </w:t>
      </w:r>
    </w:p>
    <w:p w:rsidR="006052E1" w:rsidP="006052E1" w:rsidRDefault="006052E1" w14:paraId="01E36D28" w14:textId="77777777">
      <w:pPr>
        <w:pStyle w:val="L1-FlLSp12"/>
        <w:spacing w:line="360" w:lineRule="auto"/>
      </w:pPr>
    </w:p>
    <w:p w:rsidR="00C84AD3" w:rsidP="00C84AD3" w:rsidRDefault="00C84AD3" w14:paraId="0C622B32" w14:textId="238C2E2D">
      <w:pPr>
        <w:pStyle w:val="Heading2"/>
        <w:rPr>
          <w:b/>
        </w:rPr>
      </w:pPr>
      <w:bookmarkStart w:name="_Toc29469611" w:id="28"/>
      <w:r>
        <w:rPr>
          <w:b/>
        </w:rPr>
        <w:t>Degree of accuracy needed for the purpose described in the justification</w:t>
      </w:r>
      <w:bookmarkEnd w:id="28"/>
    </w:p>
    <w:p w:rsidRPr="00603369" w:rsidR="00F30DB2" w:rsidP="00662EBE" w:rsidRDefault="002520A2" w14:paraId="11E15F04" w14:textId="077A204F">
      <w:pPr>
        <w:rPr>
          <w:rFonts w:ascii="Times New Roman" w:hAnsi="Times New Roman" w:cs="Times New Roman"/>
        </w:rPr>
      </w:pPr>
      <w:r w:rsidRPr="002520A2">
        <w:rPr>
          <w:rFonts w:ascii="Times New Roman" w:hAnsi="Times New Roman" w:cs="Times New Roman"/>
        </w:rPr>
        <w:t xml:space="preserve">FNS requires that the survey sample design will result in a nationally representative sample of SFAs. </w:t>
      </w:r>
      <w:r>
        <w:rPr>
          <w:rFonts w:ascii="Times New Roman" w:hAnsi="Times New Roman" w:cs="Times New Roman"/>
        </w:rPr>
        <w:t>Additionally, FNS requires t</w:t>
      </w:r>
      <w:r w:rsidRPr="002520A2" w:rsidR="00984470">
        <w:rPr>
          <w:rFonts w:ascii="Times New Roman" w:hAnsi="Times New Roman" w:cs="Times New Roman"/>
        </w:rPr>
        <w:t>he</w:t>
      </w:r>
      <w:r w:rsidRPr="00603369" w:rsidR="00984470">
        <w:rPr>
          <w:rFonts w:ascii="Times New Roman" w:hAnsi="Times New Roman" w:cs="Times New Roman"/>
        </w:rPr>
        <w:t xml:space="preserve"> sample design will achieve precision levels of +/-5 percent at the national level and +/-10 percent at the subgroup level.</w:t>
      </w:r>
      <w:r w:rsidRPr="00603369" w:rsidR="00F30DB2">
        <w:rPr>
          <w:rFonts w:ascii="Times New Roman" w:hAnsi="Times New Roman" w:cs="Times New Roman"/>
        </w:rPr>
        <w:t xml:space="preserve">  There are two potential sources of design effects (increase in variance) that we need to account for when determining the required sample size. First, the nonresponse weighting adjustments will induce a small design effect. We assume a </w:t>
      </w:r>
      <w:r w:rsidR="0006759E">
        <w:rPr>
          <w:rFonts w:ascii="Times New Roman" w:hAnsi="Times New Roman" w:cs="Times New Roman"/>
        </w:rPr>
        <w:t>four</w:t>
      </w:r>
      <w:r w:rsidRPr="00603369" w:rsidR="0006759E">
        <w:rPr>
          <w:rFonts w:ascii="Times New Roman" w:hAnsi="Times New Roman" w:cs="Times New Roman"/>
        </w:rPr>
        <w:t xml:space="preserve"> </w:t>
      </w:r>
      <w:r w:rsidRPr="00603369" w:rsidR="00F30DB2">
        <w:rPr>
          <w:rFonts w:ascii="Times New Roman" w:hAnsi="Times New Roman" w:cs="Times New Roman"/>
        </w:rPr>
        <w:t>percent increase in variance,</w:t>
      </w:r>
      <w:r w:rsidRPr="00603369" w:rsidR="00F30DB2">
        <w:rPr>
          <w:rFonts w:ascii="Times New Roman" w:hAnsi="Times New Roman" w:cs="Times New Roman"/>
          <w:vertAlign w:val="superscript"/>
        </w:rPr>
        <w:footnoteReference w:id="4"/>
      </w:r>
      <w:r w:rsidRPr="00603369" w:rsidR="00F30DB2">
        <w:rPr>
          <w:rFonts w:ascii="Times New Roman" w:hAnsi="Times New Roman" w:cs="Times New Roman"/>
        </w:rPr>
        <w:t xml:space="preserve"> which should be offset in slightly higher sample sizes. Another sample design issue is the need to oversample </w:t>
      </w:r>
      <w:r w:rsidR="009A29DF">
        <w:rPr>
          <w:rFonts w:ascii="Times New Roman" w:hAnsi="Times New Roman" w:cs="Times New Roman"/>
        </w:rPr>
        <w:t>SFAs that use FSMCs.</w:t>
      </w:r>
      <w:r w:rsidRPr="00603369" w:rsidR="00F30DB2">
        <w:rPr>
          <w:rFonts w:ascii="Times New Roman" w:hAnsi="Times New Roman" w:cs="Times New Roman"/>
        </w:rPr>
        <w:t xml:space="preserve"> Assuming proportional sampling, any subgroup which is at least one-quarter of the universe will have a sample size of at least 100, achieving the ±10 percent precision target. Assuming that 20 </w:t>
      </w:r>
      <w:r w:rsidRPr="00603369" w:rsidR="00F30DB2">
        <w:rPr>
          <w:rFonts w:ascii="Times New Roman" w:hAnsi="Times New Roman" w:cs="Times New Roman"/>
        </w:rPr>
        <w:lastRenderedPageBreak/>
        <w:t>percent of SFAs use FSMCs, the total sample size would need to be 404 in order to achieve the 10 percent precision target for FSMC SFAs.</w:t>
      </w:r>
      <w:r w:rsidRPr="00603369" w:rsidR="00F30DB2">
        <w:rPr>
          <w:rFonts w:ascii="Times New Roman" w:hAnsi="Times New Roman" w:cs="Times New Roman"/>
          <w:vertAlign w:val="superscript"/>
        </w:rPr>
        <w:footnoteReference w:id="5"/>
      </w:r>
    </w:p>
    <w:p w:rsidRPr="00603369" w:rsidR="00F30DB2" w:rsidP="00662EBE" w:rsidRDefault="00F30DB2" w14:paraId="20615E85" w14:textId="754346CD">
      <w:pPr>
        <w:rPr>
          <w:rFonts w:ascii="Times New Roman" w:hAnsi="Times New Roman" w:cs="Times New Roman"/>
          <w:szCs w:val="24"/>
        </w:rPr>
      </w:pPr>
      <w:r w:rsidRPr="00603369">
        <w:rPr>
          <w:rFonts w:ascii="Times New Roman" w:hAnsi="Times New Roman" w:cs="Times New Roman"/>
          <w:szCs w:val="24"/>
        </w:rPr>
        <w:t>To offset the various design effects and the need to oversample SFAs that use FSMCs, we propose a sample size of 420 SFAs. For sample percentages based on binary (0-1) questionnaire items, the maximum standard error occurs with a sample percentage of 50 percent.</w:t>
      </w:r>
      <w:r w:rsidRPr="00603369">
        <w:rPr>
          <w:rFonts w:ascii="Times New Roman" w:hAnsi="Times New Roman" w:cs="Times New Roman"/>
          <w:szCs w:val="24"/>
          <w:vertAlign w:val="superscript"/>
        </w:rPr>
        <w:footnoteReference w:id="6"/>
      </w:r>
      <w:r w:rsidRPr="00603369">
        <w:rPr>
          <w:rFonts w:ascii="Times New Roman" w:hAnsi="Times New Roman" w:cs="Times New Roman"/>
          <w:szCs w:val="24"/>
        </w:rPr>
        <w:t xml:space="preserve"> Assuming the design effects noted above, a sample size of 420 is sufficient to achieve the half-width of ±5 percent and a sample size of 100 is sufficient to achieve the half-width of ±10 percent for subgroups. Percentages that are aggregations of SFA-level percentages (for example, the percentage of food acquisitions that are vegetables by weight), will have lower standard errors because the population standard deviation is smaller for this type of percentage.</w:t>
      </w:r>
      <w:r w:rsidRPr="00603369">
        <w:rPr>
          <w:rFonts w:ascii="Times New Roman" w:hAnsi="Times New Roman" w:cs="Times New Roman"/>
          <w:szCs w:val="24"/>
          <w:vertAlign w:val="superscript"/>
        </w:rPr>
        <w:footnoteReference w:id="7"/>
      </w:r>
      <w:r w:rsidRPr="00603369">
        <w:rPr>
          <w:rFonts w:ascii="Times New Roman" w:hAnsi="Times New Roman" w:cs="Times New Roman"/>
          <w:szCs w:val="24"/>
        </w:rPr>
        <w:t xml:space="preserve"> Thus, the sample size of 420 based on the simple binary sample percentage of 50 percent is comfortably conservative. All other sample percentages will have lower standard errors and higher precision. </w:t>
      </w:r>
    </w:p>
    <w:p w:rsidRPr="00603369" w:rsidR="00F30DB2" w:rsidP="00662EBE" w:rsidRDefault="002520A2" w14:paraId="46C202EF" w14:textId="64DCF7FD">
      <w:pPr>
        <w:pStyle w:val="L1-FlLSp12"/>
        <w:tabs>
          <w:tab w:val="clear" w:pos="1152"/>
          <w:tab w:val="left" w:pos="720"/>
        </w:tabs>
        <w:spacing w:line="480" w:lineRule="auto"/>
        <w:rPr>
          <w:rFonts w:ascii="Times New Roman" w:hAnsi="Times New Roman"/>
        </w:rPr>
      </w:pPr>
      <w:r>
        <w:rPr>
          <w:rFonts w:ascii="Times New Roman" w:hAnsi="Times New Roman"/>
        </w:rPr>
        <w:tab/>
        <w:t>Additionally, FNS requires that the</w:t>
      </w:r>
      <w:r w:rsidRPr="00603369" w:rsidR="00F30DB2">
        <w:rPr>
          <w:rFonts w:ascii="Times New Roman" w:hAnsi="Times New Roman"/>
        </w:rPr>
        <w:t xml:space="preserve"> sample design will also support comparisons among subgroups of SFAs. </w:t>
      </w:r>
      <w:r w:rsidRPr="00603369" w:rsidR="00E21357">
        <w:rPr>
          <w:rFonts w:ascii="Times New Roman" w:hAnsi="Times New Roman"/>
        </w:rPr>
        <w:t>Table B2</w:t>
      </w:r>
      <w:r w:rsidRPr="00603369" w:rsidR="00F30DB2">
        <w:rPr>
          <w:rFonts w:ascii="Times New Roman" w:hAnsi="Times New Roman"/>
        </w:rPr>
        <w:t xml:space="preserve"> provides Minimum Detectable Effect Sizes (MDESs) and Minimum Detectable Differences (MDDs) for a sample size of 420 SFAs (which, after accounting for the design effects is an effective sample size of 400). The sample is split between two subgroups of size 210 and 210 (half the sample as against the complement), and two </w:t>
      </w:r>
      <w:r w:rsidRPr="00603369" w:rsidR="00F30DB2">
        <w:rPr>
          <w:rFonts w:ascii="Times New Roman" w:hAnsi="Times New Roman"/>
        </w:rPr>
        <w:lastRenderedPageBreak/>
        <w:t>subgroups of size 105 and 315 (one quarter of the sample as against the complement).</w:t>
      </w:r>
      <w:r w:rsidRPr="00603369" w:rsidR="00F30DB2">
        <w:rPr>
          <w:rFonts w:ascii="Times New Roman" w:hAnsi="Times New Roman"/>
          <w:vertAlign w:val="superscript"/>
        </w:rPr>
        <w:footnoteReference w:id="8"/>
      </w:r>
      <w:r w:rsidRPr="00603369" w:rsidR="00F30DB2">
        <w:rPr>
          <w:rFonts w:ascii="Times New Roman" w:hAnsi="Times New Roman"/>
        </w:rPr>
        <w:t xml:space="preserve"> The latter would be similar to the split expected when comparing SFAs that use FSMCs to those that do not. The MDES is the minimum difference in mean percentages that can be detected as a fraction of the null population mean.</w:t>
      </w:r>
      <w:r w:rsidRPr="00603369" w:rsidR="00F30DB2">
        <w:rPr>
          <w:rFonts w:ascii="Times New Roman" w:hAnsi="Times New Roman"/>
          <w:vertAlign w:val="superscript"/>
        </w:rPr>
        <w:footnoteReference w:id="9"/>
      </w:r>
      <w:r w:rsidRPr="00603369" w:rsidR="00F30DB2">
        <w:rPr>
          <w:rFonts w:ascii="Times New Roman" w:hAnsi="Times New Roman"/>
        </w:rPr>
        <w:t xml:space="preserve"> MDESs of less than 20 percent are considered acceptable. The MDD is the percentage point difference corresponding to the MDES. </w:t>
      </w:r>
    </w:p>
    <w:p w:rsidRPr="00603369" w:rsidR="00F30DB2" w:rsidP="00662EBE" w:rsidRDefault="002520A2" w14:paraId="7F2DC4C9" w14:textId="00FBFC9D">
      <w:pPr>
        <w:pStyle w:val="L1-FlLSp12"/>
        <w:tabs>
          <w:tab w:val="clear" w:pos="1152"/>
          <w:tab w:val="left" w:pos="720"/>
        </w:tabs>
        <w:spacing w:line="480" w:lineRule="auto"/>
        <w:rPr>
          <w:rFonts w:ascii="Times New Roman" w:hAnsi="Times New Roman"/>
        </w:rPr>
      </w:pPr>
      <w:r>
        <w:rPr>
          <w:rFonts w:ascii="Times New Roman" w:hAnsi="Times New Roman"/>
        </w:rPr>
        <w:tab/>
      </w:r>
      <w:r w:rsidRPr="00603369" w:rsidR="00F30DB2">
        <w:rPr>
          <w:rFonts w:ascii="Times New Roman" w:hAnsi="Times New Roman"/>
        </w:rPr>
        <w:t>One challenge of calculating MDDs for the study is that there are numerous foods items, groups, and subgroups which may be compared. Therefore, we present a range of population mean percentages from 5 percent to 20 percent. Food groups of interest for comparison over time fall within these ranges. For example, in SFPS-III, vegetables accounted for 9 percent of all food acquisitions by SFAs and milk accounted for 22 percent of all food acquisitions. MDD calculations require an assumption about the size of population standard deviation. We assume that the standard deviation is 25 percent of the mean (a low to moderate amount of dispersion) and 50 percent of the mean (a moderate to high amount of dispersion).</w:t>
      </w:r>
      <w:r w:rsidRPr="00603369" w:rsidR="00F30DB2">
        <w:rPr>
          <w:rFonts w:ascii="Times New Roman" w:hAnsi="Times New Roman"/>
          <w:vertAlign w:val="superscript"/>
        </w:rPr>
        <w:t xml:space="preserve"> </w:t>
      </w:r>
      <w:r w:rsidRPr="00603369" w:rsidR="00F30DB2">
        <w:rPr>
          <w:rFonts w:ascii="Times New Roman" w:hAnsi="Times New Roman"/>
          <w:vertAlign w:val="superscript"/>
        </w:rPr>
        <w:footnoteReference w:id="10"/>
      </w:r>
      <w:r w:rsidRPr="00603369" w:rsidR="00F30DB2">
        <w:rPr>
          <w:rFonts w:ascii="Times New Roman" w:hAnsi="Times New Roman"/>
        </w:rPr>
        <w:t xml:space="preserve"> Table B2 shows that for a mean percentage of 10 percent and a moderate/high amount of dispersion, the M</w:t>
      </w:r>
      <w:r w:rsidR="00852652">
        <w:rPr>
          <w:rFonts w:ascii="Times New Roman" w:hAnsi="Times New Roman"/>
        </w:rPr>
        <w:t>D</w:t>
      </w:r>
      <w:r w:rsidRPr="00603369" w:rsidR="00F30DB2">
        <w:rPr>
          <w:rFonts w:ascii="Times New Roman" w:hAnsi="Times New Roman"/>
        </w:rPr>
        <w:t xml:space="preserve">ES </w:t>
      </w:r>
      <w:r w:rsidR="00852652">
        <w:rPr>
          <w:rFonts w:ascii="Times New Roman" w:hAnsi="Times New Roman"/>
        </w:rPr>
        <w:t xml:space="preserve">is </w:t>
      </w:r>
      <w:r w:rsidRPr="00603369" w:rsidR="00F30DB2">
        <w:rPr>
          <w:rFonts w:ascii="Times New Roman" w:hAnsi="Times New Roman"/>
        </w:rPr>
        <w:t>14.6 percent, which in turn translates to an MDD</w:t>
      </w:r>
      <w:r w:rsidR="00852652">
        <w:rPr>
          <w:rFonts w:ascii="Times New Roman" w:hAnsi="Times New Roman"/>
        </w:rPr>
        <w:t xml:space="preserve"> of 1.46 percent. While the MDESs</w:t>
      </w:r>
      <w:r w:rsidRPr="00603369" w:rsidR="00F30DB2">
        <w:rPr>
          <w:rFonts w:ascii="Times New Roman" w:hAnsi="Times New Roman"/>
        </w:rPr>
        <w:t xml:space="preserve"> are higher for the 75/25 split assuming a moderate/high amount of dispersion, all of the MDESs are below the acceptable threshold of 20 percent. Disaggregated food subgroups or individual food items (such as low fat milk or whole grains) with population percentages of less than 5 percent would have even smaller MDDs than those presented here. Therefore, we believe that the corresponding MDDs are acceptable. </w:t>
      </w:r>
    </w:p>
    <w:p w:rsidRPr="00830326" w:rsidR="00F30DB2" w:rsidP="00F30DB2" w:rsidRDefault="00F30DB2" w14:paraId="19E34DD4" w14:textId="77777777">
      <w:pPr>
        <w:pStyle w:val="L1-FlLSp12"/>
      </w:pPr>
    </w:p>
    <w:p w:rsidR="00F30DB2" w:rsidP="00F30DB2" w:rsidRDefault="00F30DB2" w14:paraId="059CDADC" w14:textId="77777777">
      <w:pPr>
        <w:pStyle w:val="Caption"/>
      </w:pPr>
      <w:bookmarkStart w:name="_Toc477420189" w:id="29"/>
      <w:r>
        <w:t xml:space="preserve">Table B2. Statistical Precision and Minimum Detectable Differences </w:t>
      </w:r>
      <w:bookmarkEnd w:id="29"/>
    </w:p>
    <w:tbl>
      <w:tblPr>
        <w:tblStyle w:val="Table5-WPN17-XXX111"/>
        <w:tblW w:w="5000" w:type="pct"/>
        <w:tblInd w:w="0" w:type="dxa"/>
        <w:tblBorders>
          <w:top w:val="single" w:color="auto" w:sz="4" w:space="0"/>
          <w:bottom w:val="single" w:color="auto" w:sz="4" w:space="0"/>
          <w:right w:val="single" w:color="auto" w:sz="8" w:space="0"/>
          <w:insideH w:val="single" w:color="auto" w:sz="4" w:space="0"/>
          <w:insideV w:val="single" w:color="auto" w:sz="4" w:space="0"/>
        </w:tblBorders>
        <w:tblLook w:val="04A0" w:firstRow="1" w:lastRow="0" w:firstColumn="1" w:lastColumn="0" w:noHBand="0" w:noVBand="1"/>
      </w:tblPr>
      <w:tblGrid>
        <w:gridCol w:w="2098"/>
        <w:gridCol w:w="898"/>
        <w:gridCol w:w="899"/>
        <w:gridCol w:w="899"/>
        <w:gridCol w:w="902"/>
        <w:gridCol w:w="931"/>
        <w:gridCol w:w="900"/>
        <w:gridCol w:w="931"/>
        <w:gridCol w:w="902"/>
      </w:tblGrid>
      <w:tr w:rsidRPr="00F30DB2" w:rsidR="00F30DB2" w:rsidTr="0096171C" w14:paraId="628FBEE2"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1" w:type="pct"/>
            <w:vMerge w:val="restart"/>
            <w:tcBorders>
              <w:right w:val="single" w:color="auto" w:sz="4" w:space="0"/>
            </w:tcBorders>
            <w:shd w:val="clear" w:color="auto" w:fill="AFBED7"/>
            <w:vAlign w:val="bottom"/>
          </w:tcPr>
          <w:p w:rsidRPr="00F30DB2" w:rsidR="00F30DB2" w:rsidP="00F30DB2" w:rsidRDefault="00F30DB2" w14:paraId="2205CE94" w14:textId="77777777">
            <w:pPr>
              <w:keepNext/>
              <w:keepLines/>
              <w:spacing w:before="48" w:after="48" w:line="240" w:lineRule="atLeast"/>
              <w:ind w:firstLine="0"/>
              <w:rPr>
                <w:rFonts w:ascii="Franklin Gothic Medium" w:hAnsi="Franklin Gothic Medium"/>
                <w:b/>
                <w:color w:val="auto"/>
                <w:sz w:val="20"/>
              </w:rPr>
            </w:pPr>
            <w:r w:rsidRPr="00F30DB2">
              <w:rPr>
                <w:rFonts w:ascii="Franklin Gothic Medium" w:hAnsi="Franklin Gothic Medium"/>
                <w:b/>
                <w:color w:val="auto"/>
                <w:sz w:val="20"/>
              </w:rPr>
              <w:t>Population percent</w:t>
            </w:r>
          </w:p>
        </w:tc>
        <w:tc>
          <w:tcPr>
            <w:tcW w:w="1922" w:type="pct"/>
            <w:gridSpan w:val="4"/>
            <w:tcBorders>
              <w:left w:val="single" w:color="auto" w:sz="4" w:space="0"/>
              <w:right w:val="single" w:color="auto" w:sz="4" w:space="0"/>
            </w:tcBorders>
            <w:shd w:val="clear" w:color="auto" w:fill="AFBED7"/>
            <w:vAlign w:val="bottom"/>
          </w:tcPr>
          <w:p w:rsidRPr="00F30DB2" w:rsidR="00F30DB2" w:rsidP="00F30DB2" w:rsidRDefault="00F30DB2" w14:paraId="53D2CAA6" w14:textId="77777777">
            <w:pPr>
              <w:keepNext/>
              <w:keepLines/>
              <w:spacing w:before="48" w:after="48" w:line="240" w:lineRule="atLeast"/>
              <w:ind w:firstLine="0"/>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color w:val="auto"/>
                <w:sz w:val="20"/>
              </w:rPr>
            </w:pPr>
            <w:r w:rsidRPr="00F30DB2">
              <w:rPr>
                <w:rFonts w:ascii="Franklin Gothic Medium" w:hAnsi="Franklin Gothic Medium"/>
                <w:b/>
                <w:color w:val="auto"/>
                <w:sz w:val="20"/>
              </w:rPr>
              <w:t>Low/Moderate Std. Dev.</w:t>
            </w:r>
          </w:p>
          <w:p w:rsidRPr="00F30DB2" w:rsidR="00F30DB2" w:rsidP="00F30DB2" w:rsidRDefault="00F30DB2" w14:paraId="58B515B3" w14:textId="77777777">
            <w:pPr>
              <w:keepNext/>
              <w:keepLines/>
              <w:spacing w:before="48" w:after="48" w:line="240" w:lineRule="atLeast"/>
              <w:ind w:firstLine="0"/>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color w:val="auto"/>
                <w:sz w:val="20"/>
              </w:rPr>
            </w:pPr>
            <w:r w:rsidRPr="00F30DB2">
              <w:rPr>
                <w:rFonts w:ascii="Franklin Gothic Medium" w:hAnsi="Franklin Gothic Medium"/>
                <w:b/>
                <w:color w:val="auto"/>
                <w:sz w:val="20"/>
              </w:rPr>
              <w:t>(Std. Dev. = 25% of Mean)</w:t>
            </w:r>
          </w:p>
        </w:tc>
        <w:tc>
          <w:tcPr>
            <w:tcW w:w="1957" w:type="pct"/>
            <w:gridSpan w:val="4"/>
            <w:tcBorders>
              <w:left w:val="single" w:color="auto" w:sz="4" w:space="0"/>
              <w:right w:val="nil"/>
            </w:tcBorders>
            <w:shd w:val="clear" w:color="auto" w:fill="AFBED7"/>
            <w:vAlign w:val="bottom"/>
          </w:tcPr>
          <w:p w:rsidRPr="00F30DB2" w:rsidR="00F30DB2" w:rsidP="00F30DB2" w:rsidRDefault="00F30DB2" w14:paraId="360E543C" w14:textId="77777777">
            <w:pPr>
              <w:keepNext/>
              <w:keepLines/>
              <w:spacing w:before="48" w:after="48" w:line="240" w:lineRule="atLeast"/>
              <w:ind w:firstLine="0"/>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color w:val="auto"/>
                <w:sz w:val="20"/>
              </w:rPr>
            </w:pPr>
            <w:r w:rsidRPr="00F30DB2">
              <w:rPr>
                <w:rFonts w:ascii="Franklin Gothic Medium" w:hAnsi="Franklin Gothic Medium"/>
                <w:b/>
                <w:color w:val="auto"/>
                <w:sz w:val="20"/>
              </w:rPr>
              <w:t>Moderate/High Std. Dev.</w:t>
            </w:r>
          </w:p>
          <w:p w:rsidRPr="00F30DB2" w:rsidR="00F30DB2" w:rsidP="00F30DB2" w:rsidRDefault="00F30DB2" w14:paraId="5EC26453" w14:textId="77777777">
            <w:pPr>
              <w:keepNext/>
              <w:keepLines/>
              <w:spacing w:before="48" w:after="48" w:line="240" w:lineRule="atLeast"/>
              <w:ind w:firstLine="0"/>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color w:val="auto"/>
                <w:sz w:val="20"/>
              </w:rPr>
            </w:pPr>
            <w:r w:rsidRPr="00F30DB2">
              <w:rPr>
                <w:rFonts w:ascii="Franklin Gothic Medium" w:hAnsi="Franklin Gothic Medium"/>
                <w:b/>
                <w:color w:val="auto"/>
                <w:sz w:val="20"/>
              </w:rPr>
              <w:t>(Std. Dev. = 50% of Mean)</w:t>
            </w:r>
          </w:p>
        </w:tc>
      </w:tr>
      <w:tr w:rsidRPr="00F30DB2" w:rsidR="00F30DB2" w:rsidTr="0096171C" w14:paraId="09C359DC" w14:textId="77777777">
        <w:trPr>
          <w:trHeight w:val="20"/>
        </w:trPr>
        <w:tc>
          <w:tcPr>
            <w:cnfStyle w:val="001000000000" w:firstRow="0" w:lastRow="0" w:firstColumn="1" w:lastColumn="0" w:oddVBand="0" w:evenVBand="0" w:oddHBand="0" w:evenHBand="0" w:firstRowFirstColumn="0" w:firstRowLastColumn="0" w:lastRowFirstColumn="0" w:lastRowLastColumn="0"/>
            <w:tcW w:w="1121" w:type="pct"/>
            <w:vMerge/>
            <w:shd w:val="clear" w:color="auto" w:fill="AFBED7"/>
          </w:tcPr>
          <w:p w:rsidRPr="00F30DB2" w:rsidR="00F30DB2" w:rsidP="00F30DB2" w:rsidRDefault="00F30DB2" w14:paraId="3F9AD22C" w14:textId="77777777">
            <w:pPr>
              <w:keepNext/>
              <w:keepLines/>
              <w:spacing w:after="0" w:line="240" w:lineRule="atLeast"/>
              <w:ind w:firstLine="0"/>
              <w:jc w:val="center"/>
              <w:rPr>
                <w:rFonts w:ascii="Franklin Gothic Medium" w:hAnsi="Franklin Gothic Medium"/>
                <w:b/>
                <w:color w:val="auto"/>
                <w:sz w:val="20"/>
              </w:rPr>
            </w:pPr>
          </w:p>
        </w:tc>
        <w:tc>
          <w:tcPr>
            <w:tcW w:w="960" w:type="pct"/>
            <w:gridSpan w:val="2"/>
            <w:shd w:val="clear" w:color="auto" w:fill="AFBED7"/>
            <w:vAlign w:val="bottom"/>
          </w:tcPr>
          <w:p w:rsidRPr="00F30DB2" w:rsidR="00F30DB2" w:rsidP="00F30DB2" w:rsidRDefault="00F30DB2" w14:paraId="317DB54E" w14:textId="77777777">
            <w:pPr>
              <w:keepNext/>
              <w:keepLines/>
              <w:spacing w:after="0" w:line="240" w:lineRule="atLeast"/>
              <w:ind w:firstLine="0"/>
              <w:jc w:val="center"/>
              <w:cnfStyle w:val="000000000000" w:firstRow="0" w:lastRow="0" w:firstColumn="0" w:lastColumn="0" w:oddVBand="0" w:evenVBand="0" w:oddHBand="0" w:evenHBand="0" w:firstRowFirstColumn="0" w:firstRowLastColumn="0" w:lastRowFirstColumn="0" w:lastRowLastColumn="0"/>
              <w:rPr>
                <w:rFonts w:ascii="Franklin Gothic Medium" w:hAnsi="Franklin Gothic Medium"/>
                <w:b/>
                <w:color w:val="auto"/>
                <w:sz w:val="20"/>
              </w:rPr>
            </w:pPr>
            <w:r w:rsidRPr="00F30DB2">
              <w:rPr>
                <w:rFonts w:ascii="Franklin Gothic Medium" w:hAnsi="Franklin Gothic Medium"/>
                <w:b/>
                <w:color w:val="auto"/>
                <w:sz w:val="20"/>
              </w:rPr>
              <w:t>50/50 split</w:t>
            </w:r>
          </w:p>
        </w:tc>
        <w:tc>
          <w:tcPr>
            <w:tcW w:w="962" w:type="pct"/>
            <w:gridSpan w:val="2"/>
            <w:shd w:val="clear" w:color="auto" w:fill="AFBED7"/>
            <w:vAlign w:val="bottom"/>
          </w:tcPr>
          <w:p w:rsidRPr="00F30DB2" w:rsidR="00F30DB2" w:rsidP="00F30DB2" w:rsidRDefault="00F30DB2" w14:paraId="3EA14A93" w14:textId="77777777">
            <w:pPr>
              <w:keepNext/>
              <w:keepLines/>
              <w:spacing w:after="0" w:line="240" w:lineRule="atLeast"/>
              <w:ind w:firstLine="0"/>
              <w:jc w:val="center"/>
              <w:cnfStyle w:val="000000000000" w:firstRow="0" w:lastRow="0" w:firstColumn="0" w:lastColumn="0" w:oddVBand="0" w:evenVBand="0" w:oddHBand="0" w:evenHBand="0" w:firstRowFirstColumn="0" w:firstRowLastColumn="0" w:lastRowFirstColumn="0" w:lastRowLastColumn="0"/>
              <w:rPr>
                <w:rFonts w:ascii="Franklin Gothic Medium" w:hAnsi="Franklin Gothic Medium"/>
                <w:b/>
                <w:color w:val="auto"/>
                <w:sz w:val="20"/>
              </w:rPr>
            </w:pPr>
            <w:r w:rsidRPr="00F30DB2">
              <w:rPr>
                <w:rFonts w:ascii="Franklin Gothic Medium" w:hAnsi="Franklin Gothic Medium"/>
                <w:b/>
                <w:color w:val="auto"/>
                <w:sz w:val="20"/>
              </w:rPr>
              <w:t>75/25 split</w:t>
            </w:r>
          </w:p>
        </w:tc>
        <w:tc>
          <w:tcPr>
            <w:tcW w:w="978" w:type="pct"/>
            <w:gridSpan w:val="2"/>
            <w:shd w:val="clear" w:color="auto" w:fill="AFBED7"/>
            <w:vAlign w:val="bottom"/>
          </w:tcPr>
          <w:p w:rsidRPr="00F30DB2" w:rsidR="00F30DB2" w:rsidP="00F30DB2" w:rsidRDefault="00F30DB2" w14:paraId="4CB6D00E" w14:textId="77777777">
            <w:pPr>
              <w:keepNext/>
              <w:keepLines/>
              <w:spacing w:after="0" w:line="240" w:lineRule="atLeast"/>
              <w:ind w:firstLine="0"/>
              <w:jc w:val="center"/>
              <w:cnfStyle w:val="000000000000" w:firstRow="0" w:lastRow="0" w:firstColumn="0" w:lastColumn="0" w:oddVBand="0" w:evenVBand="0" w:oddHBand="0" w:evenHBand="0" w:firstRowFirstColumn="0" w:firstRowLastColumn="0" w:lastRowFirstColumn="0" w:lastRowLastColumn="0"/>
              <w:rPr>
                <w:rFonts w:ascii="Franklin Gothic Medium" w:hAnsi="Franklin Gothic Medium"/>
                <w:b/>
                <w:color w:val="auto"/>
                <w:sz w:val="20"/>
              </w:rPr>
            </w:pPr>
            <w:r w:rsidRPr="00F30DB2">
              <w:rPr>
                <w:rFonts w:ascii="Franklin Gothic Medium" w:hAnsi="Franklin Gothic Medium"/>
                <w:b/>
                <w:color w:val="auto"/>
                <w:sz w:val="20"/>
              </w:rPr>
              <w:t>50/50 split</w:t>
            </w:r>
          </w:p>
        </w:tc>
        <w:tc>
          <w:tcPr>
            <w:tcW w:w="979" w:type="pct"/>
            <w:gridSpan w:val="2"/>
            <w:tcBorders>
              <w:right w:val="nil"/>
            </w:tcBorders>
            <w:shd w:val="clear" w:color="auto" w:fill="AFBED7"/>
            <w:vAlign w:val="bottom"/>
          </w:tcPr>
          <w:p w:rsidRPr="00F30DB2" w:rsidR="00F30DB2" w:rsidP="00F30DB2" w:rsidRDefault="00F30DB2" w14:paraId="1C587D15" w14:textId="77777777">
            <w:pPr>
              <w:keepNext/>
              <w:keepLines/>
              <w:spacing w:after="0" w:line="240" w:lineRule="atLeast"/>
              <w:ind w:firstLine="0"/>
              <w:jc w:val="center"/>
              <w:cnfStyle w:val="000000000000" w:firstRow="0" w:lastRow="0" w:firstColumn="0" w:lastColumn="0" w:oddVBand="0" w:evenVBand="0" w:oddHBand="0" w:evenHBand="0" w:firstRowFirstColumn="0" w:firstRowLastColumn="0" w:lastRowFirstColumn="0" w:lastRowLastColumn="0"/>
              <w:rPr>
                <w:rFonts w:ascii="Franklin Gothic Medium" w:hAnsi="Franklin Gothic Medium"/>
                <w:b/>
                <w:color w:val="auto"/>
                <w:sz w:val="20"/>
              </w:rPr>
            </w:pPr>
            <w:r w:rsidRPr="00F30DB2">
              <w:rPr>
                <w:rFonts w:ascii="Franklin Gothic Medium" w:hAnsi="Franklin Gothic Medium"/>
                <w:b/>
                <w:color w:val="auto"/>
                <w:sz w:val="20"/>
              </w:rPr>
              <w:t>75/25 split</w:t>
            </w:r>
          </w:p>
        </w:tc>
      </w:tr>
      <w:tr w:rsidRPr="00F30DB2" w:rsidR="00F30DB2" w:rsidTr="00F30DB2" w14:paraId="4D163FDB"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1" w:type="pct"/>
            <w:tcBorders>
              <w:right w:val="single" w:color="auto" w:sz="8" w:space="0"/>
            </w:tcBorders>
            <w:shd w:val="clear" w:color="auto" w:fill="FFFFFF"/>
          </w:tcPr>
          <w:p w:rsidRPr="00F30DB2" w:rsidR="00F30DB2" w:rsidP="00F30DB2" w:rsidRDefault="00F30DB2" w14:paraId="265B0E7C" w14:textId="77777777">
            <w:pPr>
              <w:keepNext/>
              <w:keepLines/>
              <w:spacing w:after="0" w:line="240" w:lineRule="atLeast"/>
              <w:ind w:firstLine="0"/>
              <w:jc w:val="center"/>
              <w:rPr>
                <w:rFonts w:ascii="Franklin Gothic Medium" w:hAnsi="Franklin Gothic Medium"/>
                <w:b/>
                <w:color w:val="auto"/>
                <w:sz w:val="20"/>
              </w:rPr>
            </w:pPr>
          </w:p>
        </w:tc>
        <w:tc>
          <w:tcPr>
            <w:tcW w:w="480" w:type="pct"/>
            <w:tcBorders>
              <w:top w:val="single" w:color="auto" w:sz="8" w:space="0"/>
              <w:left w:val="single" w:color="auto" w:sz="8" w:space="0"/>
              <w:bottom w:val="single" w:color="auto" w:sz="8" w:space="0"/>
              <w:right w:val="single" w:color="auto" w:sz="8" w:space="0"/>
            </w:tcBorders>
            <w:shd w:val="clear" w:color="auto" w:fill="FFFFFF"/>
            <w:vAlign w:val="bottom"/>
          </w:tcPr>
          <w:p w:rsidRPr="00F30DB2" w:rsidR="00F30DB2" w:rsidP="00F30DB2" w:rsidRDefault="00F30DB2" w14:paraId="0E47826B" w14:textId="77777777">
            <w:pPr>
              <w:keepNext/>
              <w:keepLines/>
              <w:spacing w:after="0" w:line="240" w:lineRule="atLeast"/>
              <w:ind w:firstLine="0"/>
              <w:jc w:val="center"/>
              <w:cnfStyle w:val="000000010000" w:firstRow="0" w:lastRow="0" w:firstColumn="0" w:lastColumn="0" w:oddVBand="0" w:evenVBand="0" w:oddHBand="0" w:evenHBand="1" w:firstRowFirstColumn="0" w:firstRowLastColumn="0" w:lastRowFirstColumn="0" w:lastRowLastColumn="0"/>
              <w:rPr>
                <w:rFonts w:ascii="Franklin Gothic Medium" w:hAnsi="Franklin Gothic Medium"/>
                <w:b/>
                <w:color w:val="auto"/>
                <w:sz w:val="20"/>
              </w:rPr>
            </w:pPr>
            <w:r w:rsidRPr="00F30DB2">
              <w:rPr>
                <w:rFonts w:ascii="Franklin Gothic Medium" w:hAnsi="Franklin Gothic Medium"/>
                <w:b/>
                <w:color w:val="auto"/>
                <w:sz w:val="20"/>
              </w:rPr>
              <w:t>MDES</w:t>
            </w:r>
          </w:p>
        </w:tc>
        <w:tc>
          <w:tcPr>
            <w:tcW w:w="480" w:type="pct"/>
            <w:tcBorders>
              <w:top w:val="single" w:color="auto" w:sz="8" w:space="0"/>
              <w:left w:val="single" w:color="auto" w:sz="8" w:space="0"/>
              <w:bottom w:val="single" w:color="auto" w:sz="8" w:space="0"/>
              <w:right w:val="single" w:color="auto" w:sz="8" w:space="0"/>
            </w:tcBorders>
            <w:shd w:val="clear" w:color="auto" w:fill="FFFFFF"/>
            <w:vAlign w:val="bottom"/>
          </w:tcPr>
          <w:p w:rsidRPr="00F30DB2" w:rsidR="00F30DB2" w:rsidP="00F30DB2" w:rsidRDefault="00F30DB2" w14:paraId="6862EE67" w14:textId="77777777">
            <w:pPr>
              <w:keepNext/>
              <w:keepLines/>
              <w:spacing w:after="0" w:line="240" w:lineRule="atLeast"/>
              <w:ind w:firstLine="0"/>
              <w:jc w:val="center"/>
              <w:cnfStyle w:val="000000010000" w:firstRow="0" w:lastRow="0" w:firstColumn="0" w:lastColumn="0" w:oddVBand="0" w:evenVBand="0" w:oddHBand="0" w:evenHBand="1" w:firstRowFirstColumn="0" w:firstRowLastColumn="0" w:lastRowFirstColumn="0" w:lastRowLastColumn="0"/>
              <w:rPr>
                <w:rFonts w:ascii="Franklin Gothic Medium" w:hAnsi="Franklin Gothic Medium"/>
                <w:b/>
                <w:color w:val="auto"/>
                <w:sz w:val="20"/>
              </w:rPr>
            </w:pPr>
            <w:r w:rsidRPr="00F30DB2">
              <w:rPr>
                <w:rFonts w:ascii="Franklin Gothic Medium" w:hAnsi="Franklin Gothic Medium"/>
                <w:b/>
                <w:color w:val="auto"/>
                <w:sz w:val="20"/>
              </w:rPr>
              <w:t>MDD</w:t>
            </w:r>
          </w:p>
        </w:tc>
        <w:tc>
          <w:tcPr>
            <w:tcW w:w="480" w:type="pct"/>
            <w:tcBorders>
              <w:top w:val="single" w:color="auto" w:sz="8" w:space="0"/>
              <w:left w:val="single" w:color="auto" w:sz="8" w:space="0"/>
              <w:bottom w:val="single" w:color="auto" w:sz="8" w:space="0"/>
              <w:right w:val="single" w:color="auto" w:sz="8" w:space="0"/>
            </w:tcBorders>
            <w:shd w:val="clear" w:color="auto" w:fill="FFFFFF"/>
            <w:vAlign w:val="bottom"/>
          </w:tcPr>
          <w:p w:rsidRPr="00F30DB2" w:rsidR="00F30DB2" w:rsidP="00F30DB2" w:rsidRDefault="00F30DB2" w14:paraId="3660D3B7" w14:textId="77777777">
            <w:pPr>
              <w:keepNext/>
              <w:keepLines/>
              <w:spacing w:after="0" w:line="240" w:lineRule="atLeast"/>
              <w:ind w:firstLine="0"/>
              <w:jc w:val="center"/>
              <w:cnfStyle w:val="000000010000" w:firstRow="0" w:lastRow="0" w:firstColumn="0" w:lastColumn="0" w:oddVBand="0" w:evenVBand="0" w:oddHBand="0" w:evenHBand="1" w:firstRowFirstColumn="0" w:firstRowLastColumn="0" w:lastRowFirstColumn="0" w:lastRowLastColumn="0"/>
              <w:rPr>
                <w:rFonts w:ascii="Franklin Gothic Medium" w:hAnsi="Franklin Gothic Medium"/>
                <w:b/>
                <w:color w:val="auto"/>
                <w:sz w:val="20"/>
              </w:rPr>
            </w:pPr>
            <w:r w:rsidRPr="00F30DB2">
              <w:rPr>
                <w:rFonts w:ascii="Franklin Gothic Medium" w:hAnsi="Franklin Gothic Medium"/>
                <w:b/>
                <w:color w:val="auto"/>
                <w:sz w:val="20"/>
              </w:rPr>
              <w:t>MDES</w:t>
            </w:r>
          </w:p>
        </w:tc>
        <w:tc>
          <w:tcPr>
            <w:tcW w:w="482" w:type="pct"/>
            <w:tcBorders>
              <w:top w:val="single" w:color="auto" w:sz="8" w:space="0"/>
              <w:left w:val="single" w:color="auto" w:sz="8" w:space="0"/>
              <w:bottom w:val="single" w:color="auto" w:sz="8" w:space="0"/>
              <w:right w:val="single" w:color="auto" w:sz="8" w:space="0"/>
            </w:tcBorders>
            <w:shd w:val="clear" w:color="auto" w:fill="FFFFFF"/>
            <w:vAlign w:val="bottom"/>
          </w:tcPr>
          <w:p w:rsidRPr="00F30DB2" w:rsidR="00F30DB2" w:rsidP="00F30DB2" w:rsidRDefault="00F30DB2" w14:paraId="3BA6D558" w14:textId="77777777">
            <w:pPr>
              <w:keepNext/>
              <w:keepLines/>
              <w:spacing w:after="0" w:line="240" w:lineRule="atLeast"/>
              <w:ind w:firstLine="0"/>
              <w:jc w:val="center"/>
              <w:cnfStyle w:val="000000010000" w:firstRow="0" w:lastRow="0" w:firstColumn="0" w:lastColumn="0" w:oddVBand="0" w:evenVBand="0" w:oddHBand="0" w:evenHBand="1" w:firstRowFirstColumn="0" w:firstRowLastColumn="0" w:lastRowFirstColumn="0" w:lastRowLastColumn="0"/>
              <w:rPr>
                <w:rFonts w:ascii="Franklin Gothic Medium" w:hAnsi="Franklin Gothic Medium"/>
                <w:b/>
                <w:color w:val="auto"/>
                <w:sz w:val="20"/>
              </w:rPr>
            </w:pPr>
            <w:r w:rsidRPr="00F30DB2">
              <w:rPr>
                <w:rFonts w:ascii="Franklin Gothic Medium" w:hAnsi="Franklin Gothic Medium"/>
                <w:b/>
                <w:color w:val="auto"/>
                <w:sz w:val="20"/>
              </w:rPr>
              <w:t>MDD</w:t>
            </w:r>
          </w:p>
        </w:tc>
        <w:tc>
          <w:tcPr>
            <w:tcW w:w="497" w:type="pct"/>
            <w:tcBorders>
              <w:top w:val="single" w:color="auto" w:sz="8" w:space="0"/>
              <w:left w:val="single" w:color="auto" w:sz="8" w:space="0"/>
              <w:bottom w:val="single" w:color="auto" w:sz="8" w:space="0"/>
              <w:right w:val="single" w:color="auto" w:sz="8" w:space="0"/>
            </w:tcBorders>
            <w:shd w:val="clear" w:color="auto" w:fill="FFFFFF"/>
            <w:vAlign w:val="bottom"/>
          </w:tcPr>
          <w:p w:rsidRPr="00F30DB2" w:rsidR="00F30DB2" w:rsidP="00F30DB2" w:rsidRDefault="00F30DB2" w14:paraId="0A535DD9" w14:textId="77777777">
            <w:pPr>
              <w:keepNext/>
              <w:keepLines/>
              <w:spacing w:after="0" w:line="240" w:lineRule="atLeast"/>
              <w:ind w:firstLine="0"/>
              <w:jc w:val="center"/>
              <w:cnfStyle w:val="000000010000" w:firstRow="0" w:lastRow="0" w:firstColumn="0" w:lastColumn="0" w:oddVBand="0" w:evenVBand="0" w:oddHBand="0" w:evenHBand="1" w:firstRowFirstColumn="0" w:firstRowLastColumn="0" w:lastRowFirstColumn="0" w:lastRowLastColumn="0"/>
              <w:rPr>
                <w:rFonts w:ascii="Franklin Gothic Medium" w:hAnsi="Franklin Gothic Medium"/>
                <w:b/>
                <w:color w:val="auto"/>
                <w:sz w:val="20"/>
              </w:rPr>
            </w:pPr>
            <w:r w:rsidRPr="00F30DB2">
              <w:rPr>
                <w:rFonts w:ascii="Franklin Gothic Medium" w:hAnsi="Franklin Gothic Medium"/>
                <w:b/>
                <w:color w:val="auto"/>
                <w:sz w:val="20"/>
              </w:rPr>
              <w:t>MDES</w:t>
            </w:r>
          </w:p>
        </w:tc>
        <w:tc>
          <w:tcPr>
            <w:tcW w:w="481" w:type="pct"/>
            <w:tcBorders>
              <w:top w:val="single" w:color="auto" w:sz="8" w:space="0"/>
              <w:left w:val="single" w:color="auto" w:sz="8" w:space="0"/>
              <w:bottom w:val="single" w:color="auto" w:sz="8" w:space="0"/>
              <w:right w:val="single" w:color="auto" w:sz="8" w:space="0"/>
            </w:tcBorders>
            <w:shd w:val="clear" w:color="auto" w:fill="FFFFFF"/>
            <w:vAlign w:val="bottom"/>
          </w:tcPr>
          <w:p w:rsidRPr="00F30DB2" w:rsidR="00F30DB2" w:rsidP="00F30DB2" w:rsidRDefault="00F30DB2" w14:paraId="3B440F3F" w14:textId="77777777">
            <w:pPr>
              <w:keepNext/>
              <w:keepLines/>
              <w:spacing w:after="0" w:line="240" w:lineRule="atLeast"/>
              <w:ind w:firstLine="0"/>
              <w:jc w:val="center"/>
              <w:cnfStyle w:val="000000010000" w:firstRow="0" w:lastRow="0" w:firstColumn="0" w:lastColumn="0" w:oddVBand="0" w:evenVBand="0" w:oddHBand="0" w:evenHBand="1" w:firstRowFirstColumn="0" w:firstRowLastColumn="0" w:lastRowFirstColumn="0" w:lastRowLastColumn="0"/>
              <w:rPr>
                <w:rFonts w:ascii="Franklin Gothic Medium" w:hAnsi="Franklin Gothic Medium"/>
                <w:b/>
                <w:color w:val="auto"/>
                <w:sz w:val="20"/>
              </w:rPr>
            </w:pPr>
            <w:r w:rsidRPr="00F30DB2">
              <w:rPr>
                <w:rFonts w:ascii="Franklin Gothic Medium" w:hAnsi="Franklin Gothic Medium"/>
                <w:b/>
                <w:color w:val="auto"/>
                <w:sz w:val="20"/>
              </w:rPr>
              <w:t>MDD</w:t>
            </w:r>
          </w:p>
        </w:tc>
        <w:tc>
          <w:tcPr>
            <w:tcW w:w="497" w:type="pct"/>
            <w:tcBorders>
              <w:top w:val="single" w:color="auto" w:sz="8" w:space="0"/>
              <w:left w:val="single" w:color="auto" w:sz="8" w:space="0"/>
              <w:bottom w:val="single" w:color="auto" w:sz="8" w:space="0"/>
              <w:right w:val="single" w:color="auto" w:sz="8" w:space="0"/>
            </w:tcBorders>
            <w:shd w:val="clear" w:color="auto" w:fill="FFFFFF"/>
            <w:vAlign w:val="bottom"/>
          </w:tcPr>
          <w:p w:rsidRPr="00F30DB2" w:rsidR="00F30DB2" w:rsidP="00F30DB2" w:rsidRDefault="00F30DB2" w14:paraId="3D09AD51" w14:textId="77777777">
            <w:pPr>
              <w:keepNext/>
              <w:keepLines/>
              <w:spacing w:after="0" w:line="240" w:lineRule="atLeast"/>
              <w:ind w:firstLine="0"/>
              <w:jc w:val="center"/>
              <w:cnfStyle w:val="000000010000" w:firstRow="0" w:lastRow="0" w:firstColumn="0" w:lastColumn="0" w:oddVBand="0" w:evenVBand="0" w:oddHBand="0" w:evenHBand="1" w:firstRowFirstColumn="0" w:firstRowLastColumn="0" w:lastRowFirstColumn="0" w:lastRowLastColumn="0"/>
              <w:rPr>
                <w:rFonts w:ascii="Franklin Gothic Medium" w:hAnsi="Franklin Gothic Medium"/>
                <w:b/>
                <w:color w:val="auto"/>
                <w:sz w:val="20"/>
              </w:rPr>
            </w:pPr>
            <w:r w:rsidRPr="00F30DB2">
              <w:rPr>
                <w:rFonts w:ascii="Franklin Gothic Medium" w:hAnsi="Franklin Gothic Medium"/>
                <w:b/>
                <w:color w:val="auto"/>
                <w:sz w:val="20"/>
              </w:rPr>
              <w:t>MDES</w:t>
            </w:r>
          </w:p>
        </w:tc>
        <w:tc>
          <w:tcPr>
            <w:tcW w:w="482" w:type="pct"/>
            <w:tcBorders>
              <w:left w:val="single" w:color="auto" w:sz="8" w:space="0"/>
              <w:right w:val="nil"/>
            </w:tcBorders>
            <w:shd w:val="clear" w:color="auto" w:fill="FFFFFF"/>
            <w:vAlign w:val="bottom"/>
          </w:tcPr>
          <w:p w:rsidRPr="00F30DB2" w:rsidR="00F30DB2" w:rsidP="00F30DB2" w:rsidRDefault="00F30DB2" w14:paraId="374AD691" w14:textId="77777777">
            <w:pPr>
              <w:keepNext/>
              <w:keepLines/>
              <w:spacing w:after="0" w:line="240" w:lineRule="atLeast"/>
              <w:ind w:firstLine="0"/>
              <w:jc w:val="center"/>
              <w:cnfStyle w:val="000000010000" w:firstRow="0" w:lastRow="0" w:firstColumn="0" w:lastColumn="0" w:oddVBand="0" w:evenVBand="0" w:oddHBand="0" w:evenHBand="1" w:firstRowFirstColumn="0" w:firstRowLastColumn="0" w:lastRowFirstColumn="0" w:lastRowLastColumn="0"/>
              <w:rPr>
                <w:rFonts w:ascii="Franklin Gothic Medium" w:hAnsi="Franklin Gothic Medium"/>
                <w:b/>
                <w:color w:val="auto"/>
                <w:sz w:val="20"/>
              </w:rPr>
            </w:pPr>
            <w:r w:rsidRPr="00F30DB2">
              <w:rPr>
                <w:rFonts w:ascii="Franklin Gothic Medium" w:hAnsi="Franklin Gothic Medium"/>
                <w:b/>
                <w:color w:val="auto"/>
                <w:sz w:val="20"/>
              </w:rPr>
              <w:t>MDD</w:t>
            </w:r>
          </w:p>
        </w:tc>
      </w:tr>
      <w:tr w:rsidRPr="00F30DB2" w:rsidR="00F30DB2" w:rsidTr="00F30DB2" w14:paraId="64929C30" w14:textId="77777777">
        <w:trPr>
          <w:trHeight w:val="20"/>
        </w:trPr>
        <w:tc>
          <w:tcPr>
            <w:cnfStyle w:val="001000000000" w:firstRow="0" w:lastRow="0" w:firstColumn="1" w:lastColumn="0" w:oddVBand="0" w:evenVBand="0" w:oddHBand="0" w:evenHBand="0" w:firstRowFirstColumn="0" w:firstRowLastColumn="0" w:lastRowFirstColumn="0" w:lastRowLastColumn="0"/>
            <w:tcW w:w="1121" w:type="pct"/>
            <w:tcBorders>
              <w:top w:val="single" w:color="auto" w:sz="8" w:space="0"/>
              <w:bottom w:val="single" w:color="auto" w:sz="4" w:space="0"/>
            </w:tcBorders>
            <w:shd w:val="clear" w:color="auto" w:fill="FFFFFF"/>
            <w:noWrap/>
            <w:hideMark/>
          </w:tcPr>
          <w:p w:rsidRPr="00F30DB2" w:rsidR="00F30DB2" w:rsidP="00F30DB2" w:rsidRDefault="00F30DB2" w14:paraId="699CA3D3" w14:textId="77777777">
            <w:pPr>
              <w:spacing w:after="0" w:line="240" w:lineRule="atLeast"/>
              <w:ind w:left="-27" w:firstLine="0"/>
              <w:rPr>
                <w:rFonts w:ascii="Franklin Gothic Medium" w:hAnsi="Franklin Gothic Medium" w:eastAsia="Calibri"/>
                <w:color w:val="auto"/>
                <w:sz w:val="20"/>
              </w:rPr>
            </w:pPr>
            <w:r w:rsidRPr="00F30DB2">
              <w:rPr>
                <w:rFonts w:ascii="Franklin Gothic Medium" w:hAnsi="Franklin Gothic Medium" w:eastAsia="Calibri"/>
                <w:color w:val="auto"/>
                <w:sz w:val="20"/>
              </w:rPr>
              <w:t>5</w:t>
            </w:r>
          </w:p>
        </w:tc>
        <w:tc>
          <w:tcPr>
            <w:tcW w:w="480" w:type="pct"/>
            <w:tcBorders>
              <w:top w:val="single" w:color="auto" w:sz="8" w:space="0"/>
              <w:bottom w:val="single" w:color="auto" w:sz="4" w:space="0"/>
            </w:tcBorders>
            <w:shd w:val="clear" w:color="auto" w:fill="FFFFFF"/>
            <w:noWrap/>
            <w:hideMark/>
          </w:tcPr>
          <w:p w:rsidRPr="00F30DB2" w:rsidR="00F30DB2" w:rsidP="00F30DB2" w:rsidRDefault="00F30DB2" w14:paraId="3945CBBD" w14:textId="77777777">
            <w:pPr>
              <w:spacing w:after="0" w:line="240" w:lineRule="atLeast"/>
              <w:ind w:right="144" w:firstLine="0"/>
              <w:jc w:val="right"/>
              <w:cnfStyle w:val="000000000000" w:firstRow="0" w:lastRow="0" w:firstColumn="0" w:lastColumn="0" w:oddVBand="0" w:evenVBand="0" w:oddHBand="0" w:evenHBand="0" w:firstRowFirstColumn="0" w:firstRowLastColumn="0" w:lastRowFirstColumn="0" w:lastRowLastColumn="0"/>
              <w:rPr>
                <w:rFonts w:ascii="Franklin Gothic Medium" w:hAnsi="Franklin Gothic Medium" w:eastAsia="Calibri"/>
                <w:color w:val="auto"/>
                <w:sz w:val="20"/>
              </w:rPr>
            </w:pPr>
            <w:r w:rsidRPr="00F30DB2">
              <w:rPr>
                <w:rFonts w:ascii="Franklin Gothic Medium" w:hAnsi="Franklin Gothic Medium" w:cs="Calibri"/>
                <w:color w:val="auto"/>
                <w:sz w:val="20"/>
              </w:rPr>
              <w:t>7.00%</w:t>
            </w:r>
          </w:p>
        </w:tc>
        <w:tc>
          <w:tcPr>
            <w:tcW w:w="480" w:type="pct"/>
            <w:tcBorders>
              <w:top w:val="single" w:color="auto" w:sz="8" w:space="0"/>
              <w:bottom w:val="single" w:color="auto" w:sz="4" w:space="0"/>
            </w:tcBorders>
            <w:shd w:val="clear" w:color="auto" w:fill="FFFFFF"/>
            <w:noWrap/>
            <w:hideMark/>
          </w:tcPr>
          <w:p w:rsidRPr="00F30DB2" w:rsidR="00F30DB2" w:rsidP="00F30DB2" w:rsidRDefault="00F30DB2" w14:paraId="45A5F5B0" w14:textId="77777777">
            <w:pPr>
              <w:spacing w:after="0" w:line="240" w:lineRule="atLeast"/>
              <w:ind w:right="144" w:firstLine="0"/>
              <w:jc w:val="right"/>
              <w:cnfStyle w:val="000000000000" w:firstRow="0" w:lastRow="0" w:firstColumn="0" w:lastColumn="0" w:oddVBand="0" w:evenVBand="0" w:oddHBand="0" w:evenHBand="0" w:firstRowFirstColumn="0" w:firstRowLastColumn="0" w:lastRowFirstColumn="0" w:lastRowLastColumn="0"/>
              <w:rPr>
                <w:rFonts w:ascii="Franklin Gothic Medium" w:hAnsi="Franklin Gothic Medium" w:eastAsia="Calibri"/>
                <w:color w:val="auto"/>
                <w:sz w:val="20"/>
              </w:rPr>
            </w:pPr>
            <w:r w:rsidRPr="00F30DB2">
              <w:rPr>
                <w:rFonts w:ascii="Franklin Gothic Medium" w:hAnsi="Franklin Gothic Medium" w:cs="Calibri"/>
                <w:color w:val="auto"/>
                <w:sz w:val="20"/>
              </w:rPr>
              <w:t>0.35%</w:t>
            </w:r>
          </w:p>
        </w:tc>
        <w:tc>
          <w:tcPr>
            <w:tcW w:w="480" w:type="pct"/>
            <w:tcBorders>
              <w:top w:val="single" w:color="auto" w:sz="8" w:space="0"/>
              <w:bottom w:val="single" w:color="auto" w:sz="4" w:space="0"/>
            </w:tcBorders>
            <w:shd w:val="clear" w:color="auto" w:fill="FFFFFF"/>
            <w:noWrap/>
            <w:hideMark/>
          </w:tcPr>
          <w:p w:rsidRPr="00F30DB2" w:rsidR="00F30DB2" w:rsidP="00F30DB2" w:rsidRDefault="00F30DB2" w14:paraId="0ACF4D96" w14:textId="77777777">
            <w:pPr>
              <w:spacing w:after="0" w:line="240" w:lineRule="atLeast"/>
              <w:ind w:right="144" w:firstLine="0"/>
              <w:jc w:val="right"/>
              <w:cnfStyle w:val="000000000000" w:firstRow="0" w:lastRow="0" w:firstColumn="0" w:lastColumn="0" w:oddVBand="0" w:evenVBand="0" w:oddHBand="0" w:evenHBand="0" w:firstRowFirstColumn="0" w:firstRowLastColumn="0" w:lastRowFirstColumn="0" w:lastRowLastColumn="0"/>
              <w:rPr>
                <w:rFonts w:ascii="Franklin Gothic Medium" w:hAnsi="Franklin Gothic Medium" w:eastAsia="Calibri"/>
                <w:color w:val="auto"/>
                <w:sz w:val="20"/>
              </w:rPr>
            </w:pPr>
            <w:r w:rsidRPr="00F30DB2">
              <w:rPr>
                <w:rFonts w:ascii="Franklin Gothic Medium" w:hAnsi="Franklin Gothic Medium" w:cs="Calibri"/>
                <w:color w:val="auto"/>
                <w:sz w:val="20"/>
              </w:rPr>
              <w:t>8.09%</w:t>
            </w:r>
          </w:p>
        </w:tc>
        <w:tc>
          <w:tcPr>
            <w:tcW w:w="482" w:type="pct"/>
            <w:tcBorders>
              <w:top w:val="single" w:color="auto" w:sz="8" w:space="0"/>
              <w:bottom w:val="single" w:color="auto" w:sz="4" w:space="0"/>
            </w:tcBorders>
            <w:shd w:val="clear" w:color="auto" w:fill="FFFFFF"/>
            <w:noWrap/>
            <w:hideMark/>
          </w:tcPr>
          <w:p w:rsidRPr="00F30DB2" w:rsidR="00F30DB2" w:rsidP="00F30DB2" w:rsidRDefault="00F30DB2" w14:paraId="4DE03581" w14:textId="77777777">
            <w:pPr>
              <w:spacing w:after="0" w:line="240" w:lineRule="atLeast"/>
              <w:ind w:right="144" w:firstLine="0"/>
              <w:jc w:val="right"/>
              <w:cnfStyle w:val="000000000000" w:firstRow="0" w:lastRow="0" w:firstColumn="0" w:lastColumn="0" w:oddVBand="0" w:evenVBand="0" w:oddHBand="0" w:evenHBand="0" w:firstRowFirstColumn="0" w:firstRowLastColumn="0" w:lastRowFirstColumn="0" w:lastRowLastColumn="0"/>
              <w:rPr>
                <w:rFonts w:ascii="Franklin Gothic Medium" w:hAnsi="Franklin Gothic Medium" w:eastAsia="Calibri"/>
                <w:color w:val="auto"/>
                <w:sz w:val="20"/>
              </w:rPr>
            </w:pPr>
            <w:r w:rsidRPr="00F30DB2">
              <w:rPr>
                <w:rFonts w:ascii="Franklin Gothic Medium" w:hAnsi="Franklin Gothic Medium" w:cs="Calibri"/>
                <w:color w:val="auto"/>
                <w:sz w:val="20"/>
              </w:rPr>
              <w:t>0.40%</w:t>
            </w:r>
          </w:p>
        </w:tc>
        <w:tc>
          <w:tcPr>
            <w:tcW w:w="497" w:type="pct"/>
            <w:tcBorders>
              <w:top w:val="single" w:color="auto" w:sz="8" w:space="0"/>
              <w:bottom w:val="single" w:color="auto" w:sz="4" w:space="0"/>
            </w:tcBorders>
            <w:shd w:val="clear" w:color="auto" w:fill="FFFFFF"/>
          </w:tcPr>
          <w:p w:rsidRPr="00F30DB2" w:rsidR="00F30DB2" w:rsidP="00F30DB2" w:rsidRDefault="00F30DB2" w14:paraId="2D7170AE" w14:textId="77777777">
            <w:pPr>
              <w:spacing w:after="0" w:line="240" w:lineRule="atLeast"/>
              <w:ind w:right="144" w:firstLine="0"/>
              <w:jc w:val="right"/>
              <w:cnfStyle w:val="000000000000" w:firstRow="0" w:lastRow="0" w:firstColumn="0" w:lastColumn="0" w:oddVBand="0" w:evenVBand="0" w:oddHBand="0" w:evenHBand="0" w:firstRowFirstColumn="0" w:firstRowLastColumn="0" w:lastRowFirstColumn="0" w:lastRowLastColumn="0"/>
              <w:rPr>
                <w:rFonts w:ascii="Franklin Gothic Medium" w:hAnsi="Franklin Gothic Medium" w:eastAsia="Calibri"/>
                <w:color w:val="auto"/>
                <w:sz w:val="20"/>
              </w:rPr>
            </w:pPr>
            <w:r w:rsidRPr="00F30DB2">
              <w:rPr>
                <w:rFonts w:ascii="Franklin Gothic Medium" w:hAnsi="Franklin Gothic Medium" w:cs="Calibri"/>
                <w:color w:val="auto"/>
                <w:sz w:val="20"/>
              </w:rPr>
              <w:t>14.01%</w:t>
            </w:r>
          </w:p>
        </w:tc>
        <w:tc>
          <w:tcPr>
            <w:tcW w:w="481" w:type="pct"/>
            <w:tcBorders>
              <w:top w:val="single" w:color="auto" w:sz="8" w:space="0"/>
              <w:bottom w:val="single" w:color="auto" w:sz="4" w:space="0"/>
            </w:tcBorders>
            <w:shd w:val="clear" w:color="auto" w:fill="FFFFFF"/>
          </w:tcPr>
          <w:p w:rsidRPr="00F30DB2" w:rsidR="00F30DB2" w:rsidP="00F30DB2" w:rsidRDefault="00F30DB2" w14:paraId="73FC7C61" w14:textId="77777777">
            <w:pPr>
              <w:spacing w:after="0" w:line="240" w:lineRule="atLeast"/>
              <w:ind w:right="144" w:firstLine="0"/>
              <w:jc w:val="right"/>
              <w:cnfStyle w:val="000000000000" w:firstRow="0" w:lastRow="0" w:firstColumn="0" w:lastColumn="0" w:oddVBand="0" w:evenVBand="0" w:oddHBand="0" w:evenHBand="0" w:firstRowFirstColumn="0" w:firstRowLastColumn="0" w:lastRowFirstColumn="0" w:lastRowLastColumn="0"/>
              <w:rPr>
                <w:rFonts w:ascii="Franklin Gothic Medium" w:hAnsi="Franklin Gothic Medium" w:eastAsia="Calibri"/>
                <w:color w:val="auto"/>
                <w:sz w:val="20"/>
              </w:rPr>
            </w:pPr>
            <w:r w:rsidRPr="00F30DB2">
              <w:rPr>
                <w:rFonts w:ascii="Franklin Gothic Medium" w:hAnsi="Franklin Gothic Medium" w:cs="Calibri"/>
                <w:color w:val="auto"/>
                <w:sz w:val="20"/>
              </w:rPr>
              <w:t>0.70%</w:t>
            </w:r>
          </w:p>
        </w:tc>
        <w:tc>
          <w:tcPr>
            <w:tcW w:w="497" w:type="pct"/>
            <w:tcBorders>
              <w:top w:val="single" w:color="auto" w:sz="8" w:space="0"/>
              <w:bottom w:val="single" w:color="auto" w:sz="4" w:space="0"/>
            </w:tcBorders>
            <w:shd w:val="clear" w:color="auto" w:fill="FFFFFF"/>
          </w:tcPr>
          <w:p w:rsidRPr="00F30DB2" w:rsidR="00F30DB2" w:rsidP="00F30DB2" w:rsidRDefault="00F30DB2" w14:paraId="383C85C8" w14:textId="77777777">
            <w:pPr>
              <w:spacing w:after="0" w:line="240" w:lineRule="atLeast"/>
              <w:ind w:right="144" w:firstLine="0"/>
              <w:jc w:val="right"/>
              <w:cnfStyle w:val="000000000000" w:firstRow="0" w:lastRow="0" w:firstColumn="0" w:lastColumn="0" w:oddVBand="0" w:evenVBand="0" w:oddHBand="0" w:evenHBand="0" w:firstRowFirstColumn="0" w:firstRowLastColumn="0" w:lastRowFirstColumn="0" w:lastRowLastColumn="0"/>
              <w:rPr>
                <w:rFonts w:ascii="Franklin Gothic Medium" w:hAnsi="Franklin Gothic Medium" w:eastAsia="Calibri"/>
                <w:color w:val="auto"/>
                <w:sz w:val="20"/>
              </w:rPr>
            </w:pPr>
            <w:r w:rsidRPr="00F30DB2">
              <w:rPr>
                <w:rFonts w:ascii="Franklin Gothic Medium" w:hAnsi="Franklin Gothic Medium" w:cs="Calibri"/>
                <w:color w:val="auto"/>
                <w:sz w:val="20"/>
              </w:rPr>
              <w:t>16.17%</w:t>
            </w:r>
          </w:p>
        </w:tc>
        <w:tc>
          <w:tcPr>
            <w:tcW w:w="482" w:type="pct"/>
            <w:tcBorders>
              <w:right w:val="nil"/>
            </w:tcBorders>
            <w:shd w:val="clear" w:color="auto" w:fill="FFFFFF"/>
          </w:tcPr>
          <w:p w:rsidRPr="00F30DB2" w:rsidR="00F30DB2" w:rsidP="00F30DB2" w:rsidRDefault="00F30DB2" w14:paraId="04E51CE8" w14:textId="77777777">
            <w:pPr>
              <w:spacing w:after="0" w:line="240" w:lineRule="atLeast"/>
              <w:ind w:right="144" w:firstLine="0"/>
              <w:jc w:val="right"/>
              <w:cnfStyle w:val="000000000000" w:firstRow="0" w:lastRow="0" w:firstColumn="0" w:lastColumn="0" w:oddVBand="0" w:evenVBand="0" w:oddHBand="0" w:evenHBand="0" w:firstRowFirstColumn="0" w:firstRowLastColumn="0" w:lastRowFirstColumn="0" w:lastRowLastColumn="0"/>
              <w:rPr>
                <w:rFonts w:ascii="Franklin Gothic Medium" w:hAnsi="Franklin Gothic Medium" w:eastAsia="Calibri"/>
                <w:color w:val="auto"/>
                <w:sz w:val="20"/>
              </w:rPr>
            </w:pPr>
            <w:r w:rsidRPr="00F30DB2">
              <w:rPr>
                <w:rFonts w:ascii="Franklin Gothic Medium" w:hAnsi="Franklin Gothic Medium" w:cs="Calibri"/>
                <w:color w:val="auto"/>
                <w:sz w:val="20"/>
              </w:rPr>
              <w:t>0.81%</w:t>
            </w:r>
          </w:p>
        </w:tc>
      </w:tr>
      <w:tr w:rsidRPr="00F30DB2" w:rsidR="00F30DB2" w:rsidTr="00F30DB2" w14:paraId="40277DC9"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1" w:type="pct"/>
            <w:tcBorders>
              <w:right w:val="single" w:color="auto" w:sz="4" w:space="0"/>
            </w:tcBorders>
            <w:shd w:val="clear" w:color="auto" w:fill="FFFFFF"/>
            <w:noWrap/>
            <w:hideMark/>
          </w:tcPr>
          <w:p w:rsidRPr="00F30DB2" w:rsidR="00F30DB2" w:rsidP="00F30DB2" w:rsidRDefault="00F30DB2" w14:paraId="677EC835" w14:textId="77777777">
            <w:pPr>
              <w:spacing w:after="0" w:line="240" w:lineRule="atLeast"/>
              <w:ind w:left="-27" w:firstLine="0"/>
              <w:rPr>
                <w:rFonts w:ascii="Franklin Gothic Medium" w:hAnsi="Franklin Gothic Medium" w:eastAsia="Calibri"/>
                <w:color w:val="auto"/>
                <w:sz w:val="20"/>
              </w:rPr>
            </w:pPr>
            <w:r w:rsidRPr="00F30DB2">
              <w:rPr>
                <w:rFonts w:ascii="Franklin Gothic Medium" w:hAnsi="Franklin Gothic Medium" w:eastAsia="Calibri"/>
                <w:color w:val="auto"/>
                <w:sz w:val="20"/>
              </w:rPr>
              <w:t>10</w:t>
            </w:r>
          </w:p>
        </w:tc>
        <w:tc>
          <w:tcPr>
            <w:tcW w:w="480" w:type="pct"/>
            <w:tcBorders>
              <w:left w:val="single" w:color="auto" w:sz="4" w:space="0"/>
              <w:right w:val="single" w:color="auto" w:sz="4" w:space="0"/>
            </w:tcBorders>
            <w:shd w:val="clear" w:color="auto" w:fill="FFFFFF"/>
            <w:noWrap/>
            <w:hideMark/>
          </w:tcPr>
          <w:p w:rsidRPr="00F30DB2" w:rsidR="00F30DB2" w:rsidP="00F30DB2" w:rsidRDefault="00F30DB2" w14:paraId="05D3933E" w14:textId="77777777">
            <w:pPr>
              <w:spacing w:after="0" w:line="240" w:lineRule="atLeast"/>
              <w:ind w:right="144" w:firstLine="0"/>
              <w:jc w:val="right"/>
              <w:cnfStyle w:val="000000010000" w:firstRow="0" w:lastRow="0" w:firstColumn="0" w:lastColumn="0" w:oddVBand="0" w:evenVBand="0" w:oddHBand="0" w:evenHBand="1" w:firstRowFirstColumn="0" w:firstRowLastColumn="0" w:lastRowFirstColumn="0" w:lastRowLastColumn="0"/>
              <w:rPr>
                <w:rFonts w:ascii="Franklin Gothic Medium" w:hAnsi="Franklin Gothic Medium" w:eastAsia="Calibri"/>
                <w:b/>
                <w:color w:val="auto"/>
                <w:sz w:val="20"/>
              </w:rPr>
            </w:pPr>
            <w:r w:rsidRPr="00F30DB2">
              <w:rPr>
                <w:rFonts w:ascii="Franklin Gothic Medium" w:hAnsi="Franklin Gothic Medium" w:cs="Calibri"/>
                <w:color w:val="auto"/>
                <w:sz w:val="20"/>
              </w:rPr>
              <w:t>7.00%</w:t>
            </w:r>
          </w:p>
        </w:tc>
        <w:tc>
          <w:tcPr>
            <w:tcW w:w="480" w:type="pct"/>
            <w:tcBorders>
              <w:left w:val="single" w:color="auto" w:sz="4" w:space="0"/>
              <w:right w:val="single" w:color="auto" w:sz="4" w:space="0"/>
            </w:tcBorders>
            <w:shd w:val="clear" w:color="auto" w:fill="FFFFFF"/>
            <w:noWrap/>
            <w:hideMark/>
          </w:tcPr>
          <w:p w:rsidRPr="00F30DB2" w:rsidR="00F30DB2" w:rsidP="00F30DB2" w:rsidRDefault="00F30DB2" w14:paraId="20C459E9" w14:textId="77777777">
            <w:pPr>
              <w:spacing w:after="0" w:line="240" w:lineRule="atLeast"/>
              <w:ind w:right="144" w:firstLine="0"/>
              <w:jc w:val="right"/>
              <w:cnfStyle w:val="000000010000" w:firstRow="0" w:lastRow="0" w:firstColumn="0" w:lastColumn="0" w:oddVBand="0" w:evenVBand="0" w:oddHBand="0" w:evenHBand="1" w:firstRowFirstColumn="0" w:firstRowLastColumn="0" w:lastRowFirstColumn="0" w:lastRowLastColumn="0"/>
              <w:rPr>
                <w:rFonts w:ascii="Franklin Gothic Medium" w:hAnsi="Franklin Gothic Medium" w:eastAsia="Calibri"/>
                <w:color w:val="auto"/>
                <w:sz w:val="20"/>
              </w:rPr>
            </w:pPr>
            <w:r w:rsidRPr="00F30DB2">
              <w:rPr>
                <w:rFonts w:ascii="Franklin Gothic Medium" w:hAnsi="Franklin Gothic Medium" w:cs="Calibri"/>
                <w:color w:val="auto"/>
                <w:sz w:val="20"/>
              </w:rPr>
              <w:t>0.70%</w:t>
            </w:r>
          </w:p>
        </w:tc>
        <w:tc>
          <w:tcPr>
            <w:tcW w:w="480" w:type="pct"/>
            <w:tcBorders>
              <w:left w:val="single" w:color="auto" w:sz="4" w:space="0"/>
              <w:right w:val="single" w:color="auto" w:sz="4" w:space="0"/>
            </w:tcBorders>
            <w:shd w:val="clear" w:color="auto" w:fill="FFFFFF"/>
            <w:noWrap/>
            <w:hideMark/>
          </w:tcPr>
          <w:p w:rsidRPr="00F30DB2" w:rsidR="00F30DB2" w:rsidP="00F30DB2" w:rsidRDefault="00F30DB2" w14:paraId="27BA15D0" w14:textId="77777777">
            <w:pPr>
              <w:spacing w:after="0" w:line="240" w:lineRule="atLeast"/>
              <w:ind w:right="144" w:firstLine="0"/>
              <w:jc w:val="right"/>
              <w:cnfStyle w:val="000000010000" w:firstRow="0" w:lastRow="0" w:firstColumn="0" w:lastColumn="0" w:oddVBand="0" w:evenVBand="0" w:oddHBand="0" w:evenHBand="1" w:firstRowFirstColumn="0" w:firstRowLastColumn="0" w:lastRowFirstColumn="0" w:lastRowLastColumn="0"/>
              <w:rPr>
                <w:rFonts w:ascii="Franklin Gothic Medium" w:hAnsi="Franklin Gothic Medium" w:eastAsia="Calibri"/>
                <w:color w:val="auto"/>
                <w:sz w:val="20"/>
              </w:rPr>
            </w:pPr>
            <w:r w:rsidRPr="00F30DB2">
              <w:rPr>
                <w:rFonts w:ascii="Franklin Gothic Medium" w:hAnsi="Franklin Gothic Medium" w:cs="Calibri"/>
                <w:color w:val="auto"/>
                <w:sz w:val="20"/>
              </w:rPr>
              <w:t>8.09%</w:t>
            </w:r>
          </w:p>
        </w:tc>
        <w:tc>
          <w:tcPr>
            <w:tcW w:w="482" w:type="pct"/>
            <w:tcBorders>
              <w:left w:val="single" w:color="auto" w:sz="4" w:space="0"/>
              <w:right w:val="single" w:color="auto" w:sz="4" w:space="0"/>
            </w:tcBorders>
            <w:shd w:val="clear" w:color="auto" w:fill="FFFFFF"/>
            <w:noWrap/>
            <w:hideMark/>
          </w:tcPr>
          <w:p w:rsidRPr="00F30DB2" w:rsidR="00F30DB2" w:rsidP="00F30DB2" w:rsidRDefault="00F30DB2" w14:paraId="28E3A20F" w14:textId="77777777">
            <w:pPr>
              <w:spacing w:after="0" w:line="240" w:lineRule="atLeast"/>
              <w:ind w:right="144" w:firstLine="0"/>
              <w:jc w:val="right"/>
              <w:cnfStyle w:val="000000010000" w:firstRow="0" w:lastRow="0" w:firstColumn="0" w:lastColumn="0" w:oddVBand="0" w:evenVBand="0" w:oddHBand="0" w:evenHBand="1" w:firstRowFirstColumn="0" w:firstRowLastColumn="0" w:lastRowFirstColumn="0" w:lastRowLastColumn="0"/>
              <w:rPr>
                <w:rFonts w:ascii="Franklin Gothic Medium" w:hAnsi="Franklin Gothic Medium" w:eastAsia="Calibri"/>
                <w:color w:val="auto"/>
                <w:sz w:val="20"/>
              </w:rPr>
            </w:pPr>
            <w:r w:rsidRPr="00F30DB2">
              <w:rPr>
                <w:rFonts w:ascii="Franklin Gothic Medium" w:hAnsi="Franklin Gothic Medium" w:cs="Calibri"/>
                <w:color w:val="auto"/>
                <w:sz w:val="20"/>
              </w:rPr>
              <w:t>0.81%</w:t>
            </w:r>
          </w:p>
        </w:tc>
        <w:tc>
          <w:tcPr>
            <w:tcW w:w="497" w:type="pct"/>
            <w:tcBorders>
              <w:left w:val="single" w:color="auto" w:sz="4" w:space="0"/>
              <w:right w:val="single" w:color="auto" w:sz="4" w:space="0"/>
            </w:tcBorders>
            <w:shd w:val="clear" w:color="auto" w:fill="FFFFFF"/>
          </w:tcPr>
          <w:p w:rsidRPr="00F30DB2" w:rsidR="00F30DB2" w:rsidP="00F30DB2" w:rsidRDefault="00F30DB2" w14:paraId="3FCCD697" w14:textId="77777777">
            <w:pPr>
              <w:spacing w:after="0" w:line="240" w:lineRule="atLeast"/>
              <w:ind w:right="144" w:firstLine="0"/>
              <w:jc w:val="right"/>
              <w:cnfStyle w:val="000000010000" w:firstRow="0" w:lastRow="0" w:firstColumn="0" w:lastColumn="0" w:oddVBand="0" w:evenVBand="0" w:oddHBand="0" w:evenHBand="1" w:firstRowFirstColumn="0" w:firstRowLastColumn="0" w:lastRowFirstColumn="0" w:lastRowLastColumn="0"/>
              <w:rPr>
                <w:rFonts w:ascii="Franklin Gothic Medium" w:hAnsi="Franklin Gothic Medium" w:eastAsia="Calibri"/>
                <w:color w:val="auto"/>
                <w:sz w:val="20"/>
              </w:rPr>
            </w:pPr>
            <w:r w:rsidRPr="00F30DB2">
              <w:rPr>
                <w:rFonts w:ascii="Franklin Gothic Medium" w:hAnsi="Franklin Gothic Medium" w:cs="Calibri"/>
                <w:color w:val="auto"/>
                <w:sz w:val="20"/>
              </w:rPr>
              <w:t>14.01%</w:t>
            </w:r>
          </w:p>
        </w:tc>
        <w:tc>
          <w:tcPr>
            <w:tcW w:w="481" w:type="pct"/>
            <w:tcBorders>
              <w:left w:val="single" w:color="auto" w:sz="4" w:space="0"/>
              <w:right w:val="single" w:color="auto" w:sz="4" w:space="0"/>
            </w:tcBorders>
            <w:shd w:val="clear" w:color="auto" w:fill="FFFFFF"/>
          </w:tcPr>
          <w:p w:rsidRPr="00F30DB2" w:rsidR="00F30DB2" w:rsidP="00F30DB2" w:rsidRDefault="00F30DB2" w14:paraId="30514116" w14:textId="77777777">
            <w:pPr>
              <w:spacing w:after="0" w:line="240" w:lineRule="atLeast"/>
              <w:ind w:right="144" w:firstLine="0"/>
              <w:jc w:val="right"/>
              <w:cnfStyle w:val="000000010000" w:firstRow="0" w:lastRow="0" w:firstColumn="0" w:lastColumn="0" w:oddVBand="0" w:evenVBand="0" w:oddHBand="0" w:evenHBand="1" w:firstRowFirstColumn="0" w:firstRowLastColumn="0" w:lastRowFirstColumn="0" w:lastRowLastColumn="0"/>
              <w:rPr>
                <w:rFonts w:ascii="Franklin Gothic Medium" w:hAnsi="Franklin Gothic Medium" w:eastAsia="Calibri"/>
                <w:color w:val="auto"/>
                <w:sz w:val="20"/>
              </w:rPr>
            </w:pPr>
            <w:r w:rsidRPr="00F30DB2">
              <w:rPr>
                <w:rFonts w:ascii="Franklin Gothic Medium" w:hAnsi="Franklin Gothic Medium" w:cs="Calibri"/>
                <w:color w:val="auto"/>
                <w:sz w:val="20"/>
              </w:rPr>
              <w:t>1.40%</w:t>
            </w:r>
          </w:p>
        </w:tc>
        <w:tc>
          <w:tcPr>
            <w:tcW w:w="497" w:type="pct"/>
            <w:tcBorders>
              <w:left w:val="single" w:color="auto" w:sz="4" w:space="0"/>
              <w:right w:val="single" w:color="auto" w:sz="4" w:space="0"/>
            </w:tcBorders>
            <w:shd w:val="clear" w:color="auto" w:fill="FFFFFF"/>
          </w:tcPr>
          <w:p w:rsidRPr="00F30DB2" w:rsidR="00F30DB2" w:rsidP="00F30DB2" w:rsidRDefault="00F30DB2" w14:paraId="383AC7DA" w14:textId="77777777">
            <w:pPr>
              <w:spacing w:after="0" w:line="240" w:lineRule="atLeast"/>
              <w:ind w:right="144" w:firstLine="0"/>
              <w:jc w:val="right"/>
              <w:cnfStyle w:val="000000010000" w:firstRow="0" w:lastRow="0" w:firstColumn="0" w:lastColumn="0" w:oddVBand="0" w:evenVBand="0" w:oddHBand="0" w:evenHBand="1" w:firstRowFirstColumn="0" w:firstRowLastColumn="0" w:lastRowFirstColumn="0" w:lastRowLastColumn="0"/>
              <w:rPr>
                <w:rFonts w:ascii="Franklin Gothic Medium" w:hAnsi="Franklin Gothic Medium" w:eastAsia="Calibri"/>
                <w:color w:val="auto"/>
                <w:sz w:val="20"/>
              </w:rPr>
            </w:pPr>
            <w:r w:rsidRPr="00F30DB2">
              <w:rPr>
                <w:rFonts w:ascii="Franklin Gothic Medium" w:hAnsi="Franklin Gothic Medium" w:cs="Calibri"/>
                <w:color w:val="auto"/>
                <w:sz w:val="20"/>
              </w:rPr>
              <w:t>16.17%</w:t>
            </w:r>
          </w:p>
        </w:tc>
        <w:tc>
          <w:tcPr>
            <w:tcW w:w="482" w:type="pct"/>
            <w:tcBorders>
              <w:left w:val="single" w:color="auto" w:sz="4" w:space="0"/>
              <w:right w:val="nil"/>
            </w:tcBorders>
            <w:shd w:val="clear" w:color="auto" w:fill="FFFFFF"/>
          </w:tcPr>
          <w:p w:rsidRPr="00F30DB2" w:rsidR="00F30DB2" w:rsidP="00F30DB2" w:rsidRDefault="00F30DB2" w14:paraId="4211CE63" w14:textId="77777777">
            <w:pPr>
              <w:spacing w:after="0" w:line="240" w:lineRule="atLeast"/>
              <w:ind w:right="144" w:firstLine="0"/>
              <w:jc w:val="right"/>
              <w:cnfStyle w:val="000000010000" w:firstRow="0" w:lastRow="0" w:firstColumn="0" w:lastColumn="0" w:oddVBand="0" w:evenVBand="0" w:oddHBand="0" w:evenHBand="1" w:firstRowFirstColumn="0" w:firstRowLastColumn="0" w:lastRowFirstColumn="0" w:lastRowLastColumn="0"/>
              <w:rPr>
                <w:rFonts w:ascii="Franklin Gothic Medium" w:hAnsi="Franklin Gothic Medium" w:eastAsia="Calibri"/>
                <w:color w:val="auto"/>
                <w:sz w:val="20"/>
              </w:rPr>
            </w:pPr>
            <w:r w:rsidRPr="00F30DB2">
              <w:rPr>
                <w:rFonts w:ascii="Franklin Gothic Medium" w:hAnsi="Franklin Gothic Medium" w:cs="Calibri"/>
                <w:color w:val="auto"/>
                <w:sz w:val="20"/>
              </w:rPr>
              <w:t>1.62%</w:t>
            </w:r>
          </w:p>
        </w:tc>
      </w:tr>
      <w:tr w:rsidRPr="00F30DB2" w:rsidR="00F30DB2" w:rsidTr="0096171C" w14:paraId="02B582AD" w14:textId="77777777">
        <w:trPr>
          <w:trHeight w:val="20"/>
        </w:trPr>
        <w:tc>
          <w:tcPr>
            <w:cnfStyle w:val="001000000000" w:firstRow="0" w:lastRow="0" w:firstColumn="1" w:lastColumn="0" w:oddVBand="0" w:evenVBand="0" w:oddHBand="0" w:evenHBand="0" w:firstRowFirstColumn="0" w:firstRowLastColumn="0" w:lastRowFirstColumn="0" w:lastRowLastColumn="0"/>
            <w:tcW w:w="1121" w:type="pct"/>
            <w:noWrap/>
            <w:hideMark/>
          </w:tcPr>
          <w:p w:rsidRPr="00F30DB2" w:rsidR="00F30DB2" w:rsidP="00F30DB2" w:rsidRDefault="00F30DB2" w14:paraId="46116F58" w14:textId="77777777">
            <w:pPr>
              <w:spacing w:after="0" w:line="240" w:lineRule="atLeast"/>
              <w:ind w:left="-27" w:firstLine="0"/>
              <w:rPr>
                <w:rFonts w:ascii="Franklin Gothic Medium" w:hAnsi="Franklin Gothic Medium" w:eastAsia="Calibri"/>
                <w:color w:val="auto"/>
                <w:sz w:val="20"/>
              </w:rPr>
            </w:pPr>
            <w:r w:rsidRPr="00F30DB2">
              <w:rPr>
                <w:rFonts w:ascii="Franklin Gothic Medium" w:hAnsi="Franklin Gothic Medium" w:eastAsia="Calibri"/>
                <w:color w:val="auto"/>
                <w:sz w:val="20"/>
              </w:rPr>
              <w:t>20</w:t>
            </w:r>
          </w:p>
        </w:tc>
        <w:tc>
          <w:tcPr>
            <w:tcW w:w="480" w:type="pct"/>
            <w:noWrap/>
            <w:hideMark/>
          </w:tcPr>
          <w:p w:rsidRPr="00F30DB2" w:rsidR="00F30DB2" w:rsidP="00F30DB2" w:rsidRDefault="00F30DB2" w14:paraId="25E96F51" w14:textId="77777777">
            <w:pPr>
              <w:spacing w:after="0" w:line="240" w:lineRule="atLeast"/>
              <w:ind w:right="144" w:firstLine="0"/>
              <w:jc w:val="right"/>
              <w:cnfStyle w:val="000000000000" w:firstRow="0" w:lastRow="0" w:firstColumn="0" w:lastColumn="0" w:oddVBand="0" w:evenVBand="0" w:oddHBand="0" w:evenHBand="0" w:firstRowFirstColumn="0" w:firstRowLastColumn="0" w:lastRowFirstColumn="0" w:lastRowLastColumn="0"/>
              <w:rPr>
                <w:rFonts w:ascii="Franklin Gothic Medium" w:hAnsi="Franklin Gothic Medium" w:eastAsia="Calibri"/>
                <w:color w:val="auto"/>
                <w:sz w:val="20"/>
              </w:rPr>
            </w:pPr>
            <w:r w:rsidRPr="00F30DB2">
              <w:rPr>
                <w:rFonts w:ascii="Franklin Gothic Medium" w:hAnsi="Franklin Gothic Medium" w:cs="Calibri"/>
                <w:color w:val="auto"/>
                <w:sz w:val="20"/>
              </w:rPr>
              <w:t>7.00%</w:t>
            </w:r>
          </w:p>
        </w:tc>
        <w:tc>
          <w:tcPr>
            <w:tcW w:w="480" w:type="pct"/>
            <w:noWrap/>
            <w:hideMark/>
          </w:tcPr>
          <w:p w:rsidRPr="00F30DB2" w:rsidR="00F30DB2" w:rsidP="00F30DB2" w:rsidRDefault="00F30DB2" w14:paraId="076042EE" w14:textId="77777777">
            <w:pPr>
              <w:spacing w:after="0" w:line="240" w:lineRule="atLeast"/>
              <w:ind w:right="144" w:firstLine="0"/>
              <w:jc w:val="right"/>
              <w:cnfStyle w:val="000000000000" w:firstRow="0" w:lastRow="0" w:firstColumn="0" w:lastColumn="0" w:oddVBand="0" w:evenVBand="0" w:oddHBand="0" w:evenHBand="0" w:firstRowFirstColumn="0" w:firstRowLastColumn="0" w:lastRowFirstColumn="0" w:lastRowLastColumn="0"/>
              <w:rPr>
                <w:rFonts w:ascii="Franklin Gothic Medium" w:hAnsi="Franklin Gothic Medium" w:eastAsia="Calibri"/>
                <w:color w:val="auto"/>
                <w:sz w:val="20"/>
              </w:rPr>
            </w:pPr>
            <w:r w:rsidRPr="00F30DB2">
              <w:rPr>
                <w:rFonts w:ascii="Franklin Gothic Medium" w:hAnsi="Franklin Gothic Medium" w:cs="Calibri"/>
                <w:color w:val="auto"/>
                <w:sz w:val="20"/>
              </w:rPr>
              <w:t>1.40%</w:t>
            </w:r>
          </w:p>
        </w:tc>
        <w:tc>
          <w:tcPr>
            <w:tcW w:w="480" w:type="pct"/>
            <w:noWrap/>
            <w:hideMark/>
          </w:tcPr>
          <w:p w:rsidRPr="00F30DB2" w:rsidR="00F30DB2" w:rsidP="00F30DB2" w:rsidRDefault="00F30DB2" w14:paraId="12F46966" w14:textId="77777777">
            <w:pPr>
              <w:spacing w:after="0" w:line="240" w:lineRule="atLeast"/>
              <w:ind w:right="144" w:firstLine="0"/>
              <w:jc w:val="right"/>
              <w:cnfStyle w:val="000000000000" w:firstRow="0" w:lastRow="0" w:firstColumn="0" w:lastColumn="0" w:oddVBand="0" w:evenVBand="0" w:oddHBand="0" w:evenHBand="0" w:firstRowFirstColumn="0" w:firstRowLastColumn="0" w:lastRowFirstColumn="0" w:lastRowLastColumn="0"/>
              <w:rPr>
                <w:rFonts w:ascii="Franklin Gothic Medium" w:hAnsi="Franklin Gothic Medium" w:eastAsia="Calibri"/>
                <w:color w:val="auto"/>
                <w:sz w:val="20"/>
              </w:rPr>
            </w:pPr>
            <w:r w:rsidRPr="00F30DB2">
              <w:rPr>
                <w:rFonts w:ascii="Franklin Gothic Medium" w:hAnsi="Franklin Gothic Medium" w:cs="Calibri"/>
                <w:color w:val="auto"/>
                <w:sz w:val="20"/>
              </w:rPr>
              <w:t>8.09%</w:t>
            </w:r>
          </w:p>
        </w:tc>
        <w:tc>
          <w:tcPr>
            <w:tcW w:w="482" w:type="pct"/>
            <w:noWrap/>
            <w:hideMark/>
          </w:tcPr>
          <w:p w:rsidRPr="00F30DB2" w:rsidR="00F30DB2" w:rsidP="00F30DB2" w:rsidRDefault="00F30DB2" w14:paraId="457C25BA" w14:textId="77777777">
            <w:pPr>
              <w:spacing w:after="0" w:line="240" w:lineRule="atLeast"/>
              <w:ind w:right="144" w:firstLine="0"/>
              <w:jc w:val="right"/>
              <w:cnfStyle w:val="000000000000" w:firstRow="0" w:lastRow="0" w:firstColumn="0" w:lastColumn="0" w:oddVBand="0" w:evenVBand="0" w:oddHBand="0" w:evenHBand="0" w:firstRowFirstColumn="0" w:firstRowLastColumn="0" w:lastRowFirstColumn="0" w:lastRowLastColumn="0"/>
              <w:rPr>
                <w:rFonts w:ascii="Franklin Gothic Medium" w:hAnsi="Franklin Gothic Medium" w:eastAsia="Calibri"/>
                <w:color w:val="auto"/>
                <w:sz w:val="20"/>
              </w:rPr>
            </w:pPr>
            <w:r w:rsidRPr="00F30DB2">
              <w:rPr>
                <w:rFonts w:ascii="Franklin Gothic Medium" w:hAnsi="Franklin Gothic Medium" w:cs="Calibri"/>
                <w:color w:val="auto"/>
                <w:sz w:val="20"/>
              </w:rPr>
              <w:t>1.62%</w:t>
            </w:r>
          </w:p>
        </w:tc>
        <w:tc>
          <w:tcPr>
            <w:tcW w:w="497" w:type="pct"/>
          </w:tcPr>
          <w:p w:rsidRPr="00F30DB2" w:rsidR="00F30DB2" w:rsidP="00F30DB2" w:rsidRDefault="00F30DB2" w14:paraId="46C028D6" w14:textId="77777777">
            <w:pPr>
              <w:spacing w:after="0" w:line="240" w:lineRule="atLeast"/>
              <w:ind w:right="144" w:firstLine="0"/>
              <w:jc w:val="right"/>
              <w:cnfStyle w:val="000000000000" w:firstRow="0" w:lastRow="0" w:firstColumn="0" w:lastColumn="0" w:oddVBand="0" w:evenVBand="0" w:oddHBand="0" w:evenHBand="0" w:firstRowFirstColumn="0" w:firstRowLastColumn="0" w:lastRowFirstColumn="0" w:lastRowLastColumn="0"/>
              <w:rPr>
                <w:rFonts w:ascii="Franklin Gothic Medium" w:hAnsi="Franklin Gothic Medium" w:eastAsia="Calibri"/>
                <w:color w:val="auto"/>
                <w:sz w:val="20"/>
              </w:rPr>
            </w:pPr>
            <w:r w:rsidRPr="00F30DB2">
              <w:rPr>
                <w:rFonts w:ascii="Franklin Gothic Medium" w:hAnsi="Franklin Gothic Medium" w:cs="Calibri"/>
                <w:color w:val="auto"/>
                <w:sz w:val="20"/>
              </w:rPr>
              <w:t>14.01%</w:t>
            </w:r>
          </w:p>
        </w:tc>
        <w:tc>
          <w:tcPr>
            <w:tcW w:w="481" w:type="pct"/>
          </w:tcPr>
          <w:p w:rsidRPr="00F30DB2" w:rsidR="00F30DB2" w:rsidP="00F30DB2" w:rsidRDefault="00F30DB2" w14:paraId="54EB7288" w14:textId="77777777">
            <w:pPr>
              <w:spacing w:after="0" w:line="240" w:lineRule="atLeast"/>
              <w:ind w:right="144" w:firstLine="0"/>
              <w:jc w:val="right"/>
              <w:cnfStyle w:val="000000000000" w:firstRow="0" w:lastRow="0" w:firstColumn="0" w:lastColumn="0" w:oddVBand="0" w:evenVBand="0" w:oddHBand="0" w:evenHBand="0" w:firstRowFirstColumn="0" w:firstRowLastColumn="0" w:lastRowFirstColumn="0" w:lastRowLastColumn="0"/>
              <w:rPr>
                <w:rFonts w:ascii="Franklin Gothic Medium" w:hAnsi="Franklin Gothic Medium" w:eastAsia="Calibri"/>
                <w:color w:val="auto"/>
                <w:sz w:val="20"/>
              </w:rPr>
            </w:pPr>
            <w:r w:rsidRPr="00F30DB2">
              <w:rPr>
                <w:rFonts w:ascii="Franklin Gothic Medium" w:hAnsi="Franklin Gothic Medium" w:cs="Calibri"/>
                <w:color w:val="auto"/>
                <w:sz w:val="20"/>
              </w:rPr>
              <w:t>2.80%</w:t>
            </w:r>
          </w:p>
        </w:tc>
        <w:tc>
          <w:tcPr>
            <w:tcW w:w="497" w:type="pct"/>
          </w:tcPr>
          <w:p w:rsidRPr="00F30DB2" w:rsidR="00F30DB2" w:rsidP="00F30DB2" w:rsidRDefault="00F30DB2" w14:paraId="6795AE9C" w14:textId="77777777">
            <w:pPr>
              <w:spacing w:after="0" w:line="240" w:lineRule="atLeast"/>
              <w:ind w:right="144" w:firstLine="0"/>
              <w:jc w:val="right"/>
              <w:cnfStyle w:val="000000000000" w:firstRow="0" w:lastRow="0" w:firstColumn="0" w:lastColumn="0" w:oddVBand="0" w:evenVBand="0" w:oddHBand="0" w:evenHBand="0" w:firstRowFirstColumn="0" w:firstRowLastColumn="0" w:lastRowFirstColumn="0" w:lastRowLastColumn="0"/>
              <w:rPr>
                <w:rFonts w:ascii="Franklin Gothic Medium" w:hAnsi="Franklin Gothic Medium" w:eastAsia="Calibri"/>
                <w:color w:val="auto"/>
                <w:sz w:val="20"/>
              </w:rPr>
            </w:pPr>
            <w:r w:rsidRPr="00F30DB2">
              <w:rPr>
                <w:rFonts w:ascii="Franklin Gothic Medium" w:hAnsi="Franklin Gothic Medium" w:cs="Calibri"/>
                <w:color w:val="auto"/>
                <w:sz w:val="20"/>
              </w:rPr>
              <w:t>16.17%</w:t>
            </w:r>
          </w:p>
        </w:tc>
        <w:tc>
          <w:tcPr>
            <w:tcW w:w="482" w:type="pct"/>
            <w:tcBorders>
              <w:right w:val="nil"/>
            </w:tcBorders>
          </w:tcPr>
          <w:p w:rsidRPr="00F30DB2" w:rsidR="00F30DB2" w:rsidP="00F30DB2" w:rsidRDefault="00F30DB2" w14:paraId="74588364" w14:textId="77777777">
            <w:pPr>
              <w:spacing w:after="0" w:line="240" w:lineRule="atLeast"/>
              <w:ind w:right="144" w:firstLine="0"/>
              <w:jc w:val="right"/>
              <w:cnfStyle w:val="000000000000" w:firstRow="0" w:lastRow="0" w:firstColumn="0" w:lastColumn="0" w:oddVBand="0" w:evenVBand="0" w:oddHBand="0" w:evenHBand="0" w:firstRowFirstColumn="0" w:firstRowLastColumn="0" w:lastRowFirstColumn="0" w:lastRowLastColumn="0"/>
              <w:rPr>
                <w:rFonts w:ascii="Franklin Gothic Medium" w:hAnsi="Franklin Gothic Medium" w:eastAsia="Calibri"/>
                <w:color w:val="auto"/>
                <w:sz w:val="20"/>
              </w:rPr>
            </w:pPr>
            <w:r w:rsidRPr="00F30DB2">
              <w:rPr>
                <w:rFonts w:ascii="Franklin Gothic Medium" w:hAnsi="Franklin Gothic Medium" w:cs="Calibri"/>
                <w:color w:val="auto"/>
                <w:sz w:val="20"/>
              </w:rPr>
              <w:t>3.23%</w:t>
            </w:r>
          </w:p>
        </w:tc>
      </w:tr>
    </w:tbl>
    <w:p w:rsidRPr="00F30DB2" w:rsidR="00F30DB2" w:rsidP="00F30DB2" w:rsidRDefault="00F30DB2" w14:paraId="638D8206" w14:textId="77777777"/>
    <w:p w:rsidR="00C84AD3" w:rsidP="00C84AD3" w:rsidRDefault="00C84AD3" w14:paraId="39CD4727" w14:textId="77777777">
      <w:pPr>
        <w:pStyle w:val="Heading2"/>
        <w:rPr>
          <w:b/>
          <w:sz w:val="24"/>
        </w:rPr>
      </w:pPr>
      <w:bookmarkStart w:name="_Toc29469612" w:id="30"/>
      <w:r>
        <w:rPr>
          <w:b/>
        </w:rPr>
        <w:t>Unusual problems requiring specialized sampling procedures</w:t>
      </w:r>
      <w:bookmarkEnd w:id="30"/>
      <w:r>
        <w:rPr>
          <w:b/>
        </w:rPr>
        <w:t xml:space="preserve"> </w:t>
      </w:r>
    </w:p>
    <w:p w:rsidRPr="00FB6E8C" w:rsidR="00C84AD3" w:rsidP="00C84AD3" w:rsidRDefault="00FB6E8C" w14:paraId="132F87BA" w14:textId="434D2199">
      <w:pPr>
        <w:rPr>
          <w:rFonts w:ascii="Times New Roman" w:hAnsi="Times New Roman" w:cs="Times New Roman"/>
          <w:szCs w:val="24"/>
        </w:rPr>
      </w:pPr>
      <w:r>
        <w:rPr>
          <w:rFonts w:ascii="Times New Roman" w:hAnsi="Times New Roman" w:cs="Times New Roman"/>
          <w:szCs w:val="24"/>
        </w:rPr>
        <w:t>We do</w:t>
      </w:r>
      <w:r w:rsidRPr="00FB6E8C" w:rsidR="00C84AD3">
        <w:rPr>
          <w:rFonts w:ascii="Times New Roman" w:hAnsi="Times New Roman" w:cs="Times New Roman"/>
          <w:szCs w:val="24"/>
        </w:rPr>
        <w:t xml:space="preserve"> not anticipate any unusual problems requiring use of specialized sampling procedures.</w:t>
      </w:r>
      <w:r w:rsidRPr="00FB6E8C" w:rsidR="00437FCF">
        <w:rPr>
          <w:rFonts w:ascii="Times New Roman" w:hAnsi="Times New Roman" w:cs="Times New Roman"/>
          <w:szCs w:val="24"/>
        </w:rPr>
        <w:t xml:space="preserve">  </w:t>
      </w:r>
    </w:p>
    <w:p w:rsidR="00C84AD3" w:rsidP="00C84AD3" w:rsidRDefault="00C84AD3" w14:paraId="217694E8" w14:textId="77777777">
      <w:pPr>
        <w:pStyle w:val="Heading2"/>
        <w:rPr>
          <w:b/>
        </w:rPr>
      </w:pPr>
      <w:bookmarkStart w:name="_Toc29469613" w:id="31"/>
      <w:r>
        <w:rPr>
          <w:b/>
        </w:rPr>
        <w:t>Any use of periodic (less frequent than annual) data collection cycles to reduce burden</w:t>
      </w:r>
      <w:bookmarkEnd w:id="31"/>
    </w:p>
    <w:p w:rsidRPr="002520A2" w:rsidR="00C84AD3" w:rsidP="00C84AD3" w:rsidRDefault="00C84AD3" w14:paraId="5D3B53CF" w14:textId="77777777">
      <w:pPr>
        <w:rPr>
          <w:rFonts w:ascii="Times New Roman" w:hAnsi="Times New Roman" w:cs="Times New Roman"/>
        </w:rPr>
      </w:pPr>
      <w:r w:rsidRPr="002520A2">
        <w:rPr>
          <w:rFonts w:ascii="Times New Roman" w:hAnsi="Times New Roman" w:cs="Times New Roman"/>
        </w:rPr>
        <w:t>This is a one-time study; concern regarding the periodicity of data collection cycles is not applicable.</w:t>
      </w:r>
    </w:p>
    <w:p w:rsidR="0053146B" w:rsidP="0053146B" w:rsidRDefault="0053146B" w14:paraId="57E7B35D" w14:textId="77777777">
      <w:pPr>
        <w:pStyle w:val="Heading1"/>
        <w:rPr>
          <w:b/>
          <w:szCs w:val="24"/>
        </w:rPr>
      </w:pPr>
      <w:bookmarkStart w:name="_Toc494361129" w:id="32"/>
      <w:bookmarkStart w:name="_Toc29469614" w:id="33"/>
      <w:r>
        <w:rPr>
          <w:b/>
        </w:rPr>
        <w:t>B.3</w:t>
      </w:r>
      <w:r>
        <w:rPr>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32"/>
      <w:bookmarkEnd w:id="33"/>
    </w:p>
    <w:p w:rsidRPr="002520A2" w:rsidR="00357B02" w:rsidP="00071CE5" w:rsidRDefault="009552E1" w14:paraId="35C17B23" w14:textId="7F794F39">
      <w:pPr>
        <w:spacing w:after="0"/>
        <w:ind w:firstLine="360"/>
        <w:rPr>
          <w:rFonts w:ascii="Times New Roman" w:hAnsi="Times New Roman" w:cs="Times New Roman"/>
          <w:szCs w:val="24"/>
        </w:rPr>
      </w:pPr>
      <w:r>
        <w:rPr>
          <w:rFonts w:ascii="Times New Roman" w:hAnsi="Times New Roman" w:cs="Times New Roman"/>
          <w:szCs w:val="24"/>
        </w:rPr>
        <w:t>Overall response rate project</w:t>
      </w:r>
      <w:r w:rsidR="00662EBE">
        <w:rPr>
          <w:rFonts w:ascii="Times New Roman" w:hAnsi="Times New Roman" w:cs="Times New Roman"/>
          <w:szCs w:val="24"/>
        </w:rPr>
        <w:t>ion</w:t>
      </w:r>
      <w:r>
        <w:rPr>
          <w:rFonts w:ascii="Times New Roman" w:hAnsi="Times New Roman" w:cs="Times New Roman"/>
          <w:szCs w:val="24"/>
        </w:rPr>
        <w:t xml:space="preserve">s </w:t>
      </w:r>
      <w:r w:rsidR="00077E64">
        <w:rPr>
          <w:rFonts w:ascii="Times New Roman" w:hAnsi="Times New Roman" w:cs="Times New Roman"/>
          <w:szCs w:val="24"/>
        </w:rPr>
        <w:t xml:space="preserve">are </w:t>
      </w:r>
      <w:r>
        <w:rPr>
          <w:rFonts w:ascii="Times New Roman" w:hAnsi="Times New Roman" w:cs="Times New Roman"/>
          <w:szCs w:val="24"/>
        </w:rPr>
        <w:t xml:space="preserve">presented in Section B.1. </w:t>
      </w:r>
      <w:r w:rsidRPr="002520A2" w:rsidR="00671496">
        <w:rPr>
          <w:rFonts w:ascii="Times New Roman" w:hAnsi="Times New Roman" w:cs="Times New Roman"/>
          <w:szCs w:val="24"/>
        </w:rPr>
        <w:t xml:space="preserve">We will use a wide array of strategies to maximize participation and reduce nonresponse for </w:t>
      </w:r>
      <w:r w:rsidR="008E7158">
        <w:rPr>
          <w:rFonts w:ascii="Times New Roman" w:hAnsi="Times New Roman" w:cs="Times New Roman"/>
          <w:szCs w:val="24"/>
        </w:rPr>
        <w:t>all data collection activities:</w:t>
      </w:r>
    </w:p>
    <w:p w:rsidRPr="005103A4" w:rsidR="0094492E" w:rsidP="00662EBE" w:rsidRDefault="00481747" w14:paraId="2D978702" w14:textId="2FF38FA5">
      <w:pPr>
        <w:pStyle w:val="ListParagraph"/>
        <w:numPr>
          <w:ilvl w:val="0"/>
          <w:numId w:val="8"/>
        </w:numPr>
        <w:spacing w:after="0"/>
        <w:rPr>
          <w:rFonts w:ascii="Times New Roman" w:hAnsi="Times New Roman" w:cs="Times New Roman"/>
          <w:szCs w:val="24"/>
        </w:rPr>
      </w:pPr>
      <w:r>
        <w:rPr>
          <w:rFonts w:ascii="Times New Roman" w:hAnsi="Times New Roman" w:cs="Times New Roman"/>
          <w:szCs w:val="24"/>
        </w:rPr>
        <w:lastRenderedPageBreak/>
        <w:t>We will obtain</w:t>
      </w:r>
      <w:r w:rsidRPr="0094492E" w:rsidR="00357B02">
        <w:rPr>
          <w:rFonts w:ascii="Times New Roman" w:hAnsi="Times New Roman" w:cs="Times New Roman"/>
          <w:szCs w:val="24"/>
        </w:rPr>
        <w:t xml:space="preserve"> letter</w:t>
      </w:r>
      <w:r w:rsidR="00D2742D">
        <w:rPr>
          <w:rFonts w:ascii="Times New Roman" w:hAnsi="Times New Roman" w:cs="Times New Roman"/>
          <w:szCs w:val="24"/>
        </w:rPr>
        <w:t>s</w:t>
      </w:r>
      <w:r w:rsidRPr="0094492E" w:rsidR="00357B02">
        <w:rPr>
          <w:rFonts w:ascii="Times New Roman" w:hAnsi="Times New Roman" w:cs="Times New Roman"/>
          <w:szCs w:val="24"/>
        </w:rPr>
        <w:t xml:space="preserve"> of </w:t>
      </w:r>
      <w:r w:rsidR="002C4E61">
        <w:rPr>
          <w:rFonts w:ascii="Times New Roman" w:hAnsi="Times New Roman" w:cs="Times New Roman"/>
          <w:szCs w:val="24"/>
        </w:rPr>
        <w:t xml:space="preserve">support </w:t>
      </w:r>
      <w:r w:rsidRPr="0094492E" w:rsidR="00357B02">
        <w:rPr>
          <w:rFonts w:ascii="Times New Roman" w:hAnsi="Times New Roman" w:cs="Times New Roman"/>
          <w:szCs w:val="24"/>
        </w:rPr>
        <w:t>from the School Nutrition Association (SNA)</w:t>
      </w:r>
      <w:r w:rsidR="00D2742D">
        <w:rPr>
          <w:rFonts w:ascii="Times New Roman" w:hAnsi="Times New Roman" w:cs="Times New Roman"/>
          <w:szCs w:val="24"/>
        </w:rPr>
        <w:t xml:space="preserve"> and the American Commodity Distribution Association (ACDA)</w:t>
      </w:r>
      <w:r w:rsidRPr="0094492E" w:rsidR="00357B02">
        <w:rPr>
          <w:rFonts w:ascii="Times New Roman" w:hAnsi="Times New Roman" w:cs="Times New Roman"/>
          <w:szCs w:val="24"/>
        </w:rPr>
        <w:t xml:space="preserve">, </w:t>
      </w:r>
      <w:r>
        <w:rPr>
          <w:rFonts w:ascii="Times New Roman" w:hAnsi="Times New Roman" w:cs="Times New Roman"/>
          <w:szCs w:val="24"/>
        </w:rPr>
        <w:t>which will be included in a</w:t>
      </w:r>
      <w:r w:rsidRPr="0094492E" w:rsidR="008E7158">
        <w:rPr>
          <w:rFonts w:ascii="Times New Roman" w:hAnsi="Times New Roman" w:cs="Times New Roman"/>
          <w:szCs w:val="24"/>
        </w:rPr>
        <w:t xml:space="preserve"> FedEx package providing information about the study</w:t>
      </w:r>
      <w:r w:rsidR="00225C17">
        <w:rPr>
          <w:rFonts w:ascii="Times New Roman" w:hAnsi="Times New Roman" w:cs="Times New Roman"/>
          <w:szCs w:val="24"/>
        </w:rPr>
        <w:t xml:space="preserve"> (Appendix </w:t>
      </w:r>
      <w:r w:rsidR="008164DF">
        <w:rPr>
          <w:rFonts w:ascii="Times New Roman" w:hAnsi="Times New Roman" w:cs="Times New Roman"/>
          <w:szCs w:val="24"/>
        </w:rPr>
        <w:t>A5</w:t>
      </w:r>
      <w:r w:rsidR="00225C17">
        <w:rPr>
          <w:rFonts w:ascii="Times New Roman" w:hAnsi="Times New Roman" w:cs="Times New Roman"/>
          <w:szCs w:val="24"/>
        </w:rPr>
        <w:t>)</w:t>
      </w:r>
      <w:r>
        <w:rPr>
          <w:rFonts w:ascii="Times New Roman" w:hAnsi="Times New Roman" w:cs="Times New Roman"/>
          <w:szCs w:val="24"/>
        </w:rPr>
        <w:t xml:space="preserve">. </w:t>
      </w:r>
      <w:r w:rsidR="00077E64">
        <w:rPr>
          <w:rFonts w:ascii="Times New Roman" w:hAnsi="Times New Roman" w:cs="Times New Roman"/>
          <w:szCs w:val="24"/>
        </w:rPr>
        <w:t>SNA</w:t>
      </w:r>
      <w:r w:rsidR="002C4E61">
        <w:rPr>
          <w:rFonts w:ascii="Times New Roman" w:hAnsi="Times New Roman" w:cs="Times New Roman"/>
          <w:szCs w:val="24"/>
        </w:rPr>
        <w:t xml:space="preserve"> and ACDA are</w:t>
      </w:r>
      <w:r w:rsidR="00077E64">
        <w:rPr>
          <w:rFonts w:ascii="Times New Roman" w:hAnsi="Times New Roman" w:cs="Times New Roman"/>
          <w:szCs w:val="24"/>
        </w:rPr>
        <w:t xml:space="preserve"> national, nonprofit professional organization</w:t>
      </w:r>
      <w:r w:rsidR="002C4E61">
        <w:rPr>
          <w:rFonts w:ascii="Times New Roman" w:hAnsi="Times New Roman" w:cs="Times New Roman"/>
          <w:szCs w:val="24"/>
        </w:rPr>
        <w:t>s</w:t>
      </w:r>
      <w:r w:rsidR="00077E64">
        <w:rPr>
          <w:rFonts w:ascii="Times New Roman" w:hAnsi="Times New Roman" w:cs="Times New Roman"/>
          <w:szCs w:val="24"/>
        </w:rPr>
        <w:t xml:space="preserve"> </w:t>
      </w:r>
      <w:r w:rsidR="002C4E61">
        <w:rPr>
          <w:rFonts w:ascii="Times New Roman" w:hAnsi="Times New Roman" w:cs="Times New Roman"/>
          <w:szCs w:val="24"/>
        </w:rPr>
        <w:t xml:space="preserve">that include many SFAs, industry representatives, and State agencies as members. </w:t>
      </w:r>
      <w:r w:rsidR="00D4593B">
        <w:rPr>
          <w:rFonts w:ascii="Times New Roman" w:hAnsi="Times New Roman" w:cs="Times New Roman"/>
          <w:szCs w:val="24"/>
        </w:rPr>
        <w:t>The letter</w:t>
      </w:r>
      <w:r w:rsidR="00D2742D">
        <w:rPr>
          <w:rFonts w:ascii="Times New Roman" w:hAnsi="Times New Roman" w:cs="Times New Roman"/>
          <w:szCs w:val="24"/>
        </w:rPr>
        <w:t>s</w:t>
      </w:r>
      <w:r w:rsidR="00D4593B">
        <w:rPr>
          <w:rFonts w:ascii="Times New Roman" w:hAnsi="Times New Roman" w:cs="Times New Roman"/>
          <w:szCs w:val="24"/>
        </w:rPr>
        <w:t xml:space="preserve"> will be worded to emphasize the importance of participation an</w:t>
      </w:r>
      <w:r w:rsidR="00662EBE">
        <w:rPr>
          <w:rFonts w:ascii="Times New Roman" w:hAnsi="Times New Roman" w:cs="Times New Roman"/>
          <w:szCs w:val="24"/>
        </w:rPr>
        <w:t xml:space="preserve">d how the information </w:t>
      </w:r>
      <w:r w:rsidR="00077E64">
        <w:rPr>
          <w:rFonts w:ascii="Times New Roman" w:hAnsi="Times New Roman" w:cs="Times New Roman"/>
          <w:szCs w:val="24"/>
        </w:rPr>
        <w:t xml:space="preserve">from the study </w:t>
      </w:r>
      <w:r w:rsidR="00662EBE">
        <w:rPr>
          <w:rFonts w:ascii="Times New Roman" w:hAnsi="Times New Roman" w:cs="Times New Roman"/>
          <w:szCs w:val="24"/>
        </w:rPr>
        <w:t xml:space="preserve">will help SFAs to be more cost efficient in efforts to meet </w:t>
      </w:r>
      <w:r w:rsidR="008164DF">
        <w:rPr>
          <w:rFonts w:ascii="Times New Roman" w:hAnsi="Times New Roman" w:cs="Times New Roman"/>
          <w:szCs w:val="24"/>
        </w:rPr>
        <w:t xml:space="preserve">meal requirements. </w:t>
      </w:r>
    </w:p>
    <w:p w:rsidRPr="005103A4" w:rsidR="0094492E" w:rsidP="00662EBE" w:rsidRDefault="00EC642D" w14:paraId="3CD99C63" w14:textId="2DDA79F8">
      <w:pPr>
        <w:pStyle w:val="ListParagraph"/>
        <w:numPr>
          <w:ilvl w:val="0"/>
          <w:numId w:val="8"/>
        </w:numPr>
        <w:spacing w:after="0"/>
        <w:rPr>
          <w:rFonts w:ascii="Times New Roman" w:hAnsi="Times New Roman" w:cs="Times New Roman"/>
          <w:szCs w:val="24"/>
        </w:rPr>
      </w:pPr>
      <w:r w:rsidRPr="005103A4">
        <w:rPr>
          <w:rFonts w:ascii="Times New Roman" w:hAnsi="Times New Roman" w:cs="Times New Roman"/>
          <w:szCs w:val="24"/>
        </w:rPr>
        <w:t xml:space="preserve">FNS will send initial informational emails to the State agencies, </w:t>
      </w:r>
      <w:r w:rsidR="00AE0919">
        <w:rPr>
          <w:rFonts w:ascii="Times New Roman" w:hAnsi="Times New Roman" w:cs="Times New Roman"/>
          <w:szCs w:val="24"/>
        </w:rPr>
        <w:t xml:space="preserve">and large </w:t>
      </w:r>
      <w:r w:rsidRPr="005103A4">
        <w:rPr>
          <w:rFonts w:ascii="Times New Roman" w:hAnsi="Times New Roman" w:cs="Times New Roman"/>
          <w:szCs w:val="24"/>
        </w:rPr>
        <w:t>FSMCs and vendors, and encourag</w:t>
      </w:r>
      <w:r w:rsidRPr="005103A4" w:rsidR="00D97115">
        <w:rPr>
          <w:rFonts w:ascii="Times New Roman" w:hAnsi="Times New Roman" w:cs="Times New Roman"/>
          <w:szCs w:val="24"/>
        </w:rPr>
        <w:t>e</w:t>
      </w:r>
      <w:r w:rsidRPr="005103A4">
        <w:rPr>
          <w:rFonts w:ascii="Times New Roman" w:hAnsi="Times New Roman" w:cs="Times New Roman"/>
          <w:szCs w:val="24"/>
        </w:rPr>
        <w:t xml:space="preserve"> the</w:t>
      </w:r>
      <w:r w:rsidRPr="005103A4" w:rsidR="00D4593B">
        <w:rPr>
          <w:rFonts w:ascii="Times New Roman" w:hAnsi="Times New Roman" w:cs="Times New Roman"/>
          <w:szCs w:val="24"/>
        </w:rPr>
        <w:t>m to participate in the study</w:t>
      </w:r>
      <w:r w:rsidR="00225C17">
        <w:rPr>
          <w:rFonts w:ascii="Times New Roman" w:hAnsi="Times New Roman" w:cs="Times New Roman"/>
          <w:szCs w:val="24"/>
        </w:rPr>
        <w:t xml:space="preserve"> (Appendices A1 and C1)</w:t>
      </w:r>
      <w:r w:rsidRPr="005103A4" w:rsidR="00D4593B">
        <w:rPr>
          <w:rFonts w:ascii="Times New Roman" w:hAnsi="Times New Roman" w:cs="Times New Roman"/>
          <w:szCs w:val="24"/>
        </w:rPr>
        <w:t xml:space="preserve">. </w:t>
      </w:r>
      <w:r w:rsidRPr="005103A4">
        <w:rPr>
          <w:rFonts w:ascii="Times New Roman" w:hAnsi="Times New Roman" w:cs="Times New Roman"/>
          <w:szCs w:val="24"/>
        </w:rPr>
        <w:t>Following the FNS email</w:t>
      </w:r>
      <w:r w:rsidR="00AE0919">
        <w:rPr>
          <w:rFonts w:ascii="Times New Roman" w:hAnsi="Times New Roman" w:cs="Times New Roman"/>
          <w:szCs w:val="24"/>
        </w:rPr>
        <w:t xml:space="preserve"> and notification by the study team</w:t>
      </w:r>
      <w:r w:rsidRPr="005103A4">
        <w:rPr>
          <w:rFonts w:ascii="Times New Roman" w:hAnsi="Times New Roman" w:cs="Times New Roman"/>
          <w:szCs w:val="24"/>
        </w:rPr>
        <w:t>, State Child Nutrition (CN) agencies will send an informational email to th</w:t>
      </w:r>
      <w:r w:rsidRPr="005103A4" w:rsidR="00D4593B">
        <w:rPr>
          <w:rFonts w:ascii="Times New Roman" w:hAnsi="Times New Roman" w:cs="Times New Roman"/>
          <w:szCs w:val="24"/>
        </w:rPr>
        <w:t>e sampled SFAs in their State</w:t>
      </w:r>
      <w:r w:rsidR="00225C17">
        <w:rPr>
          <w:rFonts w:ascii="Times New Roman" w:hAnsi="Times New Roman" w:cs="Times New Roman"/>
          <w:szCs w:val="24"/>
        </w:rPr>
        <w:t xml:space="preserve"> </w:t>
      </w:r>
      <w:r w:rsidRPr="005103A4" w:rsidR="00225C17">
        <w:rPr>
          <w:rFonts w:ascii="Times New Roman" w:hAnsi="Times New Roman" w:cs="Times New Roman"/>
          <w:szCs w:val="24"/>
        </w:rPr>
        <w:t>(Appendi</w:t>
      </w:r>
      <w:r w:rsidR="00225C17">
        <w:rPr>
          <w:rFonts w:ascii="Times New Roman" w:hAnsi="Times New Roman" w:cs="Times New Roman"/>
          <w:szCs w:val="24"/>
        </w:rPr>
        <w:t>x</w:t>
      </w:r>
      <w:r w:rsidRPr="005103A4" w:rsidR="00225C17">
        <w:rPr>
          <w:rFonts w:ascii="Times New Roman" w:hAnsi="Times New Roman" w:cs="Times New Roman"/>
          <w:szCs w:val="24"/>
        </w:rPr>
        <w:t xml:space="preserve"> </w:t>
      </w:r>
      <w:r w:rsidR="00225C17">
        <w:rPr>
          <w:rFonts w:ascii="Times New Roman" w:hAnsi="Times New Roman" w:cs="Times New Roman"/>
          <w:szCs w:val="24"/>
        </w:rPr>
        <w:t>A</w:t>
      </w:r>
      <w:r w:rsidR="008164DF">
        <w:rPr>
          <w:rFonts w:ascii="Times New Roman" w:hAnsi="Times New Roman" w:cs="Times New Roman"/>
          <w:szCs w:val="24"/>
        </w:rPr>
        <w:t>4</w:t>
      </w:r>
      <w:r w:rsidRPr="005103A4" w:rsidR="00225C17">
        <w:rPr>
          <w:rFonts w:ascii="Times New Roman" w:hAnsi="Times New Roman" w:cs="Times New Roman"/>
          <w:szCs w:val="24"/>
        </w:rPr>
        <w:t xml:space="preserve">).  </w:t>
      </w:r>
      <w:r w:rsidRPr="005103A4">
        <w:rPr>
          <w:rFonts w:ascii="Times New Roman" w:hAnsi="Times New Roman" w:cs="Times New Roman"/>
          <w:szCs w:val="24"/>
        </w:rPr>
        <w:t>The email will provide an overview of the study and urge SFAs to participate in the study</w:t>
      </w:r>
      <w:r w:rsidR="00225C17">
        <w:rPr>
          <w:rFonts w:ascii="Times New Roman" w:hAnsi="Times New Roman" w:cs="Times New Roman"/>
          <w:szCs w:val="24"/>
        </w:rPr>
        <w:t>.</w:t>
      </w:r>
    </w:p>
    <w:p w:rsidR="00481747" w:rsidP="00662EBE" w:rsidRDefault="00481747" w14:paraId="4ADCAE38" w14:textId="12E2EA00">
      <w:pPr>
        <w:pStyle w:val="ListParagraph"/>
        <w:numPr>
          <w:ilvl w:val="0"/>
          <w:numId w:val="8"/>
        </w:numPr>
        <w:spacing w:after="0"/>
        <w:rPr>
          <w:rFonts w:ascii="Times New Roman" w:hAnsi="Times New Roman" w:cs="Times New Roman"/>
          <w:szCs w:val="24"/>
        </w:rPr>
      </w:pPr>
      <w:r w:rsidRPr="0094492E">
        <w:rPr>
          <w:rFonts w:ascii="Times New Roman" w:hAnsi="Times New Roman" w:cs="Times New Roman"/>
          <w:szCs w:val="24"/>
        </w:rPr>
        <w:t xml:space="preserve">Current </w:t>
      </w:r>
      <w:r w:rsidR="00225C17">
        <w:rPr>
          <w:rFonts w:ascii="Times New Roman" w:hAnsi="Times New Roman" w:cs="Times New Roman"/>
          <w:szCs w:val="24"/>
        </w:rPr>
        <w:t xml:space="preserve">SFA </w:t>
      </w:r>
      <w:r w:rsidRPr="0094492E">
        <w:rPr>
          <w:rFonts w:ascii="Times New Roman" w:hAnsi="Times New Roman" w:cs="Times New Roman"/>
          <w:szCs w:val="24"/>
        </w:rPr>
        <w:t xml:space="preserve">contact information will be used for all initial correspondence and updated as needed throughout the data collection period to facilitate communication between the SFA and the </w:t>
      </w:r>
      <w:r w:rsidR="00225C17">
        <w:rPr>
          <w:rFonts w:ascii="Times New Roman" w:hAnsi="Times New Roman" w:cs="Times New Roman"/>
          <w:szCs w:val="24"/>
        </w:rPr>
        <w:t>s</w:t>
      </w:r>
      <w:r w:rsidRPr="0094492E">
        <w:rPr>
          <w:rFonts w:ascii="Times New Roman" w:hAnsi="Times New Roman" w:cs="Times New Roman"/>
          <w:szCs w:val="24"/>
        </w:rPr>
        <w:t xml:space="preserve">tudy </w:t>
      </w:r>
      <w:r w:rsidR="00225C17">
        <w:rPr>
          <w:rFonts w:ascii="Times New Roman" w:hAnsi="Times New Roman" w:cs="Times New Roman"/>
          <w:szCs w:val="24"/>
        </w:rPr>
        <w:t>t</w:t>
      </w:r>
      <w:r w:rsidRPr="0094492E">
        <w:rPr>
          <w:rFonts w:ascii="Times New Roman" w:hAnsi="Times New Roman" w:cs="Times New Roman"/>
          <w:szCs w:val="24"/>
        </w:rPr>
        <w:t>eam.</w:t>
      </w:r>
      <w:r>
        <w:rPr>
          <w:rFonts w:ascii="Times New Roman" w:hAnsi="Times New Roman" w:cs="Times New Roman"/>
          <w:szCs w:val="24"/>
        </w:rPr>
        <w:t xml:space="preserve"> </w:t>
      </w:r>
      <w:r w:rsidR="00225C17">
        <w:rPr>
          <w:rFonts w:ascii="Times New Roman" w:hAnsi="Times New Roman" w:cs="Times New Roman"/>
          <w:szCs w:val="24"/>
        </w:rPr>
        <w:t xml:space="preserve">The initial email </w:t>
      </w:r>
      <w:r w:rsidR="00AE0919">
        <w:rPr>
          <w:rFonts w:ascii="Times New Roman" w:hAnsi="Times New Roman" w:cs="Times New Roman"/>
          <w:szCs w:val="24"/>
        </w:rPr>
        <w:t xml:space="preserve">from the study team </w:t>
      </w:r>
      <w:r w:rsidR="00225C17">
        <w:rPr>
          <w:rFonts w:ascii="Times New Roman" w:hAnsi="Times New Roman" w:cs="Times New Roman"/>
          <w:szCs w:val="24"/>
        </w:rPr>
        <w:t>to State agencies informing them of their sampled SFAs will ask the State Directors to review and provide updates to SFA contact information (Appendix A2).</w:t>
      </w:r>
    </w:p>
    <w:p w:rsidRPr="005707E3" w:rsidR="00D4593B" w:rsidP="005707E3" w:rsidRDefault="00D4593B" w14:paraId="06DCDBD5" w14:textId="186718CB">
      <w:pPr>
        <w:pStyle w:val="ListParagraph"/>
        <w:numPr>
          <w:ilvl w:val="0"/>
          <w:numId w:val="8"/>
        </w:numPr>
        <w:spacing w:after="0"/>
        <w:rPr>
          <w:rFonts w:ascii="Times New Roman" w:hAnsi="Times New Roman" w:cs="Times New Roman"/>
          <w:szCs w:val="24"/>
        </w:rPr>
      </w:pPr>
      <w:r w:rsidRPr="0094492E">
        <w:rPr>
          <w:rFonts w:ascii="Times New Roman" w:hAnsi="Times New Roman" w:cs="Times New Roman"/>
          <w:szCs w:val="24"/>
        </w:rPr>
        <w:t xml:space="preserve">All study participants will have access to resources from the study website </w:t>
      </w:r>
      <w:r w:rsidR="00DF03E0">
        <w:rPr>
          <w:rFonts w:ascii="Times New Roman" w:hAnsi="Times New Roman" w:cs="Times New Roman"/>
          <w:szCs w:val="24"/>
        </w:rPr>
        <w:t xml:space="preserve">(Appendix D5) </w:t>
      </w:r>
      <w:r w:rsidRPr="0094492E">
        <w:rPr>
          <w:rFonts w:ascii="Times New Roman" w:hAnsi="Times New Roman" w:cs="Times New Roman"/>
          <w:szCs w:val="24"/>
        </w:rPr>
        <w:t>and th</w:t>
      </w:r>
      <w:r>
        <w:rPr>
          <w:rFonts w:ascii="Times New Roman" w:hAnsi="Times New Roman" w:cs="Times New Roman"/>
          <w:szCs w:val="24"/>
        </w:rPr>
        <w:t>e</w:t>
      </w:r>
      <w:r w:rsidR="005A1843">
        <w:rPr>
          <w:rFonts w:ascii="Times New Roman" w:hAnsi="Times New Roman" w:cs="Times New Roman"/>
          <w:szCs w:val="24"/>
        </w:rPr>
        <w:t xml:space="preserve"> study’s</w:t>
      </w:r>
      <w:r>
        <w:rPr>
          <w:rFonts w:ascii="Times New Roman" w:hAnsi="Times New Roman" w:cs="Times New Roman"/>
          <w:szCs w:val="24"/>
        </w:rPr>
        <w:t xml:space="preserve"> Technical Assistance Center</w:t>
      </w:r>
      <w:r w:rsidR="005707E3">
        <w:rPr>
          <w:rFonts w:ascii="Times New Roman" w:hAnsi="Times New Roman" w:cs="Times New Roman"/>
          <w:szCs w:val="24"/>
        </w:rPr>
        <w:t xml:space="preserve"> (TAC)</w:t>
      </w:r>
      <w:r>
        <w:rPr>
          <w:rFonts w:ascii="Times New Roman" w:hAnsi="Times New Roman" w:cs="Times New Roman"/>
          <w:szCs w:val="24"/>
        </w:rPr>
        <w:t>.</w:t>
      </w:r>
      <w:r w:rsidR="005707E3">
        <w:rPr>
          <w:rFonts w:ascii="Times New Roman" w:hAnsi="Times New Roman" w:cs="Times New Roman"/>
          <w:szCs w:val="24"/>
        </w:rPr>
        <w:t xml:space="preserve"> </w:t>
      </w:r>
      <w:r w:rsidRPr="005707E3">
        <w:rPr>
          <w:rFonts w:ascii="Times New Roman" w:hAnsi="Times New Roman" w:cs="Times New Roman"/>
          <w:szCs w:val="24"/>
        </w:rPr>
        <w:t xml:space="preserve">A toll-free number and study email address will be provided so that SFA directors can receive assistance. </w:t>
      </w:r>
      <w:r w:rsidRPr="002F7CD0" w:rsidR="00AE0919">
        <w:rPr>
          <w:rFonts w:ascii="Times New Roman" w:hAnsi="Times New Roman" w:cs="Times New Roman"/>
        </w:rPr>
        <w:t xml:space="preserve">The TAC will be available from 9am to 4pm EST and the message line will be available 24/7, with responses provided the following day. </w:t>
      </w:r>
    </w:p>
    <w:p w:rsidRPr="005103A4" w:rsidR="00F9444D" w:rsidP="00662EBE" w:rsidRDefault="00F9444D" w14:paraId="2613303F" w14:textId="40D2C327">
      <w:pPr>
        <w:pStyle w:val="ListParagraph"/>
        <w:numPr>
          <w:ilvl w:val="0"/>
          <w:numId w:val="8"/>
        </w:numPr>
        <w:rPr>
          <w:rFonts w:ascii="Times New Roman" w:hAnsi="Times New Roman" w:cs="Times New Roman"/>
          <w:szCs w:val="24"/>
        </w:rPr>
      </w:pPr>
      <w:r w:rsidRPr="002520A2">
        <w:rPr>
          <w:rFonts w:ascii="Times New Roman" w:hAnsi="Times New Roman" w:cs="Times New Roman"/>
          <w:szCs w:val="24"/>
        </w:rPr>
        <w:lastRenderedPageBreak/>
        <w:t xml:space="preserve">We plan to conduct </w:t>
      </w:r>
      <w:r w:rsidR="008164DF">
        <w:rPr>
          <w:rFonts w:ascii="Times New Roman" w:hAnsi="Times New Roman" w:cs="Times New Roman"/>
          <w:szCs w:val="24"/>
        </w:rPr>
        <w:t xml:space="preserve">an initial (live) Study Overview Webinar (Appendix B4) and </w:t>
      </w:r>
      <w:r w:rsidRPr="002520A2">
        <w:rPr>
          <w:rFonts w:ascii="Times New Roman" w:hAnsi="Times New Roman" w:cs="Times New Roman"/>
          <w:szCs w:val="24"/>
        </w:rPr>
        <w:t xml:space="preserve">quarterly </w:t>
      </w:r>
      <w:r w:rsidR="008164DF">
        <w:rPr>
          <w:rFonts w:ascii="Times New Roman" w:hAnsi="Times New Roman" w:cs="Times New Roman"/>
          <w:szCs w:val="24"/>
        </w:rPr>
        <w:t>Purchase Data W</w:t>
      </w:r>
      <w:r w:rsidRPr="002520A2">
        <w:rPr>
          <w:rFonts w:ascii="Times New Roman" w:hAnsi="Times New Roman" w:cs="Times New Roman"/>
          <w:szCs w:val="24"/>
        </w:rPr>
        <w:t xml:space="preserve">ebinars </w:t>
      </w:r>
      <w:r w:rsidR="00077E64">
        <w:rPr>
          <w:rFonts w:ascii="Times New Roman" w:hAnsi="Times New Roman" w:cs="Times New Roman"/>
          <w:szCs w:val="24"/>
        </w:rPr>
        <w:t>(</w:t>
      </w:r>
      <w:r w:rsidR="008164DF">
        <w:rPr>
          <w:rFonts w:ascii="Times New Roman" w:hAnsi="Times New Roman" w:cs="Times New Roman"/>
          <w:szCs w:val="24"/>
        </w:rPr>
        <w:t xml:space="preserve">Appendix B9) </w:t>
      </w:r>
      <w:r w:rsidRPr="002520A2">
        <w:rPr>
          <w:rFonts w:ascii="Times New Roman" w:hAnsi="Times New Roman" w:cs="Times New Roman"/>
          <w:szCs w:val="24"/>
        </w:rPr>
        <w:t xml:space="preserve">and make these available to SFAs through </w:t>
      </w:r>
      <w:r w:rsidR="00D4593B">
        <w:rPr>
          <w:rFonts w:ascii="Times New Roman" w:hAnsi="Times New Roman" w:cs="Times New Roman"/>
          <w:szCs w:val="24"/>
        </w:rPr>
        <w:t>the</w:t>
      </w:r>
      <w:r w:rsidRPr="002520A2">
        <w:rPr>
          <w:rFonts w:ascii="Times New Roman" w:hAnsi="Times New Roman" w:cs="Times New Roman"/>
          <w:szCs w:val="24"/>
        </w:rPr>
        <w:t xml:space="preserve"> study </w:t>
      </w:r>
      <w:r w:rsidR="00D4593B">
        <w:rPr>
          <w:rFonts w:ascii="Times New Roman" w:hAnsi="Times New Roman" w:cs="Times New Roman"/>
          <w:szCs w:val="24"/>
        </w:rPr>
        <w:t>website</w:t>
      </w:r>
      <w:r w:rsidR="00DF03E0">
        <w:rPr>
          <w:rFonts w:ascii="Times New Roman" w:hAnsi="Times New Roman" w:cs="Times New Roman"/>
          <w:szCs w:val="24"/>
        </w:rPr>
        <w:t xml:space="preserve"> (Appendix D5)</w:t>
      </w:r>
      <w:r w:rsidR="008164DF">
        <w:rPr>
          <w:rFonts w:ascii="Times New Roman" w:hAnsi="Times New Roman" w:cs="Times New Roman"/>
          <w:szCs w:val="24"/>
        </w:rPr>
        <w:t xml:space="preserve">. </w:t>
      </w:r>
      <w:r w:rsidR="00D043A5">
        <w:rPr>
          <w:rFonts w:ascii="Times New Roman" w:hAnsi="Times New Roman" w:cs="Times New Roman"/>
          <w:szCs w:val="24"/>
        </w:rPr>
        <w:t xml:space="preserve">The </w:t>
      </w:r>
      <w:r w:rsidR="00077E64">
        <w:rPr>
          <w:rFonts w:ascii="Times New Roman" w:hAnsi="Times New Roman" w:cs="Times New Roman"/>
          <w:szCs w:val="24"/>
        </w:rPr>
        <w:t>recording</w:t>
      </w:r>
      <w:r w:rsidR="008164DF">
        <w:rPr>
          <w:rFonts w:ascii="Times New Roman" w:hAnsi="Times New Roman" w:cs="Times New Roman"/>
          <w:szCs w:val="24"/>
        </w:rPr>
        <w:t>s</w:t>
      </w:r>
      <w:r w:rsidR="00077E64">
        <w:rPr>
          <w:rFonts w:ascii="Times New Roman" w:hAnsi="Times New Roman" w:cs="Times New Roman"/>
          <w:szCs w:val="24"/>
        </w:rPr>
        <w:t xml:space="preserve"> </w:t>
      </w:r>
      <w:r w:rsidRPr="002520A2">
        <w:rPr>
          <w:rFonts w:ascii="Times New Roman" w:hAnsi="Times New Roman" w:cs="Times New Roman"/>
          <w:szCs w:val="24"/>
        </w:rPr>
        <w:t xml:space="preserve">provide </w:t>
      </w:r>
      <w:r w:rsidR="00D043A5">
        <w:rPr>
          <w:rFonts w:ascii="Times New Roman" w:hAnsi="Times New Roman" w:cs="Times New Roman"/>
          <w:szCs w:val="24"/>
        </w:rPr>
        <w:t>SFAs with</w:t>
      </w:r>
      <w:r w:rsidRPr="002520A2">
        <w:rPr>
          <w:rFonts w:ascii="Times New Roman" w:hAnsi="Times New Roman" w:cs="Times New Roman"/>
          <w:szCs w:val="24"/>
        </w:rPr>
        <w:t xml:space="preserve"> the flexibility to </w:t>
      </w:r>
      <w:r w:rsidR="00077E64">
        <w:rPr>
          <w:rFonts w:ascii="Times New Roman" w:hAnsi="Times New Roman" w:cs="Times New Roman"/>
          <w:szCs w:val="24"/>
        </w:rPr>
        <w:t xml:space="preserve">view </w:t>
      </w:r>
      <w:r w:rsidRPr="002520A2">
        <w:rPr>
          <w:rFonts w:ascii="Times New Roman" w:hAnsi="Times New Roman" w:cs="Times New Roman"/>
          <w:szCs w:val="24"/>
        </w:rPr>
        <w:t>the webinar</w:t>
      </w:r>
      <w:r w:rsidR="008164DF">
        <w:rPr>
          <w:rFonts w:ascii="Times New Roman" w:hAnsi="Times New Roman" w:cs="Times New Roman"/>
          <w:szCs w:val="24"/>
        </w:rPr>
        <w:t>s</w:t>
      </w:r>
      <w:r w:rsidRPr="002520A2">
        <w:rPr>
          <w:rFonts w:ascii="Times New Roman" w:hAnsi="Times New Roman" w:cs="Times New Roman"/>
          <w:szCs w:val="24"/>
        </w:rPr>
        <w:t xml:space="preserve"> </w:t>
      </w:r>
      <w:r w:rsidR="00077E64">
        <w:rPr>
          <w:rFonts w:ascii="Times New Roman" w:hAnsi="Times New Roman" w:cs="Times New Roman"/>
          <w:szCs w:val="24"/>
        </w:rPr>
        <w:t xml:space="preserve">as </w:t>
      </w:r>
      <w:r w:rsidRPr="002520A2">
        <w:rPr>
          <w:rFonts w:ascii="Times New Roman" w:hAnsi="Times New Roman" w:cs="Times New Roman"/>
          <w:szCs w:val="24"/>
        </w:rPr>
        <w:t>well as other study information available on the study website at their convenience</w:t>
      </w:r>
      <w:r w:rsidR="007D3855">
        <w:rPr>
          <w:rFonts w:ascii="Times New Roman" w:hAnsi="Times New Roman" w:cs="Times New Roman"/>
          <w:szCs w:val="24"/>
        </w:rPr>
        <w:t>.</w:t>
      </w:r>
      <w:r w:rsidR="00173858">
        <w:rPr>
          <w:rFonts w:ascii="Times New Roman" w:hAnsi="Times New Roman" w:cs="Times New Roman"/>
          <w:szCs w:val="24"/>
        </w:rPr>
        <w:t xml:space="preserve"> </w:t>
      </w:r>
    </w:p>
    <w:p w:rsidRPr="005103A4" w:rsidR="00363155" w:rsidP="00662EBE" w:rsidRDefault="00F9444D" w14:paraId="01BF616B" w14:textId="78601288">
      <w:pPr>
        <w:pStyle w:val="ListParagraph"/>
        <w:numPr>
          <w:ilvl w:val="0"/>
          <w:numId w:val="8"/>
        </w:numPr>
        <w:spacing w:after="0"/>
        <w:rPr>
          <w:rFonts w:ascii="Times New Roman" w:hAnsi="Times New Roman" w:cs="Times New Roman"/>
          <w:szCs w:val="24"/>
        </w:rPr>
      </w:pPr>
      <w:r w:rsidRPr="005103A4">
        <w:rPr>
          <w:rFonts w:ascii="Times New Roman" w:hAnsi="Times New Roman" w:cs="Times New Roman"/>
          <w:szCs w:val="24"/>
        </w:rPr>
        <w:t xml:space="preserve">The </w:t>
      </w:r>
      <w:r w:rsidR="007C073C">
        <w:rPr>
          <w:rFonts w:ascii="Times New Roman" w:hAnsi="Times New Roman" w:cs="Times New Roman"/>
          <w:szCs w:val="24"/>
        </w:rPr>
        <w:t>s</w:t>
      </w:r>
      <w:r w:rsidRPr="005103A4">
        <w:rPr>
          <w:rFonts w:ascii="Times New Roman" w:hAnsi="Times New Roman" w:cs="Times New Roman"/>
          <w:szCs w:val="24"/>
        </w:rPr>
        <w:t xml:space="preserve">tudy </w:t>
      </w:r>
      <w:r w:rsidR="007C073C">
        <w:rPr>
          <w:rFonts w:ascii="Times New Roman" w:hAnsi="Times New Roman" w:cs="Times New Roman"/>
          <w:szCs w:val="24"/>
        </w:rPr>
        <w:t>t</w:t>
      </w:r>
      <w:r w:rsidRPr="005103A4">
        <w:rPr>
          <w:rFonts w:ascii="Times New Roman" w:hAnsi="Times New Roman" w:cs="Times New Roman"/>
          <w:szCs w:val="24"/>
        </w:rPr>
        <w:t xml:space="preserve">eam will send </w:t>
      </w:r>
      <w:r w:rsidR="007C073C">
        <w:rPr>
          <w:rFonts w:ascii="Times New Roman" w:hAnsi="Times New Roman" w:cs="Times New Roman"/>
          <w:szCs w:val="24"/>
        </w:rPr>
        <w:t xml:space="preserve">email reminders </w:t>
      </w:r>
      <w:r w:rsidR="008164DF">
        <w:rPr>
          <w:rFonts w:ascii="Times New Roman" w:hAnsi="Times New Roman" w:cs="Times New Roman"/>
          <w:szCs w:val="24"/>
        </w:rPr>
        <w:t xml:space="preserve">(Appendix </w:t>
      </w:r>
      <w:r w:rsidR="00AE0919">
        <w:rPr>
          <w:rFonts w:ascii="Times New Roman" w:hAnsi="Times New Roman" w:cs="Times New Roman"/>
          <w:szCs w:val="24"/>
        </w:rPr>
        <w:t>A8</w:t>
      </w:r>
      <w:r w:rsidR="008164DF">
        <w:rPr>
          <w:rFonts w:ascii="Times New Roman" w:hAnsi="Times New Roman" w:cs="Times New Roman"/>
          <w:szCs w:val="24"/>
        </w:rPr>
        <w:t xml:space="preserve">) </w:t>
      </w:r>
      <w:r w:rsidR="002C4E61">
        <w:rPr>
          <w:rFonts w:ascii="Times New Roman" w:hAnsi="Times New Roman" w:cs="Times New Roman"/>
          <w:szCs w:val="24"/>
        </w:rPr>
        <w:t xml:space="preserve">as needed </w:t>
      </w:r>
      <w:r w:rsidRPr="005103A4">
        <w:rPr>
          <w:rFonts w:ascii="Times New Roman" w:hAnsi="Times New Roman" w:cs="Times New Roman"/>
          <w:szCs w:val="24"/>
        </w:rPr>
        <w:t>to</w:t>
      </w:r>
      <w:r w:rsidRPr="005103A4" w:rsidR="005707E3">
        <w:rPr>
          <w:rFonts w:ascii="Times New Roman" w:hAnsi="Times New Roman" w:cs="Times New Roman"/>
          <w:szCs w:val="24"/>
        </w:rPr>
        <w:t xml:space="preserve"> SFA directors who have not completed </w:t>
      </w:r>
      <w:r w:rsidRPr="005103A4">
        <w:rPr>
          <w:rFonts w:ascii="Times New Roman" w:hAnsi="Times New Roman" w:cs="Times New Roman"/>
          <w:szCs w:val="24"/>
        </w:rPr>
        <w:t>the Survey of Food Purchase Practices</w:t>
      </w:r>
      <w:r w:rsidRPr="005103A4" w:rsidR="005707E3">
        <w:rPr>
          <w:rFonts w:ascii="Times New Roman" w:hAnsi="Times New Roman" w:cs="Times New Roman"/>
          <w:szCs w:val="24"/>
        </w:rPr>
        <w:t xml:space="preserve"> or</w:t>
      </w:r>
      <w:r w:rsidR="005707E3">
        <w:rPr>
          <w:rFonts w:ascii="Times New Roman" w:hAnsi="Times New Roman" w:cs="Times New Roman"/>
          <w:szCs w:val="24"/>
        </w:rPr>
        <w:t xml:space="preserve"> provided the school </w:t>
      </w:r>
      <w:r w:rsidRPr="005103A4" w:rsidR="005707E3">
        <w:rPr>
          <w:rFonts w:ascii="Times New Roman" w:hAnsi="Times New Roman" w:cs="Times New Roman"/>
          <w:szCs w:val="24"/>
        </w:rPr>
        <w:t>food purchase data</w:t>
      </w:r>
      <w:r w:rsidRPr="005103A4" w:rsidR="00173858">
        <w:rPr>
          <w:rFonts w:ascii="Times New Roman" w:hAnsi="Times New Roman" w:cs="Times New Roman"/>
          <w:szCs w:val="24"/>
        </w:rPr>
        <w:t>.</w:t>
      </w:r>
      <w:r w:rsidRPr="005103A4">
        <w:rPr>
          <w:rFonts w:ascii="Times New Roman" w:hAnsi="Times New Roman" w:cs="Times New Roman"/>
          <w:szCs w:val="24"/>
        </w:rPr>
        <w:t xml:space="preserve"> </w:t>
      </w:r>
      <w:r w:rsidRPr="005103A4" w:rsidR="00F659E0">
        <w:rPr>
          <w:rFonts w:ascii="Times New Roman" w:hAnsi="Times New Roman" w:cs="Times New Roman"/>
          <w:szCs w:val="24"/>
        </w:rPr>
        <w:t xml:space="preserve">Similarly, the study team will send email reminders </w:t>
      </w:r>
      <w:r w:rsidR="008164DF">
        <w:rPr>
          <w:rFonts w:ascii="Times New Roman" w:hAnsi="Times New Roman" w:cs="Times New Roman"/>
          <w:szCs w:val="24"/>
        </w:rPr>
        <w:t xml:space="preserve">(Appendix </w:t>
      </w:r>
      <w:r w:rsidR="0054003F">
        <w:rPr>
          <w:rFonts w:ascii="Times New Roman" w:hAnsi="Times New Roman" w:cs="Times New Roman"/>
          <w:szCs w:val="24"/>
        </w:rPr>
        <w:t>A8</w:t>
      </w:r>
      <w:r w:rsidR="008164DF">
        <w:rPr>
          <w:rFonts w:ascii="Times New Roman" w:hAnsi="Times New Roman" w:cs="Times New Roman"/>
          <w:szCs w:val="24"/>
        </w:rPr>
        <w:t xml:space="preserve">) as needed </w:t>
      </w:r>
      <w:r w:rsidRPr="005103A4" w:rsidR="00F659E0">
        <w:rPr>
          <w:rFonts w:ascii="Times New Roman" w:hAnsi="Times New Roman" w:cs="Times New Roman"/>
          <w:szCs w:val="24"/>
        </w:rPr>
        <w:t xml:space="preserve">to SDAs who have not submitted the SFA Level USDA Foods Data </w:t>
      </w:r>
    </w:p>
    <w:p w:rsidRPr="005103A4" w:rsidR="008C41A2" w:rsidP="00662EBE" w:rsidRDefault="005707E3" w14:paraId="6AE01562" w14:textId="18B3F042">
      <w:pPr>
        <w:pStyle w:val="ListParagraph"/>
        <w:numPr>
          <w:ilvl w:val="0"/>
          <w:numId w:val="8"/>
        </w:numPr>
        <w:spacing w:after="0"/>
        <w:rPr>
          <w:rFonts w:ascii="Times New Roman" w:hAnsi="Times New Roman" w:cs="Times New Roman"/>
          <w:szCs w:val="24"/>
        </w:rPr>
      </w:pPr>
      <w:r w:rsidRPr="005103A4">
        <w:rPr>
          <w:rFonts w:ascii="Times New Roman" w:hAnsi="Times New Roman" w:cs="Times New Roman"/>
          <w:szCs w:val="24"/>
        </w:rPr>
        <w:t>We will offer a</w:t>
      </w:r>
      <w:r w:rsidRPr="005103A4" w:rsidR="008C41A2">
        <w:rPr>
          <w:rFonts w:ascii="Times New Roman" w:hAnsi="Times New Roman" w:cs="Times New Roman"/>
          <w:szCs w:val="24"/>
        </w:rPr>
        <w:t xml:space="preserve"> $300 incentive to SFAs who complete</w:t>
      </w:r>
      <w:r w:rsidRPr="005103A4" w:rsidR="00D4593B">
        <w:rPr>
          <w:rFonts w:ascii="Times New Roman" w:hAnsi="Times New Roman" w:cs="Times New Roman"/>
          <w:szCs w:val="24"/>
        </w:rPr>
        <w:t xml:space="preserve"> </w:t>
      </w:r>
      <w:r w:rsidRPr="005103A4" w:rsidR="00BE4E3E">
        <w:rPr>
          <w:rFonts w:ascii="Times New Roman" w:hAnsi="Times New Roman" w:cs="Times New Roman"/>
          <w:szCs w:val="24"/>
        </w:rPr>
        <w:t>the Survey of Food Purc</w:t>
      </w:r>
      <w:r w:rsidRPr="005103A4" w:rsidR="005A1843">
        <w:rPr>
          <w:rFonts w:ascii="Times New Roman" w:hAnsi="Times New Roman" w:cs="Times New Roman"/>
          <w:szCs w:val="24"/>
        </w:rPr>
        <w:t xml:space="preserve">hase </w:t>
      </w:r>
      <w:r w:rsidRPr="005103A4" w:rsidR="00BE4E3E">
        <w:rPr>
          <w:rFonts w:ascii="Times New Roman" w:hAnsi="Times New Roman" w:cs="Times New Roman"/>
          <w:szCs w:val="24"/>
        </w:rPr>
        <w:t xml:space="preserve">Practices and submit </w:t>
      </w:r>
      <w:r w:rsidR="008164DF">
        <w:rPr>
          <w:rFonts w:ascii="Times New Roman" w:hAnsi="Times New Roman" w:cs="Times New Roman"/>
          <w:szCs w:val="24"/>
        </w:rPr>
        <w:t xml:space="preserve">complete </w:t>
      </w:r>
      <w:r w:rsidRPr="005103A4" w:rsidR="00BE4E3E">
        <w:rPr>
          <w:rFonts w:ascii="Times New Roman" w:hAnsi="Times New Roman" w:cs="Times New Roman"/>
          <w:szCs w:val="24"/>
        </w:rPr>
        <w:t>food purc</w:t>
      </w:r>
      <w:r w:rsidR="007C073C">
        <w:rPr>
          <w:rFonts w:ascii="Times New Roman" w:hAnsi="Times New Roman" w:cs="Times New Roman"/>
          <w:szCs w:val="24"/>
        </w:rPr>
        <w:t xml:space="preserve">hase </w:t>
      </w:r>
      <w:r w:rsidRPr="005103A4" w:rsidR="00BE4E3E">
        <w:rPr>
          <w:rFonts w:ascii="Times New Roman" w:hAnsi="Times New Roman" w:cs="Times New Roman"/>
          <w:szCs w:val="24"/>
        </w:rPr>
        <w:t xml:space="preserve">data for one quarter. SFAs will be encouraged to use the incentives towards </w:t>
      </w:r>
      <w:r w:rsidRPr="005103A4" w:rsidR="005A1843">
        <w:rPr>
          <w:rFonts w:ascii="Times New Roman" w:hAnsi="Times New Roman" w:cs="Times New Roman"/>
          <w:szCs w:val="24"/>
        </w:rPr>
        <w:t xml:space="preserve">the cost of </w:t>
      </w:r>
      <w:r w:rsidRPr="005103A4" w:rsidR="00BE4E3E">
        <w:rPr>
          <w:rFonts w:ascii="Times New Roman" w:hAnsi="Times New Roman" w:cs="Times New Roman"/>
          <w:szCs w:val="24"/>
        </w:rPr>
        <w:t xml:space="preserve">attending a </w:t>
      </w:r>
      <w:r w:rsidR="002C4E61">
        <w:rPr>
          <w:rFonts w:ascii="Times New Roman" w:hAnsi="Times New Roman" w:cs="Times New Roman"/>
          <w:szCs w:val="24"/>
        </w:rPr>
        <w:t xml:space="preserve">conference or similar </w:t>
      </w:r>
      <w:r w:rsidRPr="005103A4" w:rsidR="00BE4E3E">
        <w:rPr>
          <w:rFonts w:ascii="Times New Roman" w:hAnsi="Times New Roman" w:cs="Times New Roman"/>
          <w:szCs w:val="24"/>
        </w:rPr>
        <w:t xml:space="preserve">professional development </w:t>
      </w:r>
      <w:r w:rsidR="002C4E61">
        <w:rPr>
          <w:rFonts w:ascii="Times New Roman" w:hAnsi="Times New Roman" w:cs="Times New Roman"/>
          <w:szCs w:val="24"/>
        </w:rPr>
        <w:t>opportunity</w:t>
      </w:r>
      <w:r w:rsidRPr="005103A4">
        <w:rPr>
          <w:rFonts w:ascii="Times New Roman" w:hAnsi="Times New Roman" w:cs="Times New Roman"/>
          <w:szCs w:val="24"/>
        </w:rPr>
        <w:t>.</w:t>
      </w:r>
    </w:p>
    <w:p w:rsidRPr="007C073C" w:rsidR="00D4593B" w:rsidP="0070120C" w:rsidRDefault="001A613D" w14:paraId="37DAAD41" w14:textId="2C60AFFF">
      <w:pPr>
        <w:pStyle w:val="ListParagraph"/>
        <w:numPr>
          <w:ilvl w:val="0"/>
          <w:numId w:val="8"/>
        </w:numPr>
        <w:spacing w:after="0"/>
        <w:rPr>
          <w:rFonts w:ascii="Times New Roman" w:hAnsi="Times New Roman" w:cs="Times New Roman"/>
          <w:szCs w:val="24"/>
        </w:rPr>
      </w:pPr>
      <w:r w:rsidRPr="007C073C">
        <w:rPr>
          <w:rFonts w:ascii="Times New Roman" w:hAnsi="Times New Roman" w:cs="Times New Roman"/>
          <w:szCs w:val="24"/>
        </w:rPr>
        <w:t xml:space="preserve">Before considering </w:t>
      </w:r>
      <w:r w:rsidRPr="007C073C" w:rsidR="007C073C">
        <w:rPr>
          <w:rFonts w:ascii="Times New Roman" w:hAnsi="Times New Roman" w:cs="Times New Roman"/>
          <w:szCs w:val="24"/>
        </w:rPr>
        <w:t>SDAs</w:t>
      </w:r>
      <w:r w:rsidR="00D2742D">
        <w:rPr>
          <w:rFonts w:ascii="Times New Roman" w:hAnsi="Times New Roman" w:cs="Times New Roman"/>
          <w:szCs w:val="24"/>
        </w:rPr>
        <w:t xml:space="preserve"> or </w:t>
      </w:r>
      <w:r w:rsidRPr="007C073C">
        <w:rPr>
          <w:rFonts w:ascii="Times New Roman" w:hAnsi="Times New Roman" w:cs="Times New Roman"/>
          <w:szCs w:val="24"/>
        </w:rPr>
        <w:t>SFAs</w:t>
      </w:r>
      <w:r w:rsidR="00D2742D">
        <w:rPr>
          <w:rFonts w:ascii="Times New Roman" w:hAnsi="Times New Roman" w:cs="Times New Roman"/>
          <w:szCs w:val="24"/>
        </w:rPr>
        <w:t xml:space="preserve"> </w:t>
      </w:r>
      <w:r w:rsidRPr="007C073C">
        <w:rPr>
          <w:rFonts w:ascii="Times New Roman" w:hAnsi="Times New Roman" w:cs="Times New Roman"/>
          <w:szCs w:val="24"/>
        </w:rPr>
        <w:t>as nonrespondents, the final contact wi</w:t>
      </w:r>
      <w:r w:rsidRPr="007C073C" w:rsidR="00077E64">
        <w:rPr>
          <w:rFonts w:ascii="Times New Roman" w:hAnsi="Times New Roman" w:cs="Times New Roman"/>
          <w:szCs w:val="24"/>
        </w:rPr>
        <w:t>th</w:t>
      </w:r>
      <w:r w:rsidRPr="007C073C">
        <w:rPr>
          <w:rFonts w:ascii="Times New Roman" w:hAnsi="Times New Roman" w:cs="Times New Roman"/>
          <w:szCs w:val="24"/>
        </w:rPr>
        <w:t xml:space="preserve"> all nonrespondents will be attempted via telephone (Appendices A</w:t>
      </w:r>
      <w:r w:rsidR="0054003F">
        <w:rPr>
          <w:rFonts w:ascii="Times New Roman" w:hAnsi="Times New Roman" w:cs="Times New Roman"/>
          <w:szCs w:val="24"/>
        </w:rPr>
        <w:t>9</w:t>
      </w:r>
      <w:r w:rsidRPr="007C073C">
        <w:rPr>
          <w:rFonts w:ascii="Times New Roman" w:hAnsi="Times New Roman" w:cs="Times New Roman"/>
          <w:szCs w:val="24"/>
        </w:rPr>
        <w:t xml:space="preserve">, B6, </w:t>
      </w:r>
      <w:r w:rsidR="002C4E61">
        <w:rPr>
          <w:rFonts w:ascii="Times New Roman" w:hAnsi="Times New Roman" w:cs="Times New Roman"/>
          <w:szCs w:val="24"/>
        </w:rPr>
        <w:t xml:space="preserve">and </w:t>
      </w:r>
      <w:r w:rsidRPr="007C073C">
        <w:rPr>
          <w:rFonts w:ascii="Times New Roman" w:hAnsi="Times New Roman" w:cs="Times New Roman"/>
          <w:szCs w:val="24"/>
        </w:rPr>
        <w:t>B12</w:t>
      </w:r>
      <w:r w:rsidR="002C4E61">
        <w:rPr>
          <w:rFonts w:ascii="Times New Roman" w:hAnsi="Times New Roman" w:cs="Times New Roman"/>
          <w:szCs w:val="24"/>
        </w:rPr>
        <w:t>)</w:t>
      </w:r>
      <w:r w:rsidR="0054003F">
        <w:rPr>
          <w:rFonts w:ascii="Times New Roman" w:hAnsi="Times New Roman" w:cs="Times New Roman"/>
          <w:szCs w:val="24"/>
        </w:rPr>
        <w:t>.</w:t>
      </w:r>
      <w:r w:rsidR="002C4E61">
        <w:rPr>
          <w:rFonts w:ascii="Times New Roman" w:hAnsi="Times New Roman" w:cs="Times New Roman"/>
          <w:szCs w:val="24"/>
        </w:rPr>
        <w:t xml:space="preserve"> </w:t>
      </w:r>
      <w:r w:rsidRPr="007C073C" w:rsidR="000A6045">
        <w:rPr>
          <w:rFonts w:ascii="Times New Roman" w:hAnsi="Times New Roman" w:cs="Times New Roman"/>
          <w:szCs w:val="24"/>
        </w:rPr>
        <w:t xml:space="preserve">We will </w:t>
      </w:r>
      <w:r w:rsidRPr="007C073C" w:rsidR="003A79C1">
        <w:rPr>
          <w:rFonts w:ascii="Times New Roman" w:hAnsi="Times New Roman" w:cs="Times New Roman"/>
          <w:szCs w:val="24"/>
        </w:rPr>
        <w:t xml:space="preserve">schedule calls at different times of the day and on different days of the week to increase the chances of reaching </w:t>
      </w:r>
      <w:r w:rsidRPr="007C073C" w:rsidR="00DA6E82">
        <w:rPr>
          <w:rFonts w:ascii="Times New Roman" w:hAnsi="Times New Roman" w:cs="Times New Roman"/>
          <w:szCs w:val="24"/>
        </w:rPr>
        <w:t xml:space="preserve">nonresponding </w:t>
      </w:r>
      <w:r w:rsidRPr="007C073C" w:rsidR="003A79C1">
        <w:rPr>
          <w:rFonts w:ascii="Times New Roman" w:hAnsi="Times New Roman" w:cs="Times New Roman"/>
          <w:szCs w:val="24"/>
        </w:rPr>
        <w:t>SFAs.</w:t>
      </w:r>
    </w:p>
    <w:p w:rsidRPr="00CA4368" w:rsidR="003A09A9" w:rsidP="00662EBE" w:rsidRDefault="007C073C" w14:paraId="04C5700C" w14:textId="5D594F5E">
      <w:pPr>
        <w:pStyle w:val="ListParagraph"/>
        <w:numPr>
          <w:ilvl w:val="0"/>
          <w:numId w:val="8"/>
        </w:numPr>
        <w:spacing w:after="0"/>
        <w:rPr>
          <w:rFonts w:ascii="Times New Roman" w:hAnsi="Times New Roman" w:cs="Times New Roman"/>
          <w:szCs w:val="24"/>
        </w:rPr>
      </w:pPr>
      <w:r>
        <w:rPr>
          <w:rFonts w:ascii="Times New Roman" w:hAnsi="Times New Roman" w:cs="Times New Roman"/>
          <w:szCs w:val="24"/>
        </w:rPr>
        <w:t xml:space="preserve">If necessary, </w:t>
      </w:r>
      <w:r w:rsidRPr="000A6045" w:rsidR="003A09A9">
        <w:rPr>
          <w:rFonts w:ascii="Times New Roman" w:hAnsi="Times New Roman" w:cs="Times New Roman"/>
          <w:szCs w:val="24"/>
        </w:rPr>
        <w:t xml:space="preserve">State </w:t>
      </w:r>
      <w:r>
        <w:rPr>
          <w:rFonts w:ascii="Times New Roman" w:hAnsi="Times New Roman" w:cs="Times New Roman"/>
          <w:szCs w:val="24"/>
        </w:rPr>
        <w:t>a</w:t>
      </w:r>
      <w:r w:rsidR="00FF2B4B">
        <w:rPr>
          <w:rFonts w:ascii="Times New Roman" w:hAnsi="Times New Roman" w:cs="Times New Roman"/>
          <w:szCs w:val="24"/>
        </w:rPr>
        <w:t xml:space="preserve">gency </w:t>
      </w:r>
      <w:r w:rsidRPr="000A6045" w:rsidR="003A09A9">
        <w:rPr>
          <w:rFonts w:ascii="Times New Roman" w:hAnsi="Times New Roman" w:cs="Times New Roman"/>
          <w:szCs w:val="24"/>
        </w:rPr>
        <w:t xml:space="preserve">staff </w:t>
      </w:r>
      <w:r w:rsidRPr="000A6045" w:rsidR="000A6045">
        <w:rPr>
          <w:rFonts w:ascii="Times New Roman" w:hAnsi="Times New Roman" w:cs="Times New Roman"/>
          <w:szCs w:val="24"/>
        </w:rPr>
        <w:t xml:space="preserve">will </w:t>
      </w:r>
      <w:r w:rsidRPr="000A6045" w:rsidR="003A09A9">
        <w:rPr>
          <w:rFonts w:ascii="Times New Roman" w:hAnsi="Times New Roman" w:cs="Times New Roman"/>
          <w:szCs w:val="24"/>
        </w:rPr>
        <w:t xml:space="preserve">follow up with nonresponding SFAs and encourage participation.  </w:t>
      </w:r>
    </w:p>
    <w:p w:rsidRPr="002520A2" w:rsidR="00786F7C" w:rsidP="00786F7C" w:rsidRDefault="00786F7C" w14:paraId="29DA1A61" w14:textId="20B595B0">
      <w:pPr>
        <w:pStyle w:val="Heading3"/>
        <w:keepNext w:val="0"/>
        <w:rPr>
          <w:rFonts w:ascii="Times New Roman" w:hAnsi="Times New Roman" w:cs="Times New Roman" w:eastAsiaTheme="minorHAnsi"/>
          <w:b/>
          <w:color w:val="auto"/>
        </w:rPr>
      </w:pPr>
      <w:bookmarkStart w:name="_Toc29469615" w:id="34"/>
      <w:r w:rsidRPr="002520A2">
        <w:rPr>
          <w:rFonts w:ascii="Times New Roman" w:hAnsi="Times New Roman" w:cs="Times New Roman" w:eastAsiaTheme="minorHAnsi"/>
          <w:b/>
          <w:color w:val="auto"/>
        </w:rPr>
        <w:t>Plans to Boost Response Rates and Address Nonresponse</w:t>
      </w:r>
      <w:bookmarkEnd w:id="34"/>
    </w:p>
    <w:p w:rsidRPr="00F9444D" w:rsidR="00F9444D" w:rsidP="00071CE5" w:rsidRDefault="00071CE5" w14:paraId="2C1E1495" w14:textId="67C51E6E">
      <w:pPr>
        <w:pStyle w:val="L1-FlLSp12"/>
        <w:tabs>
          <w:tab w:val="clear" w:pos="1152"/>
        </w:tabs>
        <w:spacing w:line="480" w:lineRule="auto"/>
        <w:rPr>
          <w:rFonts w:ascii="Times New Roman" w:hAnsi="Times New Roman" w:eastAsiaTheme="minorEastAsia"/>
          <w:lang w:eastAsia="ko-KR"/>
        </w:rPr>
      </w:pPr>
      <w:r>
        <w:rPr>
          <w:rFonts w:ascii="Times New Roman" w:hAnsi="Times New Roman" w:eastAsiaTheme="minorEastAsia"/>
          <w:lang w:eastAsia="ko-KR"/>
        </w:rPr>
        <w:tab/>
      </w:r>
      <w:r w:rsidR="005707E3">
        <w:rPr>
          <w:rFonts w:ascii="Times New Roman" w:hAnsi="Times New Roman" w:eastAsiaTheme="minorEastAsia"/>
          <w:lang w:eastAsia="ko-KR"/>
        </w:rPr>
        <w:t xml:space="preserve">Despite our efforts, it is possible that the response rate will fall below 80 percent. </w:t>
      </w:r>
      <w:r w:rsidRPr="00F9444D" w:rsidR="00F9444D">
        <w:rPr>
          <w:rFonts w:ascii="Times New Roman" w:hAnsi="Times New Roman" w:eastAsiaTheme="minorEastAsia"/>
          <w:lang w:eastAsia="ko-KR"/>
        </w:rPr>
        <w:t xml:space="preserve">We will conduct </w:t>
      </w:r>
      <w:r w:rsidR="005707E3">
        <w:rPr>
          <w:rFonts w:ascii="Times New Roman" w:hAnsi="Times New Roman" w:eastAsiaTheme="minorEastAsia"/>
          <w:lang w:eastAsia="ko-KR"/>
        </w:rPr>
        <w:t>nonresponse bias analysis</w:t>
      </w:r>
      <w:r w:rsidRPr="00F9444D" w:rsidR="00F9444D">
        <w:rPr>
          <w:rFonts w:ascii="Times New Roman" w:hAnsi="Times New Roman" w:eastAsiaTheme="minorEastAsia"/>
          <w:lang w:eastAsia="ko-KR"/>
        </w:rPr>
        <w:t xml:space="preserve"> if the response rate is less than 80 percent. The two main goals of the nonresponse bias analysis are to assess and document the impact nonresponse may </w:t>
      </w:r>
      <w:r w:rsidRPr="00F9444D" w:rsidR="00F9444D">
        <w:rPr>
          <w:rFonts w:ascii="Times New Roman" w:hAnsi="Times New Roman" w:eastAsiaTheme="minorEastAsia"/>
          <w:lang w:eastAsia="ko-KR"/>
        </w:rPr>
        <w:lastRenderedPageBreak/>
        <w:t xml:space="preserve">have on estimates derived from a survey, and to inform the construction of sampling weights that will be effective in attenuating potential nonresponse biases. </w:t>
      </w:r>
    </w:p>
    <w:p w:rsidRPr="00F9444D" w:rsidR="00F9444D" w:rsidP="005707E3" w:rsidRDefault="00F9444D" w14:paraId="73AD0CE7" w14:textId="02A2290F">
      <w:pPr>
        <w:pStyle w:val="L1-FlLSp12"/>
        <w:tabs>
          <w:tab w:val="left" w:pos="720"/>
        </w:tabs>
        <w:spacing w:line="480" w:lineRule="auto"/>
        <w:rPr>
          <w:rFonts w:ascii="Times New Roman" w:hAnsi="Times New Roman"/>
          <w:lang w:eastAsia="ko-KR"/>
        </w:rPr>
      </w:pPr>
      <w:r>
        <w:rPr>
          <w:rFonts w:ascii="Times New Roman" w:hAnsi="Times New Roman"/>
        </w:rPr>
        <w:tab/>
      </w:r>
      <w:r w:rsidRPr="00F9444D">
        <w:rPr>
          <w:rFonts w:ascii="Times New Roman" w:hAnsi="Times New Roman"/>
          <w:lang w:eastAsia="ko-KR"/>
        </w:rPr>
        <w:t>First, we will summarize response rates for subgroups of SFAs defined by important characteristics. SFA</w:t>
      </w:r>
      <w:r w:rsidRPr="00F9444D">
        <w:rPr>
          <w:rFonts w:ascii="Times New Roman" w:hAnsi="Times New Roman"/>
        </w:rPr>
        <w:t> </w:t>
      </w:r>
      <w:r w:rsidRPr="00F9444D">
        <w:rPr>
          <w:rFonts w:ascii="Times New Roman" w:hAnsi="Times New Roman"/>
          <w:lang w:eastAsia="ko-KR"/>
        </w:rPr>
        <w:t xml:space="preserve">characteristics will be derived from the FNS-742 sample frame and </w:t>
      </w:r>
      <w:r w:rsidRPr="00F9444D">
        <w:rPr>
          <w:rFonts w:ascii="Times New Roman" w:hAnsi="Times New Roman"/>
          <w:szCs w:val="23"/>
        </w:rPr>
        <w:t>district-level variables from the Common Core of Data (CCD) LEA universe file</w:t>
      </w:r>
      <w:r w:rsidRPr="00F9444D">
        <w:rPr>
          <w:rFonts w:ascii="Times New Roman" w:hAnsi="Times New Roman"/>
          <w:lang w:eastAsia="ko-KR"/>
        </w:rPr>
        <w:t xml:space="preserve"> and will include SFA enrollment size class, poverty status based on percentage of students eligible for free/reduced price meals, FNS region, urbanicity, minority enrollment based on the percentage of students who are minority, and the percentage of students approved as </w:t>
      </w:r>
      <w:r w:rsidR="00CB3DC1">
        <w:rPr>
          <w:rFonts w:ascii="Times New Roman" w:hAnsi="Times New Roman"/>
          <w:lang w:eastAsia="ko-KR"/>
        </w:rPr>
        <w:t>directly certified</w:t>
      </w:r>
      <w:r w:rsidRPr="00F9444D">
        <w:rPr>
          <w:rFonts w:ascii="Times New Roman" w:hAnsi="Times New Roman"/>
          <w:lang w:eastAsia="ko-KR"/>
        </w:rPr>
        <w:t>. We will test if there is a statistically significant association between the weighted and unweighted response rates and each of the specified characteristics (i.e., differences of response rates across levels of the characteristic).</w:t>
      </w:r>
    </w:p>
    <w:p w:rsidRPr="00F9444D" w:rsidR="00F9444D" w:rsidP="005707E3" w:rsidRDefault="00F9444D" w14:paraId="123F2F09" w14:textId="7B3E6F57">
      <w:pPr>
        <w:pStyle w:val="L1-FlLSp12"/>
        <w:tabs>
          <w:tab w:val="clear" w:pos="1152"/>
          <w:tab w:val="left" w:pos="720"/>
        </w:tabs>
        <w:spacing w:line="480" w:lineRule="auto"/>
        <w:rPr>
          <w:rFonts w:ascii="Times New Roman" w:hAnsi="Times New Roman"/>
          <w:lang w:eastAsia="ko-KR"/>
        </w:rPr>
      </w:pPr>
      <w:r>
        <w:rPr>
          <w:rFonts w:ascii="Times New Roman" w:hAnsi="Times New Roman"/>
          <w:lang w:eastAsia="ko-KR"/>
        </w:rPr>
        <w:tab/>
      </w:r>
      <w:r w:rsidRPr="00F9444D">
        <w:rPr>
          <w:rFonts w:ascii="Times New Roman" w:hAnsi="Times New Roman"/>
          <w:lang w:eastAsia="ko-KR"/>
        </w:rPr>
        <w:t>Second, we will compare characteristics of respondents to nonrespondents to determine if there is a potential for bias. Specifically, we will compare the base-weighted distributions of the respondents and nonrespondents for the same categories of SFA characteristics that we use above for summarizing response rates. Comparison of the base-weighted distributions of responding SFAs with the corresponding base-weighted distributions of the complete sample will provide an indication of the potential impact of nonresponse on the survey-based estimates. We will test the hypothesis that the base-weighted distribution of the respondent sample is the same as the distribution of the total sample for a given characteristic.</w:t>
      </w:r>
    </w:p>
    <w:p w:rsidRPr="00F9444D" w:rsidR="00F9444D" w:rsidP="005707E3" w:rsidRDefault="00F9444D" w14:paraId="70CBF4B9" w14:textId="40F81B5A">
      <w:pPr>
        <w:pStyle w:val="L1-FlLSp12"/>
        <w:tabs>
          <w:tab w:val="clear" w:pos="1152"/>
          <w:tab w:val="left" w:pos="720"/>
        </w:tabs>
        <w:spacing w:line="480" w:lineRule="auto"/>
        <w:rPr>
          <w:rFonts w:ascii="Times New Roman" w:hAnsi="Times New Roman"/>
          <w:lang w:eastAsia="ko-KR"/>
        </w:rPr>
      </w:pPr>
      <w:r>
        <w:rPr>
          <w:rFonts w:ascii="Times New Roman" w:hAnsi="Times New Roman"/>
          <w:lang w:eastAsia="ko-KR"/>
        </w:rPr>
        <w:tab/>
      </w:r>
      <w:r w:rsidRPr="00F9444D">
        <w:rPr>
          <w:rFonts w:ascii="Times New Roman" w:hAnsi="Times New Roman"/>
          <w:lang w:eastAsia="ko-KR"/>
        </w:rPr>
        <w:t xml:space="preserve">Third, we will generate preliminary nonresponse weighting adjustments. We will use search algorithms to identify subsets in which predicted probabilities of response are similar, based on characteristics available for both respondents and nonrespondents. </w:t>
      </w:r>
      <w:r w:rsidRPr="00F9444D">
        <w:rPr>
          <w:rFonts w:ascii="Times New Roman" w:hAnsi="Times New Roman"/>
          <w:szCs w:val="23"/>
        </w:rPr>
        <w:t xml:space="preserve">We will use a CHAID analysis (Chi-square Automatic Interaction Detector) to identify subgroups of SFAs in </w:t>
      </w:r>
      <w:r w:rsidRPr="00F9444D">
        <w:rPr>
          <w:rFonts w:ascii="Times New Roman" w:hAnsi="Times New Roman"/>
          <w:szCs w:val="23"/>
        </w:rPr>
        <w:lastRenderedPageBreak/>
        <w:t xml:space="preserve">which the predicted probabilities of response are similar. The same SFA characteristics used above will be used as potential predictor variables in the CHAID analysis. The output from the CHAID analysis will be a tree diagram that defines the final cells used in the nonresponse adjustment. </w:t>
      </w:r>
      <w:r w:rsidRPr="00F9444D">
        <w:rPr>
          <w:rFonts w:ascii="Times New Roman" w:hAnsi="Times New Roman"/>
          <w:lang w:eastAsia="ko-KR"/>
        </w:rPr>
        <w:t>The nonresponse adjustments will be weighted reciprocals of response rates within the cells. These nonresponse adjustments are designed to eliminate the response rate differences.</w:t>
      </w:r>
    </w:p>
    <w:p w:rsidRPr="00F9444D" w:rsidR="00F9444D" w:rsidP="005707E3" w:rsidRDefault="00F9444D" w14:paraId="5B784894" w14:textId="566697C0">
      <w:pPr>
        <w:pStyle w:val="L1-FlLSp12"/>
        <w:tabs>
          <w:tab w:val="clear" w:pos="1152"/>
          <w:tab w:val="left" w:pos="720"/>
        </w:tabs>
        <w:spacing w:line="480" w:lineRule="auto"/>
        <w:rPr>
          <w:rFonts w:ascii="Times New Roman" w:hAnsi="Times New Roman"/>
          <w:lang w:eastAsia="ko-KR"/>
        </w:rPr>
      </w:pPr>
      <w:r>
        <w:rPr>
          <w:rFonts w:ascii="Times New Roman" w:hAnsi="Times New Roman"/>
          <w:lang w:eastAsia="ko-KR"/>
        </w:rPr>
        <w:tab/>
      </w:r>
      <w:r w:rsidRPr="00F9444D">
        <w:rPr>
          <w:rFonts w:ascii="Times New Roman" w:hAnsi="Times New Roman"/>
          <w:lang w:eastAsia="ko-KR"/>
        </w:rPr>
        <w:t>Fourth, we will compare the nonresponse-adjusted weighted distribution of SFA characteristics in the respondent sample to the base-weighted distribution of SFA characteristics in the full sample. The objective here is to see whether the nonresponse adjustments reduce or eliminate biases identified in the second step. We will also compare the nonresponse-adjusted weighted estimates of survey items to the base-weighted estimates of survey items in the response sample. The objective is to determine the effect of nonresponse adjustments on survey estimates.</w:t>
      </w:r>
    </w:p>
    <w:p w:rsidR="0053146B" w:rsidP="0053146B" w:rsidRDefault="0053146B" w14:paraId="567DBE06" w14:textId="77777777">
      <w:pPr>
        <w:pStyle w:val="Heading1"/>
        <w:rPr>
          <w:b/>
          <w:szCs w:val="24"/>
          <w:highlight w:val="yellow"/>
        </w:rPr>
      </w:pPr>
      <w:bookmarkStart w:name="_Toc29469616" w:id="35"/>
      <w:r>
        <w:rPr>
          <w:b/>
        </w:rPr>
        <w:t>B.4</w:t>
      </w:r>
      <w:r>
        <w:rPr>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bookmarkEnd w:id="35"/>
    </w:p>
    <w:p w:rsidRPr="00071CE5" w:rsidR="007C7224" w:rsidP="00071CE5" w:rsidRDefault="00071CE5" w14:paraId="40F80139" w14:textId="59DFAED3">
      <w:pPr>
        <w:pStyle w:val="L1-FlLSp12"/>
        <w:tabs>
          <w:tab w:val="clear" w:pos="1152"/>
          <w:tab w:val="left" w:pos="720"/>
        </w:tabs>
        <w:spacing w:line="480" w:lineRule="auto"/>
        <w:rPr>
          <w:rFonts w:ascii="Times New Roman" w:hAnsi="Times New Roman"/>
          <w:lang w:eastAsia="ko-KR"/>
        </w:rPr>
      </w:pPr>
      <w:r>
        <w:rPr>
          <w:rFonts w:ascii="Times New Roman" w:hAnsi="Times New Roman"/>
          <w:lang w:eastAsia="ko-KR"/>
        </w:rPr>
        <w:tab/>
      </w:r>
      <w:r w:rsidRPr="00071CE5" w:rsidR="007C073C">
        <w:rPr>
          <w:rFonts w:ascii="Times New Roman" w:hAnsi="Times New Roman"/>
          <w:lang w:eastAsia="ko-KR"/>
        </w:rPr>
        <w:t>Pretesting of study instruments was conducted with four SFA Directors</w:t>
      </w:r>
      <w:r w:rsidRPr="00071CE5" w:rsidR="00A83391">
        <w:rPr>
          <w:rFonts w:ascii="Times New Roman" w:hAnsi="Times New Roman"/>
          <w:lang w:eastAsia="ko-KR"/>
        </w:rPr>
        <w:t xml:space="preserve">; separate </w:t>
      </w:r>
      <w:r w:rsidRPr="00071CE5" w:rsidR="007C073C">
        <w:rPr>
          <w:rFonts w:ascii="Times New Roman" w:hAnsi="Times New Roman"/>
          <w:lang w:eastAsia="ko-KR"/>
        </w:rPr>
        <w:t xml:space="preserve">OMB approval was not required. </w:t>
      </w:r>
      <w:r w:rsidRPr="00071CE5" w:rsidR="00642B54">
        <w:rPr>
          <w:rFonts w:ascii="Times New Roman" w:hAnsi="Times New Roman"/>
          <w:lang w:eastAsia="ko-KR"/>
        </w:rPr>
        <w:t xml:space="preserve">The burden associated with pretesting is included in the burden estimates for this data collection. </w:t>
      </w:r>
      <w:r w:rsidRPr="00071CE5" w:rsidR="007C073C">
        <w:rPr>
          <w:rFonts w:ascii="Times New Roman" w:hAnsi="Times New Roman"/>
          <w:lang w:eastAsia="ko-KR"/>
        </w:rPr>
        <w:t xml:space="preserve">Because there were </w:t>
      </w:r>
      <w:r w:rsidRPr="00071CE5" w:rsidR="00CB72B5">
        <w:rPr>
          <w:rFonts w:ascii="Times New Roman" w:hAnsi="Times New Roman"/>
          <w:lang w:eastAsia="ko-KR"/>
        </w:rPr>
        <w:t>minimal changes to the data collection instruments used in SFP</w:t>
      </w:r>
      <w:r w:rsidRPr="00071CE5" w:rsidR="00FF2B4B">
        <w:rPr>
          <w:rFonts w:ascii="Times New Roman" w:hAnsi="Times New Roman"/>
          <w:lang w:eastAsia="ko-KR"/>
        </w:rPr>
        <w:t>S-</w:t>
      </w:r>
      <w:r w:rsidRPr="00071CE5" w:rsidR="00CB72B5">
        <w:rPr>
          <w:rFonts w:ascii="Times New Roman" w:hAnsi="Times New Roman"/>
          <w:lang w:eastAsia="ko-KR"/>
        </w:rPr>
        <w:t>III</w:t>
      </w:r>
      <w:r w:rsidRPr="00071CE5" w:rsidR="007C073C">
        <w:rPr>
          <w:rFonts w:ascii="Times New Roman" w:hAnsi="Times New Roman"/>
          <w:lang w:eastAsia="ko-KR"/>
        </w:rPr>
        <w:t>, the</w:t>
      </w:r>
      <w:r w:rsidRPr="00071CE5" w:rsidR="00CB72B5">
        <w:rPr>
          <w:rFonts w:ascii="Times New Roman" w:hAnsi="Times New Roman"/>
          <w:lang w:eastAsia="ko-KR"/>
        </w:rPr>
        <w:t xml:space="preserve"> pretest focused on the new </w:t>
      </w:r>
      <w:r w:rsidRPr="00071CE5" w:rsidR="007C073C">
        <w:rPr>
          <w:rFonts w:ascii="Times New Roman" w:hAnsi="Times New Roman"/>
          <w:lang w:eastAsia="ko-KR"/>
        </w:rPr>
        <w:t xml:space="preserve">and </w:t>
      </w:r>
      <w:r w:rsidRPr="00071CE5" w:rsidR="00CB72B5">
        <w:rPr>
          <w:rFonts w:ascii="Times New Roman" w:hAnsi="Times New Roman"/>
          <w:lang w:eastAsia="ko-KR"/>
        </w:rPr>
        <w:t>revised items in the survey, terminology to reference data sources (e.g.</w:t>
      </w:r>
      <w:r w:rsidRPr="00071CE5" w:rsidR="00FF2B4B">
        <w:rPr>
          <w:rFonts w:ascii="Times New Roman" w:hAnsi="Times New Roman"/>
          <w:lang w:eastAsia="ko-KR"/>
        </w:rPr>
        <w:t>,</w:t>
      </w:r>
      <w:r w:rsidRPr="00071CE5" w:rsidR="00CB72B5">
        <w:rPr>
          <w:rFonts w:ascii="Times New Roman" w:hAnsi="Times New Roman"/>
          <w:lang w:eastAsia="ko-KR"/>
        </w:rPr>
        <w:t xml:space="preserve"> vendor summaries, velocity rep</w:t>
      </w:r>
      <w:r w:rsidRPr="00071CE5" w:rsidR="00FF2B4B">
        <w:rPr>
          <w:rFonts w:ascii="Times New Roman" w:hAnsi="Times New Roman"/>
          <w:lang w:eastAsia="ko-KR"/>
        </w:rPr>
        <w:t xml:space="preserve">orts, etc.), </w:t>
      </w:r>
      <w:r w:rsidRPr="00071CE5" w:rsidR="007C073C">
        <w:rPr>
          <w:rFonts w:ascii="Times New Roman" w:hAnsi="Times New Roman"/>
          <w:lang w:eastAsia="ko-KR"/>
        </w:rPr>
        <w:t xml:space="preserve">available </w:t>
      </w:r>
      <w:r w:rsidRPr="00071CE5" w:rsidR="00FF2B4B">
        <w:rPr>
          <w:rFonts w:ascii="Times New Roman" w:hAnsi="Times New Roman"/>
          <w:lang w:eastAsia="ko-KR"/>
        </w:rPr>
        <w:lastRenderedPageBreak/>
        <w:t>data formats (e.g., E</w:t>
      </w:r>
      <w:r w:rsidRPr="00071CE5" w:rsidR="00CB72B5">
        <w:rPr>
          <w:rFonts w:ascii="Times New Roman" w:hAnsi="Times New Roman"/>
          <w:lang w:eastAsia="ko-KR"/>
        </w:rPr>
        <w:t xml:space="preserve">xcel workbooks, PDF, etc.), and the feasibility of obtaining the data </w:t>
      </w:r>
      <w:r w:rsidRPr="00071CE5" w:rsidR="007C073C">
        <w:rPr>
          <w:rFonts w:ascii="Times New Roman" w:hAnsi="Times New Roman"/>
          <w:lang w:eastAsia="ko-KR"/>
        </w:rPr>
        <w:t xml:space="preserve">from SFAs </w:t>
      </w:r>
      <w:r w:rsidRPr="00071CE5" w:rsidR="00CB72B5">
        <w:rPr>
          <w:rFonts w:ascii="Times New Roman" w:hAnsi="Times New Roman"/>
          <w:lang w:eastAsia="ko-KR"/>
        </w:rPr>
        <w:t xml:space="preserve">electronically.  </w:t>
      </w:r>
    </w:p>
    <w:p w:rsidR="00071CE5" w:rsidP="00071CE5" w:rsidRDefault="00071CE5" w14:paraId="3012B31F" w14:textId="27347E54">
      <w:pPr>
        <w:pStyle w:val="L1-FlLSp12"/>
        <w:tabs>
          <w:tab w:val="clear" w:pos="1152"/>
          <w:tab w:val="left" w:pos="720"/>
        </w:tabs>
        <w:spacing w:line="480" w:lineRule="auto"/>
        <w:rPr>
          <w:rFonts w:ascii="Times New Roman" w:hAnsi="Times New Roman"/>
          <w:lang w:eastAsia="ko-KR"/>
        </w:rPr>
      </w:pPr>
      <w:r>
        <w:rPr>
          <w:rFonts w:ascii="Times New Roman" w:hAnsi="Times New Roman"/>
          <w:lang w:eastAsia="ko-KR"/>
        </w:rPr>
        <w:tab/>
      </w:r>
      <w:r w:rsidRPr="00071CE5" w:rsidR="00642B54">
        <w:rPr>
          <w:rFonts w:ascii="Times New Roman" w:hAnsi="Times New Roman"/>
          <w:lang w:eastAsia="ko-KR"/>
        </w:rPr>
        <w:t>The four SFA Directors who participated in the pretest varied with regards to SFA size and level of free and reduced price students, as well as in their use of buying cooperatives and FSMCs.</w:t>
      </w:r>
      <w:r w:rsidRPr="00071CE5" w:rsidR="00AA1B4E">
        <w:rPr>
          <w:rFonts w:ascii="Times New Roman" w:hAnsi="Times New Roman"/>
          <w:lang w:eastAsia="ko-KR"/>
        </w:rPr>
        <w:t xml:space="preserve"> </w:t>
      </w:r>
      <w:r w:rsidRPr="00071CE5" w:rsidR="00642B54">
        <w:rPr>
          <w:rFonts w:ascii="Times New Roman" w:hAnsi="Times New Roman"/>
          <w:lang w:eastAsia="ko-KR"/>
        </w:rPr>
        <w:t xml:space="preserve">Pretest participants were emailed draft study materials in advance and asked to attend a telephone debrief session. Specifically, the study team sent </w:t>
      </w:r>
      <w:r w:rsidR="00FD637B">
        <w:rPr>
          <w:rFonts w:ascii="Times New Roman" w:hAnsi="Times New Roman"/>
          <w:lang w:eastAsia="ko-KR"/>
        </w:rPr>
        <w:t xml:space="preserve">a two-part draft of </w:t>
      </w:r>
      <w:r w:rsidRPr="00071CE5" w:rsidR="000B3C38">
        <w:rPr>
          <w:rFonts w:ascii="Times New Roman" w:hAnsi="Times New Roman"/>
          <w:lang w:eastAsia="ko-KR"/>
        </w:rPr>
        <w:t xml:space="preserve">the </w:t>
      </w:r>
      <w:r w:rsidR="00FD637B">
        <w:rPr>
          <w:rFonts w:ascii="Times New Roman" w:hAnsi="Times New Roman"/>
          <w:lang w:eastAsia="ko-KR"/>
        </w:rPr>
        <w:t xml:space="preserve">survey </w:t>
      </w:r>
      <w:r w:rsidRPr="00071CE5" w:rsidR="00642B54">
        <w:rPr>
          <w:rFonts w:ascii="Times New Roman" w:hAnsi="Times New Roman"/>
          <w:lang w:eastAsia="ko-KR"/>
        </w:rPr>
        <w:t xml:space="preserve">and </w:t>
      </w:r>
      <w:r w:rsidR="00FD637B">
        <w:rPr>
          <w:rFonts w:ascii="Times New Roman" w:hAnsi="Times New Roman"/>
          <w:lang w:eastAsia="ko-KR"/>
        </w:rPr>
        <w:t xml:space="preserve">a list of </w:t>
      </w:r>
      <w:r w:rsidRPr="00071CE5" w:rsidR="00642B54">
        <w:rPr>
          <w:rFonts w:ascii="Times New Roman" w:hAnsi="Times New Roman"/>
          <w:lang w:eastAsia="ko-KR"/>
        </w:rPr>
        <w:t xml:space="preserve">the </w:t>
      </w:r>
      <w:r w:rsidR="00FD637B">
        <w:rPr>
          <w:rFonts w:ascii="Times New Roman" w:hAnsi="Times New Roman"/>
          <w:lang w:eastAsia="ko-KR"/>
        </w:rPr>
        <w:t xml:space="preserve">data elements requested for food purchase data. </w:t>
      </w:r>
      <w:r w:rsidRPr="00071CE5" w:rsidR="00642B54">
        <w:rPr>
          <w:rFonts w:ascii="Times New Roman" w:hAnsi="Times New Roman"/>
          <w:lang w:eastAsia="ko-KR"/>
        </w:rPr>
        <w:t xml:space="preserve">During the telephone debrief, a semi-structured pretest protocol was used to elicit their feedback </w:t>
      </w:r>
      <w:r w:rsidRPr="00071CE5" w:rsidR="00086AF0">
        <w:rPr>
          <w:rFonts w:ascii="Times New Roman" w:hAnsi="Times New Roman"/>
          <w:lang w:eastAsia="ko-KR"/>
        </w:rPr>
        <w:t xml:space="preserve">, and respondents were provided an </w:t>
      </w:r>
      <w:r w:rsidRPr="00071CE5" w:rsidR="00642B54">
        <w:rPr>
          <w:rFonts w:ascii="Times New Roman" w:hAnsi="Times New Roman"/>
          <w:lang w:eastAsia="ko-KR"/>
        </w:rPr>
        <w:t>opportunity to provide general comments about the data collection materials</w:t>
      </w:r>
      <w:r w:rsidRPr="00071CE5" w:rsidR="00086AF0">
        <w:rPr>
          <w:rFonts w:ascii="Times New Roman" w:hAnsi="Times New Roman"/>
          <w:lang w:eastAsia="ko-KR"/>
        </w:rPr>
        <w:t xml:space="preserve">. SFAs could also provide any comments in writing following the </w:t>
      </w:r>
      <w:r w:rsidRPr="00071CE5" w:rsidR="0077166E">
        <w:rPr>
          <w:rFonts w:ascii="Times New Roman" w:hAnsi="Times New Roman"/>
          <w:lang w:eastAsia="ko-KR"/>
        </w:rPr>
        <w:t>tele</w:t>
      </w:r>
      <w:r w:rsidRPr="00071CE5" w:rsidR="00086AF0">
        <w:rPr>
          <w:rFonts w:ascii="Times New Roman" w:hAnsi="Times New Roman"/>
          <w:lang w:eastAsia="ko-KR"/>
        </w:rPr>
        <w:t>phone d</w:t>
      </w:r>
      <w:r w:rsidRPr="00071CE5" w:rsidR="0077166E">
        <w:rPr>
          <w:rFonts w:ascii="Times New Roman" w:hAnsi="Times New Roman"/>
          <w:lang w:eastAsia="ko-KR"/>
        </w:rPr>
        <w:t>ebrief.</w:t>
      </w:r>
      <w:r w:rsidRPr="00071CE5" w:rsidR="00642B54">
        <w:rPr>
          <w:rFonts w:ascii="Times New Roman" w:hAnsi="Times New Roman"/>
          <w:lang w:eastAsia="ko-KR"/>
        </w:rPr>
        <w:t xml:space="preserve"> The d</w:t>
      </w:r>
      <w:r w:rsidRPr="00071CE5" w:rsidR="00CB72B5">
        <w:rPr>
          <w:rFonts w:ascii="Times New Roman" w:hAnsi="Times New Roman"/>
          <w:lang w:eastAsia="ko-KR"/>
        </w:rPr>
        <w:t xml:space="preserve">iscussions with </w:t>
      </w:r>
      <w:r w:rsidRPr="00071CE5" w:rsidR="00173858">
        <w:rPr>
          <w:rFonts w:ascii="Times New Roman" w:hAnsi="Times New Roman"/>
          <w:lang w:eastAsia="ko-KR"/>
        </w:rPr>
        <w:t xml:space="preserve">SFAs </w:t>
      </w:r>
      <w:r w:rsidRPr="00071CE5" w:rsidR="00642B54">
        <w:rPr>
          <w:rFonts w:ascii="Times New Roman" w:hAnsi="Times New Roman"/>
          <w:lang w:eastAsia="ko-KR"/>
        </w:rPr>
        <w:t xml:space="preserve">elicited </w:t>
      </w:r>
      <w:r w:rsidRPr="00071CE5" w:rsidR="00CB72B5">
        <w:rPr>
          <w:rFonts w:ascii="Times New Roman" w:hAnsi="Times New Roman"/>
          <w:lang w:eastAsia="ko-KR"/>
        </w:rPr>
        <w:t xml:space="preserve">their input on who would be the correct respondent for their district, how they would gather the necessary information so that we could include this in the instructions, clarification on items in the survey, and the timeline </w:t>
      </w:r>
      <w:r w:rsidRPr="00071CE5" w:rsidR="00642B54">
        <w:rPr>
          <w:rFonts w:ascii="Times New Roman" w:hAnsi="Times New Roman"/>
          <w:lang w:eastAsia="ko-KR"/>
        </w:rPr>
        <w:t xml:space="preserve">and burden </w:t>
      </w:r>
      <w:r w:rsidRPr="00071CE5" w:rsidR="00CB72B5">
        <w:rPr>
          <w:rFonts w:ascii="Times New Roman" w:hAnsi="Times New Roman"/>
          <w:lang w:eastAsia="ko-KR"/>
        </w:rPr>
        <w:t xml:space="preserve">to obtain the data from SFAs. </w:t>
      </w:r>
      <w:r w:rsidRPr="00071CE5" w:rsidR="00F659E0">
        <w:rPr>
          <w:rFonts w:ascii="Times New Roman" w:hAnsi="Times New Roman"/>
          <w:lang w:eastAsia="ko-KR"/>
        </w:rPr>
        <w:t xml:space="preserve">The findings from the pretesting are included in </w:t>
      </w:r>
      <w:r w:rsidRPr="00071CE5" w:rsidR="0097174B">
        <w:rPr>
          <w:rFonts w:ascii="Times New Roman" w:hAnsi="Times New Roman"/>
          <w:lang w:eastAsia="ko-KR"/>
        </w:rPr>
        <w:t>Appendix D</w:t>
      </w:r>
      <w:r w:rsidR="0054003F">
        <w:rPr>
          <w:rFonts w:ascii="Times New Roman" w:hAnsi="Times New Roman"/>
          <w:lang w:eastAsia="ko-KR"/>
        </w:rPr>
        <w:t>3</w:t>
      </w:r>
      <w:r w:rsidRPr="00071CE5" w:rsidR="00086AF0">
        <w:rPr>
          <w:rFonts w:ascii="Times New Roman" w:hAnsi="Times New Roman"/>
          <w:lang w:eastAsia="ko-KR"/>
        </w:rPr>
        <w:t xml:space="preserve">. In summary, </w:t>
      </w:r>
      <w:r w:rsidRPr="00071CE5" w:rsidR="00F659E0">
        <w:rPr>
          <w:rFonts w:ascii="Times New Roman" w:hAnsi="Times New Roman"/>
          <w:lang w:eastAsia="ko-KR"/>
        </w:rPr>
        <w:t>t</w:t>
      </w:r>
      <w:r w:rsidRPr="00071CE5" w:rsidR="00CB72B5">
        <w:rPr>
          <w:rFonts w:ascii="Times New Roman" w:hAnsi="Times New Roman"/>
          <w:lang w:eastAsia="ko-KR"/>
        </w:rPr>
        <w:t xml:space="preserve">he following changes were made to the instruments </w:t>
      </w:r>
      <w:r w:rsidRPr="00071CE5" w:rsidR="00173858">
        <w:rPr>
          <w:rFonts w:ascii="Times New Roman" w:hAnsi="Times New Roman"/>
          <w:lang w:eastAsia="ko-KR"/>
        </w:rPr>
        <w:t>and data collection plan</w:t>
      </w:r>
      <w:r w:rsidRPr="00071CE5" w:rsidR="00424C41">
        <w:rPr>
          <w:rFonts w:ascii="Times New Roman" w:hAnsi="Times New Roman"/>
          <w:lang w:eastAsia="ko-KR"/>
        </w:rPr>
        <w:t xml:space="preserve"> as a result of </w:t>
      </w:r>
      <w:r w:rsidRPr="00071CE5" w:rsidR="00CB72B5">
        <w:rPr>
          <w:rFonts w:ascii="Times New Roman" w:hAnsi="Times New Roman"/>
          <w:lang w:eastAsia="ko-KR"/>
        </w:rPr>
        <w:t>the pre-testing:</w:t>
      </w:r>
    </w:p>
    <w:p w:rsidRPr="00071CE5" w:rsidR="00173858" w:rsidP="00071CE5" w:rsidRDefault="0077166E" w14:paraId="7A9176B9" w14:textId="201C6953">
      <w:pPr>
        <w:pStyle w:val="L1-FlLSp12"/>
        <w:numPr>
          <w:ilvl w:val="0"/>
          <w:numId w:val="9"/>
        </w:numPr>
        <w:tabs>
          <w:tab w:val="clear" w:pos="1152"/>
          <w:tab w:val="left" w:pos="720"/>
        </w:tabs>
        <w:spacing w:line="480" w:lineRule="auto"/>
        <w:rPr>
          <w:rFonts w:ascii="Times New Roman" w:hAnsi="Times New Roman"/>
          <w:lang w:eastAsia="ko-KR"/>
        </w:rPr>
      </w:pPr>
      <w:r w:rsidRPr="00071CE5">
        <w:rPr>
          <w:rFonts w:ascii="Times New Roman" w:hAnsi="Times New Roman"/>
        </w:rPr>
        <w:t>Merged the two</w:t>
      </w:r>
      <w:r w:rsidR="00FD637B">
        <w:rPr>
          <w:rFonts w:ascii="Times New Roman" w:hAnsi="Times New Roman"/>
        </w:rPr>
        <w:t xml:space="preserve">-part survey </w:t>
      </w:r>
      <w:r w:rsidRPr="00071CE5">
        <w:rPr>
          <w:rFonts w:ascii="Times New Roman" w:hAnsi="Times New Roman"/>
        </w:rPr>
        <w:t xml:space="preserve">into one Survey of Food Purchase Practices that includes all questions, and changed the timing of data collection. The original data collection plan called for SFAs to complete </w:t>
      </w:r>
      <w:r w:rsidR="00FD637B">
        <w:rPr>
          <w:rFonts w:ascii="Times New Roman" w:hAnsi="Times New Roman"/>
        </w:rPr>
        <w:t xml:space="preserve">a </w:t>
      </w:r>
      <w:r w:rsidRPr="00071CE5">
        <w:rPr>
          <w:rFonts w:ascii="Times New Roman" w:hAnsi="Times New Roman"/>
        </w:rPr>
        <w:t xml:space="preserve">short web-based </w:t>
      </w:r>
      <w:r w:rsidR="00FD637B">
        <w:rPr>
          <w:rFonts w:ascii="Times New Roman" w:hAnsi="Times New Roman"/>
        </w:rPr>
        <w:t>“</w:t>
      </w:r>
      <w:r w:rsidRPr="00071CE5">
        <w:rPr>
          <w:rFonts w:ascii="Times New Roman" w:hAnsi="Times New Roman"/>
          <w:lang w:eastAsia="ko-KR"/>
        </w:rPr>
        <w:t xml:space="preserve">Initial </w:t>
      </w:r>
      <w:r w:rsidRPr="00071CE5" w:rsidR="00C6537D">
        <w:rPr>
          <w:rFonts w:ascii="Times New Roman" w:hAnsi="Times New Roman"/>
        </w:rPr>
        <w:t>V</w:t>
      </w:r>
      <w:r w:rsidRPr="00071CE5" w:rsidR="00173858">
        <w:rPr>
          <w:rFonts w:ascii="Times New Roman" w:hAnsi="Times New Roman"/>
        </w:rPr>
        <w:t xml:space="preserve">endor </w:t>
      </w:r>
      <w:r w:rsidRPr="00071CE5" w:rsidR="00C6537D">
        <w:rPr>
          <w:rFonts w:ascii="Times New Roman" w:hAnsi="Times New Roman"/>
        </w:rPr>
        <w:t>L</w:t>
      </w:r>
      <w:r w:rsidRPr="00071CE5" w:rsidR="00173858">
        <w:rPr>
          <w:rFonts w:ascii="Times New Roman" w:hAnsi="Times New Roman"/>
        </w:rPr>
        <w:t>ist</w:t>
      </w:r>
      <w:r w:rsidR="00FD637B">
        <w:rPr>
          <w:rFonts w:ascii="Times New Roman" w:hAnsi="Times New Roman"/>
        </w:rPr>
        <w:t>”</w:t>
      </w:r>
      <w:r w:rsidRPr="00071CE5" w:rsidR="00173858">
        <w:rPr>
          <w:rFonts w:ascii="Times New Roman" w:hAnsi="Times New Roman"/>
        </w:rPr>
        <w:t xml:space="preserve"> </w:t>
      </w:r>
      <w:r w:rsidRPr="00071CE5">
        <w:rPr>
          <w:rFonts w:ascii="Times New Roman" w:hAnsi="Times New Roman"/>
        </w:rPr>
        <w:t xml:space="preserve">at the beginning of the quarter for which they were sampled, and provide detailed food purchase data and complete the web-based Survey of Food Purchase Practices after the quarter ended. </w:t>
      </w:r>
      <w:r w:rsidRPr="00071CE5" w:rsidR="001556C8">
        <w:rPr>
          <w:rFonts w:ascii="Times New Roman" w:hAnsi="Times New Roman"/>
        </w:rPr>
        <w:t xml:space="preserve">There was concern by pretest respondents about the burden of completing the longer Survey of Food Purchase Practices at the same time they are compiling food purchase data. </w:t>
      </w:r>
      <w:r w:rsidRPr="00071CE5">
        <w:rPr>
          <w:rFonts w:ascii="Times New Roman" w:hAnsi="Times New Roman"/>
        </w:rPr>
        <w:t xml:space="preserve">The revised approach will deploy </w:t>
      </w:r>
      <w:r w:rsidRPr="00071CE5" w:rsidR="001556C8">
        <w:rPr>
          <w:rFonts w:ascii="Times New Roman" w:hAnsi="Times New Roman"/>
        </w:rPr>
        <w:t xml:space="preserve">a </w:t>
      </w:r>
      <w:r w:rsidRPr="00071CE5">
        <w:rPr>
          <w:rFonts w:ascii="Times New Roman" w:hAnsi="Times New Roman"/>
        </w:rPr>
        <w:t xml:space="preserve">single instrument, the Survey of Food Purchase Practices, </w:t>
      </w:r>
      <w:r w:rsidRPr="00071CE5">
        <w:rPr>
          <w:rFonts w:ascii="Times New Roman" w:hAnsi="Times New Roman"/>
        </w:rPr>
        <w:lastRenderedPageBreak/>
        <w:t xml:space="preserve">to all SFAs at the beginning of data collection. This will reduce the number of data collection activities for SFAs, and spread out their burden over a longer period of time. It will also maximize the data collection window for obtaining responses to the </w:t>
      </w:r>
      <w:r w:rsidRPr="00071CE5" w:rsidR="001556C8">
        <w:rPr>
          <w:rFonts w:ascii="Times New Roman" w:hAnsi="Times New Roman"/>
        </w:rPr>
        <w:t>s</w:t>
      </w:r>
      <w:r w:rsidRPr="00071CE5">
        <w:rPr>
          <w:rFonts w:ascii="Times New Roman" w:hAnsi="Times New Roman"/>
        </w:rPr>
        <w:t xml:space="preserve">urvey. </w:t>
      </w:r>
      <w:r w:rsidRPr="00071CE5" w:rsidR="001556C8">
        <w:rPr>
          <w:rFonts w:ascii="Times New Roman" w:hAnsi="Times New Roman"/>
        </w:rPr>
        <w:t>In addition, c</w:t>
      </w:r>
      <w:r w:rsidRPr="00071CE5" w:rsidR="00F659E0">
        <w:rPr>
          <w:rFonts w:ascii="Times New Roman" w:hAnsi="Times New Roman"/>
        </w:rPr>
        <w:t xml:space="preserve">ombining the two data collection instruments will reduce the number of respondents who complete one but not the second data collection activity.  </w:t>
      </w:r>
    </w:p>
    <w:p w:rsidRPr="00071CE5" w:rsidR="00173858" w:rsidP="00424C41" w:rsidRDefault="00AA1B4E" w14:paraId="50F8F338" w14:textId="7D016360">
      <w:pPr>
        <w:pStyle w:val="ListParagraph"/>
        <w:numPr>
          <w:ilvl w:val="0"/>
          <w:numId w:val="9"/>
        </w:numPr>
        <w:rPr>
          <w:rFonts w:ascii="Times New Roman" w:hAnsi="Times New Roman" w:cs="Times New Roman"/>
        </w:rPr>
      </w:pPr>
      <w:r w:rsidRPr="00071CE5">
        <w:rPr>
          <w:rFonts w:ascii="Times New Roman" w:hAnsi="Times New Roman" w:cs="Times New Roman"/>
        </w:rPr>
        <w:t xml:space="preserve">Added </w:t>
      </w:r>
      <w:r w:rsidRPr="00071CE5" w:rsidR="00173858">
        <w:rPr>
          <w:rFonts w:ascii="Times New Roman" w:hAnsi="Times New Roman" w:cs="Times New Roman"/>
        </w:rPr>
        <w:t xml:space="preserve">a PDF </w:t>
      </w:r>
      <w:r w:rsidRPr="00071CE5">
        <w:rPr>
          <w:rFonts w:ascii="Times New Roman" w:hAnsi="Times New Roman" w:cs="Times New Roman"/>
        </w:rPr>
        <w:t xml:space="preserve">copy </w:t>
      </w:r>
      <w:r w:rsidRPr="00071CE5" w:rsidR="00173858">
        <w:rPr>
          <w:rFonts w:ascii="Times New Roman" w:hAnsi="Times New Roman" w:cs="Times New Roman"/>
        </w:rPr>
        <w:t xml:space="preserve">of the </w:t>
      </w:r>
      <w:r w:rsidRPr="00071CE5">
        <w:rPr>
          <w:rFonts w:ascii="Times New Roman" w:hAnsi="Times New Roman" w:cs="Times New Roman"/>
        </w:rPr>
        <w:t xml:space="preserve">Survey of Food Purchase Practices as an attachment to the email to SFAs requesting completion of the survey (Appendix </w:t>
      </w:r>
      <w:r w:rsidRPr="00071CE5" w:rsidR="0097174B">
        <w:rPr>
          <w:rFonts w:ascii="Times New Roman" w:hAnsi="Times New Roman" w:cs="Times New Roman"/>
        </w:rPr>
        <w:t>B</w:t>
      </w:r>
      <w:r w:rsidR="00FD637B">
        <w:rPr>
          <w:rFonts w:ascii="Times New Roman" w:hAnsi="Times New Roman" w:cs="Times New Roman"/>
        </w:rPr>
        <w:t>5</w:t>
      </w:r>
      <w:r w:rsidRPr="00071CE5">
        <w:rPr>
          <w:rFonts w:ascii="Times New Roman" w:hAnsi="Times New Roman" w:cs="Times New Roman"/>
        </w:rPr>
        <w:t>)</w:t>
      </w:r>
      <w:r w:rsidRPr="00071CE5" w:rsidR="00173858">
        <w:rPr>
          <w:rFonts w:ascii="Times New Roman" w:hAnsi="Times New Roman" w:cs="Times New Roman"/>
        </w:rPr>
        <w:t xml:space="preserve">. SFAs recommended including this so that </w:t>
      </w:r>
      <w:r w:rsidRPr="00071CE5" w:rsidR="00C6537D">
        <w:rPr>
          <w:rFonts w:ascii="Times New Roman" w:hAnsi="Times New Roman" w:cs="Times New Roman"/>
        </w:rPr>
        <w:t xml:space="preserve">they </w:t>
      </w:r>
      <w:r w:rsidRPr="00071CE5" w:rsidR="00173858">
        <w:rPr>
          <w:rFonts w:ascii="Times New Roman" w:hAnsi="Times New Roman" w:cs="Times New Roman"/>
        </w:rPr>
        <w:t xml:space="preserve">can review the </w:t>
      </w:r>
      <w:r w:rsidRPr="00071CE5" w:rsidR="00C6537D">
        <w:rPr>
          <w:rFonts w:ascii="Times New Roman" w:hAnsi="Times New Roman" w:cs="Times New Roman"/>
        </w:rPr>
        <w:t xml:space="preserve">full </w:t>
      </w:r>
      <w:r w:rsidRPr="00071CE5" w:rsidR="00173858">
        <w:rPr>
          <w:rFonts w:ascii="Times New Roman" w:hAnsi="Times New Roman" w:cs="Times New Roman"/>
        </w:rPr>
        <w:t xml:space="preserve">questions and gather the necessary information prior to launching the web survey. </w:t>
      </w:r>
    </w:p>
    <w:p w:rsidRPr="00071CE5" w:rsidR="00173858" w:rsidP="00424C41" w:rsidRDefault="00F659E0" w14:paraId="0CCE690F" w14:textId="446C07BA">
      <w:pPr>
        <w:pStyle w:val="ListParagraph"/>
        <w:numPr>
          <w:ilvl w:val="0"/>
          <w:numId w:val="9"/>
        </w:numPr>
        <w:rPr>
          <w:rFonts w:ascii="Times New Roman" w:hAnsi="Times New Roman" w:cs="Times New Roman"/>
        </w:rPr>
      </w:pPr>
      <w:r w:rsidRPr="00071CE5">
        <w:rPr>
          <w:rFonts w:ascii="Times New Roman" w:hAnsi="Times New Roman" w:cs="Times New Roman"/>
        </w:rPr>
        <w:t>Revised the terminology of several questions</w:t>
      </w:r>
      <w:r w:rsidRPr="00071CE5" w:rsidR="00C6537D">
        <w:rPr>
          <w:rFonts w:ascii="Times New Roman" w:hAnsi="Times New Roman" w:cs="Times New Roman"/>
        </w:rPr>
        <w:t>. These</w:t>
      </w:r>
      <w:r w:rsidRPr="00071CE5">
        <w:rPr>
          <w:rFonts w:ascii="Times New Roman" w:hAnsi="Times New Roman" w:cs="Times New Roman"/>
        </w:rPr>
        <w:t xml:space="preserve"> changes to a small num</w:t>
      </w:r>
      <w:r w:rsidRPr="00071CE5" w:rsidR="00C6537D">
        <w:rPr>
          <w:rFonts w:ascii="Times New Roman" w:hAnsi="Times New Roman" w:cs="Times New Roman"/>
        </w:rPr>
        <w:t xml:space="preserve">ber of survey items used in the prior study </w:t>
      </w:r>
      <w:r w:rsidRPr="00071CE5">
        <w:rPr>
          <w:rFonts w:ascii="Times New Roman" w:hAnsi="Times New Roman" w:cs="Times New Roman"/>
        </w:rPr>
        <w:t xml:space="preserve">were warranted due to the changes in food purchase practices in the past decade.  </w:t>
      </w:r>
    </w:p>
    <w:p w:rsidR="00CB72B5" w:rsidP="00CB72B5" w:rsidRDefault="00CB72B5" w14:paraId="0E10E48A" w14:textId="031DF108">
      <w:pPr>
        <w:rPr>
          <w:rFonts w:ascii="Times New Roman" w:hAnsi="Times New Roman" w:cs="Times New Roman"/>
        </w:rPr>
      </w:pPr>
      <w:r w:rsidRPr="00071CE5">
        <w:rPr>
          <w:rFonts w:ascii="Times New Roman" w:hAnsi="Times New Roman" w:cs="Times New Roman"/>
        </w:rPr>
        <w:t xml:space="preserve">Statistical methods </w:t>
      </w:r>
      <w:r w:rsidRPr="00071CE5" w:rsidR="007C7224">
        <w:rPr>
          <w:rFonts w:ascii="Times New Roman" w:hAnsi="Times New Roman" w:cs="Times New Roman"/>
        </w:rPr>
        <w:t>remained unchanged</w:t>
      </w:r>
      <w:r w:rsidRPr="00071CE5">
        <w:rPr>
          <w:rFonts w:ascii="Times New Roman" w:hAnsi="Times New Roman" w:cs="Times New Roman"/>
        </w:rPr>
        <w:t xml:space="preserve"> </w:t>
      </w:r>
      <w:r w:rsidRPr="00071CE5" w:rsidR="007C7224">
        <w:rPr>
          <w:rFonts w:ascii="Times New Roman" w:hAnsi="Times New Roman" w:cs="Times New Roman"/>
        </w:rPr>
        <w:t xml:space="preserve">after </w:t>
      </w:r>
      <w:r w:rsidRPr="00071CE5">
        <w:rPr>
          <w:rFonts w:ascii="Times New Roman" w:hAnsi="Times New Roman" w:cs="Times New Roman"/>
        </w:rPr>
        <w:t xml:space="preserve">pre-testing. </w:t>
      </w:r>
    </w:p>
    <w:p w:rsidRPr="00071CE5" w:rsidR="0099332D" w:rsidP="0099332D" w:rsidRDefault="0099332D" w14:paraId="2EB4678B" w14:textId="42C5A73E">
      <w:pPr>
        <w:ind w:firstLine="0"/>
        <w:rPr>
          <w:rFonts w:ascii="Times New Roman" w:hAnsi="Times New Roman" w:cs="Times New Roman"/>
          <w:noProof/>
        </w:rPr>
      </w:pPr>
      <w:r>
        <w:rPr>
          <w:rFonts w:ascii="Times New Roman" w:hAnsi="Times New Roman" w:cs="Times New Roman"/>
        </w:rPr>
        <w:t xml:space="preserve">In addition, we plan to conduct a field test with three SFAs, to ensure that our data collection methodology is able to capture the school food operations and procurement practices.  Planned study procedures will be administered to collect the data from invited SFAs.  In addition to obtaining feedback from the SFAs on the process of providing study information, we will also review the purchase data and the invoices submitted by SFAs.  </w:t>
      </w:r>
    </w:p>
    <w:p w:rsidR="0053146B" w:rsidP="0053146B" w:rsidRDefault="0053146B" w14:paraId="7B416BD4" w14:textId="77777777">
      <w:pPr>
        <w:pStyle w:val="Heading1"/>
        <w:rPr>
          <w:b/>
        </w:rPr>
      </w:pPr>
      <w:bookmarkStart w:name="_Toc494361131" w:id="36"/>
      <w:bookmarkStart w:name="_Toc29469617" w:id="37"/>
      <w:r>
        <w:rPr>
          <w:b/>
        </w:rPr>
        <w:lastRenderedPageBreak/>
        <w:t>B.5</w:t>
      </w:r>
      <w:r>
        <w:rPr>
          <w:b/>
        </w:rPr>
        <w:tab/>
        <w:t>Provide the name and telephone number of individuals consulted on statistical aspects of the design and the name of the agency unit, contractor(s), grantee(s), or other person(s) who will actually collect and/or analyze the information for the agency.</w:t>
      </w:r>
      <w:bookmarkEnd w:id="36"/>
      <w:bookmarkEnd w:id="37"/>
    </w:p>
    <w:p w:rsidRPr="00071CE5" w:rsidR="002357EB" w:rsidP="002357EB" w:rsidRDefault="00EF4DE7" w14:paraId="69997309" w14:textId="101A9F72">
      <w:pPr>
        <w:rPr>
          <w:rFonts w:ascii="Times New Roman" w:hAnsi="Times New Roman" w:cs="Times New Roman"/>
          <w:noProof/>
        </w:rPr>
      </w:pPr>
      <w:r w:rsidRPr="00071CE5">
        <w:rPr>
          <w:rFonts w:ascii="Times New Roman" w:hAnsi="Times New Roman" w:cs="Times New Roman"/>
        </w:rPr>
        <w:t>Table</w:t>
      </w:r>
      <w:r w:rsidRPr="00071CE5" w:rsidR="00D17A8E">
        <w:rPr>
          <w:rFonts w:ascii="Times New Roman" w:hAnsi="Times New Roman" w:cs="Times New Roman"/>
        </w:rPr>
        <w:t xml:space="preserve"> B5 </w:t>
      </w:r>
      <w:r w:rsidRPr="00071CE5">
        <w:rPr>
          <w:rFonts w:ascii="Times New Roman" w:hAnsi="Times New Roman" w:cs="Times New Roman"/>
        </w:rPr>
        <w:t xml:space="preserve">presents a summary of individuals consulted on study design, data collection, and/or analysis. </w:t>
      </w:r>
      <w:r w:rsidRPr="00071CE5" w:rsidR="007C7224">
        <w:rPr>
          <w:rFonts w:ascii="Times New Roman" w:hAnsi="Times New Roman" w:cs="Times New Roman"/>
        </w:rPr>
        <w:t>The information will be collected and analyzed by Westat and Agralytica.  The sampling and weighting procedures were developed b</w:t>
      </w:r>
      <w:r w:rsidRPr="00071CE5" w:rsidR="002357EB">
        <w:rPr>
          <w:rFonts w:ascii="Times New Roman" w:hAnsi="Times New Roman" w:cs="Times New Roman"/>
        </w:rPr>
        <w:t>y Lou Rizzo</w:t>
      </w:r>
      <w:r w:rsidRPr="00071CE5" w:rsidR="007C7224">
        <w:rPr>
          <w:rFonts w:ascii="Times New Roman" w:hAnsi="Times New Roman" w:cs="Times New Roman"/>
        </w:rPr>
        <w:t xml:space="preserve"> and are consistent with those used in SFPS</w:t>
      </w:r>
      <w:r w:rsidRPr="00071CE5" w:rsidR="00D17A8E">
        <w:rPr>
          <w:rFonts w:ascii="Times New Roman" w:hAnsi="Times New Roman" w:cs="Times New Roman"/>
        </w:rPr>
        <w:t>-</w:t>
      </w:r>
      <w:r w:rsidRPr="00071CE5" w:rsidR="007C7224">
        <w:rPr>
          <w:rFonts w:ascii="Times New Roman" w:hAnsi="Times New Roman" w:cs="Times New Roman"/>
        </w:rPr>
        <w:t>III (OMB Control Number 0584-</w:t>
      </w:r>
      <w:r w:rsidRPr="00071CE5" w:rsidR="002357EB">
        <w:rPr>
          <w:rFonts w:ascii="Times New Roman" w:hAnsi="Times New Roman" w:cs="Times New Roman"/>
        </w:rPr>
        <w:t>0471</w:t>
      </w:r>
      <w:r w:rsidRPr="00071CE5" w:rsidR="007C7224">
        <w:rPr>
          <w:rFonts w:ascii="Times New Roman" w:hAnsi="Times New Roman" w:cs="Times New Roman"/>
        </w:rPr>
        <w:t xml:space="preserve">, Discontinued </w:t>
      </w:r>
      <w:r w:rsidRPr="00071CE5" w:rsidR="002357EB">
        <w:rPr>
          <w:rFonts w:ascii="Times New Roman" w:hAnsi="Times New Roman" w:cs="Times New Roman"/>
        </w:rPr>
        <w:t>03/21</w:t>
      </w:r>
      <w:r w:rsidRPr="00071CE5" w:rsidR="007C7224">
        <w:rPr>
          <w:rFonts w:ascii="Times New Roman" w:hAnsi="Times New Roman" w:cs="Times New Roman"/>
        </w:rPr>
        <w:t xml:space="preserve">/2012).  The sampling plans were reviewed by </w:t>
      </w:r>
      <w:r w:rsidRPr="00071CE5" w:rsidR="0003181E">
        <w:rPr>
          <w:rFonts w:ascii="Times New Roman" w:hAnsi="Times New Roman" w:cs="Times New Roman"/>
        </w:rPr>
        <w:t xml:space="preserve">Adam Chu, </w:t>
      </w:r>
      <w:r w:rsidRPr="00071CE5" w:rsidR="007C7224">
        <w:rPr>
          <w:rFonts w:ascii="Times New Roman" w:hAnsi="Times New Roman" w:cs="Times New Roman"/>
        </w:rPr>
        <w:t>Laurie May, Joseph Gasper, and Melisa Rothstein at Westat.  The study plan, including the data collection approach was also reviewed by Sujata Dixit-Joshi and Thea Zimmerman at Westat</w:t>
      </w:r>
      <w:r w:rsidRPr="00071CE5" w:rsidR="002357EB">
        <w:rPr>
          <w:rFonts w:ascii="Times New Roman" w:hAnsi="Times New Roman" w:cs="Times New Roman"/>
        </w:rPr>
        <w:t xml:space="preserve">. Three </w:t>
      </w:r>
      <w:r w:rsidRPr="00071CE5" w:rsidR="00AA1B4E">
        <w:rPr>
          <w:rFonts w:ascii="Times New Roman" w:hAnsi="Times New Roman" w:cs="Times New Roman"/>
        </w:rPr>
        <w:t xml:space="preserve">subject matter experts </w:t>
      </w:r>
      <w:r w:rsidRPr="00071CE5" w:rsidR="002357EB">
        <w:rPr>
          <w:rFonts w:ascii="Times New Roman" w:hAnsi="Times New Roman" w:cs="Times New Roman"/>
        </w:rPr>
        <w:t xml:space="preserve">also reviewed the study plan: </w:t>
      </w:r>
      <w:r w:rsidRPr="00071CE5" w:rsidR="007C7224">
        <w:rPr>
          <w:rFonts w:ascii="Times New Roman" w:hAnsi="Times New Roman" w:cs="Times New Roman"/>
        </w:rPr>
        <w:t>Dr. Keith Rushing</w:t>
      </w:r>
      <w:r w:rsidRPr="00071CE5" w:rsidR="002357EB">
        <w:rPr>
          <w:rFonts w:ascii="Times New Roman" w:hAnsi="Times New Roman" w:cs="Times New Roman"/>
        </w:rPr>
        <w:t>, Director of Applied Research Division at the Institute of Child Nutrition;</w:t>
      </w:r>
      <w:r w:rsidRPr="00071CE5" w:rsidR="007C7224">
        <w:rPr>
          <w:rFonts w:ascii="Times New Roman" w:hAnsi="Times New Roman" w:cs="Times New Roman"/>
        </w:rPr>
        <w:t xml:space="preserve"> Mr. Chris Facha,</w:t>
      </w:r>
      <w:r w:rsidRPr="00071CE5" w:rsidR="002357EB">
        <w:rPr>
          <w:rFonts w:ascii="Times New Roman" w:hAnsi="Times New Roman" w:cs="Times New Roman"/>
        </w:rPr>
        <w:t xml:space="preserve"> USDA Foods Program Administrator, Oregon Department of Education;</w:t>
      </w:r>
      <w:r w:rsidRPr="00071CE5" w:rsidR="007C7224">
        <w:rPr>
          <w:rFonts w:ascii="Times New Roman" w:hAnsi="Times New Roman" w:cs="Times New Roman"/>
        </w:rPr>
        <w:t xml:space="preserve"> and Mr. Bertrand Weber</w:t>
      </w:r>
      <w:r w:rsidRPr="00071CE5" w:rsidR="002357EB">
        <w:rPr>
          <w:rFonts w:ascii="Times New Roman" w:hAnsi="Times New Roman" w:cs="Times New Roman"/>
        </w:rPr>
        <w:t>, Director of Culinary and Nutrition Services, Minneapolis County Public Schools, MN</w:t>
      </w:r>
      <w:r w:rsidRPr="00071CE5" w:rsidR="007C7224">
        <w:rPr>
          <w:rFonts w:ascii="Times New Roman" w:hAnsi="Times New Roman" w:cs="Times New Roman"/>
        </w:rPr>
        <w:t xml:space="preserve">. </w:t>
      </w:r>
      <w:r w:rsidRPr="00071CE5" w:rsidR="002357EB">
        <w:rPr>
          <w:rFonts w:ascii="Times New Roman" w:hAnsi="Times New Roman" w:cs="Times New Roman"/>
          <w:noProof/>
        </w:rPr>
        <w:t xml:space="preserve">The statistical procedures included in this information request have also been reviewed by </w:t>
      </w:r>
      <w:r w:rsidR="00837A41">
        <w:rPr>
          <w:rFonts w:ascii="Times New Roman" w:hAnsi="Times New Roman" w:cs="Times New Roman"/>
          <w:noProof/>
        </w:rPr>
        <w:t>Dana Butler</w:t>
      </w:r>
      <w:r w:rsidRPr="00071CE5" w:rsidR="002357EB">
        <w:rPr>
          <w:rFonts w:ascii="Times New Roman" w:hAnsi="Times New Roman" w:cs="Times New Roman"/>
          <w:noProof/>
        </w:rPr>
        <w:t xml:space="preserve"> with the USDA National Agricultual Statistics Service (NASS) </w:t>
      </w:r>
      <w:r w:rsidRPr="00837A41" w:rsidR="002357EB">
        <w:rPr>
          <w:rFonts w:ascii="Times New Roman" w:hAnsi="Times New Roman" w:cs="Times New Roman"/>
          <w:noProof/>
        </w:rPr>
        <w:t xml:space="preserve">(telephone: </w:t>
      </w:r>
      <w:r w:rsidRPr="00837A41" w:rsidR="00837A41">
        <w:rPr>
          <w:rFonts w:ascii="Times New Roman" w:hAnsi="Times New Roman" w:cs="Times New Roman"/>
          <w:noProof/>
        </w:rPr>
        <w:t>202-690-8627).</w:t>
      </w:r>
      <w:r w:rsidRPr="00071CE5" w:rsidR="00837A41">
        <w:rPr>
          <w:rFonts w:ascii="Times New Roman" w:hAnsi="Times New Roman" w:cs="Times New Roman"/>
          <w:noProof/>
        </w:rPr>
        <w:t xml:space="preserve"> </w:t>
      </w:r>
      <w:r w:rsidRPr="00071CE5" w:rsidR="002357EB">
        <w:rPr>
          <w:rFonts w:ascii="Times New Roman" w:hAnsi="Times New Roman" w:cs="Times New Roman"/>
          <w:noProof/>
        </w:rPr>
        <w:t>Comments from NASS are included in Appendix E, and responses are incorporated in this supporting statement.</w:t>
      </w:r>
    </w:p>
    <w:p w:rsidR="0053146B" w:rsidP="0053146B" w:rsidRDefault="0053146B" w14:paraId="04FEA099" w14:textId="4AFA21B4">
      <w:pPr>
        <w:pStyle w:val="Caption"/>
      </w:pPr>
      <w:r>
        <w:t>Table</w:t>
      </w:r>
      <w:r w:rsidR="00D17A8E">
        <w:t xml:space="preserve"> B5.</w:t>
      </w:r>
      <w:r>
        <w:t xml:space="preserve"> Individuals Consulted on Design, Data Collection, or Analysis</w:t>
      </w:r>
    </w:p>
    <w:tbl>
      <w:tblPr>
        <w:tblStyle w:val="GridTable4-Accent11"/>
        <w:tblW w:w="5000" w:type="pct"/>
        <w:tblInd w:w="0" w:type="dxa"/>
        <w:tblLook w:val="06A0" w:firstRow="1" w:lastRow="0" w:firstColumn="1" w:lastColumn="0" w:noHBand="1" w:noVBand="1"/>
      </w:tblPr>
      <w:tblGrid>
        <w:gridCol w:w="2025"/>
        <w:gridCol w:w="2799"/>
        <w:gridCol w:w="1570"/>
        <w:gridCol w:w="2956"/>
      </w:tblGrid>
      <w:tr w:rsidR="0053146B" w:rsidTr="00EF4DE7" w14:paraId="363639BF" w14:textId="7777777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090" w:type="pct"/>
            <w:vAlign w:val="center"/>
            <w:hideMark/>
          </w:tcPr>
          <w:p w:rsidR="0053146B" w:rsidRDefault="0053146B" w14:paraId="3763BBBD" w14:textId="77777777">
            <w:pPr>
              <w:pStyle w:val="TH-TableHeading"/>
              <w:spacing w:line="240" w:lineRule="auto"/>
              <w:rPr>
                <w:rFonts w:ascii="Times New Roman" w:hAnsi="Times New Roman"/>
                <w:b/>
              </w:rPr>
            </w:pPr>
            <w:r>
              <w:rPr>
                <w:rFonts w:ascii="Times New Roman" w:hAnsi="Times New Roman"/>
                <w:b/>
              </w:rPr>
              <w:t>Name</w:t>
            </w:r>
          </w:p>
        </w:tc>
        <w:tc>
          <w:tcPr>
            <w:tcW w:w="1504" w:type="pct"/>
            <w:vAlign w:val="center"/>
          </w:tcPr>
          <w:p w:rsidR="0053146B" w:rsidRDefault="0053146B" w14:paraId="0826174F" w14:textId="77777777">
            <w:pPr>
              <w:pStyle w:val="TH-TableHeading"/>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b/>
              </w:rPr>
              <w:t>Title</w:t>
            </w:r>
          </w:p>
        </w:tc>
        <w:tc>
          <w:tcPr>
            <w:tcW w:w="846" w:type="pct"/>
            <w:vAlign w:val="center"/>
            <w:hideMark/>
          </w:tcPr>
          <w:p w:rsidR="0053146B" w:rsidRDefault="0053146B" w14:paraId="3858D66A" w14:textId="77777777">
            <w:pPr>
              <w:pStyle w:val="TH-TableHeading"/>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rPr>
            </w:pPr>
            <w:r>
              <w:rPr>
                <w:rFonts w:ascii="Times New Roman" w:hAnsi="Times New Roman"/>
                <w:b/>
              </w:rPr>
              <w:t>Telephone Number</w:t>
            </w:r>
          </w:p>
        </w:tc>
        <w:tc>
          <w:tcPr>
            <w:tcW w:w="1560" w:type="pct"/>
            <w:vAlign w:val="center"/>
            <w:hideMark/>
          </w:tcPr>
          <w:p w:rsidR="0053146B" w:rsidRDefault="0053146B" w14:paraId="43267A7F" w14:textId="77777777">
            <w:pPr>
              <w:pStyle w:val="TH-TableHeading"/>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rPr>
            </w:pPr>
            <w:r>
              <w:rPr>
                <w:rFonts w:ascii="Times New Roman" w:hAnsi="Times New Roman"/>
                <w:b/>
              </w:rPr>
              <w:t>Email</w:t>
            </w:r>
          </w:p>
        </w:tc>
      </w:tr>
      <w:tr w:rsidR="00BC33E4" w:rsidTr="00EF4DE7" w14:paraId="61913F72" w14:textId="77777777">
        <w:trPr>
          <w:trHeight w:val="20"/>
        </w:trPr>
        <w:tc>
          <w:tcPr>
            <w:cnfStyle w:val="001000000000" w:firstRow="0" w:lastRow="0" w:firstColumn="1" w:lastColumn="0" w:oddVBand="0" w:evenVBand="0" w:oddHBand="0" w:evenHBand="0" w:firstRowFirstColumn="0" w:firstRowLastColumn="0" w:lastRowFirstColumn="0" w:lastRowLastColumn="0"/>
            <w:tcW w:w="109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BC33E4" w:rsidP="00556882" w:rsidRDefault="00BC33E4" w14:paraId="24FA30A2" w14:textId="77777777">
            <w:pPr>
              <w:pStyle w:val="TX-TableText"/>
              <w:spacing w:before="60" w:after="60" w:line="240" w:lineRule="auto"/>
              <w:ind w:firstLine="0"/>
              <w:rPr>
                <w:rFonts w:ascii="Times New Roman" w:hAnsi="Times New Roman"/>
              </w:rPr>
            </w:pPr>
            <w:r>
              <w:rPr>
                <w:rFonts w:ascii="Times New Roman" w:hAnsi="Times New Roman"/>
              </w:rPr>
              <w:t>Laurie May</w:t>
            </w:r>
          </w:p>
        </w:tc>
        <w:tc>
          <w:tcPr>
            <w:tcW w:w="1504"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BC33E4" w:rsidP="00556882" w:rsidRDefault="00BC33E4" w14:paraId="2D286A67" w14:textId="016F5E7B">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Vice President and Associate Director</w:t>
            </w:r>
            <w:r w:rsidR="00BE4E3E">
              <w:rPr>
                <w:rFonts w:ascii="Times New Roman" w:hAnsi="Times New Roman"/>
              </w:rPr>
              <w:t>, Westat</w:t>
            </w:r>
          </w:p>
        </w:tc>
        <w:tc>
          <w:tcPr>
            <w:tcW w:w="846"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BC33E4" w:rsidP="00556882" w:rsidRDefault="00BC33E4" w14:paraId="0286CA10" w14:textId="77777777">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301-517-4076</w:t>
            </w:r>
          </w:p>
        </w:tc>
        <w:tc>
          <w:tcPr>
            <w:tcW w:w="156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BC33E4" w:rsidP="00556882" w:rsidRDefault="0049569B" w14:paraId="080276B9" w14:textId="77777777">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hyperlink w:history="1" r:id="rId9">
              <w:r w:rsidRPr="006270F1" w:rsidR="00BC33E4">
                <w:rPr>
                  <w:rStyle w:val="Hyperlink"/>
                  <w:rFonts w:cstheme="minorBidi"/>
                </w:rPr>
                <w:t>LaurieMay@westat.com</w:t>
              </w:r>
            </w:hyperlink>
            <w:r w:rsidR="00BC33E4">
              <w:rPr>
                <w:rFonts w:ascii="Times New Roman" w:hAnsi="Times New Roman"/>
              </w:rPr>
              <w:t xml:space="preserve"> </w:t>
            </w:r>
          </w:p>
        </w:tc>
      </w:tr>
      <w:tr w:rsidR="0053146B" w:rsidTr="00EF4DE7" w14:paraId="7063CB3E" w14:textId="77777777">
        <w:trPr>
          <w:trHeight w:val="20"/>
        </w:trPr>
        <w:tc>
          <w:tcPr>
            <w:cnfStyle w:val="001000000000" w:firstRow="0" w:lastRow="0" w:firstColumn="1" w:lastColumn="0" w:oddVBand="0" w:evenVBand="0" w:oddHBand="0" w:evenHBand="0" w:firstRowFirstColumn="0" w:firstRowLastColumn="0" w:lastRowFirstColumn="0" w:lastRowLastColumn="0"/>
            <w:tcW w:w="109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53146B" w:rsidRDefault="00E76828" w14:paraId="59522588" w14:textId="2D355E09">
            <w:pPr>
              <w:pStyle w:val="TX-TableText"/>
              <w:spacing w:before="60" w:after="60" w:line="240" w:lineRule="auto"/>
              <w:ind w:firstLine="0"/>
              <w:rPr>
                <w:rFonts w:ascii="Times New Roman" w:hAnsi="Times New Roman"/>
              </w:rPr>
            </w:pPr>
            <w:r>
              <w:rPr>
                <w:rFonts w:ascii="Times New Roman" w:hAnsi="Times New Roman"/>
              </w:rPr>
              <w:t>Joseph Gasper</w:t>
            </w:r>
          </w:p>
        </w:tc>
        <w:tc>
          <w:tcPr>
            <w:tcW w:w="1504"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53146B" w:rsidP="005A1843" w:rsidRDefault="00BC33E4" w14:paraId="3F76C7BF" w14:textId="50D962BA">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Associate Director</w:t>
            </w:r>
            <w:r w:rsidR="00BE4E3E">
              <w:rPr>
                <w:rFonts w:ascii="Times New Roman" w:hAnsi="Times New Roman"/>
              </w:rPr>
              <w:t>, Westat</w:t>
            </w:r>
          </w:p>
        </w:tc>
        <w:tc>
          <w:tcPr>
            <w:tcW w:w="846"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53146B" w:rsidRDefault="00DC5CCA" w14:paraId="4AD9AF18" w14:textId="0B68B628">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240-314-2470</w:t>
            </w:r>
          </w:p>
        </w:tc>
        <w:tc>
          <w:tcPr>
            <w:tcW w:w="156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53146B" w:rsidRDefault="0049569B" w14:paraId="1C1F1B37" w14:textId="6112A079">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hyperlink w:history="1" r:id="rId10">
              <w:r w:rsidRPr="006270F1" w:rsidR="00DC5CCA">
                <w:rPr>
                  <w:rStyle w:val="Hyperlink"/>
                  <w:rFonts w:cstheme="minorBidi"/>
                </w:rPr>
                <w:t>JosephGasper@westat.com</w:t>
              </w:r>
            </w:hyperlink>
            <w:r w:rsidR="00DC5CCA">
              <w:rPr>
                <w:rFonts w:ascii="Times New Roman" w:hAnsi="Times New Roman"/>
              </w:rPr>
              <w:t xml:space="preserve"> </w:t>
            </w:r>
          </w:p>
        </w:tc>
      </w:tr>
      <w:tr w:rsidR="0053146B" w:rsidTr="00EF4DE7" w14:paraId="6FAF5054" w14:textId="77777777">
        <w:trPr>
          <w:trHeight w:val="20"/>
        </w:trPr>
        <w:tc>
          <w:tcPr>
            <w:cnfStyle w:val="001000000000" w:firstRow="0" w:lastRow="0" w:firstColumn="1" w:lastColumn="0" w:oddVBand="0" w:evenVBand="0" w:oddHBand="0" w:evenHBand="0" w:firstRowFirstColumn="0" w:firstRowLastColumn="0" w:lastRowFirstColumn="0" w:lastRowLastColumn="0"/>
            <w:tcW w:w="109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53146B" w:rsidRDefault="00E76828" w14:paraId="3F79078E" w14:textId="6D49E47D">
            <w:pPr>
              <w:pStyle w:val="TX-TableText"/>
              <w:spacing w:before="60" w:after="60" w:line="240" w:lineRule="auto"/>
              <w:ind w:firstLine="0"/>
              <w:rPr>
                <w:rFonts w:ascii="Times New Roman" w:hAnsi="Times New Roman"/>
              </w:rPr>
            </w:pPr>
            <w:r>
              <w:rPr>
                <w:rFonts w:ascii="Times New Roman" w:hAnsi="Times New Roman"/>
              </w:rPr>
              <w:t>Melissa Rothstein</w:t>
            </w:r>
          </w:p>
        </w:tc>
        <w:tc>
          <w:tcPr>
            <w:tcW w:w="1504"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53146B" w:rsidRDefault="00E76828" w14:paraId="21239A25" w14:textId="0EE4DCBF">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Project Director</w:t>
            </w:r>
            <w:r w:rsidR="00BE4E3E">
              <w:rPr>
                <w:rFonts w:ascii="Times New Roman" w:hAnsi="Times New Roman"/>
              </w:rPr>
              <w:t>, Westat</w:t>
            </w:r>
          </w:p>
        </w:tc>
        <w:tc>
          <w:tcPr>
            <w:tcW w:w="846"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53146B" w:rsidP="00D17A8E" w:rsidRDefault="00DC5CCA" w14:paraId="6DDD42D3" w14:textId="0B01C934">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301-315-59</w:t>
            </w:r>
            <w:r w:rsidR="00D17A8E">
              <w:rPr>
                <w:rFonts w:ascii="Times New Roman" w:hAnsi="Times New Roman"/>
              </w:rPr>
              <w:t>7</w:t>
            </w:r>
            <w:r>
              <w:rPr>
                <w:rFonts w:ascii="Times New Roman" w:hAnsi="Times New Roman"/>
              </w:rPr>
              <w:t>5</w:t>
            </w:r>
          </w:p>
        </w:tc>
        <w:tc>
          <w:tcPr>
            <w:tcW w:w="156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53146B" w:rsidRDefault="0049569B" w14:paraId="5C597A22" w14:textId="260574D5">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hyperlink w:history="1" r:id="rId11">
              <w:r w:rsidRPr="006270F1" w:rsidR="00DC5CCA">
                <w:rPr>
                  <w:rStyle w:val="Hyperlink"/>
                  <w:rFonts w:cstheme="minorBidi"/>
                </w:rPr>
                <w:t>MelissaRothstein@westat.com</w:t>
              </w:r>
            </w:hyperlink>
            <w:r w:rsidR="00DC5CCA">
              <w:rPr>
                <w:rFonts w:ascii="Times New Roman" w:hAnsi="Times New Roman"/>
              </w:rPr>
              <w:t xml:space="preserve"> </w:t>
            </w:r>
          </w:p>
        </w:tc>
      </w:tr>
      <w:tr w:rsidR="0003181E" w:rsidTr="0085049E" w14:paraId="1DFF8944" w14:textId="77777777">
        <w:trPr>
          <w:trHeight w:val="20"/>
        </w:trPr>
        <w:tc>
          <w:tcPr>
            <w:cnfStyle w:val="001000000000" w:firstRow="0" w:lastRow="0" w:firstColumn="1" w:lastColumn="0" w:oddVBand="0" w:evenVBand="0" w:oddHBand="0" w:evenHBand="0" w:firstRowFirstColumn="0" w:firstRowLastColumn="0" w:lastRowFirstColumn="0" w:lastRowLastColumn="0"/>
            <w:tcW w:w="109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shd w:val="clear" w:color="auto" w:fill="auto"/>
            <w:vAlign w:val="center"/>
          </w:tcPr>
          <w:p w:rsidRPr="0003181E" w:rsidR="0003181E" w:rsidP="0085049E" w:rsidRDefault="0003181E" w14:paraId="46C34C68" w14:textId="77777777">
            <w:pPr>
              <w:pStyle w:val="TX-TableText"/>
              <w:spacing w:before="60" w:after="60" w:line="240" w:lineRule="auto"/>
              <w:ind w:firstLine="0"/>
              <w:rPr>
                <w:rFonts w:ascii="Times New Roman" w:hAnsi="Times New Roman" w:cs="Times New Roman"/>
              </w:rPr>
            </w:pPr>
            <w:r w:rsidRPr="0003181E">
              <w:rPr>
                <w:rFonts w:ascii="Times New Roman" w:hAnsi="Times New Roman" w:cs="Times New Roman"/>
              </w:rPr>
              <w:lastRenderedPageBreak/>
              <w:t>Adam Chu</w:t>
            </w:r>
          </w:p>
        </w:tc>
        <w:tc>
          <w:tcPr>
            <w:tcW w:w="1504"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shd w:val="clear" w:color="auto" w:fill="auto"/>
            <w:vAlign w:val="center"/>
          </w:tcPr>
          <w:p w:rsidRPr="0003181E" w:rsidR="0003181E" w:rsidP="0085049E" w:rsidRDefault="0003181E" w14:paraId="4D570FE4" w14:textId="77777777">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181E">
              <w:rPr>
                <w:rFonts w:ascii="Times New Roman" w:hAnsi="Times New Roman" w:cs="Times New Roman"/>
              </w:rPr>
              <w:t xml:space="preserve">Associate Director and Statistician, Westat </w:t>
            </w:r>
          </w:p>
        </w:tc>
        <w:tc>
          <w:tcPr>
            <w:tcW w:w="846"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shd w:val="clear" w:color="auto" w:fill="auto"/>
            <w:vAlign w:val="center"/>
          </w:tcPr>
          <w:p w:rsidRPr="0003181E" w:rsidR="0003181E" w:rsidP="0085049E" w:rsidRDefault="0003181E" w14:paraId="20097D10" w14:textId="77777777">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181E">
              <w:rPr>
                <w:rFonts w:ascii="Times New Roman" w:hAnsi="Times New Roman" w:cs="Times New Roman"/>
              </w:rPr>
              <w:t>301-251-4326</w:t>
            </w:r>
          </w:p>
        </w:tc>
        <w:tc>
          <w:tcPr>
            <w:tcW w:w="156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shd w:val="clear" w:color="auto" w:fill="auto"/>
            <w:vAlign w:val="center"/>
          </w:tcPr>
          <w:p w:rsidRPr="0003181E" w:rsidR="0003181E" w:rsidP="0085049E" w:rsidRDefault="0049569B" w14:paraId="270FA37C" w14:textId="77777777">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w:history="1" r:id="rId12">
              <w:r w:rsidRPr="0003181E" w:rsidR="0003181E">
                <w:rPr>
                  <w:rStyle w:val="Hyperlink"/>
                </w:rPr>
                <w:t>ChuAdam@westat.com</w:t>
              </w:r>
            </w:hyperlink>
            <w:r w:rsidRPr="0003181E" w:rsidR="0003181E">
              <w:rPr>
                <w:rFonts w:ascii="Times New Roman" w:hAnsi="Times New Roman" w:cs="Times New Roman"/>
              </w:rPr>
              <w:t xml:space="preserve"> </w:t>
            </w:r>
          </w:p>
        </w:tc>
      </w:tr>
      <w:tr w:rsidR="00E76828" w:rsidTr="00EF4DE7" w14:paraId="543C6392" w14:textId="77777777">
        <w:trPr>
          <w:trHeight w:val="20"/>
        </w:trPr>
        <w:tc>
          <w:tcPr>
            <w:cnfStyle w:val="001000000000" w:firstRow="0" w:lastRow="0" w:firstColumn="1" w:lastColumn="0" w:oddVBand="0" w:evenVBand="0" w:oddHBand="0" w:evenHBand="0" w:firstRowFirstColumn="0" w:firstRowLastColumn="0" w:lastRowFirstColumn="0" w:lastRowLastColumn="0"/>
            <w:tcW w:w="109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shd w:val="clear" w:color="auto" w:fill="auto"/>
            <w:vAlign w:val="center"/>
          </w:tcPr>
          <w:p w:rsidRPr="00EF4DE7" w:rsidR="00E76828" w:rsidRDefault="006804FF" w14:paraId="06731215" w14:textId="7B676E1A">
            <w:pPr>
              <w:pStyle w:val="TX-TableText"/>
              <w:spacing w:before="60" w:after="60" w:line="240" w:lineRule="auto"/>
              <w:ind w:firstLine="0"/>
              <w:rPr>
                <w:rFonts w:ascii="Times New Roman" w:hAnsi="Times New Roman"/>
              </w:rPr>
            </w:pPr>
            <w:r w:rsidRPr="00EF4DE7">
              <w:rPr>
                <w:rFonts w:ascii="Times New Roman" w:hAnsi="Times New Roman"/>
              </w:rPr>
              <w:t xml:space="preserve">Lou Rizzo </w:t>
            </w:r>
          </w:p>
        </w:tc>
        <w:tc>
          <w:tcPr>
            <w:tcW w:w="1504"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shd w:val="clear" w:color="auto" w:fill="auto"/>
            <w:vAlign w:val="center"/>
          </w:tcPr>
          <w:p w:rsidRPr="00EF4DE7" w:rsidR="00E76828" w:rsidRDefault="00E76828" w14:paraId="07896F19" w14:textId="04B8F237">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4DE7">
              <w:rPr>
                <w:rFonts w:ascii="Times New Roman" w:hAnsi="Times New Roman"/>
              </w:rPr>
              <w:t>Sampling Statistician</w:t>
            </w:r>
            <w:r w:rsidR="00BE4E3E">
              <w:rPr>
                <w:rFonts w:ascii="Times New Roman" w:hAnsi="Times New Roman"/>
              </w:rPr>
              <w:t>, Westat</w:t>
            </w:r>
          </w:p>
        </w:tc>
        <w:tc>
          <w:tcPr>
            <w:tcW w:w="846"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shd w:val="clear" w:color="auto" w:fill="auto"/>
            <w:vAlign w:val="center"/>
          </w:tcPr>
          <w:p w:rsidRPr="00EF4DE7" w:rsidR="00E76828" w:rsidRDefault="006804FF" w14:paraId="3E77BFCA" w14:textId="062E0F39">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4DE7">
              <w:rPr>
                <w:rFonts w:ascii="Times New Roman" w:hAnsi="Times New Roman"/>
              </w:rPr>
              <w:t>301-294-4486</w:t>
            </w:r>
          </w:p>
        </w:tc>
        <w:tc>
          <w:tcPr>
            <w:tcW w:w="156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shd w:val="clear" w:color="auto" w:fill="auto"/>
            <w:vAlign w:val="center"/>
          </w:tcPr>
          <w:p w:rsidRPr="00EF4DE7" w:rsidR="00E76828" w:rsidRDefault="0049569B" w14:paraId="13057A95" w14:textId="4A226C68">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hyperlink w:history="1" r:id="rId13">
              <w:r w:rsidRPr="00EF4DE7" w:rsidR="006804FF">
                <w:rPr>
                  <w:rStyle w:val="Hyperlink"/>
                  <w:rFonts w:cstheme="minorBidi"/>
                </w:rPr>
                <w:t>LouRizzo@westat.com</w:t>
              </w:r>
            </w:hyperlink>
            <w:r w:rsidRPr="00EF4DE7" w:rsidR="006804FF">
              <w:rPr>
                <w:rFonts w:ascii="Times New Roman" w:hAnsi="Times New Roman"/>
              </w:rPr>
              <w:t xml:space="preserve"> </w:t>
            </w:r>
          </w:p>
        </w:tc>
      </w:tr>
      <w:tr w:rsidR="00B520BC" w:rsidTr="00EF4DE7" w14:paraId="61B32165" w14:textId="77777777">
        <w:trPr>
          <w:trHeight w:val="20"/>
        </w:trPr>
        <w:tc>
          <w:tcPr>
            <w:cnfStyle w:val="001000000000" w:firstRow="0" w:lastRow="0" w:firstColumn="1" w:lastColumn="0" w:oddVBand="0" w:evenVBand="0" w:oddHBand="0" w:evenHBand="0" w:firstRowFirstColumn="0" w:firstRowLastColumn="0" w:lastRowFirstColumn="0" w:lastRowLastColumn="0"/>
            <w:tcW w:w="109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B520BC" w:rsidRDefault="00B520BC" w14:paraId="48BBF5FD" w14:textId="09636707">
            <w:pPr>
              <w:pStyle w:val="TX-TableText"/>
              <w:spacing w:before="60" w:after="60" w:line="240" w:lineRule="auto"/>
              <w:ind w:firstLine="0"/>
              <w:rPr>
                <w:rFonts w:ascii="Times New Roman" w:hAnsi="Times New Roman"/>
              </w:rPr>
            </w:pPr>
            <w:r>
              <w:rPr>
                <w:rFonts w:ascii="Times New Roman" w:hAnsi="Times New Roman"/>
              </w:rPr>
              <w:t>Sujata Dixit-Joshi</w:t>
            </w:r>
          </w:p>
        </w:tc>
        <w:tc>
          <w:tcPr>
            <w:tcW w:w="1504"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B520BC" w:rsidRDefault="00420E0D" w14:paraId="6DD8C413" w14:textId="0574B76D">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Deputy Project Director</w:t>
            </w:r>
            <w:r w:rsidR="00BE4E3E">
              <w:rPr>
                <w:rFonts w:ascii="Times New Roman" w:hAnsi="Times New Roman"/>
              </w:rPr>
              <w:t>, Westat</w:t>
            </w:r>
          </w:p>
        </w:tc>
        <w:tc>
          <w:tcPr>
            <w:tcW w:w="846"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B520BC" w:rsidRDefault="00DC5CCA" w14:paraId="2FE6EC96" w14:textId="0F4C2F00">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240-314-2442</w:t>
            </w:r>
          </w:p>
        </w:tc>
        <w:tc>
          <w:tcPr>
            <w:tcW w:w="156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B520BC" w:rsidRDefault="0049569B" w14:paraId="490F0EAF" w14:textId="41651490">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hyperlink w:history="1" r:id="rId14">
              <w:r w:rsidRPr="006270F1" w:rsidR="00DC5CCA">
                <w:rPr>
                  <w:rStyle w:val="Hyperlink"/>
                  <w:rFonts w:cstheme="minorBidi"/>
                </w:rPr>
                <w:t>SujataDixit-Joshi@westat.com</w:t>
              </w:r>
            </w:hyperlink>
            <w:r w:rsidR="00DC5CCA">
              <w:rPr>
                <w:rFonts w:ascii="Times New Roman" w:hAnsi="Times New Roman"/>
              </w:rPr>
              <w:t xml:space="preserve"> </w:t>
            </w:r>
          </w:p>
        </w:tc>
      </w:tr>
      <w:tr w:rsidR="00B520BC" w:rsidTr="00EF4DE7" w14:paraId="57F4C46C" w14:textId="77777777">
        <w:trPr>
          <w:trHeight w:val="20"/>
        </w:trPr>
        <w:tc>
          <w:tcPr>
            <w:cnfStyle w:val="001000000000" w:firstRow="0" w:lastRow="0" w:firstColumn="1" w:lastColumn="0" w:oddVBand="0" w:evenVBand="0" w:oddHBand="0" w:evenHBand="0" w:firstRowFirstColumn="0" w:firstRowLastColumn="0" w:lastRowFirstColumn="0" w:lastRowLastColumn="0"/>
            <w:tcW w:w="109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B520BC" w:rsidRDefault="00B520BC" w14:paraId="2CC06924" w14:textId="600DBD9C">
            <w:pPr>
              <w:pStyle w:val="TX-TableText"/>
              <w:spacing w:before="60" w:after="60" w:line="240" w:lineRule="auto"/>
              <w:ind w:firstLine="0"/>
              <w:rPr>
                <w:rFonts w:ascii="Times New Roman" w:hAnsi="Times New Roman"/>
              </w:rPr>
            </w:pPr>
            <w:r>
              <w:rPr>
                <w:rFonts w:ascii="Times New Roman" w:hAnsi="Times New Roman"/>
              </w:rPr>
              <w:t>Thea Zimmerman</w:t>
            </w:r>
          </w:p>
        </w:tc>
        <w:tc>
          <w:tcPr>
            <w:tcW w:w="1504"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B520BC" w:rsidRDefault="00DC5CCA" w14:paraId="6C8E4B57" w14:textId="36B639DA">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Nutritio</w:t>
            </w:r>
            <w:r w:rsidR="00420E0D">
              <w:rPr>
                <w:rFonts w:ascii="Times New Roman" w:hAnsi="Times New Roman"/>
              </w:rPr>
              <w:t>nist and Senior Study Director</w:t>
            </w:r>
            <w:r w:rsidR="00BE4E3E">
              <w:rPr>
                <w:rFonts w:ascii="Times New Roman" w:hAnsi="Times New Roman"/>
              </w:rPr>
              <w:t>, Westat</w:t>
            </w:r>
          </w:p>
        </w:tc>
        <w:tc>
          <w:tcPr>
            <w:tcW w:w="846"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B520BC" w:rsidRDefault="00BC33E4" w14:paraId="29ED2A77" w14:textId="2527BAD2">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240-314-2413</w:t>
            </w:r>
          </w:p>
        </w:tc>
        <w:tc>
          <w:tcPr>
            <w:tcW w:w="156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B520BC" w:rsidRDefault="0049569B" w14:paraId="0A82D367" w14:textId="12CA0B4A">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hyperlink w:history="1" r:id="rId15">
              <w:r w:rsidRPr="00047A29" w:rsidR="00E4145E">
                <w:rPr>
                  <w:rStyle w:val="Hyperlink"/>
                  <w:rFonts w:cstheme="minorBidi"/>
                </w:rPr>
                <w:t>TheaZimmerman@westat.com</w:t>
              </w:r>
            </w:hyperlink>
            <w:r w:rsidR="00E4145E">
              <w:rPr>
                <w:rFonts w:ascii="Times New Roman" w:hAnsi="Times New Roman"/>
              </w:rPr>
              <w:t xml:space="preserve"> </w:t>
            </w:r>
          </w:p>
        </w:tc>
      </w:tr>
      <w:tr w:rsidR="00E76828" w:rsidTr="00EF4DE7" w14:paraId="41EEFB84" w14:textId="77777777">
        <w:trPr>
          <w:trHeight w:val="20"/>
        </w:trPr>
        <w:tc>
          <w:tcPr>
            <w:cnfStyle w:val="001000000000" w:firstRow="0" w:lastRow="0" w:firstColumn="1" w:lastColumn="0" w:oddVBand="0" w:evenVBand="0" w:oddHBand="0" w:evenHBand="0" w:firstRowFirstColumn="0" w:firstRowLastColumn="0" w:lastRowFirstColumn="0" w:lastRowLastColumn="0"/>
            <w:tcW w:w="109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E76828" w:rsidRDefault="00BC33E4" w14:paraId="56346326" w14:textId="7A0EA76F">
            <w:pPr>
              <w:pStyle w:val="TX-TableText"/>
              <w:spacing w:before="60" w:after="60" w:line="240" w:lineRule="auto"/>
              <w:ind w:firstLine="0"/>
              <w:rPr>
                <w:rFonts w:ascii="Times New Roman" w:hAnsi="Times New Roman"/>
              </w:rPr>
            </w:pPr>
            <w:r>
              <w:rPr>
                <w:rFonts w:ascii="Times New Roman" w:hAnsi="Times New Roman"/>
              </w:rPr>
              <w:t>Salli Diakova</w:t>
            </w:r>
          </w:p>
        </w:tc>
        <w:tc>
          <w:tcPr>
            <w:tcW w:w="1504"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E76828" w:rsidRDefault="00E4145E" w14:paraId="32CC9E38" w14:textId="37811EE9">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Vice President</w:t>
            </w:r>
            <w:r w:rsidR="00BE4E3E">
              <w:rPr>
                <w:rFonts w:ascii="Times New Roman" w:hAnsi="Times New Roman"/>
              </w:rPr>
              <w:t>, Agralytica</w:t>
            </w:r>
          </w:p>
        </w:tc>
        <w:tc>
          <w:tcPr>
            <w:tcW w:w="846"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E76828" w:rsidRDefault="00BC33E4" w14:paraId="6EDE9605" w14:textId="0D3AAECB">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703-739-9090</w:t>
            </w:r>
          </w:p>
        </w:tc>
        <w:tc>
          <w:tcPr>
            <w:tcW w:w="156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E76828" w:rsidRDefault="0049569B" w14:paraId="6C2E2930" w14:textId="3B578057">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hyperlink w:history="1" r:id="rId16">
              <w:r w:rsidRPr="00047A29" w:rsidR="00E4145E">
                <w:rPr>
                  <w:rStyle w:val="Hyperlink"/>
                  <w:rFonts w:cstheme="minorBidi"/>
                </w:rPr>
                <w:t>SDiakova@agralytica.com</w:t>
              </w:r>
            </w:hyperlink>
            <w:r w:rsidR="00E4145E">
              <w:rPr>
                <w:rFonts w:ascii="Times New Roman" w:hAnsi="Times New Roman"/>
              </w:rPr>
              <w:t xml:space="preserve"> </w:t>
            </w:r>
          </w:p>
        </w:tc>
      </w:tr>
      <w:tr w:rsidR="00B520BC" w:rsidTr="00EF4DE7" w14:paraId="48476FD0" w14:textId="77777777">
        <w:trPr>
          <w:trHeight w:val="20"/>
        </w:trPr>
        <w:tc>
          <w:tcPr>
            <w:cnfStyle w:val="001000000000" w:firstRow="0" w:lastRow="0" w:firstColumn="1" w:lastColumn="0" w:oddVBand="0" w:evenVBand="0" w:oddHBand="0" w:evenHBand="0" w:firstRowFirstColumn="0" w:firstRowLastColumn="0" w:lastRowFirstColumn="0" w:lastRowLastColumn="0"/>
            <w:tcW w:w="109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B520BC" w:rsidRDefault="00B520BC" w14:paraId="6C8DC3CB" w14:textId="56BEA59B">
            <w:pPr>
              <w:pStyle w:val="TX-TableText"/>
              <w:spacing w:before="60" w:after="60" w:line="240" w:lineRule="auto"/>
              <w:ind w:firstLine="0"/>
              <w:rPr>
                <w:rFonts w:ascii="Times New Roman" w:hAnsi="Times New Roman"/>
              </w:rPr>
            </w:pPr>
            <w:r>
              <w:rPr>
                <w:rFonts w:ascii="Times New Roman" w:hAnsi="Times New Roman"/>
              </w:rPr>
              <w:t>Keith</w:t>
            </w:r>
            <w:r w:rsidR="00DC5CCA">
              <w:rPr>
                <w:rFonts w:ascii="Times New Roman" w:hAnsi="Times New Roman"/>
              </w:rPr>
              <w:t xml:space="preserve"> Rushing</w:t>
            </w:r>
          </w:p>
        </w:tc>
        <w:tc>
          <w:tcPr>
            <w:tcW w:w="1504"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B520BC" w:rsidP="002357EB" w:rsidRDefault="007C7224" w14:paraId="159D2C9F" w14:textId="48DC7711">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Director of Applied Research Division</w:t>
            </w:r>
            <w:r w:rsidR="00BE4E3E">
              <w:rPr>
                <w:rFonts w:ascii="Times New Roman" w:hAnsi="Times New Roman"/>
              </w:rPr>
              <w:t>, Institute of Child Nutrition</w:t>
            </w:r>
          </w:p>
        </w:tc>
        <w:tc>
          <w:tcPr>
            <w:tcW w:w="846"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B520BC" w:rsidRDefault="00056845" w14:paraId="49C59C90" w14:textId="5FBCEF11">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601-543-9866</w:t>
            </w:r>
          </w:p>
        </w:tc>
        <w:tc>
          <w:tcPr>
            <w:tcW w:w="156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B520BC" w:rsidRDefault="0049569B" w14:paraId="3D14211F" w14:textId="2C059C5D">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hyperlink w:history="1" r:id="rId17">
              <w:r w:rsidRPr="00C230A3" w:rsidR="007C7224">
                <w:rPr>
                  <w:rStyle w:val="Hyperlink"/>
                  <w:rFonts w:cstheme="minorBidi"/>
                </w:rPr>
                <w:t>Keith.Rushing@usm.edu</w:t>
              </w:r>
            </w:hyperlink>
            <w:r w:rsidR="007C7224">
              <w:rPr>
                <w:rFonts w:ascii="Times New Roman" w:hAnsi="Times New Roman"/>
              </w:rPr>
              <w:t xml:space="preserve"> </w:t>
            </w:r>
          </w:p>
        </w:tc>
      </w:tr>
      <w:tr w:rsidR="00B520BC" w:rsidTr="00EF4DE7" w14:paraId="43C2CC6B" w14:textId="77777777">
        <w:trPr>
          <w:trHeight w:val="20"/>
        </w:trPr>
        <w:tc>
          <w:tcPr>
            <w:cnfStyle w:val="001000000000" w:firstRow="0" w:lastRow="0" w:firstColumn="1" w:lastColumn="0" w:oddVBand="0" w:evenVBand="0" w:oddHBand="0" w:evenHBand="0" w:firstRowFirstColumn="0" w:firstRowLastColumn="0" w:lastRowFirstColumn="0" w:lastRowLastColumn="0"/>
            <w:tcW w:w="109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B520BC" w:rsidP="00DC5CCA" w:rsidRDefault="00B520BC" w14:paraId="236A5EDC" w14:textId="7B1EB742">
            <w:pPr>
              <w:pStyle w:val="TX-TableText"/>
              <w:spacing w:before="60" w:after="60" w:line="240" w:lineRule="auto"/>
              <w:ind w:firstLine="0"/>
              <w:rPr>
                <w:rFonts w:ascii="Times New Roman" w:hAnsi="Times New Roman"/>
              </w:rPr>
            </w:pPr>
            <w:r>
              <w:rPr>
                <w:rFonts w:ascii="Times New Roman" w:hAnsi="Times New Roman"/>
              </w:rPr>
              <w:t>Chris</w:t>
            </w:r>
            <w:r w:rsidR="00DC5CCA">
              <w:rPr>
                <w:rFonts w:ascii="Times New Roman" w:hAnsi="Times New Roman"/>
              </w:rPr>
              <w:t xml:space="preserve"> Facha</w:t>
            </w:r>
          </w:p>
        </w:tc>
        <w:tc>
          <w:tcPr>
            <w:tcW w:w="1504"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B520BC" w:rsidP="00BE4E3E" w:rsidRDefault="00DC5CCA" w14:paraId="42C5F297" w14:textId="69AD8160">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USDA Foods Program Administrator</w:t>
            </w:r>
            <w:r w:rsidR="00BE4E3E">
              <w:rPr>
                <w:rFonts w:ascii="Times New Roman" w:hAnsi="Times New Roman"/>
              </w:rPr>
              <w:t>, Oregon Department of Education</w:t>
            </w:r>
          </w:p>
        </w:tc>
        <w:tc>
          <w:tcPr>
            <w:tcW w:w="846"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B520BC" w:rsidRDefault="00DC5CCA" w14:paraId="3EF86E70" w14:textId="7E28A197">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503-947-5896</w:t>
            </w:r>
          </w:p>
        </w:tc>
        <w:tc>
          <w:tcPr>
            <w:tcW w:w="156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B520BC" w:rsidRDefault="0049569B" w14:paraId="5BB18186" w14:textId="3479B13A">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hyperlink w:history="1" r:id="rId18">
              <w:r w:rsidRPr="00047A29" w:rsidR="00E4145E">
                <w:rPr>
                  <w:rStyle w:val="Hyperlink"/>
                  <w:rFonts w:cstheme="minorBidi"/>
                </w:rPr>
                <w:t>Chris.Facha@state.or.us</w:t>
              </w:r>
            </w:hyperlink>
            <w:r w:rsidR="00E4145E">
              <w:rPr>
                <w:rFonts w:ascii="Times New Roman" w:hAnsi="Times New Roman"/>
              </w:rPr>
              <w:t xml:space="preserve"> </w:t>
            </w:r>
          </w:p>
        </w:tc>
      </w:tr>
      <w:tr w:rsidR="00B520BC" w:rsidTr="00EF4DE7" w14:paraId="0963E6E8" w14:textId="77777777">
        <w:trPr>
          <w:trHeight w:val="20"/>
        </w:trPr>
        <w:tc>
          <w:tcPr>
            <w:cnfStyle w:val="001000000000" w:firstRow="0" w:lastRow="0" w:firstColumn="1" w:lastColumn="0" w:oddVBand="0" w:evenVBand="0" w:oddHBand="0" w:evenHBand="0" w:firstRowFirstColumn="0" w:firstRowLastColumn="0" w:lastRowFirstColumn="0" w:lastRowLastColumn="0"/>
            <w:tcW w:w="109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B520BC" w:rsidP="00D17A8E" w:rsidRDefault="00B520BC" w14:paraId="0A954E8F" w14:textId="5E907AD3">
            <w:pPr>
              <w:pStyle w:val="TX-TableText"/>
              <w:spacing w:before="60" w:after="60" w:line="240" w:lineRule="auto"/>
              <w:ind w:firstLine="0"/>
              <w:rPr>
                <w:rFonts w:ascii="Times New Roman" w:hAnsi="Times New Roman"/>
              </w:rPr>
            </w:pPr>
            <w:r>
              <w:rPr>
                <w:rFonts w:ascii="Times New Roman" w:hAnsi="Times New Roman"/>
              </w:rPr>
              <w:t>Bertrand</w:t>
            </w:r>
            <w:r w:rsidR="00DC5CCA">
              <w:rPr>
                <w:rFonts w:ascii="Times New Roman" w:hAnsi="Times New Roman"/>
              </w:rPr>
              <w:t xml:space="preserve"> Weber</w:t>
            </w:r>
          </w:p>
        </w:tc>
        <w:tc>
          <w:tcPr>
            <w:tcW w:w="1504"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B520BC" w:rsidRDefault="00DC5CCA" w14:paraId="1CF376C1" w14:textId="4049233B">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Director of Culinary and Nutrition Services</w:t>
            </w:r>
            <w:r w:rsidR="00BE4E3E">
              <w:rPr>
                <w:rFonts w:ascii="Times New Roman" w:hAnsi="Times New Roman"/>
              </w:rPr>
              <w:t>, Minneapolis County Public Schools</w:t>
            </w:r>
            <w:r w:rsidR="002357EB">
              <w:rPr>
                <w:rFonts w:ascii="Times New Roman" w:hAnsi="Times New Roman"/>
              </w:rPr>
              <w:t>, MN</w:t>
            </w:r>
          </w:p>
        </w:tc>
        <w:tc>
          <w:tcPr>
            <w:tcW w:w="846"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B520BC" w:rsidRDefault="00DC5CCA" w14:paraId="431F836F" w14:textId="3D9F93D7">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612-668-2821</w:t>
            </w:r>
          </w:p>
        </w:tc>
        <w:tc>
          <w:tcPr>
            <w:tcW w:w="156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B520BC" w:rsidRDefault="0049569B" w14:paraId="2B021171" w14:textId="4103B731">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hyperlink w:history="1" r:id="rId19">
              <w:r w:rsidRPr="006270F1" w:rsidR="00BC33E4">
                <w:rPr>
                  <w:rStyle w:val="Hyperlink"/>
                  <w:rFonts w:cstheme="minorBidi"/>
                </w:rPr>
                <w:t>Bertrand.Weber@mpls.k12.mn.us</w:t>
              </w:r>
            </w:hyperlink>
            <w:r w:rsidR="00BC33E4">
              <w:rPr>
                <w:rFonts w:ascii="Times New Roman" w:hAnsi="Times New Roman"/>
              </w:rPr>
              <w:t xml:space="preserve"> </w:t>
            </w:r>
          </w:p>
        </w:tc>
      </w:tr>
      <w:tr w:rsidR="00DC5CCA" w:rsidTr="00EF4DE7" w14:paraId="07852FA4" w14:textId="77777777">
        <w:trPr>
          <w:trHeight w:val="20"/>
        </w:trPr>
        <w:tc>
          <w:tcPr>
            <w:cnfStyle w:val="001000000000" w:firstRow="0" w:lastRow="0" w:firstColumn="1" w:lastColumn="0" w:oddVBand="0" w:evenVBand="0" w:oddHBand="0" w:evenHBand="0" w:firstRowFirstColumn="0" w:firstRowLastColumn="0" w:lastRowFirstColumn="0" w:lastRowLastColumn="0"/>
            <w:tcW w:w="109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DC5CCA" w:rsidRDefault="00DC5CCA" w14:paraId="086DDE3C" w14:textId="2FB103BA">
            <w:pPr>
              <w:pStyle w:val="TX-TableText"/>
              <w:spacing w:before="60" w:after="60" w:line="240" w:lineRule="auto"/>
              <w:ind w:firstLine="0"/>
              <w:rPr>
                <w:rFonts w:ascii="Times New Roman" w:hAnsi="Times New Roman"/>
              </w:rPr>
            </w:pPr>
            <w:r>
              <w:rPr>
                <w:rFonts w:ascii="Times New Roman" w:hAnsi="Times New Roman"/>
              </w:rPr>
              <w:t>Stephanie Bruce</w:t>
            </w:r>
          </w:p>
        </w:tc>
        <w:tc>
          <w:tcPr>
            <w:tcW w:w="1504"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DC5CCA" w:rsidRDefault="00DC5CCA" w14:paraId="79F35732" w14:textId="6F47B2F9">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Nutrition Service Director</w:t>
            </w:r>
            <w:r w:rsidR="00BE4E3E">
              <w:rPr>
                <w:rFonts w:ascii="Times New Roman" w:hAnsi="Times New Roman"/>
              </w:rPr>
              <w:t xml:space="preserve">, </w:t>
            </w:r>
            <w:r w:rsidR="002357EB">
              <w:rPr>
                <w:rFonts w:ascii="Times New Roman" w:hAnsi="Times New Roman"/>
              </w:rPr>
              <w:t>Palm Springs Unified School District, CA</w:t>
            </w:r>
          </w:p>
        </w:tc>
        <w:tc>
          <w:tcPr>
            <w:tcW w:w="846"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DC5CCA" w:rsidRDefault="00BC33E4" w14:paraId="07650A3C" w14:textId="2A4BEF36">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760-322-4117</w:t>
            </w:r>
          </w:p>
        </w:tc>
        <w:tc>
          <w:tcPr>
            <w:tcW w:w="156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DC5CCA" w:rsidRDefault="0049569B" w14:paraId="4A465705" w14:textId="3615EA80">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hyperlink w:history="1" r:id="rId20">
              <w:r w:rsidRPr="006270F1" w:rsidR="00BC33E4">
                <w:rPr>
                  <w:rStyle w:val="Hyperlink"/>
                  <w:rFonts w:cstheme="minorBidi"/>
                </w:rPr>
                <w:t>SBruce@psusd.us</w:t>
              </w:r>
            </w:hyperlink>
            <w:r w:rsidR="00BC33E4">
              <w:rPr>
                <w:rFonts w:ascii="Times New Roman" w:hAnsi="Times New Roman"/>
              </w:rPr>
              <w:t xml:space="preserve"> </w:t>
            </w:r>
          </w:p>
        </w:tc>
      </w:tr>
      <w:tr w:rsidR="00DC5CCA" w:rsidTr="00EF4DE7" w14:paraId="6401DB37" w14:textId="77777777">
        <w:trPr>
          <w:trHeight w:val="20"/>
        </w:trPr>
        <w:tc>
          <w:tcPr>
            <w:cnfStyle w:val="001000000000" w:firstRow="0" w:lastRow="0" w:firstColumn="1" w:lastColumn="0" w:oddVBand="0" w:evenVBand="0" w:oddHBand="0" w:evenHBand="0" w:firstRowFirstColumn="0" w:firstRowLastColumn="0" w:lastRowFirstColumn="0" w:lastRowLastColumn="0"/>
            <w:tcW w:w="109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DC5CCA" w:rsidRDefault="00BC33E4" w14:paraId="4400CABE" w14:textId="1240DBA9">
            <w:pPr>
              <w:pStyle w:val="TX-TableText"/>
              <w:spacing w:before="60" w:after="60" w:line="240" w:lineRule="auto"/>
              <w:ind w:firstLine="0"/>
              <w:rPr>
                <w:rFonts w:ascii="Times New Roman" w:hAnsi="Times New Roman"/>
              </w:rPr>
            </w:pPr>
            <w:r>
              <w:rPr>
                <w:rFonts w:ascii="Times New Roman" w:hAnsi="Times New Roman"/>
              </w:rPr>
              <w:t>Lynn Petrowski</w:t>
            </w:r>
          </w:p>
        </w:tc>
        <w:tc>
          <w:tcPr>
            <w:tcW w:w="1504"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DC5CCA" w:rsidRDefault="00BC33E4" w14:paraId="6D6EC079" w14:textId="12A7A55D">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Director of Food Services</w:t>
            </w:r>
            <w:r w:rsidR="002357EB">
              <w:rPr>
                <w:rFonts w:ascii="Times New Roman" w:hAnsi="Times New Roman"/>
              </w:rPr>
              <w:t>, Hanover Schools, MA</w:t>
            </w:r>
          </w:p>
        </w:tc>
        <w:tc>
          <w:tcPr>
            <w:tcW w:w="846"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DC5CCA" w:rsidRDefault="00BC33E4" w14:paraId="4CDADFE9" w14:textId="22C45D71">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7810878-5450</w:t>
            </w:r>
          </w:p>
        </w:tc>
        <w:tc>
          <w:tcPr>
            <w:tcW w:w="156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DC5CCA" w:rsidRDefault="0049569B" w14:paraId="03CCD486" w14:textId="5D803F81">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hyperlink w:history="1" r:id="rId21">
              <w:r w:rsidRPr="006270F1" w:rsidR="00BC33E4">
                <w:rPr>
                  <w:rStyle w:val="Hyperlink"/>
                  <w:rFonts w:cstheme="minorBidi"/>
                </w:rPr>
                <w:t>lpetrowski@hanoverschools.org</w:t>
              </w:r>
            </w:hyperlink>
            <w:r w:rsidR="00BC33E4">
              <w:rPr>
                <w:rFonts w:ascii="Times New Roman" w:hAnsi="Times New Roman"/>
              </w:rPr>
              <w:t xml:space="preserve"> </w:t>
            </w:r>
          </w:p>
        </w:tc>
      </w:tr>
      <w:tr w:rsidR="00E76828" w:rsidTr="00EF4DE7" w14:paraId="235CD688" w14:textId="77777777">
        <w:trPr>
          <w:trHeight w:val="20"/>
        </w:trPr>
        <w:tc>
          <w:tcPr>
            <w:cnfStyle w:val="001000000000" w:firstRow="0" w:lastRow="0" w:firstColumn="1" w:lastColumn="0" w:oddVBand="0" w:evenVBand="0" w:oddHBand="0" w:evenHBand="0" w:firstRowFirstColumn="0" w:firstRowLastColumn="0" w:lastRowFirstColumn="0" w:lastRowLastColumn="0"/>
            <w:tcW w:w="109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E76828" w:rsidRDefault="00E76828" w14:paraId="6ECD6558" w14:textId="3899514D">
            <w:pPr>
              <w:pStyle w:val="TX-TableText"/>
              <w:spacing w:before="60" w:after="60" w:line="240" w:lineRule="auto"/>
              <w:ind w:firstLine="0"/>
              <w:rPr>
                <w:rFonts w:ascii="Times New Roman" w:hAnsi="Times New Roman"/>
              </w:rPr>
            </w:pPr>
            <w:r>
              <w:rPr>
                <w:rFonts w:ascii="Times New Roman" w:hAnsi="Times New Roman"/>
              </w:rPr>
              <w:t>Jinee Burdg</w:t>
            </w:r>
          </w:p>
        </w:tc>
        <w:tc>
          <w:tcPr>
            <w:tcW w:w="1504"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Pr="005A1843" w:rsidR="00E76828" w:rsidP="00D2742D" w:rsidRDefault="005A1843" w14:paraId="58B5E30B" w14:textId="4A132701">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5A1843">
              <w:rPr>
                <w:rFonts w:ascii="Times New Roman" w:hAnsi="Times New Roman"/>
                <w:color w:val="000000" w:themeColor="text1"/>
              </w:rPr>
              <w:t>P</w:t>
            </w:r>
            <w:r w:rsidR="00D2742D">
              <w:rPr>
                <w:rFonts w:ascii="Times New Roman" w:hAnsi="Times New Roman"/>
                <w:color w:val="000000" w:themeColor="text1"/>
              </w:rPr>
              <w:t>olicy</w:t>
            </w:r>
            <w:r w:rsidRPr="005A1843">
              <w:rPr>
                <w:rFonts w:ascii="Times New Roman" w:hAnsi="Times New Roman"/>
                <w:color w:val="000000" w:themeColor="text1"/>
              </w:rPr>
              <w:t xml:space="preserve"> Analyst, FNS USDA</w:t>
            </w:r>
          </w:p>
        </w:tc>
        <w:tc>
          <w:tcPr>
            <w:tcW w:w="846"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E76828" w:rsidRDefault="00BC33E4" w14:paraId="54D4036C" w14:textId="1F2ED071">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703-305-2744</w:t>
            </w:r>
          </w:p>
        </w:tc>
        <w:tc>
          <w:tcPr>
            <w:tcW w:w="156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E76828" w:rsidRDefault="0049569B" w14:paraId="64942BAF" w14:textId="3529C3EC">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hyperlink w:history="1" r:id="rId22">
              <w:r w:rsidRPr="006270F1" w:rsidR="00BC33E4">
                <w:rPr>
                  <w:rStyle w:val="Hyperlink"/>
                  <w:rFonts w:cstheme="minorBidi"/>
                </w:rPr>
                <w:t>Jinee.Burdg@usda.gov</w:t>
              </w:r>
            </w:hyperlink>
            <w:r w:rsidR="00BC33E4">
              <w:rPr>
                <w:rFonts w:ascii="Times New Roman" w:hAnsi="Times New Roman"/>
              </w:rPr>
              <w:t xml:space="preserve"> </w:t>
            </w:r>
          </w:p>
        </w:tc>
      </w:tr>
      <w:tr w:rsidR="00E76828" w:rsidTr="00EF4DE7" w14:paraId="07DF5759" w14:textId="77777777">
        <w:trPr>
          <w:trHeight w:val="20"/>
        </w:trPr>
        <w:tc>
          <w:tcPr>
            <w:cnfStyle w:val="001000000000" w:firstRow="0" w:lastRow="0" w:firstColumn="1" w:lastColumn="0" w:oddVBand="0" w:evenVBand="0" w:oddHBand="0" w:evenHBand="0" w:firstRowFirstColumn="0" w:firstRowLastColumn="0" w:lastRowFirstColumn="0" w:lastRowLastColumn="0"/>
            <w:tcW w:w="109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E76828" w:rsidRDefault="00B520BC" w14:paraId="33F71A73" w14:textId="4CA2A11E">
            <w:pPr>
              <w:pStyle w:val="TX-TableText"/>
              <w:spacing w:before="60" w:after="60" w:line="240" w:lineRule="auto"/>
              <w:ind w:firstLine="0"/>
              <w:rPr>
                <w:rFonts w:ascii="Times New Roman" w:hAnsi="Times New Roman"/>
              </w:rPr>
            </w:pPr>
            <w:r>
              <w:rPr>
                <w:rFonts w:ascii="Times New Roman" w:hAnsi="Times New Roman"/>
              </w:rPr>
              <w:t>NASS</w:t>
            </w:r>
          </w:p>
        </w:tc>
        <w:tc>
          <w:tcPr>
            <w:tcW w:w="1504"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00E76828" w:rsidRDefault="00B520BC" w14:paraId="29BE83CC" w14:textId="54870172">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Mathematical Statistician</w:t>
            </w:r>
          </w:p>
        </w:tc>
        <w:tc>
          <w:tcPr>
            <w:tcW w:w="846"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Pr="00420E0D" w:rsidR="00E76828" w:rsidRDefault="00837A41" w14:paraId="0CD2F0AB" w14:textId="07D01125">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highlight w:val="lightGray"/>
              </w:rPr>
            </w:pPr>
            <w:r w:rsidRPr="00837A41">
              <w:rPr>
                <w:rFonts w:ascii="Times New Roman" w:hAnsi="Times New Roman" w:cs="Times New Roman"/>
                <w:noProof/>
              </w:rPr>
              <w:t>202-690-8627</w:t>
            </w:r>
          </w:p>
        </w:tc>
        <w:tc>
          <w:tcPr>
            <w:tcW w:w="1560" w:type="pct"/>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vAlign w:val="center"/>
          </w:tcPr>
          <w:p w:rsidRPr="00420E0D" w:rsidR="00E76828" w:rsidRDefault="0049569B" w14:paraId="13679582" w14:textId="5089FFD8">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highlight w:val="lightGray"/>
              </w:rPr>
            </w:pPr>
            <w:hyperlink w:history="1" r:id="rId23">
              <w:r w:rsidRPr="00DA52FF" w:rsidR="00837A41">
                <w:rPr>
                  <w:rStyle w:val="Hyperlink"/>
                  <w:rFonts w:cstheme="minorBidi"/>
                  <w:highlight w:val="lightGray"/>
                </w:rPr>
                <w:t>Dana.Butler@usda.gov</w:t>
              </w:r>
            </w:hyperlink>
            <w:r w:rsidR="00837A41">
              <w:rPr>
                <w:rFonts w:ascii="Times New Roman" w:hAnsi="Times New Roman"/>
                <w:highlight w:val="lightGray"/>
              </w:rPr>
              <w:t xml:space="preserve"> </w:t>
            </w:r>
          </w:p>
        </w:tc>
      </w:tr>
    </w:tbl>
    <w:p w:rsidR="0053146B" w:rsidP="00C84AD3" w:rsidRDefault="0053146B" w14:paraId="09E746A3" w14:textId="77777777">
      <w:pPr>
        <w:spacing w:after="200" w:line="276" w:lineRule="auto"/>
        <w:ind w:firstLine="0"/>
      </w:pPr>
    </w:p>
    <w:sectPr w:rsidR="0053146B" w:rsidSect="00E07BC8">
      <w:footerReference w:type="defaul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79A27" w14:textId="77777777" w:rsidR="0049569B" w:rsidRDefault="0049569B" w:rsidP="007A38BD">
      <w:pPr>
        <w:spacing w:after="0" w:line="240" w:lineRule="auto"/>
      </w:pPr>
      <w:r>
        <w:separator/>
      </w:r>
    </w:p>
  </w:endnote>
  <w:endnote w:type="continuationSeparator" w:id="0">
    <w:p w14:paraId="2FBE6AD8" w14:textId="77777777" w:rsidR="0049569B" w:rsidRDefault="0049569B" w:rsidP="007A3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025715"/>
      <w:docPartObj>
        <w:docPartGallery w:val="Page Numbers (Bottom of Page)"/>
        <w:docPartUnique/>
      </w:docPartObj>
    </w:sdtPr>
    <w:sdtEndPr>
      <w:rPr>
        <w:noProof/>
      </w:rPr>
    </w:sdtEndPr>
    <w:sdtContent>
      <w:p w14:paraId="0294E9FF" w14:textId="1AE8D0D4" w:rsidR="00E07BC8" w:rsidRDefault="00E07BC8">
        <w:pPr>
          <w:pStyle w:val="Footer"/>
          <w:jc w:val="center"/>
        </w:pPr>
        <w:r>
          <w:fldChar w:fldCharType="begin"/>
        </w:r>
        <w:r>
          <w:instrText xml:space="preserve"> PAGE   \* MERGEFORMAT </w:instrText>
        </w:r>
        <w:r>
          <w:fldChar w:fldCharType="separate"/>
        </w:r>
        <w:r w:rsidR="00A37FA2">
          <w:rPr>
            <w:noProof/>
          </w:rPr>
          <w:t>16</w:t>
        </w:r>
        <w:r>
          <w:rPr>
            <w:noProof/>
          </w:rPr>
          <w:fldChar w:fldCharType="end"/>
        </w:r>
      </w:p>
    </w:sdtContent>
  </w:sdt>
  <w:p w14:paraId="66C7304D" w14:textId="77777777" w:rsidR="00E07BC8" w:rsidRDefault="00E07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B1E92" w14:textId="77777777" w:rsidR="0049569B" w:rsidRDefault="0049569B" w:rsidP="007A38BD">
      <w:pPr>
        <w:spacing w:after="0" w:line="240" w:lineRule="auto"/>
      </w:pPr>
      <w:r>
        <w:separator/>
      </w:r>
    </w:p>
  </w:footnote>
  <w:footnote w:type="continuationSeparator" w:id="0">
    <w:p w14:paraId="0E4BF0DC" w14:textId="77777777" w:rsidR="0049569B" w:rsidRDefault="0049569B" w:rsidP="007A38BD">
      <w:pPr>
        <w:spacing w:after="0" w:line="240" w:lineRule="auto"/>
      </w:pPr>
      <w:r>
        <w:continuationSeparator/>
      </w:r>
    </w:p>
  </w:footnote>
  <w:footnote w:id="1">
    <w:p w14:paraId="00958717" w14:textId="4F6A7FAF" w:rsidR="009A29DF" w:rsidRDefault="009A29DF">
      <w:pPr>
        <w:pStyle w:val="FootnoteText"/>
      </w:pPr>
      <w:r>
        <w:rPr>
          <w:rStyle w:val="FootnoteReference"/>
        </w:rPr>
        <w:footnoteRef/>
      </w:r>
      <w:r>
        <w:t xml:space="preserve"> </w:t>
      </w:r>
      <w:r w:rsidRPr="00511C34">
        <w:t xml:space="preserve">The </w:t>
      </w:r>
      <w:r w:rsidR="00CE17C2">
        <w:t>School Nutrition Program Operations Study (</w:t>
      </w:r>
      <w:r w:rsidRPr="00511C34">
        <w:t>SNOPS</w:t>
      </w:r>
      <w:r w:rsidR="00CE17C2">
        <w:t>)</w:t>
      </w:r>
      <w:r w:rsidRPr="00511C34">
        <w:t xml:space="preserve"> study found that in SY 2012-13, 22 percent of SFAs used FSMCs. The School Nutrition and Meal Cost Study found that in SY 2014-15</w:t>
      </w:r>
      <w:r w:rsidR="00CE17C2">
        <w:t>,</w:t>
      </w:r>
      <w:r w:rsidRPr="00511C34">
        <w:t xml:space="preserve"> 20 percent of SFAs used FSMCs.</w:t>
      </w:r>
    </w:p>
  </w:footnote>
  <w:footnote w:id="2">
    <w:p w14:paraId="01E4A5C5" w14:textId="008A7908" w:rsidR="00ED3833" w:rsidRDefault="00ED3833">
      <w:pPr>
        <w:pStyle w:val="FootnoteText"/>
      </w:pPr>
      <w:r>
        <w:rPr>
          <w:rStyle w:val="FootnoteReference"/>
        </w:rPr>
        <w:footnoteRef/>
      </w:r>
      <w:r>
        <w:t xml:space="preserve"> The sample sizes </w:t>
      </w:r>
      <w:r w:rsidR="00A6704E">
        <w:t xml:space="preserve">are </w:t>
      </w:r>
      <w:r>
        <w:t>stated in terms of</w:t>
      </w:r>
      <w:r w:rsidR="00073FAA">
        <w:t xml:space="preserve"> numbers of participating SFAs</w:t>
      </w:r>
      <w:r w:rsidR="009763EB">
        <w:t xml:space="preserve"> </w:t>
      </w:r>
      <w:r>
        <w:t>(that is, the target completed sample sizes). The sizes</w:t>
      </w:r>
      <w:r w:rsidR="00073FAA">
        <w:t xml:space="preserve"> of the sample</w:t>
      </w:r>
      <w:r>
        <w:t xml:space="preserve"> selected will be expanded to allow for nonparticipation due to ineligibility or noncooperation.</w:t>
      </w:r>
    </w:p>
  </w:footnote>
  <w:footnote w:id="3">
    <w:p w14:paraId="670FD935" w14:textId="2A1A032B" w:rsidR="006052E1" w:rsidRPr="006018A2" w:rsidRDefault="006052E1" w:rsidP="006052E1">
      <w:pPr>
        <w:pStyle w:val="FootnoteText"/>
      </w:pPr>
      <w:r w:rsidRPr="00A06DA2">
        <w:rPr>
          <w:rStyle w:val="FootnoteReference"/>
          <w:szCs w:val="16"/>
        </w:rPr>
        <w:footnoteRef/>
      </w:r>
      <w:r w:rsidRPr="006018A2">
        <w:t xml:space="preserve">See for example Valliant, R., Dever, J. A., Kreuter, F. (2014), </w:t>
      </w:r>
      <w:r w:rsidRPr="006018A2">
        <w:rPr>
          <w:i/>
        </w:rPr>
        <w:t xml:space="preserve">Practical </w:t>
      </w:r>
      <w:r>
        <w:rPr>
          <w:i/>
        </w:rPr>
        <w:t>t</w:t>
      </w:r>
      <w:r w:rsidRPr="006018A2">
        <w:rPr>
          <w:i/>
        </w:rPr>
        <w:t xml:space="preserve">ools for </w:t>
      </w:r>
      <w:r>
        <w:rPr>
          <w:i/>
        </w:rPr>
        <w:t>d</w:t>
      </w:r>
      <w:r w:rsidRPr="006018A2">
        <w:rPr>
          <w:i/>
        </w:rPr>
        <w:t xml:space="preserve">esigning and </w:t>
      </w:r>
      <w:r>
        <w:rPr>
          <w:i/>
        </w:rPr>
        <w:t>w</w:t>
      </w:r>
      <w:r w:rsidRPr="006018A2">
        <w:rPr>
          <w:i/>
        </w:rPr>
        <w:t xml:space="preserve">eighting </w:t>
      </w:r>
      <w:r>
        <w:rPr>
          <w:i/>
        </w:rPr>
        <w:t>s</w:t>
      </w:r>
      <w:r w:rsidRPr="006018A2">
        <w:rPr>
          <w:i/>
        </w:rPr>
        <w:t xml:space="preserve">urvey </w:t>
      </w:r>
      <w:r>
        <w:rPr>
          <w:i/>
        </w:rPr>
        <w:t>s</w:t>
      </w:r>
      <w:r w:rsidRPr="006018A2">
        <w:rPr>
          <w:i/>
        </w:rPr>
        <w:t>amples</w:t>
      </w:r>
      <w:r>
        <w:rPr>
          <w:i/>
        </w:rPr>
        <w:t>.</w:t>
      </w:r>
      <w:r w:rsidRPr="006018A2">
        <w:t xml:space="preserve"> Springer </w:t>
      </w:r>
      <w:r w:rsidRPr="00A06DA2">
        <w:t>(</w:t>
      </w:r>
      <w:hyperlink r:id="rId1" w:history="1">
        <w:r w:rsidRPr="00A06DA2">
          <w:rPr>
            <w:rStyle w:val="Hyperlink"/>
          </w:rPr>
          <w:t>www.springer.com</w:t>
        </w:r>
      </w:hyperlink>
      <w:r w:rsidRPr="00A06DA2">
        <w:t>), Se</w:t>
      </w:r>
      <w:r w:rsidRPr="006018A2">
        <w:t xml:space="preserve">ction 13.4. </w:t>
      </w:r>
    </w:p>
  </w:footnote>
  <w:footnote w:id="4">
    <w:p w14:paraId="5273EA09" w14:textId="77777777" w:rsidR="00F30DB2" w:rsidRPr="00511C34" w:rsidRDefault="00F30DB2" w:rsidP="00F30DB2">
      <w:pPr>
        <w:pStyle w:val="FootnoteText"/>
      </w:pPr>
      <w:r w:rsidRPr="00511C34">
        <w:rPr>
          <w:rStyle w:val="FootnoteReference"/>
        </w:rPr>
        <w:footnoteRef/>
      </w:r>
      <w:r w:rsidRPr="00511C34">
        <w:t>If the response rate is 67</w:t>
      </w:r>
      <w:r>
        <w:t xml:space="preserve"> percent</w:t>
      </w:r>
      <w:r w:rsidRPr="00511C34">
        <w:t>, the mean nonresponse weighting adjustment will be 1.5. One formula for the increase in variance from weighting adjustments is the Kish 1+CV</w:t>
      </w:r>
      <w:r w:rsidRPr="00511C34">
        <w:rPr>
          <w:vertAlign w:val="superscript"/>
        </w:rPr>
        <w:t>2</w:t>
      </w:r>
      <w:r w:rsidRPr="00511C34">
        <w:t xml:space="preserve"> formula, where CV is the coefficient of variation in the weights. If we assume a CV in the weighting adjustments of 0.2 (or a standard deviation of 0.3, if the mean is 1.5), then 1+ CV</w:t>
      </w:r>
      <w:r w:rsidRPr="00511C34">
        <w:rPr>
          <w:vertAlign w:val="superscript"/>
        </w:rPr>
        <w:t>2</w:t>
      </w:r>
      <w:r w:rsidRPr="00511C34">
        <w:t xml:space="preserve"> will be 1.04. This is fairly small, but the previous cycle report indicated very limited differences in response propensity across subgroups, so we believe it will be accurate. </w:t>
      </w:r>
    </w:p>
  </w:footnote>
  <w:footnote w:id="5">
    <w:p w14:paraId="73D7CA96" w14:textId="77777777" w:rsidR="00F30DB2" w:rsidRDefault="00F30DB2" w:rsidP="00F30DB2">
      <w:pPr>
        <w:pStyle w:val="FootnoteText"/>
      </w:pPr>
      <w:r w:rsidRPr="00511C34">
        <w:rPr>
          <w:rStyle w:val="FootnoteReference"/>
        </w:rPr>
        <w:footnoteRef/>
      </w:r>
      <w:r w:rsidRPr="00511C34">
        <w:t>For some subgroups that are less than 25 percent of the population, strata can be defined to meet the precision requirement. For example, enrollment size strata can by defined based on quartiles, such that each stratum has 25 percent enrollment. Poverty status can also be handled in this way (e.g., terciles of percent of students approved for free and reduced price meals).</w:t>
      </w:r>
    </w:p>
  </w:footnote>
  <w:footnote w:id="6">
    <w:p w14:paraId="3883E3AA" w14:textId="77777777" w:rsidR="00F30DB2" w:rsidRDefault="00F30DB2" w:rsidP="00F30DB2">
      <w:pPr>
        <w:pStyle w:val="FootnoteText"/>
      </w:pPr>
      <w:r w:rsidRPr="00511C34">
        <w:rPr>
          <w:rStyle w:val="FootnoteReference"/>
          <w:sz w:val="22"/>
        </w:rPr>
        <w:footnoteRef/>
      </w:r>
      <w:r w:rsidRPr="000E7472">
        <w:t>For simple random samples, the standard error is p*(1-p)/n, where p is the binary percentage and n is the sample size, and this is maximized when p equals 50</w:t>
      </w:r>
      <w:r>
        <w:t xml:space="preserve"> percent</w:t>
      </w:r>
      <w:r w:rsidRPr="000E7472">
        <w:t>.</w:t>
      </w:r>
    </w:p>
  </w:footnote>
  <w:footnote w:id="7">
    <w:p w14:paraId="36C1BE4F" w14:textId="77777777" w:rsidR="00F30DB2" w:rsidRPr="006018A2" w:rsidRDefault="00F30DB2" w:rsidP="00F30DB2">
      <w:pPr>
        <w:pStyle w:val="FootnoteText"/>
      </w:pPr>
      <w:r w:rsidRPr="00A06DA2">
        <w:rPr>
          <w:rStyle w:val="FootnoteReference"/>
          <w:szCs w:val="16"/>
        </w:rPr>
        <w:footnoteRef/>
      </w:r>
      <w:r w:rsidRPr="006018A2">
        <w:t>The Bernoulli variance is p*(1-p), reflecting all of the probability distribution at 0 and 1. Each SFA is either 0 or 1.</w:t>
      </w:r>
      <w:r>
        <w:t xml:space="preserve"> </w:t>
      </w:r>
      <w:r w:rsidRPr="006018A2">
        <w:t xml:space="preserve">For percentages at the SFA level (e.g., 10%, 15%, 20% over different SFAs), the probability distribution falls on percentages rather than the two endpoints 0 and 1, and the resultant standard deviation will be smaller. </w:t>
      </w:r>
    </w:p>
  </w:footnote>
  <w:footnote w:id="8">
    <w:p w14:paraId="47173EE1" w14:textId="77777777" w:rsidR="00F30DB2" w:rsidRDefault="00F30DB2" w:rsidP="00F30DB2">
      <w:pPr>
        <w:pStyle w:val="FootnoteText"/>
      </w:pPr>
      <w:r>
        <w:rPr>
          <w:rStyle w:val="FootnoteReference"/>
        </w:rPr>
        <w:footnoteRef/>
      </w:r>
      <w:r>
        <w:t>MDES and MDD calculations are based on an effective sample size of 400 after design effects are taken into account.</w:t>
      </w:r>
    </w:p>
  </w:footnote>
  <w:footnote w:id="9">
    <w:p w14:paraId="61D41C5F" w14:textId="77777777" w:rsidR="00F30DB2" w:rsidRDefault="00F30DB2" w:rsidP="00F30DB2">
      <w:pPr>
        <w:pStyle w:val="FootnoteText"/>
      </w:pPr>
      <w:r>
        <w:rPr>
          <w:rStyle w:val="FootnoteReference"/>
        </w:rPr>
        <w:footnoteRef/>
      </w:r>
      <w:r>
        <w:t>MDES calculations assume a two-sided test with significance level 95 percent, with 80 percent power.</w:t>
      </w:r>
    </w:p>
  </w:footnote>
  <w:footnote w:id="10">
    <w:p w14:paraId="2151522A" w14:textId="77777777" w:rsidR="00F30DB2" w:rsidRDefault="00F30DB2" w:rsidP="00F30DB2">
      <w:pPr>
        <w:pStyle w:val="FootnoteText"/>
      </w:pPr>
      <w:r w:rsidRPr="004774D7">
        <w:rPr>
          <w:rStyle w:val="FootnoteReference"/>
        </w:rPr>
        <w:footnoteRef/>
      </w:r>
      <w:r w:rsidRPr="004774D7">
        <w:t xml:space="preserve"> In a normal distribution, 68 percent of the sample falls within one standard deviation and 95 percent within two standard deviations. For a mean percentage of 10 percent, a standard deviation that was 50 percent of the mean would indicate that 68 percent of the sample would fall between 5 percent and 15 percent.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2B201F"/>
    <w:multiLevelType w:val="hybridMultilevel"/>
    <w:tmpl w:val="130AE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630B3C"/>
    <w:multiLevelType w:val="hybridMultilevel"/>
    <w:tmpl w:val="EDDA8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42E77"/>
    <w:multiLevelType w:val="hybridMultilevel"/>
    <w:tmpl w:val="45BEF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353236"/>
    <w:multiLevelType w:val="hybridMultilevel"/>
    <w:tmpl w:val="EF1471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55100DC5"/>
    <w:multiLevelType w:val="hybridMultilevel"/>
    <w:tmpl w:val="DC509BEE"/>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7BE6E45"/>
    <w:multiLevelType w:val="hybridMultilevel"/>
    <w:tmpl w:val="52D89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CA42C0"/>
    <w:multiLevelType w:val="hybridMultilevel"/>
    <w:tmpl w:val="EFC0222C"/>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7A6D6A36"/>
    <w:multiLevelType w:val="singleLevel"/>
    <w:tmpl w:val="C192771C"/>
    <w:lvl w:ilvl="0">
      <w:start w:val="2"/>
      <w:numFmt w:val="decimal"/>
      <w:pStyle w:val="N1-1stBullet"/>
      <w:lvlText w:val="(%1) "/>
      <w:legacy w:legacy="1" w:legacySpace="0" w:legacyIndent="360"/>
      <w:lvlJc w:val="left"/>
      <w:pPr>
        <w:ind w:left="360" w:hanging="360"/>
      </w:pPr>
      <w:rPr>
        <w:b w:val="0"/>
        <w:i w:val="0"/>
        <w:sz w:val="24"/>
      </w:rPr>
    </w:lvl>
  </w:abstractNum>
  <w:num w:numId="1">
    <w:abstractNumId w:val="2"/>
  </w:num>
  <w:num w:numId="2">
    <w:abstractNumId w:val="8"/>
  </w:num>
  <w:num w:numId="3">
    <w:abstractNumId w:val="7"/>
  </w:num>
  <w:num w:numId="4">
    <w:abstractNumId w:val="5"/>
  </w:num>
  <w:num w:numId="5">
    <w:abstractNumId w:val="0"/>
  </w:num>
  <w:num w:numId="6">
    <w:abstractNumId w:val="4"/>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DD2"/>
    <w:rsid w:val="00003518"/>
    <w:rsid w:val="0003181E"/>
    <w:rsid w:val="00035FF0"/>
    <w:rsid w:val="00036085"/>
    <w:rsid w:val="00056845"/>
    <w:rsid w:val="00060C7F"/>
    <w:rsid w:val="00066BE7"/>
    <w:rsid w:val="0006759E"/>
    <w:rsid w:val="00071CE5"/>
    <w:rsid w:val="00073FAA"/>
    <w:rsid w:val="00077A29"/>
    <w:rsid w:val="00077E64"/>
    <w:rsid w:val="000804D5"/>
    <w:rsid w:val="000842A3"/>
    <w:rsid w:val="00086AF0"/>
    <w:rsid w:val="00094629"/>
    <w:rsid w:val="000A010A"/>
    <w:rsid w:val="000A3ED0"/>
    <w:rsid w:val="000A6045"/>
    <w:rsid w:val="000B09CC"/>
    <w:rsid w:val="000B3C38"/>
    <w:rsid w:val="000C7888"/>
    <w:rsid w:val="000D293A"/>
    <w:rsid w:val="000D3E6A"/>
    <w:rsid w:val="000E0C26"/>
    <w:rsid w:val="000E4011"/>
    <w:rsid w:val="001109CD"/>
    <w:rsid w:val="0013772E"/>
    <w:rsid w:val="001556C8"/>
    <w:rsid w:val="00157175"/>
    <w:rsid w:val="00173858"/>
    <w:rsid w:val="001A613D"/>
    <w:rsid w:val="001B2E07"/>
    <w:rsid w:val="001F0BDB"/>
    <w:rsid w:val="001F37EB"/>
    <w:rsid w:val="00201B00"/>
    <w:rsid w:val="0020546E"/>
    <w:rsid w:val="00207C58"/>
    <w:rsid w:val="00214C49"/>
    <w:rsid w:val="00225C17"/>
    <w:rsid w:val="002357EB"/>
    <w:rsid w:val="002520A2"/>
    <w:rsid w:val="002C4E61"/>
    <w:rsid w:val="002C66A7"/>
    <w:rsid w:val="002E4111"/>
    <w:rsid w:val="002F7DD8"/>
    <w:rsid w:val="00316509"/>
    <w:rsid w:val="00357B02"/>
    <w:rsid w:val="00363155"/>
    <w:rsid w:val="003A09A9"/>
    <w:rsid w:val="003A79C1"/>
    <w:rsid w:val="003D02BD"/>
    <w:rsid w:val="003F3463"/>
    <w:rsid w:val="00415D11"/>
    <w:rsid w:val="00415E06"/>
    <w:rsid w:val="00420E0D"/>
    <w:rsid w:val="00424C41"/>
    <w:rsid w:val="0043457C"/>
    <w:rsid w:val="00437FCF"/>
    <w:rsid w:val="00457622"/>
    <w:rsid w:val="00481747"/>
    <w:rsid w:val="0049569B"/>
    <w:rsid w:val="004D10F6"/>
    <w:rsid w:val="004D4ACC"/>
    <w:rsid w:val="004D718C"/>
    <w:rsid w:val="005103A4"/>
    <w:rsid w:val="0053146B"/>
    <w:rsid w:val="0054003F"/>
    <w:rsid w:val="005420F6"/>
    <w:rsid w:val="005707E3"/>
    <w:rsid w:val="005A1843"/>
    <w:rsid w:val="005D67EA"/>
    <w:rsid w:val="005E14F0"/>
    <w:rsid w:val="005F3147"/>
    <w:rsid w:val="005F7829"/>
    <w:rsid w:val="00603369"/>
    <w:rsid w:val="006052E1"/>
    <w:rsid w:val="006054F2"/>
    <w:rsid w:val="00642B54"/>
    <w:rsid w:val="00653E0F"/>
    <w:rsid w:val="00656C37"/>
    <w:rsid w:val="00662EBE"/>
    <w:rsid w:val="00665DF5"/>
    <w:rsid w:val="00671496"/>
    <w:rsid w:val="006804FF"/>
    <w:rsid w:val="0068417B"/>
    <w:rsid w:val="006878BA"/>
    <w:rsid w:val="006A5FA1"/>
    <w:rsid w:val="006C7AED"/>
    <w:rsid w:val="006D279F"/>
    <w:rsid w:val="006E3E6C"/>
    <w:rsid w:val="007013E5"/>
    <w:rsid w:val="0075798F"/>
    <w:rsid w:val="0077166E"/>
    <w:rsid w:val="00773DEE"/>
    <w:rsid w:val="00786F7C"/>
    <w:rsid w:val="007911BB"/>
    <w:rsid w:val="007960FE"/>
    <w:rsid w:val="007A38BD"/>
    <w:rsid w:val="007B010A"/>
    <w:rsid w:val="007B6A71"/>
    <w:rsid w:val="007C073C"/>
    <w:rsid w:val="007C7224"/>
    <w:rsid w:val="007D3855"/>
    <w:rsid w:val="008164DF"/>
    <w:rsid w:val="00837A41"/>
    <w:rsid w:val="00837E2D"/>
    <w:rsid w:val="00842D7B"/>
    <w:rsid w:val="00852652"/>
    <w:rsid w:val="00882219"/>
    <w:rsid w:val="008A029D"/>
    <w:rsid w:val="008C41A2"/>
    <w:rsid w:val="008E26B6"/>
    <w:rsid w:val="008E7158"/>
    <w:rsid w:val="00905D72"/>
    <w:rsid w:val="00927040"/>
    <w:rsid w:val="009410F9"/>
    <w:rsid w:val="0094492E"/>
    <w:rsid w:val="009552E1"/>
    <w:rsid w:val="00960C82"/>
    <w:rsid w:val="00970115"/>
    <w:rsid w:val="0097174B"/>
    <w:rsid w:val="009763EB"/>
    <w:rsid w:val="00984470"/>
    <w:rsid w:val="0099332D"/>
    <w:rsid w:val="00993F00"/>
    <w:rsid w:val="009A29DF"/>
    <w:rsid w:val="009C50FE"/>
    <w:rsid w:val="009D6122"/>
    <w:rsid w:val="009E12FE"/>
    <w:rsid w:val="009E7617"/>
    <w:rsid w:val="00A151A0"/>
    <w:rsid w:val="00A1739B"/>
    <w:rsid w:val="00A37FA2"/>
    <w:rsid w:val="00A6704E"/>
    <w:rsid w:val="00A77BCD"/>
    <w:rsid w:val="00A83391"/>
    <w:rsid w:val="00AA1B4E"/>
    <w:rsid w:val="00AD70A1"/>
    <w:rsid w:val="00AE0919"/>
    <w:rsid w:val="00B11089"/>
    <w:rsid w:val="00B3265B"/>
    <w:rsid w:val="00B36E8F"/>
    <w:rsid w:val="00B520BC"/>
    <w:rsid w:val="00B81972"/>
    <w:rsid w:val="00BA1B05"/>
    <w:rsid w:val="00BA7ECE"/>
    <w:rsid w:val="00BB663B"/>
    <w:rsid w:val="00BC33E4"/>
    <w:rsid w:val="00BC5122"/>
    <w:rsid w:val="00BD3A50"/>
    <w:rsid w:val="00BE396F"/>
    <w:rsid w:val="00BE4E3E"/>
    <w:rsid w:val="00C1473F"/>
    <w:rsid w:val="00C3368C"/>
    <w:rsid w:val="00C6537D"/>
    <w:rsid w:val="00C67956"/>
    <w:rsid w:val="00C73F2B"/>
    <w:rsid w:val="00C84AD3"/>
    <w:rsid w:val="00CA4368"/>
    <w:rsid w:val="00CB3DC1"/>
    <w:rsid w:val="00CB72B5"/>
    <w:rsid w:val="00CD5882"/>
    <w:rsid w:val="00CE17C2"/>
    <w:rsid w:val="00D043A5"/>
    <w:rsid w:val="00D17A8E"/>
    <w:rsid w:val="00D2742D"/>
    <w:rsid w:val="00D4593B"/>
    <w:rsid w:val="00D66458"/>
    <w:rsid w:val="00D670E7"/>
    <w:rsid w:val="00D709EE"/>
    <w:rsid w:val="00D97115"/>
    <w:rsid w:val="00DA6E82"/>
    <w:rsid w:val="00DC1D1D"/>
    <w:rsid w:val="00DC5307"/>
    <w:rsid w:val="00DC5CCA"/>
    <w:rsid w:val="00DC667B"/>
    <w:rsid w:val="00DE76E0"/>
    <w:rsid w:val="00DF03E0"/>
    <w:rsid w:val="00DF0DD2"/>
    <w:rsid w:val="00DF54E2"/>
    <w:rsid w:val="00E07BC8"/>
    <w:rsid w:val="00E21357"/>
    <w:rsid w:val="00E3036F"/>
    <w:rsid w:val="00E31780"/>
    <w:rsid w:val="00E4145E"/>
    <w:rsid w:val="00E73F47"/>
    <w:rsid w:val="00E7560B"/>
    <w:rsid w:val="00E76828"/>
    <w:rsid w:val="00EC5649"/>
    <w:rsid w:val="00EC642D"/>
    <w:rsid w:val="00ED3003"/>
    <w:rsid w:val="00ED3833"/>
    <w:rsid w:val="00EE474B"/>
    <w:rsid w:val="00EE6382"/>
    <w:rsid w:val="00EE79F8"/>
    <w:rsid w:val="00EF4DE7"/>
    <w:rsid w:val="00F007BA"/>
    <w:rsid w:val="00F02690"/>
    <w:rsid w:val="00F2073F"/>
    <w:rsid w:val="00F30DB2"/>
    <w:rsid w:val="00F544DE"/>
    <w:rsid w:val="00F659E0"/>
    <w:rsid w:val="00F9444D"/>
    <w:rsid w:val="00FB6E8C"/>
    <w:rsid w:val="00FD377F"/>
    <w:rsid w:val="00FD637B"/>
    <w:rsid w:val="00FE0661"/>
    <w:rsid w:val="00FE1DC6"/>
    <w:rsid w:val="00FF2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96711"/>
  <w15:chartTrackingRefBased/>
  <w15:docId w15:val="{3C96D915-6B63-45D4-8D10-20321FD9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DD2"/>
    <w:pPr>
      <w:spacing w:after="160" w:line="480" w:lineRule="auto"/>
      <w:ind w:firstLine="720"/>
    </w:pPr>
    <w:rPr>
      <w:sz w:val="24"/>
    </w:rPr>
  </w:style>
  <w:style w:type="paragraph" w:styleId="Heading1">
    <w:name w:val="heading 1"/>
    <w:aliases w:val="H1-Sec.Head"/>
    <w:next w:val="Normal"/>
    <w:link w:val="Heading1Char"/>
    <w:uiPriority w:val="9"/>
    <w:qFormat/>
    <w:rsid w:val="00C84AD3"/>
    <w:pPr>
      <w:keepNext/>
      <w:keepLines/>
      <w:spacing w:after="160" w:line="480" w:lineRule="auto"/>
      <w:ind w:left="720" w:hanging="720"/>
      <w:outlineLvl w:val="0"/>
    </w:pPr>
    <w:rPr>
      <w:rFonts w:asciiTheme="majorHAnsi" w:eastAsiaTheme="majorEastAsia" w:hAnsiTheme="majorHAnsi" w:cstheme="majorBidi"/>
      <w:sz w:val="24"/>
      <w:szCs w:val="32"/>
    </w:rPr>
  </w:style>
  <w:style w:type="paragraph" w:styleId="Heading2">
    <w:name w:val="heading 2"/>
    <w:basedOn w:val="Normal"/>
    <w:next w:val="Normal"/>
    <w:link w:val="Heading2Char"/>
    <w:uiPriority w:val="9"/>
    <w:semiHidden/>
    <w:unhideWhenUsed/>
    <w:qFormat/>
    <w:rsid w:val="00C84AD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670E7"/>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C84AD3"/>
    <w:rPr>
      <w:rFonts w:asciiTheme="majorHAnsi" w:eastAsiaTheme="majorEastAsia" w:hAnsiTheme="majorHAnsi" w:cstheme="majorBidi"/>
      <w:sz w:val="24"/>
      <w:szCs w:val="32"/>
    </w:rPr>
  </w:style>
  <w:style w:type="character" w:customStyle="1" w:styleId="Heading2Char">
    <w:name w:val="Heading 2 Char"/>
    <w:basedOn w:val="DefaultParagraphFont"/>
    <w:link w:val="Heading2"/>
    <w:uiPriority w:val="9"/>
    <w:semiHidden/>
    <w:rsid w:val="00C84AD3"/>
    <w:rPr>
      <w:rFonts w:asciiTheme="majorHAnsi" w:eastAsiaTheme="majorEastAsia" w:hAnsiTheme="majorHAnsi" w:cstheme="majorBidi"/>
      <w:color w:val="365F91" w:themeColor="accent1" w:themeShade="BF"/>
      <w:sz w:val="26"/>
      <w:szCs w:val="26"/>
    </w:rPr>
  </w:style>
  <w:style w:type="paragraph" w:styleId="Caption">
    <w:name w:val="caption"/>
    <w:aliases w:val="Caption ECSS"/>
    <w:next w:val="Normal"/>
    <w:uiPriority w:val="35"/>
    <w:semiHidden/>
    <w:unhideWhenUsed/>
    <w:qFormat/>
    <w:rsid w:val="00C84AD3"/>
    <w:pPr>
      <w:keepNext/>
      <w:keepLines/>
      <w:spacing w:after="160" w:line="480" w:lineRule="auto"/>
    </w:pPr>
    <w:rPr>
      <w:b/>
      <w:iCs/>
      <w:sz w:val="24"/>
      <w:szCs w:val="18"/>
    </w:rPr>
  </w:style>
  <w:style w:type="table" w:customStyle="1" w:styleId="GridTable4-Accent11">
    <w:name w:val="Grid Table 4 - Accent 11"/>
    <w:basedOn w:val="TableNormal"/>
    <w:uiPriority w:val="49"/>
    <w:rsid w:val="00C84AD3"/>
    <w:pPr>
      <w:spacing w:after="0" w:line="240" w:lineRule="auto"/>
    </w:p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53146B"/>
    <w:rPr>
      <w:sz w:val="16"/>
      <w:szCs w:val="16"/>
    </w:rPr>
  </w:style>
  <w:style w:type="paragraph" w:styleId="CommentText">
    <w:name w:val="annotation text"/>
    <w:basedOn w:val="Normal"/>
    <w:link w:val="CommentTextChar"/>
    <w:uiPriority w:val="99"/>
    <w:semiHidden/>
    <w:unhideWhenUsed/>
    <w:rsid w:val="0053146B"/>
    <w:pPr>
      <w:spacing w:line="240" w:lineRule="auto"/>
    </w:pPr>
    <w:rPr>
      <w:sz w:val="20"/>
      <w:szCs w:val="20"/>
    </w:rPr>
  </w:style>
  <w:style w:type="character" w:customStyle="1" w:styleId="CommentTextChar">
    <w:name w:val="Comment Text Char"/>
    <w:basedOn w:val="DefaultParagraphFont"/>
    <w:link w:val="CommentText"/>
    <w:uiPriority w:val="99"/>
    <w:semiHidden/>
    <w:rsid w:val="0053146B"/>
    <w:rPr>
      <w:sz w:val="20"/>
      <w:szCs w:val="20"/>
    </w:rPr>
  </w:style>
  <w:style w:type="paragraph" w:styleId="CommentSubject">
    <w:name w:val="annotation subject"/>
    <w:basedOn w:val="CommentText"/>
    <w:next w:val="CommentText"/>
    <w:link w:val="CommentSubjectChar"/>
    <w:uiPriority w:val="99"/>
    <w:semiHidden/>
    <w:unhideWhenUsed/>
    <w:rsid w:val="0053146B"/>
    <w:rPr>
      <w:b/>
      <w:bCs/>
    </w:rPr>
  </w:style>
  <w:style w:type="character" w:customStyle="1" w:styleId="CommentSubjectChar">
    <w:name w:val="Comment Subject Char"/>
    <w:basedOn w:val="CommentTextChar"/>
    <w:link w:val="CommentSubject"/>
    <w:uiPriority w:val="99"/>
    <w:semiHidden/>
    <w:rsid w:val="0053146B"/>
    <w:rPr>
      <w:b/>
      <w:bCs/>
      <w:sz w:val="20"/>
      <w:szCs w:val="20"/>
    </w:rPr>
  </w:style>
  <w:style w:type="paragraph" w:styleId="BalloonText">
    <w:name w:val="Balloon Text"/>
    <w:basedOn w:val="Normal"/>
    <w:link w:val="BalloonTextChar"/>
    <w:uiPriority w:val="99"/>
    <w:semiHidden/>
    <w:unhideWhenUsed/>
    <w:rsid w:val="00531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46B"/>
    <w:rPr>
      <w:rFonts w:ascii="Segoe UI" w:hAnsi="Segoe UI" w:cs="Segoe UI"/>
      <w:sz w:val="18"/>
      <w:szCs w:val="18"/>
    </w:rPr>
  </w:style>
  <w:style w:type="paragraph" w:customStyle="1" w:styleId="TH-TableHeading">
    <w:name w:val="TH-Table Heading"/>
    <w:basedOn w:val="Heading1"/>
    <w:uiPriority w:val="99"/>
    <w:rsid w:val="0053146B"/>
    <w:pPr>
      <w:spacing w:after="0" w:line="240" w:lineRule="atLeast"/>
      <w:ind w:left="0" w:firstLine="0"/>
      <w:jc w:val="center"/>
    </w:pPr>
    <w:rPr>
      <w:b/>
      <w:sz w:val="20"/>
    </w:rPr>
  </w:style>
  <w:style w:type="character" w:styleId="Hyperlink">
    <w:name w:val="Hyperlink"/>
    <w:basedOn w:val="DefaultParagraphFont"/>
    <w:uiPriority w:val="99"/>
    <w:unhideWhenUsed/>
    <w:rsid w:val="0053146B"/>
    <w:rPr>
      <w:rFonts w:ascii="Times New Roman" w:hAnsi="Times New Roman" w:cs="Times New Roman" w:hint="default"/>
      <w:color w:val="0000FF"/>
      <w:u w:val="single"/>
    </w:rPr>
  </w:style>
  <w:style w:type="paragraph" w:customStyle="1" w:styleId="TX-TableText">
    <w:name w:val="TX-Table Text"/>
    <w:basedOn w:val="Normal"/>
    <w:uiPriority w:val="99"/>
    <w:rsid w:val="0053146B"/>
    <w:rPr>
      <w:rFonts w:ascii="Franklin Gothic Medium" w:hAnsi="Franklin Gothic Medium"/>
      <w:sz w:val="20"/>
    </w:rPr>
  </w:style>
  <w:style w:type="paragraph" w:styleId="ListParagraph">
    <w:name w:val="List Paragraph"/>
    <w:aliases w:val="Bulleted List,Table Bullets,Indent,List Paragraph Bullet"/>
    <w:basedOn w:val="Normal"/>
    <w:link w:val="ListParagraphChar"/>
    <w:uiPriority w:val="34"/>
    <w:qFormat/>
    <w:rsid w:val="00003518"/>
    <w:pPr>
      <w:ind w:left="720"/>
      <w:contextualSpacing/>
    </w:p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F"/>
    <w:link w:val="FootnoteTextChar"/>
    <w:rsid w:val="007A38B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F Char"/>
    <w:basedOn w:val="DefaultParagraphFont"/>
    <w:link w:val="FootnoteText"/>
    <w:rsid w:val="007A38BD"/>
    <w:rPr>
      <w:rFonts w:ascii="Garamond" w:eastAsia="Times New Roman" w:hAnsi="Garamond" w:cs="Times New Roman"/>
      <w:sz w:val="20"/>
      <w:szCs w:val="20"/>
    </w:rPr>
  </w:style>
  <w:style w:type="paragraph" w:customStyle="1" w:styleId="L1-FlLSp12">
    <w:name w:val="L1-FlL Sp&amp;1/2"/>
    <w:basedOn w:val="Normal"/>
    <w:link w:val="L1-FlLSp12Char"/>
    <w:qFormat/>
    <w:rsid w:val="007A38BD"/>
    <w:pPr>
      <w:tabs>
        <w:tab w:val="left" w:pos="1152"/>
      </w:tabs>
      <w:spacing w:after="0" w:line="360" w:lineRule="atLeast"/>
      <w:ind w:firstLine="0"/>
    </w:pPr>
    <w:rPr>
      <w:rFonts w:ascii="Garamond" w:eastAsia="Times New Roman" w:hAnsi="Garamond" w:cs="Times New Roman"/>
      <w:szCs w:val="20"/>
    </w:rPr>
  </w:style>
  <w:style w:type="character" w:customStyle="1" w:styleId="L1-FlLSp12Char">
    <w:name w:val="L1-FlL Sp&amp;1/2 Char"/>
    <w:link w:val="L1-FlLSp12"/>
    <w:locked/>
    <w:rsid w:val="007A38BD"/>
    <w:rPr>
      <w:rFonts w:ascii="Garamond" w:eastAsia="Times New Roman" w:hAnsi="Garamond" w:cs="Times New Roman"/>
      <w:sz w:val="24"/>
      <w:szCs w:val="20"/>
    </w:rPr>
  </w:style>
  <w:style w:type="character" w:styleId="FootnoteReference">
    <w:name w:val="footnote reference"/>
    <w:aliases w:val="*Footnote Reference,fr"/>
    <w:basedOn w:val="DefaultParagraphFont"/>
    <w:uiPriority w:val="99"/>
    <w:unhideWhenUsed/>
    <w:rsid w:val="007A38BD"/>
    <w:rPr>
      <w:vertAlign w:val="superscript"/>
    </w:rPr>
  </w:style>
  <w:style w:type="table" w:styleId="TableGrid">
    <w:name w:val="Table Grid"/>
    <w:basedOn w:val="TableNormal"/>
    <w:uiPriority w:val="59"/>
    <w:rsid w:val="006D2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1stBullet">
    <w:name w:val="N1-1st Bullet"/>
    <w:basedOn w:val="Normal"/>
    <w:link w:val="N1-1stBulletChar"/>
    <w:qFormat/>
    <w:rsid w:val="00984470"/>
    <w:pPr>
      <w:numPr>
        <w:numId w:val="2"/>
      </w:numPr>
      <w:spacing w:after="240" w:line="240" w:lineRule="atLeast"/>
    </w:pPr>
    <w:rPr>
      <w:rFonts w:ascii="Garamond" w:eastAsia="Times New Roman" w:hAnsi="Garamond" w:cs="Times New Roman"/>
      <w:szCs w:val="20"/>
    </w:rPr>
  </w:style>
  <w:style w:type="character" w:customStyle="1" w:styleId="N1-1stBulletChar">
    <w:name w:val="N1-1st Bullet Char"/>
    <w:basedOn w:val="DefaultParagraphFont"/>
    <w:link w:val="N1-1stBullet"/>
    <w:locked/>
    <w:rsid w:val="00984470"/>
    <w:rPr>
      <w:rFonts w:ascii="Garamond" w:eastAsia="Times New Roman" w:hAnsi="Garamond" w:cs="Times New Roman"/>
      <w:sz w:val="24"/>
      <w:szCs w:val="20"/>
    </w:rPr>
  </w:style>
  <w:style w:type="paragraph" w:customStyle="1" w:styleId="SL-FlLftSgl">
    <w:name w:val="SL-Fl Lft Sgl"/>
    <w:basedOn w:val="Normal"/>
    <w:link w:val="SL-FlLftSglChar"/>
    <w:rsid w:val="00F30DB2"/>
    <w:pPr>
      <w:spacing w:after="0" w:line="240" w:lineRule="atLeast"/>
      <w:ind w:firstLine="0"/>
    </w:pPr>
    <w:rPr>
      <w:rFonts w:ascii="Garamond" w:eastAsia="Times New Roman" w:hAnsi="Garamond" w:cs="Times New Roman"/>
      <w:szCs w:val="20"/>
    </w:rPr>
  </w:style>
  <w:style w:type="paragraph" w:customStyle="1" w:styleId="TT-TableTitle">
    <w:name w:val="TT-Table Title"/>
    <w:link w:val="TT-TableTitleChar"/>
    <w:qFormat/>
    <w:rsid w:val="00F30DB2"/>
    <w:pPr>
      <w:keepNext/>
      <w:tabs>
        <w:tab w:val="left" w:pos="1440"/>
      </w:tabs>
      <w:spacing w:after="0" w:line="240" w:lineRule="atLeast"/>
      <w:ind w:left="1440" w:hanging="1440"/>
    </w:pPr>
    <w:rPr>
      <w:rFonts w:ascii="Franklin Gothic Medium" w:eastAsia="Times New Roman" w:hAnsi="Franklin Gothic Medium" w:cs="Times New Roman"/>
      <w:szCs w:val="20"/>
    </w:rPr>
  </w:style>
  <w:style w:type="character" w:customStyle="1" w:styleId="TT-TableTitleChar">
    <w:name w:val="TT-Table Title Char"/>
    <w:basedOn w:val="DefaultParagraphFont"/>
    <w:link w:val="TT-TableTitle"/>
    <w:locked/>
    <w:rsid w:val="00F30DB2"/>
    <w:rPr>
      <w:rFonts w:ascii="Franklin Gothic Medium" w:eastAsia="Times New Roman" w:hAnsi="Franklin Gothic Medium" w:cs="Times New Roman"/>
      <w:szCs w:val="20"/>
    </w:rPr>
  </w:style>
  <w:style w:type="character" w:customStyle="1" w:styleId="SL-FlLftSglChar">
    <w:name w:val="SL-Fl Lft Sgl Char"/>
    <w:basedOn w:val="DefaultParagraphFont"/>
    <w:link w:val="SL-FlLftSgl"/>
    <w:rsid w:val="00F30DB2"/>
    <w:rPr>
      <w:rFonts w:ascii="Garamond" w:eastAsia="Times New Roman" w:hAnsi="Garamond" w:cs="Times New Roman"/>
      <w:sz w:val="24"/>
      <w:szCs w:val="20"/>
    </w:rPr>
  </w:style>
  <w:style w:type="table" w:customStyle="1" w:styleId="Table5-WPN17-XXX111">
    <w:name w:val="Table 5-WPN 17-XXX111"/>
    <w:basedOn w:val="TableNormal"/>
    <w:uiPriority w:val="99"/>
    <w:rsid w:val="00F30DB2"/>
    <w:pPr>
      <w:spacing w:after="0" w:line="240" w:lineRule="auto"/>
    </w:pPr>
    <w:rPr>
      <w:rFonts w:ascii="Calibri" w:eastAsia="Times New Roman" w:hAnsi="Calibri" w:cs="Times New Roman"/>
      <w:color w:val="14487C"/>
      <w:sz w:val="20"/>
      <w:szCs w:val="20"/>
    </w:rPr>
    <w:tblPr>
      <w:tblStyleRowBandSize w:val="1"/>
      <w:tblStyleColBandSize w:val="1"/>
      <w:tblInd w:w="115" w:type="dxa"/>
      <w:tblBorders>
        <w:bottom w:val="single" w:sz="4" w:space="0" w:color="14487C"/>
      </w:tblBorders>
      <w:tblCellMar>
        <w:left w:w="115" w:type="dxa"/>
        <w:right w:w="0" w:type="dxa"/>
      </w:tblCellMar>
    </w:tblPr>
    <w:tblStylePr w:type="firstRow">
      <w:pPr>
        <w:wordWrap/>
        <w:spacing w:beforeLines="20" w:before="20" w:beforeAutospacing="0" w:afterLines="20" w:after="20" w:afterAutospacing="0"/>
        <w:jc w:val="center"/>
      </w:pPr>
      <w:rPr>
        <w:rFonts w:ascii="Calibri" w:hAnsi="Calibri"/>
        <w:b w:val="0"/>
        <w:color w:val="FFFFFF"/>
        <w:sz w:val="20"/>
      </w:rPr>
      <w:tblPr/>
      <w:tcPr>
        <w:tcBorders>
          <w:insideV w:val="single" w:sz="18" w:space="0" w:color="FFFFFF"/>
        </w:tcBorders>
        <w:shd w:val="clear" w:color="auto" w:fill="14487C"/>
      </w:tcPr>
    </w:tblStylePr>
    <w:tblStylePr w:type="lastRow">
      <w:tblPr/>
      <w:tcPr>
        <w:tcBorders>
          <w:bottom w:val="nil"/>
        </w:tcBorders>
      </w:tcPr>
    </w:tblStylePr>
    <w:tblStylePr w:type="firstCol">
      <w:rPr>
        <w:rFonts w:ascii="Calibri" w:hAnsi="Calibri"/>
        <w:b w:val="0"/>
        <w:color w:val="14487C"/>
        <w:sz w:val="20"/>
      </w:rPr>
    </w:tblStylePr>
    <w:tblStylePr w:type="band2Vert">
      <w:pPr>
        <w:jc w:val="left"/>
      </w:pPr>
      <w:rPr>
        <w:rFonts w:ascii="Calibri" w:hAnsi="Calibri"/>
        <w:color w:val="14487C"/>
        <w:sz w:val="22"/>
      </w:rPr>
    </w:tblStylePr>
    <w:tblStylePr w:type="band2Horz">
      <w:tblPr/>
      <w:tcPr>
        <w:tcBorders>
          <w:insideV w:val="single" w:sz="18" w:space="0" w:color="FFFFFF"/>
        </w:tcBorders>
        <w:shd w:val="clear" w:color="auto" w:fill="B8CCE4"/>
      </w:tcPr>
    </w:tblStylePr>
  </w:style>
  <w:style w:type="character" w:customStyle="1" w:styleId="Heading3Char">
    <w:name w:val="Heading 3 Char"/>
    <w:basedOn w:val="DefaultParagraphFont"/>
    <w:link w:val="Heading3"/>
    <w:uiPriority w:val="9"/>
    <w:rsid w:val="00D670E7"/>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Bulleted List Char,Table Bullets Char,Indent Char,List Paragraph Bullet Char"/>
    <w:link w:val="ListParagraph"/>
    <w:uiPriority w:val="34"/>
    <w:locked/>
    <w:rsid w:val="00D670E7"/>
    <w:rPr>
      <w:sz w:val="24"/>
    </w:rPr>
  </w:style>
  <w:style w:type="character" w:styleId="FollowedHyperlink">
    <w:name w:val="FollowedHyperlink"/>
    <w:basedOn w:val="DefaultParagraphFont"/>
    <w:uiPriority w:val="99"/>
    <w:semiHidden/>
    <w:unhideWhenUsed/>
    <w:rsid w:val="009A29DF"/>
    <w:rPr>
      <w:color w:val="800080" w:themeColor="followedHyperlink"/>
      <w:u w:val="single"/>
    </w:rPr>
  </w:style>
  <w:style w:type="paragraph" w:styleId="TOC1">
    <w:name w:val="toc 1"/>
    <w:next w:val="Normal"/>
    <w:autoRedefine/>
    <w:uiPriority w:val="39"/>
    <w:qFormat/>
    <w:rsid w:val="006A5FA1"/>
    <w:pPr>
      <w:tabs>
        <w:tab w:val="left" w:pos="1008"/>
        <w:tab w:val="right" w:leader="dot" w:pos="9360"/>
      </w:tabs>
      <w:spacing w:after="240" w:line="240" w:lineRule="auto"/>
      <w:ind w:left="1008" w:right="1080" w:hanging="1008"/>
    </w:pPr>
    <w:rPr>
      <w:rFonts w:ascii="Arial" w:eastAsia="Times New Roman" w:hAnsi="Arial" w:cs="Arial"/>
      <w:b/>
      <w:noProof/>
    </w:rPr>
  </w:style>
  <w:style w:type="paragraph" w:styleId="TOC2">
    <w:name w:val="toc 2"/>
    <w:next w:val="Normal"/>
    <w:autoRedefine/>
    <w:uiPriority w:val="39"/>
    <w:qFormat/>
    <w:rsid w:val="006A5FA1"/>
    <w:pPr>
      <w:tabs>
        <w:tab w:val="left" w:pos="1440"/>
        <w:tab w:val="right" w:leader="dot" w:pos="9360"/>
      </w:tabs>
      <w:spacing w:after="120" w:line="240" w:lineRule="auto"/>
      <w:ind w:left="1440" w:right="864" w:hanging="720"/>
    </w:pPr>
    <w:rPr>
      <w:rFonts w:ascii="Arial" w:eastAsia="Times New Roman" w:hAnsi="Arial" w:cs="Times New Roman"/>
      <w:sz w:val="20"/>
      <w:szCs w:val="24"/>
    </w:rPr>
  </w:style>
  <w:style w:type="paragraph" w:styleId="TOCHeading">
    <w:name w:val="TOC Heading"/>
    <w:basedOn w:val="Heading1"/>
    <w:next w:val="Normal"/>
    <w:uiPriority w:val="39"/>
    <w:unhideWhenUsed/>
    <w:qFormat/>
    <w:rsid w:val="006A5FA1"/>
    <w:pPr>
      <w:spacing w:before="240" w:after="0" w:line="259" w:lineRule="auto"/>
      <w:ind w:left="0" w:firstLine="0"/>
      <w:outlineLvl w:val="9"/>
    </w:pPr>
    <w:rPr>
      <w:color w:val="365F91" w:themeColor="accent1" w:themeShade="BF"/>
      <w:sz w:val="32"/>
    </w:rPr>
  </w:style>
  <w:style w:type="paragraph" w:styleId="TOC3">
    <w:name w:val="toc 3"/>
    <w:basedOn w:val="Normal"/>
    <w:next w:val="Normal"/>
    <w:autoRedefine/>
    <w:uiPriority w:val="39"/>
    <w:unhideWhenUsed/>
    <w:rsid w:val="006A5FA1"/>
    <w:pPr>
      <w:spacing w:after="100"/>
      <w:ind w:left="480"/>
    </w:pPr>
  </w:style>
  <w:style w:type="paragraph" w:styleId="TableofFigures">
    <w:name w:val="table of figures"/>
    <w:basedOn w:val="Normal"/>
    <w:next w:val="Normal"/>
    <w:uiPriority w:val="99"/>
    <w:rsid w:val="00066BE7"/>
    <w:pPr>
      <w:tabs>
        <w:tab w:val="left" w:pos="1008"/>
        <w:tab w:val="right" w:leader="dot" w:pos="9360"/>
      </w:tabs>
      <w:spacing w:after="240" w:line="240" w:lineRule="auto"/>
      <w:ind w:left="1008" w:right="1080" w:hanging="1008"/>
    </w:pPr>
    <w:rPr>
      <w:rFonts w:ascii="Arial" w:eastAsia="Times New Roman" w:hAnsi="Arial" w:cs="Times New Roman"/>
      <w:sz w:val="20"/>
      <w:szCs w:val="24"/>
    </w:rPr>
  </w:style>
  <w:style w:type="paragraph" w:customStyle="1" w:styleId="Heading2BlackNoTOC">
    <w:name w:val="Heading 2_Black No TOC"/>
    <w:basedOn w:val="Normal"/>
    <w:next w:val="Normal"/>
    <w:qFormat/>
    <w:rsid w:val="00066BE7"/>
    <w:pPr>
      <w:keepNext/>
      <w:tabs>
        <w:tab w:val="left" w:pos="432"/>
      </w:tabs>
      <w:spacing w:after="240" w:line="240" w:lineRule="auto"/>
      <w:ind w:left="432" w:hanging="432"/>
      <w:jc w:val="both"/>
      <w:outlineLvl w:val="8"/>
    </w:pPr>
    <w:rPr>
      <w:rFonts w:ascii="Arial" w:eastAsia="Times New Roman" w:hAnsi="Arial" w:cs="Times New Roman"/>
      <w:b/>
      <w:szCs w:val="24"/>
    </w:rPr>
  </w:style>
  <w:style w:type="paragraph" w:styleId="TOC8">
    <w:name w:val="toc 8"/>
    <w:basedOn w:val="Normal"/>
    <w:next w:val="Normal"/>
    <w:autoRedefine/>
    <w:uiPriority w:val="39"/>
    <w:unhideWhenUsed/>
    <w:rsid w:val="00DF54E2"/>
    <w:pPr>
      <w:spacing w:after="100"/>
      <w:ind w:left="1680"/>
    </w:pPr>
  </w:style>
  <w:style w:type="paragraph" w:styleId="Header">
    <w:name w:val="header"/>
    <w:basedOn w:val="Normal"/>
    <w:link w:val="HeaderChar"/>
    <w:uiPriority w:val="99"/>
    <w:unhideWhenUsed/>
    <w:rsid w:val="00E07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BC8"/>
    <w:rPr>
      <w:sz w:val="24"/>
    </w:rPr>
  </w:style>
  <w:style w:type="paragraph" w:styleId="Footer">
    <w:name w:val="footer"/>
    <w:basedOn w:val="Normal"/>
    <w:link w:val="FooterChar"/>
    <w:uiPriority w:val="99"/>
    <w:unhideWhenUsed/>
    <w:rsid w:val="00E07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B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5295">
      <w:bodyDiv w:val="1"/>
      <w:marLeft w:val="0"/>
      <w:marRight w:val="0"/>
      <w:marTop w:val="0"/>
      <w:marBottom w:val="0"/>
      <w:divBdr>
        <w:top w:val="none" w:sz="0" w:space="0" w:color="auto"/>
        <w:left w:val="none" w:sz="0" w:space="0" w:color="auto"/>
        <w:bottom w:val="none" w:sz="0" w:space="0" w:color="auto"/>
        <w:right w:val="none" w:sz="0" w:space="0" w:color="auto"/>
      </w:divBdr>
    </w:div>
    <w:div w:id="103114067">
      <w:bodyDiv w:val="1"/>
      <w:marLeft w:val="0"/>
      <w:marRight w:val="0"/>
      <w:marTop w:val="0"/>
      <w:marBottom w:val="0"/>
      <w:divBdr>
        <w:top w:val="none" w:sz="0" w:space="0" w:color="auto"/>
        <w:left w:val="none" w:sz="0" w:space="0" w:color="auto"/>
        <w:bottom w:val="none" w:sz="0" w:space="0" w:color="auto"/>
        <w:right w:val="none" w:sz="0" w:space="0" w:color="auto"/>
      </w:divBdr>
    </w:div>
    <w:div w:id="111559523">
      <w:bodyDiv w:val="1"/>
      <w:marLeft w:val="0"/>
      <w:marRight w:val="0"/>
      <w:marTop w:val="0"/>
      <w:marBottom w:val="0"/>
      <w:divBdr>
        <w:top w:val="none" w:sz="0" w:space="0" w:color="auto"/>
        <w:left w:val="none" w:sz="0" w:space="0" w:color="auto"/>
        <w:bottom w:val="none" w:sz="0" w:space="0" w:color="auto"/>
        <w:right w:val="none" w:sz="0" w:space="0" w:color="auto"/>
      </w:divBdr>
    </w:div>
    <w:div w:id="116415833">
      <w:bodyDiv w:val="1"/>
      <w:marLeft w:val="0"/>
      <w:marRight w:val="0"/>
      <w:marTop w:val="0"/>
      <w:marBottom w:val="0"/>
      <w:divBdr>
        <w:top w:val="none" w:sz="0" w:space="0" w:color="auto"/>
        <w:left w:val="none" w:sz="0" w:space="0" w:color="auto"/>
        <w:bottom w:val="none" w:sz="0" w:space="0" w:color="auto"/>
        <w:right w:val="none" w:sz="0" w:space="0" w:color="auto"/>
      </w:divBdr>
    </w:div>
    <w:div w:id="145827626">
      <w:bodyDiv w:val="1"/>
      <w:marLeft w:val="0"/>
      <w:marRight w:val="0"/>
      <w:marTop w:val="0"/>
      <w:marBottom w:val="0"/>
      <w:divBdr>
        <w:top w:val="none" w:sz="0" w:space="0" w:color="auto"/>
        <w:left w:val="none" w:sz="0" w:space="0" w:color="auto"/>
        <w:bottom w:val="none" w:sz="0" w:space="0" w:color="auto"/>
        <w:right w:val="none" w:sz="0" w:space="0" w:color="auto"/>
      </w:divBdr>
    </w:div>
    <w:div w:id="158010350">
      <w:bodyDiv w:val="1"/>
      <w:marLeft w:val="0"/>
      <w:marRight w:val="0"/>
      <w:marTop w:val="0"/>
      <w:marBottom w:val="0"/>
      <w:divBdr>
        <w:top w:val="none" w:sz="0" w:space="0" w:color="auto"/>
        <w:left w:val="none" w:sz="0" w:space="0" w:color="auto"/>
        <w:bottom w:val="none" w:sz="0" w:space="0" w:color="auto"/>
        <w:right w:val="none" w:sz="0" w:space="0" w:color="auto"/>
      </w:divBdr>
    </w:div>
    <w:div w:id="165753245">
      <w:bodyDiv w:val="1"/>
      <w:marLeft w:val="0"/>
      <w:marRight w:val="0"/>
      <w:marTop w:val="0"/>
      <w:marBottom w:val="0"/>
      <w:divBdr>
        <w:top w:val="none" w:sz="0" w:space="0" w:color="auto"/>
        <w:left w:val="none" w:sz="0" w:space="0" w:color="auto"/>
        <w:bottom w:val="none" w:sz="0" w:space="0" w:color="auto"/>
        <w:right w:val="none" w:sz="0" w:space="0" w:color="auto"/>
      </w:divBdr>
    </w:div>
    <w:div w:id="253973011">
      <w:bodyDiv w:val="1"/>
      <w:marLeft w:val="0"/>
      <w:marRight w:val="0"/>
      <w:marTop w:val="0"/>
      <w:marBottom w:val="0"/>
      <w:divBdr>
        <w:top w:val="none" w:sz="0" w:space="0" w:color="auto"/>
        <w:left w:val="none" w:sz="0" w:space="0" w:color="auto"/>
        <w:bottom w:val="none" w:sz="0" w:space="0" w:color="auto"/>
        <w:right w:val="none" w:sz="0" w:space="0" w:color="auto"/>
      </w:divBdr>
    </w:div>
    <w:div w:id="364601884">
      <w:bodyDiv w:val="1"/>
      <w:marLeft w:val="0"/>
      <w:marRight w:val="0"/>
      <w:marTop w:val="0"/>
      <w:marBottom w:val="0"/>
      <w:divBdr>
        <w:top w:val="none" w:sz="0" w:space="0" w:color="auto"/>
        <w:left w:val="none" w:sz="0" w:space="0" w:color="auto"/>
        <w:bottom w:val="none" w:sz="0" w:space="0" w:color="auto"/>
        <w:right w:val="none" w:sz="0" w:space="0" w:color="auto"/>
      </w:divBdr>
    </w:div>
    <w:div w:id="1002053835">
      <w:bodyDiv w:val="1"/>
      <w:marLeft w:val="0"/>
      <w:marRight w:val="0"/>
      <w:marTop w:val="0"/>
      <w:marBottom w:val="0"/>
      <w:divBdr>
        <w:top w:val="none" w:sz="0" w:space="0" w:color="auto"/>
        <w:left w:val="none" w:sz="0" w:space="0" w:color="auto"/>
        <w:bottom w:val="none" w:sz="0" w:space="0" w:color="auto"/>
        <w:right w:val="none" w:sz="0" w:space="0" w:color="auto"/>
      </w:divBdr>
    </w:div>
    <w:div w:id="1058749365">
      <w:bodyDiv w:val="1"/>
      <w:marLeft w:val="0"/>
      <w:marRight w:val="0"/>
      <w:marTop w:val="0"/>
      <w:marBottom w:val="0"/>
      <w:divBdr>
        <w:top w:val="none" w:sz="0" w:space="0" w:color="auto"/>
        <w:left w:val="none" w:sz="0" w:space="0" w:color="auto"/>
        <w:bottom w:val="none" w:sz="0" w:space="0" w:color="auto"/>
        <w:right w:val="none" w:sz="0" w:space="0" w:color="auto"/>
      </w:divBdr>
    </w:div>
    <w:div w:id="1236546208">
      <w:bodyDiv w:val="1"/>
      <w:marLeft w:val="0"/>
      <w:marRight w:val="0"/>
      <w:marTop w:val="0"/>
      <w:marBottom w:val="0"/>
      <w:divBdr>
        <w:top w:val="none" w:sz="0" w:space="0" w:color="auto"/>
        <w:left w:val="none" w:sz="0" w:space="0" w:color="auto"/>
        <w:bottom w:val="none" w:sz="0" w:space="0" w:color="auto"/>
        <w:right w:val="none" w:sz="0" w:space="0" w:color="auto"/>
      </w:divBdr>
    </w:div>
    <w:div w:id="1395659310">
      <w:bodyDiv w:val="1"/>
      <w:marLeft w:val="0"/>
      <w:marRight w:val="0"/>
      <w:marTop w:val="0"/>
      <w:marBottom w:val="0"/>
      <w:divBdr>
        <w:top w:val="none" w:sz="0" w:space="0" w:color="auto"/>
        <w:left w:val="none" w:sz="0" w:space="0" w:color="auto"/>
        <w:bottom w:val="none" w:sz="0" w:space="0" w:color="auto"/>
        <w:right w:val="none" w:sz="0" w:space="0" w:color="auto"/>
      </w:divBdr>
    </w:div>
    <w:div w:id="1789347154">
      <w:bodyDiv w:val="1"/>
      <w:marLeft w:val="0"/>
      <w:marRight w:val="0"/>
      <w:marTop w:val="0"/>
      <w:marBottom w:val="0"/>
      <w:divBdr>
        <w:top w:val="none" w:sz="0" w:space="0" w:color="auto"/>
        <w:left w:val="none" w:sz="0" w:space="0" w:color="auto"/>
        <w:bottom w:val="none" w:sz="0" w:space="0" w:color="auto"/>
        <w:right w:val="none" w:sz="0" w:space="0" w:color="auto"/>
      </w:divBdr>
    </w:div>
    <w:div w:id="1858037512">
      <w:bodyDiv w:val="1"/>
      <w:marLeft w:val="0"/>
      <w:marRight w:val="0"/>
      <w:marTop w:val="0"/>
      <w:marBottom w:val="0"/>
      <w:divBdr>
        <w:top w:val="none" w:sz="0" w:space="0" w:color="auto"/>
        <w:left w:val="none" w:sz="0" w:space="0" w:color="auto"/>
        <w:bottom w:val="none" w:sz="0" w:space="0" w:color="auto"/>
        <w:right w:val="none" w:sz="0" w:space="0" w:color="auto"/>
      </w:divBdr>
    </w:div>
    <w:div w:id="1864705418">
      <w:bodyDiv w:val="1"/>
      <w:marLeft w:val="0"/>
      <w:marRight w:val="0"/>
      <w:marTop w:val="0"/>
      <w:marBottom w:val="0"/>
      <w:divBdr>
        <w:top w:val="none" w:sz="0" w:space="0" w:color="auto"/>
        <w:left w:val="none" w:sz="0" w:space="0" w:color="auto"/>
        <w:bottom w:val="none" w:sz="0" w:space="0" w:color="auto"/>
        <w:right w:val="none" w:sz="0" w:space="0" w:color="auto"/>
      </w:divBdr>
    </w:div>
    <w:div w:id="1918393666">
      <w:bodyDiv w:val="1"/>
      <w:marLeft w:val="0"/>
      <w:marRight w:val="0"/>
      <w:marTop w:val="0"/>
      <w:marBottom w:val="0"/>
      <w:divBdr>
        <w:top w:val="none" w:sz="0" w:space="0" w:color="auto"/>
        <w:left w:val="none" w:sz="0" w:space="0" w:color="auto"/>
        <w:bottom w:val="none" w:sz="0" w:space="0" w:color="auto"/>
        <w:right w:val="none" w:sz="0" w:space="0" w:color="auto"/>
      </w:divBdr>
    </w:div>
    <w:div w:id="2022273288">
      <w:bodyDiv w:val="1"/>
      <w:marLeft w:val="0"/>
      <w:marRight w:val="0"/>
      <w:marTop w:val="0"/>
      <w:marBottom w:val="0"/>
      <w:divBdr>
        <w:top w:val="none" w:sz="0" w:space="0" w:color="auto"/>
        <w:left w:val="none" w:sz="0" w:space="0" w:color="auto"/>
        <w:bottom w:val="none" w:sz="0" w:space="0" w:color="auto"/>
        <w:right w:val="none" w:sz="0" w:space="0" w:color="auto"/>
      </w:divBdr>
    </w:div>
    <w:div w:id="2132361109">
      <w:bodyDiv w:val="1"/>
      <w:marLeft w:val="0"/>
      <w:marRight w:val="0"/>
      <w:marTop w:val="0"/>
      <w:marBottom w:val="0"/>
      <w:divBdr>
        <w:top w:val="none" w:sz="0" w:space="0" w:color="auto"/>
        <w:left w:val="none" w:sz="0" w:space="0" w:color="auto"/>
        <w:bottom w:val="none" w:sz="0" w:space="0" w:color="auto"/>
        <w:right w:val="none" w:sz="0" w:space="0" w:color="auto"/>
      </w:divBdr>
    </w:div>
    <w:div w:id="214696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ee.Burdg@usda.gov" TargetMode="External"/><Relationship Id="rId13" Type="http://schemas.openxmlformats.org/officeDocument/2006/relationships/hyperlink" Target="mailto:LouRizzo@westat.com" TargetMode="External"/><Relationship Id="rId18" Type="http://schemas.openxmlformats.org/officeDocument/2006/relationships/hyperlink" Target="mailto:Chris.Facha@state.or.u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lpetrowski@hanoverschools.org" TargetMode="External"/><Relationship Id="rId7" Type="http://schemas.openxmlformats.org/officeDocument/2006/relationships/endnotes" Target="endnotes.xml"/><Relationship Id="rId12" Type="http://schemas.openxmlformats.org/officeDocument/2006/relationships/hyperlink" Target="mailto:ChuAdam@westat.com" TargetMode="External"/><Relationship Id="rId17" Type="http://schemas.openxmlformats.org/officeDocument/2006/relationships/hyperlink" Target="mailto:Keith.Rushing@usm.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Diakova@agralytica.com" TargetMode="External"/><Relationship Id="rId20" Type="http://schemas.openxmlformats.org/officeDocument/2006/relationships/hyperlink" Target="mailto:SBruce@psusd.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lissaRothstein@westat.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TheaZimmerman@westat.com" TargetMode="External"/><Relationship Id="rId23" Type="http://schemas.openxmlformats.org/officeDocument/2006/relationships/hyperlink" Target="mailto:Dana.Butler@usda.gov" TargetMode="External"/><Relationship Id="rId10" Type="http://schemas.openxmlformats.org/officeDocument/2006/relationships/hyperlink" Target="mailto:JosephGasper@westat.com" TargetMode="External"/><Relationship Id="rId19" Type="http://schemas.openxmlformats.org/officeDocument/2006/relationships/hyperlink" Target="mailto:Bertrand.Weber@mpls.k12.mn.us" TargetMode="External"/><Relationship Id="rId4" Type="http://schemas.openxmlformats.org/officeDocument/2006/relationships/settings" Target="settings.xml"/><Relationship Id="rId9" Type="http://schemas.openxmlformats.org/officeDocument/2006/relationships/hyperlink" Target="mailto:LaurieMay@westat.com" TargetMode="External"/><Relationship Id="rId14" Type="http://schemas.openxmlformats.org/officeDocument/2006/relationships/hyperlink" Target="mailto:SujataDixit-Joshi@westat.com" TargetMode="External"/><Relationship Id="rId22" Type="http://schemas.openxmlformats.org/officeDocument/2006/relationships/hyperlink" Target="mailto:Jinee.Burdg@usda.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pring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74D8-ABE3-4A08-859D-97ED382B2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4834</Words>
  <Characters>27557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Franklin, Jamia - FNS</cp:lastModifiedBy>
  <cp:revision>3</cp:revision>
  <dcterms:created xsi:type="dcterms:W3CDTF">2020-11-18T19:43:00Z</dcterms:created>
  <dcterms:modified xsi:type="dcterms:W3CDTF">2020-11-20T14:08:00Z</dcterms:modified>
</cp:coreProperties>
</file>