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141" w:rsidRDefault="005B7F23">
      <w:pPr>
        <w:rPr>
          <w:b/>
        </w:rPr>
      </w:pPr>
      <w:bookmarkStart w:name="_GoBack" w:id="0"/>
      <w:bookmarkEnd w:id="0"/>
      <w:r w:rsidRPr="005B7F23">
        <w:rPr>
          <w:b/>
        </w:rPr>
        <w:t>Appendix E: NASS Comments</w:t>
      </w:r>
    </w:p>
    <w:p w:rsidR="0079307A" w:rsidP="0079307A" w:rsidRDefault="007D6141">
      <w:pPr>
        <w:spacing w:after="120" w:line="240" w:lineRule="auto"/>
        <w:contextualSpacing/>
        <w:rPr>
          <w:b/>
        </w:rPr>
      </w:pPr>
      <w:r>
        <w:rPr>
          <w:b/>
        </w:rPr>
        <w:t>Document</w:t>
      </w:r>
      <w:r w:rsidR="007F063E">
        <w:rPr>
          <w:b/>
        </w:rPr>
        <w:t xml:space="preserve"> Reviewed</w:t>
      </w:r>
      <w:r w:rsidR="0079307A">
        <w:rPr>
          <w:b/>
        </w:rPr>
        <w:t xml:space="preserve">: </w:t>
      </w:r>
      <w:r w:rsidR="004D66E4">
        <w:t>SSB S</w:t>
      </w:r>
      <w:r w:rsidRPr="0079307A" w:rsidR="0079307A">
        <w:t>F</w:t>
      </w:r>
      <w:r w:rsidR="004D66E4">
        <w:t>P</w:t>
      </w:r>
      <w:r w:rsidRPr="0079307A" w:rsidR="0079307A">
        <w:t>S</w:t>
      </w:r>
      <w:r w:rsidR="004D66E4">
        <w:t xml:space="preserve"> </w:t>
      </w:r>
      <w:r w:rsidRPr="0079307A" w:rsidR="0079307A">
        <w:t>IV_5.18.20</w:t>
      </w:r>
      <w:r w:rsidR="0079307A">
        <w:rPr>
          <w:b/>
        </w:rPr>
        <w:t xml:space="preserve"> </w:t>
      </w:r>
    </w:p>
    <w:p w:rsidRPr="0079307A" w:rsidR="007D6141" w:rsidP="0079307A" w:rsidRDefault="0079307A">
      <w:pPr>
        <w:spacing w:after="120" w:line="240" w:lineRule="auto"/>
        <w:contextualSpacing/>
        <w:rPr>
          <w:i/>
        </w:rPr>
      </w:pPr>
      <w:r w:rsidRPr="0079307A">
        <w:rPr>
          <w:i/>
        </w:rPr>
        <w:t>(</w:t>
      </w:r>
      <w:r w:rsidRPr="0079307A" w:rsidR="007F063E">
        <w:rPr>
          <w:i/>
        </w:rPr>
        <w:t xml:space="preserve">School Food Purchase Study IV (SFPS-IV) </w:t>
      </w:r>
      <w:r w:rsidRPr="0079307A" w:rsidR="007D6141">
        <w:rPr>
          <w:i/>
        </w:rPr>
        <w:t>OMB Supporting Statement Part B</w:t>
      </w:r>
      <w:r w:rsidRPr="0079307A">
        <w:rPr>
          <w:i/>
        </w:rPr>
        <w:t>)</w:t>
      </w:r>
    </w:p>
    <w:p w:rsidR="0079307A" w:rsidRDefault="0079307A">
      <w:pPr>
        <w:rPr>
          <w:b/>
        </w:rPr>
      </w:pPr>
    </w:p>
    <w:p w:rsidR="007D6141" w:rsidRDefault="007F063E">
      <w:r>
        <w:rPr>
          <w:b/>
        </w:rPr>
        <w:t>Reviewed by</w:t>
      </w:r>
      <w:r w:rsidRPr="007D6141" w:rsidR="007D6141">
        <w:rPr>
          <w:b/>
        </w:rPr>
        <w:t xml:space="preserve">: </w:t>
      </w:r>
      <w:r w:rsidR="007D6141">
        <w:t>Dana Butler</w:t>
      </w:r>
      <w:r>
        <w:t xml:space="preserve">, </w:t>
      </w:r>
      <w:r w:rsidR="00925338">
        <w:t xml:space="preserve">Mathematical Statistician, </w:t>
      </w:r>
      <w:r>
        <w:t>Environmental and Economics Section</w:t>
      </w:r>
    </w:p>
    <w:p w:rsidRPr="007D6141" w:rsidR="007D6141" w:rsidRDefault="007D6141">
      <w:pPr>
        <w:rPr>
          <w:b/>
        </w:rPr>
      </w:pPr>
      <w:r w:rsidRPr="007D6141">
        <w:rPr>
          <w:b/>
        </w:rPr>
        <w:t>Comment:</w:t>
      </w:r>
    </w:p>
    <w:p w:rsidRPr="00925338" w:rsidR="00925338" w:rsidRDefault="007D6141">
      <w:pPr>
        <w:rPr>
          <w:rFonts w:ascii="Times New Roman" w:hAnsi="Times New Roman"/>
          <w:i/>
          <w:color w:val="1F3864" w:themeColor="accent1" w:themeShade="80"/>
        </w:rPr>
      </w:pPr>
      <w:r w:rsidRPr="00925338">
        <w:t xml:space="preserve">In the </w:t>
      </w:r>
      <w:r w:rsidRPr="00925338" w:rsidR="007F063E">
        <w:t xml:space="preserve">last paragraph of the </w:t>
      </w:r>
      <w:r w:rsidRPr="00925338">
        <w:t>sub-section titled “Degree of accuracy</w:t>
      </w:r>
      <w:r w:rsidRPr="00925338" w:rsidR="00665997">
        <w:t xml:space="preserve"> needed for the purpose </w:t>
      </w:r>
      <w:r w:rsidRPr="00925338">
        <w:t xml:space="preserve">described </w:t>
      </w:r>
      <w:r w:rsidRPr="00925338" w:rsidR="00665997">
        <w:t xml:space="preserve">in the </w:t>
      </w:r>
      <w:r w:rsidRPr="00925338" w:rsidR="00925338">
        <w:t xml:space="preserve">justification”, </w:t>
      </w:r>
      <w:r w:rsidR="00925338">
        <w:t xml:space="preserve">a reference to the table values is stated as: </w:t>
      </w:r>
      <w:r w:rsidRPr="00925338" w:rsidR="00925338">
        <w:rPr>
          <w:rFonts w:ascii="Times New Roman" w:hAnsi="Times New Roman"/>
          <w:i/>
          <w:color w:val="1F3864" w:themeColor="accent1" w:themeShade="80"/>
        </w:rPr>
        <w:t xml:space="preserve">Table B2 shows that for a mean percentage of 10 percent and a moderate/high amount of dispersion, the MDES is 14.6 percent, which in turn translates to an MDD of 1.46 percent. </w:t>
      </w:r>
    </w:p>
    <w:p w:rsidRPr="00925338" w:rsidR="005B7F23" w:rsidRDefault="00CB37FA">
      <w:r w:rsidRPr="00925338">
        <w:t>However,</w:t>
      </w:r>
      <w:r w:rsidRPr="00925338" w:rsidR="007F063E">
        <w:t xml:space="preserve"> </w:t>
      </w:r>
      <w:r w:rsidRPr="00925338">
        <w:t>for a mean percentage of 10 percent and a moderate/high amount of dispersion</w:t>
      </w:r>
      <w:r w:rsidRPr="00925338" w:rsidR="0096291F">
        <w:t>,</w:t>
      </w:r>
      <w:r w:rsidRPr="00925338">
        <w:t xml:space="preserve"> </w:t>
      </w:r>
      <w:r w:rsidRPr="00925338" w:rsidR="007F063E">
        <w:t xml:space="preserve">table B2 </w:t>
      </w:r>
      <w:r w:rsidRPr="00925338" w:rsidR="003A7F90">
        <w:t>shows</w:t>
      </w:r>
      <w:r w:rsidRPr="00925338" w:rsidR="007F063E">
        <w:t xml:space="preserve"> MDES value= 14.01</w:t>
      </w:r>
      <w:r w:rsidRPr="00925338">
        <w:t>%</w:t>
      </w:r>
      <w:r w:rsidRPr="00925338" w:rsidR="003A7F90">
        <w:t xml:space="preserve"> and</w:t>
      </w:r>
      <w:r w:rsidRPr="00925338" w:rsidR="007F063E">
        <w:t xml:space="preserve"> MDD value = 1.40</w:t>
      </w:r>
      <w:r w:rsidRPr="00925338">
        <w:t xml:space="preserve">%. </w:t>
      </w:r>
      <w:r w:rsidRPr="00925338" w:rsidR="007F063E">
        <w:t>See highlighted cells below:</w:t>
      </w:r>
    </w:p>
    <w:p w:rsidR="007F063E" w:rsidP="007F063E" w:rsidRDefault="007F063E">
      <w:pPr>
        <w:pStyle w:val="Caption"/>
      </w:pPr>
      <w:bookmarkStart w:name="_Toc477420189" w:id="1"/>
      <w:r>
        <w:t xml:space="preserve">Table B2. Statistical Precision and Minimum Detectable Differences </w:t>
      </w:r>
      <w:bookmarkEnd w:id="1"/>
    </w:p>
    <w:tbl>
      <w:tblPr>
        <w:tblStyle w:val="Table5-WPN17-XXX111"/>
        <w:tblW w:w="5000" w:type="pct"/>
        <w:tblInd w:w="0" w:type="dxa"/>
        <w:tblBorders>
          <w:top w:val="single" w:color="auto" w:sz="4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98"/>
        <w:gridCol w:w="898"/>
        <w:gridCol w:w="899"/>
        <w:gridCol w:w="899"/>
        <w:gridCol w:w="902"/>
        <w:gridCol w:w="931"/>
        <w:gridCol w:w="900"/>
        <w:gridCol w:w="931"/>
        <w:gridCol w:w="902"/>
      </w:tblGrid>
      <w:tr w:rsidRPr="00F30DB2" w:rsidR="007F063E" w:rsidTr="007F0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Merge w:val="restart"/>
            <w:tcBorders>
              <w:right w:val="single" w:color="auto" w:sz="4" w:space="0"/>
            </w:tcBorders>
            <w:shd w:val="clear" w:color="auto" w:fill="AFBED7"/>
            <w:vAlign w:val="bottom"/>
          </w:tcPr>
          <w:p w:rsidRPr="00F30DB2" w:rsidR="007F063E" w:rsidP="007F063E" w:rsidRDefault="007F063E">
            <w:pPr>
              <w:keepNext/>
              <w:keepLines/>
              <w:spacing w:before="48" w:after="48" w:line="240" w:lineRule="atLeast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Population percent</w:t>
            </w:r>
          </w:p>
        </w:tc>
        <w:tc>
          <w:tcPr>
            <w:tcW w:w="1922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FBED7"/>
            <w:vAlign w:val="bottom"/>
          </w:tcPr>
          <w:p w:rsidRPr="00F30DB2" w:rsidR="007F063E" w:rsidP="007F063E" w:rsidRDefault="007F063E">
            <w:pPr>
              <w:keepNext/>
              <w:keepLines/>
              <w:spacing w:before="48" w:after="48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Low/Moderate Std. Dev.</w:t>
            </w:r>
          </w:p>
          <w:p w:rsidRPr="00F30DB2" w:rsidR="007F063E" w:rsidP="007F063E" w:rsidRDefault="007F063E">
            <w:pPr>
              <w:keepNext/>
              <w:keepLines/>
              <w:spacing w:before="48" w:after="48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(Std. Dev. = 25% of Mean)</w:t>
            </w:r>
          </w:p>
        </w:tc>
        <w:tc>
          <w:tcPr>
            <w:tcW w:w="1957" w:type="pct"/>
            <w:gridSpan w:val="4"/>
            <w:tcBorders>
              <w:left w:val="single" w:color="auto" w:sz="4" w:space="0"/>
              <w:right w:val="nil"/>
            </w:tcBorders>
            <w:shd w:val="clear" w:color="auto" w:fill="AFBED7"/>
            <w:vAlign w:val="bottom"/>
          </w:tcPr>
          <w:p w:rsidRPr="00F30DB2" w:rsidR="007F063E" w:rsidP="007F063E" w:rsidRDefault="007F063E">
            <w:pPr>
              <w:keepNext/>
              <w:keepLines/>
              <w:spacing w:before="48" w:after="48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Moderate/High Std. Dev.</w:t>
            </w:r>
          </w:p>
          <w:p w:rsidRPr="00F30DB2" w:rsidR="007F063E" w:rsidP="007F063E" w:rsidRDefault="007F063E">
            <w:pPr>
              <w:keepNext/>
              <w:keepLines/>
              <w:spacing w:before="48" w:after="48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(Std. Dev. = 50% of Mean)</w:t>
            </w:r>
          </w:p>
        </w:tc>
      </w:tr>
      <w:tr w:rsidRPr="00F30DB2" w:rsidR="007F063E" w:rsidTr="007F06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Merge/>
            <w:shd w:val="clear" w:color="auto" w:fill="AFBED7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rPr>
                <w:rFonts w:ascii="Franklin Gothic Medium" w:hAnsi="Franklin Gothic Medium"/>
                <w:b/>
                <w:color w:val="auto"/>
              </w:rPr>
            </w:pPr>
          </w:p>
        </w:tc>
        <w:tc>
          <w:tcPr>
            <w:tcW w:w="960" w:type="pct"/>
            <w:gridSpan w:val="2"/>
            <w:shd w:val="clear" w:color="auto" w:fill="AFBED7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50/50 split</w:t>
            </w:r>
          </w:p>
        </w:tc>
        <w:tc>
          <w:tcPr>
            <w:tcW w:w="962" w:type="pct"/>
            <w:gridSpan w:val="2"/>
            <w:shd w:val="clear" w:color="auto" w:fill="AFBED7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75/25 split</w:t>
            </w:r>
          </w:p>
        </w:tc>
        <w:tc>
          <w:tcPr>
            <w:tcW w:w="978" w:type="pct"/>
            <w:gridSpan w:val="2"/>
            <w:shd w:val="clear" w:color="auto" w:fill="AFBED7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50/50 split</w:t>
            </w:r>
          </w:p>
        </w:tc>
        <w:tc>
          <w:tcPr>
            <w:tcW w:w="979" w:type="pct"/>
            <w:gridSpan w:val="2"/>
            <w:tcBorders>
              <w:right w:val="nil"/>
            </w:tcBorders>
            <w:shd w:val="clear" w:color="auto" w:fill="AFBED7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75/25 split</w:t>
            </w:r>
          </w:p>
        </w:tc>
      </w:tr>
      <w:tr w:rsidRPr="00F30DB2" w:rsidR="007F063E" w:rsidTr="007F06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right w:val="single" w:color="auto" w:sz="8" w:space="0"/>
            </w:tcBorders>
            <w:shd w:val="clear" w:color="auto" w:fill="FFFFFF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rPr>
                <w:rFonts w:ascii="Franklin Gothic Medium" w:hAnsi="Franklin Gothic Medium"/>
                <w:b/>
                <w:color w:val="auto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MDES</w:t>
            </w: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MDD</w:t>
            </w: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MDES</w:t>
            </w: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MDD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MDES</w:t>
            </w:r>
          </w:p>
        </w:tc>
        <w:tc>
          <w:tcPr>
            <w:tcW w:w="4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MDD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MDES</w:t>
            </w:r>
          </w:p>
        </w:tc>
        <w:tc>
          <w:tcPr>
            <w:tcW w:w="482" w:type="pct"/>
            <w:tcBorders>
              <w:left w:val="single" w:color="auto" w:sz="8" w:space="0"/>
              <w:right w:val="nil"/>
            </w:tcBorders>
            <w:shd w:val="clear" w:color="auto" w:fill="FFFFFF"/>
            <w:vAlign w:val="bottom"/>
          </w:tcPr>
          <w:p w:rsidRPr="00F30DB2" w:rsidR="007F063E" w:rsidP="007F063E" w:rsidRDefault="007F063E">
            <w:pPr>
              <w:keepNext/>
              <w:keepLines/>
              <w:spacing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/>
                <w:b/>
                <w:color w:val="auto"/>
              </w:rPr>
            </w:pPr>
            <w:r w:rsidRPr="00F30DB2">
              <w:rPr>
                <w:rFonts w:ascii="Franklin Gothic Medium" w:hAnsi="Franklin Gothic Medium"/>
                <w:b/>
                <w:color w:val="auto"/>
              </w:rPr>
              <w:t>MDD</w:t>
            </w:r>
          </w:p>
        </w:tc>
      </w:tr>
      <w:tr w:rsidRPr="00F30DB2" w:rsidR="007F063E" w:rsidTr="007F06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color="auto" w:sz="8" w:space="0"/>
              <w:bottom w:val="single" w:color="auto" w:sz="4" w:space="0"/>
            </w:tcBorders>
            <w:shd w:val="clear" w:color="auto" w:fill="FFFFFF"/>
            <w:noWrap/>
            <w:hideMark/>
          </w:tcPr>
          <w:p w:rsidRPr="00F30DB2" w:rsidR="007F063E" w:rsidP="007F063E" w:rsidRDefault="007F063E">
            <w:pPr>
              <w:spacing w:line="240" w:lineRule="atLeast"/>
              <w:ind w:left="-27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eastAsia="Calibri"/>
                <w:color w:val="auto"/>
              </w:rPr>
              <w:t>5</w:t>
            </w:r>
          </w:p>
        </w:tc>
        <w:tc>
          <w:tcPr>
            <w:tcW w:w="480" w:type="pct"/>
            <w:tcBorders>
              <w:top w:val="single" w:color="auto" w:sz="8" w:space="0"/>
              <w:bottom w:val="single" w:color="auto" w:sz="4" w:space="0"/>
            </w:tcBorders>
            <w:shd w:val="clear" w:color="auto" w:fill="FFFFFF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7.00%</w:t>
            </w:r>
          </w:p>
        </w:tc>
        <w:tc>
          <w:tcPr>
            <w:tcW w:w="480" w:type="pct"/>
            <w:tcBorders>
              <w:top w:val="single" w:color="auto" w:sz="8" w:space="0"/>
              <w:bottom w:val="single" w:color="auto" w:sz="4" w:space="0"/>
            </w:tcBorders>
            <w:shd w:val="clear" w:color="auto" w:fill="FFFFFF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0.35%</w:t>
            </w:r>
          </w:p>
        </w:tc>
        <w:tc>
          <w:tcPr>
            <w:tcW w:w="480" w:type="pct"/>
            <w:tcBorders>
              <w:top w:val="single" w:color="auto" w:sz="8" w:space="0"/>
              <w:bottom w:val="single" w:color="auto" w:sz="4" w:space="0"/>
            </w:tcBorders>
            <w:shd w:val="clear" w:color="auto" w:fill="FFFFFF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8.09%</w:t>
            </w:r>
          </w:p>
        </w:tc>
        <w:tc>
          <w:tcPr>
            <w:tcW w:w="482" w:type="pct"/>
            <w:tcBorders>
              <w:top w:val="single" w:color="auto" w:sz="8" w:space="0"/>
              <w:bottom w:val="single" w:color="auto" w:sz="4" w:space="0"/>
            </w:tcBorders>
            <w:shd w:val="clear" w:color="auto" w:fill="FFFFFF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0.40%</w:t>
            </w:r>
          </w:p>
        </w:tc>
        <w:tc>
          <w:tcPr>
            <w:tcW w:w="497" w:type="pct"/>
            <w:tcBorders>
              <w:top w:val="single" w:color="auto" w:sz="8" w:space="0"/>
              <w:bottom w:val="single" w:color="auto" w:sz="4" w:space="0"/>
            </w:tcBorders>
            <w:shd w:val="clear" w:color="auto" w:fill="FFFFFF"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14.01%</w:t>
            </w:r>
          </w:p>
        </w:tc>
        <w:tc>
          <w:tcPr>
            <w:tcW w:w="481" w:type="pct"/>
            <w:tcBorders>
              <w:top w:val="single" w:color="auto" w:sz="8" w:space="0"/>
              <w:bottom w:val="single" w:color="auto" w:sz="4" w:space="0"/>
            </w:tcBorders>
            <w:shd w:val="clear" w:color="auto" w:fill="FFFFFF"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0.70%</w:t>
            </w:r>
          </w:p>
        </w:tc>
        <w:tc>
          <w:tcPr>
            <w:tcW w:w="497" w:type="pct"/>
            <w:tcBorders>
              <w:top w:val="single" w:color="auto" w:sz="8" w:space="0"/>
              <w:bottom w:val="single" w:color="auto" w:sz="4" w:space="0"/>
            </w:tcBorders>
            <w:shd w:val="clear" w:color="auto" w:fill="FFFFFF"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16.17%</w:t>
            </w:r>
          </w:p>
        </w:tc>
        <w:tc>
          <w:tcPr>
            <w:tcW w:w="482" w:type="pct"/>
            <w:tcBorders>
              <w:right w:val="nil"/>
            </w:tcBorders>
            <w:shd w:val="clear" w:color="auto" w:fill="FFFFFF"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0.81%</w:t>
            </w:r>
          </w:p>
        </w:tc>
      </w:tr>
      <w:tr w:rsidRPr="00F30DB2" w:rsidR="007F063E" w:rsidTr="007F06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right w:val="single" w:color="auto" w:sz="4" w:space="0"/>
            </w:tcBorders>
            <w:shd w:val="clear" w:color="auto" w:fill="FFFFFF"/>
            <w:noWrap/>
            <w:hideMark/>
          </w:tcPr>
          <w:p w:rsidRPr="0096291F" w:rsidR="007F063E" w:rsidP="007F063E" w:rsidRDefault="007F063E">
            <w:pPr>
              <w:spacing w:line="240" w:lineRule="atLeast"/>
              <w:ind w:left="-27"/>
              <w:rPr>
                <w:rFonts w:ascii="Franklin Gothic Medium" w:hAnsi="Franklin Gothic Medium" w:eastAsia="Calibri"/>
                <w:color w:val="auto"/>
                <w:highlight w:val="yellow"/>
              </w:rPr>
            </w:pPr>
            <w:r w:rsidRPr="0096291F">
              <w:rPr>
                <w:rFonts w:ascii="Franklin Gothic Medium" w:hAnsi="Franklin Gothic Medium" w:eastAsia="Calibri"/>
                <w:color w:val="auto"/>
                <w:highlight w:val="yellow"/>
              </w:rPr>
              <w:t>10</w:t>
            </w:r>
          </w:p>
        </w:tc>
        <w:tc>
          <w:tcPr>
            <w:tcW w:w="480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 w:eastAsia="Calibri"/>
                <w:b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7.00%</w:t>
            </w:r>
          </w:p>
        </w:tc>
        <w:tc>
          <w:tcPr>
            <w:tcW w:w="480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0.70%</w:t>
            </w:r>
          </w:p>
        </w:tc>
        <w:tc>
          <w:tcPr>
            <w:tcW w:w="480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8.09%</w:t>
            </w:r>
          </w:p>
        </w:tc>
        <w:tc>
          <w:tcPr>
            <w:tcW w:w="482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0.81%</w:t>
            </w:r>
          </w:p>
        </w:tc>
        <w:tc>
          <w:tcPr>
            <w:tcW w:w="497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7F063E" w:rsidR="007F063E" w:rsidP="007F063E" w:rsidRDefault="007F063E">
            <w:pPr>
              <w:spacing w:line="240" w:lineRule="atLeast"/>
              <w:ind w:right="14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  <w:highlight w:val="yellow"/>
              </w:rPr>
            </w:pPr>
            <w:r w:rsidRPr="007F063E">
              <w:rPr>
                <w:rFonts w:ascii="Franklin Gothic Medium" w:hAnsi="Franklin Gothic Medium" w:cs="Calibri"/>
                <w:color w:val="auto"/>
                <w:highlight w:val="yellow"/>
              </w:rPr>
              <w:t>14.01%</w:t>
            </w:r>
          </w:p>
        </w:tc>
        <w:tc>
          <w:tcPr>
            <w:tcW w:w="481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7F063E" w:rsidR="007F063E" w:rsidP="007F063E" w:rsidRDefault="007F063E">
            <w:pPr>
              <w:spacing w:line="240" w:lineRule="atLeast"/>
              <w:ind w:right="14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  <w:highlight w:val="yellow"/>
              </w:rPr>
            </w:pPr>
            <w:r w:rsidRPr="007F063E">
              <w:rPr>
                <w:rFonts w:ascii="Franklin Gothic Medium" w:hAnsi="Franklin Gothic Medium" w:cs="Calibri"/>
                <w:color w:val="auto"/>
                <w:highlight w:val="yellow"/>
              </w:rPr>
              <w:t>1.40%</w:t>
            </w:r>
          </w:p>
        </w:tc>
        <w:tc>
          <w:tcPr>
            <w:tcW w:w="497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16.17%</w:t>
            </w:r>
          </w:p>
        </w:tc>
        <w:tc>
          <w:tcPr>
            <w:tcW w:w="482" w:type="pct"/>
            <w:tcBorders>
              <w:left w:val="single" w:color="auto" w:sz="4" w:space="0"/>
              <w:right w:val="nil"/>
            </w:tcBorders>
            <w:shd w:val="clear" w:color="auto" w:fill="FFFFFF"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1.62%</w:t>
            </w:r>
          </w:p>
        </w:tc>
      </w:tr>
      <w:tr w:rsidRPr="00F30DB2" w:rsidR="007F063E" w:rsidTr="007F06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noWrap/>
            <w:hideMark/>
          </w:tcPr>
          <w:p w:rsidRPr="00F30DB2" w:rsidR="007F063E" w:rsidP="007F063E" w:rsidRDefault="007F063E">
            <w:pPr>
              <w:spacing w:line="240" w:lineRule="atLeast"/>
              <w:ind w:left="-27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eastAsia="Calibri"/>
                <w:color w:val="auto"/>
              </w:rPr>
              <w:t>20</w:t>
            </w:r>
          </w:p>
        </w:tc>
        <w:tc>
          <w:tcPr>
            <w:tcW w:w="480" w:type="pct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7.00%</w:t>
            </w:r>
          </w:p>
        </w:tc>
        <w:tc>
          <w:tcPr>
            <w:tcW w:w="480" w:type="pct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1.40%</w:t>
            </w:r>
          </w:p>
        </w:tc>
        <w:tc>
          <w:tcPr>
            <w:tcW w:w="480" w:type="pct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8.09%</w:t>
            </w:r>
          </w:p>
        </w:tc>
        <w:tc>
          <w:tcPr>
            <w:tcW w:w="482" w:type="pct"/>
            <w:noWrap/>
            <w:hideMark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1.62%</w:t>
            </w:r>
          </w:p>
        </w:tc>
        <w:tc>
          <w:tcPr>
            <w:tcW w:w="497" w:type="pct"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14.01%</w:t>
            </w:r>
          </w:p>
        </w:tc>
        <w:tc>
          <w:tcPr>
            <w:tcW w:w="481" w:type="pct"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2.80%</w:t>
            </w:r>
          </w:p>
        </w:tc>
        <w:tc>
          <w:tcPr>
            <w:tcW w:w="497" w:type="pct"/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16.17%</w:t>
            </w:r>
          </w:p>
        </w:tc>
        <w:tc>
          <w:tcPr>
            <w:tcW w:w="482" w:type="pct"/>
            <w:tcBorders>
              <w:right w:val="nil"/>
            </w:tcBorders>
          </w:tcPr>
          <w:p w:rsidRPr="00F30DB2" w:rsidR="007F063E" w:rsidP="007F063E" w:rsidRDefault="007F063E">
            <w:pPr>
              <w:spacing w:line="240" w:lineRule="atLeast"/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eastAsia="Calibri"/>
                <w:color w:val="auto"/>
              </w:rPr>
            </w:pPr>
            <w:r w:rsidRPr="00F30DB2">
              <w:rPr>
                <w:rFonts w:ascii="Franklin Gothic Medium" w:hAnsi="Franklin Gothic Medium" w:cs="Calibri"/>
                <w:color w:val="auto"/>
              </w:rPr>
              <w:t>3.23%</w:t>
            </w:r>
          </w:p>
        </w:tc>
      </w:tr>
    </w:tbl>
    <w:p w:rsidR="007F063E" w:rsidRDefault="007F063E"/>
    <w:sectPr w:rsidR="007F06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46" w:rsidRDefault="00637346" w:rsidP="00637346">
      <w:pPr>
        <w:spacing w:after="0" w:line="240" w:lineRule="auto"/>
      </w:pPr>
      <w:r>
        <w:separator/>
      </w:r>
    </w:p>
  </w:endnote>
  <w:endnote w:type="continuationSeparator" w:id="0">
    <w:p w:rsidR="00637346" w:rsidRDefault="00637346" w:rsidP="0063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46" w:rsidRDefault="00637346" w:rsidP="00637346">
      <w:pPr>
        <w:spacing w:after="0" w:line="240" w:lineRule="auto"/>
      </w:pPr>
      <w:r>
        <w:separator/>
      </w:r>
    </w:p>
  </w:footnote>
  <w:footnote w:type="continuationSeparator" w:id="0">
    <w:p w:rsidR="00637346" w:rsidRDefault="00637346" w:rsidP="0063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346" w:rsidRDefault="00637346" w:rsidP="00637346">
    <w:pPr>
      <w:pStyle w:val="Header"/>
      <w:jc w:val="right"/>
    </w:pPr>
    <w:r>
      <w:t>August 5,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23"/>
    <w:rsid w:val="00263999"/>
    <w:rsid w:val="003A7F90"/>
    <w:rsid w:val="004D66E4"/>
    <w:rsid w:val="005B7F23"/>
    <w:rsid w:val="00637346"/>
    <w:rsid w:val="00665997"/>
    <w:rsid w:val="006E31F5"/>
    <w:rsid w:val="0079307A"/>
    <w:rsid w:val="007D6141"/>
    <w:rsid w:val="007F063E"/>
    <w:rsid w:val="008D7886"/>
    <w:rsid w:val="00925338"/>
    <w:rsid w:val="0096291F"/>
    <w:rsid w:val="00BE194C"/>
    <w:rsid w:val="00CB37FA"/>
    <w:rsid w:val="00F0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14E6"/>
  <w15:chartTrackingRefBased/>
  <w15:docId w15:val="{C0CA9AB5-DC98-44B0-9F4F-98325C84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 ECSS"/>
    <w:next w:val="Normal"/>
    <w:uiPriority w:val="35"/>
    <w:semiHidden/>
    <w:unhideWhenUsed/>
    <w:qFormat/>
    <w:rsid w:val="007F063E"/>
    <w:pPr>
      <w:keepNext/>
      <w:keepLines/>
      <w:spacing w:line="480" w:lineRule="auto"/>
    </w:pPr>
    <w:rPr>
      <w:b/>
      <w:iCs/>
      <w:sz w:val="24"/>
      <w:szCs w:val="18"/>
    </w:rPr>
  </w:style>
  <w:style w:type="table" w:customStyle="1" w:styleId="Table5-WPN17-XXX111">
    <w:name w:val="Table 5-WPN 17-XXX111"/>
    <w:basedOn w:val="TableNormal"/>
    <w:uiPriority w:val="99"/>
    <w:rsid w:val="007F063E"/>
    <w:pPr>
      <w:spacing w:after="0" w:line="240" w:lineRule="auto"/>
    </w:pPr>
    <w:rPr>
      <w:rFonts w:ascii="Calibri" w:eastAsia="Times New Roman" w:hAnsi="Calibri" w:cs="Times New Roman"/>
      <w:color w:val="14487C"/>
      <w:sz w:val="20"/>
      <w:szCs w:val="20"/>
    </w:rPr>
    <w:tblPr>
      <w:tblStyleRowBandSize w:val="1"/>
      <w:tblStyleColBandSize w:val="1"/>
      <w:tblInd w:w="115" w:type="dxa"/>
      <w:tblBorders>
        <w:bottom w:val="single" w:sz="4" w:space="0" w:color="14487C"/>
      </w:tblBorders>
      <w:tblCellMar>
        <w:left w:w="115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rFonts w:ascii="Calibri" w:hAnsi="Calibri"/>
        <w:b w:val="0"/>
        <w:color w:val="FFFFFF"/>
        <w:sz w:val="20"/>
      </w:rPr>
      <w:tblPr/>
      <w:tcPr>
        <w:tcBorders>
          <w:insideV w:val="single" w:sz="18" w:space="0" w:color="FFFFFF"/>
        </w:tcBorders>
        <w:shd w:val="clear" w:color="auto" w:fill="14487C"/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rFonts w:ascii="Calibri" w:hAnsi="Calibri"/>
        <w:b w:val="0"/>
        <w:color w:val="14487C"/>
        <w:sz w:val="20"/>
      </w:rPr>
    </w:tblStylePr>
    <w:tblStylePr w:type="band2Vert">
      <w:pPr>
        <w:jc w:val="left"/>
      </w:pPr>
      <w:rPr>
        <w:rFonts w:ascii="Calibri" w:hAnsi="Calibri"/>
        <w:color w:val="14487C"/>
        <w:sz w:val="22"/>
      </w:rPr>
    </w:tblStylePr>
    <w:tblStylePr w:type="band2Horz">
      <w:tblPr/>
      <w:tcPr>
        <w:tcBorders>
          <w:insideV w:val="single" w:sz="18" w:space="0" w:color="FFFFFF"/>
        </w:tcBorders>
        <w:shd w:val="clear" w:color="auto" w:fill="B8CCE4"/>
      </w:tcPr>
    </w:tblStylePr>
  </w:style>
  <w:style w:type="paragraph" w:styleId="Header">
    <w:name w:val="header"/>
    <w:basedOn w:val="Normal"/>
    <w:link w:val="HeaderChar"/>
    <w:uiPriority w:val="99"/>
    <w:unhideWhenUsed/>
    <w:rsid w:val="00637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346"/>
  </w:style>
  <w:style w:type="paragraph" w:styleId="Footer">
    <w:name w:val="footer"/>
    <w:basedOn w:val="Normal"/>
    <w:link w:val="FooterChar"/>
    <w:uiPriority w:val="99"/>
    <w:unhideWhenUsed/>
    <w:rsid w:val="00637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Dana - REE-NASS, Washington, DC</dc:creator>
  <cp:keywords/>
  <dc:description/>
  <cp:lastModifiedBy>Hancock, David - REE-NASS, Washington, DC</cp:lastModifiedBy>
  <cp:revision>2</cp:revision>
  <dcterms:created xsi:type="dcterms:W3CDTF">2020-08-05T13:10:00Z</dcterms:created>
  <dcterms:modified xsi:type="dcterms:W3CDTF">2020-08-05T13:10:00Z</dcterms:modified>
</cp:coreProperties>
</file>