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459" w:rsidRDefault="009F4459">
      <w:pPr>
        <w:pStyle w:val="Title"/>
      </w:pPr>
      <w:bookmarkStart w:name="_GoBack" w:id="0"/>
      <w:bookmarkEnd w:id="0"/>
    </w:p>
    <w:p w:rsidR="00FA164D" w:rsidRDefault="00FA164D">
      <w:pPr>
        <w:pStyle w:val="Title"/>
      </w:pPr>
      <w:r>
        <w:t>Supporting Statement – Part A</w:t>
      </w:r>
    </w:p>
    <w:p w:rsidR="00FA164D" w:rsidRDefault="00FA164D">
      <w:pPr>
        <w:pStyle w:val="Heading3"/>
        <w:jc w:val="center"/>
      </w:pPr>
      <w:r>
        <w:t>U.S. Department of Commerce</w:t>
      </w:r>
    </w:p>
    <w:p w:rsidR="00FA164D" w:rsidRDefault="00FA164D">
      <w:pPr>
        <w:pStyle w:val="Heading4"/>
      </w:pPr>
      <w:r>
        <w:t>U.S. Census Bureau</w:t>
      </w:r>
    </w:p>
    <w:p w:rsidR="00FA164D" w:rsidRDefault="00FA164D">
      <w:pPr>
        <w:jc w:val="center"/>
        <w:rPr>
          <w:sz w:val="24"/>
        </w:rPr>
      </w:pPr>
      <w:r>
        <w:rPr>
          <w:b/>
          <w:color w:val="000000"/>
          <w:sz w:val="24"/>
        </w:rPr>
        <w:t>S</w:t>
      </w:r>
      <w:r>
        <w:rPr>
          <w:b/>
          <w:sz w:val="24"/>
        </w:rPr>
        <w:t>urvey of Housing Starts, Sales, and Completions (SOC)</w:t>
      </w:r>
    </w:p>
    <w:p w:rsidR="00FA164D" w:rsidRDefault="00FA164D">
      <w:pPr>
        <w:jc w:val="center"/>
        <w:rPr>
          <w:b/>
          <w:sz w:val="24"/>
        </w:rPr>
      </w:pPr>
      <w:r>
        <w:rPr>
          <w:b/>
          <w:sz w:val="24"/>
        </w:rPr>
        <w:t>OMB Control No. 0607-0110</w:t>
      </w:r>
    </w:p>
    <w:p w:rsidR="00FA164D" w:rsidRDefault="00FA164D">
      <w:pPr>
        <w:tabs>
          <w:tab w:val="left" w:pos="720"/>
        </w:tabs>
        <w:ind w:left="720" w:hanging="720"/>
        <w:jc w:val="center"/>
        <w:rPr>
          <w:b/>
          <w:sz w:val="24"/>
          <w:szCs w:val="24"/>
        </w:rPr>
      </w:pPr>
    </w:p>
    <w:p w:rsidR="00FA164D" w:rsidRDefault="00FA164D">
      <w:pPr>
        <w:tabs>
          <w:tab w:val="left" w:pos="720"/>
        </w:tabs>
        <w:ind w:left="720" w:hanging="720"/>
        <w:jc w:val="center"/>
        <w:rPr>
          <w:b/>
          <w:sz w:val="24"/>
          <w:szCs w:val="24"/>
        </w:rPr>
      </w:pPr>
    </w:p>
    <w:p w:rsidR="00FA164D" w:rsidRDefault="00FA164D">
      <w:pPr>
        <w:tabs>
          <w:tab w:val="left" w:pos="720"/>
        </w:tabs>
        <w:ind w:left="720" w:hanging="720"/>
        <w:jc w:val="center"/>
        <w:rPr>
          <w:b/>
          <w:sz w:val="24"/>
          <w:szCs w:val="24"/>
        </w:rPr>
      </w:pPr>
    </w:p>
    <w:p w:rsidR="00FA164D" w:rsidRDefault="00FA164D">
      <w:pPr>
        <w:tabs>
          <w:tab w:val="left" w:pos="720"/>
        </w:tabs>
        <w:ind w:left="720" w:hanging="720"/>
        <w:rPr>
          <w:b/>
          <w:sz w:val="24"/>
          <w:szCs w:val="24"/>
        </w:rPr>
      </w:pPr>
      <w:r>
        <w:rPr>
          <w:b/>
          <w:sz w:val="24"/>
          <w:szCs w:val="24"/>
        </w:rPr>
        <w:t>A.</w:t>
      </w:r>
      <w:r>
        <w:rPr>
          <w:b/>
          <w:sz w:val="24"/>
          <w:szCs w:val="24"/>
        </w:rPr>
        <w:tab/>
      </w:r>
      <w:r>
        <w:rPr>
          <w:b/>
          <w:sz w:val="24"/>
          <w:szCs w:val="24"/>
          <w:u w:val="single"/>
        </w:rPr>
        <w:t>Justification</w:t>
      </w:r>
    </w:p>
    <w:p w:rsidR="00FA164D" w:rsidRDefault="00FA164D">
      <w:pPr>
        <w:tabs>
          <w:tab w:val="left" w:pos="720"/>
        </w:tabs>
        <w:ind w:left="720" w:hanging="720"/>
        <w:rPr>
          <w:b/>
          <w:bCs/>
          <w:sz w:val="24"/>
          <w:szCs w:val="24"/>
        </w:rPr>
      </w:pPr>
    </w:p>
    <w:p w:rsidR="00FA164D" w:rsidRDefault="00FA164D">
      <w:pPr>
        <w:tabs>
          <w:tab w:val="left" w:pos="720"/>
          <w:tab w:val="left" w:pos="1440"/>
        </w:tabs>
        <w:ind w:left="1440" w:hanging="720"/>
        <w:rPr>
          <w:b/>
          <w:bCs/>
          <w:sz w:val="24"/>
          <w:szCs w:val="24"/>
        </w:rPr>
      </w:pPr>
      <w:r>
        <w:rPr>
          <w:b/>
          <w:bCs/>
          <w:sz w:val="24"/>
          <w:szCs w:val="24"/>
        </w:rPr>
        <w:t>1.</w:t>
      </w:r>
      <w:r>
        <w:rPr>
          <w:b/>
          <w:bCs/>
          <w:sz w:val="24"/>
          <w:szCs w:val="24"/>
        </w:rPr>
        <w:tab/>
      </w:r>
      <w:r>
        <w:rPr>
          <w:b/>
          <w:bCs/>
          <w:sz w:val="24"/>
          <w:szCs w:val="24"/>
          <w:u w:val="single"/>
        </w:rPr>
        <w:t>Necessity of the Information Collection</w:t>
      </w:r>
    </w:p>
    <w:p w:rsidR="00FA164D" w:rsidRDefault="00FA164D">
      <w:pPr>
        <w:pStyle w:val="BodyTextIndent"/>
      </w:pPr>
    </w:p>
    <w:p w:rsidR="00FA164D" w:rsidRDefault="00FA164D">
      <w:pPr>
        <w:ind w:left="1440"/>
        <w:rPr>
          <w:sz w:val="24"/>
        </w:rPr>
      </w:pPr>
      <w:r>
        <w:rPr>
          <w:sz w:val="24"/>
        </w:rPr>
        <w:t>The U. S. Census Bureau is requesting an</w:t>
      </w:r>
      <w:r w:rsidR="000F6434">
        <w:rPr>
          <w:sz w:val="24"/>
        </w:rPr>
        <w:t xml:space="preserve"> </w:t>
      </w:r>
      <w:r>
        <w:rPr>
          <w:sz w:val="24"/>
        </w:rPr>
        <w:t xml:space="preserve">extension of the currently approved collection for the Survey of Housing Starts, Sales, and Completions, otherwise known as the Survey of Construction (SOC).  </w:t>
      </w:r>
      <w:r>
        <w:rPr>
          <w:sz w:val="24"/>
          <w:szCs w:val="24"/>
        </w:rPr>
        <w:t>The Census Bureau is authorized under Title 13, United States Code, Sections 131 and 182</w:t>
      </w:r>
      <w:r w:rsidR="00CC17EA">
        <w:rPr>
          <w:sz w:val="24"/>
          <w:szCs w:val="24"/>
        </w:rPr>
        <w:t xml:space="preserve"> </w:t>
      </w:r>
      <w:r>
        <w:rPr>
          <w:sz w:val="24"/>
          <w:szCs w:val="24"/>
        </w:rPr>
        <w:t>to collect information on new residential buildings</w:t>
      </w:r>
      <w:r w:rsidRPr="00CC17EA" w:rsidR="00CC17EA">
        <w:rPr>
          <w:sz w:val="24"/>
          <w:szCs w:val="24"/>
        </w:rPr>
        <w:t xml:space="preserve"> (see Attachment E)</w:t>
      </w:r>
      <w:r>
        <w:rPr>
          <w:sz w:val="24"/>
          <w:szCs w:val="24"/>
        </w:rPr>
        <w:t xml:space="preserve">.  </w:t>
      </w:r>
      <w:r>
        <w:rPr>
          <w:sz w:val="24"/>
        </w:rPr>
        <w:t>Government agencies and private companies use statistics from SOC to monitor and evaluate the large and dynamic housing construction industry</w:t>
      </w:r>
      <w:r w:rsidRPr="009F6F98">
        <w:rPr>
          <w:sz w:val="24"/>
        </w:rPr>
        <w:t xml:space="preserve">.  Data for two principal economic indicators are produced from the SOC:  New Residential Construction (housing starts and housing completions) and New Residential Sales.  In addition, </w:t>
      </w:r>
      <w:proofErr w:type="gramStart"/>
      <w:r w:rsidRPr="009F6F98">
        <w:rPr>
          <w:sz w:val="24"/>
        </w:rPr>
        <w:t>a number of</w:t>
      </w:r>
      <w:proofErr w:type="gramEnd"/>
      <w:r w:rsidRPr="009F6F98">
        <w:rPr>
          <w:sz w:val="24"/>
        </w:rPr>
        <w:t xml:space="preserve"> other statistical series are produced, including extensive information on the physical characteristics of new residential buildings, and</w:t>
      </w:r>
      <w:r>
        <w:rPr>
          <w:sz w:val="24"/>
        </w:rPr>
        <w:t xml:space="preserve"> indexes measuring rates of inflation in the price of new buildings.  These statistics are based on a sample of residential buildings in permit-issuing places and a road canvass in a sample of land areas not covered by building permit systems.</w:t>
      </w:r>
    </w:p>
    <w:p w:rsidR="00FA164D" w:rsidRDefault="00FA164D">
      <w:pPr>
        <w:pStyle w:val="BodyTextIndent"/>
      </w:pPr>
    </w:p>
    <w:p w:rsidR="00FA164D" w:rsidRDefault="00FA164D">
      <w:pPr>
        <w:ind w:left="1440"/>
        <w:rPr>
          <w:sz w:val="24"/>
          <w:highlight w:val="yellow"/>
        </w:rPr>
      </w:pPr>
      <w:r>
        <w:rPr>
          <w:sz w:val="24"/>
        </w:rPr>
        <w:t xml:space="preserve">The field representatives (FRs) mail forms SOC-QI/SF.1 and SOC-QI/MF.1 to new respondents to complete (see Attachments A and B).  A few days later, the FRs either call or visit the respondents to enter their survey responses into a laptop computer using the Computer Assisted Personal Interviewing (CAPI) software formatted for the SOC-QI/SF.1 and SOC-QI/MF.1 </w:t>
      </w:r>
      <w:proofErr w:type="gramStart"/>
      <w:r>
        <w:rPr>
          <w:sz w:val="24"/>
        </w:rPr>
        <w:t>forms</w:t>
      </w:r>
      <w:proofErr w:type="gramEnd"/>
      <w:r>
        <w:rPr>
          <w:sz w:val="24"/>
        </w:rPr>
        <w:t>.  The respondents are home</w:t>
      </w:r>
      <w:r w:rsidR="000F6434">
        <w:rPr>
          <w:sz w:val="24"/>
        </w:rPr>
        <w:t xml:space="preserve"> </w:t>
      </w:r>
      <w:r>
        <w:rPr>
          <w:sz w:val="24"/>
        </w:rPr>
        <w:t xml:space="preserve">builders, real estate agents, rental agents, or new homeowners of sampled residential buildings. FRs contact </w:t>
      </w:r>
      <w:proofErr w:type="gramStart"/>
      <w:r>
        <w:rPr>
          <w:sz w:val="24"/>
        </w:rPr>
        <w:t>respondents</w:t>
      </w:r>
      <w:proofErr w:type="gramEnd"/>
      <w:r>
        <w:rPr>
          <w:sz w:val="24"/>
        </w:rPr>
        <w:t xml:space="preserve"> multiple times based on the number of projects in the sample and the number of months </w:t>
      </w:r>
      <w:r w:rsidR="00ED669B">
        <w:rPr>
          <w:sz w:val="24"/>
        </w:rPr>
        <w:t xml:space="preserve">required </w:t>
      </w:r>
      <w:r>
        <w:rPr>
          <w:sz w:val="24"/>
        </w:rPr>
        <w:t>to</w:t>
      </w:r>
      <w:r w:rsidR="0019368B">
        <w:rPr>
          <w:sz w:val="24"/>
        </w:rPr>
        <w:t xml:space="preserve"> </w:t>
      </w:r>
      <w:r>
        <w:rPr>
          <w:sz w:val="24"/>
        </w:rPr>
        <w:t>complete the project.</w:t>
      </w:r>
    </w:p>
    <w:p w:rsidR="00FA164D" w:rsidRDefault="00FA164D">
      <w:pPr>
        <w:pStyle w:val="BodyTextIndent"/>
        <w:rPr>
          <w:szCs w:val="20"/>
        </w:rPr>
      </w:pPr>
    </w:p>
    <w:p w:rsidR="00FA164D" w:rsidRDefault="00FA164D">
      <w:pPr>
        <w:tabs>
          <w:tab w:val="left" w:pos="720"/>
          <w:tab w:val="left" w:pos="1440"/>
        </w:tabs>
        <w:ind w:left="1440" w:hanging="720"/>
        <w:rPr>
          <w:b/>
          <w:bCs/>
          <w:sz w:val="24"/>
          <w:szCs w:val="24"/>
        </w:rPr>
      </w:pPr>
      <w:r>
        <w:rPr>
          <w:b/>
          <w:bCs/>
          <w:sz w:val="24"/>
          <w:szCs w:val="24"/>
        </w:rPr>
        <w:t>2.</w:t>
      </w:r>
      <w:r>
        <w:rPr>
          <w:b/>
          <w:bCs/>
          <w:sz w:val="24"/>
          <w:szCs w:val="24"/>
        </w:rPr>
        <w:tab/>
      </w:r>
      <w:r>
        <w:rPr>
          <w:b/>
          <w:bCs/>
          <w:sz w:val="24"/>
          <w:szCs w:val="24"/>
          <w:u w:val="single"/>
        </w:rPr>
        <w:t>Needs and Uses</w:t>
      </w:r>
    </w:p>
    <w:p w:rsidR="00FA164D" w:rsidRDefault="00FA164D">
      <w:pPr>
        <w:rPr>
          <w:sz w:val="24"/>
          <w:szCs w:val="24"/>
        </w:rPr>
      </w:pPr>
    </w:p>
    <w:p w:rsidR="00FA164D" w:rsidRDefault="00FA164D">
      <w:pPr>
        <w:tabs>
          <w:tab w:val="left" w:pos="-540"/>
          <w:tab w:val="left" w:pos="-180"/>
          <w:tab w:val="left" w:pos="540"/>
          <w:tab w:val="left" w:pos="1080"/>
          <w:tab w:val="left" w:pos="1080"/>
          <w:tab w:val="left" w:pos="1620"/>
          <w:tab w:val="left" w:pos="1980"/>
          <w:tab w:val="left" w:pos="2340"/>
          <w:tab w:val="left" w:pos="2700"/>
          <w:tab w:val="left" w:pos="3420"/>
          <w:tab w:val="left" w:pos="4140"/>
          <w:tab w:val="left" w:pos="4860"/>
          <w:tab w:val="left" w:pos="5580"/>
          <w:tab w:val="left" w:pos="6300"/>
          <w:tab w:val="left" w:pos="7020"/>
          <w:tab w:val="left" w:pos="7740"/>
          <w:tab w:val="left" w:pos="8460"/>
          <w:tab w:val="left" w:pos="9180"/>
          <w:tab w:val="left" w:pos="9900"/>
        </w:tabs>
        <w:ind w:left="1440"/>
        <w:rPr>
          <w:sz w:val="24"/>
        </w:rPr>
      </w:pPr>
      <w:r>
        <w:rPr>
          <w:sz w:val="24"/>
        </w:rPr>
        <w:t xml:space="preserve">The Census Bureau uses the information collected in the SOC to publish estimates of the number of new residential housing units started, under construction, completed, and the number of new houses sold and for sale.  The Census Bureau also publishes many financial and physical characteristics of new housing units.  Government agencies use these statistics to evaluate economic policy, measure progress towards the national housing goal, make policy decisions, and formulate </w:t>
      </w:r>
      <w:r>
        <w:rPr>
          <w:sz w:val="24"/>
        </w:rPr>
        <w:lastRenderedPageBreak/>
        <w:t xml:space="preserve">legislation.  For example, the Board of Governors of the Federal Reserve System uses data from this </w:t>
      </w:r>
      <w:r w:rsidRPr="009F6F98">
        <w:rPr>
          <w:sz w:val="24"/>
        </w:rPr>
        <w:t>survey to evaluate the effect of interest</w:t>
      </w:r>
      <w:r w:rsidRPr="009F6F98" w:rsidR="00642CB1">
        <w:rPr>
          <w:sz w:val="24"/>
        </w:rPr>
        <w:t xml:space="preserve"> rates</w:t>
      </w:r>
      <w:r w:rsidRPr="009F6F98">
        <w:rPr>
          <w:sz w:val="24"/>
        </w:rPr>
        <w:t>.  The Bureau of Economic Analysis uses the data in developing the Gross Domestic Product (GDP).  The private sector uses</w:t>
      </w:r>
      <w:r>
        <w:rPr>
          <w:sz w:val="24"/>
        </w:rPr>
        <w:t xml:space="preserve"> the information for estimating the demand for building materials and the many products used in new housing and to schedule production, distribution, and sales efforts.  The financial community uses the data to estimate the demand for short-term (construction loans) and long-term (mortgages) borrowing.</w:t>
      </w:r>
    </w:p>
    <w:p w:rsidR="00FA164D" w:rsidRDefault="00FA164D">
      <w:pPr>
        <w:tabs>
          <w:tab w:val="left" w:pos="-540"/>
          <w:tab w:val="left" w:pos="-180"/>
          <w:tab w:val="left" w:pos="540"/>
          <w:tab w:val="left" w:pos="1080"/>
          <w:tab w:val="left" w:pos="1080"/>
          <w:tab w:val="left" w:pos="1620"/>
          <w:tab w:val="left" w:pos="1980"/>
          <w:tab w:val="left" w:pos="2340"/>
          <w:tab w:val="left" w:pos="2700"/>
          <w:tab w:val="left" w:pos="3420"/>
          <w:tab w:val="left" w:pos="4140"/>
          <w:tab w:val="left" w:pos="4860"/>
          <w:tab w:val="left" w:pos="5580"/>
          <w:tab w:val="left" w:pos="6300"/>
          <w:tab w:val="left" w:pos="7020"/>
          <w:tab w:val="left" w:pos="7740"/>
          <w:tab w:val="left" w:pos="8460"/>
          <w:tab w:val="left" w:pos="9180"/>
          <w:tab w:val="left" w:pos="9900"/>
        </w:tabs>
        <w:ind w:left="1080"/>
        <w:rPr>
          <w:sz w:val="24"/>
        </w:rPr>
      </w:pPr>
    </w:p>
    <w:p w:rsidR="00FA164D" w:rsidRDefault="00FA164D">
      <w:pPr>
        <w:ind w:left="1440"/>
        <w:rPr>
          <w:sz w:val="24"/>
        </w:rPr>
      </w:pPr>
      <w:r>
        <w:rPr>
          <w:sz w:val="24"/>
        </w:rPr>
        <w:t>Information quality is an integral part of the pre-dissemination review of information disseminated by the Census Bureau (fully described in the Census Bureau’s Information Quality Guidelines).  Information quality is also integral to information collections conducted by the Census Bureau and is incorporated into the clearance process required by the Paperwork Reduction Act.</w:t>
      </w:r>
    </w:p>
    <w:p w:rsidR="00FA164D" w:rsidRDefault="00FA164D">
      <w:pPr>
        <w:tabs>
          <w:tab w:val="left" w:pos="720"/>
          <w:tab w:val="left" w:pos="1440"/>
        </w:tabs>
        <w:ind w:left="1440" w:hanging="1440"/>
        <w:rPr>
          <w:b/>
          <w:bCs/>
          <w:sz w:val="24"/>
          <w:szCs w:val="24"/>
        </w:rPr>
      </w:pPr>
    </w:p>
    <w:p w:rsidR="00FA164D" w:rsidRDefault="00FA164D">
      <w:pPr>
        <w:tabs>
          <w:tab w:val="left" w:pos="720"/>
          <w:tab w:val="left" w:pos="1440"/>
        </w:tabs>
        <w:ind w:left="1440" w:hanging="1440"/>
        <w:rPr>
          <w:b/>
          <w:bCs/>
          <w:sz w:val="24"/>
          <w:szCs w:val="24"/>
        </w:rPr>
      </w:pPr>
      <w:r>
        <w:rPr>
          <w:b/>
          <w:bCs/>
          <w:sz w:val="24"/>
          <w:szCs w:val="24"/>
        </w:rPr>
        <w:tab/>
        <w:t>3.</w:t>
      </w:r>
      <w:r>
        <w:rPr>
          <w:b/>
          <w:bCs/>
          <w:sz w:val="24"/>
          <w:szCs w:val="24"/>
        </w:rPr>
        <w:tab/>
      </w:r>
      <w:r>
        <w:rPr>
          <w:b/>
          <w:bCs/>
          <w:sz w:val="24"/>
          <w:szCs w:val="24"/>
          <w:u w:val="single"/>
        </w:rPr>
        <w:t>Use of Information Technology</w:t>
      </w:r>
    </w:p>
    <w:p w:rsidR="00FA164D" w:rsidRDefault="00FA164D">
      <w:pPr>
        <w:rPr>
          <w:sz w:val="24"/>
          <w:szCs w:val="24"/>
        </w:rPr>
      </w:pPr>
    </w:p>
    <w:p w:rsidR="00FA164D" w:rsidRDefault="00FA164D">
      <w:pPr>
        <w:pStyle w:val="BodyTextIndent"/>
        <w:tabs>
          <w:tab w:val="left" w:pos="-540"/>
          <w:tab w:val="left" w:pos="-180"/>
          <w:tab w:val="left" w:pos="540"/>
          <w:tab w:val="left" w:pos="1080"/>
          <w:tab w:val="left" w:pos="1080"/>
          <w:tab w:val="left" w:pos="1620"/>
          <w:tab w:val="left" w:pos="1980"/>
          <w:tab w:val="left" w:pos="2340"/>
          <w:tab w:val="left" w:pos="2700"/>
          <w:tab w:val="left" w:pos="3420"/>
          <w:tab w:val="left" w:pos="4140"/>
          <w:tab w:val="left" w:pos="4860"/>
          <w:tab w:val="left" w:pos="5580"/>
          <w:tab w:val="left" w:pos="6300"/>
          <w:tab w:val="left" w:pos="7020"/>
          <w:tab w:val="left" w:pos="7740"/>
          <w:tab w:val="left" w:pos="8460"/>
          <w:tab w:val="left" w:pos="9180"/>
          <w:tab w:val="left" w:pos="9900"/>
        </w:tabs>
      </w:pPr>
      <w:r>
        <w:t xml:space="preserve">FRs collect the data using CAPI either by phone or in person.  </w:t>
      </w:r>
      <w:r w:rsidR="00ED669B">
        <w:t>P</w:t>
      </w:r>
      <w:r>
        <w:t xml:space="preserve">hone </w:t>
      </w:r>
      <w:r w:rsidR="00ED669B">
        <w:t xml:space="preserve">contacts are encouraged </w:t>
      </w:r>
      <w:r>
        <w:t xml:space="preserve">to minimize cost. If a respondent cannot be reached by phone, the FR will make a personal visit to the site or to a sales office.  FRs mail a printed version of the questionnaire to new respondents to document the questions asked in the interview and to provide the expiration date of the </w:t>
      </w:r>
      <w:r w:rsidR="005C3261">
        <w:t>Office of Management and Budget (</w:t>
      </w:r>
      <w:r>
        <w:t>OMB</w:t>
      </w:r>
      <w:r w:rsidR="005C3261">
        <w:t>)</w:t>
      </w:r>
      <w:r>
        <w:t xml:space="preserve"> approval of the survey.  See Attachments A and B.</w:t>
      </w:r>
    </w:p>
    <w:p w:rsidR="00FA164D" w:rsidRDefault="00FA164D">
      <w:pPr>
        <w:ind w:left="1440"/>
        <w:rPr>
          <w:b/>
          <w:bCs/>
          <w:sz w:val="24"/>
          <w:szCs w:val="24"/>
        </w:rPr>
      </w:pPr>
    </w:p>
    <w:p w:rsidR="00FA164D" w:rsidRDefault="00FA164D">
      <w:pPr>
        <w:tabs>
          <w:tab w:val="left" w:pos="720"/>
          <w:tab w:val="left" w:pos="1440"/>
        </w:tabs>
        <w:ind w:left="1440" w:hanging="720"/>
        <w:rPr>
          <w:b/>
          <w:bCs/>
          <w:sz w:val="24"/>
          <w:szCs w:val="24"/>
        </w:rPr>
      </w:pPr>
      <w:r>
        <w:rPr>
          <w:b/>
          <w:bCs/>
          <w:sz w:val="24"/>
          <w:szCs w:val="24"/>
        </w:rPr>
        <w:t>4.</w:t>
      </w:r>
      <w:r>
        <w:rPr>
          <w:b/>
          <w:bCs/>
          <w:sz w:val="24"/>
          <w:szCs w:val="24"/>
        </w:rPr>
        <w:tab/>
      </w:r>
      <w:r>
        <w:rPr>
          <w:b/>
          <w:bCs/>
          <w:sz w:val="24"/>
          <w:szCs w:val="24"/>
          <w:u w:val="single"/>
        </w:rPr>
        <w:t>Efforts to Identify Duplication</w:t>
      </w:r>
    </w:p>
    <w:p w:rsidR="00FA164D" w:rsidRDefault="00FA164D">
      <w:pPr>
        <w:rPr>
          <w:sz w:val="24"/>
          <w:szCs w:val="24"/>
        </w:rPr>
      </w:pPr>
    </w:p>
    <w:p w:rsidR="00FA164D" w:rsidRDefault="00FA164D">
      <w:pPr>
        <w:pStyle w:val="BodyTextIndent"/>
        <w:tabs>
          <w:tab w:val="left" w:pos="-540"/>
          <w:tab w:val="left" w:pos="-180"/>
          <w:tab w:val="left" w:pos="540"/>
          <w:tab w:val="left" w:pos="1080"/>
          <w:tab w:val="left" w:pos="1080"/>
          <w:tab w:val="left" w:pos="1620"/>
          <w:tab w:val="left" w:pos="1980"/>
          <w:tab w:val="left" w:pos="2340"/>
          <w:tab w:val="left" w:pos="2700"/>
          <w:tab w:val="left" w:pos="3420"/>
          <w:tab w:val="left" w:pos="4140"/>
          <w:tab w:val="left" w:pos="4860"/>
          <w:tab w:val="left" w:pos="5580"/>
          <w:tab w:val="left" w:pos="6300"/>
          <w:tab w:val="left" w:pos="7020"/>
          <w:tab w:val="left" w:pos="7740"/>
          <w:tab w:val="left" w:pos="8460"/>
          <w:tab w:val="left" w:pos="9180"/>
          <w:tab w:val="left" w:pos="9900"/>
        </w:tabs>
        <w:rPr>
          <w:szCs w:val="20"/>
        </w:rPr>
      </w:pPr>
      <w:r>
        <w:rPr>
          <w:szCs w:val="20"/>
        </w:rPr>
        <w:t>We have examined the statistics from the current surveys of the Census Bureau, U.S. Department of Housing and Urban Development</w:t>
      </w:r>
      <w:r w:rsidR="00DB113E">
        <w:rPr>
          <w:szCs w:val="20"/>
        </w:rPr>
        <w:t xml:space="preserve"> </w:t>
      </w:r>
      <w:r w:rsidR="00403C6E">
        <w:rPr>
          <w:szCs w:val="20"/>
        </w:rPr>
        <w:t>(HUD)</w:t>
      </w:r>
      <w:r>
        <w:rPr>
          <w:szCs w:val="20"/>
        </w:rPr>
        <w:t xml:space="preserve">, and the National Association of Home Builders and, to our knowledge, duplication does not exist.  </w:t>
      </w:r>
      <w:r w:rsidRPr="00C50458">
        <w:rPr>
          <w:szCs w:val="20"/>
        </w:rPr>
        <w:t xml:space="preserve">Also, </w:t>
      </w:r>
      <w:r w:rsidRPr="00C50458" w:rsidR="009D3662">
        <w:rPr>
          <w:szCs w:val="20"/>
        </w:rPr>
        <w:t xml:space="preserve">Dodge Data &amp; Analytics </w:t>
      </w:r>
      <w:r w:rsidRPr="00C50458">
        <w:rPr>
          <w:szCs w:val="20"/>
        </w:rPr>
        <w:t>publishes housing starts, but they are not as reliable or complete.</w:t>
      </w:r>
    </w:p>
    <w:p w:rsidR="00FA164D" w:rsidRDefault="00FA164D">
      <w:pPr>
        <w:tabs>
          <w:tab w:val="left" w:pos="-540"/>
          <w:tab w:val="left" w:pos="-180"/>
          <w:tab w:val="left" w:pos="540"/>
          <w:tab w:val="left" w:pos="1080"/>
          <w:tab w:val="left" w:pos="1080"/>
          <w:tab w:val="left" w:pos="1620"/>
          <w:tab w:val="left" w:pos="1980"/>
          <w:tab w:val="left" w:pos="2340"/>
          <w:tab w:val="left" w:pos="2700"/>
          <w:tab w:val="left" w:pos="3420"/>
          <w:tab w:val="left" w:pos="4140"/>
          <w:tab w:val="left" w:pos="4860"/>
          <w:tab w:val="left" w:pos="5580"/>
          <w:tab w:val="left" w:pos="6300"/>
          <w:tab w:val="left" w:pos="7020"/>
          <w:tab w:val="left" w:pos="7740"/>
          <w:tab w:val="left" w:pos="8460"/>
          <w:tab w:val="left" w:pos="9180"/>
          <w:tab w:val="left" w:pos="9900"/>
        </w:tabs>
        <w:ind w:left="1440"/>
        <w:rPr>
          <w:sz w:val="24"/>
          <w:szCs w:val="24"/>
        </w:rPr>
      </w:pPr>
    </w:p>
    <w:p w:rsidR="00FA164D" w:rsidRDefault="00FA164D">
      <w:pPr>
        <w:tabs>
          <w:tab w:val="left" w:pos="720"/>
          <w:tab w:val="left" w:pos="1440"/>
        </w:tabs>
        <w:ind w:left="1440" w:hanging="720"/>
        <w:rPr>
          <w:b/>
          <w:bCs/>
          <w:sz w:val="24"/>
          <w:szCs w:val="24"/>
        </w:rPr>
      </w:pPr>
      <w:r>
        <w:rPr>
          <w:b/>
          <w:bCs/>
          <w:sz w:val="24"/>
          <w:szCs w:val="24"/>
        </w:rPr>
        <w:t>5.</w:t>
      </w:r>
      <w:r>
        <w:rPr>
          <w:b/>
          <w:bCs/>
          <w:sz w:val="24"/>
          <w:szCs w:val="24"/>
        </w:rPr>
        <w:tab/>
      </w:r>
      <w:r>
        <w:rPr>
          <w:b/>
          <w:bCs/>
          <w:sz w:val="24"/>
          <w:szCs w:val="24"/>
          <w:u w:val="single"/>
        </w:rPr>
        <w:t>Minimizing Burden</w:t>
      </w:r>
    </w:p>
    <w:p w:rsidR="00FA164D" w:rsidRDefault="00FA164D">
      <w:pPr>
        <w:rPr>
          <w:sz w:val="24"/>
          <w:szCs w:val="24"/>
        </w:rPr>
      </w:pPr>
    </w:p>
    <w:p w:rsidR="00FA164D" w:rsidRDefault="00FA164D">
      <w:pPr>
        <w:pStyle w:val="BodyTextIndent"/>
        <w:tabs>
          <w:tab w:val="left" w:pos="-540"/>
          <w:tab w:val="left" w:pos="-180"/>
          <w:tab w:val="left" w:pos="540"/>
          <w:tab w:val="left" w:pos="1080"/>
          <w:tab w:val="left" w:pos="1080"/>
          <w:tab w:val="left" w:pos="1620"/>
          <w:tab w:val="left" w:pos="1980"/>
          <w:tab w:val="left" w:pos="2340"/>
          <w:tab w:val="left" w:pos="2700"/>
          <w:tab w:val="left" w:pos="3420"/>
          <w:tab w:val="left" w:pos="4140"/>
          <w:tab w:val="left" w:pos="4860"/>
          <w:tab w:val="left" w:pos="5580"/>
          <w:tab w:val="left" w:pos="6300"/>
          <w:tab w:val="left" w:pos="7020"/>
          <w:tab w:val="left" w:pos="7740"/>
          <w:tab w:val="left" w:pos="8460"/>
          <w:tab w:val="left" w:pos="9180"/>
          <w:tab w:val="left" w:pos="9900"/>
        </w:tabs>
        <w:rPr>
          <w:szCs w:val="20"/>
        </w:rPr>
      </w:pPr>
      <w:r>
        <w:rPr>
          <w:szCs w:val="20"/>
        </w:rPr>
        <w:t>To reduce respondent burden, we use variable sampling patterns dependent upon monthly construction activity.  With this methodology, introduced in 1984, respondent burden remains relatively stable in times of high and low building activity.</w:t>
      </w:r>
    </w:p>
    <w:p w:rsidR="00FA164D" w:rsidRDefault="00FA164D">
      <w:pPr>
        <w:tabs>
          <w:tab w:val="left" w:pos="-1620"/>
          <w:tab w:val="left" w:pos="-1260"/>
          <w:tab w:val="left" w:pos="-540"/>
          <w:tab w:val="left" w:pos="0"/>
          <w:tab w:val="left" w:pos="0"/>
          <w:tab w:val="left" w:pos="540"/>
          <w:tab w:val="left" w:pos="900"/>
          <w:tab w:val="left" w:pos="1260"/>
          <w:tab w:val="left" w:pos="1620"/>
          <w:tab w:val="left" w:pos="2340"/>
          <w:tab w:val="left" w:pos="3060"/>
          <w:tab w:val="left" w:pos="3780"/>
          <w:tab w:val="left" w:pos="4500"/>
          <w:tab w:val="left" w:pos="5220"/>
          <w:tab w:val="left" w:pos="5940"/>
          <w:tab w:val="left" w:pos="6660"/>
          <w:tab w:val="left" w:pos="7380"/>
          <w:tab w:val="left" w:pos="8100"/>
          <w:tab w:val="left" w:pos="8820"/>
        </w:tabs>
        <w:rPr>
          <w:sz w:val="24"/>
        </w:rPr>
      </w:pPr>
    </w:p>
    <w:p w:rsidR="00FA164D" w:rsidRDefault="00FA164D">
      <w:pPr>
        <w:pStyle w:val="BodyTextIndent"/>
        <w:tabs>
          <w:tab w:val="left" w:pos="-540"/>
          <w:tab w:val="left" w:pos="-180"/>
          <w:tab w:val="left" w:pos="540"/>
          <w:tab w:val="left" w:pos="1080"/>
          <w:tab w:val="left" w:pos="1080"/>
          <w:tab w:val="left" w:pos="1620"/>
          <w:tab w:val="left" w:pos="1980"/>
          <w:tab w:val="left" w:pos="2340"/>
          <w:tab w:val="left" w:pos="2700"/>
          <w:tab w:val="left" w:pos="3420"/>
          <w:tab w:val="left" w:pos="4140"/>
          <w:tab w:val="left" w:pos="4860"/>
          <w:tab w:val="left" w:pos="5580"/>
          <w:tab w:val="left" w:pos="6300"/>
          <w:tab w:val="left" w:pos="7020"/>
          <w:tab w:val="left" w:pos="7740"/>
          <w:tab w:val="left" w:pos="8460"/>
          <w:tab w:val="left" w:pos="9180"/>
          <w:tab w:val="left" w:pos="9900"/>
        </w:tabs>
      </w:pPr>
      <w:r>
        <w:t xml:space="preserve">The interview is normally conducted by telephone, the number of questions asked is limited, and the questions asked do not require any additional record keeping burden.   FRs typically deal with many of the same </w:t>
      </w:r>
      <w:proofErr w:type="gramStart"/>
      <w:r>
        <w:t>respondents</w:t>
      </w:r>
      <w:proofErr w:type="gramEnd"/>
      <w:r>
        <w:t xml:space="preserve"> month after month and may need to obtain information for more than one building from each respondent.  To reduce respondent burden and collect the data most efficiently, the interviewers use their familiarity with the respondent’s organization to contact the most knowledgeable person and to gather information for all buildings with </w:t>
      </w:r>
      <w:r>
        <w:lastRenderedPageBreak/>
        <w:t>one telephone call.</w:t>
      </w:r>
    </w:p>
    <w:p w:rsidR="00FA164D" w:rsidRDefault="00FA164D">
      <w:pPr>
        <w:pStyle w:val="BodyTextIndent"/>
        <w:tabs>
          <w:tab w:val="left" w:pos="-540"/>
          <w:tab w:val="left" w:pos="-180"/>
          <w:tab w:val="left" w:pos="540"/>
          <w:tab w:val="left" w:pos="1080"/>
          <w:tab w:val="left" w:pos="1080"/>
          <w:tab w:val="left" w:pos="1620"/>
          <w:tab w:val="left" w:pos="1980"/>
          <w:tab w:val="left" w:pos="2340"/>
          <w:tab w:val="left" w:pos="2700"/>
          <w:tab w:val="left" w:pos="3420"/>
          <w:tab w:val="left" w:pos="4140"/>
          <w:tab w:val="left" w:pos="4860"/>
          <w:tab w:val="left" w:pos="5580"/>
          <w:tab w:val="left" w:pos="6300"/>
          <w:tab w:val="left" w:pos="7020"/>
          <w:tab w:val="left" w:pos="7740"/>
          <w:tab w:val="left" w:pos="8460"/>
          <w:tab w:val="left" w:pos="9180"/>
          <w:tab w:val="left" w:pos="9900"/>
        </w:tabs>
        <w:rPr>
          <w:b/>
          <w:bCs/>
        </w:rPr>
      </w:pPr>
    </w:p>
    <w:p w:rsidR="00FA164D" w:rsidRDefault="00FA164D">
      <w:pPr>
        <w:tabs>
          <w:tab w:val="left" w:pos="720"/>
          <w:tab w:val="left" w:pos="1440"/>
        </w:tabs>
        <w:ind w:left="1440" w:hanging="720"/>
        <w:rPr>
          <w:b/>
          <w:bCs/>
          <w:sz w:val="24"/>
          <w:szCs w:val="24"/>
        </w:rPr>
      </w:pPr>
      <w:r>
        <w:rPr>
          <w:b/>
          <w:bCs/>
          <w:sz w:val="24"/>
          <w:szCs w:val="24"/>
        </w:rPr>
        <w:t>6.</w:t>
      </w:r>
      <w:r>
        <w:rPr>
          <w:b/>
          <w:bCs/>
          <w:sz w:val="24"/>
          <w:szCs w:val="24"/>
        </w:rPr>
        <w:tab/>
      </w:r>
      <w:r>
        <w:rPr>
          <w:b/>
          <w:bCs/>
          <w:sz w:val="24"/>
          <w:szCs w:val="24"/>
          <w:u w:val="single"/>
        </w:rPr>
        <w:t>Consequences of Less Frequent Collection</w:t>
      </w:r>
    </w:p>
    <w:p w:rsidR="00FA164D" w:rsidRDefault="00FA164D">
      <w:pPr>
        <w:rPr>
          <w:sz w:val="24"/>
          <w:szCs w:val="24"/>
        </w:rPr>
      </w:pPr>
    </w:p>
    <w:p w:rsidR="00FA164D" w:rsidRDefault="00FA164D">
      <w:pPr>
        <w:pStyle w:val="BodyTextIndent"/>
        <w:rPr>
          <w:szCs w:val="20"/>
        </w:rPr>
      </w:pPr>
      <w:r>
        <w:rPr>
          <w:szCs w:val="20"/>
        </w:rPr>
        <w:t>Many national policies, decisions, and analyses are formulated and updated frequently using information collected in the SOC.  If the survey was conducted less frequently, the estimates would be quickly outdated and of much less value to the public and private sector data users.</w:t>
      </w:r>
    </w:p>
    <w:p w:rsidR="00FA164D" w:rsidRDefault="00FA164D">
      <w:pPr>
        <w:rPr>
          <w:sz w:val="24"/>
          <w:szCs w:val="24"/>
        </w:rPr>
      </w:pPr>
    </w:p>
    <w:p w:rsidR="00FA164D" w:rsidRDefault="00FA164D">
      <w:pPr>
        <w:tabs>
          <w:tab w:val="left" w:pos="720"/>
          <w:tab w:val="left" w:pos="1440"/>
        </w:tabs>
        <w:ind w:left="1440" w:hanging="720"/>
        <w:rPr>
          <w:b/>
          <w:bCs/>
          <w:sz w:val="24"/>
          <w:szCs w:val="24"/>
        </w:rPr>
      </w:pPr>
      <w:r>
        <w:rPr>
          <w:b/>
          <w:bCs/>
          <w:sz w:val="24"/>
          <w:szCs w:val="24"/>
        </w:rPr>
        <w:t>7.</w:t>
      </w:r>
      <w:r>
        <w:rPr>
          <w:b/>
          <w:bCs/>
          <w:sz w:val="24"/>
          <w:szCs w:val="24"/>
        </w:rPr>
        <w:tab/>
      </w:r>
      <w:r>
        <w:rPr>
          <w:b/>
          <w:bCs/>
          <w:sz w:val="24"/>
          <w:szCs w:val="24"/>
          <w:u w:val="single"/>
        </w:rPr>
        <w:t>Special Circumstances</w:t>
      </w:r>
    </w:p>
    <w:p w:rsidR="00FA164D" w:rsidRDefault="00FA164D">
      <w:pPr>
        <w:rPr>
          <w:sz w:val="24"/>
          <w:szCs w:val="24"/>
        </w:rPr>
      </w:pPr>
    </w:p>
    <w:p w:rsidR="00FA164D" w:rsidRDefault="00FA164D">
      <w:pPr>
        <w:pStyle w:val="BodyTextIndent"/>
        <w:rPr>
          <w:szCs w:val="20"/>
        </w:rPr>
      </w:pPr>
      <w:r>
        <w:rPr>
          <w:szCs w:val="20"/>
        </w:rPr>
        <w:t xml:space="preserve">The collection of these data is consistent with the OMB guidelines, </w:t>
      </w:r>
      <w:proofErr w:type="gramStart"/>
      <w:r>
        <w:rPr>
          <w:szCs w:val="20"/>
        </w:rPr>
        <w:t>with the exception of</w:t>
      </w:r>
      <w:proofErr w:type="gramEnd"/>
      <w:r>
        <w:rPr>
          <w:szCs w:val="20"/>
        </w:rPr>
        <w:t xml:space="preserve"> requiring respondents to report information to the agency more often than quarterly, and to prepare a written response to a collection of information in fewer than 30 days after receipt.  This monthly survey provides data used to produce two economic indicators, New Residential Construction and New Residential Sales.  Therefore, response is requested within a few days to provide timely statistics for analyzing the economy.</w:t>
      </w:r>
    </w:p>
    <w:p w:rsidR="00FA164D" w:rsidRDefault="00FA164D">
      <w:pPr>
        <w:tabs>
          <w:tab w:val="left" w:pos="720"/>
          <w:tab w:val="left" w:pos="1440"/>
        </w:tabs>
        <w:ind w:left="1440" w:hanging="720"/>
        <w:rPr>
          <w:b/>
          <w:bCs/>
          <w:sz w:val="24"/>
          <w:szCs w:val="24"/>
        </w:rPr>
      </w:pPr>
    </w:p>
    <w:p w:rsidR="00FA164D" w:rsidRDefault="00FA164D">
      <w:pPr>
        <w:tabs>
          <w:tab w:val="left" w:pos="720"/>
          <w:tab w:val="left" w:pos="1440"/>
        </w:tabs>
        <w:ind w:left="1440" w:hanging="720"/>
        <w:rPr>
          <w:b/>
          <w:bCs/>
          <w:sz w:val="24"/>
          <w:szCs w:val="24"/>
        </w:rPr>
      </w:pPr>
      <w:r>
        <w:rPr>
          <w:b/>
          <w:bCs/>
          <w:sz w:val="24"/>
          <w:szCs w:val="24"/>
        </w:rPr>
        <w:t>8.</w:t>
      </w:r>
      <w:r>
        <w:rPr>
          <w:b/>
          <w:bCs/>
          <w:sz w:val="24"/>
          <w:szCs w:val="24"/>
        </w:rPr>
        <w:tab/>
      </w:r>
      <w:r>
        <w:rPr>
          <w:b/>
          <w:bCs/>
          <w:sz w:val="24"/>
          <w:szCs w:val="24"/>
          <w:u w:val="single"/>
        </w:rPr>
        <w:t>Consultations Outside the Agency</w:t>
      </w:r>
      <w:r>
        <w:rPr>
          <w:b/>
          <w:bCs/>
          <w:sz w:val="24"/>
          <w:szCs w:val="24"/>
        </w:rPr>
        <w:t xml:space="preserve">   </w:t>
      </w:r>
    </w:p>
    <w:p w:rsidR="00FA164D" w:rsidRDefault="00FA164D">
      <w:pPr>
        <w:rPr>
          <w:sz w:val="24"/>
          <w:szCs w:val="24"/>
        </w:rPr>
      </w:pPr>
    </w:p>
    <w:p w:rsidRPr="00DE285C" w:rsidR="00FA164D" w:rsidRDefault="00FA164D">
      <w:pPr>
        <w:tabs>
          <w:tab w:val="left" w:pos="-540"/>
          <w:tab w:val="left" w:pos="-180"/>
          <w:tab w:val="left" w:pos="540"/>
          <w:tab w:val="left" w:pos="1080"/>
          <w:tab w:val="left" w:pos="1080"/>
          <w:tab w:val="left" w:pos="1620"/>
          <w:tab w:val="left" w:pos="1980"/>
          <w:tab w:val="left" w:pos="2340"/>
          <w:tab w:val="left" w:pos="2700"/>
          <w:tab w:val="left" w:pos="3420"/>
          <w:tab w:val="left" w:pos="4140"/>
          <w:tab w:val="left" w:pos="4860"/>
          <w:tab w:val="left" w:pos="5580"/>
          <w:tab w:val="left" w:pos="6300"/>
          <w:tab w:val="left" w:pos="7020"/>
          <w:tab w:val="left" w:pos="7740"/>
          <w:tab w:val="left" w:pos="8460"/>
          <w:tab w:val="left" w:pos="9180"/>
          <w:tab w:val="left" w:pos="9900"/>
        </w:tabs>
        <w:ind w:left="1440"/>
        <w:rPr>
          <w:sz w:val="24"/>
          <w:szCs w:val="24"/>
        </w:rPr>
      </w:pPr>
      <w:r w:rsidRPr="00D13E41">
        <w:rPr>
          <w:sz w:val="24"/>
          <w:szCs w:val="24"/>
        </w:rPr>
        <w:t xml:space="preserve">We consult </w:t>
      </w:r>
      <w:r w:rsidR="00C50458">
        <w:rPr>
          <w:sz w:val="24"/>
          <w:szCs w:val="24"/>
        </w:rPr>
        <w:t>frequently</w:t>
      </w:r>
      <w:r w:rsidRPr="00D13E41">
        <w:rPr>
          <w:sz w:val="24"/>
          <w:szCs w:val="24"/>
        </w:rPr>
        <w:t xml:space="preserve"> with da</w:t>
      </w:r>
      <w:r w:rsidRPr="00D13E41" w:rsidR="0019368B">
        <w:rPr>
          <w:sz w:val="24"/>
          <w:szCs w:val="24"/>
        </w:rPr>
        <w:t xml:space="preserve">ta users outside the agency to </w:t>
      </w:r>
      <w:r w:rsidRPr="00D13E41">
        <w:rPr>
          <w:sz w:val="24"/>
          <w:szCs w:val="24"/>
        </w:rPr>
        <w:t>obtain comments regarding the S</w:t>
      </w:r>
      <w:r w:rsidR="00C50458">
        <w:rPr>
          <w:sz w:val="24"/>
          <w:szCs w:val="24"/>
        </w:rPr>
        <w:t xml:space="preserve">urvey of </w:t>
      </w:r>
      <w:r w:rsidRPr="00D13E41">
        <w:rPr>
          <w:sz w:val="24"/>
          <w:szCs w:val="24"/>
        </w:rPr>
        <w:t>C</w:t>
      </w:r>
      <w:r w:rsidR="00C50458">
        <w:rPr>
          <w:sz w:val="24"/>
          <w:szCs w:val="24"/>
        </w:rPr>
        <w:t>onstruction</w:t>
      </w:r>
      <w:r w:rsidRPr="00D13E41">
        <w:rPr>
          <w:sz w:val="24"/>
          <w:szCs w:val="24"/>
        </w:rPr>
        <w:t xml:space="preserve">.  </w:t>
      </w:r>
      <w:r w:rsidRPr="00D13E41" w:rsidR="00DE285C">
        <w:rPr>
          <w:color w:val="000000"/>
          <w:sz w:val="24"/>
          <w:szCs w:val="24"/>
        </w:rPr>
        <w:t xml:space="preserve">Consultations with outside consultants </w:t>
      </w:r>
      <w:r w:rsidR="00C50458">
        <w:rPr>
          <w:color w:val="000000"/>
          <w:sz w:val="24"/>
          <w:szCs w:val="24"/>
        </w:rPr>
        <w:t>are</w:t>
      </w:r>
      <w:r w:rsidRPr="00D13E41" w:rsidR="00DE285C">
        <w:rPr>
          <w:color w:val="000000"/>
          <w:sz w:val="24"/>
          <w:szCs w:val="24"/>
        </w:rPr>
        <w:t xml:space="preserve"> for the purpose of receiving individual opinions and not for the purpose of forming a group opinion.  </w:t>
      </w:r>
      <w:r w:rsidRPr="00D13E41">
        <w:rPr>
          <w:sz w:val="24"/>
          <w:szCs w:val="24"/>
        </w:rPr>
        <w:t xml:space="preserve">The Census Bureau meets regularly with data users from the </w:t>
      </w:r>
      <w:r w:rsidR="00C50458">
        <w:rPr>
          <w:sz w:val="24"/>
          <w:szCs w:val="24"/>
        </w:rPr>
        <w:t xml:space="preserve">Department of Housing and Urban Development (HUD), </w:t>
      </w:r>
      <w:r w:rsidRPr="00D13E41">
        <w:rPr>
          <w:sz w:val="24"/>
          <w:szCs w:val="24"/>
        </w:rPr>
        <w:t>Bu</w:t>
      </w:r>
      <w:r w:rsidR="00C50458">
        <w:rPr>
          <w:sz w:val="24"/>
          <w:szCs w:val="24"/>
        </w:rPr>
        <w:t xml:space="preserve">reau of Economic Analysis (BEA), </w:t>
      </w:r>
      <w:r w:rsidRPr="00D13E41">
        <w:rPr>
          <w:sz w:val="24"/>
          <w:szCs w:val="24"/>
        </w:rPr>
        <w:t>the National Association of Home Builders (NAHB)</w:t>
      </w:r>
      <w:r w:rsidR="00C50458">
        <w:rPr>
          <w:sz w:val="24"/>
          <w:szCs w:val="24"/>
        </w:rPr>
        <w:t xml:space="preserve"> and</w:t>
      </w:r>
      <w:r w:rsidR="00172418">
        <w:rPr>
          <w:sz w:val="24"/>
          <w:szCs w:val="24"/>
        </w:rPr>
        <w:t xml:space="preserve"> the</w:t>
      </w:r>
      <w:r w:rsidRPr="00D13E41" w:rsidR="00403C6E">
        <w:rPr>
          <w:sz w:val="24"/>
          <w:szCs w:val="24"/>
        </w:rPr>
        <w:t xml:space="preserve"> </w:t>
      </w:r>
      <w:r w:rsidRPr="00D13E41">
        <w:rPr>
          <w:sz w:val="24"/>
          <w:szCs w:val="24"/>
        </w:rPr>
        <w:t>Harvard University J</w:t>
      </w:r>
      <w:r w:rsidRPr="00D13E41" w:rsidR="0019368B">
        <w:rPr>
          <w:sz w:val="24"/>
          <w:szCs w:val="24"/>
        </w:rPr>
        <w:t>oint Center for Housing Studies</w:t>
      </w:r>
      <w:r w:rsidRPr="00D13E41">
        <w:rPr>
          <w:sz w:val="24"/>
          <w:szCs w:val="24"/>
        </w:rPr>
        <w:t>.</w:t>
      </w:r>
      <w:r w:rsidRPr="00107002">
        <w:rPr>
          <w:sz w:val="24"/>
          <w:szCs w:val="24"/>
        </w:rPr>
        <w:t xml:space="preserve">  </w:t>
      </w:r>
    </w:p>
    <w:p w:rsidR="00FA164D" w:rsidRDefault="00FA164D">
      <w:pPr>
        <w:ind w:left="1440"/>
        <w:rPr>
          <w:sz w:val="24"/>
          <w:szCs w:val="24"/>
        </w:rPr>
      </w:pPr>
    </w:p>
    <w:p w:rsidRPr="002D0EB3" w:rsidR="00403C6E" w:rsidP="00403C6E" w:rsidRDefault="00FA164D">
      <w:pPr>
        <w:ind w:left="1440"/>
        <w:rPr>
          <w:sz w:val="24"/>
          <w:szCs w:val="24"/>
        </w:rPr>
      </w:pPr>
      <w:r w:rsidRPr="009B6D8B">
        <w:rPr>
          <w:sz w:val="24"/>
          <w:szCs w:val="24"/>
        </w:rPr>
        <w:t xml:space="preserve">On </w:t>
      </w:r>
      <w:r w:rsidRPr="009B6D8B" w:rsidR="009B6D8B">
        <w:rPr>
          <w:sz w:val="24"/>
          <w:szCs w:val="24"/>
        </w:rPr>
        <w:t>September</w:t>
      </w:r>
      <w:r w:rsidRPr="009B6D8B" w:rsidR="00FF36B6">
        <w:rPr>
          <w:sz w:val="24"/>
          <w:szCs w:val="24"/>
        </w:rPr>
        <w:t xml:space="preserve"> </w:t>
      </w:r>
      <w:r w:rsidRPr="009B6D8B" w:rsidR="007A1AF0">
        <w:rPr>
          <w:sz w:val="24"/>
          <w:szCs w:val="24"/>
        </w:rPr>
        <w:t>3</w:t>
      </w:r>
      <w:r w:rsidRPr="009B6D8B">
        <w:rPr>
          <w:sz w:val="24"/>
          <w:szCs w:val="24"/>
        </w:rPr>
        <w:t>,</w:t>
      </w:r>
      <w:r w:rsidRPr="009B6D8B" w:rsidR="009B6D8B">
        <w:rPr>
          <w:sz w:val="24"/>
          <w:szCs w:val="24"/>
        </w:rPr>
        <w:t xml:space="preserve"> 2020</w:t>
      </w:r>
      <w:r w:rsidRPr="009B6D8B" w:rsidR="007A1AF0">
        <w:rPr>
          <w:sz w:val="24"/>
          <w:szCs w:val="24"/>
        </w:rPr>
        <w:t>,</w:t>
      </w:r>
      <w:r w:rsidRPr="009B6D8B">
        <w:rPr>
          <w:sz w:val="24"/>
          <w:szCs w:val="24"/>
        </w:rPr>
        <w:t xml:space="preserve"> we published a notice in the </w:t>
      </w:r>
      <w:r w:rsidRPr="009B6D8B">
        <w:rPr>
          <w:sz w:val="24"/>
          <w:szCs w:val="24"/>
          <w:u w:val="single"/>
        </w:rPr>
        <w:t>Federal Register</w:t>
      </w:r>
      <w:r w:rsidRPr="009B6D8B" w:rsidR="00466C75">
        <w:rPr>
          <w:sz w:val="24"/>
          <w:szCs w:val="24"/>
        </w:rPr>
        <w:t xml:space="preserve"> (Vol. </w:t>
      </w:r>
      <w:r w:rsidRPr="009B6D8B" w:rsidR="009B6D8B">
        <w:rPr>
          <w:sz w:val="24"/>
          <w:szCs w:val="24"/>
        </w:rPr>
        <w:t>85</w:t>
      </w:r>
      <w:r w:rsidRPr="009B6D8B">
        <w:rPr>
          <w:sz w:val="24"/>
          <w:szCs w:val="24"/>
        </w:rPr>
        <w:t xml:space="preserve">, No. </w:t>
      </w:r>
      <w:r w:rsidRPr="009B6D8B" w:rsidR="009B6D8B">
        <w:rPr>
          <w:sz w:val="24"/>
          <w:szCs w:val="24"/>
        </w:rPr>
        <w:t>172</w:t>
      </w:r>
      <w:r w:rsidRPr="009B6D8B">
        <w:rPr>
          <w:sz w:val="24"/>
          <w:szCs w:val="24"/>
        </w:rPr>
        <w:t>, Page</w:t>
      </w:r>
      <w:r w:rsidRPr="009B6D8B" w:rsidR="008021B1">
        <w:rPr>
          <w:sz w:val="24"/>
          <w:szCs w:val="24"/>
        </w:rPr>
        <w:t>s</w:t>
      </w:r>
      <w:r w:rsidRPr="009B6D8B">
        <w:rPr>
          <w:sz w:val="24"/>
          <w:szCs w:val="24"/>
        </w:rPr>
        <w:t xml:space="preserve"> </w:t>
      </w:r>
      <w:r w:rsidRPr="009B6D8B" w:rsidR="009B6D8B">
        <w:rPr>
          <w:sz w:val="24"/>
          <w:szCs w:val="24"/>
        </w:rPr>
        <w:t>54980 and 54981</w:t>
      </w:r>
      <w:r w:rsidRPr="009B6D8B">
        <w:rPr>
          <w:sz w:val="24"/>
          <w:szCs w:val="24"/>
        </w:rPr>
        <w:t>)</w:t>
      </w:r>
      <w:r w:rsidRPr="00D13E41">
        <w:rPr>
          <w:sz w:val="24"/>
          <w:szCs w:val="24"/>
        </w:rPr>
        <w:t xml:space="preserve"> inviting public comments on our plans to submit this request. </w:t>
      </w:r>
      <w:r w:rsidRPr="00D13E41" w:rsidR="00692971">
        <w:rPr>
          <w:sz w:val="24"/>
          <w:szCs w:val="24"/>
        </w:rPr>
        <w:t xml:space="preserve"> </w:t>
      </w:r>
      <w:r w:rsidRPr="00031B67" w:rsidR="00403C6E">
        <w:rPr>
          <w:sz w:val="24"/>
          <w:szCs w:val="24"/>
        </w:rPr>
        <w:t>One comment was received during the 60-day comment period.  The comment was from the Bureau of Economic Analysis (BEA), which stated that the BEA strongly supports this data collection because the data collected in this survey are crucial to key components of BEA’s economic statistics</w:t>
      </w:r>
      <w:r w:rsidRPr="00031B67" w:rsidR="00CC17EA">
        <w:rPr>
          <w:sz w:val="24"/>
          <w:szCs w:val="24"/>
        </w:rPr>
        <w:t xml:space="preserve"> (see Attachment D)</w:t>
      </w:r>
      <w:r w:rsidRPr="00031B67" w:rsidR="00403C6E">
        <w:rPr>
          <w:sz w:val="24"/>
          <w:szCs w:val="24"/>
        </w:rPr>
        <w:t>.</w:t>
      </w:r>
    </w:p>
    <w:p w:rsidR="00403C6E" w:rsidP="00403C6E" w:rsidRDefault="00403C6E">
      <w:pPr>
        <w:ind w:left="1440"/>
        <w:rPr>
          <w:b/>
          <w:bCs/>
          <w:sz w:val="24"/>
          <w:szCs w:val="24"/>
        </w:rPr>
      </w:pPr>
    </w:p>
    <w:p w:rsidR="00FA164D" w:rsidP="00403C6E" w:rsidRDefault="00403C6E">
      <w:pPr>
        <w:rPr>
          <w:b/>
          <w:bCs/>
          <w:sz w:val="24"/>
          <w:szCs w:val="24"/>
        </w:rPr>
      </w:pPr>
      <w:r>
        <w:rPr>
          <w:b/>
          <w:bCs/>
          <w:sz w:val="24"/>
          <w:szCs w:val="24"/>
        </w:rPr>
        <w:t xml:space="preserve"> </w:t>
      </w:r>
      <w:r>
        <w:rPr>
          <w:b/>
          <w:bCs/>
          <w:sz w:val="24"/>
          <w:szCs w:val="24"/>
        </w:rPr>
        <w:tab/>
      </w:r>
      <w:r w:rsidR="00FA164D">
        <w:rPr>
          <w:b/>
          <w:bCs/>
          <w:sz w:val="24"/>
          <w:szCs w:val="24"/>
        </w:rPr>
        <w:t>9.</w:t>
      </w:r>
      <w:r w:rsidR="00FA164D">
        <w:rPr>
          <w:b/>
          <w:bCs/>
          <w:sz w:val="24"/>
          <w:szCs w:val="24"/>
        </w:rPr>
        <w:tab/>
      </w:r>
      <w:r w:rsidR="00FA164D">
        <w:rPr>
          <w:b/>
          <w:bCs/>
          <w:sz w:val="24"/>
          <w:szCs w:val="24"/>
          <w:u w:val="single"/>
        </w:rPr>
        <w:t>Paying Respondents</w:t>
      </w:r>
    </w:p>
    <w:p w:rsidR="00FA164D" w:rsidRDefault="00FA164D">
      <w:pPr>
        <w:rPr>
          <w:sz w:val="24"/>
          <w:szCs w:val="24"/>
        </w:rPr>
      </w:pPr>
      <w:r>
        <w:rPr>
          <w:sz w:val="24"/>
          <w:szCs w:val="24"/>
        </w:rPr>
        <w:tab/>
      </w:r>
    </w:p>
    <w:p w:rsidR="00FA164D" w:rsidRDefault="00FA164D">
      <w:pPr>
        <w:tabs>
          <w:tab w:val="left" w:pos="720"/>
          <w:tab w:val="left" w:pos="1440"/>
        </w:tabs>
        <w:ind w:left="1440" w:hanging="1440"/>
        <w:rPr>
          <w:sz w:val="24"/>
          <w:szCs w:val="24"/>
        </w:rPr>
      </w:pPr>
      <w:r>
        <w:rPr>
          <w:sz w:val="24"/>
          <w:szCs w:val="24"/>
        </w:rPr>
        <w:tab/>
      </w:r>
      <w:r>
        <w:rPr>
          <w:sz w:val="24"/>
          <w:szCs w:val="24"/>
        </w:rPr>
        <w:tab/>
        <w:t>The Census Bureau does not pay respondents nor provide gifts in return for complying with the survey.</w:t>
      </w:r>
    </w:p>
    <w:p w:rsidR="00412718" w:rsidP="005E62E5" w:rsidRDefault="00412718">
      <w:pPr>
        <w:ind w:firstLine="720"/>
        <w:rPr>
          <w:b/>
          <w:bCs/>
          <w:sz w:val="24"/>
          <w:szCs w:val="24"/>
        </w:rPr>
      </w:pPr>
    </w:p>
    <w:p w:rsidR="002C1FC4" w:rsidP="005E62E5" w:rsidRDefault="002C1FC4">
      <w:pPr>
        <w:ind w:firstLine="720"/>
        <w:rPr>
          <w:b/>
          <w:bCs/>
          <w:sz w:val="24"/>
          <w:szCs w:val="24"/>
        </w:rPr>
      </w:pPr>
    </w:p>
    <w:p w:rsidR="00031B67" w:rsidP="005E62E5" w:rsidRDefault="00031B67">
      <w:pPr>
        <w:ind w:firstLine="720"/>
        <w:rPr>
          <w:b/>
          <w:bCs/>
          <w:sz w:val="24"/>
          <w:szCs w:val="24"/>
        </w:rPr>
      </w:pPr>
    </w:p>
    <w:p w:rsidR="00031B67" w:rsidP="005E62E5" w:rsidRDefault="00031B67">
      <w:pPr>
        <w:ind w:firstLine="720"/>
        <w:rPr>
          <w:b/>
          <w:bCs/>
          <w:sz w:val="24"/>
          <w:szCs w:val="24"/>
        </w:rPr>
      </w:pPr>
    </w:p>
    <w:p w:rsidR="002C1FC4" w:rsidP="005E62E5" w:rsidRDefault="002C1FC4">
      <w:pPr>
        <w:ind w:firstLine="720"/>
        <w:rPr>
          <w:b/>
          <w:bCs/>
          <w:sz w:val="24"/>
          <w:szCs w:val="24"/>
        </w:rPr>
      </w:pPr>
    </w:p>
    <w:p w:rsidRPr="005E62E5" w:rsidR="00FA164D" w:rsidP="005E62E5" w:rsidRDefault="00FA164D">
      <w:pPr>
        <w:ind w:firstLine="720"/>
        <w:rPr>
          <w:b/>
          <w:bCs/>
          <w:sz w:val="24"/>
          <w:szCs w:val="24"/>
          <w:u w:val="single"/>
        </w:rPr>
      </w:pPr>
      <w:r w:rsidRPr="005E62E5">
        <w:rPr>
          <w:b/>
          <w:bCs/>
          <w:sz w:val="24"/>
          <w:szCs w:val="24"/>
        </w:rPr>
        <w:lastRenderedPageBreak/>
        <w:t>10.</w:t>
      </w:r>
      <w:r w:rsidRPr="005E62E5">
        <w:rPr>
          <w:b/>
          <w:bCs/>
          <w:sz w:val="24"/>
          <w:szCs w:val="24"/>
        </w:rPr>
        <w:tab/>
      </w:r>
      <w:r w:rsidRPr="005E62E5">
        <w:rPr>
          <w:b/>
          <w:bCs/>
          <w:sz w:val="24"/>
          <w:szCs w:val="24"/>
          <w:u w:val="single"/>
        </w:rPr>
        <w:t>Assurance of Confidentiality</w:t>
      </w:r>
    </w:p>
    <w:p w:rsidR="00FA164D" w:rsidRDefault="00FA164D">
      <w:pPr>
        <w:spacing w:line="2" w:lineRule="exact"/>
        <w:rPr>
          <w:sz w:val="24"/>
          <w:szCs w:val="24"/>
        </w:rPr>
      </w:pPr>
    </w:p>
    <w:p w:rsidR="00FA164D" w:rsidRDefault="00FA164D">
      <w:pPr>
        <w:numPr>
          <w:ilvl w:val="12"/>
          <w:numId w:val="0"/>
        </w:numPr>
        <w:rPr>
          <w:sz w:val="24"/>
          <w:szCs w:val="24"/>
        </w:rPr>
      </w:pPr>
    </w:p>
    <w:p w:rsidRPr="00595526" w:rsidR="00595526" w:rsidP="00595526" w:rsidRDefault="00FA164D">
      <w:pPr>
        <w:pStyle w:val="paragraph"/>
        <w:ind w:left="1440"/>
        <w:textAlignment w:val="baseline"/>
      </w:pPr>
      <w:r>
        <w:t xml:space="preserve">FRs mail new respondents a letter explaining the purpose of the survey.  The letter also states that the survey is voluntary and provides information </w:t>
      </w:r>
      <w:r w:rsidR="00A312A6">
        <w:t xml:space="preserve">about the response burden.  An example of the letter (Atlanta Regional Office) is </w:t>
      </w:r>
      <w:r w:rsidRPr="00595526" w:rsidR="00A312A6">
        <w:t xml:space="preserve">provided in </w:t>
      </w:r>
      <w:r w:rsidRPr="00595526">
        <w:t>Attachment C.  The following statement of confidentiality is included in the letter</w:t>
      </w:r>
      <w:proofErr w:type="gramStart"/>
      <w:r w:rsidRPr="00595526">
        <w:t>:  “</w:t>
      </w:r>
      <w:proofErr w:type="gramEnd"/>
      <w:r w:rsidR="00595526">
        <w:rPr>
          <w:rStyle w:val="normaltextrun"/>
        </w:rPr>
        <w:t xml:space="preserve">Title 13 United States Code, </w:t>
      </w:r>
      <w:r w:rsidRPr="00595526" w:rsidR="00595526">
        <w:rPr>
          <w:rStyle w:val="normaltextrun"/>
        </w:rPr>
        <w:t>Section</w:t>
      </w:r>
      <w:r w:rsidR="00595526">
        <w:rPr>
          <w:rStyle w:val="normaltextrun"/>
        </w:rPr>
        <w:t xml:space="preserve">s 131 and 182, </w:t>
      </w:r>
      <w:r w:rsidRPr="00595526" w:rsidR="00595526">
        <w:rPr>
          <w:rStyle w:val="normaltextrun"/>
        </w:rPr>
        <w:t xml:space="preserve">authorizes the </w:t>
      </w:r>
      <w:r w:rsidR="00031B67">
        <w:rPr>
          <w:rStyle w:val="normaltextrun"/>
        </w:rPr>
        <w:t xml:space="preserve">U.S. </w:t>
      </w:r>
      <w:r w:rsidRPr="00595526" w:rsidR="00595526">
        <w:rPr>
          <w:rStyle w:val="normaltextrun"/>
        </w:rPr>
        <w:t>Census Bureau to conduct this collection and to request your voluntary assistance.  The U.S.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r w:rsidR="00595526">
        <w:rPr>
          <w:rStyle w:val="normaltextrun"/>
        </w:rPr>
        <w:t>”</w:t>
      </w:r>
      <w:r w:rsidRPr="00595526" w:rsidR="00595526">
        <w:rPr>
          <w:rStyle w:val="eop"/>
        </w:rPr>
        <w:t> </w:t>
      </w:r>
    </w:p>
    <w:p w:rsidR="00FA164D" w:rsidRDefault="00FA164D">
      <w:pPr>
        <w:numPr>
          <w:ilvl w:val="12"/>
          <w:numId w:val="0"/>
        </w:numPr>
        <w:ind w:left="1440"/>
        <w:rPr>
          <w:sz w:val="24"/>
          <w:szCs w:val="24"/>
        </w:rPr>
      </w:pPr>
    </w:p>
    <w:p w:rsidR="00FA164D" w:rsidRDefault="00FA164D">
      <w:pPr>
        <w:numPr>
          <w:ilvl w:val="12"/>
          <w:numId w:val="0"/>
        </w:numPr>
        <w:tabs>
          <w:tab w:val="left" w:pos="720"/>
          <w:tab w:val="left" w:pos="1440"/>
        </w:tabs>
        <w:ind w:left="1440" w:hanging="720"/>
        <w:rPr>
          <w:b/>
          <w:bCs/>
          <w:sz w:val="24"/>
          <w:szCs w:val="24"/>
        </w:rPr>
      </w:pPr>
      <w:r>
        <w:rPr>
          <w:b/>
          <w:bCs/>
          <w:sz w:val="24"/>
          <w:szCs w:val="24"/>
        </w:rPr>
        <w:t>11.</w:t>
      </w:r>
      <w:r>
        <w:rPr>
          <w:b/>
          <w:bCs/>
          <w:sz w:val="24"/>
          <w:szCs w:val="24"/>
        </w:rPr>
        <w:tab/>
      </w:r>
      <w:r>
        <w:rPr>
          <w:b/>
          <w:bCs/>
          <w:sz w:val="24"/>
          <w:szCs w:val="24"/>
          <w:u w:val="single"/>
        </w:rPr>
        <w:t>Justification for Sensitive Questions</w:t>
      </w:r>
    </w:p>
    <w:p w:rsidR="00FA164D" w:rsidRDefault="00FA164D">
      <w:pPr>
        <w:numPr>
          <w:ilvl w:val="12"/>
          <w:numId w:val="0"/>
        </w:numPr>
        <w:rPr>
          <w:sz w:val="24"/>
          <w:szCs w:val="24"/>
        </w:rPr>
      </w:pPr>
    </w:p>
    <w:p w:rsidR="00FA164D" w:rsidRDefault="00FA164D">
      <w:pPr>
        <w:pStyle w:val="BodyTextIndent"/>
        <w:numPr>
          <w:ilvl w:val="12"/>
          <w:numId w:val="0"/>
        </w:numPr>
        <w:ind w:left="1440"/>
        <w:rPr>
          <w:szCs w:val="20"/>
        </w:rPr>
      </w:pPr>
      <w:r>
        <w:rPr>
          <w:szCs w:val="20"/>
        </w:rPr>
        <w:t>The survey contains no sensitive questions.</w:t>
      </w:r>
    </w:p>
    <w:p w:rsidR="00FA164D" w:rsidRDefault="00FA164D">
      <w:pPr>
        <w:numPr>
          <w:ilvl w:val="12"/>
          <w:numId w:val="0"/>
        </w:numPr>
        <w:rPr>
          <w:sz w:val="24"/>
          <w:szCs w:val="24"/>
        </w:rPr>
      </w:pPr>
    </w:p>
    <w:p w:rsidR="00FA164D" w:rsidRDefault="00FA164D">
      <w:pPr>
        <w:numPr>
          <w:ilvl w:val="12"/>
          <w:numId w:val="0"/>
        </w:numPr>
        <w:tabs>
          <w:tab w:val="left" w:pos="720"/>
          <w:tab w:val="left" w:pos="1440"/>
        </w:tabs>
        <w:ind w:left="1440" w:hanging="720"/>
        <w:rPr>
          <w:b/>
          <w:bCs/>
          <w:sz w:val="24"/>
          <w:szCs w:val="24"/>
        </w:rPr>
      </w:pPr>
      <w:r>
        <w:rPr>
          <w:b/>
          <w:bCs/>
          <w:sz w:val="24"/>
          <w:szCs w:val="24"/>
        </w:rPr>
        <w:t>12.</w:t>
      </w:r>
      <w:r>
        <w:rPr>
          <w:b/>
          <w:bCs/>
          <w:sz w:val="24"/>
          <w:szCs w:val="24"/>
        </w:rPr>
        <w:tab/>
      </w:r>
      <w:r>
        <w:rPr>
          <w:b/>
          <w:bCs/>
          <w:sz w:val="24"/>
          <w:szCs w:val="24"/>
          <w:u w:val="single"/>
        </w:rPr>
        <w:t>Estimate of Hour Burden</w:t>
      </w:r>
    </w:p>
    <w:p w:rsidR="00FA164D" w:rsidRDefault="00FA164D">
      <w:pPr>
        <w:numPr>
          <w:ilvl w:val="12"/>
          <w:numId w:val="0"/>
        </w:numPr>
        <w:rPr>
          <w:sz w:val="24"/>
          <w:szCs w:val="24"/>
        </w:rPr>
      </w:pPr>
    </w:p>
    <w:p w:rsidR="00FA164D" w:rsidRDefault="008855A2">
      <w:pPr>
        <w:pStyle w:val="Heading7"/>
      </w:pPr>
      <w:r>
        <w:t xml:space="preserve">2019 </w:t>
      </w:r>
      <w:r w:rsidR="00FA164D">
        <w:t>Annual Respondent Burden</w:t>
      </w:r>
    </w:p>
    <w:p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tblInd w:w="15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0" w:type="dxa"/>
          <w:right w:w="110" w:type="dxa"/>
        </w:tblCellMar>
        <w:tblLook w:val="0000" w:firstRow="0" w:lastRow="0" w:firstColumn="0" w:lastColumn="0" w:noHBand="0" w:noVBand="0"/>
      </w:tblPr>
      <w:tblGrid>
        <w:gridCol w:w="990"/>
        <w:gridCol w:w="1080"/>
        <w:gridCol w:w="1800"/>
        <w:gridCol w:w="1350"/>
        <w:gridCol w:w="1440"/>
        <w:gridCol w:w="1260"/>
      </w:tblGrid>
      <w:tr w:rsidRPr="006C6699" w:rsidR="00FA164D">
        <w:tblPrEx>
          <w:tblCellMar>
            <w:top w:w="0" w:type="dxa"/>
            <w:bottom w:w="0" w:type="dxa"/>
          </w:tblCellMar>
        </w:tblPrEx>
        <w:trPr>
          <w:cantSplit/>
        </w:trPr>
        <w:tc>
          <w:tcPr>
            <w:tcW w:w="99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A96F67"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pPr>
            <w:r w:rsidRPr="00A96F67">
              <w:t>Forms</w:t>
            </w:r>
          </w:p>
        </w:tc>
        <w:tc>
          <w:tcPr>
            <w:tcW w:w="108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A96F67"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pPr>
            <w:r w:rsidRPr="00A96F67">
              <w:t>Number of Buildings</w:t>
            </w:r>
          </w:p>
        </w:tc>
        <w:tc>
          <w:tcPr>
            <w:tcW w:w="180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A96F67"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pPr>
            <w:r w:rsidRPr="00A96F67">
              <w:t>Average Number of Annual Contacts per Building</w:t>
            </w:r>
          </w:p>
        </w:tc>
        <w:tc>
          <w:tcPr>
            <w:tcW w:w="135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A96F67"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pPr>
            <w:r w:rsidRPr="00A96F67">
              <w:t>Total Number of Contacts</w:t>
            </w:r>
          </w:p>
        </w:tc>
        <w:tc>
          <w:tcPr>
            <w:tcW w:w="144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032828"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pPr>
            <w:r w:rsidRPr="00032828">
              <w:t>Average time to Complete One Contact (hours)</w:t>
            </w:r>
          </w:p>
        </w:tc>
        <w:tc>
          <w:tcPr>
            <w:tcW w:w="126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A96F67"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pPr>
            <w:r w:rsidRPr="00A96F67">
              <w:t>Estimated Total Burden</w:t>
            </w:r>
            <w:r w:rsidRPr="00A96F67">
              <w:rPr>
                <w:b/>
              </w:rPr>
              <w:t xml:space="preserve"> </w:t>
            </w:r>
            <w:r w:rsidRPr="00A96F67">
              <w:t>Hours</w:t>
            </w:r>
          </w:p>
        </w:tc>
      </w:tr>
      <w:tr w:rsidRPr="006C6699" w:rsidR="00FA164D">
        <w:tblPrEx>
          <w:tblCellMar>
            <w:top w:w="0" w:type="dxa"/>
            <w:bottom w:w="0" w:type="dxa"/>
          </w:tblCellMar>
        </w:tblPrEx>
        <w:trPr>
          <w:cantSplit/>
        </w:trPr>
        <w:tc>
          <w:tcPr>
            <w:tcW w:w="99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A96F67"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96F67"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pPr>
            <w:r w:rsidRPr="00A96F67">
              <w:t>SOC-QI/SF.1</w:t>
            </w:r>
          </w:p>
        </w:tc>
        <w:tc>
          <w:tcPr>
            <w:tcW w:w="108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8855A2" w:rsidR="00FA164D" w:rsidRDefault="00505F41">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t>14,298</w:t>
            </w:r>
          </w:p>
        </w:tc>
        <w:tc>
          <w:tcPr>
            <w:tcW w:w="180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A96F67"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96F67" w:rsidR="00FA164D" w:rsidP="00764B22" w:rsidRDefault="00A96F67">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rsidRPr="00A96F67">
              <w:t>8</w:t>
            </w:r>
          </w:p>
        </w:tc>
        <w:tc>
          <w:tcPr>
            <w:tcW w:w="135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A96F67" w:rsidR="00FA164D" w:rsidP="00A91EB8" w:rsidRDefault="00505F41">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t>114,384</w:t>
            </w:r>
          </w:p>
        </w:tc>
        <w:tc>
          <w:tcPr>
            <w:tcW w:w="144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032828"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Pr="00032828"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rsidRPr="00032828">
              <w:t>5 mins.</w:t>
            </w:r>
          </w:p>
        </w:tc>
        <w:tc>
          <w:tcPr>
            <w:tcW w:w="126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A96F67" w:rsidR="00FA164D" w:rsidP="00A91EB8" w:rsidRDefault="00505F41">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9,532</w:t>
            </w:r>
          </w:p>
        </w:tc>
      </w:tr>
      <w:tr w:rsidRPr="006C6699" w:rsidR="00FA164D">
        <w:tblPrEx>
          <w:tblCellMar>
            <w:top w:w="0" w:type="dxa"/>
            <w:bottom w:w="0" w:type="dxa"/>
          </w:tblCellMar>
        </w:tblPrEx>
        <w:trPr>
          <w:cantSplit/>
        </w:trPr>
        <w:tc>
          <w:tcPr>
            <w:tcW w:w="99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A96F67"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96F67"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pPr>
            <w:r w:rsidRPr="00A96F67">
              <w:t>SOC-QI/MF.1</w:t>
            </w:r>
          </w:p>
        </w:tc>
        <w:tc>
          <w:tcPr>
            <w:tcW w:w="108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8855A2"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8855A2" w:rsidR="00505F41" w:rsidP="00505F41" w:rsidRDefault="00505F41">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t>7,302</w:t>
            </w:r>
          </w:p>
          <w:p w:rsidRPr="008855A2" w:rsidR="002C70B5" w:rsidP="002C70B5" w:rsidRDefault="002C70B5">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p>
        </w:tc>
        <w:tc>
          <w:tcPr>
            <w:tcW w:w="180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A96F67"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96F67" w:rsidR="00FA164D" w:rsidRDefault="00A96F67">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rsidRPr="00A96F67">
              <w:t>6</w:t>
            </w:r>
          </w:p>
        </w:tc>
        <w:tc>
          <w:tcPr>
            <w:tcW w:w="135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A96F67" w:rsidR="00FA164D" w:rsidP="00A91EB8" w:rsidRDefault="00505F41">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t>43,812</w:t>
            </w:r>
          </w:p>
        </w:tc>
        <w:tc>
          <w:tcPr>
            <w:tcW w:w="144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032828"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Pr="00032828"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rsidRPr="00032828">
              <w:t>5 mins.</w:t>
            </w:r>
          </w:p>
        </w:tc>
        <w:tc>
          <w:tcPr>
            <w:tcW w:w="126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505F41" w:rsidR="00FA164D" w:rsidP="00891AB6" w:rsidRDefault="00505F41">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rsidRPr="00505F41">
              <w:t>3,651</w:t>
            </w:r>
          </w:p>
        </w:tc>
      </w:tr>
      <w:tr w:rsidR="00FA164D">
        <w:tblPrEx>
          <w:tblCellMar>
            <w:top w:w="0" w:type="dxa"/>
            <w:bottom w:w="0" w:type="dxa"/>
          </w:tblCellMar>
        </w:tblPrEx>
        <w:trPr>
          <w:cantSplit/>
        </w:trPr>
        <w:tc>
          <w:tcPr>
            <w:tcW w:w="99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A96F67"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96F67"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pPr>
            <w:r w:rsidRPr="00A96F67">
              <w:t>Total</w:t>
            </w:r>
          </w:p>
        </w:tc>
        <w:tc>
          <w:tcPr>
            <w:tcW w:w="108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8855A2"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8855A2" w:rsidR="00FA164D" w:rsidP="002C3A9D" w:rsidRDefault="00A91EB8">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t>21,600</w:t>
            </w:r>
          </w:p>
        </w:tc>
        <w:tc>
          <w:tcPr>
            <w:tcW w:w="180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6C6699"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Pr="006C6699" w:rsidR="00FA164D" w:rsidP="00412718" w:rsidRDefault="008855A2">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rPr>
                <w:highlight w:val="yellow"/>
              </w:rPr>
            </w:pPr>
            <w:r w:rsidRPr="008855A2">
              <w:t>7.3</w:t>
            </w:r>
          </w:p>
        </w:tc>
        <w:tc>
          <w:tcPr>
            <w:tcW w:w="135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505F41" w:rsidR="00FA164D" w:rsidP="00A91EB8" w:rsidRDefault="00505F41">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rsidRPr="00505F41">
              <w:t>158,196</w:t>
            </w:r>
          </w:p>
        </w:tc>
        <w:tc>
          <w:tcPr>
            <w:tcW w:w="144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Pr="00032828"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Pr="00032828"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rsidRPr="00032828">
              <w:t>5 mins.</w:t>
            </w:r>
          </w:p>
        </w:tc>
        <w:tc>
          <w:tcPr>
            <w:tcW w:w="1260" w:type="dxa"/>
            <w:tcBorders>
              <w:top w:val="single" w:color="000000" w:sz="7" w:space="0"/>
              <w:left w:val="single" w:color="000000" w:sz="7" w:space="0"/>
              <w:bottom w:val="single" w:color="000000" w:sz="7" w:space="0"/>
              <w:right w:val="single" w:color="000000" w:sz="7" w:space="0"/>
            </w:tcBorders>
            <w:tcMar>
              <w:top w:w="67" w:type="dxa"/>
              <w:left w:w="130" w:type="dxa"/>
              <w:bottom w:w="19" w:type="dxa"/>
              <w:right w:w="130" w:type="dxa"/>
            </w:tcMar>
          </w:tcPr>
          <w:p w:rsidR="00FA164D" w:rsidP="00A91EB8" w:rsidRDefault="00505F41">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jc w:val="center"/>
            </w:pPr>
            <w:r>
              <w:t>13,183</w:t>
            </w:r>
          </w:p>
        </w:tc>
      </w:tr>
    </w:tbl>
    <w:p w:rsidR="00FA164D" w:rsidRDefault="00FA164D">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A164D" w:rsidRDefault="00FA164D">
      <w:pPr>
        <w:pStyle w:val="BodyTextIndent2"/>
        <w:rPr>
          <w:sz w:val="24"/>
        </w:rPr>
      </w:pPr>
      <w:r>
        <w:rPr>
          <w:sz w:val="24"/>
        </w:rPr>
        <w:t xml:space="preserve">We add approximately </w:t>
      </w:r>
      <w:r w:rsidRPr="008855A2" w:rsidR="00CB1073">
        <w:rPr>
          <w:sz w:val="24"/>
        </w:rPr>
        <w:t>21,600</w:t>
      </w:r>
      <w:r>
        <w:rPr>
          <w:sz w:val="24"/>
        </w:rPr>
        <w:t xml:space="preserve"> new buildings a year.  A builder or owner may be contacted several times based on the number of buildings he/she has in the sample and how long the construction project takes. Using data from our files, we estimated the number of times we need to contact the builder or owner to obtain the data.  This is shown as the average number of annual contacts per building.  We estimated the average length of time it takes for each contact using our knowledge of the amount of information requested and the time required to obtain that information.  Using this information and the total number of responses, we calculated the annual respondent burden. </w:t>
      </w:r>
    </w:p>
    <w:p w:rsidR="00FA164D" w:rsidRDefault="00FA164D">
      <w:pPr>
        <w:tabs>
          <w:tab w:val="left" w:pos="0"/>
          <w:tab w:val="left" w:pos="360"/>
          <w:tab w:val="left" w:pos="1080"/>
          <w:tab w:val="left" w:pos="1080"/>
          <w:tab w:val="left" w:pos="1620"/>
          <w:tab w:val="left" w:pos="2160"/>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s>
        <w:ind w:left="1080"/>
        <w:rPr>
          <w:sz w:val="24"/>
        </w:rPr>
      </w:pPr>
    </w:p>
    <w:p w:rsidR="00FA164D" w:rsidRDefault="002C1FC4">
      <w:pPr>
        <w:numPr>
          <w:ilvl w:val="12"/>
          <w:numId w:val="0"/>
        </w:numPr>
        <w:tabs>
          <w:tab w:val="left" w:pos="720"/>
          <w:tab w:val="left" w:pos="1440"/>
        </w:tabs>
        <w:ind w:left="1440" w:hanging="720"/>
        <w:rPr>
          <w:b/>
          <w:bCs/>
          <w:sz w:val="24"/>
          <w:szCs w:val="24"/>
        </w:rPr>
      </w:pPr>
      <w:r>
        <w:rPr>
          <w:b/>
          <w:bCs/>
          <w:sz w:val="24"/>
          <w:szCs w:val="24"/>
        </w:rPr>
        <w:t>1</w:t>
      </w:r>
      <w:r w:rsidR="00FA164D">
        <w:rPr>
          <w:b/>
          <w:bCs/>
          <w:sz w:val="24"/>
          <w:szCs w:val="24"/>
        </w:rPr>
        <w:t>3.</w:t>
      </w:r>
      <w:r w:rsidR="00FA164D">
        <w:rPr>
          <w:b/>
          <w:bCs/>
          <w:sz w:val="24"/>
          <w:szCs w:val="24"/>
        </w:rPr>
        <w:tab/>
      </w:r>
      <w:r w:rsidR="00FA164D">
        <w:rPr>
          <w:b/>
          <w:bCs/>
          <w:sz w:val="24"/>
          <w:szCs w:val="24"/>
          <w:u w:val="single"/>
        </w:rPr>
        <w:t>Estimate of Cost Burden</w:t>
      </w:r>
    </w:p>
    <w:p w:rsidR="00FA164D" w:rsidRDefault="00FA164D">
      <w:pPr>
        <w:numPr>
          <w:ilvl w:val="12"/>
          <w:numId w:val="0"/>
        </w:numPr>
        <w:rPr>
          <w:sz w:val="24"/>
          <w:szCs w:val="24"/>
        </w:rPr>
      </w:pPr>
    </w:p>
    <w:p w:rsidR="00FA164D" w:rsidRDefault="00FA164D">
      <w:pPr>
        <w:numPr>
          <w:ilvl w:val="12"/>
          <w:numId w:val="0"/>
        </w:numPr>
        <w:ind w:left="1440"/>
        <w:rPr>
          <w:sz w:val="24"/>
          <w:szCs w:val="24"/>
        </w:rPr>
      </w:pPr>
      <w:r>
        <w:rPr>
          <w:sz w:val="24"/>
        </w:rPr>
        <w:t>We do not expect respondents to incur any costs other than that of their time to respond.  The information requested is the type and scope normally carried in office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FA164D" w:rsidRDefault="00FA164D">
      <w:pPr>
        <w:numPr>
          <w:ilvl w:val="12"/>
          <w:numId w:val="0"/>
        </w:numPr>
        <w:rPr>
          <w:sz w:val="24"/>
          <w:szCs w:val="24"/>
        </w:rPr>
      </w:pPr>
    </w:p>
    <w:p w:rsidR="00FA164D" w:rsidRDefault="00FA164D">
      <w:pPr>
        <w:numPr>
          <w:ilvl w:val="12"/>
          <w:numId w:val="0"/>
        </w:numPr>
        <w:tabs>
          <w:tab w:val="left" w:pos="720"/>
          <w:tab w:val="left" w:pos="1440"/>
        </w:tabs>
        <w:ind w:left="1440" w:hanging="720"/>
        <w:rPr>
          <w:b/>
          <w:bCs/>
          <w:sz w:val="24"/>
          <w:szCs w:val="24"/>
        </w:rPr>
      </w:pPr>
      <w:r>
        <w:rPr>
          <w:b/>
          <w:bCs/>
          <w:sz w:val="24"/>
          <w:szCs w:val="24"/>
        </w:rPr>
        <w:t>14.</w:t>
      </w:r>
      <w:r>
        <w:rPr>
          <w:b/>
          <w:bCs/>
          <w:sz w:val="24"/>
          <w:szCs w:val="24"/>
        </w:rPr>
        <w:tab/>
      </w:r>
      <w:r>
        <w:rPr>
          <w:b/>
          <w:bCs/>
          <w:sz w:val="24"/>
          <w:szCs w:val="24"/>
          <w:u w:val="single"/>
        </w:rPr>
        <w:t>Cost to Federal Government</w:t>
      </w:r>
      <w:r>
        <w:rPr>
          <w:b/>
          <w:bCs/>
          <w:sz w:val="24"/>
          <w:szCs w:val="24"/>
        </w:rPr>
        <w:t xml:space="preserve">   </w:t>
      </w:r>
    </w:p>
    <w:p w:rsidR="00FA164D" w:rsidRDefault="00FA164D">
      <w:pPr>
        <w:numPr>
          <w:ilvl w:val="12"/>
          <w:numId w:val="0"/>
        </w:numPr>
        <w:rPr>
          <w:b/>
          <w:bCs/>
          <w:sz w:val="24"/>
          <w:szCs w:val="24"/>
        </w:rPr>
      </w:pPr>
    </w:p>
    <w:p w:rsidR="00FA164D" w:rsidRDefault="00FA164D">
      <w:pPr>
        <w:pStyle w:val="BodyTextIndent"/>
        <w:numPr>
          <w:ilvl w:val="12"/>
          <w:numId w:val="0"/>
        </w:numPr>
        <w:ind w:left="1440"/>
      </w:pPr>
      <w:r w:rsidRPr="00C832BF">
        <w:t>The estimated total cost for FY 20</w:t>
      </w:r>
      <w:r w:rsidRPr="00C832BF" w:rsidR="00E3142B">
        <w:t>20</w:t>
      </w:r>
      <w:r w:rsidRPr="00C832BF">
        <w:t xml:space="preserve"> for the Survey of Construction program of which this questionnaire is a part is $</w:t>
      </w:r>
      <w:r w:rsidRPr="00C832BF" w:rsidR="00C832BF">
        <w:t>9</w:t>
      </w:r>
      <w:r w:rsidRPr="00C832BF">
        <w:t>,</w:t>
      </w:r>
      <w:r w:rsidRPr="00C832BF" w:rsidR="00C832BF">
        <w:t>000</w:t>
      </w:r>
      <w:r w:rsidRPr="00C832BF">
        <w:t>,</w:t>
      </w:r>
      <w:r w:rsidRPr="00C832BF" w:rsidR="006517B5">
        <w:t>00</w:t>
      </w:r>
      <w:r w:rsidRPr="00C832BF">
        <w:t>0.  Of this amount, $</w:t>
      </w:r>
      <w:r w:rsidRPr="00C832BF" w:rsidR="00C832BF">
        <w:t>4,05</w:t>
      </w:r>
      <w:r w:rsidRPr="00C832BF" w:rsidR="006517B5">
        <w:t>0</w:t>
      </w:r>
      <w:r w:rsidRPr="00C832BF">
        <w:t xml:space="preserve">,000 is borne by the </w:t>
      </w:r>
      <w:r w:rsidRPr="00C832BF" w:rsidR="00403C6E">
        <w:t>HUD</w:t>
      </w:r>
      <w:r w:rsidRPr="00C832BF" w:rsidR="005260A2">
        <w:t>, and $</w:t>
      </w:r>
      <w:r w:rsidRPr="00C832BF" w:rsidR="00C832BF">
        <w:t>4,950</w:t>
      </w:r>
      <w:r w:rsidRPr="00C832BF">
        <w:t>,</w:t>
      </w:r>
      <w:r w:rsidRPr="00C832BF" w:rsidR="006517B5">
        <w:t>00</w:t>
      </w:r>
      <w:r w:rsidRPr="00C832BF" w:rsidR="005260A2">
        <w:t>0</w:t>
      </w:r>
      <w:r w:rsidRPr="00C832BF">
        <w:t xml:space="preserve"> is borne by the Census Bureau.</w:t>
      </w:r>
      <w:r w:rsidRPr="00C832BF" w:rsidR="008C2F16">
        <w:t xml:space="preserve"> This estimate includes the cost for such things as data collection, processing, review of tabulated data, publication, equipment, overhead, printing, support staff, etc.</w:t>
      </w:r>
      <w:r w:rsidR="008C2F16">
        <w:t xml:space="preserve"> </w:t>
      </w:r>
    </w:p>
    <w:p w:rsidR="00FA164D" w:rsidRDefault="00FA164D">
      <w:pPr>
        <w:numPr>
          <w:ilvl w:val="12"/>
          <w:numId w:val="0"/>
        </w:numPr>
        <w:rPr>
          <w:sz w:val="24"/>
          <w:szCs w:val="24"/>
        </w:rPr>
      </w:pPr>
    </w:p>
    <w:p w:rsidR="00FA164D" w:rsidRDefault="00FA164D">
      <w:pPr>
        <w:numPr>
          <w:ilvl w:val="12"/>
          <w:numId w:val="0"/>
        </w:numPr>
        <w:tabs>
          <w:tab w:val="left" w:pos="720"/>
          <w:tab w:val="left" w:pos="1440"/>
        </w:tabs>
        <w:ind w:left="1440" w:hanging="720"/>
        <w:rPr>
          <w:b/>
          <w:bCs/>
          <w:sz w:val="24"/>
          <w:szCs w:val="24"/>
        </w:rPr>
      </w:pPr>
      <w:r>
        <w:rPr>
          <w:b/>
          <w:bCs/>
          <w:sz w:val="24"/>
          <w:szCs w:val="24"/>
        </w:rPr>
        <w:t>15.</w:t>
      </w:r>
      <w:r>
        <w:rPr>
          <w:b/>
          <w:bCs/>
          <w:sz w:val="24"/>
          <w:szCs w:val="24"/>
        </w:rPr>
        <w:tab/>
      </w:r>
      <w:r>
        <w:rPr>
          <w:b/>
          <w:bCs/>
          <w:sz w:val="24"/>
          <w:szCs w:val="24"/>
          <w:u w:val="single"/>
        </w:rPr>
        <w:t>Reason for Change in Burden</w:t>
      </w:r>
      <w:r>
        <w:rPr>
          <w:b/>
          <w:bCs/>
          <w:sz w:val="24"/>
          <w:szCs w:val="24"/>
        </w:rPr>
        <w:t xml:space="preserve">   </w:t>
      </w:r>
    </w:p>
    <w:p w:rsidR="00FA164D" w:rsidRDefault="00FA164D">
      <w:pPr>
        <w:numPr>
          <w:ilvl w:val="12"/>
          <w:numId w:val="0"/>
        </w:numPr>
        <w:rPr>
          <w:sz w:val="24"/>
          <w:szCs w:val="24"/>
        </w:rPr>
      </w:pPr>
    </w:p>
    <w:p w:rsidRPr="006E7A27" w:rsidR="005260A2" w:rsidP="00C819FC" w:rsidRDefault="005260A2">
      <w:pPr>
        <w:numPr>
          <w:ilvl w:val="12"/>
          <w:numId w:val="0"/>
        </w:numPr>
        <w:ind w:left="1440" w:hanging="1440"/>
        <w:rPr>
          <w:sz w:val="24"/>
          <w:szCs w:val="24"/>
        </w:rPr>
      </w:pPr>
      <w:r>
        <w:rPr>
          <w:sz w:val="24"/>
          <w:szCs w:val="24"/>
        </w:rPr>
        <w:tab/>
      </w:r>
      <w:r w:rsidR="006E7A27">
        <w:rPr>
          <w:sz w:val="24"/>
          <w:szCs w:val="24"/>
        </w:rPr>
        <w:t xml:space="preserve"> </w:t>
      </w:r>
      <w:r w:rsidR="006E7A27">
        <w:rPr>
          <w:sz w:val="24"/>
          <w:szCs w:val="24"/>
        </w:rPr>
        <w:tab/>
      </w:r>
      <w:r w:rsidRPr="006E7A27" w:rsidR="006E7A27">
        <w:rPr>
          <w:sz w:val="24"/>
          <w:szCs w:val="24"/>
        </w:rPr>
        <w:t>The annual burden estimate has been adjusted upward due</w:t>
      </w:r>
      <w:r w:rsidR="002B666E">
        <w:rPr>
          <w:sz w:val="24"/>
          <w:szCs w:val="24"/>
        </w:rPr>
        <w:t xml:space="preserve"> to an increase of the sample size of new buildings surveyed each month.</w:t>
      </w:r>
    </w:p>
    <w:p w:rsidR="00C819FC" w:rsidP="002B666E" w:rsidRDefault="00C819FC">
      <w:pPr>
        <w:numPr>
          <w:ilvl w:val="12"/>
          <w:numId w:val="0"/>
        </w:numPr>
        <w:rPr>
          <w:sz w:val="24"/>
          <w:szCs w:val="24"/>
        </w:rPr>
      </w:pPr>
    </w:p>
    <w:p w:rsidR="00FA164D" w:rsidRDefault="00FA164D">
      <w:pPr>
        <w:numPr>
          <w:ilvl w:val="12"/>
          <w:numId w:val="0"/>
        </w:numPr>
        <w:tabs>
          <w:tab w:val="left" w:pos="720"/>
          <w:tab w:val="left" w:pos="1440"/>
        </w:tabs>
        <w:ind w:left="1440" w:hanging="720"/>
        <w:rPr>
          <w:b/>
          <w:bCs/>
          <w:sz w:val="24"/>
          <w:szCs w:val="24"/>
        </w:rPr>
      </w:pPr>
      <w:r>
        <w:rPr>
          <w:b/>
          <w:bCs/>
          <w:sz w:val="24"/>
          <w:szCs w:val="24"/>
        </w:rPr>
        <w:t>16.</w:t>
      </w:r>
      <w:r>
        <w:rPr>
          <w:b/>
          <w:bCs/>
          <w:sz w:val="24"/>
          <w:szCs w:val="24"/>
        </w:rPr>
        <w:tab/>
      </w:r>
      <w:r>
        <w:rPr>
          <w:b/>
          <w:bCs/>
          <w:sz w:val="24"/>
          <w:szCs w:val="24"/>
          <w:u w:val="single"/>
        </w:rPr>
        <w:t>Project Schedule</w:t>
      </w:r>
    </w:p>
    <w:p w:rsidR="00FA164D" w:rsidRDefault="00FA164D">
      <w:pPr>
        <w:numPr>
          <w:ilvl w:val="12"/>
          <w:numId w:val="0"/>
        </w:numPr>
        <w:tabs>
          <w:tab w:val="left" w:pos="720"/>
          <w:tab w:val="left" w:pos="1440"/>
          <w:tab w:val="left" w:pos="2160"/>
        </w:tabs>
        <w:ind w:left="2160" w:hanging="2160"/>
        <w:rPr>
          <w:sz w:val="24"/>
          <w:szCs w:val="24"/>
        </w:rPr>
      </w:pPr>
      <w:r>
        <w:rPr>
          <w:sz w:val="24"/>
          <w:szCs w:val="24"/>
        </w:rPr>
        <w:tab/>
      </w:r>
      <w:r>
        <w:rPr>
          <w:sz w:val="24"/>
          <w:szCs w:val="24"/>
        </w:rPr>
        <w:tab/>
      </w:r>
      <w:r>
        <w:rPr>
          <w:sz w:val="24"/>
          <w:szCs w:val="24"/>
        </w:rPr>
        <w:tab/>
      </w:r>
    </w:p>
    <w:p w:rsidR="00CF0A1A" w:rsidRDefault="00FA164D">
      <w:pPr>
        <w:tabs>
          <w:tab w:val="left" w:pos="0"/>
          <w:tab w:val="left" w:pos="360"/>
          <w:tab w:val="left" w:pos="1080"/>
          <w:tab w:val="left" w:pos="1080"/>
          <w:tab w:val="left" w:pos="1620"/>
          <w:tab w:val="left" w:pos="2160"/>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s>
        <w:ind w:left="1440"/>
        <w:rPr>
          <w:color w:val="0000FF"/>
          <w:sz w:val="24"/>
          <w:u w:val="single"/>
        </w:rPr>
      </w:pPr>
      <w:r>
        <w:rPr>
          <w:sz w:val="24"/>
        </w:rPr>
        <w:t>Data from the SOC are collected in the first week of the month following the reference month.  On or about the 12</w:t>
      </w:r>
      <w:r>
        <w:rPr>
          <w:sz w:val="24"/>
          <w:vertAlign w:val="superscript"/>
        </w:rPr>
        <w:t>th</w:t>
      </w:r>
      <w:r>
        <w:rPr>
          <w:sz w:val="24"/>
        </w:rPr>
        <w:t xml:space="preserve"> workday of the month, the preliminary estimates of housing </w:t>
      </w:r>
      <w:proofErr w:type="gramStart"/>
      <w:r>
        <w:rPr>
          <w:sz w:val="24"/>
        </w:rPr>
        <w:t>starts</w:t>
      </w:r>
      <w:proofErr w:type="gramEnd"/>
      <w:r>
        <w:rPr>
          <w:sz w:val="24"/>
        </w:rPr>
        <w:t xml:space="preserve"> and housing completions are published for the prior month.  Estimates of new residential sales are published on or about the 1</w:t>
      </w:r>
      <w:r w:rsidR="005260A2">
        <w:rPr>
          <w:sz w:val="24"/>
        </w:rPr>
        <w:t>7</w:t>
      </w:r>
      <w:r>
        <w:rPr>
          <w:sz w:val="24"/>
          <w:vertAlign w:val="superscript"/>
        </w:rPr>
        <w:t>th</w:t>
      </w:r>
      <w:r>
        <w:rPr>
          <w:sz w:val="24"/>
        </w:rPr>
        <w:t xml:space="preserve"> workday.  The quarterly price index of new </w:t>
      </w:r>
      <w:r w:rsidR="0019368B">
        <w:rPr>
          <w:sz w:val="24"/>
        </w:rPr>
        <w:t>single-family</w:t>
      </w:r>
      <w:r>
        <w:rPr>
          <w:sz w:val="24"/>
        </w:rPr>
        <w:t xml:space="preserve"> houses sold is published with the new residential sales data.  Annual estimates of physical and financial characteristics of new housing are released about six months after the end of the reference year.  Data are available on the Internet at </w:t>
      </w:r>
      <w:hyperlink w:history="1" r:id="rId7">
        <w:r w:rsidRPr="00B82535" w:rsidR="00661A39">
          <w:rPr>
            <w:rStyle w:val="Hyperlink"/>
            <w:sz w:val="24"/>
          </w:rPr>
          <w:t>www.census.gov/</w:t>
        </w:r>
      </w:hyperlink>
      <w:r w:rsidR="00982F95">
        <w:rPr>
          <w:color w:val="0000FF"/>
          <w:sz w:val="24"/>
          <w:u w:val="single"/>
        </w:rPr>
        <w:t>construction/nrc/</w:t>
      </w:r>
      <w:r>
        <w:rPr>
          <w:sz w:val="24"/>
        </w:rPr>
        <w:t xml:space="preserve"> and </w:t>
      </w:r>
      <w:hyperlink w:history="1" r:id="rId8">
        <w:r w:rsidRPr="00B82535" w:rsidR="00982F95">
          <w:rPr>
            <w:rStyle w:val="Hyperlink"/>
            <w:sz w:val="24"/>
          </w:rPr>
          <w:t>www.census.gov/construction/nrs/.</w:t>
        </w:r>
      </w:hyperlink>
    </w:p>
    <w:p w:rsidR="00FA164D" w:rsidP="00CF0A1A" w:rsidRDefault="00FA164D">
      <w:pPr>
        <w:tabs>
          <w:tab w:val="left" w:pos="0"/>
          <w:tab w:val="left" w:pos="360"/>
          <w:tab w:val="left" w:pos="1080"/>
          <w:tab w:val="left" w:pos="1080"/>
          <w:tab w:val="left" w:pos="1620"/>
          <w:tab w:val="left" w:pos="2160"/>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s>
        <w:rPr>
          <w:sz w:val="24"/>
          <w:szCs w:val="24"/>
        </w:rPr>
      </w:pPr>
    </w:p>
    <w:p w:rsidR="00FA164D" w:rsidRDefault="00FA164D">
      <w:pPr>
        <w:numPr>
          <w:ilvl w:val="12"/>
          <w:numId w:val="0"/>
        </w:numPr>
        <w:tabs>
          <w:tab w:val="left" w:pos="720"/>
          <w:tab w:val="left" w:pos="1440"/>
        </w:tabs>
        <w:ind w:left="1440" w:hanging="720"/>
        <w:rPr>
          <w:b/>
          <w:bCs/>
          <w:sz w:val="24"/>
          <w:szCs w:val="24"/>
        </w:rPr>
      </w:pPr>
      <w:r>
        <w:rPr>
          <w:b/>
          <w:bCs/>
          <w:sz w:val="24"/>
          <w:szCs w:val="24"/>
        </w:rPr>
        <w:t>17.</w:t>
      </w:r>
      <w:r>
        <w:rPr>
          <w:b/>
          <w:bCs/>
          <w:sz w:val="24"/>
          <w:szCs w:val="24"/>
        </w:rPr>
        <w:tab/>
      </w:r>
      <w:r>
        <w:rPr>
          <w:b/>
          <w:bCs/>
          <w:sz w:val="24"/>
          <w:szCs w:val="24"/>
          <w:u w:val="single"/>
        </w:rPr>
        <w:t>Request to Not Display Expiration Date</w:t>
      </w:r>
    </w:p>
    <w:p w:rsidR="00FA164D" w:rsidRDefault="00FA164D">
      <w:pPr>
        <w:numPr>
          <w:ilvl w:val="12"/>
          <w:numId w:val="0"/>
        </w:numPr>
        <w:rPr>
          <w:sz w:val="24"/>
          <w:szCs w:val="24"/>
        </w:rPr>
      </w:pPr>
    </w:p>
    <w:p w:rsidR="00FA164D" w:rsidRDefault="00FA164D">
      <w:pPr>
        <w:ind w:left="1440"/>
        <w:rPr>
          <w:sz w:val="24"/>
          <w:szCs w:val="24"/>
        </w:rPr>
      </w:pPr>
      <w:r>
        <w:rPr>
          <w:sz w:val="24"/>
          <w:szCs w:val="24"/>
        </w:rPr>
        <w:t>The SOC-QI is an electronic questionnaire</w:t>
      </w:r>
      <w:r w:rsidR="00097AD0">
        <w:rPr>
          <w:sz w:val="24"/>
          <w:szCs w:val="24"/>
        </w:rPr>
        <w:t xml:space="preserve"> used by the FRs and is not viewed by the </w:t>
      </w:r>
      <w:proofErr w:type="gramStart"/>
      <w:r w:rsidR="00097AD0">
        <w:rPr>
          <w:sz w:val="24"/>
          <w:szCs w:val="24"/>
        </w:rPr>
        <w:t>respondents,</w:t>
      </w:r>
      <w:proofErr w:type="gramEnd"/>
      <w:r w:rsidR="00097AD0">
        <w:rPr>
          <w:sz w:val="24"/>
          <w:szCs w:val="24"/>
        </w:rPr>
        <w:t xml:space="preserve"> therefore it does not contain the expiration date</w:t>
      </w:r>
      <w:r>
        <w:rPr>
          <w:sz w:val="24"/>
          <w:szCs w:val="24"/>
        </w:rPr>
        <w:t xml:space="preserve">.  </w:t>
      </w:r>
      <w:r w:rsidR="00097AD0">
        <w:rPr>
          <w:sz w:val="24"/>
          <w:szCs w:val="24"/>
        </w:rPr>
        <w:t>However, a</w:t>
      </w:r>
      <w:r>
        <w:rPr>
          <w:sz w:val="24"/>
          <w:szCs w:val="24"/>
        </w:rPr>
        <w:t xml:space="preserve"> printed version of the questionnaire </w:t>
      </w:r>
      <w:r w:rsidR="007E66B2">
        <w:rPr>
          <w:sz w:val="24"/>
          <w:szCs w:val="24"/>
        </w:rPr>
        <w:t xml:space="preserve">displaying the expiration date </w:t>
      </w:r>
      <w:r>
        <w:rPr>
          <w:sz w:val="24"/>
          <w:szCs w:val="24"/>
        </w:rPr>
        <w:t xml:space="preserve">is mailed to new respondents to document the questions that are asked in the interview and to provide the expiration date of the OMB approval of the survey.  </w:t>
      </w:r>
      <w:r w:rsidR="00143C9E">
        <w:rPr>
          <w:sz w:val="24"/>
          <w:szCs w:val="24"/>
        </w:rPr>
        <w:t>The printed version of questionnaires is shown in A</w:t>
      </w:r>
      <w:r>
        <w:rPr>
          <w:sz w:val="24"/>
          <w:szCs w:val="24"/>
        </w:rPr>
        <w:t>ttachments A and B.</w:t>
      </w:r>
    </w:p>
    <w:p w:rsidR="00454D88" w:rsidRDefault="00454D88">
      <w:pPr>
        <w:ind w:left="1440"/>
        <w:rPr>
          <w:sz w:val="24"/>
          <w:szCs w:val="24"/>
        </w:rPr>
      </w:pPr>
    </w:p>
    <w:p w:rsidR="00454D88" w:rsidRDefault="00454D88">
      <w:pPr>
        <w:ind w:left="1440"/>
        <w:rPr>
          <w:sz w:val="24"/>
          <w:szCs w:val="24"/>
        </w:rPr>
      </w:pPr>
    </w:p>
    <w:p w:rsidR="00FA164D" w:rsidP="00466C75" w:rsidRDefault="00FA164D">
      <w:pPr>
        <w:numPr>
          <w:ilvl w:val="12"/>
          <w:numId w:val="0"/>
        </w:numPr>
        <w:rPr>
          <w:sz w:val="24"/>
          <w:szCs w:val="24"/>
        </w:rPr>
      </w:pPr>
    </w:p>
    <w:p w:rsidR="00FA164D" w:rsidRDefault="00FA164D">
      <w:pPr>
        <w:numPr>
          <w:ilvl w:val="12"/>
          <w:numId w:val="0"/>
        </w:numPr>
        <w:tabs>
          <w:tab w:val="left" w:pos="720"/>
          <w:tab w:val="left" w:pos="1440"/>
        </w:tabs>
        <w:ind w:left="1440" w:hanging="720"/>
        <w:rPr>
          <w:b/>
          <w:bCs/>
          <w:sz w:val="24"/>
          <w:szCs w:val="24"/>
        </w:rPr>
      </w:pPr>
      <w:r>
        <w:rPr>
          <w:b/>
          <w:bCs/>
          <w:sz w:val="24"/>
          <w:szCs w:val="24"/>
        </w:rPr>
        <w:t>18.</w:t>
      </w:r>
      <w:r>
        <w:rPr>
          <w:b/>
          <w:bCs/>
          <w:sz w:val="24"/>
          <w:szCs w:val="24"/>
        </w:rPr>
        <w:tab/>
      </w:r>
      <w:r>
        <w:rPr>
          <w:b/>
          <w:bCs/>
          <w:sz w:val="24"/>
          <w:szCs w:val="24"/>
          <w:u w:val="single"/>
        </w:rPr>
        <w:t>Exceptions to the Certification</w:t>
      </w:r>
    </w:p>
    <w:p w:rsidR="00FA164D" w:rsidRDefault="00FA164D">
      <w:pPr>
        <w:numPr>
          <w:ilvl w:val="12"/>
          <w:numId w:val="0"/>
        </w:numPr>
        <w:rPr>
          <w:sz w:val="24"/>
          <w:szCs w:val="24"/>
        </w:rPr>
      </w:pPr>
    </w:p>
    <w:p w:rsidR="00FA164D" w:rsidRDefault="00FA164D">
      <w:pPr>
        <w:pStyle w:val="BodyTextIndent"/>
        <w:numPr>
          <w:ilvl w:val="12"/>
          <w:numId w:val="0"/>
        </w:numPr>
        <w:ind w:left="1440"/>
      </w:pPr>
      <w:r>
        <w:t>There are no exceptions.</w:t>
      </w:r>
    </w:p>
    <w:sectPr w:rsidR="00FA164D">
      <w:headerReference w:type="default" r:id="rId9"/>
      <w:footnotePr>
        <w:numRestart w:val="eachPage"/>
      </w:footnotePr>
      <w:endnotePr>
        <w:numFmt w:val="decimal"/>
      </w:endnotePr>
      <w:type w:val="continuous"/>
      <w:pgSz w:w="12240" w:h="15840"/>
      <w:pgMar w:top="1440" w:right="1440" w:bottom="135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E31" w:rsidRDefault="000C5E31">
      <w:r>
        <w:separator/>
      </w:r>
    </w:p>
  </w:endnote>
  <w:endnote w:type="continuationSeparator" w:id="0">
    <w:p w:rsidR="000C5E31" w:rsidRDefault="000C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E31" w:rsidRDefault="000C5E31">
      <w:r>
        <w:separator/>
      </w:r>
    </w:p>
  </w:footnote>
  <w:footnote w:type="continuationSeparator" w:id="0">
    <w:p w:rsidR="000C5E31" w:rsidRDefault="000C5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B0F" w:rsidRDefault="00877B0F">
    <w:pPr>
      <w:framePr w:wrap="notBeside" w:hAnchor="text" w:xAlign="right"/>
      <w:rPr>
        <w:sz w:val="24"/>
        <w:szCs w:val="24"/>
      </w:rPr>
    </w:pPr>
    <w:r>
      <w:rPr>
        <w:sz w:val="24"/>
        <w:szCs w:val="24"/>
      </w:rPr>
      <w:fldChar w:fldCharType="begin"/>
    </w:r>
    <w:r>
      <w:rPr>
        <w:sz w:val="24"/>
        <w:szCs w:val="24"/>
      </w:rPr>
      <w:instrText xml:space="preserve"> PAGE  </w:instrText>
    </w:r>
    <w:r>
      <w:rPr>
        <w:sz w:val="24"/>
        <w:szCs w:val="24"/>
      </w:rPr>
      <w:fldChar w:fldCharType="separate"/>
    </w:r>
    <w:r w:rsidR="00595526">
      <w:rPr>
        <w:noProof/>
        <w:sz w:val="24"/>
        <w:szCs w:val="24"/>
      </w:rPr>
      <w:t>1</w:t>
    </w:r>
    <w:r>
      <w:rPr>
        <w:sz w:val="24"/>
        <w:szCs w:val="24"/>
      </w:rPr>
      <w:fldChar w:fldCharType="end"/>
    </w:r>
  </w:p>
  <w:p w:rsidR="00877B0F" w:rsidRDefault="00877B0F">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FA085B0"/>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pStyle w:val="Heading5"/>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15:restartNumberingAfterBreak="0">
    <w:nsid w:val="27FE7927"/>
    <w:multiLevelType w:val="hybridMultilevel"/>
    <w:tmpl w:val="945AD75E"/>
    <w:lvl w:ilvl="0" w:tplc="7C5EB8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CEC2FB5"/>
    <w:multiLevelType w:val="hybridMultilevel"/>
    <w:tmpl w:val="47D8AC3E"/>
    <w:lvl w:ilvl="0" w:tplc="A79CA270">
      <w:start w:val="10"/>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 w15:restartNumberingAfterBreak="0">
    <w:nsid w:val="4EFB2AAA"/>
    <w:multiLevelType w:val="multilevel"/>
    <w:tmpl w:val="DFBCF0BE"/>
    <w:lvl w:ilvl="0">
      <w:start w:val="10"/>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s>
  <w:rsids>
    <w:rsidRoot w:val="00FA164D"/>
    <w:rsid w:val="00004D20"/>
    <w:rsid w:val="00021D90"/>
    <w:rsid w:val="00031B67"/>
    <w:rsid w:val="00032828"/>
    <w:rsid w:val="00042241"/>
    <w:rsid w:val="00091DAA"/>
    <w:rsid w:val="00097AD0"/>
    <w:rsid w:val="000A25B1"/>
    <w:rsid w:val="000A7033"/>
    <w:rsid w:val="000C0451"/>
    <w:rsid w:val="000C5E31"/>
    <w:rsid w:val="000E5182"/>
    <w:rsid w:val="000F6434"/>
    <w:rsid w:val="00101803"/>
    <w:rsid w:val="00104A35"/>
    <w:rsid w:val="00107002"/>
    <w:rsid w:val="00113E11"/>
    <w:rsid w:val="00143C9E"/>
    <w:rsid w:val="001649CE"/>
    <w:rsid w:val="001676F4"/>
    <w:rsid w:val="00172418"/>
    <w:rsid w:val="0019368B"/>
    <w:rsid w:val="001B2DA6"/>
    <w:rsid w:val="001B4913"/>
    <w:rsid w:val="001B6AC8"/>
    <w:rsid w:val="001F0830"/>
    <w:rsid w:val="00205175"/>
    <w:rsid w:val="002360D2"/>
    <w:rsid w:val="00297574"/>
    <w:rsid w:val="002B666E"/>
    <w:rsid w:val="002C1FC4"/>
    <w:rsid w:val="002C3A2E"/>
    <w:rsid w:val="002C3A9D"/>
    <w:rsid w:val="002C70B5"/>
    <w:rsid w:val="002D6CBD"/>
    <w:rsid w:val="003052C1"/>
    <w:rsid w:val="00345CB9"/>
    <w:rsid w:val="00381B62"/>
    <w:rsid w:val="003E191B"/>
    <w:rsid w:val="004024A4"/>
    <w:rsid w:val="00403C6E"/>
    <w:rsid w:val="00412718"/>
    <w:rsid w:val="00415664"/>
    <w:rsid w:val="00421251"/>
    <w:rsid w:val="00431F14"/>
    <w:rsid w:val="00442980"/>
    <w:rsid w:val="00451F1B"/>
    <w:rsid w:val="00454D88"/>
    <w:rsid w:val="00460A4B"/>
    <w:rsid w:val="00466C75"/>
    <w:rsid w:val="00505F41"/>
    <w:rsid w:val="005260A2"/>
    <w:rsid w:val="0055387E"/>
    <w:rsid w:val="00561F7C"/>
    <w:rsid w:val="00571442"/>
    <w:rsid w:val="00575594"/>
    <w:rsid w:val="00595526"/>
    <w:rsid w:val="005C3261"/>
    <w:rsid w:val="005E62E5"/>
    <w:rsid w:val="00611199"/>
    <w:rsid w:val="00627F27"/>
    <w:rsid w:val="00642CB1"/>
    <w:rsid w:val="006517B5"/>
    <w:rsid w:val="00653441"/>
    <w:rsid w:val="00661A39"/>
    <w:rsid w:val="00675F83"/>
    <w:rsid w:val="00692971"/>
    <w:rsid w:val="006B60BD"/>
    <w:rsid w:val="006C6699"/>
    <w:rsid w:val="006D1BEF"/>
    <w:rsid w:val="006E7A27"/>
    <w:rsid w:val="007064B3"/>
    <w:rsid w:val="007078BB"/>
    <w:rsid w:val="00731003"/>
    <w:rsid w:val="00752D07"/>
    <w:rsid w:val="00764B22"/>
    <w:rsid w:val="00777D37"/>
    <w:rsid w:val="00792295"/>
    <w:rsid w:val="00797AC5"/>
    <w:rsid w:val="007A1AF0"/>
    <w:rsid w:val="007E66B2"/>
    <w:rsid w:val="008021B1"/>
    <w:rsid w:val="00802BD9"/>
    <w:rsid w:val="00823D6F"/>
    <w:rsid w:val="0083410A"/>
    <w:rsid w:val="00877B0F"/>
    <w:rsid w:val="008855A2"/>
    <w:rsid w:val="00891AB6"/>
    <w:rsid w:val="008B4E7C"/>
    <w:rsid w:val="008C2F16"/>
    <w:rsid w:val="008F102C"/>
    <w:rsid w:val="00960748"/>
    <w:rsid w:val="00961150"/>
    <w:rsid w:val="00982F95"/>
    <w:rsid w:val="009A0E89"/>
    <w:rsid w:val="009A17DD"/>
    <w:rsid w:val="009B6D8B"/>
    <w:rsid w:val="009D3662"/>
    <w:rsid w:val="009E4277"/>
    <w:rsid w:val="009F05F4"/>
    <w:rsid w:val="009F4459"/>
    <w:rsid w:val="009F6F98"/>
    <w:rsid w:val="00A06628"/>
    <w:rsid w:val="00A17B9B"/>
    <w:rsid w:val="00A312A6"/>
    <w:rsid w:val="00A63E53"/>
    <w:rsid w:val="00A84740"/>
    <w:rsid w:val="00A91EB8"/>
    <w:rsid w:val="00A93776"/>
    <w:rsid w:val="00A94F4A"/>
    <w:rsid w:val="00A96F67"/>
    <w:rsid w:val="00AF16AA"/>
    <w:rsid w:val="00B46471"/>
    <w:rsid w:val="00B668BB"/>
    <w:rsid w:val="00B840C2"/>
    <w:rsid w:val="00B8544E"/>
    <w:rsid w:val="00BC6126"/>
    <w:rsid w:val="00C16A29"/>
    <w:rsid w:val="00C3316D"/>
    <w:rsid w:val="00C50458"/>
    <w:rsid w:val="00C819FC"/>
    <w:rsid w:val="00C832BF"/>
    <w:rsid w:val="00C874B2"/>
    <w:rsid w:val="00CB1073"/>
    <w:rsid w:val="00CB7477"/>
    <w:rsid w:val="00CC17EA"/>
    <w:rsid w:val="00CE34C4"/>
    <w:rsid w:val="00CF0A1A"/>
    <w:rsid w:val="00CF3220"/>
    <w:rsid w:val="00D13E41"/>
    <w:rsid w:val="00D24FFA"/>
    <w:rsid w:val="00D400A9"/>
    <w:rsid w:val="00D5774F"/>
    <w:rsid w:val="00D828DC"/>
    <w:rsid w:val="00DB113E"/>
    <w:rsid w:val="00DE285C"/>
    <w:rsid w:val="00DE4C25"/>
    <w:rsid w:val="00E12FD2"/>
    <w:rsid w:val="00E3142B"/>
    <w:rsid w:val="00E7127E"/>
    <w:rsid w:val="00E8365F"/>
    <w:rsid w:val="00ED669B"/>
    <w:rsid w:val="00EE396E"/>
    <w:rsid w:val="00F117E7"/>
    <w:rsid w:val="00F16CA8"/>
    <w:rsid w:val="00F45297"/>
    <w:rsid w:val="00FA164D"/>
    <w:rsid w:val="00FB08E9"/>
    <w:rsid w:val="00FD337A"/>
    <w:rsid w:val="00FD7913"/>
    <w:rsid w:val="00FE1E58"/>
    <w:rsid w:val="00FF1CE6"/>
    <w:rsid w:val="00FF3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C6014EA-2D08-4C7E-8292-CA943924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720"/>
      </w:tabs>
      <w:ind w:left="720" w:hanging="720"/>
      <w:outlineLvl w:val="0"/>
    </w:pPr>
    <w:rPr>
      <w:b/>
      <w:bCs/>
      <w:sz w:val="24"/>
      <w:szCs w:val="24"/>
    </w:rPr>
  </w:style>
  <w:style w:type="paragraph" w:styleId="Heading2">
    <w:name w:val="heading 2"/>
    <w:basedOn w:val="Normal"/>
    <w:next w:val="Normal"/>
    <w:qFormat/>
    <w:pPr>
      <w:keepNext/>
      <w:autoSpaceDE/>
      <w:autoSpaceDN/>
      <w:adjustRightInd/>
      <w:jc w:val="center"/>
      <w:outlineLvl w:val="1"/>
    </w:pPr>
    <w:rPr>
      <w:b/>
      <w:bCs/>
      <w:color w:val="000000"/>
      <w:sz w:val="24"/>
      <w:szCs w:val="24"/>
    </w:rPr>
  </w:style>
  <w:style w:type="paragraph" w:styleId="Heading3">
    <w:name w:val="heading 3"/>
    <w:basedOn w:val="Normal"/>
    <w:next w:val="Normal"/>
    <w:qFormat/>
    <w:pPr>
      <w:keepNext/>
      <w:autoSpaceDE/>
      <w:autoSpaceDN/>
      <w:adjustRightInd/>
      <w:outlineLvl w:val="2"/>
    </w:pPr>
    <w:rPr>
      <w:b/>
      <w:sz w:val="24"/>
      <w:szCs w:val="24"/>
    </w:rPr>
  </w:style>
  <w:style w:type="paragraph" w:styleId="Heading4">
    <w:name w:val="heading 4"/>
    <w:basedOn w:val="Normal"/>
    <w:next w:val="Normal"/>
    <w:qFormat/>
    <w:pPr>
      <w:keepNext/>
      <w:autoSpaceDE/>
      <w:autoSpaceDN/>
      <w:adjustRightInd/>
      <w:jc w:val="center"/>
      <w:outlineLvl w:val="3"/>
    </w:pPr>
    <w:rPr>
      <w:b/>
      <w:sz w:val="24"/>
      <w:szCs w:val="24"/>
    </w:rPr>
  </w:style>
  <w:style w:type="paragraph" w:styleId="Heading5">
    <w:name w:val="heading 5"/>
    <w:basedOn w:val="Normal"/>
    <w:next w:val="Normal"/>
    <w:qFormat/>
    <w:pPr>
      <w:keepNext/>
      <w:widowControl/>
      <w:numPr>
        <w:ilvl w:val="5"/>
        <w:numId w:val="3"/>
      </w:numPr>
      <w:autoSpaceDE/>
      <w:autoSpaceDN/>
      <w:adjustRightInd/>
      <w:outlineLvl w:val="4"/>
    </w:pPr>
    <w:rPr>
      <w:color w:val="000000"/>
      <w:sz w:val="24"/>
      <w:szCs w:val="24"/>
      <w:u w:val="single"/>
    </w:rPr>
  </w:style>
  <w:style w:type="paragraph" w:styleId="Heading6">
    <w:name w:val="heading 6"/>
    <w:basedOn w:val="Normal"/>
    <w:next w:val="Normal"/>
    <w:qFormat/>
    <w:pPr>
      <w:keepNext/>
      <w:autoSpaceDE/>
      <w:autoSpaceDN/>
      <w:adjustRightInd/>
      <w:jc w:val="center"/>
      <w:outlineLvl w:val="5"/>
    </w:pPr>
    <w:rPr>
      <w:b/>
      <w:bCs/>
      <w:color w:val="000000"/>
      <w:sz w:val="24"/>
      <w:szCs w:val="24"/>
    </w:rPr>
  </w:style>
  <w:style w:type="paragraph" w:styleId="Heading7">
    <w:name w:val="heading 7"/>
    <w:basedOn w:val="Normal"/>
    <w:next w:val="Normal"/>
    <w:qFormat/>
    <w:pPr>
      <w:keepNext/>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6"/>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rPr>
  </w:style>
  <w:style w:type="paragraph" w:customStyle="1" w:styleId="Level2">
    <w:name w:val="Level 2"/>
    <w:pPr>
      <w:widowControl w:val="0"/>
      <w:autoSpaceDE w:val="0"/>
      <w:autoSpaceDN w:val="0"/>
      <w:adjustRightInd w:val="0"/>
      <w:ind w:left="1440"/>
      <w:jc w:val="both"/>
    </w:pPr>
    <w:rPr>
      <w:sz w:val="24"/>
      <w:szCs w:val="24"/>
    </w:rPr>
  </w:style>
  <w:style w:type="paragraph" w:customStyle="1" w:styleId="Level3">
    <w:name w:val="Level 3"/>
    <w:pPr>
      <w:widowControl w:val="0"/>
      <w:autoSpaceDE w:val="0"/>
      <w:autoSpaceDN w:val="0"/>
      <w:adjustRightInd w:val="0"/>
      <w:ind w:left="2160"/>
      <w:jc w:val="both"/>
    </w:pPr>
    <w:rPr>
      <w:sz w:val="24"/>
      <w:szCs w:val="24"/>
    </w:rPr>
  </w:style>
  <w:style w:type="paragraph" w:customStyle="1" w:styleId="Level4">
    <w:name w:val="Level 4"/>
    <w:pPr>
      <w:widowControl w:val="0"/>
      <w:autoSpaceDE w:val="0"/>
      <w:autoSpaceDN w:val="0"/>
      <w:adjustRightInd w:val="0"/>
      <w:ind w:left="-1440"/>
      <w:jc w:val="both"/>
    </w:pPr>
    <w:rPr>
      <w:sz w:val="24"/>
      <w:szCs w:val="24"/>
    </w:rPr>
  </w:style>
  <w:style w:type="paragraph" w:customStyle="1" w:styleId="Level5">
    <w:name w:val="Level 5"/>
    <w:pPr>
      <w:widowControl w:val="0"/>
      <w:autoSpaceDE w:val="0"/>
      <w:autoSpaceDN w:val="0"/>
      <w:adjustRightInd w:val="0"/>
      <w:ind w:left="-1440"/>
      <w:jc w:val="both"/>
    </w:pPr>
    <w:rPr>
      <w:sz w:val="24"/>
      <w:szCs w:val="24"/>
    </w:rPr>
  </w:style>
  <w:style w:type="paragraph" w:customStyle="1" w:styleId="Level6">
    <w:name w:val="Level 6"/>
    <w:pPr>
      <w:widowControl w:val="0"/>
      <w:autoSpaceDE w:val="0"/>
      <w:autoSpaceDN w:val="0"/>
      <w:adjustRightInd w:val="0"/>
      <w:ind w:left="-1440"/>
      <w:jc w:val="both"/>
    </w:pPr>
    <w:rPr>
      <w:sz w:val="24"/>
      <w:szCs w:val="24"/>
    </w:rPr>
  </w:style>
  <w:style w:type="paragraph" w:customStyle="1" w:styleId="Level7">
    <w:name w:val="Level 7"/>
    <w:pPr>
      <w:widowControl w:val="0"/>
      <w:autoSpaceDE w:val="0"/>
      <w:autoSpaceDN w:val="0"/>
      <w:adjustRightInd w:val="0"/>
      <w:ind w:left="-1440"/>
      <w:jc w:val="both"/>
    </w:pPr>
    <w:rPr>
      <w:sz w:val="24"/>
      <w:szCs w:val="24"/>
    </w:rPr>
  </w:style>
  <w:style w:type="paragraph" w:customStyle="1" w:styleId="Level8">
    <w:name w:val="Level 8"/>
    <w:pPr>
      <w:widowControl w:val="0"/>
      <w:autoSpaceDE w:val="0"/>
      <w:autoSpaceDN w:val="0"/>
      <w:adjustRightInd w:val="0"/>
      <w:ind w:left="-1440"/>
      <w:jc w:val="both"/>
    </w:pPr>
    <w:rPr>
      <w:sz w:val="24"/>
      <w:szCs w:val="24"/>
    </w:rPr>
  </w:style>
  <w:style w:type="paragraph" w:customStyle="1" w:styleId="Level9">
    <w:name w:val="Level 9"/>
    <w:pPr>
      <w:widowControl w:val="0"/>
      <w:autoSpaceDE w:val="0"/>
      <w:autoSpaceDN w:val="0"/>
      <w:adjustRightInd w:val="0"/>
      <w:ind w:left="-1440"/>
      <w:jc w:val="both"/>
    </w:pPr>
    <w:rPr>
      <w:b/>
      <w:bCs/>
      <w:sz w:val="24"/>
      <w:szCs w:val="24"/>
    </w:rPr>
  </w:style>
  <w:style w:type="paragraph" w:customStyle="1" w:styleId="26">
    <w:name w:val="_26"/>
    <w:pPr>
      <w:widowControl w:val="0"/>
      <w:autoSpaceDE w:val="0"/>
      <w:autoSpaceDN w:val="0"/>
      <w:adjustRightInd w:val="0"/>
      <w:jc w:val="both"/>
    </w:pPr>
    <w:rPr>
      <w:sz w:val="24"/>
      <w:szCs w:val="24"/>
    </w:rPr>
  </w:style>
  <w:style w:type="paragraph" w:customStyle="1" w:styleId="25">
    <w:name w:val="_25"/>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24">
    <w:name w:val="_24"/>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23">
    <w:name w:val="_2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22">
    <w:name w:val="_22"/>
    <w:pPr>
      <w:widowControl w:val="0"/>
      <w:tabs>
        <w:tab w:val="left" w:pos="3600"/>
        <w:tab w:val="left" w:pos="4320"/>
      </w:tabs>
      <w:autoSpaceDE w:val="0"/>
      <w:autoSpaceDN w:val="0"/>
      <w:adjustRightInd w:val="0"/>
      <w:ind w:left="3600"/>
      <w:jc w:val="both"/>
    </w:pPr>
    <w:rPr>
      <w:sz w:val="24"/>
      <w:szCs w:val="24"/>
    </w:rPr>
  </w:style>
  <w:style w:type="paragraph" w:customStyle="1" w:styleId="21">
    <w:name w:val="_21"/>
    <w:pPr>
      <w:widowControl w:val="0"/>
      <w:tabs>
        <w:tab w:val="left" w:pos="4320"/>
      </w:tabs>
      <w:autoSpaceDE w:val="0"/>
      <w:autoSpaceDN w:val="0"/>
      <w:adjustRightInd w:val="0"/>
      <w:ind w:left="4320"/>
      <w:jc w:val="both"/>
    </w:pPr>
    <w:rPr>
      <w:sz w:val="24"/>
      <w:szCs w:val="24"/>
    </w:rPr>
  </w:style>
  <w:style w:type="paragraph" w:customStyle="1" w:styleId="20">
    <w:name w:val="_20"/>
    <w:pPr>
      <w:widowControl w:val="0"/>
      <w:tabs>
        <w:tab w:val="left" w:pos="5040"/>
      </w:tabs>
      <w:autoSpaceDE w:val="0"/>
      <w:autoSpaceDN w:val="0"/>
      <w:adjustRightInd w:val="0"/>
      <w:ind w:left="5040"/>
      <w:jc w:val="both"/>
    </w:pPr>
    <w:rPr>
      <w:sz w:val="24"/>
      <w:szCs w:val="24"/>
    </w:rPr>
  </w:style>
  <w:style w:type="paragraph" w:customStyle="1" w:styleId="19">
    <w:name w:val="_19"/>
    <w:pPr>
      <w:widowControl w:val="0"/>
      <w:tabs>
        <w:tab w:val="left" w:pos="5760"/>
      </w:tabs>
      <w:autoSpaceDE w:val="0"/>
      <w:autoSpaceDN w:val="0"/>
      <w:adjustRightInd w:val="0"/>
      <w:ind w:left="5760"/>
      <w:jc w:val="both"/>
    </w:pPr>
    <w:rPr>
      <w:sz w:val="24"/>
      <w:szCs w:val="24"/>
    </w:rPr>
  </w:style>
  <w:style w:type="paragraph" w:customStyle="1" w:styleId="18">
    <w:name w:val="_18"/>
    <w:pPr>
      <w:widowControl w:val="0"/>
      <w:tabs>
        <w:tab w:val="left" w:pos="6480"/>
      </w:tabs>
      <w:autoSpaceDE w:val="0"/>
      <w:autoSpaceDN w:val="0"/>
      <w:adjustRightInd w:val="0"/>
      <w:ind w:left="6480"/>
      <w:jc w:val="both"/>
    </w:pPr>
    <w:rPr>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16">
    <w:name w:val="_16"/>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15">
    <w:name w:val="_15"/>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14">
    <w:name w:val="_14"/>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13">
    <w:name w:val="_13"/>
    <w:pPr>
      <w:widowControl w:val="0"/>
      <w:tabs>
        <w:tab w:val="left" w:pos="3600"/>
        <w:tab w:val="left" w:pos="4320"/>
      </w:tabs>
      <w:autoSpaceDE w:val="0"/>
      <w:autoSpaceDN w:val="0"/>
      <w:adjustRightInd w:val="0"/>
      <w:ind w:left="3600"/>
      <w:jc w:val="both"/>
    </w:pPr>
    <w:rPr>
      <w:sz w:val="24"/>
      <w:szCs w:val="24"/>
    </w:rPr>
  </w:style>
  <w:style w:type="paragraph" w:customStyle="1" w:styleId="12">
    <w:name w:val="_12"/>
    <w:pPr>
      <w:widowControl w:val="0"/>
      <w:tabs>
        <w:tab w:val="left" w:pos="4320"/>
      </w:tabs>
      <w:autoSpaceDE w:val="0"/>
      <w:autoSpaceDN w:val="0"/>
      <w:adjustRightInd w:val="0"/>
      <w:ind w:left="4320"/>
      <w:jc w:val="both"/>
    </w:pPr>
    <w:rPr>
      <w:sz w:val="24"/>
      <w:szCs w:val="24"/>
    </w:rPr>
  </w:style>
  <w:style w:type="paragraph" w:customStyle="1" w:styleId="11">
    <w:name w:val="_11"/>
    <w:pPr>
      <w:widowControl w:val="0"/>
      <w:tabs>
        <w:tab w:val="left" w:pos="5040"/>
      </w:tabs>
      <w:autoSpaceDE w:val="0"/>
      <w:autoSpaceDN w:val="0"/>
      <w:adjustRightInd w:val="0"/>
      <w:ind w:left="5040"/>
      <w:jc w:val="both"/>
    </w:pPr>
    <w:rPr>
      <w:sz w:val="24"/>
      <w:szCs w:val="24"/>
    </w:rPr>
  </w:style>
  <w:style w:type="paragraph" w:customStyle="1" w:styleId="10">
    <w:name w:val="_10"/>
    <w:pPr>
      <w:widowControl w:val="0"/>
      <w:tabs>
        <w:tab w:val="left" w:pos="5760"/>
      </w:tabs>
      <w:autoSpaceDE w:val="0"/>
      <w:autoSpaceDN w:val="0"/>
      <w:adjustRightInd w:val="0"/>
      <w:ind w:left="5760"/>
      <w:jc w:val="both"/>
    </w:pPr>
    <w:rPr>
      <w:sz w:val="24"/>
      <w:szCs w:val="24"/>
    </w:rPr>
  </w:style>
  <w:style w:type="paragraph" w:customStyle="1" w:styleId="9">
    <w:name w:val="_9"/>
    <w:pPr>
      <w:widowControl w:val="0"/>
      <w:tabs>
        <w:tab w:val="left" w:pos="6480"/>
      </w:tabs>
      <w:autoSpaceDE w:val="0"/>
      <w:autoSpaceDN w:val="0"/>
      <w:adjustRightInd w:val="0"/>
      <w:ind w:left="6480"/>
      <w:jc w:val="both"/>
    </w:pPr>
    <w:rPr>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7">
    <w:name w:val="_7"/>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6">
    <w:name w:val="_6"/>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5">
    <w:name w:val="_5"/>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4">
    <w:name w:val="_4"/>
    <w:pPr>
      <w:widowControl w:val="0"/>
      <w:tabs>
        <w:tab w:val="left" w:pos="3600"/>
        <w:tab w:val="left" w:pos="4320"/>
      </w:tabs>
      <w:autoSpaceDE w:val="0"/>
      <w:autoSpaceDN w:val="0"/>
      <w:adjustRightInd w:val="0"/>
      <w:ind w:left="3600"/>
      <w:jc w:val="both"/>
    </w:pPr>
    <w:rPr>
      <w:sz w:val="24"/>
      <w:szCs w:val="24"/>
    </w:rPr>
  </w:style>
  <w:style w:type="paragraph" w:customStyle="1" w:styleId="3">
    <w:name w:val="_3"/>
    <w:pPr>
      <w:widowControl w:val="0"/>
      <w:tabs>
        <w:tab w:val="left" w:pos="4320"/>
      </w:tabs>
      <w:autoSpaceDE w:val="0"/>
      <w:autoSpaceDN w:val="0"/>
      <w:adjustRightInd w:val="0"/>
      <w:ind w:left="4320"/>
      <w:jc w:val="both"/>
    </w:pPr>
    <w:rPr>
      <w:sz w:val="24"/>
      <w:szCs w:val="24"/>
    </w:rPr>
  </w:style>
  <w:style w:type="paragraph" w:customStyle="1" w:styleId="2">
    <w:name w:val="_2"/>
    <w:pPr>
      <w:widowControl w:val="0"/>
      <w:tabs>
        <w:tab w:val="left" w:pos="5040"/>
      </w:tabs>
      <w:autoSpaceDE w:val="0"/>
      <w:autoSpaceDN w:val="0"/>
      <w:adjustRightInd w:val="0"/>
      <w:ind w:left="5040"/>
      <w:jc w:val="both"/>
    </w:pPr>
    <w:rPr>
      <w:sz w:val="24"/>
      <w:szCs w:val="24"/>
    </w:rPr>
  </w:style>
  <w:style w:type="paragraph" w:customStyle="1" w:styleId="1">
    <w:name w:val="_1"/>
    <w:pPr>
      <w:widowControl w:val="0"/>
      <w:tabs>
        <w:tab w:val="left" w:pos="5760"/>
      </w:tabs>
      <w:autoSpaceDE w:val="0"/>
      <w:autoSpaceDN w:val="0"/>
      <w:adjustRightInd w:val="0"/>
      <w:ind w:left="5760"/>
      <w:jc w:val="both"/>
    </w:pPr>
    <w:rPr>
      <w:sz w:val="24"/>
      <w:szCs w:val="24"/>
    </w:rPr>
  </w:style>
  <w:style w:type="paragraph" w:customStyle="1" w:styleId="a">
    <w:name w:val="_"/>
    <w:pPr>
      <w:widowControl w:val="0"/>
      <w:tabs>
        <w:tab w:val="left" w:pos="6480"/>
      </w:tabs>
      <w:autoSpaceDE w:val="0"/>
      <w:autoSpaceDN w:val="0"/>
      <w:adjustRightInd w:val="0"/>
      <w:ind w:left="6480"/>
      <w:jc w:val="both"/>
    </w:pPr>
    <w:rPr>
      <w:sz w:val="24"/>
      <w:szCs w:val="24"/>
    </w:rPr>
  </w:style>
  <w:style w:type="paragraph" w:styleId="BodyTextIndent">
    <w:name w:val="Body Text Indent"/>
    <w:basedOn w:val="Normal"/>
    <w:semiHidden/>
    <w:pPr>
      <w:ind w:left="1440"/>
    </w:pPr>
    <w:rPr>
      <w:sz w:val="24"/>
      <w:szCs w:val="24"/>
    </w:rPr>
  </w:style>
  <w:style w:type="paragraph" w:styleId="Title">
    <w:name w:val="Title"/>
    <w:basedOn w:val="Normal"/>
    <w:qFormat/>
    <w:pPr>
      <w:autoSpaceDE/>
      <w:autoSpaceDN/>
      <w:adjustRightInd/>
      <w:jc w:val="center"/>
    </w:pPr>
    <w:rPr>
      <w:b/>
      <w:caps/>
      <w:sz w:val="24"/>
      <w:szCs w:val="24"/>
    </w:rPr>
  </w:style>
  <w:style w:type="paragraph" w:customStyle="1" w:styleId="BodyTextIn">
    <w:name w:val="Body Text 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character" w:customStyle="1" w:styleId="questiontext">
    <w:name w:val="question_text"/>
    <w:basedOn w:val="DefaultParagraphFont"/>
  </w:style>
  <w:style w:type="paragraph" w:styleId="BodyTextIndent2">
    <w:name w:val="Body Text Indent 2"/>
    <w:basedOn w:val="Normal"/>
    <w:semiHidden/>
    <w:pPr>
      <w:tabs>
        <w:tab w:val="left" w:pos="0"/>
        <w:tab w:val="left" w:pos="360"/>
        <w:tab w:val="left" w:pos="1080"/>
        <w:tab w:val="left" w:pos="1080"/>
        <w:tab w:val="left" w:pos="1620"/>
        <w:tab w:val="left" w:pos="2160"/>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s>
      <w:ind w:left="1440"/>
    </w:pPr>
  </w:style>
  <w:style w:type="character" w:styleId="Hyperlink">
    <w:name w:val="Hyperlink"/>
    <w:uiPriority w:val="99"/>
    <w:unhideWhenUsed/>
    <w:rsid w:val="005260A2"/>
    <w:rPr>
      <w:color w:val="0000FF"/>
      <w:u w:val="single"/>
    </w:rPr>
  </w:style>
  <w:style w:type="character" w:styleId="FollowedHyperlink">
    <w:name w:val="FollowedHyperlink"/>
    <w:uiPriority w:val="99"/>
    <w:semiHidden/>
    <w:unhideWhenUsed/>
    <w:rsid w:val="00777D37"/>
    <w:rPr>
      <w:color w:val="800080"/>
      <w:u w:val="single"/>
    </w:rPr>
  </w:style>
  <w:style w:type="character" w:styleId="CommentReference">
    <w:name w:val="annotation reference"/>
    <w:uiPriority w:val="99"/>
    <w:semiHidden/>
    <w:unhideWhenUsed/>
    <w:rsid w:val="00D828DC"/>
    <w:rPr>
      <w:sz w:val="16"/>
      <w:szCs w:val="16"/>
    </w:rPr>
  </w:style>
  <w:style w:type="paragraph" w:styleId="CommentText">
    <w:name w:val="annotation text"/>
    <w:basedOn w:val="Normal"/>
    <w:link w:val="CommentTextChar"/>
    <w:uiPriority w:val="99"/>
    <w:semiHidden/>
    <w:unhideWhenUsed/>
    <w:rsid w:val="00D828DC"/>
  </w:style>
  <w:style w:type="character" w:customStyle="1" w:styleId="CommentTextChar">
    <w:name w:val="Comment Text Char"/>
    <w:basedOn w:val="DefaultParagraphFont"/>
    <w:link w:val="CommentText"/>
    <w:uiPriority w:val="99"/>
    <w:semiHidden/>
    <w:rsid w:val="00D828DC"/>
  </w:style>
  <w:style w:type="paragraph" w:styleId="CommentSubject">
    <w:name w:val="annotation subject"/>
    <w:basedOn w:val="CommentText"/>
    <w:next w:val="CommentText"/>
    <w:link w:val="CommentSubjectChar"/>
    <w:uiPriority w:val="99"/>
    <w:semiHidden/>
    <w:unhideWhenUsed/>
    <w:rsid w:val="00D828DC"/>
    <w:rPr>
      <w:b/>
      <w:bCs/>
    </w:rPr>
  </w:style>
  <w:style w:type="character" w:customStyle="1" w:styleId="CommentSubjectChar">
    <w:name w:val="Comment Subject Char"/>
    <w:link w:val="CommentSubject"/>
    <w:uiPriority w:val="99"/>
    <w:semiHidden/>
    <w:rsid w:val="00D828DC"/>
    <w:rPr>
      <w:b/>
      <w:bCs/>
    </w:rPr>
  </w:style>
  <w:style w:type="paragraph" w:styleId="BalloonText">
    <w:name w:val="Balloon Text"/>
    <w:basedOn w:val="Normal"/>
    <w:link w:val="BalloonTextChar"/>
    <w:uiPriority w:val="99"/>
    <w:semiHidden/>
    <w:unhideWhenUsed/>
    <w:rsid w:val="00D828DC"/>
    <w:rPr>
      <w:rFonts w:ascii="Tahoma" w:hAnsi="Tahoma" w:cs="Tahoma"/>
      <w:sz w:val="16"/>
      <w:szCs w:val="16"/>
    </w:rPr>
  </w:style>
  <w:style w:type="character" w:customStyle="1" w:styleId="BalloonTextChar">
    <w:name w:val="Balloon Text Char"/>
    <w:link w:val="BalloonText"/>
    <w:uiPriority w:val="99"/>
    <w:semiHidden/>
    <w:rsid w:val="00D828DC"/>
    <w:rPr>
      <w:rFonts w:ascii="Tahoma" w:hAnsi="Tahoma" w:cs="Tahoma"/>
      <w:sz w:val="16"/>
      <w:szCs w:val="16"/>
    </w:rPr>
  </w:style>
  <w:style w:type="paragraph" w:customStyle="1" w:styleId="Default">
    <w:name w:val="Default"/>
    <w:rsid w:val="009A0E89"/>
    <w:pPr>
      <w:autoSpaceDE w:val="0"/>
      <w:autoSpaceDN w:val="0"/>
      <w:adjustRightInd w:val="0"/>
    </w:pPr>
    <w:rPr>
      <w:color w:val="000000"/>
      <w:sz w:val="24"/>
      <w:szCs w:val="24"/>
    </w:rPr>
  </w:style>
  <w:style w:type="paragraph" w:customStyle="1" w:styleId="paragraph">
    <w:name w:val="paragraph"/>
    <w:basedOn w:val="Normal"/>
    <w:rsid w:val="00595526"/>
    <w:pPr>
      <w:widowControl/>
      <w:autoSpaceDE/>
      <w:autoSpaceDN/>
      <w:adjustRightInd/>
      <w:spacing w:before="100" w:beforeAutospacing="1" w:after="100" w:afterAutospacing="1"/>
    </w:pPr>
    <w:rPr>
      <w:sz w:val="24"/>
      <w:szCs w:val="24"/>
    </w:rPr>
  </w:style>
  <w:style w:type="character" w:customStyle="1" w:styleId="normaltextrun">
    <w:name w:val="normaltextrun"/>
    <w:rsid w:val="00595526"/>
  </w:style>
  <w:style w:type="character" w:customStyle="1" w:styleId="eop">
    <w:name w:val="eop"/>
    <w:rsid w:val="00595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5069">
      <w:bodyDiv w:val="1"/>
      <w:marLeft w:val="0"/>
      <w:marRight w:val="0"/>
      <w:marTop w:val="0"/>
      <w:marBottom w:val="0"/>
      <w:divBdr>
        <w:top w:val="none" w:sz="0" w:space="0" w:color="auto"/>
        <w:left w:val="none" w:sz="0" w:space="0" w:color="auto"/>
        <w:bottom w:val="none" w:sz="0" w:space="0" w:color="auto"/>
        <w:right w:val="none" w:sz="0" w:space="0" w:color="auto"/>
      </w:divBdr>
      <w:divsChild>
        <w:div w:id="1364013246">
          <w:marLeft w:val="0"/>
          <w:marRight w:val="0"/>
          <w:marTop w:val="0"/>
          <w:marBottom w:val="0"/>
          <w:divBdr>
            <w:top w:val="none" w:sz="0" w:space="0" w:color="auto"/>
            <w:left w:val="none" w:sz="0" w:space="0" w:color="auto"/>
            <w:bottom w:val="none" w:sz="0" w:space="0" w:color="auto"/>
            <w:right w:val="none" w:sz="0" w:space="0" w:color="auto"/>
          </w:divBdr>
        </w:div>
      </w:divsChild>
    </w:div>
    <w:div w:id="1955555088">
      <w:bodyDiv w:val="1"/>
      <w:marLeft w:val="0"/>
      <w:marRight w:val="0"/>
      <w:marTop w:val="0"/>
      <w:marBottom w:val="0"/>
      <w:divBdr>
        <w:top w:val="none" w:sz="0" w:space="0" w:color="auto"/>
        <w:left w:val="none" w:sz="0" w:space="0" w:color="auto"/>
        <w:bottom w:val="none" w:sz="0" w:space="0" w:color="auto"/>
        <w:right w:val="none" w:sz="0" w:space="0" w:color="auto"/>
      </w:divBdr>
      <w:divsChild>
        <w:div w:id="983511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ensus.gov/construction/nrs/." TargetMode="External"/><Relationship Id="rId3" Type="http://schemas.openxmlformats.org/officeDocument/2006/relationships/settings" Target="settings.xml"/><Relationship Id="rId7" Type="http://schemas.openxmlformats.org/officeDocument/2006/relationships/hyperlink" Target="http://www.censu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11885</CharactersWithSpaces>
  <SharedDoc>false</SharedDoc>
  <HLinks>
    <vt:vector size="12" baseType="variant">
      <vt:variant>
        <vt:i4>2752622</vt:i4>
      </vt:variant>
      <vt:variant>
        <vt:i4>3</vt:i4>
      </vt:variant>
      <vt:variant>
        <vt:i4>0</vt:i4>
      </vt:variant>
      <vt:variant>
        <vt:i4>5</vt:i4>
      </vt:variant>
      <vt:variant>
        <vt:lpwstr>http://www.census.gov/construction/nrs/</vt:lpwstr>
      </vt:variant>
      <vt:variant>
        <vt:lpwstr/>
      </vt:variant>
      <vt:variant>
        <vt:i4>3997732</vt:i4>
      </vt:variant>
      <vt:variant>
        <vt:i4>0</vt:i4>
      </vt:variant>
      <vt:variant>
        <vt:i4>0</vt:i4>
      </vt:variant>
      <vt:variant>
        <vt:i4>5</vt:i4>
      </vt:variant>
      <vt:variant>
        <vt:lpwstr>http://www.census.gov/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allen001</dc:creator>
  <cp:keywords/>
  <cp:lastModifiedBy>Thomas J Smith (CENSUS/EMD FED)</cp:lastModifiedBy>
  <cp:revision>2</cp:revision>
  <cp:lastPrinted>2014-07-17T11:51:00Z</cp:lastPrinted>
  <dcterms:created xsi:type="dcterms:W3CDTF">2020-11-18T12:24:00Z</dcterms:created>
  <dcterms:modified xsi:type="dcterms:W3CDTF">2020-11-18T12:24:00Z</dcterms:modified>
</cp:coreProperties>
</file>