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BF8" w:rsidRDefault="005F4AB6" w14:paraId="5F62A683"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00336BF8" w:rsidRDefault="005F4AB6" w14:paraId="669ACC6D"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336BF8" w:rsidRDefault="005F4AB6" w14:paraId="5BA14D75"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336BF8" w:rsidRDefault="005F4AB6" w14:paraId="562575DE" w14:textId="77777777">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Gulf of Alaska Catcher Vessel and Processor Trawl (CVPT) Economic Data Report (EDR) </w:t>
      </w:r>
    </w:p>
    <w:p w:rsidR="00336BF8" w:rsidRDefault="005F4AB6" w14:paraId="7627A2DB" w14:textId="77777777">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0648-0700</w:t>
      </w:r>
    </w:p>
    <w:p w:rsidR="00336BF8" w:rsidRDefault="00336BF8" w14:paraId="699FAA43" w14:textId="77777777">
      <w:pPr>
        <w:spacing w:before="80"/>
        <w:rPr>
          <w:rFonts w:ascii="Times New Roman" w:hAnsi="Times New Roman" w:eastAsia="Times New Roman" w:cs="Times New Roman"/>
          <w:b/>
          <w:color w:val="FF0000"/>
          <w:sz w:val="24"/>
          <w:szCs w:val="24"/>
        </w:rPr>
      </w:pPr>
    </w:p>
    <w:p w:rsidR="00336BF8" w:rsidRDefault="005F4AB6" w14:paraId="0881A9A6" w14:textId="77777777">
      <w:pPr>
        <w:spacing w:before="161"/>
        <w:rPr>
          <w:rFonts w:ascii="Times New Roman" w:hAnsi="Times New Roman" w:eastAsia="Times New Roman" w:cs="Times New Roman"/>
          <w:b/>
          <w:sz w:val="24"/>
          <w:szCs w:val="24"/>
        </w:rPr>
      </w:pPr>
      <w:bookmarkStart w:name="_GoBack" w:id="1"/>
      <w:bookmarkEnd w:id="1"/>
      <w:r>
        <w:rPr>
          <w:rFonts w:ascii="Times New Roman" w:hAnsi="Times New Roman" w:eastAsia="Times New Roman" w:cs="Times New Roman"/>
          <w:b/>
          <w:sz w:val="24"/>
          <w:szCs w:val="24"/>
        </w:rPr>
        <w:t>B. Collections of Information Employing Statistical Methods</w:t>
      </w:r>
    </w:p>
    <w:p w:rsidR="00336BF8" w:rsidRDefault="005F4AB6" w14:paraId="7155E7FE" w14:textId="77777777">
      <w:pPr>
        <w:pStyle w:val="Heading1"/>
        <w:numPr>
          <w:ilvl w:val="0"/>
          <w:numId w:val="1"/>
        </w:numPr>
        <w:tabs>
          <w:tab w:val="left" w:pos="360"/>
        </w:tabs>
        <w:spacing w:before="185"/>
        <w:ind w:left="0" w:firstLine="0"/>
      </w:pPr>
      <w:r>
        <w:rPr>
          <w:rFonts w:ascii="Times New Roman" w:hAnsi="Times New Roman" w:eastAsia="Times New Roman" w:cs="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w:t>
      </w:r>
      <w:proofErr w:type="gramStart"/>
      <w:r>
        <w:rPr>
          <w:rFonts w:ascii="Times New Roman" w:hAnsi="Times New Roman" w:eastAsia="Times New Roman" w:cs="Times New Roman"/>
        </w:rPr>
        <w:t>rates</w:t>
      </w:r>
      <w:proofErr w:type="gramEnd"/>
      <w:r>
        <w:rPr>
          <w:rFonts w:ascii="Times New Roman" w:hAnsi="Times New Roman" w:eastAsia="Times New Roman" w:cs="Times New Roman"/>
        </w:rPr>
        <w:t xml:space="preserve"> for the collection as a whole. If the collection had been conducted previously, include the actual response rate achieved during the last collection.</w:t>
      </w:r>
    </w:p>
    <w:p w:rsidR="00336BF8" w:rsidRDefault="005F4AB6" w14:paraId="07B1FF4D"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determining the scope or “universe” of the entities to be considered, NMFS generally includes only those entities that can reasonably be expected to be </w:t>
      </w:r>
      <w:r>
        <w:rPr>
          <w:rFonts w:ascii="Times New Roman" w:hAnsi="Times New Roman" w:eastAsia="Times New Roman" w:cs="Times New Roman"/>
          <w:color w:val="000000"/>
          <w:sz w:val="24"/>
          <w:szCs w:val="24"/>
          <w:u w:val="single"/>
        </w:rPr>
        <w:t xml:space="preserve">directly regulated </w:t>
      </w:r>
      <w:r>
        <w:rPr>
          <w:rFonts w:ascii="Times New Roman" w:hAnsi="Times New Roman" w:eastAsia="Times New Roman" w:cs="Times New Roman"/>
          <w:color w:val="000000"/>
          <w:sz w:val="24"/>
          <w:szCs w:val="24"/>
        </w:rPr>
        <w:t>by the action. Based on the most recent economic data report (EDR) submissions, there were fewer than 120 entities impacted by this EDR collection. The number of participants fluctuates annually.</w:t>
      </w:r>
    </w:p>
    <w:p w:rsidR="00336BF8" w:rsidRDefault="00336BF8" w14:paraId="529BE28C" w14:textId="77777777">
      <w:pPr>
        <w:pBdr>
          <w:top w:val="nil"/>
          <w:left w:val="nil"/>
          <w:bottom w:val="nil"/>
          <w:right w:val="nil"/>
          <w:between w:val="nil"/>
        </w:pBdr>
        <w:spacing w:before="161"/>
        <w:ind w:left="400" w:right="153"/>
        <w:rPr>
          <w:rFonts w:ascii="Times New Roman" w:hAnsi="Times New Roman" w:eastAsia="Times New Roman" w:cs="Times New Roman"/>
          <w:color w:val="000000"/>
          <w:sz w:val="24"/>
          <w:szCs w:val="24"/>
        </w:rPr>
      </w:pPr>
    </w:p>
    <w:tbl>
      <w:tblPr>
        <w:tblStyle w:val="a"/>
        <w:tblW w:w="5049" w:type="dxa"/>
        <w:tblInd w:w="2249" w:type="dxa"/>
        <w:tblLayout w:type="fixed"/>
        <w:tblLook w:val="0000" w:firstRow="0" w:lastRow="0" w:firstColumn="0" w:lastColumn="0" w:noHBand="0" w:noVBand="0"/>
      </w:tblPr>
      <w:tblGrid>
        <w:gridCol w:w="3518"/>
        <w:gridCol w:w="1531"/>
      </w:tblGrid>
      <w:tr w:rsidR="00336BF8" w14:paraId="79B43B85" w14:textId="77777777">
        <w:trPr>
          <w:trHeight w:val="406"/>
        </w:trPr>
        <w:tc>
          <w:tcPr>
            <w:tcW w:w="3518" w:type="dxa"/>
            <w:tcBorders>
              <w:top w:val="single" w:color="000000" w:sz="5" w:space="0"/>
              <w:left w:val="single" w:color="000000" w:sz="5" w:space="0"/>
              <w:bottom w:val="single" w:color="000000" w:sz="5" w:space="0"/>
              <w:right w:val="single" w:color="000000" w:sz="5" w:space="0"/>
            </w:tcBorders>
          </w:tcPr>
          <w:p w:rsidR="00336BF8" w:rsidRDefault="005F4AB6" w14:paraId="414EE9D4" w14:textId="77777777">
            <w:pPr>
              <w:pBdr>
                <w:top w:val="nil"/>
                <w:left w:val="nil"/>
                <w:bottom w:val="nil"/>
                <w:right w:val="nil"/>
                <w:between w:val="nil"/>
              </w:pBdr>
              <w:spacing w:before="51"/>
              <w:ind w:right="1"/>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Entity Type</w:t>
            </w:r>
          </w:p>
        </w:tc>
        <w:tc>
          <w:tcPr>
            <w:tcW w:w="1531" w:type="dxa"/>
            <w:tcBorders>
              <w:top w:val="single" w:color="000000" w:sz="5" w:space="0"/>
              <w:left w:val="single" w:color="000000" w:sz="5" w:space="0"/>
              <w:bottom w:val="single" w:color="000000" w:sz="5" w:space="0"/>
              <w:right w:val="single" w:color="000000" w:sz="5" w:space="0"/>
            </w:tcBorders>
          </w:tcPr>
          <w:p w:rsidR="00336BF8" w:rsidRDefault="005F4AB6" w14:paraId="0B6D431C" w14:textId="77777777">
            <w:pPr>
              <w:pBdr>
                <w:top w:val="nil"/>
                <w:left w:val="nil"/>
                <w:bottom w:val="nil"/>
                <w:right w:val="nil"/>
                <w:between w:val="nil"/>
              </w:pBdr>
              <w:spacing w:before="51"/>
              <w:ind w:left="16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Sample Size</w:t>
            </w:r>
          </w:p>
        </w:tc>
      </w:tr>
      <w:tr w:rsidR="00336BF8" w14:paraId="197047AD" w14:textId="77777777">
        <w:trPr>
          <w:trHeight w:val="286"/>
        </w:trPr>
        <w:tc>
          <w:tcPr>
            <w:tcW w:w="3518" w:type="dxa"/>
            <w:tcBorders>
              <w:top w:val="single" w:color="000000" w:sz="5" w:space="0"/>
              <w:left w:val="single" w:color="000000" w:sz="5" w:space="0"/>
              <w:bottom w:val="single" w:color="000000" w:sz="5" w:space="0"/>
              <w:right w:val="single" w:color="000000" w:sz="5" w:space="0"/>
            </w:tcBorders>
          </w:tcPr>
          <w:p w:rsidR="00336BF8" w:rsidRDefault="005F4AB6" w14:paraId="125C5FEB" w14:textId="77777777">
            <w:pPr>
              <w:pBdr>
                <w:top w:val="nil"/>
                <w:left w:val="nil"/>
                <w:bottom w:val="nil"/>
                <w:right w:val="nil"/>
                <w:between w:val="nil"/>
              </w:pBdr>
              <w:spacing w:line="267" w:lineRule="auto"/>
              <w:ind w:left="10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 shoreside processors</w:t>
            </w:r>
          </w:p>
        </w:tc>
        <w:tc>
          <w:tcPr>
            <w:tcW w:w="1531" w:type="dxa"/>
            <w:tcBorders>
              <w:top w:val="single" w:color="000000" w:sz="5" w:space="0"/>
              <w:left w:val="single" w:color="000000" w:sz="5" w:space="0"/>
              <w:bottom w:val="single" w:color="000000" w:sz="5" w:space="0"/>
              <w:right w:val="single" w:color="000000" w:sz="5" w:space="0"/>
            </w:tcBorders>
          </w:tcPr>
          <w:p w:rsidR="00336BF8" w:rsidRDefault="005F4AB6" w14:paraId="7CD884EC" w14:textId="77777777">
            <w:pPr>
              <w:pBdr>
                <w:top w:val="nil"/>
                <w:left w:val="nil"/>
                <w:bottom w:val="nil"/>
                <w:right w:val="nil"/>
                <w:between w:val="nil"/>
              </w:pBdr>
              <w:spacing w:line="267" w:lineRule="auto"/>
              <w:ind w:left="47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rsidR="00336BF8" w14:paraId="76E83D49" w14:textId="77777777">
        <w:trPr>
          <w:trHeight w:val="286"/>
        </w:trPr>
        <w:tc>
          <w:tcPr>
            <w:tcW w:w="3518" w:type="dxa"/>
            <w:tcBorders>
              <w:top w:val="single" w:color="000000" w:sz="5" w:space="0"/>
              <w:left w:val="single" w:color="000000" w:sz="5" w:space="0"/>
              <w:bottom w:val="single" w:color="000000" w:sz="5" w:space="0"/>
              <w:right w:val="single" w:color="000000" w:sz="5" w:space="0"/>
            </w:tcBorders>
          </w:tcPr>
          <w:p w:rsidR="00336BF8" w:rsidRDefault="005F4AB6" w14:paraId="037A67BB" w14:textId="77777777">
            <w:pPr>
              <w:pBdr>
                <w:top w:val="nil"/>
                <w:left w:val="nil"/>
                <w:bottom w:val="nil"/>
                <w:right w:val="nil"/>
                <w:between w:val="nil"/>
              </w:pBdr>
              <w:spacing w:line="267" w:lineRule="auto"/>
              <w:ind w:left="22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 stationary floating processors</w:t>
            </w:r>
          </w:p>
        </w:tc>
        <w:tc>
          <w:tcPr>
            <w:tcW w:w="1531" w:type="dxa"/>
            <w:tcBorders>
              <w:top w:val="single" w:color="000000" w:sz="5" w:space="0"/>
              <w:left w:val="single" w:color="000000" w:sz="5" w:space="0"/>
              <w:bottom w:val="single" w:color="000000" w:sz="5" w:space="0"/>
              <w:right w:val="single" w:color="000000" w:sz="5" w:space="0"/>
            </w:tcBorders>
          </w:tcPr>
          <w:p w:rsidR="00336BF8" w:rsidRDefault="005F4AB6" w14:paraId="09EA2709" w14:textId="77777777">
            <w:pPr>
              <w:pBdr>
                <w:top w:val="nil"/>
                <w:left w:val="nil"/>
                <w:bottom w:val="nil"/>
                <w:right w:val="nil"/>
                <w:between w:val="nil"/>
              </w:pBdr>
              <w:spacing w:line="267" w:lineRule="auto"/>
              <w:ind w:left="47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rsidR="00336BF8" w14:paraId="6EBFB955" w14:textId="77777777">
        <w:trPr>
          <w:trHeight w:val="288"/>
        </w:trPr>
        <w:tc>
          <w:tcPr>
            <w:tcW w:w="3518" w:type="dxa"/>
            <w:tcBorders>
              <w:top w:val="single" w:color="000000" w:sz="5" w:space="0"/>
              <w:left w:val="single" w:color="000000" w:sz="5" w:space="0"/>
              <w:bottom w:val="single" w:color="000000" w:sz="5" w:space="0"/>
              <w:right w:val="single" w:color="000000" w:sz="5" w:space="0"/>
            </w:tcBorders>
          </w:tcPr>
          <w:p w:rsidR="00336BF8" w:rsidRDefault="005F4AB6" w14:paraId="4684227D" w14:textId="77777777">
            <w:pPr>
              <w:pBdr>
                <w:top w:val="nil"/>
                <w:left w:val="nil"/>
                <w:bottom w:val="nil"/>
                <w:right w:val="nil"/>
                <w:between w:val="nil"/>
              </w:pBdr>
              <w:spacing w:line="269" w:lineRule="auto"/>
              <w:ind w:left="22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 fish meal processor</w:t>
            </w:r>
          </w:p>
        </w:tc>
        <w:tc>
          <w:tcPr>
            <w:tcW w:w="1531" w:type="dxa"/>
            <w:tcBorders>
              <w:top w:val="single" w:color="000000" w:sz="5" w:space="0"/>
              <w:left w:val="single" w:color="000000" w:sz="5" w:space="0"/>
              <w:bottom w:val="single" w:color="000000" w:sz="5" w:space="0"/>
              <w:right w:val="single" w:color="000000" w:sz="5" w:space="0"/>
            </w:tcBorders>
          </w:tcPr>
          <w:p w:rsidR="00336BF8" w:rsidRDefault="005F4AB6" w14:paraId="562BF0BF" w14:textId="77777777">
            <w:pPr>
              <w:pBdr>
                <w:top w:val="nil"/>
                <w:left w:val="nil"/>
                <w:bottom w:val="nil"/>
                <w:right w:val="nil"/>
                <w:between w:val="nil"/>
              </w:pBdr>
              <w:spacing w:line="269" w:lineRule="auto"/>
              <w:ind w:left="47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rsidR="00336BF8" w14:paraId="34091533" w14:textId="77777777">
        <w:trPr>
          <w:trHeight w:val="286"/>
        </w:trPr>
        <w:tc>
          <w:tcPr>
            <w:tcW w:w="3518" w:type="dxa"/>
            <w:tcBorders>
              <w:top w:val="single" w:color="000000" w:sz="5" w:space="0"/>
              <w:left w:val="single" w:color="000000" w:sz="5" w:space="0"/>
              <w:bottom w:val="single" w:color="000000" w:sz="5" w:space="0"/>
              <w:right w:val="single" w:color="000000" w:sz="5" w:space="0"/>
            </w:tcBorders>
          </w:tcPr>
          <w:p w:rsidR="00336BF8" w:rsidRDefault="005F4AB6" w14:paraId="4C35EBF0" w14:textId="77777777">
            <w:pPr>
              <w:pBdr>
                <w:top w:val="nil"/>
                <w:left w:val="nil"/>
                <w:bottom w:val="nil"/>
                <w:right w:val="nil"/>
                <w:between w:val="nil"/>
              </w:pBdr>
              <w:spacing w:line="267" w:lineRule="auto"/>
              <w:ind w:left="10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106 catcher vessels</w:t>
            </w:r>
          </w:p>
        </w:tc>
        <w:tc>
          <w:tcPr>
            <w:tcW w:w="1531" w:type="dxa"/>
            <w:tcBorders>
              <w:top w:val="single" w:color="000000" w:sz="5" w:space="0"/>
              <w:left w:val="single" w:color="000000" w:sz="5" w:space="0"/>
              <w:bottom w:val="single" w:color="000000" w:sz="5" w:space="0"/>
              <w:right w:val="single" w:color="000000" w:sz="5" w:space="0"/>
            </w:tcBorders>
          </w:tcPr>
          <w:p w:rsidR="00336BF8" w:rsidRDefault="005F4AB6" w14:paraId="4BA92BFB" w14:textId="77777777">
            <w:pPr>
              <w:pBdr>
                <w:top w:val="nil"/>
                <w:left w:val="nil"/>
                <w:bottom w:val="nil"/>
                <w:right w:val="nil"/>
                <w:between w:val="nil"/>
              </w:pBdr>
              <w:spacing w:line="267" w:lineRule="auto"/>
              <w:ind w:left="47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bl>
    <w:p w:rsidR="00336BF8" w:rsidRDefault="00336BF8" w14:paraId="5B7F1746" w14:textId="77777777">
      <w:pPr>
        <w:spacing w:before="9"/>
        <w:rPr>
          <w:rFonts w:ascii="Times New Roman" w:hAnsi="Times New Roman" w:eastAsia="Times New Roman" w:cs="Times New Roman"/>
          <w:sz w:val="17"/>
          <w:szCs w:val="17"/>
        </w:rPr>
      </w:pPr>
    </w:p>
    <w:p w:rsidR="00336BF8" w:rsidRDefault="005F4AB6" w14:paraId="35ACB8CA" w14:textId="77777777">
      <w:pPr>
        <w:pBdr>
          <w:top w:val="nil"/>
          <w:left w:val="nil"/>
          <w:bottom w:val="nil"/>
          <w:right w:val="nil"/>
          <w:between w:val="nil"/>
        </w:pBdr>
        <w:spacing w:before="6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Groundfish harvest includes both the Gulf of Alaska (GOA) and Bering Sea and Aleutian Islands management area; therefore,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activity from both areas is included. The owner or leaseholder of a catcher vessel with a License Limitation Program license endorsed for catcher vessel operation type, and for trawl gear in the Western or Central GOA reporting area during a calendar year must submit an Annual Trawl Catcher Vessel EDR for that calendar year.</w:t>
      </w:r>
    </w:p>
    <w:p w:rsidR="00336BF8" w:rsidP="000B60A6" w:rsidRDefault="005F4AB6" w14:paraId="3E39E77D" w14:textId="77777777">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owner or leaseholder of a shoreside processor or stationary floating processor with a Federal Processor Permit that processes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caught by vessels fishing with trawl gear in the Western and Central GOA reporting area must submit an Annual Shoreside Processor EDR for that calendar year.</w:t>
      </w:r>
    </w:p>
    <w:p w:rsidR="00336BF8" w:rsidP="000B60A6" w:rsidRDefault="00336BF8" w14:paraId="4E727289" w14:textId="77777777">
      <w:pPr>
        <w:pStyle w:val="Heading1"/>
        <w:tabs>
          <w:tab w:val="left" w:pos="360"/>
        </w:tabs>
        <w:spacing w:before="0"/>
        <w:ind w:left="0"/>
        <w:rPr>
          <w:rFonts w:ascii="Times New Roman" w:hAnsi="Times New Roman" w:eastAsia="Times New Roman" w:cs="Times New Roman"/>
        </w:rPr>
      </w:pPr>
    </w:p>
    <w:p w:rsidR="00336BF8" w:rsidP="000B60A6" w:rsidRDefault="005F4AB6" w14:paraId="17A0E097" w14:textId="77777777">
      <w:pPr>
        <w:pStyle w:val="Heading1"/>
        <w:numPr>
          <w:ilvl w:val="0"/>
          <w:numId w:val="1"/>
        </w:numPr>
        <w:tabs>
          <w:tab w:val="left" w:pos="360"/>
        </w:tabs>
        <w:spacing w:before="0"/>
        <w:ind w:left="0" w:firstLine="0"/>
      </w:pPr>
      <w:r>
        <w:rPr>
          <w:rFonts w:ascii="Times New Roman" w:hAnsi="Times New Roman" w:eastAsia="Times New Roman" w:cs="Times New Roman"/>
        </w:rPr>
        <w:t>Describe the procedures for the collection of information including:</w:t>
      </w:r>
    </w:p>
    <w:p w:rsidR="00336BF8" w:rsidRDefault="005F4AB6" w14:paraId="11D4CD23"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Statistical methodology for stratification and sample selection,</w:t>
      </w:r>
    </w:p>
    <w:p w:rsidR="00336BF8" w:rsidRDefault="005F4AB6" w14:paraId="2BCE67BF"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Estimation procedure,</w:t>
      </w:r>
    </w:p>
    <w:p w:rsidR="00336BF8" w:rsidRDefault="005F4AB6" w14:paraId="286ECE6C"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Degree of accuracy needed for the purpose described in the justification,</w:t>
      </w:r>
    </w:p>
    <w:p w:rsidR="00336BF8" w:rsidRDefault="005F4AB6" w14:paraId="3DF1DC60"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Unusual problems requiring specialized sampling procedures, and</w:t>
      </w:r>
    </w:p>
    <w:p w:rsidR="00336BF8" w:rsidRDefault="005F4AB6" w14:paraId="02A0323C"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Any use of periodic (less frequent than annual) data collection cycles to reduce burden.</w:t>
      </w:r>
    </w:p>
    <w:p w:rsidR="00336BF8" w:rsidP="000B60A6" w:rsidRDefault="00336BF8" w14:paraId="56B3D5BA" w14:textId="77777777">
      <w:pPr>
        <w:tabs>
          <w:tab w:val="left" w:pos="720"/>
        </w:tabs>
        <w:rPr>
          <w:rFonts w:ascii="Times New Roman" w:hAnsi="Times New Roman" w:eastAsia="Times New Roman" w:cs="Times New Roman"/>
          <w:sz w:val="24"/>
          <w:szCs w:val="24"/>
        </w:rPr>
      </w:pPr>
    </w:p>
    <w:p w:rsidR="00336BF8" w:rsidP="000B60A6" w:rsidRDefault="005F4AB6" w14:paraId="4C1B27AC" w14:textId="77777777">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ICR uses an annual census of all respondents, as any other sampling methodology would produce too few observations to estimate representative levels of cost, earnings, and other outputs required for </w:t>
      </w:r>
      <w:r>
        <w:rPr>
          <w:rFonts w:ascii="Times New Roman" w:hAnsi="Times New Roman" w:eastAsia="Times New Roman" w:cs="Times New Roman"/>
          <w:color w:val="000000"/>
          <w:sz w:val="24"/>
          <w:szCs w:val="24"/>
        </w:rPr>
        <w:lastRenderedPageBreak/>
        <w:t>this collection. As this program is a mandatory collection, and valuable fishing and processing privileges could be withheld if an EDR is not submitted, we anticipate a 100 percent response rate from the respondents.</w:t>
      </w:r>
    </w:p>
    <w:p w:rsidR="00336BF8" w:rsidRDefault="00336BF8" w14:paraId="48CDDFEE" w14:textId="77777777">
      <w:pPr>
        <w:rPr>
          <w:rFonts w:ascii="Times New Roman" w:hAnsi="Times New Roman" w:eastAsia="Times New Roman" w:cs="Times New Roman"/>
          <w:sz w:val="24"/>
          <w:szCs w:val="24"/>
        </w:rPr>
      </w:pPr>
    </w:p>
    <w:p w:rsidR="00336BF8" w:rsidRDefault="005F4AB6" w14:paraId="1D147D4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In 2018, a discussion paper reviewing the EDR Program information collections was prepared to inform the North Pacific Fisheries Management Council in its process to potentially revise the collections. The Council is presently reviewing the program with its Social Sciences Planning Team assigned the task. The discussion paper contains an extensive history of the development of the EDR Program as well as a literature review regarding data collection methods and data quality. That document is incorporated for reference here. (</w:t>
      </w:r>
      <w:hyperlink r:id="rId7">
        <w:r w:rsidRPr="00E04198">
          <w:rPr>
            <w:rFonts w:ascii="Times New Roman" w:hAnsi="Times New Roman" w:cs="Times New Roman"/>
            <w:color w:val="0563C1"/>
            <w:sz w:val="24"/>
            <w:szCs w:val="24"/>
            <w:u w:val="single"/>
          </w:rPr>
          <w:t>https://meetings.npfmc.org/CommentReview/DownloadFile?p=1f542e61-0dfc-465e-92eb-f7f00ab70edc.pdf&amp;fileName=D5%20EDR%20Discussion%20Paper.pdf</w:t>
        </w:r>
      </w:hyperlink>
      <w:r>
        <w:t>)</w:t>
      </w:r>
    </w:p>
    <w:p w:rsidR="00336BF8" w:rsidRDefault="00336BF8" w14:paraId="361637FA" w14:textId="77777777">
      <w:pPr>
        <w:rPr>
          <w:rFonts w:ascii="Times New Roman" w:hAnsi="Times New Roman" w:eastAsia="Times New Roman" w:cs="Times New Roman"/>
          <w:sz w:val="24"/>
          <w:szCs w:val="24"/>
        </w:rPr>
      </w:pPr>
    </w:p>
    <w:p w:rsidR="00336BF8" w:rsidP="000B60A6" w:rsidRDefault="005F4AB6" w14:paraId="0D6E33FC" w14:textId="5022CC28">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Given that approximately 100 to120 respondents each year will be participating in this fishery, it is not feasible to generate enough observations on any one of the variables without applying this collection annually. And, random sampling from this population is not a viable option for statistical reasons. Based on the degrees of freedom and number of observations required for estimating the statistical relationship among the variables in this collection, data may be separately pooled to create a time-series of cross-sectional data in order to generate sufficient observations for economic and statistical analyses. The strata used in preparing analyses (either deterministic or statistical) of management actions for this group will depend on the specific questions of interest.</w:t>
      </w:r>
    </w:p>
    <w:p w:rsidR="000B60A6" w:rsidP="000B60A6" w:rsidRDefault="000B60A6" w14:paraId="61FF06F3" w14:textId="77777777">
      <w:pPr>
        <w:tabs>
          <w:tab w:val="left" w:pos="720"/>
        </w:tabs>
        <w:rPr>
          <w:rFonts w:ascii="Times New Roman" w:hAnsi="Times New Roman" w:eastAsia="Times New Roman" w:cs="Times New Roman"/>
          <w:sz w:val="24"/>
          <w:szCs w:val="24"/>
        </w:rPr>
      </w:pPr>
    </w:p>
    <w:p w:rsidR="00336BF8" w:rsidP="000B60A6" w:rsidRDefault="005F4AB6" w14:paraId="57CD0CEF" w14:textId="5858805D">
      <w:pPr>
        <w:pStyle w:val="Heading1"/>
        <w:numPr>
          <w:ilvl w:val="0"/>
          <w:numId w:val="1"/>
        </w:numPr>
        <w:tabs>
          <w:tab w:val="left" w:pos="360"/>
        </w:tabs>
        <w:spacing w:before="0"/>
        <w:ind w:left="0" w:firstLine="0"/>
        <w:rPr>
          <w:rFonts w:ascii="Times New Roman" w:hAnsi="Times New Roman" w:eastAsia="Times New Roman" w:cs="Times New Roman"/>
        </w:rPr>
      </w:pPr>
      <w:r>
        <w:rPr>
          <w:rFonts w:ascii="Times New Roman" w:hAnsi="Times New Roman" w:eastAsia="Times New Roman" w:cs="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0B60A6" w:rsidR="000B60A6" w:rsidP="000B60A6" w:rsidRDefault="000B60A6" w14:paraId="564150D1" w14:textId="77777777"/>
    <w:p w:rsidR="00336BF8" w:rsidP="000B60A6" w:rsidRDefault="005F4AB6" w14:paraId="7076041D" w14:textId="3A019F7E">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Each of the owners and leaseholders in the catcher vessel, shoreside processor, and stationary floating processor sectors is required to submit an annual EDR. Therefore, the response to mandatory data requirements should be very high. Those individuals who do not submit their EDR by the submission date will receive a follow-up phone call from Pacific States. If a solution cannot be reached at that point, their information will be referred to the NOAA Office of Law Enforcement. Therefore, we anticipate a response rate of 100 percent.</w:t>
      </w:r>
    </w:p>
    <w:p w:rsidR="000B60A6" w:rsidP="000B60A6" w:rsidRDefault="000B60A6" w14:paraId="6B50656F" w14:textId="77777777">
      <w:pPr>
        <w:pBdr>
          <w:top w:val="nil"/>
          <w:left w:val="nil"/>
          <w:bottom w:val="nil"/>
          <w:right w:val="nil"/>
          <w:between w:val="nil"/>
        </w:pBdr>
        <w:rPr>
          <w:rFonts w:ascii="Times New Roman" w:hAnsi="Times New Roman" w:eastAsia="Times New Roman" w:cs="Times New Roman"/>
          <w:color w:val="000000"/>
          <w:sz w:val="24"/>
          <w:szCs w:val="24"/>
        </w:rPr>
      </w:pPr>
    </w:p>
    <w:p w:rsidR="00336BF8" w:rsidP="000B60A6" w:rsidRDefault="005F4AB6" w14:paraId="7A88BDD3" w14:textId="77777777">
      <w:pPr>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NMFS has established different enforcement procedures for the GOA Trawl EDR Program than those used to ensure that accurate fisheries landings are reported. The economic data are not used for in-season management as landings data are, therefore persons submitting EDR data are given an opportunity to correct omissions and errors before any enforcement action is taken.</w:t>
      </w:r>
    </w:p>
    <w:p w:rsidR="00336BF8" w:rsidP="000B60A6" w:rsidRDefault="005F4AB6" w14:paraId="6AE73A11" w14:textId="77777777">
      <w:pPr>
        <w:pStyle w:val="Heading1"/>
        <w:tabs>
          <w:tab w:val="left" w:pos="360"/>
        </w:tabs>
        <w:spacing w:before="0"/>
        <w:ind w:left="0"/>
        <w:rPr>
          <w:rFonts w:ascii="Times New Roman" w:hAnsi="Times New Roman" w:eastAsia="Times New Roman" w:cs="Times New Roman"/>
          <w:b w:val="0"/>
        </w:rPr>
      </w:pPr>
      <w:r>
        <w:rPr>
          <w:rFonts w:ascii="Times New Roman" w:hAnsi="Times New Roman" w:eastAsia="Times New Roman" w:cs="Times New Roman"/>
          <w:b w:val="0"/>
        </w:rPr>
        <w:t>This approach is important to ensure that accurate EDR data are collected without being overly burdensome on industry for unintended errors. Only if the agency and the person submitting the data cannot reach a solution will the enforcement agency be contacted</w:t>
      </w:r>
      <w:r>
        <w:rPr>
          <w:b w:val="0"/>
        </w:rPr>
        <w:t>.</w:t>
      </w:r>
    </w:p>
    <w:p w:rsidR="00336BF8" w:rsidP="000B60A6" w:rsidRDefault="00336BF8" w14:paraId="43AB861A" w14:textId="77777777">
      <w:pPr>
        <w:pBdr>
          <w:top w:val="nil"/>
          <w:left w:val="nil"/>
          <w:bottom w:val="nil"/>
          <w:right w:val="nil"/>
          <w:between w:val="nil"/>
        </w:pBdr>
        <w:spacing w:line="259" w:lineRule="auto"/>
        <w:rPr>
          <w:rFonts w:ascii="Times New Roman" w:hAnsi="Times New Roman" w:eastAsia="Times New Roman" w:cs="Times New Roman"/>
          <w:color w:val="000000"/>
          <w:sz w:val="24"/>
          <w:szCs w:val="24"/>
        </w:rPr>
      </w:pPr>
    </w:p>
    <w:p w:rsidR="00336BF8" w:rsidP="000B60A6" w:rsidRDefault="005F4AB6" w14:paraId="26446AE3" w14:textId="6C629838">
      <w:pPr>
        <w:pStyle w:val="Heading1"/>
        <w:numPr>
          <w:ilvl w:val="0"/>
          <w:numId w:val="1"/>
        </w:numPr>
        <w:tabs>
          <w:tab w:val="left" w:pos="360"/>
        </w:tabs>
        <w:spacing w:before="0"/>
        <w:ind w:left="0" w:firstLine="0"/>
        <w:rPr>
          <w:rFonts w:ascii="Times New Roman" w:hAnsi="Times New Roman" w:eastAsia="Times New Roman" w:cs="Times New Roman"/>
        </w:rPr>
      </w:pPr>
      <w:r>
        <w:rPr>
          <w:rFonts w:ascii="Times New Roman" w:hAnsi="Times New Roman" w:eastAsia="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0B60A6" w:rsidR="000B60A6" w:rsidP="000B60A6" w:rsidRDefault="000B60A6" w14:paraId="1D76A085" w14:textId="77777777"/>
    <w:p w:rsidR="00336BF8" w:rsidP="000B60A6" w:rsidRDefault="005F4AB6" w14:paraId="29C55F55" w14:textId="77777777">
      <w:pPr>
        <w:pBdr>
          <w:top w:val="nil"/>
          <w:left w:val="nil"/>
          <w:bottom w:val="nil"/>
          <w:right w:val="nil"/>
          <w:between w:val="nil"/>
        </w:pBdr>
        <w:spacing w:line="259" w:lineRule="auto"/>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 xml:space="preserve">There have not been tests of procedures or methods undertaken recently. The collection has only been in place since 2015, and will be undergoing a comprehensive review by the North Pacific Fisheries Management Council’s Social Sciences planning team in 2020 and 2021. The statistical design team will </w:t>
      </w:r>
      <w:r>
        <w:rPr>
          <w:rFonts w:ascii="Times New Roman" w:hAnsi="Times New Roman" w:eastAsia="Times New Roman" w:cs="Times New Roman"/>
          <w:color w:val="000000"/>
          <w:sz w:val="24"/>
          <w:szCs w:val="24"/>
        </w:rPr>
        <w:lastRenderedPageBreak/>
        <w:t>consider tests of procedure when deemed appropriate.</w:t>
      </w:r>
    </w:p>
    <w:p w:rsidR="00336BF8" w:rsidP="000B60A6" w:rsidRDefault="00336BF8" w14:paraId="13E703B1" w14:textId="77777777">
      <w:pPr>
        <w:pBdr>
          <w:top w:val="nil"/>
          <w:left w:val="nil"/>
          <w:bottom w:val="nil"/>
          <w:right w:val="nil"/>
          <w:between w:val="nil"/>
        </w:pBdr>
        <w:spacing w:line="259" w:lineRule="auto"/>
        <w:rPr>
          <w:rFonts w:ascii="Times New Roman" w:hAnsi="Times New Roman" w:eastAsia="Times New Roman" w:cs="Times New Roman"/>
          <w:color w:val="000000"/>
          <w:sz w:val="24"/>
          <w:szCs w:val="24"/>
        </w:rPr>
      </w:pPr>
    </w:p>
    <w:p w:rsidR="00336BF8" w:rsidP="000B60A6" w:rsidRDefault="005F4AB6" w14:paraId="20855F8A" w14:textId="77777777">
      <w:pPr>
        <w:pStyle w:val="Heading1"/>
        <w:numPr>
          <w:ilvl w:val="0"/>
          <w:numId w:val="1"/>
        </w:numPr>
        <w:tabs>
          <w:tab w:val="left" w:pos="360"/>
        </w:tabs>
        <w:spacing w:before="0"/>
        <w:ind w:left="0" w:firstLine="0"/>
      </w:pPr>
      <w:r>
        <w:rPr>
          <w:rFonts w:ascii="Times New Roman" w:hAnsi="Times New Roman" w:eastAsia="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336BF8" w:rsidP="000B60A6" w:rsidRDefault="00336BF8" w14:paraId="37AEFA7D" w14:textId="77777777"/>
    <w:p w:rsidR="00336BF8" w:rsidP="000B60A6" w:rsidRDefault="005F4AB6" w14:paraId="4ECC609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Gabrielle Aberle [PRA package review]</w:t>
      </w:r>
    </w:p>
    <w:p w:rsidR="00336BF8" w:rsidP="000B60A6" w:rsidRDefault="005F4AB6" w14:paraId="11A1FF6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Sustainable Fisheries PRA Coordinator</w:t>
      </w:r>
    </w:p>
    <w:p w:rsidR="00336BF8" w:rsidP="000B60A6" w:rsidRDefault="005F4AB6" w14:paraId="0ED10DD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336BF8" w:rsidP="000B60A6" w:rsidRDefault="005F4AB6" w14:paraId="050D5DC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(907) 586-7356</w:t>
      </w:r>
    </w:p>
    <w:p w:rsidR="00336BF8" w:rsidP="000B60A6" w:rsidRDefault="005F4AB6" w14:paraId="6CD47A1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Email Address: gabrielle.aberle@noaa.gov</w:t>
      </w:r>
    </w:p>
    <w:p w:rsidR="00336BF8" w:rsidP="000B60A6" w:rsidRDefault="00336BF8" w14:paraId="2E5D4895" w14:textId="77777777">
      <w:pPr>
        <w:rPr>
          <w:rFonts w:ascii="Times New Roman" w:hAnsi="Times New Roman" w:eastAsia="Times New Roman" w:cs="Times New Roman"/>
          <w:sz w:val="24"/>
          <w:szCs w:val="24"/>
        </w:rPr>
      </w:pPr>
    </w:p>
    <w:p w:rsidR="00336BF8" w:rsidP="000B60A6" w:rsidRDefault="005F4AB6" w14:paraId="4BB64FD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Brian Garber-</w:t>
      </w:r>
      <w:proofErr w:type="spellStart"/>
      <w:r>
        <w:rPr>
          <w:rFonts w:ascii="Times New Roman" w:hAnsi="Times New Roman" w:eastAsia="Times New Roman" w:cs="Times New Roman"/>
          <w:sz w:val="24"/>
          <w:szCs w:val="24"/>
        </w:rPr>
        <w:t>Yonts</w:t>
      </w:r>
      <w:proofErr w:type="spellEnd"/>
      <w:r>
        <w:rPr>
          <w:rFonts w:ascii="Times New Roman" w:hAnsi="Times New Roman" w:eastAsia="Times New Roman" w:cs="Times New Roman"/>
          <w:sz w:val="24"/>
          <w:szCs w:val="24"/>
        </w:rPr>
        <w:t xml:space="preserve">, Ph.D. [statistical design and analysis of data] </w:t>
      </w:r>
    </w:p>
    <w:p w:rsidR="00336BF8" w:rsidP="000B60A6" w:rsidRDefault="005F4AB6" w14:paraId="2C21275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Economist</w:t>
      </w:r>
    </w:p>
    <w:p w:rsidR="00336BF8" w:rsidP="000B60A6" w:rsidRDefault="005F4AB6" w14:paraId="0EF0399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Fisheries Science Center PH: (206) 526-6301</w:t>
      </w:r>
    </w:p>
    <w:p w:rsidR="00336BF8" w:rsidP="000B60A6" w:rsidRDefault="005F4AB6" w14:paraId="30DCF8D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8">
        <w:r>
          <w:rPr>
            <w:rFonts w:ascii="Times New Roman" w:hAnsi="Times New Roman" w:eastAsia="Times New Roman" w:cs="Times New Roman"/>
            <w:color w:val="0000FF"/>
            <w:sz w:val="24"/>
            <w:szCs w:val="24"/>
            <w:u w:val="single"/>
          </w:rPr>
          <w:t>Brian.Garber-yonts@noaa.gov</w:t>
        </w:r>
      </w:hyperlink>
    </w:p>
    <w:p w:rsidR="00336BF8" w:rsidP="000B60A6" w:rsidRDefault="00336BF8" w14:paraId="284249E9" w14:textId="77777777">
      <w:pPr>
        <w:rPr>
          <w:rFonts w:ascii="Times New Roman" w:hAnsi="Times New Roman" w:eastAsia="Times New Roman" w:cs="Times New Roman"/>
          <w:sz w:val="24"/>
          <w:szCs w:val="24"/>
        </w:rPr>
      </w:pPr>
    </w:p>
    <w:p w:rsidR="00336BF8" w:rsidP="000B60A6" w:rsidRDefault="005F4AB6" w14:paraId="121A3D4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Scott A. Miller. [Lead EDR regulatory analyst)</w:t>
      </w:r>
    </w:p>
    <w:p w:rsidR="00336BF8" w:rsidP="000B60A6" w:rsidRDefault="005F4AB6" w14:paraId="13AD60C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Industry Economist</w:t>
      </w:r>
    </w:p>
    <w:p w:rsidR="00336BF8" w:rsidP="000B60A6" w:rsidRDefault="005F4AB6" w14:paraId="7D675F0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336BF8" w:rsidP="000B60A6" w:rsidRDefault="005F4AB6" w14:paraId="01B679F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(907) 523-8991</w:t>
      </w:r>
    </w:p>
    <w:p w:rsidR="00336BF8" w:rsidP="000B60A6" w:rsidRDefault="005F4AB6" w14:paraId="50720FD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9">
        <w:r>
          <w:rPr>
            <w:rFonts w:ascii="Times New Roman" w:hAnsi="Times New Roman" w:eastAsia="Times New Roman" w:cs="Times New Roman"/>
            <w:color w:val="0563C1"/>
            <w:sz w:val="24"/>
            <w:szCs w:val="24"/>
            <w:u w:val="single"/>
          </w:rPr>
          <w:t>scott.miller@noaa.gov</w:t>
        </w:r>
      </w:hyperlink>
    </w:p>
    <w:p w:rsidR="00336BF8" w:rsidP="000B60A6" w:rsidRDefault="00336BF8" w14:paraId="42D752ED" w14:textId="77777777">
      <w:pPr>
        <w:rPr>
          <w:rFonts w:ascii="Times New Roman" w:hAnsi="Times New Roman" w:eastAsia="Times New Roman" w:cs="Times New Roman"/>
          <w:sz w:val="24"/>
          <w:szCs w:val="24"/>
        </w:rPr>
      </w:pPr>
    </w:p>
    <w:p w:rsidR="00336BF8" w:rsidP="000B60A6" w:rsidRDefault="005F4AB6" w14:paraId="59951D12" w14:textId="77777777">
      <w:pPr>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Geana</w:t>
      </w:r>
      <w:proofErr w:type="spellEnd"/>
      <w:r>
        <w:rPr>
          <w:rFonts w:ascii="Times New Roman" w:hAnsi="Times New Roman" w:eastAsia="Times New Roman" w:cs="Times New Roman"/>
          <w:sz w:val="24"/>
          <w:szCs w:val="24"/>
        </w:rPr>
        <w:t xml:space="preserve"> Tyler [collection of data, verification of accuracy of data] </w:t>
      </w:r>
    </w:p>
    <w:p w:rsidR="00336BF8" w:rsidP="000B60A6" w:rsidRDefault="005F4AB6" w14:paraId="4889269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Pacific States Marine Fisheries Commission</w:t>
      </w:r>
    </w:p>
    <w:p w:rsidR="00336BF8" w:rsidP="000B60A6" w:rsidRDefault="005F4AB6" w14:paraId="509B1E2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(503) 595-3100</w:t>
      </w:r>
    </w:p>
    <w:p w:rsidR="00336BF8" w:rsidP="000B60A6" w:rsidRDefault="005F4AB6" w14:paraId="69E115E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10">
        <w:r>
          <w:rPr>
            <w:rFonts w:ascii="Times New Roman" w:hAnsi="Times New Roman" w:eastAsia="Times New Roman" w:cs="Times New Roman"/>
            <w:color w:val="0000FF"/>
            <w:sz w:val="24"/>
            <w:szCs w:val="24"/>
            <w:u w:val="single"/>
          </w:rPr>
          <w:t>gtyler@psmfc.org</w:t>
        </w:r>
      </w:hyperlink>
    </w:p>
    <w:p w:rsidR="00336BF8" w:rsidP="000B60A6" w:rsidRDefault="00336BF8" w14:paraId="7B117D21" w14:textId="77777777">
      <w:pPr>
        <w:rPr>
          <w:rFonts w:ascii="Times New Roman" w:hAnsi="Times New Roman" w:eastAsia="Times New Roman" w:cs="Times New Roman"/>
          <w:sz w:val="24"/>
          <w:szCs w:val="24"/>
        </w:rPr>
      </w:pPr>
    </w:p>
    <w:p w:rsidR="00336BF8" w:rsidP="000B60A6" w:rsidRDefault="005F4AB6" w14:paraId="68FA48C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Stephanie </w:t>
      </w:r>
      <w:proofErr w:type="spellStart"/>
      <w:r>
        <w:rPr>
          <w:rFonts w:ascii="Times New Roman" w:hAnsi="Times New Roman" w:eastAsia="Times New Roman" w:cs="Times New Roman"/>
          <w:sz w:val="24"/>
          <w:szCs w:val="24"/>
        </w:rPr>
        <w:t>Warpinski</w:t>
      </w:r>
      <w:proofErr w:type="spellEnd"/>
      <w:r>
        <w:rPr>
          <w:rFonts w:ascii="Times New Roman" w:hAnsi="Times New Roman" w:eastAsia="Times New Roman" w:cs="Times New Roman"/>
          <w:sz w:val="24"/>
          <w:szCs w:val="24"/>
        </w:rPr>
        <w:t xml:space="preserve"> [specialist on EDR regulations] </w:t>
      </w:r>
    </w:p>
    <w:p w:rsidR="00336BF8" w:rsidP="000B60A6" w:rsidRDefault="005F4AB6" w14:paraId="64C6185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336BF8" w:rsidP="000B60A6" w:rsidRDefault="005F4AB6" w14:paraId="1EA1721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(907) 586-7234</w:t>
      </w:r>
    </w:p>
    <w:p w:rsidR="00336BF8" w:rsidP="000B60A6" w:rsidRDefault="005F4AB6" w14:paraId="32A3A39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11">
        <w:r>
          <w:rPr>
            <w:rFonts w:ascii="Times New Roman" w:hAnsi="Times New Roman" w:eastAsia="Times New Roman" w:cs="Times New Roman"/>
            <w:color w:val="0000FF"/>
            <w:sz w:val="24"/>
            <w:szCs w:val="24"/>
            <w:u w:val="single"/>
          </w:rPr>
          <w:t>stephanie.warpinski@noaa.gov</w:t>
        </w:r>
      </w:hyperlink>
    </w:p>
    <w:p w:rsidR="00336BF8" w:rsidP="000B60A6" w:rsidRDefault="00336BF8" w14:paraId="4AC6D422" w14:textId="77777777">
      <w:pPr>
        <w:rPr>
          <w:rFonts w:ascii="Times New Roman" w:hAnsi="Times New Roman" w:eastAsia="Times New Roman" w:cs="Times New Roman"/>
          <w:sz w:val="24"/>
          <w:szCs w:val="24"/>
        </w:rPr>
      </w:pPr>
    </w:p>
    <w:p w:rsidR="00336BF8" w:rsidP="000B60A6" w:rsidRDefault="005F4AB6" w14:paraId="48C4E9C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Steve Whitney [administers Amendment 80 Program] </w:t>
      </w:r>
    </w:p>
    <w:p w:rsidR="00336BF8" w:rsidP="000B60A6" w:rsidRDefault="005F4AB6" w14:paraId="45485CF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336BF8" w:rsidP="000B60A6" w:rsidRDefault="005F4AB6" w14:paraId="04225C8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(907) 586-7269</w:t>
      </w:r>
    </w:p>
    <w:p w:rsidR="00336BF8" w:rsidP="000B60A6" w:rsidRDefault="005F4AB6" w14:paraId="354350E6" w14:textId="77777777">
      <w:pPr>
        <w:rPr>
          <w:rFonts w:ascii="Calibri" w:hAnsi="Calibri" w:eastAsia="Calibri" w:cs="Calibri"/>
          <w:sz w:val="24"/>
          <w:szCs w:val="24"/>
        </w:rPr>
      </w:pPr>
      <w:r>
        <w:rPr>
          <w:rFonts w:ascii="Times New Roman" w:hAnsi="Times New Roman" w:eastAsia="Times New Roman" w:cs="Times New Roman"/>
          <w:sz w:val="24"/>
          <w:szCs w:val="24"/>
        </w:rPr>
        <w:t xml:space="preserve">Email Address: </w:t>
      </w:r>
      <w:hyperlink r:id="rId12">
        <w:r>
          <w:rPr>
            <w:rFonts w:ascii="Times New Roman" w:hAnsi="Times New Roman" w:eastAsia="Times New Roman" w:cs="Times New Roman"/>
            <w:color w:val="0000FF"/>
            <w:sz w:val="24"/>
            <w:szCs w:val="24"/>
            <w:u w:val="single"/>
          </w:rPr>
          <w:t>steve.whitney@noaa.gov</w:t>
        </w:r>
      </w:hyperlink>
    </w:p>
    <w:p w:rsidR="00336BF8" w:rsidP="000B60A6" w:rsidRDefault="005F4AB6" w14:paraId="72835C72" w14:textId="67EF51A6">
      <w:r>
        <w:br w:type="column"/>
      </w:r>
      <w:proofErr w:type="spellStart"/>
      <w:r>
        <w:lastRenderedPageBreak/>
        <w:t>SMiller</w:t>
      </w:r>
      <w:proofErr w:type="spellEnd"/>
      <w:r>
        <w:t xml:space="preserve"> 7/29/2020, 8/4/2020, 8/11/2020, 8/12/2020, 8/24/2020, 9/24/2020, 9/28/2020</w:t>
      </w:r>
      <w:r w:rsidR="009B5CB3">
        <w:t>, 10/28/2020</w:t>
      </w:r>
    </w:p>
    <w:p w:rsidR="00336BF8" w:rsidRDefault="005F4AB6" w14:paraId="347E79E6" w14:textId="1C695AAE">
      <w:proofErr w:type="spellStart"/>
      <w:r>
        <w:t>GAberle</w:t>
      </w:r>
      <w:proofErr w:type="spellEnd"/>
      <w:r>
        <w:t xml:space="preserve"> 8/20/2020</w:t>
      </w:r>
      <w:r w:rsidR="00AD533F">
        <w:t>, 11/1/2020</w:t>
      </w:r>
    </w:p>
    <w:p w:rsidR="00336BF8" w:rsidRDefault="005F4AB6" w14:paraId="73174963" w14:textId="77777777">
      <w:r>
        <w:t>JWATSON 8/21/2020</w:t>
      </w:r>
    </w:p>
    <w:sectPr w:rsidR="00336BF8">
      <w:headerReference w:type="even" r:id="rId13"/>
      <w:headerReference w:type="default" r:id="rId14"/>
      <w:footerReference w:type="even" r:id="rId15"/>
      <w:footerReference w:type="default" r:id="rId16"/>
      <w:headerReference w:type="first" r:id="rId17"/>
      <w:footerReference w:type="first" r:id="rId18"/>
      <w:pgSz w:w="12240" w:h="15840"/>
      <w:pgMar w:top="634" w:right="1080" w:bottom="1195"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A4F25" w14:textId="77777777" w:rsidR="00012601" w:rsidRDefault="00012601">
      <w:r>
        <w:separator/>
      </w:r>
    </w:p>
  </w:endnote>
  <w:endnote w:type="continuationSeparator" w:id="0">
    <w:p w14:paraId="39B11595" w14:textId="77777777" w:rsidR="00012601" w:rsidRDefault="0001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B46D" w14:textId="77777777" w:rsidR="00336BF8" w:rsidRDefault="00336BF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0DC7" w14:textId="192B75CE" w:rsidR="00336BF8" w:rsidRDefault="005F4AB6">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8B0F5C">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29EB4A4F" w14:textId="77777777" w:rsidR="00336BF8" w:rsidRDefault="00336BF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5F82" w14:textId="77777777" w:rsidR="00336BF8" w:rsidRDefault="00336BF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A9C5" w14:textId="77777777" w:rsidR="00012601" w:rsidRDefault="00012601">
      <w:r>
        <w:separator/>
      </w:r>
    </w:p>
  </w:footnote>
  <w:footnote w:type="continuationSeparator" w:id="0">
    <w:p w14:paraId="57B9DBA7" w14:textId="77777777" w:rsidR="00012601" w:rsidRDefault="0001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D8C2" w14:textId="77777777" w:rsidR="00336BF8" w:rsidRDefault="00336BF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F47E5" w14:textId="77777777" w:rsidR="00336BF8" w:rsidRDefault="00336BF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F9B6" w14:textId="77777777" w:rsidR="00336BF8" w:rsidRDefault="00336BF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678E0"/>
    <w:multiLevelType w:val="multilevel"/>
    <w:tmpl w:val="1AC8F0C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F8"/>
    <w:rsid w:val="00012601"/>
    <w:rsid w:val="000B60A6"/>
    <w:rsid w:val="002E1662"/>
    <w:rsid w:val="00336BF8"/>
    <w:rsid w:val="005F4AB6"/>
    <w:rsid w:val="00853FDF"/>
    <w:rsid w:val="008B0F5C"/>
    <w:rsid w:val="009B5CB3"/>
    <w:rsid w:val="00A13CEA"/>
    <w:rsid w:val="00AD533F"/>
    <w:rsid w:val="00E04198"/>
    <w:rsid w:val="00E5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1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66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3CEA"/>
    <w:rPr>
      <w:b/>
      <w:bCs/>
    </w:rPr>
  </w:style>
  <w:style w:type="character" w:customStyle="1" w:styleId="CommentSubjectChar">
    <w:name w:val="Comment Subject Char"/>
    <w:basedOn w:val="CommentTextChar"/>
    <w:link w:val="CommentSubject"/>
    <w:uiPriority w:val="99"/>
    <w:semiHidden/>
    <w:rsid w:val="00A13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ian.Garber-yonts@noa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etings.npfmc.org/CommentReview/DownloadFile?p=1f542e61-0dfc-465e-92eb-f7f00ab70edc.pdf&amp;fileName=D5%20EDR%20Discussion%20Paper.pdf" TargetMode="External"/><Relationship Id="rId12" Type="http://schemas.openxmlformats.org/officeDocument/2006/relationships/hyperlink" Target="mailto:steve.whitney@noa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ie.warpinski@noa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tyler@psmf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ott.miller@noa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2020-10-28T17:14:00Z</dcterms:created>
  <dcterms:modified xsi:type="dcterms:W3CDTF">2020-11-05T20:45:00Z</dcterms:modified>
</cp:coreProperties>
</file>