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873" w:rsidRDefault="009C7B27" w14:paraId="4F0E829F"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00372873" w:rsidRDefault="009C7B27" w14:paraId="7AB5DD7B" w14:textId="77777777">
      <w:pPr>
        <w:spacing w:before="22"/>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372873" w:rsidRDefault="009C7B27" w14:paraId="2DFEC214" w14:textId="77777777">
      <w:pPr>
        <w:spacing w:before="22"/>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372873" w:rsidP="00B95FE8" w:rsidRDefault="009C7B27" w14:paraId="21683FA0" w14:textId="194FB7EA">
      <w:pPr>
        <w:spacing w:before="0"/>
        <w:jc w:val="center"/>
        <w:rPr>
          <w:rFonts w:ascii="Times New Roman" w:hAnsi="Times New Roman" w:eastAsia="Times New Roman" w:cs="Times New Roman"/>
          <w:b/>
          <w:sz w:val="24"/>
          <w:szCs w:val="24"/>
        </w:rPr>
      </w:pPr>
      <w:proofErr w:type="spellStart"/>
      <w:r>
        <w:rPr>
          <w:rFonts w:ascii="Times New Roman" w:hAnsi="Times New Roman" w:eastAsia="Times New Roman" w:cs="Times New Roman"/>
          <w:b/>
          <w:sz w:val="24"/>
          <w:szCs w:val="24"/>
        </w:rPr>
        <w:t>Groundfish</w:t>
      </w:r>
      <w:proofErr w:type="spellEnd"/>
      <w:r>
        <w:rPr>
          <w:rFonts w:ascii="Times New Roman" w:hAnsi="Times New Roman" w:eastAsia="Times New Roman" w:cs="Times New Roman"/>
          <w:b/>
          <w:sz w:val="24"/>
          <w:szCs w:val="24"/>
        </w:rPr>
        <w:t xml:space="preserve"> Trawl </w:t>
      </w:r>
      <w:r w:rsidR="00A8648A">
        <w:rPr>
          <w:rFonts w:ascii="Times New Roman" w:hAnsi="Times New Roman" w:eastAsia="Times New Roman" w:cs="Times New Roman"/>
          <w:b/>
          <w:sz w:val="24"/>
          <w:szCs w:val="24"/>
        </w:rPr>
        <w:t>Catcher/</w:t>
      </w:r>
      <w:r>
        <w:rPr>
          <w:rFonts w:ascii="Times New Roman" w:hAnsi="Times New Roman" w:eastAsia="Times New Roman" w:cs="Times New Roman"/>
          <w:b/>
          <w:sz w:val="24"/>
          <w:szCs w:val="24"/>
        </w:rPr>
        <w:t>Processor Economic Data Report (EDR)</w:t>
      </w:r>
    </w:p>
    <w:p w:rsidR="00372873" w:rsidP="00B95FE8" w:rsidRDefault="009C7B27" w14:paraId="375DA61B" w14:textId="77777777">
      <w:pPr>
        <w:spacing w:befor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0648-0564</w:t>
      </w:r>
    </w:p>
    <w:p w:rsidR="00372873" w:rsidP="00B95FE8" w:rsidRDefault="00372873" w14:paraId="3776C554" w14:textId="1FDA001E">
      <w:pPr>
        <w:spacing w:before="0"/>
        <w:rPr>
          <w:rFonts w:ascii="Times New Roman" w:hAnsi="Times New Roman" w:eastAsia="Times New Roman" w:cs="Times New Roman"/>
          <w:b/>
          <w:sz w:val="24"/>
          <w:szCs w:val="24"/>
          <w:u w:val="single"/>
        </w:rPr>
      </w:pPr>
    </w:p>
    <w:p w:rsidR="00EA63DD" w:rsidP="00180F48" w:rsidRDefault="00EA63DD" w14:paraId="4602889B" w14:textId="77777777">
      <w:pPr>
        <w:spacing w:before="0"/>
        <w:rPr>
          <w:rFonts w:ascii="Times New Roman" w:hAnsi="Times New Roman" w:eastAsia="Times New Roman" w:cs="Times New Roman"/>
          <w:b/>
          <w:sz w:val="24"/>
          <w:szCs w:val="24"/>
        </w:rPr>
      </w:pPr>
    </w:p>
    <w:p w:rsidR="00372873" w:rsidP="00180F48" w:rsidRDefault="009C7B27" w14:paraId="627CEDB9" w14:textId="6F39031B">
      <w:pPr>
        <w:pStyle w:val="Heading1"/>
        <w:spacing w:before="0"/>
        <w:ind w:left="0"/>
        <w:rPr>
          <w:rFonts w:ascii="Times New Roman" w:hAnsi="Times New Roman" w:eastAsia="Times New Roman" w:cs="Times New Roman"/>
        </w:rPr>
      </w:pPr>
      <w:r>
        <w:rPr>
          <w:rFonts w:ascii="Times New Roman" w:hAnsi="Times New Roman" w:eastAsia="Times New Roman" w:cs="Times New Roman"/>
        </w:rPr>
        <w:t>Abstract</w:t>
      </w:r>
    </w:p>
    <w:p w:rsidRPr="00EA63DD" w:rsidR="00EA63DD" w:rsidP="00180F48" w:rsidRDefault="00EA63DD" w14:paraId="79390569" w14:textId="77777777">
      <w:pPr>
        <w:spacing w:before="0"/>
      </w:pPr>
    </w:p>
    <w:p w:rsidR="00372873" w:rsidP="00180F48" w:rsidRDefault="009C7B27" w14:paraId="6DB8B39D" w14:textId="75F96B7A">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The National Marine Fisheries Service (NMFS) Alaska Region requests an extension of this currently approved information collection for the Annual Trawl Catcher/Processor Economic Data Report (EDR).</w:t>
      </w:r>
    </w:p>
    <w:p w:rsidR="00EA63DD" w:rsidP="00EA63DD" w:rsidRDefault="00EA63DD" w14:paraId="7C9D2C9D" w14:textId="77777777">
      <w:pPr>
        <w:spacing w:before="0"/>
        <w:rPr>
          <w:rFonts w:ascii="Times New Roman" w:hAnsi="Times New Roman" w:eastAsia="Times New Roman" w:cs="Times New Roman"/>
          <w:sz w:val="24"/>
          <w:szCs w:val="24"/>
        </w:rPr>
      </w:pPr>
    </w:p>
    <w:p w:rsidRPr="00E57032" w:rsidR="00372873" w:rsidP="00364F99" w:rsidRDefault="009C7B27" w14:paraId="61CF6CF8" w14:textId="235D77C7">
      <w:pPr>
        <w:spacing w:before="0"/>
        <w:rPr>
          <w:rFonts w:ascii="Times New Roman" w:hAnsi="Times New Roman" w:eastAsia="Times New Roman" w:cs="Times New Roman"/>
          <w:sz w:val="24"/>
          <w:szCs w:val="24"/>
        </w:rPr>
      </w:pPr>
      <w:proofErr w:type="gramStart"/>
      <w:r w:rsidRPr="00E57032">
        <w:rPr>
          <w:rFonts w:ascii="Times New Roman" w:hAnsi="Times New Roman" w:eastAsia="Times New Roman" w:cs="Times New Roman"/>
          <w:sz w:val="24"/>
          <w:szCs w:val="24"/>
        </w:rPr>
        <w:t xml:space="preserve">Harvests by trawl catcher/processors in the Gulf of Alaska (GOA) are limited primarily by two management programs, the </w:t>
      </w:r>
      <w:hyperlink r:id="rId8">
        <w:r w:rsidRPr="00E57032">
          <w:rPr>
            <w:rFonts w:ascii="Times New Roman" w:hAnsi="Times New Roman" w:eastAsia="Times New Roman" w:cs="Times New Roman"/>
            <w:color w:val="0563C1"/>
            <w:sz w:val="24"/>
            <w:szCs w:val="24"/>
            <w:u w:val="single"/>
          </w:rPr>
          <w:t>Amendment 80 Program</w:t>
        </w:r>
      </w:hyperlink>
      <w:r w:rsidRPr="00E57032">
        <w:rPr>
          <w:rFonts w:ascii="Times New Roman" w:hAnsi="Times New Roman" w:eastAsia="Times New Roman" w:cs="Times New Roman"/>
          <w:sz w:val="24"/>
          <w:szCs w:val="24"/>
        </w:rPr>
        <w:t xml:space="preserve"> and the </w:t>
      </w:r>
      <w:hyperlink r:id="rId9">
        <w:r w:rsidRPr="00E57032">
          <w:rPr>
            <w:rFonts w:ascii="Times New Roman" w:hAnsi="Times New Roman" w:eastAsia="Times New Roman" w:cs="Times New Roman"/>
            <w:color w:val="0563C1"/>
            <w:sz w:val="24"/>
            <w:szCs w:val="24"/>
            <w:u w:val="single"/>
          </w:rPr>
          <w:t xml:space="preserve">Central GOA Rockfish </w:t>
        </w:r>
      </w:hyperlink>
      <w:hyperlink r:id="rId10">
        <w:r w:rsidRPr="00E57032">
          <w:rPr>
            <w:rFonts w:ascii="Times New Roman" w:hAnsi="Times New Roman" w:eastAsia="Times New Roman" w:cs="Times New Roman"/>
            <w:color w:val="0563C1"/>
            <w:sz w:val="24"/>
            <w:szCs w:val="24"/>
            <w:u w:val="single"/>
          </w:rPr>
          <w:t>Program</w:t>
        </w:r>
        <w:proofErr w:type="gramEnd"/>
      </w:hyperlink>
      <w:r w:rsidRPr="00E57032">
        <w:rPr>
          <w:rFonts w:ascii="Times New Roman" w:hAnsi="Times New Roman" w:eastAsia="Times New Roman" w:cs="Times New Roman"/>
          <w:sz w:val="24"/>
          <w:szCs w:val="24"/>
        </w:rPr>
        <w:t xml:space="preserve">. </w:t>
      </w:r>
      <w:r w:rsidRPr="00E57032">
        <w:rPr>
          <w:rFonts w:ascii="Times New Roman" w:hAnsi="Times New Roman" w:cs="Times New Roman"/>
          <w:sz w:val="24"/>
          <w:szCs w:val="24"/>
        </w:rPr>
        <w:t xml:space="preserve">Participants in the GOA Trawl Catcher Vessel fishery and associated </w:t>
      </w:r>
      <w:proofErr w:type="spellStart"/>
      <w:r w:rsidRPr="000C5599">
        <w:rPr>
          <w:rFonts w:ascii="Times New Roman" w:hAnsi="Times New Roman" w:cs="Times New Roman"/>
          <w:sz w:val="24"/>
          <w:szCs w:val="24"/>
        </w:rPr>
        <w:t>shorebased</w:t>
      </w:r>
      <w:proofErr w:type="spellEnd"/>
      <w:r w:rsidRPr="00E57032">
        <w:rPr>
          <w:rFonts w:ascii="Times New Roman" w:hAnsi="Times New Roman" w:cs="Times New Roman"/>
          <w:sz w:val="24"/>
          <w:szCs w:val="24"/>
        </w:rPr>
        <w:t xml:space="preserve"> plants are required to complete EDRs that </w:t>
      </w:r>
      <w:proofErr w:type="gramStart"/>
      <w:r w:rsidRPr="00E57032">
        <w:rPr>
          <w:rFonts w:ascii="Times New Roman" w:hAnsi="Times New Roman" w:cs="Times New Roman"/>
          <w:sz w:val="24"/>
          <w:szCs w:val="24"/>
        </w:rPr>
        <w:t>are approved</w:t>
      </w:r>
      <w:proofErr w:type="gramEnd"/>
      <w:r w:rsidRPr="00E57032">
        <w:rPr>
          <w:rFonts w:ascii="Times New Roman" w:hAnsi="Times New Roman" w:cs="Times New Roman"/>
          <w:sz w:val="24"/>
          <w:szCs w:val="24"/>
        </w:rPr>
        <w:t xml:space="preserve"> under OMB control number 0648-0700.</w:t>
      </w:r>
      <w:r w:rsidRPr="00E57032">
        <w:rPr>
          <w:rFonts w:ascii="Times New Roman" w:hAnsi="Times New Roman" w:cs="Times New Roman"/>
          <w:color w:val="000000"/>
          <w:sz w:val="24"/>
          <w:szCs w:val="24"/>
        </w:rPr>
        <w:t xml:space="preserve"> </w:t>
      </w:r>
      <w:r w:rsidRPr="00E57032">
        <w:rPr>
          <w:rFonts w:ascii="Times New Roman" w:hAnsi="Times New Roman" w:eastAsia="Times New Roman" w:cs="Times New Roman"/>
          <w:sz w:val="24"/>
          <w:szCs w:val="24"/>
        </w:rPr>
        <w:t xml:space="preserve">All of the vessels in the trawl catcher/processor sector are subject to management under these NMFS programs. The Annual Trawl Catcher/Processor EDR </w:t>
      </w:r>
      <w:proofErr w:type="gramStart"/>
      <w:r w:rsidRPr="00E57032">
        <w:rPr>
          <w:rFonts w:ascii="Times New Roman" w:hAnsi="Times New Roman" w:eastAsia="Times New Roman" w:cs="Times New Roman"/>
          <w:sz w:val="24"/>
          <w:szCs w:val="24"/>
        </w:rPr>
        <w:t>is submitted</w:t>
      </w:r>
      <w:proofErr w:type="gramEnd"/>
      <w:r w:rsidRPr="00E57032">
        <w:rPr>
          <w:rFonts w:ascii="Times New Roman" w:hAnsi="Times New Roman" w:eastAsia="Times New Roman" w:cs="Times New Roman"/>
          <w:sz w:val="24"/>
          <w:szCs w:val="24"/>
        </w:rPr>
        <w:t xml:space="preserve"> by fishing companies, harvesting in the Bering Sea and Aleutian Islands management area (BSAI) and the GOA. The type of data collected includes labor information, revenues received, capital and operational expenditures, and other operational or financial data. The Annual Trawl Catcher/Processor EDR </w:t>
      </w:r>
      <w:proofErr w:type="gramStart"/>
      <w:r w:rsidRPr="00E57032">
        <w:rPr>
          <w:rFonts w:ascii="Times New Roman" w:hAnsi="Times New Roman" w:eastAsia="Times New Roman" w:cs="Times New Roman"/>
          <w:sz w:val="24"/>
          <w:szCs w:val="24"/>
        </w:rPr>
        <w:t>was implemented</w:t>
      </w:r>
      <w:proofErr w:type="gramEnd"/>
      <w:r w:rsidRPr="00E57032">
        <w:rPr>
          <w:rFonts w:ascii="Times New Roman" w:hAnsi="Times New Roman" w:eastAsia="Times New Roman" w:cs="Times New Roman"/>
          <w:sz w:val="24"/>
          <w:szCs w:val="24"/>
        </w:rPr>
        <w:t xml:space="preserve"> by the North Pacific Fisheries Management Council (Council) to help evaluate the Amendment 80 Program, including</w:t>
      </w:r>
      <w:r w:rsidR="0089702B">
        <w:rPr>
          <w:rFonts w:ascii="Times New Roman" w:hAnsi="Times New Roman" w:eastAsia="Times New Roman" w:cs="Times New Roman"/>
          <w:sz w:val="24"/>
          <w:szCs w:val="24"/>
        </w:rPr>
        <w:t xml:space="preserve"> program eligible trawl catcher/</w:t>
      </w:r>
      <w:r w:rsidRPr="00E57032">
        <w:rPr>
          <w:rFonts w:ascii="Times New Roman" w:hAnsi="Times New Roman" w:eastAsia="Times New Roman" w:cs="Times New Roman"/>
          <w:sz w:val="24"/>
          <w:szCs w:val="24"/>
        </w:rPr>
        <w:t xml:space="preserve">processors, and is used by NMFS and the Council to assess the impacts of major changes in the </w:t>
      </w:r>
      <w:proofErr w:type="spellStart"/>
      <w:r w:rsidRPr="00E57032">
        <w:rPr>
          <w:rFonts w:ascii="Times New Roman" w:hAnsi="Times New Roman" w:eastAsia="Times New Roman" w:cs="Times New Roman"/>
          <w:sz w:val="24"/>
          <w:szCs w:val="24"/>
        </w:rPr>
        <w:t>groundfish</w:t>
      </w:r>
      <w:proofErr w:type="spellEnd"/>
      <w:r w:rsidRPr="00E57032">
        <w:rPr>
          <w:rFonts w:ascii="Times New Roman" w:hAnsi="Times New Roman" w:eastAsia="Times New Roman" w:cs="Times New Roman"/>
          <w:sz w:val="24"/>
          <w:szCs w:val="24"/>
        </w:rPr>
        <w:t xml:space="preserve"> management regime, including programs for prohibited species catch species and target species.  </w:t>
      </w:r>
    </w:p>
    <w:p w:rsidR="00372873" w:rsidP="00364F99" w:rsidRDefault="00372873" w14:paraId="6D944553" w14:textId="77777777">
      <w:pPr>
        <w:spacing w:before="0"/>
        <w:rPr>
          <w:rFonts w:ascii="Times New Roman" w:hAnsi="Times New Roman" w:eastAsia="Times New Roman" w:cs="Times New Roman"/>
          <w:sz w:val="24"/>
          <w:szCs w:val="24"/>
        </w:rPr>
      </w:pPr>
    </w:p>
    <w:p w:rsidR="00372873" w:rsidP="00364F99" w:rsidRDefault="009C7B27" w14:paraId="6C347C2F" w14:textId="45B86B03">
      <w:pPr>
        <w:pStyle w:val="Heading1"/>
        <w:spacing w:before="0"/>
        <w:ind w:left="0"/>
        <w:rPr>
          <w:rFonts w:ascii="Times New Roman" w:hAnsi="Times New Roman" w:eastAsia="Times New Roman" w:cs="Times New Roman"/>
        </w:rPr>
      </w:pPr>
      <w:r>
        <w:rPr>
          <w:rFonts w:ascii="Times New Roman" w:hAnsi="Times New Roman" w:eastAsia="Times New Roman" w:cs="Times New Roman"/>
        </w:rPr>
        <w:t>Justification</w:t>
      </w:r>
    </w:p>
    <w:p w:rsidRPr="00364F99" w:rsidR="00364F99" w:rsidP="00364F99" w:rsidRDefault="00364F99" w14:paraId="4EEE3EF6" w14:textId="77777777"/>
    <w:p w:rsidR="00372873" w:rsidP="00364F99" w:rsidRDefault="009C7B27" w14:paraId="348CFACE" w14:textId="77777777">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2873" w:rsidRDefault="009C7B27" w14:paraId="5341F00A" w14:textId="414602F0">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Secretary of Commerce is responsible for the conservation and management of marine fishery resources within the Exclusive Economic Zone (EEZ) of the United States through National Oceanic and Atmospheric Administration/National Marine Fisheries Service.  NMFS manages the GOA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trawl fisheries in the EEZ off Alaska under the Fishery Management Plan for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of the Gulf of Alaska.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in the BSAI </w:t>
      </w:r>
      <w:proofErr w:type="gramStart"/>
      <w:r>
        <w:rPr>
          <w:rFonts w:ascii="Times New Roman" w:hAnsi="Times New Roman" w:eastAsia="Times New Roman" w:cs="Times New Roman"/>
          <w:sz w:val="24"/>
          <w:szCs w:val="24"/>
        </w:rPr>
        <w:t>are managed</w:t>
      </w:r>
      <w:proofErr w:type="gramEnd"/>
      <w:r>
        <w:rPr>
          <w:rFonts w:ascii="Times New Roman" w:hAnsi="Times New Roman" w:eastAsia="Times New Roman" w:cs="Times New Roman"/>
          <w:sz w:val="24"/>
          <w:szCs w:val="24"/>
        </w:rPr>
        <w:t xml:space="preserve"> under the Fishery Management Plan for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of the Bering Sea and Aleutian Islands Management Area.  The Council prepared these fishery management plans under the authority of the </w:t>
      </w:r>
      <w:hyperlink r:id="rId11">
        <w:r>
          <w:rPr>
            <w:rFonts w:ascii="Times New Roman" w:hAnsi="Times New Roman" w:eastAsia="Times New Roman" w:cs="Times New Roman"/>
            <w:color w:val="0563C1"/>
            <w:sz w:val="24"/>
            <w:szCs w:val="24"/>
            <w:u w:val="single"/>
          </w:rPr>
          <w:t>Magnuson-Stevens Fishery Conservation and Management Act</w:t>
        </w:r>
      </w:hyperlink>
      <w:r>
        <w:rPr>
          <w:rFonts w:ascii="Times New Roman" w:hAnsi="Times New Roman" w:eastAsia="Times New Roman" w:cs="Times New Roman"/>
          <w:sz w:val="24"/>
          <w:szCs w:val="24"/>
        </w:rPr>
        <w:t xml:space="preserve"> (16 U.S.C. 1801 </w:t>
      </w:r>
      <w:r>
        <w:rPr>
          <w:rFonts w:ascii="Times New Roman" w:hAnsi="Times New Roman" w:eastAsia="Times New Roman" w:cs="Times New Roman"/>
          <w:i/>
          <w:sz w:val="24"/>
          <w:szCs w:val="24"/>
        </w:rPr>
        <w:t>et seq</w:t>
      </w:r>
      <w:r>
        <w:rPr>
          <w:rFonts w:ascii="Times New Roman" w:hAnsi="Times New Roman" w:eastAsia="Times New Roman" w:cs="Times New Roman"/>
          <w:sz w:val="24"/>
          <w:szCs w:val="24"/>
        </w:rPr>
        <w:t xml:space="preserve">.; Magnuson-Stevens Act).  Regulations implementing the fishery management plans appear at </w:t>
      </w:r>
      <w:hyperlink r:id="rId12">
        <w:r>
          <w:rPr>
            <w:rFonts w:ascii="Times New Roman" w:hAnsi="Times New Roman" w:eastAsia="Times New Roman" w:cs="Times New Roman"/>
            <w:color w:val="0563C1"/>
            <w:sz w:val="24"/>
            <w:szCs w:val="24"/>
            <w:u w:val="single"/>
          </w:rPr>
          <w:t>50 CFR part 679</w:t>
        </w:r>
      </w:hyperlink>
      <w:r>
        <w:rPr>
          <w:rFonts w:ascii="Times New Roman" w:hAnsi="Times New Roman" w:eastAsia="Times New Roman" w:cs="Times New Roman"/>
          <w:sz w:val="24"/>
          <w:szCs w:val="24"/>
        </w:rPr>
        <w:t>.</w:t>
      </w:r>
    </w:p>
    <w:p w:rsidR="00372873" w:rsidRDefault="009C7B27" w14:paraId="23A284D4" w14:textId="77777777">
      <w:pPr>
        <w:rPr>
          <w:rFonts w:ascii="Times New Roman" w:hAnsi="Times New Roman" w:eastAsia="Times New Roman" w:cs="Times New Roman"/>
          <w:sz w:val="24"/>
          <w:szCs w:val="24"/>
        </w:rPr>
      </w:pPr>
      <w:r>
        <w:br w:type="page"/>
      </w:r>
    </w:p>
    <w:p w:rsidR="00372873" w:rsidRDefault="00372873" w14:paraId="2CCE80A6" w14:textId="77777777">
      <w:pPr>
        <w:rPr>
          <w:rFonts w:ascii="Times New Roman" w:hAnsi="Times New Roman" w:eastAsia="Times New Roman" w:cs="Times New Roman"/>
          <w:sz w:val="24"/>
          <w:szCs w:val="24"/>
        </w:rPr>
      </w:pPr>
    </w:p>
    <w:p w:rsidR="00372873" w:rsidRDefault="009C7B27" w14:paraId="092A2CA9" w14:textId="16DA1BC7">
      <w:pPr>
        <w:pStyle w:val="Heading1"/>
        <w:numPr>
          <w:ilvl w:val="0"/>
          <w:numId w:val="7"/>
        </w:numPr>
        <w:tabs>
          <w:tab w:val="left" w:pos="360"/>
        </w:tabs>
        <w:spacing w:before="197"/>
        <w:ind w:left="0" w:firstLine="0"/>
        <w:rPr>
          <w:rFonts w:ascii="Times New Roman" w:hAnsi="Times New Roman" w:eastAsia="Times New Roman" w:cs="Times New Roman"/>
        </w:rPr>
      </w:pPr>
      <w:r>
        <w:rPr>
          <w:rFonts w:ascii="Times New Roman" w:hAnsi="Times New Roman" w:eastAsia="Times New Roman" w:cs="Times New Roman"/>
        </w:rPr>
        <w:t xml:space="preserve">Indicate how, by whom, and for what purpose the information is to </w:t>
      </w:r>
      <w:proofErr w:type="gramStart"/>
      <w:r>
        <w:rPr>
          <w:rFonts w:ascii="Times New Roman" w:hAnsi="Times New Roman" w:eastAsia="Times New Roman" w:cs="Times New Roman"/>
        </w:rPr>
        <w:t>be used</w:t>
      </w:r>
      <w:proofErr w:type="gramEnd"/>
      <w:r>
        <w:rPr>
          <w:rFonts w:ascii="Times New Roman" w:hAnsi="Times New Roman" w:eastAsia="Times New Roman" w:cs="Times New Roman"/>
        </w:rPr>
        <w:t>. Except for a new collection, indicate the actual use the agency has made of the information received from the current collection.</w:t>
      </w:r>
    </w:p>
    <w:p w:rsidRPr="00EA63DD" w:rsidR="00EA63DD" w:rsidP="00EA63DD" w:rsidRDefault="00EA63DD" w14:paraId="48684E2D" w14:textId="77777777">
      <w:pPr>
        <w:spacing w:before="0"/>
      </w:pPr>
    </w:p>
    <w:p w:rsidR="00372873" w:rsidP="00EA63DD" w:rsidRDefault="009C7B27" w14:paraId="4602109B" w14:textId="1A209622">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2014, NMFS revised the existing Amendment 80 EDR, which </w:t>
      </w:r>
      <w:proofErr w:type="gramStart"/>
      <w:r>
        <w:rPr>
          <w:rFonts w:ascii="Times New Roman" w:hAnsi="Times New Roman" w:eastAsia="Times New Roman" w:cs="Times New Roman"/>
          <w:sz w:val="24"/>
          <w:szCs w:val="24"/>
        </w:rPr>
        <w:t>was used</w:t>
      </w:r>
      <w:proofErr w:type="gramEnd"/>
      <w:r>
        <w:rPr>
          <w:rFonts w:ascii="Times New Roman" w:hAnsi="Times New Roman" w:eastAsia="Times New Roman" w:cs="Times New Roman"/>
          <w:sz w:val="24"/>
          <w:szCs w:val="24"/>
        </w:rPr>
        <w:t xml:space="preserve"> by trawl catcher/processors in the BSAI, by adding GOA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fisheries. NMFS also changed the name of the Amendment 80 EDR to the Annual Trawl Catcher/Processor EDR. NMFS also created the GOA Trawl EDR Program, which includes two additional EDRs that </w:t>
      </w:r>
      <w:proofErr w:type="gramStart"/>
      <w:r>
        <w:rPr>
          <w:rFonts w:ascii="Times New Roman" w:hAnsi="Times New Roman" w:eastAsia="Times New Roman" w:cs="Times New Roman"/>
          <w:sz w:val="24"/>
          <w:szCs w:val="24"/>
        </w:rPr>
        <w:t>are approved</w:t>
      </w:r>
      <w:proofErr w:type="gramEnd"/>
      <w:r>
        <w:rPr>
          <w:rFonts w:ascii="Times New Roman" w:hAnsi="Times New Roman" w:eastAsia="Times New Roman" w:cs="Times New Roman"/>
          <w:sz w:val="24"/>
          <w:szCs w:val="24"/>
        </w:rPr>
        <w:t xml:space="preserve"> under OMB control number 0648-0700.  These collections include the Annual Trawl Catcher Vessel and </w:t>
      </w:r>
      <w:proofErr w:type="spellStart"/>
      <w:r>
        <w:rPr>
          <w:rFonts w:ascii="Times New Roman" w:hAnsi="Times New Roman" w:eastAsia="Times New Roman" w:cs="Times New Roman"/>
          <w:sz w:val="24"/>
          <w:szCs w:val="24"/>
        </w:rPr>
        <w:t>Shoreside</w:t>
      </w:r>
      <w:proofErr w:type="spellEnd"/>
      <w:r>
        <w:rPr>
          <w:rFonts w:ascii="Times New Roman" w:hAnsi="Times New Roman" w:eastAsia="Times New Roman" w:cs="Times New Roman"/>
          <w:sz w:val="24"/>
          <w:szCs w:val="24"/>
        </w:rPr>
        <w:t xml:space="preserve"> Processor EDRs that </w:t>
      </w:r>
      <w:proofErr w:type="gramStart"/>
      <w:r>
        <w:rPr>
          <w:rFonts w:ascii="Times New Roman" w:hAnsi="Times New Roman" w:eastAsia="Times New Roman" w:cs="Times New Roman"/>
          <w:sz w:val="24"/>
          <w:szCs w:val="24"/>
        </w:rPr>
        <w:t>are submitted</w:t>
      </w:r>
      <w:proofErr w:type="gramEnd"/>
      <w:r>
        <w:rPr>
          <w:rFonts w:ascii="Times New Roman" w:hAnsi="Times New Roman" w:eastAsia="Times New Roman" w:cs="Times New Roman"/>
          <w:sz w:val="24"/>
          <w:szCs w:val="24"/>
        </w:rPr>
        <w:t xml:space="preserve"> by fishing companies, vessel owners, and leaseholders of GOA trawl vessels and </w:t>
      </w:r>
      <w:proofErr w:type="spellStart"/>
      <w:r>
        <w:rPr>
          <w:rFonts w:ascii="Times New Roman" w:hAnsi="Times New Roman" w:eastAsia="Times New Roman" w:cs="Times New Roman"/>
          <w:sz w:val="24"/>
          <w:szCs w:val="24"/>
        </w:rPr>
        <w:t>shorebased</w:t>
      </w:r>
      <w:proofErr w:type="spellEnd"/>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xml:space="preserve"> plants, while this collection, the Annual Trawl </w:t>
      </w:r>
      <w:r w:rsidRPr="00A8648A" w:rsidR="00A8648A">
        <w:rPr>
          <w:rFonts w:ascii="Times New Roman" w:hAnsi="Times New Roman" w:eastAsia="Times New Roman" w:cs="Times New Roman"/>
          <w:sz w:val="24"/>
          <w:szCs w:val="24"/>
        </w:rPr>
        <w:t>Catcher</w:t>
      </w:r>
      <w:r w:rsidR="00A8648A">
        <w:rPr>
          <w:rFonts w:ascii="Times New Roman" w:hAnsi="Times New Roman" w:eastAsia="Times New Roman" w:cs="Times New Roman"/>
          <w:sz w:val="24"/>
          <w:szCs w:val="24"/>
        </w:rPr>
        <w:t>/</w:t>
      </w:r>
      <w:r w:rsidRPr="00A8648A">
        <w:rPr>
          <w:rFonts w:ascii="Times New Roman" w:hAnsi="Times New Roman" w:eastAsia="Times New Roman" w:cs="Times New Roman"/>
          <w:sz w:val="24"/>
          <w:szCs w:val="24"/>
        </w:rPr>
        <w:t>Processor</w:t>
      </w:r>
      <w:r>
        <w:rPr>
          <w:rFonts w:ascii="Times New Roman" w:hAnsi="Times New Roman" w:eastAsia="Times New Roman" w:cs="Times New Roman"/>
          <w:sz w:val="24"/>
          <w:szCs w:val="24"/>
        </w:rPr>
        <w:t xml:space="preserve"> EDR is submitted by Amendment 80 catcher/processors, and </w:t>
      </w:r>
      <w:r w:rsidR="000C5599">
        <w:rPr>
          <w:rFonts w:ascii="Times New Roman" w:hAnsi="Times New Roman" w:eastAsia="Times New Roman" w:cs="Times New Roman"/>
          <w:sz w:val="24"/>
          <w:szCs w:val="24"/>
        </w:rPr>
        <w:t xml:space="preserve">Amendment </w:t>
      </w:r>
      <w:r>
        <w:rPr>
          <w:rFonts w:ascii="Times New Roman" w:hAnsi="Times New Roman" w:eastAsia="Times New Roman" w:cs="Times New Roman"/>
          <w:sz w:val="24"/>
          <w:szCs w:val="24"/>
        </w:rPr>
        <w:t xml:space="preserve">80 eligible </w:t>
      </w:r>
      <w:r w:rsidR="000C5599">
        <w:rPr>
          <w:rFonts w:ascii="Times New Roman" w:hAnsi="Times New Roman" w:eastAsia="Times New Roman" w:cs="Times New Roman"/>
          <w:sz w:val="24"/>
          <w:szCs w:val="24"/>
        </w:rPr>
        <w:t>catcher/processors</w:t>
      </w:r>
      <w:r>
        <w:rPr>
          <w:rFonts w:ascii="Times New Roman" w:hAnsi="Times New Roman" w:eastAsia="Times New Roman" w:cs="Times New Roman"/>
          <w:sz w:val="24"/>
          <w:szCs w:val="24"/>
        </w:rPr>
        <w:t xml:space="preserve">. The type of data collected includes labor information, revenues received, capital and operational expenditures, and other operational or financial data.  As this collection </w:t>
      </w:r>
      <w:proofErr w:type="gramStart"/>
      <w:r>
        <w:rPr>
          <w:rFonts w:ascii="Times New Roman" w:hAnsi="Times New Roman" w:eastAsia="Times New Roman" w:cs="Times New Roman"/>
          <w:sz w:val="24"/>
          <w:szCs w:val="24"/>
        </w:rPr>
        <w:t>is intended</w:t>
      </w:r>
      <w:proofErr w:type="gramEnd"/>
      <w:r>
        <w:rPr>
          <w:rFonts w:ascii="Times New Roman" w:hAnsi="Times New Roman" w:eastAsia="Times New Roman" w:cs="Times New Roman"/>
          <w:sz w:val="24"/>
          <w:szCs w:val="24"/>
        </w:rPr>
        <w:t xml:space="preserve"> to create a time series of observations by permit</w:t>
      </w:r>
      <w:r w:rsidR="000C559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this collection has not changed since the most recent renewal.</w:t>
      </w:r>
    </w:p>
    <w:p w:rsidR="00EA63DD" w:rsidP="00EA63DD" w:rsidRDefault="00EA63DD" w14:paraId="2087FCC7" w14:textId="77777777">
      <w:pPr>
        <w:spacing w:before="0"/>
        <w:rPr>
          <w:rFonts w:ascii="Times New Roman" w:hAnsi="Times New Roman" w:eastAsia="Times New Roman" w:cs="Times New Roman"/>
          <w:color w:val="2F5496"/>
          <w:sz w:val="24"/>
          <w:szCs w:val="24"/>
        </w:rPr>
      </w:pPr>
    </w:p>
    <w:p w:rsidR="00372873" w:rsidP="00EA63DD" w:rsidRDefault="009C7B27" w14:paraId="3F3B3B7C" w14:textId="2CCD8F7F">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Regulations at </w:t>
      </w:r>
      <w:hyperlink w:history="1" r:id="rId13">
        <w:r w:rsidRPr="00C73710">
          <w:rPr>
            <w:rStyle w:val="Hyperlink"/>
            <w:rFonts w:ascii="Times New Roman" w:hAnsi="Times New Roman" w:eastAsia="Times New Roman" w:cs="Times New Roman"/>
            <w:sz w:val="24"/>
            <w:szCs w:val="24"/>
          </w:rPr>
          <w:t>50 CFR 679.94</w:t>
        </w:r>
      </w:hyperlink>
      <w:r>
        <w:rPr>
          <w:rFonts w:ascii="Times New Roman" w:hAnsi="Times New Roman" w:eastAsia="Times New Roman" w:cs="Times New Roman"/>
          <w:color w:val="000000"/>
          <w:sz w:val="24"/>
          <w:szCs w:val="24"/>
        </w:rPr>
        <w:t xml:space="preserve"> require submission to NMFS of an Annual Trawl </w:t>
      </w:r>
      <w:r w:rsidR="000C5599">
        <w:rPr>
          <w:rFonts w:ascii="Times New Roman" w:hAnsi="Times New Roman" w:eastAsia="Times New Roman" w:cs="Times New Roman"/>
          <w:color w:val="000000"/>
          <w:sz w:val="24"/>
          <w:szCs w:val="24"/>
        </w:rPr>
        <w:t>Catcher/</w:t>
      </w:r>
      <w:r>
        <w:rPr>
          <w:rFonts w:ascii="Times New Roman" w:hAnsi="Times New Roman" w:eastAsia="Times New Roman" w:cs="Times New Roman"/>
          <w:color w:val="000000"/>
          <w:sz w:val="24"/>
          <w:szCs w:val="24"/>
        </w:rPr>
        <w:t>Processor EDR by the following:</w:t>
      </w:r>
    </w:p>
    <w:p w:rsidR="00372873" w:rsidRDefault="009C7B27" w14:paraId="06D2AA0F" w14:textId="77777777">
      <w:pPr>
        <w:numPr>
          <w:ilvl w:val="0"/>
          <w:numId w:val="5"/>
        </w:numPr>
        <w:pBdr>
          <w:top w:val="nil"/>
          <w:left w:val="nil"/>
          <w:bottom w:val="nil"/>
          <w:right w:val="nil"/>
          <w:between w:val="nil"/>
        </w:pBdr>
        <w:rPr>
          <w:color w:val="000000"/>
          <w:sz w:val="24"/>
          <w:szCs w:val="24"/>
        </w:rPr>
      </w:pPr>
      <w:r>
        <w:rPr>
          <w:rFonts w:ascii="Times New Roman" w:hAnsi="Times New Roman" w:eastAsia="Times New Roman" w:cs="Times New Roman"/>
          <w:color w:val="000000"/>
          <w:sz w:val="24"/>
          <w:szCs w:val="24"/>
        </w:rPr>
        <w:t xml:space="preserve">any person who held an Amendment 80 quota share (QS) permit </w:t>
      </w:r>
    </w:p>
    <w:p w:rsidR="00372873" w:rsidRDefault="009C7B27" w14:paraId="5AD2C748" w14:textId="77777777">
      <w:pPr>
        <w:numPr>
          <w:ilvl w:val="0"/>
          <w:numId w:val="5"/>
        </w:numPr>
        <w:pBdr>
          <w:top w:val="nil"/>
          <w:left w:val="nil"/>
          <w:bottom w:val="nil"/>
          <w:right w:val="nil"/>
          <w:between w:val="nil"/>
        </w:pBdr>
        <w:rPr>
          <w:color w:val="000000"/>
          <w:sz w:val="24"/>
          <w:szCs w:val="24"/>
        </w:rPr>
      </w:pPr>
      <w:r>
        <w:rPr>
          <w:rFonts w:ascii="Times New Roman" w:hAnsi="Times New Roman" w:eastAsia="Times New Roman" w:cs="Times New Roman"/>
          <w:color w:val="000000"/>
          <w:sz w:val="24"/>
          <w:szCs w:val="24"/>
        </w:rPr>
        <w:t>any person who was an owner or leaseholder of an Amendment 80 vessel</w:t>
      </w:r>
    </w:p>
    <w:p w:rsidR="00372873" w:rsidRDefault="009C7B27" w14:paraId="6333FA15" w14:textId="77777777">
      <w:pPr>
        <w:numPr>
          <w:ilvl w:val="0"/>
          <w:numId w:val="5"/>
        </w:numPr>
        <w:pBdr>
          <w:top w:val="nil"/>
          <w:left w:val="nil"/>
          <w:bottom w:val="nil"/>
          <w:right w:val="nil"/>
          <w:between w:val="nil"/>
        </w:pBdr>
        <w:rPr>
          <w:color w:val="000000"/>
          <w:sz w:val="24"/>
          <w:szCs w:val="24"/>
        </w:rPr>
      </w:pPr>
      <w:r>
        <w:rPr>
          <w:rFonts w:ascii="Times New Roman" w:hAnsi="Times New Roman" w:eastAsia="Times New Roman" w:cs="Times New Roman"/>
          <w:color w:val="000000"/>
          <w:sz w:val="24"/>
          <w:szCs w:val="24"/>
        </w:rPr>
        <w:t xml:space="preserve">any person who was an owner or leaseholder of a vessel that was named on a Limited License Program (LLP)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license that authorizes a catcher/processor using trawl gear to harvest and process LLP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species in the GOA during a calendar year </w:t>
      </w:r>
    </w:p>
    <w:p w:rsidR="00372873" w:rsidP="00EA63DD" w:rsidRDefault="00372873" w14:paraId="5C0DEB2B" w14:textId="77777777">
      <w:pPr>
        <w:spacing w:before="0"/>
        <w:rPr>
          <w:rFonts w:ascii="Times New Roman" w:hAnsi="Times New Roman" w:eastAsia="Times New Roman" w:cs="Times New Roman"/>
          <w:sz w:val="24"/>
          <w:szCs w:val="24"/>
        </w:rPr>
      </w:pPr>
    </w:p>
    <w:p w:rsidR="00372873" w:rsidP="00EA63DD" w:rsidRDefault="009C7B27" w14:paraId="1D03ADE9" w14:textId="7777777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complete EDR </w:t>
      </w:r>
      <w:proofErr w:type="gramStart"/>
      <w:r>
        <w:rPr>
          <w:rFonts w:ascii="Times New Roman" w:hAnsi="Times New Roman" w:eastAsia="Times New Roman" w:cs="Times New Roman"/>
          <w:sz w:val="24"/>
          <w:szCs w:val="24"/>
        </w:rPr>
        <w:t>must be submitted</w:t>
      </w:r>
      <w:proofErr w:type="gramEnd"/>
      <w:r>
        <w:rPr>
          <w:rFonts w:ascii="Times New Roman" w:hAnsi="Times New Roman" w:eastAsia="Times New Roman" w:cs="Times New Roman"/>
          <w:sz w:val="24"/>
          <w:szCs w:val="24"/>
        </w:rPr>
        <w:t xml:space="preserve"> for each calendar year on or before June 1 of the following year. All information reported must be current and complete as of the date of submission, including post-season adjustments and settlements.</w:t>
      </w:r>
    </w:p>
    <w:p w:rsidR="00372873" w:rsidP="00EA63DD" w:rsidRDefault="00372873" w14:paraId="31337C97" w14:textId="77777777">
      <w:pPr>
        <w:spacing w:before="0"/>
        <w:rPr>
          <w:rFonts w:ascii="Times New Roman" w:hAnsi="Times New Roman" w:eastAsia="Times New Roman" w:cs="Times New Roman"/>
          <w:sz w:val="24"/>
          <w:szCs w:val="24"/>
        </w:rPr>
      </w:pPr>
    </w:p>
    <w:p w:rsidR="00372873" w:rsidP="00EA63DD" w:rsidRDefault="009C7B27" w14:paraId="1F3F887F" w14:textId="09E64453">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Pacific States Marine Fisheries Commission (</w:t>
      </w:r>
      <w:r w:rsidRPr="006B1F98">
        <w:rPr>
          <w:rFonts w:ascii="Times New Roman" w:hAnsi="Times New Roman" w:eastAsia="Times New Roman" w:cs="Times New Roman"/>
          <w:sz w:val="24"/>
          <w:szCs w:val="24"/>
        </w:rPr>
        <w:t>Pacific States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has been designated</w:t>
      </w:r>
      <w:proofErr w:type="gramEnd"/>
      <w:r>
        <w:rPr>
          <w:rFonts w:ascii="Times New Roman" w:hAnsi="Times New Roman" w:eastAsia="Times New Roman" w:cs="Times New Roman"/>
          <w:sz w:val="24"/>
          <w:szCs w:val="24"/>
        </w:rPr>
        <w:t xml:space="preserve"> by NMFS to be the Data Collection Agent for the </w:t>
      </w:r>
      <w:r>
        <w:rPr>
          <w:rFonts w:ascii="Times New Roman" w:hAnsi="Times New Roman" w:eastAsia="Times New Roman" w:cs="Times New Roman"/>
          <w:color w:val="000000"/>
          <w:sz w:val="24"/>
          <w:szCs w:val="24"/>
          <w:highlight w:val="white"/>
        </w:rPr>
        <w:t xml:space="preserve">Annual Trawl </w:t>
      </w:r>
      <w:r w:rsidR="00A8648A">
        <w:rPr>
          <w:rFonts w:ascii="Times New Roman" w:hAnsi="Times New Roman" w:eastAsia="Times New Roman" w:cs="Times New Roman"/>
          <w:color w:val="000000"/>
          <w:sz w:val="24"/>
          <w:szCs w:val="24"/>
          <w:highlight w:val="white"/>
        </w:rPr>
        <w:t>Catcher/</w:t>
      </w:r>
      <w:r>
        <w:rPr>
          <w:rFonts w:ascii="Times New Roman" w:hAnsi="Times New Roman" w:eastAsia="Times New Roman" w:cs="Times New Roman"/>
          <w:color w:val="000000"/>
          <w:sz w:val="24"/>
          <w:szCs w:val="24"/>
          <w:highlight w:val="white"/>
        </w:rPr>
        <w:t>Processor EDR. Pacific States mails EDR announcements and filing instructions to affected QS permit holders, vessel owners, and applicable leaseholders.</w:t>
      </w:r>
    </w:p>
    <w:p w:rsidR="00372873" w:rsidP="00EA63DD" w:rsidRDefault="00372873" w14:paraId="6364293B" w14:textId="77777777">
      <w:pPr>
        <w:spacing w:before="0"/>
        <w:rPr>
          <w:rFonts w:ascii="Times New Roman" w:hAnsi="Times New Roman" w:eastAsia="Times New Roman" w:cs="Times New Roman"/>
          <w:sz w:val="24"/>
          <w:szCs w:val="24"/>
        </w:rPr>
      </w:pPr>
    </w:p>
    <w:p w:rsidR="00372873" w:rsidP="00EA63DD" w:rsidRDefault="009C7B27" w14:paraId="148EA603" w14:textId="7777777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receive an EDR by mail, respondents may call 1-877-741-8913, or email their request to </w:t>
      </w:r>
      <w:hyperlink r:id="rId14">
        <w:r>
          <w:rPr>
            <w:rFonts w:ascii="Times New Roman" w:hAnsi="Times New Roman" w:eastAsia="Times New Roman" w:cs="Times New Roman"/>
            <w:color w:val="0000FF"/>
            <w:sz w:val="24"/>
            <w:szCs w:val="24"/>
            <w:u w:val="single"/>
          </w:rPr>
          <w:t>edr@psmfc.org</w:t>
        </w:r>
      </w:hyperlink>
      <w:hyperlink r:id="rId15">
        <w:r>
          <w:rPr>
            <w:rFonts w:ascii="Times New Roman" w:hAnsi="Times New Roman" w:eastAsia="Times New Roman" w:cs="Times New Roman"/>
            <w:sz w:val="24"/>
            <w:szCs w:val="24"/>
          </w:rPr>
          <w:t>.</w:t>
        </w:r>
      </w:hyperlink>
    </w:p>
    <w:p w:rsidR="00372873" w:rsidP="00EA63DD" w:rsidRDefault="00372873" w14:paraId="3F8371F2" w14:textId="77777777">
      <w:pPr>
        <w:spacing w:before="0"/>
        <w:rPr>
          <w:rFonts w:ascii="Times New Roman" w:hAnsi="Times New Roman" w:eastAsia="Times New Roman" w:cs="Times New Roman"/>
          <w:sz w:val="24"/>
          <w:szCs w:val="24"/>
        </w:rPr>
      </w:pPr>
    </w:p>
    <w:p w:rsidR="00372873" w:rsidP="00EA63DD" w:rsidRDefault="009C7B27" w14:paraId="30B714E0" w14:textId="77777777">
      <w:pPr>
        <w:spacing w:before="0"/>
        <w:rPr>
          <w:rFonts w:ascii="Calibri" w:hAnsi="Calibri" w:eastAsia="Calibri" w:cs="Calibri"/>
        </w:rPr>
      </w:pPr>
      <w:r>
        <w:rPr>
          <w:rFonts w:ascii="Times New Roman" w:hAnsi="Times New Roman" w:eastAsia="Times New Roman" w:cs="Times New Roman"/>
          <w:sz w:val="24"/>
          <w:szCs w:val="24"/>
        </w:rPr>
        <w:t xml:space="preserve">An EDR </w:t>
      </w:r>
      <w:proofErr w:type="gramStart"/>
      <w:r>
        <w:rPr>
          <w:rFonts w:ascii="Times New Roman" w:hAnsi="Times New Roman" w:eastAsia="Times New Roman" w:cs="Times New Roman"/>
          <w:sz w:val="24"/>
          <w:szCs w:val="24"/>
        </w:rPr>
        <w:t>may be submitted</w:t>
      </w:r>
      <w:proofErr w:type="gramEnd"/>
      <w:r>
        <w:rPr>
          <w:rFonts w:ascii="Times New Roman" w:hAnsi="Times New Roman" w:eastAsia="Times New Roman" w:cs="Times New Roman"/>
          <w:sz w:val="24"/>
          <w:szCs w:val="24"/>
        </w:rPr>
        <w:t xml:space="preserve"> online or may be downloaded in fillable PDF format and then faxed or mailed. Submit the completed EDR—</w:t>
      </w:r>
    </w:p>
    <w:p w:rsidR="00372873" w:rsidP="00EA63DD" w:rsidRDefault="00372873" w14:paraId="7AA8A58C" w14:textId="77777777">
      <w:pPr>
        <w:spacing w:before="0"/>
        <w:rPr>
          <w:rFonts w:ascii="Times New Roman" w:hAnsi="Times New Roman" w:eastAsia="Times New Roman" w:cs="Times New Roman"/>
          <w:sz w:val="24"/>
          <w:szCs w:val="24"/>
        </w:rPr>
      </w:pPr>
    </w:p>
    <w:p w:rsidR="00372873" w:rsidP="00EA63DD" w:rsidRDefault="009C7B27" w14:paraId="32E3D356" w14:textId="77777777">
      <w:pPr>
        <w:tabs>
          <w:tab w:val="left" w:pos="2279"/>
        </w:tabs>
        <w:spacing w:before="0"/>
        <w:ind w:left="1890" w:hanging="1170"/>
        <w:rPr>
          <w:rFonts w:ascii="Times New Roman" w:hAnsi="Times New Roman" w:eastAsia="Times New Roman" w:cs="Times New Roman"/>
          <w:sz w:val="24"/>
          <w:szCs w:val="24"/>
        </w:rPr>
      </w:pPr>
      <w:r>
        <w:rPr>
          <w:rFonts w:ascii="Times New Roman" w:hAnsi="Times New Roman" w:eastAsia="Times New Roman" w:cs="Times New Roman"/>
          <w:sz w:val="24"/>
          <w:szCs w:val="24"/>
        </w:rPr>
        <w:t>By mail to:</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Pacific States Marine Fisheries Commission NMFS Economic Data </w:t>
      </w:r>
    </w:p>
    <w:p w:rsidR="00372873" w:rsidP="00EA63DD" w:rsidRDefault="009C7B27" w14:paraId="692F5E3C" w14:textId="77777777">
      <w:pPr>
        <w:tabs>
          <w:tab w:val="left" w:pos="2279"/>
        </w:tabs>
        <w:spacing w:before="0"/>
        <w:ind w:left="1890" w:hanging="117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Reports</w:t>
      </w:r>
    </w:p>
    <w:p w:rsidR="00372873" w:rsidP="00EA63DD" w:rsidRDefault="009C7B27" w14:paraId="593F1563" w14:textId="77777777">
      <w:pPr>
        <w:spacing w:before="0"/>
        <w:ind w:left="1980" w:firstLine="270"/>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lastRenderedPageBreak/>
        <w:t>205</w:t>
      </w:r>
      <w:proofErr w:type="gramEnd"/>
      <w:r>
        <w:rPr>
          <w:rFonts w:ascii="Times New Roman" w:hAnsi="Times New Roman" w:eastAsia="Times New Roman" w:cs="Times New Roman"/>
          <w:sz w:val="24"/>
          <w:szCs w:val="24"/>
        </w:rPr>
        <w:t xml:space="preserve"> SE Spokane, Suite 100</w:t>
      </w:r>
    </w:p>
    <w:p w:rsidR="00372873" w:rsidP="00EA63DD" w:rsidRDefault="009C7B27" w14:paraId="64245EE3" w14:textId="77777777">
      <w:pPr>
        <w:spacing w:before="0"/>
        <w:ind w:left="1530"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Portland, OR 97202</w:t>
      </w:r>
    </w:p>
    <w:p w:rsidR="00372873" w:rsidP="00EA63DD" w:rsidRDefault="00372873" w14:paraId="62592831" w14:textId="77777777">
      <w:pPr>
        <w:spacing w:before="0"/>
        <w:ind w:left="115" w:firstLine="620"/>
        <w:rPr>
          <w:rFonts w:ascii="Times New Roman" w:hAnsi="Times New Roman" w:eastAsia="Times New Roman" w:cs="Times New Roman"/>
          <w:sz w:val="24"/>
          <w:szCs w:val="24"/>
        </w:rPr>
      </w:pPr>
    </w:p>
    <w:p w:rsidR="00372873" w:rsidP="00EA63DD" w:rsidRDefault="009C7B27" w14:paraId="1167D810" w14:textId="77777777">
      <w:pPr>
        <w:tabs>
          <w:tab w:val="left" w:pos="2279"/>
        </w:tabs>
        <w:spacing w:before="0"/>
        <w:ind w:left="115" w:firstLine="620"/>
        <w:rPr>
          <w:rFonts w:ascii="Times New Roman" w:hAnsi="Times New Roman" w:eastAsia="Times New Roman" w:cs="Times New Roman"/>
          <w:sz w:val="24"/>
          <w:szCs w:val="24"/>
        </w:rPr>
      </w:pPr>
      <w:r>
        <w:rPr>
          <w:rFonts w:ascii="Times New Roman" w:hAnsi="Times New Roman" w:eastAsia="Times New Roman" w:cs="Times New Roman"/>
          <w:sz w:val="24"/>
          <w:szCs w:val="24"/>
        </w:rPr>
        <w:t>By fax to:</w:t>
      </w:r>
      <w:r>
        <w:rPr>
          <w:rFonts w:ascii="Times New Roman" w:hAnsi="Times New Roman" w:eastAsia="Times New Roman" w:cs="Times New Roman"/>
          <w:sz w:val="24"/>
          <w:szCs w:val="24"/>
        </w:rPr>
        <w:tab/>
        <w:t>503-595-3450</w:t>
      </w:r>
    </w:p>
    <w:p w:rsidR="00372873" w:rsidP="00EA63DD" w:rsidRDefault="00372873" w14:paraId="57D8A5BE" w14:textId="77777777">
      <w:pPr>
        <w:spacing w:before="0"/>
        <w:ind w:left="115" w:firstLine="620"/>
        <w:rPr>
          <w:rFonts w:ascii="Times New Roman" w:hAnsi="Times New Roman" w:eastAsia="Times New Roman" w:cs="Times New Roman"/>
          <w:sz w:val="24"/>
          <w:szCs w:val="24"/>
        </w:rPr>
      </w:pPr>
    </w:p>
    <w:p w:rsidR="00372873" w:rsidP="00EA63DD" w:rsidRDefault="009C7B27" w14:paraId="2D5B5240" w14:textId="77777777">
      <w:pPr>
        <w:tabs>
          <w:tab w:val="left" w:pos="2279"/>
        </w:tabs>
        <w:spacing w:before="0"/>
        <w:ind w:left="115" w:firstLine="620"/>
        <w:rPr>
          <w:rFonts w:ascii="Times New Roman" w:hAnsi="Times New Roman" w:eastAsia="Times New Roman" w:cs="Times New Roman"/>
          <w:sz w:val="24"/>
          <w:szCs w:val="24"/>
        </w:rPr>
      </w:pPr>
      <w:r>
        <w:rPr>
          <w:rFonts w:ascii="Times New Roman" w:hAnsi="Times New Roman" w:eastAsia="Times New Roman" w:cs="Times New Roman"/>
          <w:sz w:val="24"/>
          <w:szCs w:val="24"/>
        </w:rPr>
        <w:t>Online at:</w:t>
      </w:r>
      <w:r>
        <w:rPr>
          <w:rFonts w:ascii="Times New Roman" w:hAnsi="Times New Roman" w:eastAsia="Times New Roman" w:cs="Times New Roman"/>
          <w:sz w:val="24"/>
          <w:szCs w:val="24"/>
        </w:rPr>
        <w:tab/>
      </w:r>
      <w:hyperlink r:id="rId16">
        <w:r>
          <w:rPr>
            <w:rFonts w:ascii="Times New Roman" w:hAnsi="Times New Roman" w:eastAsia="Times New Roman" w:cs="Times New Roman"/>
            <w:color w:val="0000FF"/>
            <w:sz w:val="24"/>
            <w:szCs w:val="24"/>
            <w:u w:val="single"/>
          </w:rPr>
          <w:t>https://survey.psmfc.org</w:t>
        </w:r>
      </w:hyperlink>
    </w:p>
    <w:p w:rsidR="00372873" w:rsidP="00EA63DD" w:rsidRDefault="00372873" w14:paraId="7B496966" w14:textId="77777777">
      <w:pPr>
        <w:spacing w:before="0"/>
        <w:rPr>
          <w:rFonts w:ascii="Times New Roman" w:hAnsi="Times New Roman" w:eastAsia="Times New Roman" w:cs="Times New Roman"/>
          <w:sz w:val="24"/>
          <w:szCs w:val="24"/>
        </w:rPr>
      </w:pPr>
    </w:p>
    <w:p w:rsidR="00372873" w:rsidP="00EA63DD" w:rsidRDefault="009C7B27" w14:paraId="4A5D5DD9" w14:textId="7777777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Depending on a respondent’s activity in a given calendar year, the respondent for a catcher/processor completes and submits either the entire EDR or the EDR certification pages.</w:t>
      </w:r>
    </w:p>
    <w:p w:rsidR="00372873" w:rsidP="00EA63DD" w:rsidRDefault="00372873" w14:paraId="7AE627F8" w14:textId="77777777">
      <w:pPr>
        <w:spacing w:before="0"/>
        <w:ind w:left="115"/>
        <w:rPr>
          <w:rFonts w:ascii="Times New Roman" w:hAnsi="Times New Roman" w:eastAsia="Times New Roman" w:cs="Times New Roman"/>
          <w:sz w:val="24"/>
          <w:szCs w:val="24"/>
        </w:rPr>
      </w:pPr>
    </w:p>
    <w:p w:rsidR="00372873" w:rsidP="00EA63DD" w:rsidRDefault="009C7B27" w14:paraId="6A9842A3" w14:textId="77777777">
      <w:pPr>
        <w:numPr>
          <w:ilvl w:val="3"/>
          <w:numId w:val="2"/>
        </w:numPr>
        <w:tabs>
          <w:tab w:val="left" w:pos="840"/>
        </w:tabs>
        <w:spacing w:before="0"/>
        <w:ind w:left="455" w:hanging="340"/>
      </w:pPr>
      <w:r>
        <w:rPr>
          <w:rFonts w:ascii="Times New Roman" w:hAnsi="Times New Roman" w:eastAsia="Times New Roman" w:cs="Times New Roman"/>
          <w:sz w:val="24"/>
          <w:szCs w:val="24"/>
        </w:rPr>
        <w:t>The following must complete and submit the entire EDR:</w:t>
      </w:r>
    </w:p>
    <w:p w:rsidR="00372873" w:rsidP="00EA63DD" w:rsidRDefault="00372873" w14:paraId="6E4156A1" w14:textId="77777777">
      <w:pPr>
        <w:spacing w:before="0"/>
        <w:ind w:left="115"/>
        <w:rPr>
          <w:rFonts w:ascii="Times New Roman" w:hAnsi="Times New Roman" w:eastAsia="Times New Roman" w:cs="Times New Roman"/>
          <w:sz w:val="24"/>
          <w:szCs w:val="24"/>
        </w:rPr>
      </w:pPr>
    </w:p>
    <w:p w:rsidR="00372873" w:rsidP="00EA63DD" w:rsidRDefault="009C7B27" w14:paraId="5BA56283" w14:textId="77777777">
      <w:pPr>
        <w:numPr>
          <w:ilvl w:val="4"/>
          <w:numId w:val="2"/>
        </w:numPr>
        <w:tabs>
          <w:tab w:val="left" w:pos="1199"/>
          <w:tab w:val="left" w:pos="1200"/>
        </w:tabs>
        <w:spacing w:before="0"/>
        <w:ind w:left="815"/>
      </w:pPr>
      <w:r>
        <w:rPr>
          <w:rFonts w:ascii="Times New Roman" w:hAnsi="Times New Roman" w:eastAsia="Times New Roman" w:cs="Times New Roman"/>
          <w:sz w:val="24"/>
          <w:szCs w:val="24"/>
        </w:rPr>
        <w:t xml:space="preserve">A catcher/processor </w:t>
      </w:r>
      <w:proofErr w:type="gramStart"/>
      <w:r>
        <w:rPr>
          <w:rFonts w:ascii="Times New Roman" w:hAnsi="Times New Roman" w:eastAsia="Times New Roman" w:cs="Times New Roman"/>
          <w:sz w:val="24"/>
          <w:szCs w:val="24"/>
        </w:rPr>
        <w:t>owner,</w:t>
      </w:r>
      <w:proofErr w:type="gramEnd"/>
      <w:r>
        <w:rPr>
          <w:rFonts w:ascii="Times New Roman" w:hAnsi="Times New Roman" w:eastAsia="Times New Roman" w:cs="Times New Roman"/>
          <w:sz w:val="24"/>
          <w:szCs w:val="24"/>
        </w:rPr>
        <w:t xml:space="preserve"> or the holder of the Amendment 80 QS permit, who harvested or processed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in the GOA in that vessel.</w:t>
      </w:r>
    </w:p>
    <w:p w:rsidR="00372873" w:rsidP="00EA63DD" w:rsidRDefault="00372873" w14:paraId="72C11786" w14:textId="77777777">
      <w:pPr>
        <w:spacing w:before="0"/>
        <w:ind w:left="455"/>
        <w:rPr>
          <w:rFonts w:ascii="Times New Roman" w:hAnsi="Times New Roman" w:eastAsia="Times New Roman" w:cs="Times New Roman"/>
          <w:sz w:val="24"/>
          <w:szCs w:val="24"/>
        </w:rPr>
      </w:pPr>
    </w:p>
    <w:p w:rsidR="00372873" w:rsidP="00EA63DD" w:rsidRDefault="009C7B27" w14:paraId="74B06B02" w14:textId="77777777">
      <w:pPr>
        <w:numPr>
          <w:ilvl w:val="4"/>
          <w:numId w:val="2"/>
        </w:numPr>
        <w:tabs>
          <w:tab w:val="left" w:pos="1199"/>
          <w:tab w:val="left" w:pos="1200"/>
        </w:tabs>
        <w:spacing w:before="0"/>
        <w:ind w:left="815"/>
      </w:pPr>
      <w:r>
        <w:rPr>
          <w:rFonts w:ascii="Times New Roman" w:hAnsi="Times New Roman" w:eastAsia="Times New Roman" w:cs="Times New Roman"/>
          <w:sz w:val="24"/>
          <w:szCs w:val="24"/>
        </w:rPr>
        <w:t xml:space="preserve">A catcher/processor leaseholder who harvested or processed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in the GOA in that vessel.</w:t>
      </w:r>
    </w:p>
    <w:p w:rsidR="00372873" w:rsidP="00EA63DD" w:rsidRDefault="00372873" w14:paraId="2F062B55" w14:textId="77777777">
      <w:pPr>
        <w:spacing w:before="0"/>
        <w:ind w:left="455"/>
        <w:rPr>
          <w:rFonts w:ascii="Calibri" w:hAnsi="Calibri" w:eastAsia="Calibri" w:cs="Calibri"/>
        </w:rPr>
      </w:pPr>
    </w:p>
    <w:p w:rsidR="00372873" w:rsidP="00EA63DD" w:rsidRDefault="009C7B27" w14:paraId="1AB91C3F" w14:textId="77777777">
      <w:pPr>
        <w:numPr>
          <w:ilvl w:val="3"/>
          <w:numId w:val="4"/>
        </w:numPr>
        <w:tabs>
          <w:tab w:val="left" w:pos="1199"/>
          <w:tab w:val="left" w:pos="1200"/>
        </w:tabs>
        <w:spacing w:before="0"/>
        <w:ind w:left="360"/>
      </w:pPr>
      <w:r>
        <w:rPr>
          <w:rFonts w:ascii="Times New Roman" w:hAnsi="Times New Roman" w:eastAsia="Times New Roman" w:cs="Times New Roman"/>
          <w:sz w:val="24"/>
          <w:szCs w:val="24"/>
        </w:rPr>
        <w:t xml:space="preserve">The following must complete and submit the EDR certification pages </w:t>
      </w:r>
      <w:r>
        <w:rPr>
          <w:rFonts w:ascii="Times New Roman" w:hAnsi="Times New Roman" w:eastAsia="Times New Roman" w:cs="Times New Roman"/>
          <w:b/>
          <w:sz w:val="24"/>
          <w:szCs w:val="24"/>
        </w:rPr>
        <w:t>only</w:t>
      </w:r>
      <w:r>
        <w:rPr>
          <w:rFonts w:ascii="Times New Roman" w:hAnsi="Times New Roman" w:eastAsia="Times New Roman" w:cs="Times New Roman"/>
          <w:sz w:val="24"/>
          <w:szCs w:val="24"/>
        </w:rPr>
        <w:t>:</w:t>
      </w:r>
    </w:p>
    <w:p w:rsidR="00372873" w:rsidP="00EA63DD" w:rsidRDefault="00372873" w14:paraId="4A7D517C" w14:textId="77777777">
      <w:pPr>
        <w:tabs>
          <w:tab w:val="left" w:pos="1199"/>
          <w:tab w:val="left" w:pos="1200"/>
        </w:tabs>
        <w:spacing w:before="0"/>
        <w:ind w:left="455"/>
        <w:rPr>
          <w:rFonts w:ascii="Times New Roman" w:hAnsi="Times New Roman" w:eastAsia="Times New Roman" w:cs="Times New Roman"/>
          <w:sz w:val="24"/>
          <w:szCs w:val="24"/>
        </w:rPr>
      </w:pPr>
    </w:p>
    <w:p w:rsidR="00372873" w:rsidP="00EA63DD" w:rsidRDefault="009C7B27" w14:paraId="44ABEF84" w14:textId="77777777">
      <w:pPr>
        <w:numPr>
          <w:ilvl w:val="4"/>
          <w:numId w:val="2"/>
        </w:numPr>
        <w:tabs>
          <w:tab w:val="left" w:pos="1200"/>
          <w:tab w:val="left" w:pos="1200"/>
        </w:tabs>
        <w:spacing w:before="0"/>
        <w:ind w:left="815"/>
      </w:pPr>
      <w:r>
        <w:rPr>
          <w:rFonts w:ascii="Times New Roman" w:hAnsi="Times New Roman" w:eastAsia="Times New Roman" w:cs="Times New Roman"/>
          <w:sz w:val="24"/>
          <w:szCs w:val="24"/>
        </w:rPr>
        <w:t xml:space="preserve">A catcher/processor owner who leased or sold the catcher/processor to another party, and who did not harvest or process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in the GOA in that vessel. </w:t>
      </w:r>
    </w:p>
    <w:p w:rsidR="00372873" w:rsidP="00EA63DD" w:rsidRDefault="00372873" w14:paraId="13108342" w14:textId="77777777">
      <w:pPr>
        <w:tabs>
          <w:tab w:val="left" w:pos="1199"/>
          <w:tab w:val="left" w:pos="1200"/>
        </w:tabs>
        <w:spacing w:before="0"/>
        <w:ind w:left="455"/>
        <w:rPr>
          <w:rFonts w:ascii="Times New Roman" w:hAnsi="Times New Roman" w:eastAsia="Times New Roman" w:cs="Times New Roman"/>
          <w:sz w:val="24"/>
          <w:szCs w:val="24"/>
        </w:rPr>
      </w:pPr>
    </w:p>
    <w:p w:rsidR="00372873" w:rsidP="00EA63DD" w:rsidRDefault="009C7B27" w14:paraId="7B882874" w14:textId="77777777">
      <w:pPr>
        <w:numPr>
          <w:ilvl w:val="4"/>
          <w:numId w:val="2"/>
        </w:numPr>
        <w:tabs>
          <w:tab w:val="left" w:pos="1200"/>
        </w:tabs>
        <w:spacing w:before="0"/>
        <w:ind w:left="815"/>
      </w:pPr>
      <w:r>
        <w:rPr>
          <w:rFonts w:ascii="Times New Roman" w:hAnsi="Times New Roman" w:eastAsia="Times New Roman" w:cs="Times New Roman"/>
          <w:sz w:val="24"/>
          <w:szCs w:val="24"/>
        </w:rPr>
        <w:t xml:space="preserve">An owner of a catcher/processor that was lost or rendered permanently inoperable due to accident, and harvested no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in the GOA in that vessel.</w:t>
      </w:r>
    </w:p>
    <w:p w:rsidR="00372873" w:rsidP="00EA63DD" w:rsidRDefault="00372873" w14:paraId="3184F429" w14:textId="77777777">
      <w:pPr>
        <w:tabs>
          <w:tab w:val="left" w:pos="1199"/>
          <w:tab w:val="left" w:pos="1200"/>
        </w:tabs>
        <w:spacing w:before="0"/>
        <w:ind w:left="455"/>
        <w:rPr>
          <w:rFonts w:ascii="Times New Roman" w:hAnsi="Times New Roman" w:eastAsia="Times New Roman" w:cs="Times New Roman"/>
          <w:sz w:val="24"/>
          <w:szCs w:val="24"/>
        </w:rPr>
      </w:pPr>
    </w:p>
    <w:p w:rsidR="00372873" w:rsidP="00EA63DD" w:rsidRDefault="009C7B27" w14:paraId="549792D9" w14:textId="77777777">
      <w:pPr>
        <w:numPr>
          <w:ilvl w:val="4"/>
          <w:numId w:val="2"/>
        </w:numPr>
        <w:tabs>
          <w:tab w:val="left" w:pos="1200"/>
        </w:tabs>
        <w:spacing w:before="0"/>
        <w:ind w:left="821"/>
      </w:pPr>
      <w:r>
        <w:rPr>
          <w:rFonts w:ascii="Times New Roman" w:hAnsi="Times New Roman" w:eastAsia="Times New Roman" w:cs="Times New Roman"/>
          <w:sz w:val="24"/>
          <w:szCs w:val="24"/>
        </w:rPr>
        <w:t xml:space="preserve">A catcher/processor </w:t>
      </w:r>
      <w:proofErr w:type="gramStart"/>
      <w:r>
        <w:rPr>
          <w:rFonts w:ascii="Times New Roman" w:hAnsi="Times New Roman" w:eastAsia="Times New Roman" w:cs="Times New Roman"/>
          <w:sz w:val="24"/>
          <w:szCs w:val="24"/>
        </w:rPr>
        <w:t>owner,</w:t>
      </w:r>
      <w:proofErr w:type="gramEnd"/>
      <w:r>
        <w:rPr>
          <w:rFonts w:ascii="Times New Roman" w:hAnsi="Times New Roman" w:eastAsia="Times New Roman" w:cs="Times New Roman"/>
          <w:sz w:val="24"/>
          <w:szCs w:val="24"/>
        </w:rPr>
        <w:t xml:space="preserve"> and no one harvested or processed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in the GOA in that vessel.</w:t>
      </w:r>
    </w:p>
    <w:p w:rsidR="00372873" w:rsidP="00EA63DD" w:rsidRDefault="00372873" w14:paraId="55E97363" w14:textId="77777777">
      <w:pPr>
        <w:tabs>
          <w:tab w:val="left" w:pos="1200"/>
        </w:tabs>
        <w:spacing w:before="0"/>
        <w:ind w:left="115"/>
        <w:rPr>
          <w:rFonts w:ascii="Times New Roman" w:hAnsi="Times New Roman" w:eastAsia="Times New Roman" w:cs="Times New Roman"/>
          <w:sz w:val="24"/>
          <w:szCs w:val="24"/>
        </w:rPr>
      </w:pPr>
    </w:p>
    <w:p w:rsidR="00372873" w:rsidP="00EA63DD" w:rsidRDefault="009C7B27" w14:paraId="77FC6DA9" w14:textId="37CFEDC7">
      <w:pPr>
        <w:tabs>
          <w:tab w:val="left" w:pos="1200"/>
        </w:tabs>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ensure that each permit holder is consistently and accurately completing the EDR, </w:t>
      </w:r>
      <w:proofErr w:type="gramStart"/>
      <w:r>
        <w:rPr>
          <w:rFonts w:ascii="Times New Roman" w:hAnsi="Times New Roman" w:eastAsia="Times New Roman" w:cs="Times New Roman"/>
          <w:sz w:val="24"/>
          <w:szCs w:val="24"/>
        </w:rPr>
        <w:t>an audit may be performed by a qualified accountant</w:t>
      </w:r>
      <w:proofErr w:type="gramEnd"/>
      <w:r>
        <w:rPr>
          <w:rFonts w:ascii="Times New Roman" w:hAnsi="Times New Roman" w:eastAsia="Times New Roman" w:cs="Times New Roman"/>
          <w:sz w:val="24"/>
          <w:szCs w:val="24"/>
        </w:rPr>
        <w:t xml:space="preserve"> or the Data Collection Agent for the purpose of validating the data reported in the EDR. This step ensures that the data can be relied on to produce accurate and reliable information for the Alaska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trawl fisheries.</w:t>
      </w:r>
    </w:p>
    <w:p w:rsidR="00372873" w:rsidP="00EA63DD" w:rsidRDefault="00372873" w14:paraId="2A07DE4A" w14:textId="77777777">
      <w:pPr>
        <w:spacing w:before="0"/>
        <w:rPr>
          <w:rFonts w:ascii="Times New Roman" w:hAnsi="Times New Roman" w:eastAsia="Times New Roman" w:cs="Times New Roman"/>
          <w:sz w:val="24"/>
          <w:szCs w:val="24"/>
        </w:rPr>
      </w:pPr>
    </w:p>
    <w:p w:rsidR="00372873" w:rsidP="00EA63DD" w:rsidRDefault="009C7B27" w14:paraId="0AE773F5" w14:textId="7777777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If selected for validation, auditors will verify the data report by comparing specific elements of the report with the permit holder’s records. To make this process as efficient and non-intrusive as possible, NMFS suggests respondents do the following:</w:t>
      </w:r>
    </w:p>
    <w:p w:rsidR="00372873" w:rsidP="00EA63DD" w:rsidRDefault="00372873" w14:paraId="6C5844E2" w14:textId="77777777">
      <w:pPr>
        <w:spacing w:before="0"/>
        <w:ind w:left="115"/>
        <w:rPr>
          <w:rFonts w:ascii="Times New Roman" w:hAnsi="Times New Roman" w:eastAsia="Times New Roman" w:cs="Times New Roman"/>
          <w:sz w:val="24"/>
          <w:szCs w:val="24"/>
        </w:rPr>
      </w:pPr>
    </w:p>
    <w:p w:rsidR="00372873" w:rsidP="00EA63DD" w:rsidRDefault="009C7B27" w14:paraId="11578BDD" w14:textId="77777777">
      <w:pPr>
        <w:numPr>
          <w:ilvl w:val="3"/>
          <w:numId w:val="2"/>
        </w:numPr>
        <w:tabs>
          <w:tab w:val="left" w:pos="820"/>
        </w:tabs>
        <w:spacing w:before="0"/>
        <w:ind w:left="455" w:hanging="340"/>
      </w:pPr>
      <w:r>
        <w:rPr>
          <w:rFonts w:ascii="Times New Roman" w:hAnsi="Times New Roman" w:eastAsia="Times New Roman" w:cs="Times New Roman"/>
          <w:sz w:val="24"/>
          <w:szCs w:val="24"/>
        </w:rPr>
        <w:t>Keep a copy of the completed EDR or certification pages submitted. Copy and attach extra sheets as needed.</w:t>
      </w:r>
    </w:p>
    <w:p w:rsidR="00372873" w:rsidP="00EA63DD" w:rsidRDefault="00372873" w14:paraId="669D5734" w14:textId="77777777">
      <w:pPr>
        <w:tabs>
          <w:tab w:val="left" w:pos="840"/>
        </w:tabs>
        <w:spacing w:before="0"/>
        <w:ind w:left="115"/>
        <w:rPr>
          <w:rFonts w:ascii="Times New Roman" w:hAnsi="Times New Roman" w:eastAsia="Times New Roman" w:cs="Times New Roman"/>
          <w:sz w:val="24"/>
          <w:szCs w:val="24"/>
        </w:rPr>
      </w:pPr>
    </w:p>
    <w:p w:rsidR="00372873" w:rsidP="00EA63DD" w:rsidRDefault="009C7B27" w14:paraId="3D274F64" w14:textId="77777777">
      <w:pPr>
        <w:numPr>
          <w:ilvl w:val="3"/>
          <w:numId w:val="2"/>
        </w:numPr>
        <w:tabs>
          <w:tab w:val="left" w:pos="820"/>
        </w:tabs>
        <w:spacing w:before="0"/>
        <w:ind w:left="455" w:hanging="340"/>
      </w:pPr>
      <w:r>
        <w:rPr>
          <w:rFonts w:ascii="Times New Roman" w:hAnsi="Times New Roman" w:eastAsia="Times New Roman" w:cs="Times New Roman"/>
          <w:sz w:val="24"/>
          <w:szCs w:val="24"/>
        </w:rPr>
        <w:t>Keep a file that has all of the supporting information used in the preparation of the EDR.</w:t>
      </w:r>
    </w:p>
    <w:p w:rsidR="00372873" w:rsidP="00EA63DD" w:rsidRDefault="00372873" w14:paraId="281D7F94" w14:textId="77777777">
      <w:pPr>
        <w:tabs>
          <w:tab w:val="left" w:pos="840"/>
        </w:tabs>
        <w:spacing w:before="0"/>
        <w:ind w:left="115"/>
        <w:rPr>
          <w:rFonts w:ascii="Times New Roman" w:hAnsi="Times New Roman" w:eastAsia="Times New Roman" w:cs="Times New Roman"/>
          <w:sz w:val="24"/>
          <w:szCs w:val="24"/>
        </w:rPr>
      </w:pPr>
    </w:p>
    <w:p w:rsidR="00372873" w:rsidP="00EA63DD" w:rsidRDefault="009C7B27" w14:paraId="0EB418DA" w14:textId="77777777">
      <w:pPr>
        <w:numPr>
          <w:ilvl w:val="3"/>
          <w:numId w:val="2"/>
        </w:numPr>
        <w:tabs>
          <w:tab w:val="left" w:pos="820"/>
        </w:tabs>
        <w:spacing w:before="0"/>
        <w:ind w:left="461" w:hanging="346"/>
      </w:pPr>
      <w:r>
        <w:rPr>
          <w:rFonts w:ascii="Times New Roman" w:hAnsi="Times New Roman" w:eastAsia="Times New Roman" w:cs="Times New Roman"/>
          <w:sz w:val="24"/>
          <w:szCs w:val="24"/>
        </w:rPr>
        <w:t>Make sure that the EDR aligns with the company’s highest level of financial information.</w:t>
      </w:r>
      <w:r>
        <w:rPr>
          <w:rFonts w:ascii="MS Gothic" w:hAnsi="MS Gothic" w:eastAsia="MS Gothic" w:cs="MS Gothic"/>
          <w:sz w:val="24"/>
          <w:szCs w:val="24"/>
        </w:rPr>
        <w:t xml:space="preserve"> </w:t>
      </w:r>
      <w:r>
        <w:rPr>
          <w:rFonts w:ascii="Times New Roman" w:hAnsi="Times New Roman" w:eastAsia="Times New Roman" w:cs="Times New Roman"/>
          <w:sz w:val="24"/>
          <w:szCs w:val="24"/>
        </w:rPr>
        <w:t>For this purpose, the highest level of financial information is defined in order as follows:</w:t>
      </w:r>
    </w:p>
    <w:p w:rsidR="00372873" w:rsidP="00EA63DD" w:rsidRDefault="00372873" w14:paraId="2E2A0CA2" w14:textId="77777777">
      <w:pPr>
        <w:tabs>
          <w:tab w:val="left" w:pos="840"/>
        </w:tabs>
        <w:spacing w:before="0"/>
        <w:ind w:left="115"/>
        <w:rPr>
          <w:rFonts w:ascii="Times New Roman" w:hAnsi="Times New Roman" w:eastAsia="Times New Roman" w:cs="Times New Roman"/>
          <w:sz w:val="24"/>
          <w:szCs w:val="24"/>
        </w:rPr>
      </w:pPr>
    </w:p>
    <w:p w:rsidR="00372873" w:rsidP="00EA63DD" w:rsidRDefault="009C7B27" w14:paraId="1E33677D" w14:textId="77777777">
      <w:pPr>
        <w:numPr>
          <w:ilvl w:val="0"/>
          <w:numId w:val="3"/>
        </w:numPr>
        <w:tabs>
          <w:tab w:val="left" w:pos="840"/>
        </w:tabs>
        <w:spacing w:before="0"/>
      </w:pPr>
      <w:r>
        <w:rPr>
          <w:rFonts w:ascii="Times New Roman" w:hAnsi="Times New Roman" w:eastAsia="Times New Roman" w:cs="Times New Roman"/>
          <w:sz w:val="24"/>
          <w:szCs w:val="24"/>
        </w:rPr>
        <w:t>Audited financial statements</w:t>
      </w:r>
    </w:p>
    <w:p w:rsidR="00372873" w:rsidP="00EA63DD" w:rsidRDefault="009C7B27" w14:paraId="3515E893" w14:textId="77777777">
      <w:pPr>
        <w:numPr>
          <w:ilvl w:val="0"/>
          <w:numId w:val="3"/>
        </w:numPr>
        <w:tabs>
          <w:tab w:val="left" w:pos="840"/>
        </w:tabs>
        <w:spacing w:before="0"/>
      </w:pPr>
      <w:r>
        <w:rPr>
          <w:rFonts w:ascii="Times New Roman" w:hAnsi="Times New Roman" w:eastAsia="Times New Roman" w:cs="Times New Roman"/>
          <w:sz w:val="24"/>
          <w:szCs w:val="24"/>
        </w:rPr>
        <w:t>Reviewed financial statements</w:t>
      </w:r>
    </w:p>
    <w:p w:rsidR="00372873" w:rsidP="00EA63DD" w:rsidRDefault="009C7B27" w14:paraId="248811CA" w14:textId="77777777">
      <w:pPr>
        <w:numPr>
          <w:ilvl w:val="0"/>
          <w:numId w:val="3"/>
        </w:numPr>
        <w:tabs>
          <w:tab w:val="left" w:pos="840"/>
        </w:tabs>
        <w:spacing w:before="0"/>
      </w:pPr>
      <w:r>
        <w:rPr>
          <w:rFonts w:ascii="Times New Roman" w:hAnsi="Times New Roman" w:eastAsia="Times New Roman" w:cs="Times New Roman"/>
          <w:sz w:val="24"/>
          <w:szCs w:val="24"/>
        </w:rPr>
        <w:t>Compiled financial statements</w:t>
      </w:r>
    </w:p>
    <w:p w:rsidR="00372873" w:rsidP="00EA63DD" w:rsidRDefault="009C7B27" w14:paraId="131F49AD" w14:textId="77777777">
      <w:pPr>
        <w:numPr>
          <w:ilvl w:val="0"/>
          <w:numId w:val="3"/>
        </w:numPr>
        <w:tabs>
          <w:tab w:val="left" w:pos="840"/>
        </w:tabs>
        <w:spacing w:before="0"/>
      </w:pPr>
      <w:r>
        <w:rPr>
          <w:rFonts w:ascii="Times New Roman" w:hAnsi="Times New Roman" w:eastAsia="Times New Roman" w:cs="Times New Roman"/>
          <w:sz w:val="24"/>
          <w:szCs w:val="24"/>
        </w:rPr>
        <w:lastRenderedPageBreak/>
        <w:t>Tax returns</w:t>
      </w:r>
    </w:p>
    <w:p w:rsidR="00372873" w:rsidP="00EA63DD" w:rsidRDefault="00372873" w14:paraId="4ADA6A58" w14:textId="77777777">
      <w:pPr>
        <w:spacing w:before="0"/>
        <w:rPr>
          <w:rFonts w:ascii="Times New Roman" w:hAnsi="Times New Roman" w:eastAsia="Times New Roman" w:cs="Times New Roman"/>
          <w:b/>
          <w:sz w:val="20"/>
          <w:szCs w:val="20"/>
        </w:rPr>
      </w:pPr>
    </w:p>
    <w:p w:rsidR="00372873" w:rsidP="00EA63DD" w:rsidRDefault="009C7B27" w14:paraId="382E99D2" w14:textId="57695FCB">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anticipates that the information collected </w:t>
      </w:r>
      <w:proofErr w:type="gramStart"/>
      <w:r>
        <w:rPr>
          <w:rFonts w:ascii="Times New Roman" w:hAnsi="Times New Roman" w:eastAsia="Times New Roman" w:cs="Times New Roman"/>
          <w:sz w:val="24"/>
          <w:szCs w:val="24"/>
        </w:rPr>
        <w:t xml:space="preserve">will be disseminated in aggregated and non- confidential form to the public or used to support publicly disseminated information </w:t>
      </w:r>
      <w:r w:rsidR="005230F4">
        <w:rPr>
          <w:rFonts w:ascii="Times New Roman" w:hAnsi="Times New Roman" w:eastAsia="Times New Roman" w:cs="Times New Roman"/>
          <w:sz w:val="24"/>
          <w:szCs w:val="24"/>
        </w:rPr>
        <w:t xml:space="preserve">on </w:t>
      </w:r>
      <w:r>
        <w:rPr>
          <w:rFonts w:ascii="Times New Roman" w:hAnsi="Times New Roman" w:eastAsia="Times New Roman" w:cs="Times New Roman"/>
          <w:sz w:val="24"/>
          <w:szCs w:val="24"/>
        </w:rPr>
        <w:t>the GOA trawl fisheries</w:t>
      </w:r>
      <w:proofErr w:type="gramEnd"/>
      <w:r>
        <w:rPr>
          <w:rFonts w:ascii="Times New Roman" w:hAnsi="Times New Roman" w:eastAsia="Times New Roman" w:cs="Times New Roman"/>
          <w:sz w:val="24"/>
          <w:szCs w:val="24"/>
        </w:rPr>
        <w:t xml:space="preserve">.  NMFS 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 collection </w:t>
      </w:r>
      <w:proofErr w:type="gramStart"/>
      <w:r>
        <w:rPr>
          <w:rFonts w:ascii="Times New Roman" w:hAnsi="Times New Roman" w:eastAsia="Times New Roman" w:cs="Times New Roman"/>
          <w:sz w:val="24"/>
          <w:szCs w:val="24"/>
        </w:rPr>
        <w:t>is designed</w:t>
      </w:r>
      <w:proofErr w:type="gramEnd"/>
      <w:r>
        <w:rPr>
          <w:rFonts w:ascii="Times New Roman" w:hAnsi="Times New Roman" w:eastAsia="Times New Roman" w:cs="Times New Roman"/>
          <w:sz w:val="24"/>
          <w:szCs w:val="24"/>
        </w:rPr>
        <w:t xml:space="preserve"> to yield data that meet all applicable information quality guidelines. Prior to dissemination, the information </w:t>
      </w:r>
      <w:proofErr w:type="gramStart"/>
      <w:r>
        <w:rPr>
          <w:rFonts w:ascii="Times New Roman" w:hAnsi="Times New Roman" w:eastAsia="Times New Roman" w:cs="Times New Roman"/>
          <w:sz w:val="24"/>
          <w:szCs w:val="24"/>
        </w:rPr>
        <w:t>will be subjected</w:t>
      </w:r>
      <w:proofErr w:type="gramEnd"/>
      <w:r>
        <w:rPr>
          <w:rFonts w:ascii="Times New Roman" w:hAnsi="Times New Roman" w:eastAsia="Times New Roman" w:cs="Times New Roman"/>
          <w:sz w:val="24"/>
          <w:szCs w:val="24"/>
        </w:rPr>
        <w:t xml:space="preserve"> to quality control measures and a pre-dissemination review pursuant to </w:t>
      </w:r>
      <w:hyperlink r:id="rId17">
        <w:r>
          <w:rPr>
            <w:rFonts w:ascii="Times New Roman" w:hAnsi="Times New Roman" w:eastAsia="Times New Roman" w:cs="Times New Roman"/>
            <w:color w:val="0000FF"/>
            <w:sz w:val="24"/>
            <w:szCs w:val="24"/>
            <w:u w:val="single"/>
          </w:rPr>
          <w:t>Section 515 of Public Law 106-554</w:t>
        </w:r>
      </w:hyperlink>
      <w:r>
        <w:rPr>
          <w:rFonts w:ascii="Times New Roman" w:hAnsi="Times New Roman" w:eastAsia="Times New Roman" w:cs="Times New Roman"/>
          <w:sz w:val="24"/>
          <w:szCs w:val="24"/>
        </w:rPr>
        <w:t>.</w:t>
      </w:r>
    </w:p>
    <w:p w:rsidR="00372873" w:rsidP="00EA63DD" w:rsidRDefault="00372873" w14:paraId="6ECFDDAF" w14:textId="77777777">
      <w:pPr>
        <w:spacing w:before="0"/>
        <w:rPr>
          <w:rFonts w:ascii="Times New Roman" w:hAnsi="Times New Roman" w:eastAsia="Times New Roman" w:cs="Times New Roman"/>
          <w:sz w:val="24"/>
          <w:szCs w:val="24"/>
        </w:rPr>
      </w:pPr>
    </w:p>
    <w:p w:rsidR="00372873" w:rsidP="00EA63DD" w:rsidRDefault="009C7B27" w14:paraId="37787EF5" w14:textId="57E8CF76">
      <w:pPr>
        <w:spacing w:before="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Uses of GOA Trawl </w:t>
      </w:r>
      <w:r w:rsidR="00A8648A">
        <w:rPr>
          <w:rFonts w:ascii="Times New Roman" w:hAnsi="Times New Roman" w:eastAsia="Times New Roman" w:cs="Times New Roman"/>
          <w:b/>
          <w:sz w:val="24"/>
          <w:szCs w:val="24"/>
        </w:rPr>
        <w:t>Catcher/</w:t>
      </w:r>
      <w:r>
        <w:rPr>
          <w:rFonts w:ascii="Times New Roman" w:hAnsi="Times New Roman" w:eastAsia="Times New Roman" w:cs="Times New Roman"/>
          <w:b/>
          <w:sz w:val="24"/>
          <w:szCs w:val="24"/>
        </w:rPr>
        <w:t xml:space="preserve">Processor EDR Program Data </w:t>
      </w:r>
    </w:p>
    <w:p w:rsidR="00372873" w:rsidP="00EA63DD" w:rsidRDefault="00372873" w14:paraId="24AB4490" w14:textId="77777777">
      <w:pPr>
        <w:spacing w:before="0"/>
        <w:rPr>
          <w:rFonts w:ascii="Times New Roman" w:hAnsi="Times New Roman" w:eastAsia="Times New Roman" w:cs="Times New Roman"/>
          <w:sz w:val="24"/>
          <w:szCs w:val="24"/>
        </w:rPr>
      </w:pPr>
    </w:p>
    <w:p w:rsidR="00372873" w:rsidP="00EA63DD" w:rsidRDefault="009C7B27" w14:paraId="59720DB2" w14:textId="31DDCA98">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Annual Trawl Catcher/Processor EDR </w:t>
      </w:r>
      <w:proofErr w:type="gramStart"/>
      <w:r>
        <w:rPr>
          <w:rFonts w:ascii="Times New Roman" w:hAnsi="Times New Roman" w:eastAsia="Times New Roman" w:cs="Times New Roman"/>
          <w:sz w:val="24"/>
          <w:szCs w:val="24"/>
        </w:rPr>
        <w:t>was originally implemented</w:t>
      </w:r>
      <w:proofErr w:type="gramEnd"/>
      <w:r>
        <w:rPr>
          <w:rFonts w:ascii="Times New Roman" w:hAnsi="Times New Roman" w:eastAsia="Times New Roman" w:cs="Times New Roman"/>
          <w:sz w:val="24"/>
          <w:szCs w:val="24"/>
        </w:rPr>
        <w:t xml:space="preserve"> to help evaluate the Amendment 80 Program, and has since been revised to include GOA trawl </w:t>
      </w:r>
      <w:r w:rsidR="000C5599">
        <w:rPr>
          <w:rFonts w:ascii="Times New Roman" w:hAnsi="Times New Roman" w:eastAsia="Times New Roman" w:cs="Times New Roman"/>
          <w:sz w:val="24"/>
          <w:szCs w:val="24"/>
        </w:rPr>
        <w:t>c</w:t>
      </w:r>
      <w:r w:rsidR="00A8648A">
        <w:rPr>
          <w:rFonts w:ascii="Times New Roman" w:hAnsi="Times New Roman" w:eastAsia="Times New Roman" w:cs="Times New Roman"/>
          <w:sz w:val="24"/>
          <w:szCs w:val="24"/>
        </w:rPr>
        <w:t>atcher/</w:t>
      </w:r>
      <w:r w:rsidR="000C5599">
        <w:rPr>
          <w:rFonts w:ascii="Times New Roman" w:hAnsi="Times New Roman" w:eastAsia="Times New Roman" w:cs="Times New Roman"/>
          <w:sz w:val="24"/>
          <w:szCs w:val="24"/>
        </w:rPr>
        <w:t xml:space="preserve">processors </w:t>
      </w:r>
      <w:r>
        <w:rPr>
          <w:rFonts w:ascii="Times New Roman" w:hAnsi="Times New Roman" w:eastAsia="Times New Roman" w:cs="Times New Roman"/>
          <w:sz w:val="24"/>
          <w:szCs w:val="24"/>
        </w:rPr>
        <w:t xml:space="preserve">formerly included in the 0648-0700 collection.  </w:t>
      </w:r>
      <w:proofErr w:type="gramStart"/>
      <w:r>
        <w:rPr>
          <w:rFonts w:ascii="Times New Roman" w:hAnsi="Times New Roman" w:eastAsia="Times New Roman" w:cs="Times New Roman"/>
          <w:sz w:val="24"/>
          <w:szCs w:val="24"/>
        </w:rPr>
        <w:t xml:space="preserve">Thus this collection is specific to GOA </w:t>
      </w:r>
      <w:r w:rsidR="000C5599">
        <w:rPr>
          <w:rFonts w:ascii="Times New Roman" w:hAnsi="Times New Roman" w:eastAsia="Times New Roman" w:cs="Times New Roman"/>
          <w:sz w:val="24"/>
          <w:szCs w:val="24"/>
        </w:rPr>
        <w:t>trawl c</w:t>
      </w:r>
      <w:r w:rsidR="00A8648A">
        <w:rPr>
          <w:rFonts w:ascii="Times New Roman" w:hAnsi="Times New Roman" w:eastAsia="Times New Roman" w:cs="Times New Roman"/>
          <w:sz w:val="24"/>
          <w:szCs w:val="24"/>
        </w:rPr>
        <w:t>atcher/</w:t>
      </w:r>
      <w:r w:rsidR="000C5599">
        <w:rPr>
          <w:rFonts w:ascii="Times New Roman" w:hAnsi="Times New Roman" w:eastAsia="Times New Roman" w:cs="Times New Roman"/>
          <w:sz w:val="24"/>
          <w:szCs w:val="24"/>
        </w:rPr>
        <w:t xml:space="preserve">processors, </w:t>
      </w:r>
      <w:r>
        <w:rPr>
          <w:rFonts w:ascii="Times New Roman" w:hAnsi="Times New Roman" w:eastAsia="Times New Roman" w:cs="Times New Roman"/>
          <w:sz w:val="24"/>
          <w:szCs w:val="24"/>
        </w:rPr>
        <w:t xml:space="preserve">and the collection under 0648-0700 is limited to include GOA </w:t>
      </w:r>
      <w:r w:rsidR="000C5599">
        <w:rPr>
          <w:rFonts w:ascii="Times New Roman" w:hAnsi="Times New Roman" w:eastAsia="Times New Roman" w:cs="Times New Roman"/>
          <w:sz w:val="24"/>
          <w:szCs w:val="24"/>
        </w:rPr>
        <w:t xml:space="preserve">trawl catcher vessels </w:t>
      </w:r>
      <w:r>
        <w:rPr>
          <w:rFonts w:ascii="Times New Roman" w:hAnsi="Times New Roman" w:eastAsia="Times New Roman" w:cs="Times New Roman"/>
          <w:sz w:val="24"/>
          <w:szCs w:val="24"/>
        </w:rPr>
        <w:t xml:space="preserve">and </w:t>
      </w:r>
      <w:proofErr w:type="spellStart"/>
      <w:r w:rsidR="000C5599">
        <w:rPr>
          <w:rFonts w:ascii="Times New Roman" w:hAnsi="Times New Roman" w:eastAsia="Times New Roman" w:cs="Times New Roman"/>
          <w:sz w:val="24"/>
          <w:szCs w:val="24"/>
        </w:rPr>
        <w:t>s</w:t>
      </w:r>
      <w:r w:rsidRPr="000C5599">
        <w:rPr>
          <w:rFonts w:ascii="Times New Roman" w:hAnsi="Times New Roman" w:eastAsia="Times New Roman" w:cs="Times New Roman"/>
          <w:sz w:val="24"/>
          <w:szCs w:val="24"/>
        </w:rPr>
        <w:t>horebased</w:t>
      </w:r>
      <w:proofErr w:type="spellEnd"/>
      <w:r>
        <w:rPr>
          <w:rFonts w:ascii="Times New Roman" w:hAnsi="Times New Roman" w:eastAsia="Times New Roman" w:cs="Times New Roman"/>
          <w:sz w:val="24"/>
          <w:szCs w:val="24"/>
        </w:rPr>
        <w:t xml:space="preserve"> </w:t>
      </w:r>
      <w:r w:rsidR="000C5599">
        <w:rPr>
          <w:rFonts w:ascii="Times New Roman" w:hAnsi="Times New Roman" w:eastAsia="Times New Roman" w:cs="Times New Roman"/>
          <w:sz w:val="24"/>
          <w:szCs w:val="24"/>
        </w:rPr>
        <w:t>processors</w:t>
      </w:r>
      <w:r>
        <w:rPr>
          <w:rFonts w:ascii="Times New Roman" w:hAnsi="Times New Roman" w:eastAsia="Times New Roman" w:cs="Times New Roman"/>
          <w:sz w:val="24"/>
          <w:szCs w:val="24"/>
        </w:rPr>
        <w:t xml:space="preserve">, with participation in those sectors varying from year to year   This information collection is used to assess the impacts of major changes in the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management regime, including programs for </w:t>
      </w:r>
      <w:r w:rsidR="005230F4">
        <w:rPr>
          <w:rFonts w:ascii="Times New Roman" w:hAnsi="Times New Roman" w:eastAsia="Times New Roman" w:cs="Times New Roman"/>
          <w:sz w:val="24"/>
          <w:szCs w:val="24"/>
        </w:rPr>
        <w:t>prohibited species catch</w:t>
      </w:r>
      <w:r>
        <w:rPr>
          <w:rFonts w:ascii="Times New Roman" w:hAnsi="Times New Roman" w:eastAsia="Times New Roman" w:cs="Times New Roman"/>
          <w:sz w:val="24"/>
          <w:szCs w:val="24"/>
        </w:rPr>
        <w:t xml:space="preserve"> species and target species.</w:t>
      </w:r>
      <w:proofErr w:type="gramEnd"/>
    </w:p>
    <w:p w:rsidR="00364F99" w:rsidP="00EA63DD" w:rsidRDefault="00364F99" w14:paraId="2D006E4A" w14:textId="77777777">
      <w:pPr>
        <w:spacing w:before="0"/>
        <w:rPr>
          <w:rFonts w:ascii="Times New Roman" w:hAnsi="Times New Roman" w:eastAsia="Times New Roman" w:cs="Times New Roman"/>
          <w:sz w:val="24"/>
          <w:szCs w:val="24"/>
        </w:rPr>
      </w:pPr>
    </w:p>
    <w:p w:rsidR="00372873" w:rsidP="00EA63DD" w:rsidRDefault="009C7B27" w14:paraId="07844726" w14:textId="5D4DF4D5">
      <w:pPr>
        <w:spacing w:before="0"/>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 xml:space="preserve">To assess the performance of the Amendment 80 and GOA </w:t>
      </w:r>
      <w:r w:rsidR="000C5599">
        <w:rPr>
          <w:rFonts w:ascii="Times New Roman" w:hAnsi="Times New Roman" w:eastAsia="Times New Roman" w:cs="Times New Roman"/>
          <w:sz w:val="24"/>
          <w:szCs w:val="24"/>
        </w:rPr>
        <w:t>trawl c</w:t>
      </w:r>
      <w:r w:rsidR="00A8648A">
        <w:rPr>
          <w:rFonts w:ascii="Times New Roman" w:hAnsi="Times New Roman" w:eastAsia="Times New Roman" w:cs="Times New Roman"/>
          <w:sz w:val="24"/>
          <w:szCs w:val="24"/>
        </w:rPr>
        <w:t>atcher/</w:t>
      </w:r>
      <w:r w:rsidR="000C5599">
        <w:rPr>
          <w:rFonts w:ascii="Times New Roman" w:hAnsi="Times New Roman" w:eastAsia="Times New Roman" w:cs="Times New Roman"/>
          <w:sz w:val="24"/>
          <w:szCs w:val="24"/>
        </w:rPr>
        <w:t xml:space="preserve">processor </w:t>
      </w:r>
      <w:r>
        <w:rPr>
          <w:rFonts w:ascii="Times New Roman" w:hAnsi="Times New Roman" w:eastAsia="Times New Roman" w:cs="Times New Roman"/>
          <w:sz w:val="24"/>
          <w:szCs w:val="24"/>
        </w:rPr>
        <w:t xml:space="preserve">fleet under the rationalization program and subsequent changes in fishery management, economists and analysts at the Alaska Fisheries Science Center use the GOA Trawl EDR data collection to prepare an annual summary report that is included as a chapter to the annual publication </w:t>
      </w:r>
      <w:r>
        <w:rPr>
          <w:rFonts w:ascii="Times New Roman" w:hAnsi="Times New Roman" w:eastAsia="Times New Roman" w:cs="Times New Roman"/>
          <w:i/>
          <w:sz w:val="24"/>
          <w:szCs w:val="24"/>
        </w:rPr>
        <w:t xml:space="preserve">Economic Status of the </w:t>
      </w:r>
      <w:proofErr w:type="spellStart"/>
      <w:r>
        <w:rPr>
          <w:rFonts w:ascii="Times New Roman" w:hAnsi="Times New Roman" w:eastAsia="Times New Roman" w:cs="Times New Roman"/>
          <w:i/>
          <w:sz w:val="24"/>
          <w:szCs w:val="24"/>
        </w:rPr>
        <w:t>Groundfish</w:t>
      </w:r>
      <w:proofErr w:type="spellEnd"/>
      <w:r>
        <w:rPr>
          <w:rFonts w:ascii="Times New Roman" w:hAnsi="Times New Roman" w:eastAsia="Times New Roman" w:cs="Times New Roman"/>
          <w:i/>
          <w:sz w:val="24"/>
          <w:szCs w:val="24"/>
        </w:rPr>
        <w:t xml:space="preserve"> Fisheries off Alaska</w:t>
      </w:r>
      <w:r>
        <w:rPr>
          <w:rFonts w:ascii="Times New Roman" w:hAnsi="Times New Roman" w:eastAsia="Times New Roman" w:cs="Times New Roman"/>
          <w:i/>
          <w:sz w:val="24"/>
          <w:szCs w:val="24"/>
          <w:vertAlign w:val="superscript"/>
        </w:rPr>
        <w:footnoteReference w:id="2"/>
      </w:r>
      <w:r>
        <w:rPr>
          <w:rFonts w:ascii="Times New Roman" w:hAnsi="Times New Roman" w:eastAsia="Times New Roman" w:cs="Times New Roman"/>
          <w:sz w:val="24"/>
          <w:szCs w:val="24"/>
        </w:rPr>
        <w:t>.</w:t>
      </w:r>
      <w:proofErr w:type="gramEnd"/>
      <w:r>
        <w:rPr>
          <w:rFonts w:ascii="Times New Roman" w:hAnsi="Times New Roman" w:eastAsia="Times New Roman" w:cs="Times New Roman"/>
          <w:sz w:val="24"/>
          <w:szCs w:val="24"/>
        </w:rPr>
        <w:t xml:space="preserve"> The summary reports statistics that </w:t>
      </w:r>
      <w:proofErr w:type="gramStart"/>
      <w:r>
        <w:rPr>
          <w:rFonts w:ascii="Times New Roman" w:hAnsi="Times New Roman" w:eastAsia="Times New Roman" w:cs="Times New Roman"/>
          <w:sz w:val="24"/>
          <w:szCs w:val="24"/>
        </w:rPr>
        <w:t>are intended</w:t>
      </w:r>
      <w:proofErr w:type="gramEnd"/>
      <w:r>
        <w:rPr>
          <w:rFonts w:ascii="Times New Roman" w:hAnsi="Times New Roman" w:eastAsia="Times New Roman" w:cs="Times New Roman"/>
          <w:sz w:val="24"/>
          <w:szCs w:val="24"/>
        </w:rPr>
        <w:t xml:space="preserve"> to indicate trends in a variety of economic indicators and metrics. The reported statistics provide a general overview of fishery performance over time, and </w:t>
      </w:r>
      <w:proofErr w:type="gramStart"/>
      <w:r>
        <w:rPr>
          <w:rFonts w:ascii="Times New Roman" w:hAnsi="Times New Roman" w:eastAsia="Times New Roman" w:cs="Times New Roman"/>
          <w:sz w:val="24"/>
          <w:szCs w:val="24"/>
        </w:rPr>
        <w:t>are not intended</w:t>
      </w:r>
      <w:proofErr w:type="gramEnd"/>
      <w:r>
        <w:rPr>
          <w:rFonts w:ascii="Times New Roman" w:hAnsi="Times New Roman" w:eastAsia="Times New Roman" w:cs="Times New Roman"/>
          <w:sz w:val="24"/>
          <w:szCs w:val="24"/>
        </w:rPr>
        <w:t xml:space="preserve"> as a rigorous statistical analysis of specific hypotheses regarding economic efficiency or other performance metrics. </w:t>
      </w:r>
    </w:p>
    <w:p w:rsidR="00364F99" w:rsidP="00EA63DD" w:rsidRDefault="00364F99" w14:paraId="7CCFD0E8" w14:textId="77777777">
      <w:pPr>
        <w:spacing w:before="0"/>
        <w:rPr>
          <w:rFonts w:ascii="Times New Roman" w:hAnsi="Times New Roman" w:eastAsia="Times New Roman" w:cs="Times New Roman"/>
          <w:sz w:val="24"/>
          <w:szCs w:val="24"/>
        </w:rPr>
      </w:pPr>
    </w:p>
    <w:p w:rsidR="00372873" w:rsidP="00EA63DD" w:rsidRDefault="009C7B27" w14:paraId="78AA3C57" w14:textId="48A78F20">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Magnuson-Stevens Act requires a formal and detailed review of Limited Access Privilege Programs (LAPPs) 5 years after the implementation of the program, and thereafter to coincide with scheduled Council review of the relevant fishery management plan (but no less frequently than once every 7 years).  The Amendment 80 </w:t>
      </w:r>
      <w:r w:rsidR="005230F4">
        <w:rPr>
          <w:rFonts w:ascii="Times New Roman" w:hAnsi="Times New Roman" w:eastAsia="Times New Roman" w:cs="Times New Roman"/>
          <w:color w:val="000000"/>
          <w:sz w:val="24"/>
          <w:szCs w:val="24"/>
        </w:rPr>
        <w:t xml:space="preserve">Program </w:t>
      </w:r>
      <w:r>
        <w:rPr>
          <w:rFonts w:ascii="Times New Roman" w:hAnsi="Times New Roman" w:eastAsia="Times New Roman" w:cs="Times New Roman"/>
          <w:color w:val="000000"/>
          <w:sz w:val="24"/>
          <w:szCs w:val="24"/>
        </w:rPr>
        <w:t xml:space="preserve">5-year review </w:t>
      </w:r>
      <w:proofErr w:type="gramStart"/>
      <w:r>
        <w:rPr>
          <w:rFonts w:ascii="Times New Roman" w:hAnsi="Times New Roman" w:eastAsia="Times New Roman" w:cs="Times New Roman"/>
          <w:color w:val="000000"/>
          <w:sz w:val="24"/>
          <w:szCs w:val="24"/>
        </w:rPr>
        <w:t>was completed</w:t>
      </w:r>
      <w:proofErr w:type="gramEnd"/>
      <w:r>
        <w:rPr>
          <w:rFonts w:ascii="Times New Roman" w:hAnsi="Times New Roman" w:eastAsia="Times New Roman" w:cs="Times New Roman"/>
          <w:color w:val="000000"/>
          <w:sz w:val="24"/>
          <w:szCs w:val="24"/>
        </w:rPr>
        <w:t xml:space="preserve"> in 2014 (Northern Economics, 2014</w:t>
      </w:r>
      <w:r>
        <w:rPr>
          <w:rFonts w:ascii="Times New Roman" w:hAnsi="Times New Roman" w:eastAsia="Times New Roman" w:cs="Times New Roman"/>
          <w:color w:val="000000"/>
          <w:sz w:val="24"/>
          <w:szCs w:val="24"/>
          <w:vertAlign w:val="superscript"/>
        </w:rPr>
        <w:footnoteReference w:id="3"/>
      </w:r>
      <w:r>
        <w:rPr>
          <w:rFonts w:ascii="Times New Roman" w:hAnsi="Times New Roman" w:eastAsia="Times New Roman" w:cs="Times New Roman"/>
          <w:color w:val="000000"/>
          <w:sz w:val="24"/>
          <w:szCs w:val="24"/>
        </w:rPr>
        <w:t xml:space="preserve">). The review provides an overview of the EDR data collected and uses the data to summarize expenses and revenues fleet wide. Operating expenses, including payments to labor, </w:t>
      </w:r>
      <w:proofErr w:type="gramStart"/>
      <w:r>
        <w:rPr>
          <w:rFonts w:ascii="Times New Roman" w:hAnsi="Times New Roman" w:eastAsia="Times New Roman" w:cs="Times New Roman"/>
          <w:color w:val="000000"/>
          <w:sz w:val="24"/>
          <w:szCs w:val="24"/>
        </w:rPr>
        <w:t>are documented</w:t>
      </w:r>
      <w:proofErr w:type="gramEnd"/>
      <w:r>
        <w:rPr>
          <w:rFonts w:ascii="Times New Roman" w:hAnsi="Times New Roman" w:eastAsia="Times New Roman" w:cs="Times New Roman"/>
          <w:color w:val="000000"/>
          <w:sz w:val="24"/>
          <w:szCs w:val="24"/>
        </w:rPr>
        <w:t xml:space="preserve"> and the EDR data is used to develop a cash flow model. </w:t>
      </w:r>
    </w:p>
    <w:p w:rsidR="00364F99" w:rsidP="00EA63DD" w:rsidRDefault="00364F99" w14:paraId="4C4E3A78"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00372873" w:rsidP="00EA63DD" w:rsidRDefault="009C7B27" w14:paraId="35D9D702" w14:textId="55C0ACFB">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Council staff, NMFS staff, contractors, and academic partners have used EDR data, both from published reports and custom queries, in several important ways. EDR data </w:t>
      </w:r>
      <w:proofErr w:type="gramStart"/>
      <w:r>
        <w:rPr>
          <w:rFonts w:ascii="Times New Roman" w:hAnsi="Times New Roman" w:eastAsia="Times New Roman" w:cs="Times New Roman"/>
          <w:color w:val="000000"/>
          <w:sz w:val="24"/>
          <w:szCs w:val="24"/>
        </w:rPr>
        <w:t>have been used</w:t>
      </w:r>
      <w:proofErr w:type="gramEnd"/>
      <w:r>
        <w:rPr>
          <w:rFonts w:ascii="Times New Roman" w:hAnsi="Times New Roman" w:eastAsia="Times New Roman" w:cs="Times New Roman"/>
          <w:color w:val="000000"/>
          <w:sz w:val="24"/>
          <w:szCs w:val="24"/>
        </w:rPr>
        <w:t xml:space="preserve"> in catch share program reviews. In addition, it </w:t>
      </w:r>
      <w:proofErr w:type="gramStart"/>
      <w:r>
        <w:rPr>
          <w:rFonts w:ascii="Times New Roman" w:hAnsi="Times New Roman" w:eastAsia="Times New Roman" w:cs="Times New Roman"/>
          <w:color w:val="000000"/>
          <w:sz w:val="24"/>
          <w:szCs w:val="24"/>
        </w:rPr>
        <w:t>has been used</w:t>
      </w:r>
      <w:proofErr w:type="gramEnd"/>
      <w:r>
        <w:rPr>
          <w:rFonts w:ascii="Times New Roman" w:hAnsi="Times New Roman" w:eastAsia="Times New Roman" w:cs="Times New Roman"/>
          <w:color w:val="000000"/>
          <w:sz w:val="24"/>
          <w:szCs w:val="24"/>
        </w:rPr>
        <w:t xml:space="preserve"> in several regulatory action analyses, such as for analyzing crew employment in the 2014 Final Environmental Impact Statement: Steller Sea Lion Protection Measures </w:t>
      </w:r>
      <w:r>
        <w:rPr>
          <w:rFonts w:ascii="Times New Roman" w:hAnsi="Times New Roman" w:eastAsia="Times New Roman" w:cs="Times New Roman"/>
          <w:color w:val="000000"/>
          <w:sz w:val="24"/>
          <w:szCs w:val="24"/>
        </w:rPr>
        <w:lastRenderedPageBreak/>
        <w:t xml:space="preserve">for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Fisheries in the Bering Sea and Aleutian Islands Management Area</w:t>
      </w:r>
      <w:r>
        <w:rPr>
          <w:rFonts w:ascii="Times New Roman" w:hAnsi="Times New Roman" w:eastAsia="Times New Roman" w:cs="Times New Roman"/>
          <w:color w:val="000000"/>
          <w:sz w:val="24"/>
          <w:szCs w:val="24"/>
          <w:vertAlign w:val="superscript"/>
        </w:rPr>
        <w:footnoteReference w:id="4"/>
      </w:r>
      <w:r>
        <w:rPr>
          <w:rFonts w:ascii="Times New Roman" w:hAnsi="Times New Roman" w:eastAsia="Times New Roman" w:cs="Times New Roman"/>
          <w:color w:val="000000"/>
          <w:sz w:val="24"/>
          <w:szCs w:val="24"/>
        </w:rPr>
        <w:t xml:space="preserve">. EDR data was also used in analyses of regulatory actions affecting the Amendment 80 fleet and </w:t>
      </w:r>
      <w:r w:rsidR="005230F4">
        <w:rPr>
          <w:rFonts w:ascii="Times New Roman" w:hAnsi="Times New Roman" w:eastAsia="Times New Roman" w:cs="Times New Roman"/>
          <w:color w:val="000000"/>
          <w:sz w:val="24"/>
          <w:szCs w:val="24"/>
        </w:rPr>
        <w:t>was recently</w:t>
      </w:r>
      <w:r>
        <w:rPr>
          <w:rFonts w:ascii="Times New Roman" w:hAnsi="Times New Roman" w:eastAsia="Times New Roman" w:cs="Times New Roman"/>
          <w:color w:val="000000"/>
          <w:sz w:val="24"/>
          <w:szCs w:val="24"/>
        </w:rPr>
        <w:t xml:space="preserve"> used in a regulatory impact review of allowing deck sorting of halibut in non-</w:t>
      </w:r>
      <w:proofErr w:type="spellStart"/>
      <w:r>
        <w:rPr>
          <w:rFonts w:ascii="Times New Roman" w:hAnsi="Times New Roman" w:eastAsia="Times New Roman" w:cs="Times New Roman"/>
          <w:color w:val="000000"/>
          <w:sz w:val="24"/>
          <w:szCs w:val="24"/>
        </w:rPr>
        <w:t>pollock</w:t>
      </w:r>
      <w:proofErr w:type="spellEnd"/>
      <w:r>
        <w:rPr>
          <w:rFonts w:ascii="Times New Roman" w:hAnsi="Times New Roman" w:eastAsia="Times New Roman" w:cs="Times New Roman"/>
          <w:color w:val="000000"/>
          <w:sz w:val="24"/>
          <w:szCs w:val="24"/>
        </w:rPr>
        <w:t xml:space="preserve">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trawl fisheries (RIN </w:t>
      </w:r>
      <w:r w:rsidR="000C5599">
        <w:rPr>
          <w:rFonts w:ascii="Times New Roman" w:hAnsi="Times New Roman" w:eastAsia="Times New Roman" w:cs="Times New Roman"/>
          <w:color w:val="000000"/>
          <w:sz w:val="24"/>
          <w:szCs w:val="24"/>
        </w:rPr>
        <w:t>0648-</w:t>
      </w:r>
      <w:r>
        <w:rPr>
          <w:rFonts w:ascii="Times New Roman" w:hAnsi="Times New Roman" w:eastAsia="Times New Roman" w:cs="Times New Roman"/>
          <w:color w:val="000000"/>
          <w:sz w:val="24"/>
          <w:szCs w:val="24"/>
        </w:rPr>
        <w:t>BI53, effective November 14, 2019</w:t>
      </w:r>
      <w:r w:rsidR="00513CBE">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84 FR 55044</w:t>
      </w:r>
      <w:r w:rsidRPr="005230F4">
        <w:rPr>
          <w:rFonts w:ascii="Times New Roman" w:hAnsi="Times New Roman" w:eastAsia="Times New Roman" w:cs="Times New Roman"/>
          <w:color w:val="000000"/>
          <w:sz w:val="24"/>
          <w:szCs w:val="24"/>
        </w:rPr>
        <w:t>,</w:t>
      </w:r>
      <w:r w:rsidR="00513CBE">
        <w:rPr>
          <w:rFonts w:ascii="Times New Roman" w:hAnsi="Times New Roman" w:eastAsia="Times New Roman" w:cs="Times New Roman"/>
          <w:color w:val="000000"/>
          <w:sz w:val="24"/>
          <w:szCs w:val="24"/>
        </w:rPr>
        <w:t xml:space="preserve"> October 15, 2019</w:t>
      </w:r>
      <w:r w:rsidRPr="005230F4">
        <w:rPr>
          <w:rFonts w:ascii="Times New Roman" w:hAnsi="Times New Roman" w:eastAsia="Times New Roman" w:cs="Times New Roman"/>
          <w:color w:val="000000"/>
          <w:sz w:val="24"/>
          <w:szCs w:val="24"/>
        </w:rPr>
        <w:t>).</w:t>
      </w:r>
    </w:p>
    <w:p w:rsidR="00372873" w:rsidP="00364F99" w:rsidRDefault="00372873" w14:paraId="011A35E2" w14:textId="77777777">
      <w:pPr>
        <w:spacing w:before="0"/>
        <w:rPr>
          <w:rFonts w:ascii="Times New Roman" w:hAnsi="Times New Roman" w:eastAsia="Times New Roman" w:cs="Times New Roman"/>
          <w:sz w:val="24"/>
          <w:szCs w:val="24"/>
        </w:rPr>
      </w:pPr>
    </w:p>
    <w:p w:rsidR="00372873" w:rsidP="00364F99" w:rsidRDefault="009C7B27" w14:paraId="6591BD85" w14:textId="5AA495A9">
      <w:pPr>
        <w:pStyle w:val="Heading1"/>
        <w:spacing w:before="0"/>
        <w:ind w:left="0"/>
        <w:rPr>
          <w:rFonts w:ascii="Times New Roman" w:hAnsi="Times New Roman" w:eastAsia="Times New Roman" w:cs="Times New Roman"/>
        </w:rPr>
      </w:pPr>
      <w:r>
        <w:rPr>
          <w:rFonts w:ascii="Times New Roman" w:hAnsi="Times New Roman" w:eastAsia="Times New Roman" w:cs="Times New Roman"/>
        </w:rPr>
        <w:t>Information Requirements and Needs and Uses of Information Collected</w:t>
      </w:r>
    </w:p>
    <w:p w:rsidR="008F5721" w:rsidP="008F5721" w:rsidRDefault="008F5721" w14:paraId="770E5F2A" w14:textId="2DFB6E0F"/>
    <w:tbl>
      <w:tblPr>
        <w:tblStyle w:val="a"/>
        <w:tblpPr w:leftFromText="180" w:rightFromText="180" w:vertAnchor="text" w:horzAnchor="margin" w:tblpY="9"/>
        <w:tblW w:w="10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05"/>
        <w:gridCol w:w="1800"/>
        <w:gridCol w:w="1530"/>
        <w:gridCol w:w="1530"/>
        <w:gridCol w:w="1440"/>
        <w:gridCol w:w="3060"/>
      </w:tblGrid>
      <w:tr w:rsidR="008F5721" w:rsidTr="008F5721" w14:paraId="79880CFF" w14:textId="77777777">
        <w:trPr>
          <w:trHeight w:val="729"/>
        </w:trPr>
        <w:tc>
          <w:tcPr>
            <w:tcW w:w="805" w:type="dxa"/>
            <w:shd w:val="clear" w:color="auto" w:fill="DEEAF6"/>
          </w:tcPr>
          <w:p w:rsidR="008F5721" w:rsidP="008F5721" w:rsidRDefault="008F5721" w14:paraId="17F9BCCF" w14:textId="77777777">
            <w:pPr>
              <w:pBdr>
                <w:top w:val="nil"/>
                <w:left w:val="nil"/>
                <w:bottom w:val="nil"/>
                <w:right w:val="nil"/>
                <w:between w:val="nil"/>
              </w:pBdr>
              <w:spacing w:before="11"/>
              <w:rPr>
                <w:rFonts w:ascii="Times New Roman" w:hAnsi="Times New Roman" w:eastAsia="Times New Roman" w:cs="Times New Roman"/>
                <w:b/>
                <w:color w:val="000000"/>
                <w:sz w:val="20"/>
                <w:szCs w:val="20"/>
              </w:rPr>
            </w:pPr>
          </w:p>
          <w:p w:rsidR="008F5721" w:rsidP="008F5721" w:rsidRDefault="008F5721" w14:paraId="62CD172E" w14:textId="77777777">
            <w:pPr>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Item #</w:t>
            </w:r>
          </w:p>
        </w:tc>
        <w:tc>
          <w:tcPr>
            <w:tcW w:w="1800" w:type="dxa"/>
            <w:shd w:val="clear" w:color="auto" w:fill="DEEAF6"/>
          </w:tcPr>
          <w:p w:rsidR="008F5721" w:rsidP="008F5721" w:rsidRDefault="008F5721" w14:paraId="70FF3293" w14:textId="77777777">
            <w:pPr>
              <w:pBdr>
                <w:top w:val="nil"/>
                <w:left w:val="nil"/>
                <w:bottom w:val="nil"/>
                <w:right w:val="nil"/>
                <w:between w:val="nil"/>
              </w:pBdr>
              <w:spacing w:before="11"/>
              <w:rPr>
                <w:rFonts w:ascii="Times New Roman" w:hAnsi="Times New Roman" w:eastAsia="Times New Roman" w:cs="Times New Roman"/>
                <w:b/>
                <w:color w:val="000000"/>
                <w:sz w:val="20"/>
                <w:szCs w:val="20"/>
              </w:rPr>
            </w:pPr>
          </w:p>
          <w:p w:rsidR="008F5721" w:rsidP="008F5721" w:rsidRDefault="008F5721" w14:paraId="09441CB4" w14:textId="77777777">
            <w:pPr>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Requirement</w:t>
            </w:r>
          </w:p>
        </w:tc>
        <w:tc>
          <w:tcPr>
            <w:tcW w:w="1530" w:type="dxa"/>
            <w:shd w:val="clear" w:color="auto" w:fill="DEEAF6"/>
          </w:tcPr>
          <w:p w:rsidR="008F5721" w:rsidP="008F5721" w:rsidRDefault="008F5721" w14:paraId="150DDD11" w14:textId="77777777">
            <w:pPr>
              <w:pBdr>
                <w:top w:val="nil"/>
                <w:left w:val="nil"/>
                <w:bottom w:val="nil"/>
                <w:right w:val="nil"/>
                <w:between w:val="nil"/>
              </w:pBdr>
              <w:spacing w:before="11"/>
              <w:rPr>
                <w:rFonts w:ascii="Times New Roman" w:hAnsi="Times New Roman" w:eastAsia="Times New Roman" w:cs="Times New Roman"/>
                <w:b/>
                <w:color w:val="000000"/>
                <w:sz w:val="20"/>
                <w:szCs w:val="20"/>
              </w:rPr>
            </w:pPr>
          </w:p>
          <w:p w:rsidR="008F5721" w:rsidP="008F5721" w:rsidRDefault="008F5721" w14:paraId="4FE68714" w14:textId="77777777">
            <w:pPr>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Statute</w:t>
            </w:r>
          </w:p>
        </w:tc>
        <w:tc>
          <w:tcPr>
            <w:tcW w:w="1530" w:type="dxa"/>
            <w:shd w:val="clear" w:color="auto" w:fill="DEEAF6"/>
          </w:tcPr>
          <w:p w:rsidR="008F5721" w:rsidP="008F5721" w:rsidRDefault="008F5721" w14:paraId="59D8E30E" w14:textId="77777777">
            <w:pPr>
              <w:pBdr>
                <w:top w:val="nil"/>
                <w:left w:val="nil"/>
                <w:bottom w:val="nil"/>
                <w:right w:val="nil"/>
                <w:between w:val="nil"/>
              </w:pBdr>
              <w:spacing w:before="11"/>
              <w:rPr>
                <w:rFonts w:ascii="Times New Roman" w:hAnsi="Times New Roman" w:eastAsia="Times New Roman" w:cs="Times New Roman"/>
                <w:b/>
                <w:color w:val="000000"/>
                <w:sz w:val="20"/>
                <w:szCs w:val="20"/>
              </w:rPr>
            </w:pPr>
          </w:p>
          <w:p w:rsidR="008F5721" w:rsidP="008F5721" w:rsidRDefault="008F5721" w14:paraId="708B734A" w14:textId="77777777">
            <w:pPr>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Regulation</w:t>
            </w:r>
          </w:p>
        </w:tc>
        <w:tc>
          <w:tcPr>
            <w:tcW w:w="1440" w:type="dxa"/>
            <w:shd w:val="clear" w:color="auto" w:fill="DEEAF6"/>
          </w:tcPr>
          <w:p w:rsidR="008F5721" w:rsidP="008F5721" w:rsidRDefault="008F5721" w14:paraId="30D2CA9B" w14:textId="77777777">
            <w:pPr>
              <w:pBdr>
                <w:top w:val="nil"/>
                <w:left w:val="nil"/>
                <w:bottom w:val="nil"/>
                <w:right w:val="nil"/>
                <w:between w:val="nil"/>
              </w:pBdr>
              <w:spacing w:before="11"/>
              <w:rPr>
                <w:rFonts w:ascii="Times New Roman" w:hAnsi="Times New Roman" w:eastAsia="Times New Roman" w:cs="Times New Roman"/>
                <w:b/>
                <w:color w:val="000000"/>
                <w:sz w:val="20"/>
                <w:szCs w:val="20"/>
              </w:rPr>
            </w:pPr>
          </w:p>
          <w:p w:rsidR="008F5721" w:rsidP="008F5721" w:rsidRDefault="008F5721" w14:paraId="21B3655E" w14:textId="77777777">
            <w:pPr>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Form #</w:t>
            </w:r>
          </w:p>
        </w:tc>
        <w:tc>
          <w:tcPr>
            <w:tcW w:w="3060" w:type="dxa"/>
            <w:shd w:val="clear" w:color="auto" w:fill="DEEAF6"/>
          </w:tcPr>
          <w:p w:rsidR="008F5721" w:rsidP="008F5721" w:rsidRDefault="008F5721" w14:paraId="7A447E71" w14:textId="77777777">
            <w:pPr>
              <w:pBdr>
                <w:top w:val="nil"/>
                <w:left w:val="nil"/>
                <w:bottom w:val="nil"/>
                <w:right w:val="nil"/>
                <w:between w:val="nil"/>
              </w:pBdr>
              <w:spacing w:before="11"/>
              <w:rPr>
                <w:rFonts w:ascii="Times New Roman" w:hAnsi="Times New Roman" w:eastAsia="Times New Roman" w:cs="Times New Roman"/>
                <w:b/>
                <w:color w:val="000000"/>
                <w:sz w:val="20"/>
                <w:szCs w:val="20"/>
              </w:rPr>
            </w:pPr>
          </w:p>
          <w:p w:rsidR="008F5721" w:rsidP="008F5721" w:rsidRDefault="008F5721" w14:paraId="30B3B734" w14:textId="77777777">
            <w:pPr>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Needs and Uses</w:t>
            </w:r>
          </w:p>
        </w:tc>
      </w:tr>
      <w:tr w:rsidR="008F5721" w:rsidTr="008F5721" w14:paraId="523546E2" w14:textId="77777777">
        <w:trPr>
          <w:trHeight w:val="726"/>
        </w:trPr>
        <w:tc>
          <w:tcPr>
            <w:tcW w:w="805" w:type="dxa"/>
            <w:vAlign w:val="center"/>
          </w:tcPr>
          <w:p w:rsidR="008F5721" w:rsidP="008F5721" w:rsidRDefault="008F5721" w14:paraId="73677AEF" w14:textId="77777777">
            <w:pPr>
              <w:pBdr>
                <w:top w:val="nil"/>
                <w:left w:val="nil"/>
                <w:bottom w:val="nil"/>
                <w:right w:val="nil"/>
                <w:between w:val="nil"/>
              </w:pBdr>
              <w:spacing w:before="9"/>
              <w:jc w:val="center"/>
              <w:rPr>
                <w:rFonts w:ascii="Calibri" w:hAnsi="Calibri" w:eastAsia="Calibri" w:cs="Calibri"/>
                <w:color w:val="000000"/>
                <w:sz w:val="20"/>
                <w:szCs w:val="20"/>
              </w:rPr>
            </w:pPr>
            <w:r>
              <w:rPr>
                <w:rFonts w:ascii="Calibri" w:hAnsi="Calibri" w:eastAsia="Calibri" w:cs="Calibri"/>
                <w:color w:val="2F5496"/>
                <w:sz w:val="20"/>
                <w:szCs w:val="20"/>
              </w:rPr>
              <w:t>1</w:t>
            </w:r>
          </w:p>
        </w:tc>
        <w:tc>
          <w:tcPr>
            <w:tcW w:w="1800" w:type="dxa"/>
            <w:vAlign w:val="center"/>
          </w:tcPr>
          <w:p w:rsidR="008F5721" w:rsidP="008F5721" w:rsidRDefault="008F5721" w14:paraId="63E41D08" w14:textId="367E95DD">
            <w:pPr>
              <w:pBdr>
                <w:top w:val="nil"/>
                <w:left w:val="nil"/>
                <w:bottom w:val="nil"/>
                <w:right w:val="nil"/>
                <w:between w:val="nil"/>
              </w:pBdr>
              <w:spacing w:before="0"/>
              <w:jc w:val="center"/>
              <w:rPr>
                <w:rFonts w:ascii="Calibri" w:hAnsi="Calibri" w:eastAsia="Calibri" w:cs="Calibri"/>
                <w:color w:val="000000"/>
                <w:sz w:val="20"/>
                <w:szCs w:val="20"/>
              </w:rPr>
            </w:pPr>
            <w:r>
              <w:rPr>
                <w:rFonts w:ascii="Calibri" w:hAnsi="Calibri" w:eastAsia="Calibri" w:cs="Calibri"/>
                <w:color w:val="000000"/>
                <w:sz w:val="20"/>
                <w:szCs w:val="20"/>
              </w:rPr>
              <w:t>Annual GOA Trawl Catcher/Processor EDR</w:t>
            </w:r>
          </w:p>
          <w:p w:rsidR="008F5721" w:rsidP="008F5721" w:rsidRDefault="008F5721" w14:paraId="413A9FA3" w14:textId="77777777">
            <w:pPr>
              <w:pBdr>
                <w:top w:val="nil"/>
                <w:left w:val="nil"/>
                <w:bottom w:val="nil"/>
                <w:right w:val="nil"/>
                <w:between w:val="nil"/>
              </w:pBdr>
              <w:spacing w:before="0"/>
              <w:jc w:val="center"/>
              <w:rPr>
                <w:rFonts w:ascii="Calibri" w:hAnsi="Calibri" w:eastAsia="Calibri" w:cs="Calibri"/>
                <w:color w:val="000000"/>
                <w:sz w:val="20"/>
                <w:szCs w:val="20"/>
              </w:rPr>
            </w:pPr>
          </w:p>
        </w:tc>
        <w:tc>
          <w:tcPr>
            <w:tcW w:w="1530" w:type="dxa"/>
            <w:vAlign w:val="center"/>
          </w:tcPr>
          <w:p w:rsidR="008F5721" w:rsidP="008F5721" w:rsidRDefault="008F5721" w14:paraId="010B00FE" w14:textId="77777777">
            <w:pPr>
              <w:pBdr>
                <w:top w:val="nil"/>
                <w:left w:val="nil"/>
                <w:bottom w:val="nil"/>
                <w:right w:val="nil"/>
                <w:between w:val="nil"/>
              </w:pBdr>
              <w:spacing w:before="0"/>
              <w:jc w:val="center"/>
              <w:rPr>
                <w:rFonts w:ascii="Calibri" w:hAnsi="Calibri" w:eastAsia="Calibri" w:cs="Calibri"/>
                <w:color w:val="000000"/>
                <w:sz w:val="20"/>
                <w:szCs w:val="20"/>
              </w:rPr>
            </w:pPr>
            <w:r>
              <w:rPr>
                <w:rFonts w:ascii="Calibri" w:hAnsi="Calibri" w:eastAsia="Calibri" w:cs="Calibri"/>
                <w:color w:val="000000"/>
                <w:sz w:val="20"/>
                <w:szCs w:val="20"/>
              </w:rPr>
              <w:t xml:space="preserve">16 U.S.C. 1801 </w:t>
            </w:r>
            <w:r>
              <w:rPr>
                <w:rFonts w:ascii="Calibri" w:hAnsi="Calibri" w:eastAsia="Calibri" w:cs="Calibri"/>
                <w:i/>
                <w:color w:val="000000"/>
                <w:sz w:val="20"/>
                <w:szCs w:val="20"/>
              </w:rPr>
              <w:t>et seq.</w:t>
            </w:r>
          </w:p>
        </w:tc>
        <w:tc>
          <w:tcPr>
            <w:tcW w:w="1530" w:type="dxa"/>
            <w:vAlign w:val="center"/>
          </w:tcPr>
          <w:p w:rsidR="008F5721" w:rsidP="008F5721" w:rsidRDefault="008F5721" w14:paraId="1E31BC69" w14:textId="19E4C3BF">
            <w:pPr>
              <w:pBdr>
                <w:top w:val="nil"/>
                <w:left w:val="nil"/>
                <w:bottom w:val="nil"/>
                <w:right w:val="nil"/>
                <w:between w:val="nil"/>
              </w:pBdr>
              <w:spacing w:before="0"/>
              <w:jc w:val="center"/>
              <w:rPr>
                <w:rFonts w:ascii="Calibri" w:hAnsi="Calibri" w:eastAsia="Calibri" w:cs="Calibri"/>
                <w:color w:val="000000"/>
                <w:sz w:val="20"/>
                <w:szCs w:val="20"/>
              </w:rPr>
            </w:pPr>
            <w:r>
              <w:rPr>
                <w:rFonts w:ascii="Calibri" w:hAnsi="Calibri" w:eastAsia="Calibri" w:cs="Calibri"/>
                <w:color w:val="000000"/>
                <w:sz w:val="20"/>
                <w:szCs w:val="20"/>
              </w:rPr>
              <w:t>50 CFR 679.94</w:t>
            </w:r>
            <w:r w:rsidR="00151AC6">
              <w:rPr>
                <w:rFonts w:ascii="Calibri" w:hAnsi="Calibri" w:eastAsia="Calibri" w:cs="Calibri"/>
                <w:color w:val="000000"/>
                <w:sz w:val="20"/>
                <w:szCs w:val="20"/>
              </w:rPr>
              <w:t xml:space="preserve"> and 679.110</w:t>
            </w:r>
          </w:p>
        </w:tc>
        <w:tc>
          <w:tcPr>
            <w:tcW w:w="1440" w:type="dxa"/>
            <w:vAlign w:val="center"/>
          </w:tcPr>
          <w:p w:rsidR="008F5721" w:rsidP="008F5721" w:rsidRDefault="008F5721" w14:paraId="7515BB18" w14:textId="77777777">
            <w:pPr>
              <w:pBdr>
                <w:top w:val="nil"/>
                <w:left w:val="nil"/>
                <w:bottom w:val="nil"/>
                <w:right w:val="nil"/>
                <w:between w:val="nil"/>
              </w:pBdr>
              <w:spacing w:before="0"/>
              <w:jc w:val="center"/>
              <w:rPr>
                <w:rFonts w:ascii="Calibri" w:hAnsi="Calibri" w:eastAsia="Calibri" w:cs="Calibri"/>
                <w:color w:val="000000"/>
                <w:sz w:val="20"/>
                <w:szCs w:val="20"/>
              </w:rPr>
            </w:pPr>
            <w:r>
              <w:rPr>
                <w:rFonts w:ascii="Calibri" w:hAnsi="Calibri" w:eastAsia="Calibri" w:cs="Calibri"/>
                <w:color w:val="000000"/>
                <w:sz w:val="20"/>
                <w:szCs w:val="20"/>
              </w:rPr>
              <w:t>On-line or by mail, no form number</w:t>
            </w:r>
          </w:p>
        </w:tc>
        <w:tc>
          <w:tcPr>
            <w:tcW w:w="3060" w:type="dxa"/>
            <w:vAlign w:val="center"/>
          </w:tcPr>
          <w:p w:rsidR="008F5721" w:rsidP="008F5721" w:rsidRDefault="008F5721" w14:paraId="5DB780D7" w14:textId="77777777">
            <w:pPr>
              <w:numPr>
                <w:ilvl w:val="0"/>
                <w:numId w:val="6"/>
              </w:numPr>
              <w:pBdr>
                <w:top w:val="nil"/>
                <w:left w:val="nil"/>
                <w:bottom w:val="nil"/>
                <w:right w:val="nil"/>
                <w:between w:val="nil"/>
              </w:pBdr>
              <w:tabs>
                <w:tab w:val="left" w:pos="469"/>
                <w:tab w:val="left" w:pos="470"/>
              </w:tabs>
              <w:spacing w:before="0"/>
              <w:ind w:left="0" w:hanging="361"/>
            </w:pPr>
            <w:r>
              <w:rPr>
                <w:rFonts w:ascii="Calibri" w:hAnsi="Calibri" w:eastAsia="Calibri" w:cs="Calibri"/>
                <w:color w:val="000000"/>
                <w:sz w:val="20"/>
                <w:szCs w:val="20"/>
              </w:rPr>
              <w:t>Used by NMFS in annual report and regulatory analysis.</w:t>
            </w:r>
          </w:p>
          <w:p w:rsidR="008F5721" w:rsidP="008F5721" w:rsidRDefault="008F5721" w14:paraId="63D696BD" w14:textId="77777777">
            <w:pPr>
              <w:numPr>
                <w:ilvl w:val="0"/>
                <w:numId w:val="6"/>
              </w:numPr>
              <w:pBdr>
                <w:top w:val="nil"/>
                <w:left w:val="nil"/>
                <w:bottom w:val="nil"/>
                <w:right w:val="nil"/>
                <w:between w:val="nil"/>
              </w:pBdr>
              <w:tabs>
                <w:tab w:val="left" w:pos="469"/>
                <w:tab w:val="left" w:pos="470"/>
              </w:tabs>
              <w:spacing w:before="0"/>
              <w:ind w:left="0"/>
            </w:pPr>
            <w:r>
              <w:rPr>
                <w:rFonts w:ascii="Calibri" w:hAnsi="Calibri" w:eastAsia="Calibri" w:cs="Calibri"/>
                <w:color w:val="000000"/>
                <w:sz w:val="20"/>
                <w:szCs w:val="20"/>
              </w:rPr>
              <w:t>Used by Council staff and contractors for LAPP evaluation and in regulatory analysis.</w:t>
            </w:r>
          </w:p>
          <w:p w:rsidR="008F5721" w:rsidP="008F5721" w:rsidRDefault="008F5721" w14:paraId="3A61BA4F" w14:textId="77777777">
            <w:pPr>
              <w:numPr>
                <w:ilvl w:val="0"/>
                <w:numId w:val="6"/>
              </w:numPr>
              <w:pBdr>
                <w:top w:val="nil"/>
                <w:left w:val="nil"/>
                <w:bottom w:val="nil"/>
                <w:right w:val="nil"/>
                <w:between w:val="nil"/>
              </w:pBdr>
              <w:tabs>
                <w:tab w:val="left" w:pos="469"/>
                <w:tab w:val="left" w:pos="470"/>
              </w:tabs>
              <w:spacing w:before="0"/>
              <w:ind w:left="0" w:hanging="361"/>
            </w:pPr>
            <w:r>
              <w:rPr>
                <w:rFonts w:ascii="Calibri" w:hAnsi="Calibri" w:eastAsia="Calibri" w:cs="Calibri"/>
                <w:color w:val="000000"/>
                <w:sz w:val="20"/>
                <w:szCs w:val="20"/>
              </w:rPr>
              <w:t xml:space="preserve">Used by partnered researchers to conduct fishery economic research. </w:t>
            </w:r>
          </w:p>
        </w:tc>
      </w:tr>
    </w:tbl>
    <w:p w:rsidRPr="008F5721" w:rsidR="008F5721" w:rsidP="008F5721" w:rsidRDefault="008F5721" w14:paraId="21B9FDFB" w14:textId="77777777"/>
    <w:p w:rsidR="00372873" w:rsidRDefault="00372873" w14:paraId="23208DC8"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Pr="00364F99" w:rsidR="00372873" w:rsidP="00364F99" w:rsidRDefault="009C7B27" w14:paraId="5674D945" w14:textId="663E845D">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64F99" w:rsidP="00364F99" w:rsidRDefault="00364F99" w14:paraId="0768D0A9" w14:textId="77777777">
      <w:pPr>
        <w:pBdr>
          <w:top w:val="nil"/>
          <w:left w:val="nil"/>
          <w:bottom w:val="nil"/>
          <w:right w:val="nil"/>
          <w:between w:val="nil"/>
        </w:pBdr>
        <w:tabs>
          <w:tab w:val="left" w:pos="360"/>
        </w:tabs>
        <w:spacing w:before="0"/>
        <w:rPr>
          <w:color w:val="000000"/>
        </w:rPr>
      </w:pPr>
    </w:p>
    <w:p w:rsidR="00372873" w:rsidP="00364F99" w:rsidRDefault="009C7B27" w14:paraId="5BC0168A" w14:textId="7777777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All EDR instructions and online submission are available on the internet (</w:t>
      </w:r>
      <w:hyperlink r:id="rId18">
        <w:r>
          <w:rPr>
            <w:rFonts w:ascii="Times New Roman" w:hAnsi="Times New Roman" w:eastAsia="Times New Roman" w:cs="Times New Roman"/>
            <w:color w:val="0563C1"/>
            <w:sz w:val="24"/>
            <w:szCs w:val="24"/>
            <w:u w:val="single"/>
          </w:rPr>
          <w:t>http://www.psmfc.org/goatrawl/index.html</w:t>
        </w:r>
      </w:hyperlink>
      <w:r>
        <w:rPr>
          <w:rFonts w:ascii="Times New Roman" w:hAnsi="Times New Roman" w:eastAsia="Times New Roman" w:cs="Times New Roman"/>
          <w:sz w:val="24"/>
          <w:szCs w:val="24"/>
        </w:rPr>
        <w:t xml:space="preserve">) and, additionally, applications </w:t>
      </w:r>
      <w:proofErr w:type="gramStart"/>
      <w:r>
        <w:rPr>
          <w:rFonts w:ascii="Times New Roman" w:hAnsi="Times New Roman" w:eastAsia="Times New Roman" w:cs="Times New Roman"/>
          <w:sz w:val="24"/>
          <w:szCs w:val="24"/>
        </w:rPr>
        <w:t>can be emailed, faxed, or mailed to applicants if requested</w:t>
      </w:r>
      <w:proofErr w:type="gramEnd"/>
      <w:r>
        <w:rPr>
          <w:rFonts w:ascii="Times New Roman" w:hAnsi="Times New Roman" w:eastAsia="Times New Roman" w:cs="Times New Roman"/>
          <w:sz w:val="24"/>
          <w:szCs w:val="24"/>
        </w:rPr>
        <w:t>. The intent of the online submission system is to provide a user-friendly and efficient format to submit the EDR.</w:t>
      </w:r>
    </w:p>
    <w:p w:rsidR="00372873" w:rsidP="00364F99" w:rsidRDefault="00372873" w14:paraId="732D8A3D" w14:textId="77777777">
      <w:pPr>
        <w:spacing w:before="0"/>
        <w:rPr>
          <w:rFonts w:ascii="Times New Roman" w:hAnsi="Times New Roman" w:eastAsia="Times New Roman" w:cs="Times New Roman"/>
          <w:sz w:val="24"/>
          <w:szCs w:val="24"/>
        </w:rPr>
      </w:pPr>
    </w:p>
    <w:p w:rsidR="00372873" w:rsidP="00364F99" w:rsidRDefault="009C7B27" w14:paraId="351D4BC2" w14:textId="77777777">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372873" w:rsidP="00364F99" w:rsidRDefault="00372873" w14:paraId="3FF02639" w14:textId="77777777">
      <w:pPr>
        <w:spacing w:before="0"/>
        <w:rPr>
          <w:rFonts w:ascii="Times New Roman" w:hAnsi="Times New Roman" w:eastAsia="Times New Roman" w:cs="Times New Roman"/>
          <w:sz w:val="24"/>
          <w:szCs w:val="24"/>
        </w:rPr>
      </w:pPr>
    </w:p>
    <w:p w:rsidR="00372873" w:rsidP="00364F99" w:rsidRDefault="009C7B27" w14:paraId="7AF71CE3" w14:textId="3ED9EA89">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duplication exists for this information collection. In 2014, the Amendment 80 </w:t>
      </w:r>
      <w:r w:rsidR="005230F4">
        <w:rPr>
          <w:rFonts w:ascii="Times New Roman" w:hAnsi="Times New Roman" w:eastAsia="Times New Roman" w:cs="Times New Roman"/>
          <w:sz w:val="24"/>
          <w:szCs w:val="24"/>
        </w:rPr>
        <w:t xml:space="preserve">Program </w:t>
      </w:r>
      <w:r>
        <w:rPr>
          <w:rFonts w:ascii="Times New Roman" w:hAnsi="Times New Roman" w:eastAsia="Times New Roman" w:cs="Times New Roman"/>
          <w:sz w:val="24"/>
          <w:szCs w:val="24"/>
        </w:rPr>
        <w:t xml:space="preserve">EDR </w:t>
      </w:r>
      <w:proofErr w:type="gramStart"/>
      <w:r>
        <w:rPr>
          <w:rFonts w:ascii="Times New Roman" w:hAnsi="Times New Roman" w:eastAsia="Times New Roman" w:cs="Times New Roman"/>
          <w:sz w:val="24"/>
          <w:szCs w:val="24"/>
        </w:rPr>
        <w:t>was rolled</w:t>
      </w:r>
      <w:proofErr w:type="gramEnd"/>
      <w:r>
        <w:rPr>
          <w:rFonts w:ascii="Times New Roman" w:hAnsi="Times New Roman" w:eastAsia="Times New Roman" w:cs="Times New Roman"/>
          <w:sz w:val="24"/>
          <w:szCs w:val="24"/>
        </w:rPr>
        <w:t xml:space="preserve"> into this collection to reduce duplicative information collection.  This collection is the only source of observational </w:t>
      </w:r>
      <w:proofErr w:type="gramStart"/>
      <w:r>
        <w:rPr>
          <w:rFonts w:ascii="Times New Roman" w:hAnsi="Times New Roman" w:eastAsia="Times New Roman" w:cs="Times New Roman"/>
          <w:sz w:val="24"/>
          <w:szCs w:val="24"/>
        </w:rPr>
        <w:t>cross-section time series data</w:t>
      </w:r>
      <w:proofErr w:type="gramEnd"/>
      <w:r>
        <w:rPr>
          <w:rFonts w:ascii="Times New Roman" w:hAnsi="Times New Roman" w:eastAsia="Times New Roman" w:cs="Times New Roman"/>
          <w:sz w:val="24"/>
          <w:szCs w:val="24"/>
        </w:rPr>
        <w:t xml:space="preserve"> regarding the economic performance of this fleet.  </w:t>
      </w:r>
    </w:p>
    <w:p w:rsidR="00372873" w:rsidP="00364F99" w:rsidRDefault="00372873" w14:paraId="751C3BE7" w14:textId="77777777">
      <w:pPr>
        <w:spacing w:before="0"/>
        <w:rPr>
          <w:rFonts w:ascii="Times New Roman" w:hAnsi="Times New Roman" w:eastAsia="Times New Roman" w:cs="Times New Roman"/>
          <w:sz w:val="24"/>
          <w:szCs w:val="24"/>
        </w:rPr>
      </w:pPr>
    </w:p>
    <w:p w:rsidRPr="00364F99" w:rsidR="00372873" w:rsidP="00364F99" w:rsidRDefault="009C7B27" w14:paraId="57330E78" w14:textId="282BD686">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 xml:space="preserve">If the collection of information </w:t>
      </w:r>
      <w:proofErr w:type="gramStart"/>
      <w:r>
        <w:rPr>
          <w:rFonts w:ascii="Times New Roman" w:hAnsi="Times New Roman" w:eastAsia="Times New Roman" w:cs="Times New Roman"/>
          <w:b/>
          <w:color w:val="000000"/>
          <w:sz w:val="24"/>
          <w:szCs w:val="24"/>
        </w:rPr>
        <w:t>impacts</w:t>
      </w:r>
      <w:proofErr w:type="gramEnd"/>
      <w:r>
        <w:rPr>
          <w:rFonts w:ascii="Times New Roman" w:hAnsi="Times New Roman" w:eastAsia="Times New Roman" w:cs="Times New Roman"/>
          <w:b/>
          <w:color w:val="000000"/>
          <w:sz w:val="24"/>
          <w:szCs w:val="24"/>
        </w:rPr>
        <w:t xml:space="preserve"> small businesses or other small entities, describe any methods used to minimize burden.</w:t>
      </w:r>
    </w:p>
    <w:p w:rsidR="00364F99" w:rsidP="00364F99" w:rsidRDefault="00364F99" w14:paraId="34D1A5C7" w14:textId="77777777">
      <w:pPr>
        <w:pBdr>
          <w:top w:val="nil"/>
          <w:left w:val="nil"/>
          <w:bottom w:val="nil"/>
          <w:right w:val="nil"/>
          <w:between w:val="nil"/>
        </w:pBdr>
        <w:tabs>
          <w:tab w:val="left" w:pos="360"/>
        </w:tabs>
        <w:spacing w:before="0"/>
        <w:rPr>
          <w:color w:val="000000"/>
        </w:rPr>
      </w:pPr>
    </w:p>
    <w:p w:rsidR="00372873" w:rsidP="00364F99" w:rsidRDefault="009C7B27" w14:paraId="7144F2D9" w14:textId="13F3588A">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information collection does not impose a significant adverse impact on directly regulated small entities nor does it affect a substantial number of directly regulated small entities. There are potentially 30 entities that </w:t>
      </w:r>
      <w:proofErr w:type="gramStart"/>
      <w:r>
        <w:rPr>
          <w:rFonts w:ascii="Times New Roman" w:hAnsi="Times New Roman" w:eastAsia="Times New Roman" w:cs="Times New Roman"/>
          <w:sz w:val="24"/>
          <w:szCs w:val="24"/>
        </w:rPr>
        <w:t>either submit</w:t>
      </w:r>
      <w:proofErr w:type="gramEnd"/>
      <w:r>
        <w:rPr>
          <w:rFonts w:ascii="Times New Roman" w:hAnsi="Times New Roman" w:eastAsia="Times New Roman" w:cs="Times New Roman"/>
          <w:sz w:val="24"/>
          <w:szCs w:val="24"/>
        </w:rPr>
        <w:t xml:space="preserve"> EDRs or EDR certifications.  Of </w:t>
      </w:r>
      <w:proofErr w:type="gramStart"/>
      <w:r>
        <w:rPr>
          <w:rFonts w:ascii="Times New Roman" w:hAnsi="Times New Roman" w:eastAsia="Times New Roman" w:cs="Times New Roman"/>
          <w:sz w:val="24"/>
          <w:szCs w:val="24"/>
        </w:rPr>
        <w:t>these</w:t>
      </w:r>
      <w:proofErr w:type="gramEnd"/>
      <w:r>
        <w:rPr>
          <w:rFonts w:ascii="Times New Roman" w:hAnsi="Times New Roman" w:eastAsia="Times New Roman" w:cs="Times New Roman"/>
          <w:sz w:val="24"/>
          <w:szCs w:val="24"/>
        </w:rPr>
        <w:t xml:space="preserve"> only one entity owning a single catcher/processor is considered a small entity for purposes of the Regulatory Flexibility Act</w:t>
      </w:r>
      <w:r w:rsidR="005124F2">
        <w:rPr>
          <w:rFonts w:ascii="Times New Roman" w:hAnsi="Times New Roman" w:eastAsia="Times New Roman" w:cs="Times New Roman"/>
          <w:sz w:val="24"/>
          <w:szCs w:val="24"/>
        </w:rPr>
        <w:t xml:space="preserve"> (RFA)</w:t>
      </w:r>
      <w:r>
        <w:rPr>
          <w:rFonts w:ascii="Times New Roman" w:hAnsi="Times New Roman" w:eastAsia="Times New Roman" w:cs="Times New Roman"/>
          <w:sz w:val="24"/>
          <w:szCs w:val="24"/>
        </w:rPr>
        <w:t>.  All others are cooperative affiliated Amendment 80 large entities.</w:t>
      </w:r>
    </w:p>
    <w:p w:rsidR="00364F99" w:rsidP="00364F99" w:rsidRDefault="00364F99" w14:paraId="79985E1A" w14:textId="77777777">
      <w:pPr>
        <w:spacing w:before="0"/>
        <w:rPr>
          <w:rFonts w:ascii="Times New Roman" w:hAnsi="Times New Roman" w:eastAsia="Times New Roman" w:cs="Times New Roman"/>
          <w:sz w:val="24"/>
          <w:szCs w:val="24"/>
        </w:rPr>
      </w:pPr>
    </w:p>
    <w:p w:rsidR="00372873" w:rsidP="00364F99" w:rsidRDefault="009C7B27" w14:paraId="7D256A63" w14:textId="2BCED9B6">
      <w:pPr>
        <w:pBdr>
          <w:top w:val="nil"/>
          <w:left w:val="nil"/>
          <w:bottom w:val="nil"/>
          <w:right w:val="nil"/>
          <w:between w:val="nil"/>
        </w:pBdr>
        <w:spacing w:before="0"/>
        <w:rPr>
          <w:rFonts w:ascii="Times New Roman" w:hAnsi="Times New Roman" w:eastAsia="Times New Roman" w:cs="Times New Roman"/>
          <w:color w:val="000000"/>
          <w:sz w:val="24"/>
          <w:szCs w:val="24"/>
        </w:rPr>
      </w:pPr>
      <w:r w:rsidRPr="0073501C">
        <w:rPr>
          <w:rFonts w:ascii="Times New Roman" w:hAnsi="Times New Roman" w:eastAsia="Times New Roman" w:cs="Times New Roman"/>
          <w:sz w:val="24"/>
          <w:szCs w:val="24"/>
        </w:rPr>
        <w:t>In addition, two of the six Western Alaska Community Development Quota Program entities own harvesting and processing vessels that operate in the GOA trawl fisheries.</w:t>
      </w:r>
      <w:r w:rsidRPr="0073501C" w:rsidR="0073501C">
        <w:rPr>
          <w:rFonts w:ascii="Times New Roman" w:hAnsi="Times New Roman" w:eastAsia="Times New Roman" w:cs="Times New Roman"/>
          <w:sz w:val="24"/>
          <w:szCs w:val="24"/>
        </w:rPr>
        <w:t xml:space="preserve"> Under the RFA, the Western Alaska Community Development Quota groups are considered </w:t>
      </w:r>
      <w:proofErr w:type="gramStart"/>
      <w:r w:rsidRPr="0073501C" w:rsidR="0073501C">
        <w:rPr>
          <w:rFonts w:ascii="Times New Roman" w:hAnsi="Times New Roman" w:eastAsia="Times New Roman" w:cs="Times New Roman"/>
          <w:sz w:val="24"/>
          <w:szCs w:val="24"/>
        </w:rPr>
        <w:t>to be small</w:t>
      </w:r>
      <w:proofErr w:type="gramEnd"/>
      <w:r w:rsidRPr="0073501C" w:rsidR="0073501C">
        <w:rPr>
          <w:rFonts w:ascii="Times New Roman" w:hAnsi="Times New Roman" w:eastAsia="Times New Roman" w:cs="Times New Roman"/>
          <w:sz w:val="24"/>
          <w:szCs w:val="24"/>
        </w:rPr>
        <w:t xml:space="preserve"> entities regardless of their revenue.  These entities either directly own A</w:t>
      </w:r>
      <w:r w:rsidR="00F51162">
        <w:rPr>
          <w:rFonts w:ascii="Times New Roman" w:hAnsi="Times New Roman" w:eastAsia="Times New Roman" w:cs="Times New Roman"/>
          <w:sz w:val="24"/>
          <w:szCs w:val="24"/>
        </w:rPr>
        <w:t xml:space="preserve">mendment </w:t>
      </w:r>
      <w:r w:rsidRPr="0073501C" w:rsidR="0073501C">
        <w:rPr>
          <w:rFonts w:ascii="Times New Roman" w:hAnsi="Times New Roman" w:eastAsia="Times New Roman" w:cs="Times New Roman"/>
          <w:sz w:val="24"/>
          <w:szCs w:val="24"/>
        </w:rPr>
        <w:t xml:space="preserve">80 </w:t>
      </w:r>
      <w:r w:rsidR="00F51162">
        <w:rPr>
          <w:rFonts w:ascii="Times New Roman" w:hAnsi="Times New Roman" w:eastAsia="Times New Roman" w:cs="Times New Roman"/>
          <w:sz w:val="24"/>
          <w:szCs w:val="24"/>
        </w:rPr>
        <w:t>t</w:t>
      </w:r>
      <w:r w:rsidRPr="0073501C" w:rsidR="00F51162">
        <w:rPr>
          <w:rFonts w:ascii="Times New Roman" w:hAnsi="Times New Roman" w:eastAsia="Times New Roman" w:cs="Times New Roman"/>
          <w:sz w:val="24"/>
          <w:szCs w:val="24"/>
        </w:rPr>
        <w:t xml:space="preserve">rawl </w:t>
      </w:r>
      <w:r w:rsidR="00F51162">
        <w:rPr>
          <w:rFonts w:ascii="Times New Roman" w:hAnsi="Times New Roman" w:eastAsia="Times New Roman" w:cs="Times New Roman"/>
          <w:sz w:val="24"/>
          <w:szCs w:val="24"/>
        </w:rPr>
        <w:t>catcher/processor</w:t>
      </w:r>
      <w:r w:rsidRPr="0073501C" w:rsidR="00F51162">
        <w:rPr>
          <w:rFonts w:ascii="Times New Roman" w:hAnsi="Times New Roman" w:eastAsia="Times New Roman" w:cs="Times New Roman"/>
          <w:sz w:val="24"/>
          <w:szCs w:val="24"/>
        </w:rPr>
        <w:t xml:space="preserve">s </w:t>
      </w:r>
      <w:r w:rsidRPr="0073501C" w:rsidR="0073501C">
        <w:rPr>
          <w:rFonts w:ascii="Times New Roman" w:hAnsi="Times New Roman" w:eastAsia="Times New Roman" w:cs="Times New Roman"/>
          <w:sz w:val="24"/>
          <w:szCs w:val="24"/>
        </w:rPr>
        <w:t>or have wholly owned subsidiaries that own A</w:t>
      </w:r>
      <w:r w:rsidR="00F51162">
        <w:rPr>
          <w:rFonts w:ascii="Times New Roman" w:hAnsi="Times New Roman" w:eastAsia="Times New Roman" w:cs="Times New Roman"/>
          <w:sz w:val="24"/>
          <w:szCs w:val="24"/>
        </w:rPr>
        <w:t xml:space="preserve">mendment </w:t>
      </w:r>
      <w:r w:rsidRPr="0073501C" w:rsidR="0073501C">
        <w:rPr>
          <w:rFonts w:ascii="Times New Roman" w:hAnsi="Times New Roman" w:eastAsia="Times New Roman" w:cs="Times New Roman"/>
          <w:sz w:val="24"/>
          <w:szCs w:val="24"/>
        </w:rPr>
        <w:t xml:space="preserve">80 </w:t>
      </w:r>
      <w:r w:rsidR="00F51162">
        <w:rPr>
          <w:rFonts w:ascii="Times New Roman" w:hAnsi="Times New Roman" w:eastAsia="Times New Roman" w:cs="Times New Roman"/>
          <w:sz w:val="24"/>
          <w:szCs w:val="24"/>
        </w:rPr>
        <w:t>t</w:t>
      </w:r>
      <w:r w:rsidRPr="0073501C" w:rsidR="00F51162">
        <w:rPr>
          <w:rFonts w:ascii="Times New Roman" w:hAnsi="Times New Roman" w:eastAsia="Times New Roman" w:cs="Times New Roman"/>
          <w:sz w:val="24"/>
          <w:szCs w:val="24"/>
        </w:rPr>
        <w:t xml:space="preserve">rawl </w:t>
      </w:r>
      <w:r w:rsidR="00F51162">
        <w:rPr>
          <w:rFonts w:ascii="Times New Roman" w:hAnsi="Times New Roman" w:eastAsia="Times New Roman" w:cs="Times New Roman"/>
          <w:sz w:val="24"/>
          <w:szCs w:val="24"/>
        </w:rPr>
        <w:t>catcher/processor</w:t>
      </w:r>
      <w:r w:rsidRPr="0073501C" w:rsidR="00F51162">
        <w:rPr>
          <w:rFonts w:ascii="Times New Roman" w:hAnsi="Times New Roman" w:eastAsia="Times New Roman" w:cs="Times New Roman"/>
          <w:sz w:val="24"/>
          <w:szCs w:val="24"/>
        </w:rPr>
        <w:t>s</w:t>
      </w:r>
      <w:r w:rsidRPr="0073501C" w:rsidR="0073501C">
        <w:rPr>
          <w:rFonts w:ascii="Times New Roman" w:hAnsi="Times New Roman" w:eastAsia="Times New Roman" w:cs="Times New Roman"/>
          <w:sz w:val="24"/>
          <w:szCs w:val="24"/>
        </w:rPr>
        <w:t xml:space="preserve">.  They may also own a portion of the fishing company that owns these Amendment 80 </w:t>
      </w:r>
      <w:r w:rsidR="00F51162">
        <w:rPr>
          <w:rFonts w:ascii="Times New Roman" w:hAnsi="Times New Roman" w:eastAsia="Times New Roman" w:cs="Times New Roman"/>
          <w:sz w:val="24"/>
          <w:szCs w:val="24"/>
        </w:rPr>
        <w:t>t</w:t>
      </w:r>
      <w:r w:rsidRPr="0073501C" w:rsidR="00F51162">
        <w:rPr>
          <w:rFonts w:ascii="Times New Roman" w:hAnsi="Times New Roman" w:eastAsia="Times New Roman" w:cs="Times New Roman"/>
          <w:sz w:val="24"/>
          <w:szCs w:val="24"/>
        </w:rPr>
        <w:t xml:space="preserve">rawl </w:t>
      </w:r>
      <w:r w:rsidR="00F51162">
        <w:rPr>
          <w:rFonts w:ascii="Times New Roman" w:hAnsi="Times New Roman" w:eastAsia="Times New Roman" w:cs="Times New Roman"/>
          <w:sz w:val="24"/>
          <w:szCs w:val="24"/>
        </w:rPr>
        <w:t>catcher/processor</w:t>
      </w:r>
      <w:r w:rsidRPr="0073501C" w:rsidR="00F51162">
        <w:rPr>
          <w:rFonts w:ascii="Times New Roman" w:hAnsi="Times New Roman" w:eastAsia="Times New Roman" w:cs="Times New Roman"/>
          <w:sz w:val="24"/>
          <w:szCs w:val="24"/>
        </w:rPr>
        <w:t>s</w:t>
      </w:r>
      <w:r w:rsidRPr="0073501C" w:rsidR="0073501C">
        <w:rPr>
          <w:rFonts w:ascii="Times New Roman" w:hAnsi="Times New Roman" w:eastAsia="Times New Roman" w:cs="Times New Roman"/>
          <w:sz w:val="24"/>
          <w:szCs w:val="24"/>
        </w:rPr>
        <w:t xml:space="preserve">.  Thus, although they </w:t>
      </w:r>
      <w:proofErr w:type="gramStart"/>
      <w:r w:rsidRPr="0073501C" w:rsidR="0073501C">
        <w:rPr>
          <w:rFonts w:ascii="Times New Roman" w:hAnsi="Times New Roman" w:eastAsia="Times New Roman" w:cs="Times New Roman"/>
          <w:sz w:val="24"/>
          <w:szCs w:val="24"/>
        </w:rPr>
        <w:t>would be considered</w:t>
      </w:r>
      <w:proofErr w:type="gramEnd"/>
      <w:r w:rsidRPr="0073501C" w:rsidR="0073501C">
        <w:rPr>
          <w:rFonts w:ascii="Times New Roman" w:hAnsi="Times New Roman" w:eastAsia="Times New Roman" w:cs="Times New Roman"/>
          <w:sz w:val="24"/>
          <w:szCs w:val="24"/>
        </w:rPr>
        <w:t xml:space="preserve"> large via cooperative affiliations, they are specially defined as small under the </w:t>
      </w:r>
      <w:r w:rsidRPr="005124F2" w:rsidR="0073501C">
        <w:rPr>
          <w:rFonts w:ascii="Times New Roman" w:hAnsi="Times New Roman" w:eastAsia="Times New Roman" w:cs="Times New Roman"/>
          <w:sz w:val="24"/>
          <w:szCs w:val="24"/>
        </w:rPr>
        <w:t>RFA</w:t>
      </w:r>
      <w:r w:rsidRPr="0073501C" w:rsidR="0073501C">
        <w:rPr>
          <w:rFonts w:ascii="Times New Roman" w:hAnsi="Times New Roman" w:eastAsia="Times New Roman" w:cs="Times New Roman"/>
          <w:sz w:val="24"/>
          <w:szCs w:val="24"/>
        </w:rPr>
        <w:t>.</w:t>
      </w:r>
      <w:r w:rsidRPr="0073501C">
        <w:rPr>
          <w:rFonts w:ascii="Times New Roman" w:hAnsi="Times New Roman" w:eastAsia="Times New Roman" w:cs="Times New Roman"/>
          <w:sz w:val="24"/>
          <w:szCs w:val="24"/>
        </w:rPr>
        <w:t xml:space="preserve"> Thus, up to two Western Alaska Community Development Quota groups </w:t>
      </w:r>
      <w:proofErr w:type="gramStart"/>
      <w:r w:rsidRPr="0073501C">
        <w:rPr>
          <w:rFonts w:ascii="Times New Roman" w:hAnsi="Times New Roman" w:eastAsia="Times New Roman" w:cs="Times New Roman"/>
          <w:sz w:val="24"/>
          <w:szCs w:val="24"/>
        </w:rPr>
        <w:t>are considered</w:t>
      </w:r>
      <w:proofErr w:type="gramEnd"/>
      <w:r w:rsidRPr="0073501C">
        <w:rPr>
          <w:rFonts w:ascii="Times New Roman" w:hAnsi="Times New Roman" w:eastAsia="Times New Roman" w:cs="Times New Roman"/>
          <w:sz w:val="24"/>
          <w:szCs w:val="24"/>
        </w:rPr>
        <w:t xml:space="preserve"> small entities for purposes of the </w:t>
      </w:r>
      <w:r w:rsidR="005124F2">
        <w:rPr>
          <w:rFonts w:ascii="Times New Roman" w:hAnsi="Times New Roman" w:eastAsia="Times New Roman" w:cs="Times New Roman"/>
          <w:sz w:val="24"/>
          <w:szCs w:val="24"/>
        </w:rPr>
        <w:t>RFA</w:t>
      </w:r>
      <w:r w:rsidRPr="0073501C">
        <w:rPr>
          <w:rFonts w:ascii="Times New Roman" w:hAnsi="Times New Roman" w:eastAsia="Times New Roman" w:cs="Times New Roman"/>
          <w:sz w:val="24"/>
          <w:szCs w:val="24"/>
        </w:rPr>
        <w:t xml:space="preserve"> and would fall</w:t>
      </w:r>
      <w:r>
        <w:rPr>
          <w:rFonts w:ascii="Times New Roman" w:hAnsi="Times New Roman" w:eastAsia="Times New Roman" w:cs="Times New Roman"/>
          <w:color w:val="000000"/>
          <w:sz w:val="24"/>
          <w:szCs w:val="24"/>
        </w:rPr>
        <w:t xml:space="preserve"> under this information collection depending on their annual fishing operations.</w:t>
      </w:r>
    </w:p>
    <w:p w:rsidR="00364F99" w:rsidP="00364F99" w:rsidRDefault="00364F99" w14:paraId="0342A71E"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0073501C" w:rsidP="00364F99" w:rsidRDefault="0073501C" w14:paraId="3780D24D" w14:textId="1904E905">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attempts to minimize the burden of this collection on all respondents.  The online submission system </w:t>
      </w:r>
      <w:proofErr w:type="gramStart"/>
      <w:r>
        <w:rPr>
          <w:rFonts w:ascii="Times New Roman" w:hAnsi="Times New Roman" w:eastAsia="Times New Roman" w:cs="Times New Roman"/>
          <w:sz w:val="24"/>
          <w:szCs w:val="24"/>
        </w:rPr>
        <w:t>is designed</w:t>
      </w:r>
      <w:proofErr w:type="gramEnd"/>
      <w:r>
        <w:rPr>
          <w:rFonts w:ascii="Times New Roman" w:hAnsi="Times New Roman" w:eastAsia="Times New Roman" w:cs="Times New Roman"/>
          <w:sz w:val="24"/>
          <w:szCs w:val="24"/>
        </w:rPr>
        <w:t xml:space="preserve"> to provide a user-friendly and efficient format to submit the EDR. A toll-free phone number is available for participants to contact </w:t>
      </w:r>
      <w:r w:rsidR="005124F2">
        <w:rPr>
          <w:rFonts w:ascii="Times New Roman" w:hAnsi="Times New Roman" w:eastAsia="Times New Roman" w:cs="Times New Roman"/>
          <w:sz w:val="24"/>
          <w:szCs w:val="24"/>
        </w:rPr>
        <w:t xml:space="preserve">Pacific States </w:t>
      </w:r>
      <w:r>
        <w:rPr>
          <w:rFonts w:ascii="Times New Roman" w:hAnsi="Times New Roman" w:eastAsia="Times New Roman" w:cs="Times New Roman"/>
          <w:sz w:val="24"/>
          <w:szCs w:val="24"/>
        </w:rPr>
        <w:t xml:space="preserve">staff for help or information. In 2019, NMFS suspended automated audits of the Annual Trawl </w:t>
      </w:r>
      <w:r w:rsidR="00A8648A">
        <w:rPr>
          <w:rFonts w:ascii="Times New Roman" w:hAnsi="Times New Roman" w:eastAsia="Times New Roman" w:cs="Times New Roman"/>
          <w:sz w:val="24"/>
          <w:szCs w:val="24"/>
        </w:rPr>
        <w:t>Catcher/</w:t>
      </w:r>
      <w:r>
        <w:rPr>
          <w:rFonts w:ascii="Times New Roman" w:hAnsi="Times New Roman" w:eastAsia="Times New Roman" w:cs="Times New Roman"/>
          <w:sz w:val="24"/>
          <w:szCs w:val="24"/>
        </w:rPr>
        <w:t xml:space="preserve">Processor EDR submissions.  This </w:t>
      </w:r>
      <w:proofErr w:type="gramStart"/>
      <w:r>
        <w:rPr>
          <w:rFonts w:ascii="Times New Roman" w:hAnsi="Times New Roman" w:eastAsia="Times New Roman" w:cs="Times New Roman"/>
          <w:sz w:val="24"/>
          <w:szCs w:val="24"/>
        </w:rPr>
        <w:t>was done</w:t>
      </w:r>
      <w:proofErr w:type="gramEnd"/>
      <w:r>
        <w:rPr>
          <w:rFonts w:ascii="Times New Roman" w:hAnsi="Times New Roman" w:eastAsia="Times New Roman" w:cs="Times New Roman"/>
          <w:sz w:val="24"/>
          <w:szCs w:val="24"/>
        </w:rPr>
        <w:t xml:space="preserve"> to ease the burden associated with audits.  The Data Collection </w:t>
      </w:r>
      <w:r w:rsidR="00E81FE4">
        <w:rPr>
          <w:rFonts w:ascii="Times New Roman" w:hAnsi="Times New Roman" w:eastAsia="Times New Roman" w:cs="Times New Roman"/>
          <w:sz w:val="24"/>
          <w:szCs w:val="24"/>
        </w:rPr>
        <w:t xml:space="preserve">Agent </w:t>
      </w:r>
      <w:r>
        <w:rPr>
          <w:rFonts w:ascii="Times New Roman" w:hAnsi="Times New Roman" w:eastAsia="Times New Roman" w:cs="Times New Roman"/>
          <w:sz w:val="24"/>
          <w:szCs w:val="24"/>
        </w:rPr>
        <w:t>is now performing data verification.</w:t>
      </w:r>
    </w:p>
    <w:p w:rsidR="00372873" w:rsidP="00364F99" w:rsidRDefault="00372873" w14:paraId="1F6F4609"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Pr="00364F99" w:rsidR="00372873" w:rsidP="00CB222E" w:rsidRDefault="009C7B27" w14:paraId="0ADE9AAB" w14:textId="2A7FFD94">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 xml:space="preserve">Describe the consequence to Federal program or policy activities if the collection </w:t>
      </w:r>
      <w:proofErr w:type="gramStart"/>
      <w:r>
        <w:rPr>
          <w:rFonts w:ascii="Times New Roman" w:hAnsi="Times New Roman" w:eastAsia="Times New Roman" w:cs="Times New Roman"/>
          <w:b/>
          <w:color w:val="000000"/>
          <w:sz w:val="24"/>
          <w:szCs w:val="24"/>
        </w:rPr>
        <w:t>is not conducted</w:t>
      </w:r>
      <w:proofErr w:type="gramEnd"/>
      <w:r>
        <w:rPr>
          <w:rFonts w:ascii="Times New Roman" w:hAnsi="Times New Roman" w:eastAsia="Times New Roman" w:cs="Times New Roman"/>
          <w:b/>
          <w:color w:val="000000"/>
          <w:sz w:val="24"/>
          <w:szCs w:val="24"/>
        </w:rPr>
        <w:t xml:space="preserve"> or is conducted less frequently, as well as any technical or legal obstacles to reducing burden.</w:t>
      </w:r>
    </w:p>
    <w:p w:rsidR="00364F99" w:rsidP="00364F99" w:rsidRDefault="00364F99" w14:paraId="0B2FDD47" w14:textId="77777777">
      <w:pPr>
        <w:pBdr>
          <w:top w:val="nil"/>
          <w:left w:val="nil"/>
          <w:bottom w:val="nil"/>
          <w:right w:val="nil"/>
          <w:between w:val="nil"/>
        </w:pBdr>
        <w:tabs>
          <w:tab w:val="left" w:pos="360"/>
        </w:tabs>
        <w:spacing w:before="0"/>
        <w:rPr>
          <w:color w:val="000000"/>
        </w:rPr>
      </w:pPr>
    </w:p>
    <w:p w:rsidR="00372873" w:rsidP="00364F99" w:rsidRDefault="009C7B27" w14:paraId="18E04BF8" w14:textId="4D3C94D8">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data collection provides the Council and analysts with relevant baseline information that </w:t>
      </w:r>
      <w:proofErr w:type="gramStart"/>
      <w:r>
        <w:rPr>
          <w:rFonts w:ascii="Times New Roman" w:hAnsi="Times New Roman" w:eastAsia="Times New Roman" w:cs="Times New Roman"/>
          <w:color w:val="000000"/>
          <w:sz w:val="24"/>
          <w:szCs w:val="24"/>
        </w:rPr>
        <w:t>can be used</w:t>
      </w:r>
      <w:proofErr w:type="gramEnd"/>
      <w:r>
        <w:rPr>
          <w:rFonts w:ascii="Times New Roman" w:hAnsi="Times New Roman" w:eastAsia="Times New Roman" w:cs="Times New Roman"/>
          <w:color w:val="000000"/>
          <w:sz w:val="24"/>
          <w:szCs w:val="24"/>
        </w:rPr>
        <w:t xml:space="preserve"> to assess the impacts of management decisions on affected harvesters, processors, and communities in the GOA. The Council expressed the need </w:t>
      </w:r>
      <w:proofErr w:type="gramStart"/>
      <w:r>
        <w:rPr>
          <w:rFonts w:ascii="Times New Roman" w:hAnsi="Times New Roman" w:eastAsia="Times New Roman" w:cs="Times New Roman"/>
          <w:color w:val="000000"/>
          <w:sz w:val="24"/>
          <w:szCs w:val="24"/>
        </w:rPr>
        <w:t>to better understand</w:t>
      </w:r>
      <w:proofErr w:type="gramEnd"/>
      <w:r>
        <w:rPr>
          <w:rFonts w:ascii="Times New Roman" w:hAnsi="Times New Roman" w:eastAsia="Times New Roman" w:cs="Times New Roman"/>
          <w:color w:val="000000"/>
          <w:sz w:val="24"/>
          <w:szCs w:val="24"/>
        </w:rPr>
        <w:t xml:space="preserve"> the potential economic and employment impacts actions would have on specific job categories of persons in fishing, processing, or administration of fishing operations. Additional data </w:t>
      </w:r>
      <w:proofErr w:type="gramStart"/>
      <w:r>
        <w:rPr>
          <w:rFonts w:ascii="Times New Roman" w:hAnsi="Times New Roman" w:eastAsia="Times New Roman" w:cs="Times New Roman"/>
          <w:color w:val="000000"/>
          <w:sz w:val="24"/>
          <w:szCs w:val="24"/>
        </w:rPr>
        <w:t>are needed</w:t>
      </w:r>
      <w:proofErr w:type="gramEnd"/>
      <w:r>
        <w:rPr>
          <w:rFonts w:ascii="Times New Roman" w:hAnsi="Times New Roman" w:eastAsia="Times New Roman" w:cs="Times New Roman"/>
          <w:color w:val="000000"/>
          <w:sz w:val="24"/>
          <w:szCs w:val="24"/>
        </w:rPr>
        <w:t xml:space="preserve"> prior to the implementation of a GOA trawl catch share program to augment data that are currently available.  The Council and NMFS agree that baseline information collected by this EDR will provide a better understanding of the </w:t>
      </w:r>
      <w:proofErr w:type="gramStart"/>
      <w:r>
        <w:rPr>
          <w:rFonts w:ascii="Times New Roman" w:hAnsi="Times New Roman" w:eastAsia="Times New Roman" w:cs="Times New Roman"/>
          <w:color w:val="000000"/>
          <w:sz w:val="24"/>
          <w:szCs w:val="24"/>
        </w:rPr>
        <w:t>crew members</w:t>
      </w:r>
      <w:proofErr w:type="gramEnd"/>
      <w:r>
        <w:rPr>
          <w:rFonts w:ascii="Times New Roman" w:hAnsi="Times New Roman" w:eastAsia="Times New Roman" w:cs="Times New Roman"/>
          <w:color w:val="000000"/>
          <w:sz w:val="24"/>
          <w:szCs w:val="24"/>
        </w:rPr>
        <w:t xml:space="preserve"> that participate in the GOA trawl fishery and these workers’ compensation in the time period before additional catch share programs are established in the GOA.  The analysis of data collection alternatives </w:t>
      </w:r>
      <w:proofErr w:type="gramStart"/>
      <w:r>
        <w:rPr>
          <w:rFonts w:ascii="Times New Roman" w:hAnsi="Times New Roman" w:eastAsia="Times New Roman" w:cs="Times New Roman"/>
          <w:color w:val="000000"/>
          <w:sz w:val="24"/>
          <w:szCs w:val="24"/>
        </w:rPr>
        <w:t>may be found</w:t>
      </w:r>
      <w:proofErr w:type="gramEnd"/>
      <w:r>
        <w:rPr>
          <w:rFonts w:ascii="Times New Roman" w:hAnsi="Times New Roman" w:eastAsia="Times New Roman" w:cs="Times New Roman"/>
          <w:color w:val="000000"/>
          <w:sz w:val="24"/>
          <w:szCs w:val="24"/>
        </w:rPr>
        <w:t xml:space="preserve"> on the Council website (</w:t>
      </w:r>
      <w:hyperlink w:history="1" r:id="rId19">
        <w:r w:rsidRPr="00F51162">
          <w:rPr>
            <w:rStyle w:val="Hyperlink"/>
            <w:rFonts w:ascii="Times New Roman" w:hAnsi="Times New Roman" w:eastAsia="Times New Roman" w:cs="Times New Roman"/>
            <w:sz w:val="24"/>
            <w:szCs w:val="24"/>
          </w:rPr>
          <w:t>https://www.npfmc.org/wp-content/PDFdocuments/catch_shares/GOAtrawl/GOATrawlDataCollection913.pdf</w:t>
        </w:r>
      </w:hyperlink>
      <w:r>
        <w:rPr>
          <w:rFonts w:ascii="Times New Roman" w:hAnsi="Times New Roman" w:eastAsia="Times New Roman" w:cs="Times New Roman"/>
          <w:color w:val="000000"/>
          <w:sz w:val="24"/>
          <w:szCs w:val="24"/>
        </w:rPr>
        <w:t>)</w:t>
      </w:r>
    </w:p>
    <w:p w:rsidR="00372873" w:rsidP="00364F99" w:rsidRDefault="00372873" w14:paraId="6FCF2542"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00372873" w:rsidP="00CB222E" w:rsidRDefault="00CB222E" w14:paraId="78D54FB5" w14:textId="6EE49AFA">
      <w:pPr>
        <w:numPr>
          <w:ilvl w:val="0"/>
          <w:numId w:val="7"/>
        </w:numPr>
        <w:pBdr>
          <w:top w:val="nil"/>
          <w:left w:val="nil"/>
          <w:bottom w:val="nil"/>
          <w:right w:val="nil"/>
          <w:between w:val="nil"/>
        </w:pBdr>
        <w:tabs>
          <w:tab w:val="left" w:pos="360"/>
        </w:tabs>
        <w:spacing w:before="80"/>
        <w:ind w:left="130" w:firstLine="0"/>
        <w:rPr>
          <w:color w:val="000000"/>
        </w:rPr>
      </w:pPr>
      <w:r>
        <w:rPr>
          <w:rFonts w:ascii="Times New Roman" w:hAnsi="Times New Roman" w:eastAsia="Times New Roman" w:cs="Times New Roman"/>
          <w:b/>
          <w:color w:val="000000"/>
          <w:sz w:val="24"/>
          <w:szCs w:val="24"/>
        </w:rPr>
        <w:t xml:space="preserve">  </w:t>
      </w:r>
      <w:r w:rsidR="009C7B27">
        <w:rPr>
          <w:rFonts w:ascii="Times New Roman" w:hAnsi="Times New Roman" w:eastAsia="Times New Roman" w:cs="Times New Roman"/>
          <w:b/>
          <w:color w:val="000000"/>
          <w:sz w:val="24"/>
          <w:szCs w:val="24"/>
        </w:rPr>
        <w:t xml:space="preserve">Explain any special circumstances that would cause an information collection to </w:t>
      </w:r>
      <w:proofErr w:type="gramStart"/>
      <w:r w:rsidR="009C7B27">
        <w:rPr>
          <w:rFonts w:ascii="Times New Roman" w:hAnsi="Times New Roman" w:eastAsia="Times New Roman" w:cs="Times New Roman"/>
          <w:b/>
          <w:color w:val="000000"/>
          <w:sz w:val="24"/>
          <w:szCs w:val="24"/>
        </w:rPr>
        <w:t>be conducted</w:t>
      </w:r>
      <w:proofErr w:type="gramEnd"/>
      <w:r w:rsidR="009C7B27">
        <w:rPr>
          <w:rFonts w:ascii="Times New Roman" w:hAnsi="Times New Roman" w:eastAsia="Times New Roman" w:cs="Times New Roman"/>
          <w:b/>
          <w:color w:val="000000"/>
          <w:sz w:val="24"/>
          <w:szCs w:val="24"/>
        </w:rPr>
        <w:t xml:space="preserve"> in a manner</w:t>
      </w:r>
      <w:r w:rsidRPr="008F5721" w:rsidR="008F5721">
        <w:t xml:space="preserve"> </w:t>
      </w:r>
      <w:r w:rsidRPr="008F5721" w:rsidR="008F5721">
        <w:rPr>
          <w:rFonts w:ascii="Times New Roman" w:hAnsi="Times New Roman" w:eastAsia="Times New Roman" w:cs="Times New Roman"/>
          <w:b/>
          <w:color w:val="000000"/>
          <w:sz w:val="24"/>
          <w:szCs w:val="24"/>
        </w:rPr>
        <w:t>inconsistent with OMB guidelines</w:t>
      </w:r>
      <w:r w:rsidR="008F5721">
        <w:rPr>
          <w:rFonts w:ascii="Times New Roman" w:hAnsi="Times New Roman" w:eastAsia="Times New Roman" w:cs="Times New Roman"/>
          <w:b/>
          <w:color w:val="000000"/>
          <w:sz w:val="24"/>
          <w:szCs w:val="24"/>
        </w:rPr>
        <w:t>.</w:t>
      </w:r>
    </w:p>
    <w:p w:rsidR="00372873" w:rsidP="00B30C07" w:rsidRDefault="00372873" w14:paraId="647265F3" w14:textId="5ACC9347">
      <w:pPr>
        <w:pBdr>
          <w:top w:val="nil"/>
          <w:left w:val="nil"/>
          <w:bottom w:val="nil"/>
          <w:right w:val="nil"/>
          <w:between w:val="nil"/>
        </w:pBdr>
        <w:spacing w:before="0"/>
        <w:ind w:left="720"/>
        <w:rPr>
          <w:rFonts w:ascii="Times New Roman" w:hAnsi="Times New Roman" w:eastAsia="Times New Roman" w:cs="Times New Roman"/>
          <w:b/>
          <w:color w:val="000000"/>
          <w:sz w:val="24"/>
          <w:szCs w:val="24"/>
        </w:rPr>
      </w:pPr>
    </w:p>
    <w:p w:rsidR="00372873" w:rsidRDefault="00903B78" w14:paraId="1F97A42B" w14:textId="56D32905">
      <w:pPr>
        <w:spacing w:before="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collection </w:t>
      </w:r>
      <w:proofErr w:type="gramStart"/>
      <w:r>
        <w:rPr>
          <w:rFonts w:ascii="Times New Roman" w:hAnsi="Times New Roman" w:eastAsia="Times New Roman" w:cs="Times New Roman"/>
          <w:color w:val="000000"/>
          <w:sz w:val="24"/>
          <w:szCs w:val="24"/>
        </w:rPr>
        <w:t>is conducted</w:t>
      </w:r>
      <w:proofErr w:type="gramEnd"/>
      <w:r>
        <w:rPr>
          <w:rFonts w:ascii="Times New Roman" w:hAnsi="Times New Roman" w:eastAsia="Times New Roman" w:cs="Times New Roman"/>
          <w:color w:val="000000"/>
          <w:sz w:val="24"/>
          <w:szCs w:val="24"/>
        </w:rPr>
        <w:t xml:space="preserve"> in a manner consistent with OMB guidelines.</w:t>
      </w:r>
    </w:p>
    <w:p w:rsidR="00903B78" w:rsidRDefault="00903B78" w14:paraId="7DD97A02" w14:textId="77777777">
      <w:pPr>
        <w:spacing w:before="120"/>
        <w:rPr>
          <w:rFonts w:ascii="Times New Roman" w:hAnsi="Times New Roman" w:eastAsia="Times New Roman" w:cs="Times New Roman"/>
          <w:sz w:val="24"/>
          <w:szCs w:val="24"/>
        </w:rPr>
      </w:pPr>
    </w:p>
    <w:p w:rsidR="00372873" w:rsidP="00B30C07" w:rsidRDefault="009C7B27" w14:paraId="1781CA09" w14:textId="77777777">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72873" w:rsidP="00B30C07" w:rsidRDefault="00372873" w14:paraId="69306886" w14:textId="77777777">
      <w:pPr>
        <w:pBdr>
          <w:top w:val="nil"/>
          <w:left w:val="nil"/>
          <w:bottom w:val="nil"/>
          <w:right w:val="nil"/>
          <w:between w:val="nil"/>
        </w:pBdr>
        <w:spacing w:before="0"/>
        <w:rPr>
          <w:rFonts w:ascii="Times New Roman" w:hAnsi="Times New Roman" w:eastAsia="Times New Roman" w:cs="Times New Roman"/>
          <w:color w:val="2F5496"/>
          <w:sz w:val="24"/>
          <w:szCs w:val="24"/>
        </w:rPr>
      </w:pPr>
    </w:p>
    <w:p w:rsidR="00372873" w:rsidP="00B30C07" w:rsidRDefault="009C7B27" w14:paraId="0126D1CC" w14:textId="66670CC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i/>
          <w:sz w:val="24"/>
          <w:szCs w:val="24"/>
        </w:rPr>
        <w:t>Federal Register</w:t>
      </w:r>
      <w:r>
        <w:rPr>
          <w:rFonts w:ascii="Times New Roman" w:hAnsi="Times New Roman" w:eastAsia="Times New Roman" w:cs="Times New Roman"/>
          <w:sz w:val="24"/>
          <w:szCs w:val="24"/>
        </w:rPr>
        <w:t xml:space="preserve"> Notice was published on July 23, 2020 (</w:t>
      </w:r>
      <w:hyperlink w:history="1" r:id="rId20">
        <w:r w:rsidRPr="00D51002" w:rsidR="00D51002">
          <w:rPr>
            <w:rFonts w:ascii="Times New Roman" w:hAnsi="Times New Roman" w:eastAsia="Calibri" w:cs="Times New Roman"/>
            <w:color w:val="0563C1"/>
            <w:sz w:val="24"/>
            <w:szCs w:val="24"/>
            <w:u w:val="single"/>
          </w:rPr>
          <w:t>85 FR 44524</w:t>
        </w:r>
      </w:hyperlink>
      <w:r>
        <w:rPr>
          <w:rFonts w:ascii="Times New Roman" w:hAnsi="Times New Roman" w:eastAsia="Times New Roman" w:cs="Times New Roman"/>
          <w:sz w:val="24"/>
          <w:szCs w:val="24"/>
        </w:rPr>
        <w:t xml:space="preserve">), to solicit public comment. The comment period ended on September 21, 2020. No public comments </w:t>
      </w:r>
      <w:proofErr w:type="gramStart"/>
      <w:r>
        <w:rPr>
          <w:rFonts w:ascii="Times New Roman" w:hAnsi="Times New Roman" w:eastAsia="Times New Roman" w:cs="Times New Roman"/>
          <w:sz w:val="24"/>
          <w:szCs w:val="24"/>
        </w:rPr>
        <w:t>were received</w:t>
      </w:r>
      <w:proofErr w:type="gramEnd"/>
      <w:r>
        <w:rPr>
          <w:rFonts w:ascii="Times New Roman" w:hAnsi="Times New Roman" w:eastAsia="Times New Roman" w:cs="Times New Roman"/>
          <w:sz w:val="24"/>
          <w:szCs w:val="24"/>
        </w:rPr>
        <w:t xml:space="preserve">.   </w:t>
      </w:r>
    </w:p>
    <w:p w:rsidR="00372873" w:rsidP="00B30C07" w:rsidRDefault="00372873" w14:paraId="494B2EEA" w14:textId="77777777">
      <w:pPr>
        <w:spacing w:before="0"/>
        <w:rPr>
          <w:rFonts w:ascii="Times New Roman" w:hAnsi="Times New Roman" w:eastAsia="Times New Roman" w:cs="Times New Roman"/>
          <w:sz w:val="24"/>
          <w:szCs w:val="24"/>
        </w:rPr>
      </w:pPr>
    </w:p>
    <w:p w:rsidR="00372873" w:rsidP="00B30C07" w:rsidRDefault="009C7B27" w14:paraId="64539C80" w14:textId="18316CFD">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Comments </w:t>
      </w:r>
      <w:proofErr w:type="gramStart"/>
      <w:r>
        <w:rPr>
          <w:rFonts w:ascii="Times New Roman" w:hAnsi="Times New Roman" w:eastAsia="Times New Roman" w:cs="Times New Roman"/>
          <w:sz w:val="24"/>
          <w:szCs w:val="24"/>
        </w:rPr>
        <w:t>were also solicited</w:t>
      </w:r>
      <w:proofErr w:type="gramEnd"/>
      <w:r>
        <w:rPr>
          <w:rFonts w:ascii="Times New Roman" w:hAnsi="Times New Roman" w:eastAsia="Times New Roman" w:cs="Times New Roman"/>
          <w:sz w:val="24"/>
          <w:szCs w:val="24"/>
        </w:rPr>
        <w:t xml:space="preserve"> through public testimony in the Council process on January 31, 2020.  The Council has been reviewing all of the EDR collections over the past several years, first with a request for a discussion paper comparing the various EDRs.  Second, the Council moved to consider a regulatory amendment </w:t>
      </w:r>
      <w:proofErr w:type="gramStart"/>
      <w:r>
        <w:rPr>
          <w:rFonts w:ascii="Times New Roman" w:hAnsi="Times New Roman" w:eastAsia="Times New Roman" w:cs="Times New Roman"/>
          <w:sz w:val="24"/>
          <w:szCs w:val="24"/>
        </w:rPr>
        <w:t>to possibly revise</w:t>
      </w:r>
      <w:proofErr w:type="gramEnd"/>
      <w:r>
        <w:rPr>
          <w:rFonts w:ascii="Times New Roman" w:hAnsi="Times New Roman" w:eastAsia="Times New Roman" w:cs="Times New Roman"/>
          <w:sz w:val="24"/>
          <w:szCs w:val="24"/>
        </w:rPr>
        <w:t xml:space="preserve"> the EDR program collections and received an initial review draft of that analysis in January 2020.  The Council has postponed action and charged its Social Sciences Planning Team (SSPT) to conduct further stakeholder outreach in August and September of 2020 and to develop recommendations for further analysis of regulatory amendments.</w:t>
      </w:r>
    </w:p>
    <w:p w:rsidR="0073501C" w:rsidP="00B30C07" w:rsidRDefault="0073501C" w14:paraId="44D3E414" w14:textId="77777777">
      <w:pPr>
        <w:spacing w:before="0"/>
        <w:rPr>
          <w:color w:val="000000"/>
        </w:rPr>
      </w:pPr>
    </w:p>
    <w:p w:rsidR="00372873" w:rsidP="00B30C07" w:rsidRDefault="0073501C" w14:paraId="76A7C977" w14:textId="04337FDE">
      <w:pPr>
        <w:spacing w:before="0"/>
        <w:rPr>
          <w:rFonts w:ascii="Times New Roman" w:hAnsi="Times New Roman" w:eastAsia="Times New Roman" w:cs="Times New Roman"/>
          <w:sz w:val="24"/>
          <w:szCs w:val="24"/>
        </w:rPr>
      </w:pPr>
      <w:r w:rsidRPr="0073501C">
        <w:rPr>
          <w:rFonts w:ascii="Times New Roman" w:hAnsi="Times New Roman" w:eastAsia="Times New Roman" w:cs="Times New Roman"/>
          <w:sz w:val="24"/>
          <w:szCs w:val="24"/>
        </w:rPr>
        <w:t xml:space="preserve">This collection </w:t>
      </w:r>
      <w:proofErr w:type="gramStart"/>
      <w:r w:rsidRPr="0073501C">
        <w:rPr>
          <w:rFonts w:ascii="Times New Roman" w:hAnsi="Times New Roman" w:eastAsia="Times New Roman" w:cs="Times New Roman"/>
          <w:sz w:val="24"/>
          <w:szCs w:val="24"/>
        </w:rPr>
        <w:t>is required</w:t>
      </w:r>
      <w:proofErr w:type="gramEnd"/>
      <w:r w:rsidRPr="0073501C">
        <w:rPr>
          <w:rFonts w:ascii="Times New Roman" w:hAnsi="Times New Roman" w:eastAsia="Times New Roman" w:cs="Times New Roman"/>
          <w:sz w:val="24"/>
          <w:szCs w:val="24"/>
        </w:rPr>
        <w:t xml:space="preserve"> by regulation and </w:t>
      </w:r>
      <w:r w:rsidRPr="0037553C">
        <w:rPr>
          <w:rFonts w:ascii="Times New Roman" w:hAnsi="Times New Roman" w:eastAsia="Times New Roman" w:cs="Times New Roman"/>
          <w:sz w:val="24"/>
          <w:szCs w:val="24"/>
        </w:rPr>
        <w:t>Federal Fishing Permit</w:t>
      </w:r>
      <w:r w:rsidRPr="0073501C">
        <w:rPr>
          <w:rFonts w:ascii="Times New Roman" w:hAnsi="Times New Roman" w:eastAsia="Times New Roman" w:cs="Times New Roman"/>
          <w:sz w:val="24"/>
          <w:szCs w:val="24"/>
        </w:rPr>
        <w:t xml:space="preserve"> issuance is dependent on compliance.  Without Council action to direct NMFS to make a regulatory amendment suspending or eliminating the program </w:t>
      </w:r>
      <w:r>
        <w:rPr>
          <w:rFonts w:ascii="Times New Roman" w:hAnsi="Times New Roman" w:eastAsia="Times New Roman" w:cs="Times New Roman"/>
          <w:sz w:val="24"/>
          <w:szCs w:val="24"/>
        </w:rPr>
        <w:t>NMFS</w:t>
      </w:r>
      <w:r w:rsidRPr="0073501C">
        <w:rPr>
          <w:rFonts w:ascii="Times New Roman" w:hAnsi="Times New Roman" w:eastAsia="Times New Roman" w:cs="Times New Roman"/>
          <w:sz w:val="24"/>
          <w:szCs w:val="24"/>
        </w:rPr>
        <w:t xml:space="preserve"> cannot waive compliance.  The Council chose not to eliminate this program in January</w:t>
      </w:r>
      <w:r w:rsidR="00054E82">
        <w:rPr>
          <w:rFonts w:ascii="Times New Roman" w:hAnsi="Times New Roman" w:eastAsia="Times New Roman" w:cs="Times New Roman"/>
          <w:sz w:val="24"/>
          <w:szCs w:val="24"/>
        </w:rPr>
        <w:t>--</w:t>
      </w:r>
      <w:r w:rsidRPr="0073501C">
        <w:rPr>
          <w:rFonts w:ascii="Times New Roman" w:hAnsi="Times New Roman" w:eastAsia="Times New Roman" w:cs="Times New Roman"/>
          <w:sz w:val="24"/>
          <w:szCs w:val="24"/>
        </w:rPr>
        <w:t xml:space="preserve"> 2020, and such action was one of the alternatives analyzed and presented to the Council.  The Council specifically chose</w:t>
      </w:r>
      <w:r>
        <w:rPr>
          <w:rFonts w:ascii="Times New Roman" w:hAnsi="Times New Roman" w:eastAsia="Times New Roman" w:cs="Times New Roman"/>
          <w:sz w:val="24"/>
          <w:szCs w:val="24"/>
        </w:rPr>
        <w:t>,</w:t>
      </w:r>
      <w:r w:rsidRPr="0073501C">
        <w:rPr>
          <w:rFonts w:ascii="Times New Roman" w:hAnsi="Times New Roman" w:eastAsia="Times New Roman" w:cs="Times New Roman"/>
          <w:sz w:val="24"/>
          <w:szCs w:val="24"/>
        </w:rPr>
        <w:t xml:space="preserve"> instead</w:t>
      </w:r>
      <w:r>
        <w:rPr>
          <w:rFonts w:ascii="Times New Roman" w:hAnsi="Times New Roman" w:eastAsia="Times New Roman" w:cs="Times New Roman"/>
          <w:sz w:val="24"/>
          <w:szCs w:val="24"/>
        </w:rPr>
        <w:t>,</w:t>
      </w:r>
      <w:r w:rsidRPr="0073501C">
        <w:rPr>
          <w:rFonts w:ascii="Times New Roman" w:hAnsi="Times New Roman" w:eastAsia="Times New Roman" w:cs="Times New Roman"/>
          <w:sz w:val="24"/>
          <w:szCs w:val="24"/>
        </w:rPr>
        <w:t xml:space="preserve"> to continue this collection while the SSPT process occurs and evaluate all of the EDR collections comprehensively so that revisions can be made utilizing the best scientific information as well as with ample opportunity for stakeholder input</w:t>
      </w:r>
      <w:r w:rsidR="005F0DA4">
        <w:rPr>
          <w:rFonts w:ascii="Times New Roman" w:hAnsi="Times New Roman" w:eastAsia="Times New Roman" w:cs="Times New Roman"/>
          <w:sz w:val="24"/>
          <w:szCs w:val="24"/>
        </w:rPr>
        <w:t>.</w:t>
      </w:r>
    </w:p>
    <w:p w:rsidR="0073501C" w:rsidP="00B30C07" w:rsidRDefault="0073501C" w14:paraId="201B3914" w14:textId="77777777">
      <w:pPr>
        <w:spacing w:before="0"/>
        <w:rPr>
          <w:rFonts w:ascii="Times New Roman" w:hAnsi="Times New Roman" w:eastAsia="Times New Roman" w:cs="Times New Roman"/>
          <w:sz w:val="24"/>
          <w:szCs w:val="24"/>
        </w:rPr>
      </w:pPr>
    </w:p>
    <w:p w:rsidRPr="00620087" w:rsidR="00372873" w:rsidP="00B30C07" w:rsidRDefault="009C7B27" w14:paraId="1DE8DACF" w14:textId="4F79232A">
      <w:pPr>
        <w:spacing w:before="0"/>
        <w:rPr>
          <w:rFonts w:ascii="Times New Roman" w:hAnsi="Times New Roman" w:eastAsia="Times New Roman" w:cs="Times New Roman"/>
          <w:sz w:val="24"/>
          <w:szCs w:val="24"/>
        </w:rPr>
      </w:pPr>
      <w:r w:rsidRPr="00620087">
        <w:rPr>
          <w:rFonts w:ascii="Times New Roman" w:hAnsi="Times New Roman" w:cs="Times New Roman"/>
          <w:sz w:val="24"/>
          <w:szCs w:val="24"/>
        </w:rPr>
        <w:t xml:space="preserve">The SSPT has held an </w:t>
      </w:r>
      <w:proofErr w:type="gramStart"/>
      <w:r w:rsidRPr="00620087">
        <w:rPr>
          <w:rFonts w:ascii="Times New Roman" w:hAnsi="Times New Roman" w:cs="Times New Roman"/>
          <w:sz w:val="24"/>
          <w:szCs w:val="24"/>
        </w:rPr>
        <w:t>EDR program stakeholder comment meeting</w:t>
      </w:r>
      <w:proofErr w:type="gramEnd"/>
      <w:r w:rsidRPr="00620087">
        <w:rPr>
          <w:rFonts w:ascii="Times New Roman" w:hAnsi="Times New Roman" w:cs="Times New Roman"/>
          <w:sz w:val="24"/>
          <w:szCs w:val="24"/>
        </w:rPr>
        <w:t>, a separate team meeting, and is now planning four separate stakeholder meetings, one for each EDR collection</w:t>
      </w:r>
      <w:r w:rsidRPr="00620087" w:rsidR="0073501C">
        <w:rPr>
          <w:rFonts w:ascii="Times New Roman" w:hAnsi="Times New Roman" w:cs="Times New Roman"/>
          <w:sz w:val="24"/>
          <w:szCs w:val="24"/>
        </w:rPr>
        <w:t xml:space="preserve"> in November 2020.</w:t>
      </w:r>
      <w:r w:rsidRPr="00620087">
        <w:rPr>
          <w:rFonts w:ascii="Times New Roman" w:hAnsi="Times New Roman" w:cs="Times New Roman"/>
          <w:sz w:val="24"/>
          <w:szCs w:val="24"/>
        </w:rPr>
        <w:t xml:space="preserve">  It </w:t>
      </w:r>
      <w:proofErr w:type="gramStart"/>
      <w:r w:rsidRPr="00620087">
        <w:rPr>
          <w:rFonts w:ascii="Times New Roman" w:hAnsi="Times New Roman" w:cs="Times New Roman"/>
          <w:sz w:val="24"/>
          <w:szCs w:val="24"/>
        </w:rPr>
        <w:t>is anticipated</w:t>
      </w:r>
      <w:proofErr w:type="gramEnd"/>
      <w:r w:rsidRPr="00620087">
        <w:rPr>
          <w:rFonts w:ascii="Times New Roman" w:hAnsi="Times New Roman" w:cs="Times New Roman"/>
          <w:sz w:val="24"/>
          <w:szCs w:val="24"/>
        </w:rPr>
        <w:t xml:space="preserve"> that team report will be provided to the Council with EDR program revision recommendations in February of 2021.</w:t>
      </w:r>
    </w:p>
    <w:p w:rsidR="00372873" w:rsidP="00B30C07" w:rsidRDefault="00372873" w14:paraId="061D127C" w14:textId="77777777">
      <w:pPr>
        <w:spacing w:before="0"/>
        <w:rPr>
          <w:rFonts w:ascii="Times New Roman" w:hAnsi="Times New Roman" w:eastAsia="Times New Roman" w:cs="Times New Roman"/>
          <w:sz w:val="24"/>
          <w:szCs w:val="24"/>
        </w:rPr>
      </w:pPr>
    </w:p>
    <w:p w:rsidR="00372873" w:rsidP="00B30C07" w:rsidRDefault="009C7B27" w14:paraId="245AC8C9" w14:textId="10EBEE73">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Public testimony related to this collection during the Council meeting focused on the longevity of this collection and that the Amendment 80 catch shares program has matured and has stabilized the fishery to the point that data is </w:t>
      </w:r>
      <w:proofErr w:type="gramStart"/>
      <w:r>
        <w:rPr>
          <w:rFonts w:ascii="Times New Roman" w:hAnsi="Times New Roman" w:eastAsia="Times New Roman" w:cs="Times New Roman"/>
          <w:sz w:val="24"/>
          <w:szCs w:val="24"/>
        </w:rPr>
        <w:t>fairly consistent</w:t>
      </w:r>
      <w:proofErr w:type="gramEnd"/>
      <w:r>
        <w:rPr>
          <w:rFonts w:ascii="Times New Roman" w:hAnsi="Times New Roman" w:eastAsia="Times New Roman" w:cs="Times New Roman"/>
          <w:sz w:val="24"/>
          <w:szCs w:val="24"/>
        </w:rPr>
        <w:t xml:space="preserve"> from year to year and annual submission may not be necessary.  A commenter suggested that all annual EDRs be suspended and only required in years of LAPP (e.g., catch shares) review.  Respondents who testified contend that some of the information is available from other sources and duplication needs to </w:t>
      </w:r>
      <w:proofErr w:type="gramStart"/>
      <w:r>
        <w:rPr>
          <w:rFonts w:ascii="Times New Roman" w:hAnsi="Times New Roman" w:eastAsia="Times New Roman" w:cs="Times New Roman"/>
          <w:sz w:val="24"/>
          <w:szCs w:val="24"/>
        </w:rPr>
        <w:t>be reviewed</w:t>
      </w:r>
      <w:proofErr w:type="gramEnd"/>
      <w:r>
        <w:rPr>
          <w:rFonts w:ascii="Times New Roman" w:hAnsi="Times New Roman" w:eastAsia="Times New Roman" w:cs="Times New Roman"/>
          <w:sz w:val="24"/>
          <w:szCs w:val="24"/>
        </w:rPr>
        <w:t xml:space="preserve"> for elimination.  </w:t>
      </w:r>
      <w:proofErr w:type="gramStart"/>
      <w:r>
        <w:rPr>
          <w:rFonts w:ascii="Times New Roman" w:hAnsi="Times New Roman" w:eastAsia="Times New Roman" w:cs="Times New Roman"/>
          <w:sz w:val="24"/>
          <w:szCs w:val="24"/>
        </w:rPr>
        <w:t>While some of the information in this collection may appear in other industry provided reports, such as cooperative reports, this collection provides a unique cross-sectional time series set of vessel level observations that are of consistently high quality, whereas other aggregated data sources or voluntarily provided information do not provide disaggregated data or have the level of oversight and quality control present in the EDR Program.</w:t>
      </w:r>
      <w:proofErr w:type="gramEnd"/>
      <w:r>
        <w:rPr>
          <w:rFonts w:ascii="Times New Roman" w:hAnsi="Times New Roman" w:eastAsia="Times New Roman" w:cs="Times New Roman"/>
          <w:sz w:val="24"/>
          <w:szCs w:val="24"/>
        </w:rPr>
        <w:t xml:space="preserve">  </w:t>
      </w:r>
    </w:p>
    <w:p w:rsidR="00372873" w:rsidP="00B30C07" w:rsidRDefault="00372873" w14:paraId="49D5812A" w14:textId="77777777">
      <w:pPr>
        <w:spacing w:before="0"/>
        <w:rPr>
          <w:rFonts w:ascii="Times New Roman" w:hAnsi="Times New Roman" w:eastAsia="Times New Roman" w:cs="Times New Roman"/>
          <w:sz w:val="24"/>
          <w:szCs w:val="24"/>
        </w:rPr>
      </w:pPr>
    </w:p>
    <w:p w:rsidR="00372873" w:rsidP="00B30C07" w:rsidRDefault="009C7B27" w14:paraId="1EC9004D" w14:textId="7777777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Several commenters contend that the EDR data is not being used in the Council’s fisheries management </w:t>
      </w:r>
      <w:proofErr w:type="gramStart"/>
      <w:r>
        <w:rPr>
          <w:rFonts w:ascii="Times New Roman" w:hAnsi="Times New Roman" w:eastAsia="Times New Roman" w:cs="Times New Roman"/>
          <w:sz w:val="24"/>
          <w:szCs w:val="24"/>
        </w:rPr>
        <w:t>decision making</w:t>
      </w:r>
      <w:proofErr w:type="gramEnd"/>
      <w:r>
        <w:rPr>
          <w:rFonts w:ascii="Times New Roman" w:hAnsi="Times New Roman" w:eastAsia="Times New Roman" w:cs="Times New Roman"/>
          <w:sz w:val="24"/>
          <w:szCs w:val="24"/>
        </w:rPr>
        <w:t xml:space="preserve"> process; however, EDR data from this collection is used in the Council process to develop analyses that the Council then reviews in order to take management actions (see discussion for question 2).  All of these issues </w:t>
      </w:r>
      <w:proofErr w:type="gramStart"/>
      <w:r>
        <w:rPr>
          <w:rFonts w:ascii="Times New Roman" w:hAnsi="Times New Roman" w:eastAsia="Times New Roman" w:cs="Times New Roman"/>
          <w:sz w:val="24"/>
          <w:szCs w:val="24"/>
        </w:rPr>
        <w:t>will be considered</w:t>
      </w:r>
      <w:proofErr w:type="gramEnd"/>
      <w:r>
        <w:rPr>
          <w:rFonts w:ascii="Times New Roman" w:hAnsi="Times New Roman" w:eastAsia="Times New Roman" w:cs="Times New Roman"/>
          <w:sz w:val="24"/>
          <w:szCs w:val="24"/>
        </w:rPr>
        <w:t xml:space="preserve"> during the upcoming SSPT comprehensive review of the EDR programs where additional public comment on EDR revisions will be taken.</w:t>
      </w:r>
    </w:p>
    <w:p w:rsidR="00372873" w:rsidP="00B30C07" w:rsidRDefault="00372873" w14:paraId="201D4DDC" w14:textId="77777777">
      <w:pPr>
        <w:spacing w:before="0"/>
        <w:rPr>
          <w:rFonts w:ascii="Times New Roman" w:hAnsi="Times New Roman" w:eastAsia="Times New Roman" w:cs="Times New Roman"/>
          <w:sz w:val="24"/>
          <w:szCs w:val="24"/>
        </w:rPr>
      </w:pPr>
    </w:p>
    <w:p w:rsidRPr="00B30C07" w:rsidR="00372873" w:rsidP="00B30C07" w:rsidRDefault="009C7B27" w14:paraId="1F40BA21" w14:textId="19E309E4">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Explain any decision to provide any payment or gift to respondents, other than remuneration of contractors or grantees.</w:t>
      </w:r>
    </w:p>
    <w:p w:rsidR="00B30C07" w:rsidP="00B30C07" w:rsidRDefault="00B30C07" w14:paraId="35FF1E82" w14:textId="77777777">
      <w:pPr>
        <w:pBdr>
          <w:top w:val="nil"/>
          <w:left w:val="nil"/>
          <w:bottom w:val="nil"/>
          <w:right w:val="nil"/>
          <w:between w:val="nil"/>
        </w:pBdr>
        <w:tabs>
          <w:tab w:val="left" w:pos="360"/>
        </w:tabs>
        <w:spacing w:before="0"/>
        <w:rPr>
          <w:color w:val="000000"/>
        </w:rPr>
      </w:pPr>
    </w:p>
    <w:p w:rsidR="00372873" w:rsidP="00B30C07" w:rsidRDefault="009C7B27" w14:paraId="1131493A"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 payment or gift </w:t>
      </w:r>
      <w:proofErr w:type="gramStart"/>
      <w:r>
        <w:rPr>
          <w:rFonts w:ascii="Times New Roman" w:hAnsi="Times New Roman" w:eastAsia="Times New Roman" w:cs="Times New Roman"/>
          <w:color w:val="000000"/>
          <w:sz w:val="24"/>
          <w:szCs w:val="24"/>
        </w:rPr>
        <w:t>will be provided</w:t>
      </w:r>
      <w:proofErr w:type="gramEnd"/>
      <w:r>
        <w:rPr>
          <w:rFonts w:ascii="Times New Roman" w:hAnsi="Times New Roman" w:eastAsia="Times New Roman" w:cs="Times New Roman"/>
          <w:color w:val="000000"/>
          <w:sz w:val="24"/>
          <w:szCs w:val="24"/>
        </w:rPr>
        <w:t xml:space="preserve"> under the GOA Trawl EDR Program.</w:t>
      </w:r>
    </w:p>
    <w:p w:rsidR="00372873" w:rsidP="00B30C07" w:rsidRDefault="00372873" w14:paraId="2AD2E341" w14:textId="77777777">
      <w:pPr>
        <w:pBdr>
          <w:top w:val="nil"/>
          <w:left w:val="nil"/>
          <w:bottom w:val="nil"/>
          <w:right w:val="nil"/>
          <w:between w:val="nil"/>
        </w:pBdr>
        <w:spacing w:before="0"/>
        <w:rPr>
          <w:rFonts w:ascii="Times New Roman" w:hAnsi="Times New Roman" w:eastAsia="Times New Roman" w:cs="Times New Roman"/>
          <w:color w:val="2F5496"/>
          <w:sz w:val="24"/>
          <w:szCs w:val="24"/>
        </w:rPr>
      </w:pPr>
    </w:p>
    <w:p w:rsidRPr="00B30C07" w:rsidR="00372873" w:rsidP="00B30C07" w:rsidRDefault="009C7B27" w14:paraId="7764FC64" w14:textId="2AD5A5F2">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rFonts w:ascii="Times New Roman" w:hAnsi="Times New Roman" w:eastAsia="Times New Roman" w:cs="Times New Roman"/>
          <w:b/>
          <w:color w:val="000000"/>
          <w:sz w:val="24"/>
          <w:szCs w:val="24"/>
        </w:rPr>
        <w:t>should be cited and described here</w:t>
      </w:r>
      <w:proofErr w:type="gramEnd"/>
      <w:r>
        <w:rPr>
          <w:rFonts w:ascii="Times New Roman" w:hAnsi="Times New Roman" w:eastAsia="Times New Roman" w:cs="Times New Roman"/>
          <w:b/>
          <w:color w:val="000000"/>
          <w:sz w:val="24"/>
          <w:szCs w:val="24"/>
        </w:rPr>
        <w:t>.</w:t>
      </w:r>
    </w:p>
    <w:p w:rsidR="00B30C07" w:rsidP="00B30C07" w:rsidRDefault="00B30C07" w14:paraId="614C1126" w14:textId="77777777">
      <w:pPr>
        <w:pBdr>
          <w:top w:val="nil"/>
          <w:left w:val="nil"/>
          <w:bottom w:val="nil"/>
          <w:right w:val="nil"/>
          <w:between w:val="nil"/>
        </w:pBdr>
        <w:tabs>
          <w:tab w:val="left" w:pos="360"/>
        </w:tabs>
        <w:spacing w:before="0"/>
        <w:rPr>
          <w:color w:val="000000"/>
        </w:rPr>
      </w:pPr>
    </w:p>
    <w:p w:rsidR="00372873" w:rsidP="00B30C07" w:rsidRDefault="009C7B27" w14:paraId="783388FA" w14:textId="4733BEE8">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 xml:space="preserve">The information collected is confidential under section 402(b) of the Magnuson-Stevens Fishery Conservation and Management Act (16 U.S.C. 1801, </w:t>
      </w:r>
      <w:r>
        <w:rPr>
          <w:rFonts w:ascii="Times New Roman" w:hAnsi="Times New Roman" w:eastAsia="Times New Roman" w:cs="Times New Roman"/>
          <w:i/>
          <w:color w:val="000000"/>
          <w:sz w:val="24"/>
          <w:szCs w:val="24"/>
        </w:rPr>
        <w:t>et seq</w:t>
      </w:r>
      <w:r>
        <w:rPr>
          <w:rFonts w:ascii="Times New Roman" w:hAnsi="Times New Roman" w:eastAsia="Times New Roman" w:cs="Times New Roman"/>
          <w:color w:val="000000"/>
          <w:sz w:val="24"/>
          <w:szCs w:val="24"/>
        </w:rPr>
        <w:t xml:space="preserve">.).  It is also confidential under </w:t>
      </w:r>
      <w:hyperlink r:id="rId21">
        <w:r>
          <w:rPr>
            <w:rFonts w:ascii="Times New Roman" w:hAnsi="Times New Roman" w:eastAsia="Times New Roman" w:cs="Times New Roman"/>
            <w:color w:val="0000FF"/>
            <w:sz w:val="24"/>
            <w:szCs w:val="24"/>
            <w:u w:val="single"/>
          </w:rPr>
          <w:t>NOAA Administrative Order 216-100</w:t>
        </w:r>
      </w:hyperlink>
      <w:hyperlink r:id="rId22">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which sets forth procedures to protect confidentiality of fishery statistics.  Storage for the information includes a computerized database that is password protected and to which access is limited. Paper records </w:t>
      </w:r>
      <w:proofErr w:type="gramStart"/>
      <w:r>
        <w:rPr>
          <w:rFonts w:ascii="Times New Roman" w:hAnsi="Times New Roman" w:eastAsia="Times New Roman" w:cs="Times New Roman"/>
          <w:color w:val="000000"/>
          <w:sz w:val="24"/>
          <w:szCs w:val="24"/>
        </w:rPr>
        <w:t>are filed</w:t>
      </w:r>
      <w:proofErr w:type="gramEnd"/>
      <w:r>
        <w:rPr>
          <w:rFonts w:ascii="Times New Roman" w:hAnsi="Times New Roman" w:eastAsia="Times New Roman" w:cs="Times New Roman"/>
          <w:color w:val="000000"/>
          <w:sz w:val="24"/>
          <w:szCs w:val="24"/>
        </w:rPr>
        <w:t xml:space="preserve"> in folders in locked cabinets in areas that are accessible only to authorized personnel.  Buildings where the records </w:t>
      </w:r>
      <w:proofErr w:type="gramStart"/>
      <w:r>
        <w:rPr>
          <w:rFonts w:ascii="Times New Roman" w:hAnsi="Times New Roman" w:eastAsia="Times New Roman" w:cs="Times New Roman"/>
          <w:color w:val="000000"/>
          <w:sz w:val="24"/>
          <w:szCs w:val="24"/>
        </w:rPr>
        <w:t>are maintained</w:t>
      </w:r>
      <w:proofErr w:type="gramEnd"/>
      <w:r>
        <w:rPr>
          <w:rFonts w:ascii="Times New Roman" w:hAnsi="Times New Roman" w:eastAsia="Times New Roman" w:cs="Times New Roman"/>
          <w:color w:val="000000"/>
          <w:sz w:val="24"/>
          <w:szCs w:val="24"/>
        </w:rPr>
        <w:t xml:space="preserve"> employ security systems with locks and access limits.  Only those that have the need to know, to carry out the official duties of their job, have access to the information. The personnel of NMFS Alaska Region and its contractors (Pacific States) </w:t>
      </w:r>
      <w:proofErr w:type="gramStart"/>
      <w:r>
        <w:rPr>
          <w:rFonts w:ascii="Times New Roman" w:hAnsi="Times New Roman" w:eastAsia="Times New Roman" w:cs="Times New Roman"/>
          <w:color w:val="000000"/>
          <w:sz w:val="24"/>
          <w:szCs w:val="24"/>
        </w:rPr>
        <w:t>are instructed</w:t>
      </w:r>
      <w:proofErr w:type="gramEnd"/>
      <w:r>
        <w:rPr>
          <w:rFonts w:ascii="Times New Roman" w:hAnsi="Times New Roman" w:eastAsia="Times New Roman" w:cs="Times New Roman"/>
          <w:color w:val="000000"/>
          <w:sz w:val="24"/>
          <w:szCs w:val="24"/>
        </w:rPr>
        <w:t xml:space="preserve"> on the confidential nature of this information.</w:t>
      </w:r>
    </w:p>
    <w:p w:rsidR="00B30C07" w:rsidP="00B30C07" w:rsidRDefault="00B30C07" w14:paraId="272FB31C"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00372873" w:rsidP="00B30C07" w:rsidRDefault="009C7B27" w14:paraId="6C1ADA60" w14:textId="74A01BFE">
      <w:pPr>
        <w:pBdr>
          <w:top w:val="nil"/>
          <w:left w:val="nil"/>
          <w:bottom w:val="nil"/>
          <w:right w:val="nil"/>
          <w:between w:val="nil"/>
        </w:pBdr>
        <w:spacing w:before="0"/>
        <w:rPr>
          <w:rFonts w:ascii="Times New Roman" w:hAnsi="Times New Roman" w:eastAsia="Times New Roman" w:cs="Times New Roman"/>
          <w:color w:val="0000FF"/>
          <w:sz w:val="24"/>
          <w:szCs w:val="24"/>
          <w:u w:val="single"/>
        </w:rPr>
      </w:pPr>
      <w:r>
        <w:rPr>
          <w:rFonts w:ascii="Times New Roman" w:hAnsi="Times New Roman" w:eastAsia="Times New Roman" w:cs="Times New Roman"/>
          <w:color w:val="000000"/>
          <w:sz w:val="24"/>
          <w:szCs w:val="24"/>
        </w:rPr>
        <w:t xml:space="preserve">The system of records notice that covers this information collection is </w:t>
      </w:r>
      <w:hyperlink r:id="rId23">
        <w:r>
          <w:rPr>
            <w:rFonts w:ascii="Times New Roman" w:hAnsi="Times New Roman" w:eastAsia="Times New Roman" w:cs="Times New Roman"/>
            <w:color w:val="0000FF"/>
            <w:sz w:val="24"/>
            <w:szCs w:val="24"/>
            <w:u w:val="single"/>
          </w:rPr>
          <w:t>COMMERCE/NOAA #16, Economic Data Reports for Alaska Federally Regulated Fisheries off the Coast of Alaska</w:t>
        </w:r>
      </w:hyperlink>
      <w:r>
        <w:rPr>
          <w:rFonts w:ascii="Times New Roman" w:hAnsi="Times New Roman" w:eastAsia="Times New Roman" w:cs="Times New Roman"/>
          <w:color w:val="0000FF"/>
          <w:sz w:val="24"/>
          <w:szCs w:val="24"/>
          <w:u w:val="single"/>
        </w:rPr>
        <w:t>.</w:t>
      </w:r>
    </w:p>
    <w:p w:rsidR="00B30C07" w:rsidP="00B30C07" w:rsidRDefault="00B30C07" w14:paraId="3D5ED24A" w14:textId="77777777">
      <w:pPr>
        <w:pBdr>
          <w:top w:val="nil"/>
          <w:left w:val="nil"/>
          <w:bottom w:val="nil"/>
          <w:right w:val="nil"/>
          <w:between w:val="nil"/>
        </w:pBdr>
        <w:spacing w:before="0"/>
        <w:rPr>
          <w:rFonts w:ascii="Times New Roman" w:hAnsi="Times New Roman" w:eastAsia="Times New Roman" w:cs="Times New Roman"/>
          <w:color w:val="0000FF"/>
          <w:sz w:val="24"/>
          <w:szCs w:val="24"/>
          <w:u w:val="single"/>
        </w:rPr>
      </w:pPr>
    </w:p>
    <w:p w:rsidR="00372873" w:rsidP="00B30C07" w:rsidRDefault="009C7B27" w14:paraId="5D3882F1"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Privacy Impact Assessment that covers this information collection is </w:t>
      </w:r>
      <w:hyperlink r:id="rId24">
        <w:r>
          <w:rPr>
            <w:rFonts w:ascii="Times New Roman" w:hAnsi="Times New Roman" w:eastAsia="Times New Roman" w:cs="Times New Roman"/>
            <w:color w:val="0000FF"/>
            <w:sz w:val="24"/>
            <w:szCs w:val="24"/>
            <w:u w:val="single"/>
          </w:rPr>
          <w:t>NOAA NMFS Alaska Region Local Area Network (NOAA4700)</w:t>
        </w:r>
      </w:hyperlink>
      <w:r>
        <w:rPr>
          <w:rFonts w:ascii="Times New Roman" w:hAnsi="Times New Roman" w:eastAsia="Times New Roman" w:cs="Times New Roman"/>
          <w:color w:val="000000"/>
          <w:sz w:val="24"/>
          <w:szCs w:val="24"/>
        </w:rPr>
        <w:t>.</w:t>
      </w:r>
    </w:p>
    <w:p w:rsidR="00372873" w:rsidP="00B30C07" w:rsidRDefault="00372873" w14:paraId="5C04514F"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00372873" w:rsidP="00B30C07" w:rsidRDefault="009C7B27" w14:paraId="2CB023E9" w14:textId="77777777">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 xml:space="preserve">Provide additional justification for any questions of a sensitive nature, such as sexual behavior or attitudes, religious beliefs, and other matters that </w:t>
      </w:r>
      <w:proofErr w:type="gramStart"/>
      <w:r>
        <w:rPr>
          <w:rFonts w:ascii="Times New Roman" w:hAnsi="Times New Roman" w:eastAsia="Times New Roman" w:cs="Times New Roman"/>
          <w:b/>
          <w:color w:val="000000"/>
          <w:sz w:val="24"/>
          <w:szCs w:val="24"/>
        </w:rPr>
        <w:t>are commonly considered</w:t>
      </w:r>
      <w:proofErr w:type="gramEnd"/>
      <w:r>
        <w:rPr>
          <w:rFonts w:ascii="Times New Roman" w:hAnsi="Times New Roman" w:eastAsia="Times New Roman" w:cs="Times New Roman"/>
          <w:b/>
          <w:color w:val="000000"/>
          <w:sz w:val="24"/>
          <w:szCs w:val="24"/>
        </w:rPr>
        <w:t xml:space="preserve"> private. This justification should include the reasons why the agency considers the questions necessary, the specific uses to be made of the information, the explanation to </w:t>
      </w:r>
      <w:proofErr w:type="gramStart"/>
      <w:r>
        <w:rPr>
          <w:rFonts w:ascii="Times New Roman" w:hAnsi="Times New Roman" w:eastAsia="Times New Roman" w:cs="Times New Roman"/>
          <w:b/>
          <w:color w:val="000000"/>
          <w:sz w:val="24"/>
          <w:szCs w:val="24"/>
        </w:rPr>
        <w:t>be given</w:t>
      </w:r>
      <w:proofErr w:type="gramEnd"/>
      <w:r>
        <w:rPr>
          <w:rFonts w:ascii="Times New Roman" w:hAnsi="Times New Roman" w:eastAsia="Times New Roman" w:cs="Times New Roman"/>
          <w:b/>
          <w:color w:val="000000"/>
          <w:sz w:val="24"/>
          <w:szCs w:val="24"/>
        </w:rPr>
        <w:t xml:space="preserve"> to persons from whom the information is requested, and any steps to be taken to obtain their consent.</w:t>
      </w:r>
    </w:p>
    <w:p w:rsidR="00372873" w:rsidP="00B30C07" w:rsidRDefault="00372873" w14:paraId="7C5E5DCF"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00372873" w:rsidP="00B30C07" w:rsidRDefault="009C7B27" w14:paraId="4B41C8EE" w14:textId="77777777">
      <w:pPr>
        <w:pBdr>
          <w:top w:val="nil"/>
          <w:left w:val="nil"/>
          <w:bottom w:val="nil"/>
          <w:right w:val="nil"/>
          <w:between w:val="nil"/>
        </w:pBdr>
        <w:spacing w:before="0"/>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This information collection does not involve information of a sensitive nature.</w:t>
      </w:r>
    </w:p>
    <w:p w:rsidR="00372873" w:rsidP="00B30C07" w:rsidRDefault="00372873" w14:paraId="11AC3479" w14:textId="77777777">
      <w:pPr>
        <w:spacing w:before="0"/>
        <w:rPr>
          <w:rFonts w:ascii="Times New Roman" w:hAnsi="Times New Roman" w:eastAsia="Times New Roman" w:cs="Times New Roman"/>
          <w:sz w:val="24"/>
          <w:szCs w:val="24"/>
        </w:rPr>
      </w:pPr>
    </w:p>
    <w:p w:rsidRPr="008F5721" w:rsidR="00372873" w:rsidP="001F5359" w:rsidRDefault="009C7B27" w14:paraId="1665B098" w14:textId="61448AA4">
      <w:pPr>
        <w:keepNext/>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Provide estimates of the hour burden of the collection of information.</w:t>
      </w:r>
    </w:p>
    <w:p w:rsidR="008F5721" w:rsidP="008F5721" w:rsidRDefault="008F5721" w14:paraId="1D87AC58" w14:textId="77777777">
      <w:pPr>
        <w:pBdr>
          <w:top w:val="nil"/>
          <w:left w:val="nil"/>
          <w:bottom w:val="nil"/>
          <w:right w:val="nil"/>
          <w:between w:val="nil"/>
        </w:pBdr>
        <w:tabs>
          <w:tab w:val="left" w:pos="360"/>
        </w:tabs>
        <w:spacing w:before="0"/>
        <w:rPr>
          <w:color w:val="000000"/>
        </w:rPr>
      </w:pPr>
    </w:p>
    <w:p w:rsidR="00372873" w:rsidP="00B30C07" w:rsidRDefault="009C7B27" w14:paraId="27054DCF" w14:textId="26030FC1">
      <w:pPr>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GOA Trawl </w:t>
      </w:r>
      <w:r w:rsidR="008F62B5">
        <w:rPr>
          <w:rFonts w:ascii="Times New Roman" w:hAnsi="Times New Roman" w:eastAsia="Times New Roman" w:cs="Times New Roman"/>
          <w:color w:val="000000"/>
          <w:sz w:val="24"/>
          <w:szCs w:val="24"/>
        </w:rPr>
        <w:t xml:space="preserve">Catcher/Processor </w:t>
      </w:r>
      <w:r>
        <w:rPr>
          <w:rFonts w:ascii="Times New Roman" w:hAnsi="Times New Roman" w:eastAsia="Times New Roman" w:cs="Times New Roman"/>
          <w:color w:val="000000"/>
          <w:sz w:val="24"/>
          <w:szCs w:val="24"/>
        </w:rPr>
        <w:t>EDR applies to 30 licensed vessels, all but one of which are Amendment 80 vessels, while one additional vessel is Amendment 80 eligible.</w:t>
      </w:r>
      <w:r w:rsidR="00AC0AA1">
        <w:rPr>
          <w:rStyle w:val="FootnoteReference"/>
          <w:rFonts w:ascii="Times New Roman" w:hAnsi="Times New Roman" w:eastAsia="Times New Roman" w:cs="Times New Roman"/>
          <w:color w:val="000000"/>
          <w:sz w:val="24"/>
          <w:szCs w:val="24"/>
        </w:rPr>
        <w:footnoteReference w:id="5"/>
      </w:r>
      <w:r>
        <w:rPr>
          <w:rFonts w:ascii="Times New Roman" w:hAnsi="Times New Roman" w:eastAsia="Times New Roman" w:cs="Times New Roman"/>
          <w:color w:val="000000"/>
          <w:sz w:val="24"/>
          <w:szCs w:val="24"/>
        </w:rPr>
        <w:t xml:space="preserve"> The estimated 22 hours per response includes the submittal of the entire EDR, the submittal of the certification pages only, and submittal of responses to questions from an auditor.  This estimate is considerably larger than the 15 hours estimated in the 0648-0700 collection, as past public comment indicated that this collection had a greater reporting burden.</w:t>
      </w:r>
    </w:p>
    <w:p w:rsidR="00372873" w:rsidP="00B30C07" w:rsidRDefault="00372873" w14:paraId="1186C1DD" w14:textId="77777777">
      <w:pPr>
        <w:spacing w:before="0"/>
        <w:ind w:hanging="43"/>
        <w:jc w:val="center"/>
        <w:rPr>
          <w:rFonts w:ascii="Times New Roman" w:hAnsi="Times New Roman" w:eastAsia="Times New Roman" w:cs="Times New Roman"/>
          <w:b/>
          <w:color w:val="FF0000"/>
          <w:sz w:val="24"/>
          <w:szCs w:val="24"/>
        </w:rPr>
      </w:pPr>
    </w:p>
    <w:tbl>
      <w:tblPr>
        <w:tblStyle w:val="a0"/>
        <w:tblW w:w="10367" w:type="dxa"/>
        <w:tblInd w:w="-25" w:type="dxa"/>
        <w:tblLayout w:type="fixed"/>
        <w:tblLook w:val="0400" w:firstRow="0" w:lastRow="0" w:firstColumn="0" w:lastColumn="0" w:noHBand="0" w:noVBand="1"/>
      </w:tblPr>
      <w:tblGrid>
        <w:gridCol w:w="1950"/>
        <w:gridCol w:w="1215"/>
        <w:gridCol w:w="1179"/>
        <w:gridCol w:w="1105"/>
        <w:gridCol w:w="1003"/>
        <w:gridCol w:w="870"/>
        <w:gridCol w:w="957"/>
        <w:gridCol w:w="1044"/>
        <w:gridCol w:w="1044"/>
      </w:tblGrid>
      <w:tr w:rsidR="007961B7" w:rsidTr="007961B7" w14:paraId="7644FF69" w14:textId="77777777">
        <w:trPr>
          <w:trHeight w:val="1767"/>
        </w:trPr>
        <w:tc>
          <w:tcPr>
            <w:tcW w:w="195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72873" w:rsidRDefault="009C7B27" w14:paraId="79C7EF95"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215"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063F1F18"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9"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3E9887DA"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105"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7CA08F82"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003"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36AE5BD9"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870"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5A0663C7"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957"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422EC23A"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44"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16DE0B5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044"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5F666531"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372873" w:rsidTr="007961B7" w14:paraId="0D253A0F" w14:textId="77777777">
        <w:trPr>
          <w:trHeight w:val="387"/>
        </w:trPr>
        <w:tc>
          <w:tcPr>
            <w:tcW w:w="1950" w:type="dxa"/>
            <w:tcBorders>
              <w:top w:val="nil"/>
              <w:left w:val="single" w:color="000000" w:sz="8" w:space="0"/>
              <w:bottom w:val="single" w:color="000000" w:sz="4" w:space="0"/>
              <w:right w:val="single" w:color="000000" w:sz="4" w:space="0"/>
            </w:tcBorders>
            <w:shd w:val="clear" w:color="auto" w:fill="auto"/>
            <w:vAlign w:val="center"/>
          </w:tcPr>
          <w:p w:rsidR="00372873" w:rsidP="007961B7" w:rsidRDefault="009C7B27" w14:paraId="50074D97" w14:textId="32804368">
            <w:pPr>
              <w:spacing w:before="0"/>
              <w:rPr>
                <w:rFonts w:ascii="Calibri" w:hAnsi="Calibri" w:eastAsia="Calibri" w:cs="Calibri"/>
                <w:color w:val="000000"/>
                <w:sz w:val="16"/>
                <w:szCs w:val="16"/>
              </w:rPr>
            </w:pPr>
            <w:r>
              <w:rPr>
                <w:rFonts w:ascii="Calibri" w:hAnsi="Calibri" w:eastAsia="Calibri" w:cs="Calibri"/>
                <w:color w:val="000000"/>
                <w:sz w:val="16"/>
                <w:szCs w:val="16"/>
              </w:rPr>
              <w:t xml:space="preserve"> Annual GOA Trawl </w:t>
            </w:r>
            <w:r w:rsidR="008F62B5">
              <w:rPr>
                <w:rFonts w:ascii="Calibri" w:hAnsi="Calibri" w:eastAsia="Calibri" w:cs="Calibri"/>
                <w:color w:val="000000"/>
                <w:sz w:val="16"/>
                <w:szCs w:val="16"/>
              </w:rPr>
              <w:t xml:space="preserve">Catcher/Processor </w:t>
            </w:r>
            <w:r>
              <w:rPr>
                <w:rFonts w:ascii="Calibri" w:hAnsi="Calibri" w:eastAsia="Calibri" w:cs="Calibri"/>
                <w:color w:val="000000"/>
                <w:sz w:val="16"/>
                <w:szCs w:val="16"/>
              </w:rPr>
              <w:t>EDR</w:t>
            </w:r>
          </w:p>
        </w:tc>
        <w:tc>
          <w:tcPr>
            <w:tcW w:w="1215" w:type="dxa"/>
            <w:tcBorders>
              <w:top w:val="nil"/>
              <w:left w:val="nil"/>
              <w:bottom w:val="single" w:color="000000" w:sz="4" w:space="0"/>
              <w:right w:val="single" w:color="000000" w:sz="4" w:space="0"/>
            </w:tcBorders>
            <w:shd w:val="clear" w:color="auto" w:fill="auto"/>
            <w:vAlign w:val="center"/>
          </w:tcPr>
          <w:p w:rsidR="007961B7" w:rsidP="007961B7" w:rsidRDefault="009C7B27" w14:paraId="6E3BF08C"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Accountant/</w:t>
            </w:r>
          </w:p>
          <w:p w:rsidR="00372873" w:rsidP="007961B7" w:rsidRDefault="009C7B27" w14:paraId="433869CE" w14:textId="0F3E908B">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Manager</w:t>
            </w:r>
          </w:p>
        </w:tc>
        <w:tc>
          <w:tcPr>
            <w:tcW w:w="1179" w:type="dxa"/>
            <w:tcBorders>
              <w:top w:val="nil"/>
              <w:left w:val="nil"/>
              <w:bottom w:val="single" w:color="000000" w:sz="4" w:space="0"/>
              <w:right w:val="single" w:color="000000" w:sz="4" w:space="0"/>
            </w:tcBorders>
            <w:shd w:val="clear" w:color="auto" w:fill="auto"/>
            <w:vAlign w:val="center"/>
          </w:tcPr>
          <w:p w:rsidR="00372873" w:rsidP="007961B7" w:rsidRDefault="009C7B27" w14:paraId="663FD668"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30</w:t>
            </w:r>
          </w:p>
        </w:tc>
        <w:tc>
          <w:tcPr>
            <w:tcW w:w="1105" w:type="dxa"/>
            <w:tcBorders>
              <w:top w:val="nil"/>
              <w:left w:val="nil"/>
              <w:bottom w:val="single" w:color="000000" w:sz="4" w:space="0"/>
              <w:right w:val="single" w:color="000000" w:sz="4" w:space="0"/>
            </w:tcBorders>
            <w:shd w:val="clear" w:color="auto" w:fill="auto"/>
            <w:vAlign w:val="center"/>
          </w:tcPr>
          <w:p w:rsidR="00372873" w:rsidP="007961B7" w:rsidRDefault="009C7B27" w14:paraId="3A113411"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03" w:type="dxa"/>
            <w:tcBorders>
              <w:top w:val="nil"/>
              <w:left w:val="nil"/>
              <w:bottom w:val="single" w:color="000000" w:sz="4" w:space="0"/>
              <w:right w:val="single" w:color="000000" w:sz="4" w:space="0"/>
            </w:tcBorders>
            <w:shd w:val="clear" w:color="auto" w:fill="auto"/>
            <w:vAlign w:val="center"/>
          </w:tcPr>
          <w:p w:rsidR="00372873" w:rsidP="007961B7" w:rsidRDefault="009C7B27" w14:paraId="41073350"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30</w:t>
            </w:r>
          </w:p>
        </w:tc>
        <w:tc>
          <w:tcPr>
            <w:tcW w:w="870" w:type="dxa"/>
            <w:tcBorders>
              <w:top w:val="nil"/>
              <w:left w:val="nil"/>
              <w:bottom w:val="single" w:color="000000" w:sz="4" w:space="0"/>
              <w:right w:val="single" w:color="000000" w:sz="4" w:space="0"/>
            </w:tcBorders>
            <w:shd w:val="clear" w:color="auto" w:fill="auto"/>
            <w:vAlign w:val="center"/>
          </w:tcPr>
          <w:p w:rsidR="00372873" w:rsidP="007961B7" w:rsidRDefault="009C7B27" w14:paraId="4C48544F"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22</w:t>
            </w:r>
          </w:p>
        </w:tc>
        <w:tc>
          <w:tcPr>
            <w:tcW w:w="957" w:type="dxa"/>
            <w:tcBorders>
              <w:top w:val="nil"/>
              <w:left w:val="nil"/>
              <w:bottom w:val="single" w:color="000000" w:sz="4" w:space="0"/>
              <w:right w:val="single" w:color="000000" w:sz="4" w:space="0"/>
            </w:tcBorders>
            <w:shd w:val="clear" w:color="auto" w:fill="auto"/>
            <w:vAlign w:val="center"/>
          </w:tcPr>
          <w:p w:rsidR="00372873" w:rsidP="007961B7" w:rsidRDefault="009C7B27" w14:paraId="0DD74926"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660</w:t>
            </w:r>
          </w:p>
        </w:tc>
        <w:tc>
          <w:tcPr>
            <w:tcW w:w="1044" w:type="dxa"/>
            <w:tcBorders>
              <w:top w:val="nil"/>
              <w:left w:val="nil"/>
              <w:bottom w:val="single" w:color="000000" w:sz="4" w:space="0"/>
              <w:right w:val="single" w:color="000000" w:sz="4" w:space="0"/>
            </w:tcBorders>
            <w:shd w:val="clear" w:color="auto" w:fill="auto"/>
            <w:vAlign w:val="center"/>
          </w:tcPr>
          <w:p w:rsidR="00372873" w:rsidP="007961B7" w:rsidRDefault="009C7B27" w14:paraId="171DE03E"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$37*</w:t>
            </w:r>
          </w:p>
        </w:tc>
        <w:tc>
          <w:tcPr>
            <w:tcW w:w="1044" w:type="dxa"/>
            <w:tcBorders>
              <w:top w:val="nil"/>
              <w:left w:val="nil"/>
              <w:bottom w:val="single" w:color="000000" w:sz="4" w:space="0"/>
              <w:right w:val="single" w:color="000000" w:sz="8" w:space="0"/>
            </w:tcBorders>
            <w:shd w:val="clear" w:color="auto" w:fill="auto"/>
            <w:vAlign w:val="center"/>
          </w:tcPr>
          <w:p w:rsidR="00372873" w:rsidP="007961B7" w:rsidRDefault="009C7B27" w14:paraId="70306F28"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$24,420</w:t>
            </w:r>
          </w:p>
        </w:tc>
      </w:tr>
      <w:tr w:rsidR="007961B7" w:rsidTr="007961B7" w14:paraId="59A1337B" w14:textId="77777777">
        <w:trPr>
          <w:trHeight w:val="795"/>
        </w:trPr>
        <w:tc>
          <w:tcPr>
            <w:tcW w:w="1950" w:type="dxa"/>
            <w:tcBorders>
              <w:top w:val="nil"/>
              <w:left w:val="single" w:color="000000" w:sz="8" w:space="0"/>
              <w:bottom w:val="single" w:color="000000" w:sz="8" w:space="0"/>
              <w:right w:val="single" w:color="000000" w:sz="8" w:space="0"/>
            </w:tcBorders>
            <w:shd w:val="clear" w:color="auto" w:fill="DDEBF7"/>
            <w:vAlign w:val="center"/>
          </w:tcPr>
          <w:p w:rsidR="00372873" w:rsidP="007961B7" w:rsidRDefault="009C7B27" w14:paraId="683113E9" w14:textId="77777777">
            <w:pPr>
              <w:spacing w:before="0"/>
              <w:rPr>
                <w:rFonts w:ascii="Calibri" w:hAnsi="Calibri" w:eastAsia="Calibri" w:cs="Calibri"/>
                <w:b/>
                <w:color w:val="000000"/>
              </w:rPr>
            </w:pPr>
            <w:r>
              <w:rPr>
                <w:rFonts w:ascii="Calibri" w:hAnsi="Calibri" w:eastAsia="Calibri" w:cs="Calibri"/>
                <w:b/>
                <w:color w:val="000000"/>
              </w:rPr>
              <w:t>Totals</w:t>
            </w:r>
          </w:p>
        </w:tc>
        <w:tc>
          <w:tcPr>
            <w:tcW w:w="1215" w:type="dxa"/>
            <w:tcBorders>
              <w:top w:val="nil"/>
              <w:left w:val="nil"/>
              <w:bottom w:val="single" w:color="000000" w:sz="8" w:space="0"/>
              <w:right w:val="single" w:color="000000" w:sz="8" w:space="0"/>
            </w:tcBorders>
            <w:shd w:val="clear" w:color="auto" w:fill="000000"/>
            <w:vAlign w:val="center"/>
          </w:tcPr>
          <w:p w:rsidR="00372873" w:rsidP="007961B7" w:rsidRDefault="009C7B27" w14:paraId="3DD5AFE8" w14:textId="77777777">
            <w:pPr>
              <w:spacing w:before="0"/>
              <w:rPr>
                <w:rFonts w:ascii="Calibri" w:hAnsi="Calibri" w:eastAsia="Calibri" w:cs="Calibri"/>
                <w:b/>
                <w:color w:val="000000"/>
              </w:rPr>
            </w:pPr>
            <w:r>
              <w:rPr>
                <w:rFonts w:ascii="Calibri" w:hAnsi="Calibri" w:eastAsia="Calibri" w:cs="Calibri"/>
                <w:b/>
                <w:color w:val="000000"/>
              </w:rPr>
              <w:t> </w:t>
            </w:r>
          </w:p>
        </w:tc>
        <w:tc>
          <w:tcPr>
            <w:tcW w:w="1179" w:type="dxa"/>
            <w:tcBorders>
              <w:top w:val="nil"/>
              <w:left w:val="nil"/>
              <w:bottom w:val="single" w:color="000000" w:sz="8" w:space="0"/>
              <w:right w:val="single" w:color="000000" w:sz="8" w:space="0"/>
            </w:tcBorders>
            <w:shd w:val="clear" w:color="auto" w:fill="000000"/>
            <w:vAlign w:val="center"/>
          </w:tcPr>
          <w:p w:rsidR="00372873" w:rsidP="007961B7" w:rsidRDefault="009C7B27" w14:paraId="49CA1E17" w14:textId="77777777">
            <w:pPr>
              <w:spacing w:before="0"/>
              <w:rPr>
                <w:rFonts w:ascii="Calibri" w:hAnsi="Calibri" w:eastAsia="Calibri" w:cs="Calibri"/>
                <w:b/>
                <w:color w:val="000000"/>
              </w:rPr>
            </w:pPr>
            <w:r>
              <w:rPr>
                <w:rFonts w:ascii="Calibri" w:hAnsi="Calibri" w:eastAsia="Calibri" w:cs="Calibri"/>
                <w:b/>
                <w:color w:val="000000"/>
              </w:rPr>
              <w:t> </w:t>
            </w:r>
          </w:p>
        </w:tc>
        <w:tc>
          <w:tcPr>
            <w:tcW w:w="1105" w:type="dxa"/>
            <w:tcBorders>
              <w:top w:val="nil"/>
              <w:left w:val="nil"/>
              <w:bottom w:val="single" w:color="000000" w:sz="8" w:space="0"/>
              <w:right w:val="single" w:color="000000" w:sz="8" w:space="0"/>
            </w:tcBorders>
            <w:shd w:val="clear" w:color="auto" w:fill="000000"/>
            <w:vAlign w:val="center"/>
          </w:tcPr>
          <w:p w:rsidR="00372873" w:rsidP="007961B7" w:rsidRDefault="009C7B27" w14:paraId="69F124C8" w14:textId="77777777">
            <w:pPr>
              <w:spacing w:before="0"/>
              <w:rPr>
                <w:rFonts w:ascii="Calibri" w:hAnsi="Calibri" w:eastAsia="Calibri" w:cs="Calibri"/>
                <w:b/>
                <w:color w:val="000000"/>
              </w:rPr>
            </w:pPr>
            <w:r>
              <w:rPr>
                <w:rFonts w:ascii="Calibri" w:hAnsi="Calibri" w:eastAsia="Calibri" w:cs="Calibri"/>
                <w:b/>
                <w:color w:val="000000"/>
              </w:rPr>
              <w:t> </w:t>
            </w:r>
          </w:p>
        </w:tc>
        <w:tc>
          <w:tcPr>
            <w:tcW w:w="1003" w:type="dxa"/>
            <w:tcBorders>
              <w:top w:val="nil"/>
              <w:left w:val="nil"/>
              <w:bottom w:val="single" w:color="000000" w:sz="8" w:space="0"/>
              <w:right w:val="single" w:color="000000" w:sz="8" w:space="0"/>
            </w:tcBorders>
            <w:shd w:val="clear" w:color="auto" w:fill="DDEBF7"/>
            <w:vAlign w:val="center"/>
          </w:tcPr>
          <w:p w:rsidR="00372873" w:rsidP="007961B7" w:rsidRDefault="009C7B27" w14:paraId="631CF0FC" w14:textId="77777777">
            <w:pPr>
              <w:spacing w:before="0"/>
              <w:jc w:val="center"/>
              <w:rPr>
                <w:rFonts w:ascii="Calibri" w:hAnsi="Calibri" w:eastAsia="Calibri" w:cs="Calibri"/>
                <w:b/>
                <w:color w:val="000000"/>
              </w:rPr>
            </w:pPr>
            <w:r>
              <w:rPr>
                <w:rFonts w:ascii="Calibri" w:hAnsi="Calibri" w:eastAsia="Calibri" w:cs="Calibri"/>
                <w:b/>
                <w:color w:val="000000"/>
              </w:rPr>
              <w:t>30</w:t>
            </w:r>
          </w:p>
        </w:tc>
        <w:tc>
          <w:tcPr>
            <w:tcW w:w="870" w:type="dxa"/>
            <w:tcBorders>
              <w:top w:val="nil"/>
              <w:left w:val="nil"/>
              <w:bottom w:val="single" w:color="000000" w:sz="8" w:space="0"/>
              <w:right w:val="single" w:color="000000" w:sz="8" w:space="0"/>
            </w:tcBorders>
            <w:shd w:val="clear" w:color="auto" w:fill="000000"/>
            <w:vAlign w:val="center"/>
          </w:tcPr>
          <w:p w:rsidR="00372873" w:rsidP="007961B7" w:rsidRDefault="00372873" w14:paraId="6855D5B3" w14:textId="77777777">
            <w:pPr>
              <w:spacing w:before="0"/>
              <w:jc w:val="center"/>
              <w:rPr>
                <w:rFonts w:ascii="Calibri" w:hAnsi="Calibri" w:eastAsia="Calibri" w:cs="Calibri"/>
                <w:b/>
                <w:color w:val="000000"/>
              </w:rPr>
            </w:pPr>
          </w:p>
        </w:tc>
        <w:tc>
          <w:tcPr>
            <w:tcW w:w="957" w:type="dxa"/>
            <w:tcBorders>
              <w:top w:val="nil"/>
              <w:left w:val="nil"/>
              <w:bottom w:val="single" w:color="000000" w:sz="8" w:space="0"/>
              <w:right w:val="single" w:color="000000" w:sz="8" w:space="0"/>
            </w:tcBorders>
            <w:shd w:val="clear" w:color="auto" w:fill="DDEBF7"/>
            <w:vAlign w:val="center"/>
          </w:tcPr>
          <w:p w:rsidR="00372873" w:rsidP="007961B7" w:rsidRDefault="009C7B27" w14:paraId="3FF43248" w14:textId="77777777">
            <w:pPr>
              <w:spacing w:before="0"/>
              <w:jc w:val="center"/>
              <w:rPr>
                <w:rFonts w:ascii="Calibri" w:hAnsi="Calibri" w:eastAsia="Calibri" w:cs="Calibri"/>
                <w:b/>
                <w:color w:val="000000"/>
              </w:rPr>
            </w:pPr>
            <w:r>
              <w:rPr>
                <w:rFonts w:ascii="Calibri" w:hAnsi="Calibri" w:eastAsia="Calibri" w:cs="Calibri"/>
                <w:b/>
                <w:color w:val="000000"/>
              </w:rPr>
              <w:t>660</w:t>
            </w:r>
          </w:p>
        </w:tc>
        <w:tc>
          <w:tcPr>
            <w:tcW w:w="1044" w:type="dxa"/>
            <w:tcBorders>
              <w:top w:val="nil"/>
              <w:left w:val="nil"/>
              <w:bottom w:val="single" w:color="000000" w:sz="8" w:space="0"/>
              <w:right w:val="single" w:color="000000" w:sz="8" w:space="0"/>
            </w:tcBorders>
            <w:shd w:val="clear" w:color="auto" w:fill="000000"/>
            <w:vAlign w:val="center"/>
          </w:tcPr>
          <w:p w:rsidR="00372873" w:rsidP="007961B7" w:rsidRDefault="00372873" w14:paraId="1639D079" w14:textId="77777777">
            <w:pPr>
              <w:spacing w:before="0"/>
              <w:jc w:val="center"/>
              <w:rPr>
                <w:rFonts w:ascii="Calibri" w:hAnsi="Calibri" w:eastAsia="Calibri" w:cs="Calibri"/>
                <w:b/>
                <w:color w:val="000000"/>
              </w:rPr>
            </w:pPr>
          </w:p>
        </w:tc>
        <w:tc>
          <w:tcPr>
            <w:tcW w:w="1044" w:type="dxa"/>
            <w:tcBorders>
              <w:top w:val="nil"/>
              <w:left w:val="nil"/>
              <w:bottom w:val="single" w:color="000000" w:sz="8" w:space="0"/>
              <w:right w:val="single" w:color="000000" w:sz="8" w:space="0"/>
            </w:tcBorders>
            <w:shd w:val="clear" w:color="auto" w:fill="DDEBF7"/>
            <w:vAlign w:val="center"/>
          </w:tcPr>
          <w:p w:rsidR="00372873" w:rsidP="007961B7" w:rsidRDefault="009C7B27" w14:paraId="42FF5D0A" w14:textId="77777777">
            <w:pPr>
              <w:spacing w:before="0"/>
              <w:jc w:val="center"/>
              <w:rPr>
                <w:rFonts w:ascii="Calibri" w:hAnsi="Calibri" w:eastAsia="Calibri" w:cs="Calibri"/>
                <w:b/>
                <w:color w:val="000000"/>
              </w:rPr>
            </w:pPr>
            <w:r>
              <w:rPr>
                <w:rFonts w:ascii="Calibri" w:hAnsi="Calibri" w:eastAsia="Calibri" w:cs="Calibri"/>
                <w:b/>
                <w:color w:val="000000"/>
              </w:rPr>
              <w:t>$24,420</w:t>
            </w:r>
          </w:p>
        </w:tc>
      </w:tr>
    </w:tbl>
    <w:p w:rsidR="00372873" w:rsidRDefault="009C7B27" w14:paraId="1840D046" w14:textId="01004C6C">
      <w:pPr>
        <w:spacing w:before="120"/>
        <w:ind w:hanging="43"/>
        <w:rPr>
          <w:rFonts w:ascii="Calibri" w:hAnsi="Calibri" w:eastAsia="Calibri" w:cs="Calibri"/>
          <w:sz w:val="20"/>
          <w:szCs w:val="20"/>
        </w:rPr>
      </w:pPr>
      <w:bookmarkStart w:name="_30j0zll" w:colFirst="0" w:colLast="0" w:id="1"/>
      <w:bookmarkEnd w:id="1"/>
      <w:r>
        <w:rPr>
          <w:rFonts w:ascii="Calibri" w:hAnsi="Calibri" w:eastAsia="Calibri" w:cs="Calibri"/>
          <w:b/>
          <w:sz w:val="20"/>
          <w:szCs w:val="20"/>
        </w:rPr>
        <w:t xml:space="preserve">* </w:t>
      </w:r>
      <w:r>
        <w:rPr>
          <w:rFonts w:ascii="Calibri" w:hAnsi="Calibri" w:eastAsia="Calibri" w:cs="Calibri"/>
          <w:sz w:val="20"/>
          <w:szCs w:val="20"/>
        </w:rPr>
        <w:t>The $37 per hour (rounded) is the Bureau of Labor Statistics, Occupational and Employment and Wage Estimates for Alaska, May 20</w:t>
      </w:r>
      <w:r w:rsidR="00AC0AA1">
        <w:rPr>
          <w:rFonts w:ascii="Calibri" w:hAnsi="Calibri" w:eastAsia="Calibri" w:cs="Calibri"/>
          <w:sz w:val="20"/>
          <w:szCs w:val="20"/>
        </w:rPr>
        <w:t>19</w:t>
      </w:r>
      <w:r>
        <w:rPr>
          <w:rFonts w:ascii="Calibri" w:hAnsi="Calibri" w:eastAsia="Calibri" w:cs="Calibri"/>
          <w:sz w:val="20"/>
          <w:szCs w:val="20"/>
        </w:rPr>
        <w:t xml:space="preserve"> estimate for series 13-1051 (</w:t>
      </w:r>
      <w:hyperlink w:history="1" r:id="rId25">
        <w:r w:rsidRPr="00690428">
          <w:rPr>
            <w:rStyle w:val="Hyperlink"/>
            <w:rFonts w:ascii="Calibri" w:hAnsi="Calibri" w:eastAsia="Calibri" w:cs="Calibri"/>
            <w:sz w:val="20"/>
            <w:szCs w:val="20"/>
          </w:rPr>
          <w:t>https://www.bls.gov/oes/current/oes_ak.htm</w:t>
        </w:r>
      </w:hyperlink>
      <w:hyperlink w:history="1" r:id="rId26">
        <w:r w:rsidRPr="00690428">
          <w:rPr>
            <w:rFonts w:ascii="Calibri" w:hAnsi="Calibri" w:eastAsia="Calibri" w:cs="Calibri"/>
            <w:sz w:val="20"/>
            <w:szCs w:val="20"/>
          </w:rPr>
          <w:t>)</w:t>
        </w:r>
      </w:hyperlink>
      <w:r>
        <w:rPr>
          <w:rFonts w:ascii="Calibri" w:hAnsi="Calibri" w:eastAsia="Calibri" w:cs="Calibri"/>
          <w:sz w:val="20"/>
          <w:szCs w:val="20"/>
        </w:rPr>
        <w:t xml:space="preserve">.  The EDR submissions are </w:t>
      </w:r>
      <w:r>
        <w:rPr>
          <w:rFonts w:ascii="Calibri" w:hAnsi="Calibri" w:eastAsia="Calibri" w:cs="Calibri"/>
          <w:sz w:val="20"/>
          <w:szCs w:val="20"/>
        </w:rPr>
        <w:lastRenderedPageBreak/>
        <w:t xml:space="preserve">sufficiently similar to cost estimation processes in that they require reporting of cost of production data from multiple differing target fisheries.  Further, NMFS has used this cost estimate in several of our recent EDR renewals and presents its burden hour and cost per hour estimates for public </w:t>
      </w:r>
      <w:proofErr w:type="gramStart"/>
      <w:r>
        <w:rPr>
          <w:rFonts w:ascii="Calibri" w:hAnsi="Calibri" w:eastAsia="Calibri" w:cs="Calibri"/>
          <w:sz w:val="20"/>
          <w:szCs w:val="20"/>
        </w:rPr>
        <w:t>comment and generally updates</w:t>
      </w:r>
      <w:proofErr w:type="gramEnd"/>
      <w:r>
        <w:rPr>
          <w:rFonts w:ascii="Calibri" w:hAnsi="Calibri" w:eastAsia="Calibri" w:cs="Calibri"/>
          <w:sz w:val="20"/>
          <w:szCs w:val="20"/>
        </w:rPr>
        <w:t xml:space="preserve"> and revises them if it receives information that supports doing so.</w:t>
      </w:r>
    </w:p>
    <w:p w:rsidRPr="00690428" w:rsidR="00690428" w:rsidP="00690428" w:rsidRDefault="00690428" w14:paraId="4408E8CD" w14:textId="527F86A2">
      <w:pPr>
        <w:pBdr>
          <w:top w:val="nil"/>
          <w:left w:val="nil"/>
          <w:bottom w:val="nil"/>
          <w:right w:val="nil"/>
          <w:between w:val="nil"/>
        </w:pBdr>
        <w:tabs>
          <w:tab w:val="left" w:pos="360"/>
        </w:tabs>
        <w:spacing w:before="80"/>
        <w:rPr>
          <w:color w:val="000000"/>
        </w:rPr>
      </w:pPr>
    </w:p>
    <w:p w:rsidRPr="00B30C07" w:rsidR="00372873" w:rsidP="00B30C07" w:rsidRDefault="009C7B27" w14:paraId="0982D810" w14:textId="0F794D56">
      <w:pPr>
        <w:keepNext/>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B30C07" w:rsidP="00B30C07" w:rsidRDefault="00B30C07" w14:paraId="3B989257" w14:textId="77777777">
      <w:pPr>
        <w:keepNext/>
        <w:pBdr>
          <w:top w:val="nil"/>
          <w:left w:val="nil"/>
          <w:bottom w:val="nil"/>
          <w:right w:val="nil"/>
          <w:between w:val="nil"/>
        </w:pBdr>
        <w:tabs>
          <w:tab w:val="left" w:pos="360"/>
        </w:tabs>
        <w:spacing w:before="0"/>
        <w:rPr>
          <w:color w:val="000000"/>
        </w:rPr>
      </w:pPr>
    </w:p>
    <w:p w:rsidR="00372873" w:rsidP="00B30C07" w:rsidRDefault="009C7B27" w14:paraId="7BA78DFD" w14:textId="615C6472">
      <w:pPr>
        <w:keepNext/>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 are no capital/start-up or ongoing operation/maintenance costs associated with this information collection, as it is a renewal of an existing collection, and equipment used is customary business equipment.  </w:t>
      </w:r>
    </w:p>
    <w:p w:rsidR="00B30C07" w:rsidP="00B30C07" w:rsidRDefault="00B30C07" w14:paraId="3086663F" w14:textId="77777777">
      <w:pPr>
        <w:pBdr>
          <w:top w:val="nil"/>
          <w:left w:val="nil"/>
          <w:bottom w:val="nil"/>
          <w:right w:val="nil"/>
          <w:between w:val="nil"/>
        </w:pBdr>
        <w:spacing w:before="0"/>
        <w:rPr>
          <w:rFonts w:ascii="Times New Roman" w:hAnsi="Times New Roman" w:eastAsia="Times New Roman" w:cs="Times New Roman"/>
          <w:color w:val="000000"/>
          <w:sz w:val="24"/>
          <w:szCs w:val="24"/>
        </w:rPr>
      </w:pPr>
    </w:p>
    <w:p w:rsidR="00372873" w:rsidP="00B30C07" w:rsidRDefault="009C7B27" w14:paraId="65FF1B3E" w14:textId="77777777">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collection does not require additional recordkeeping burden or additional </w:t>
      </w:r>
      <w:proofErr w:type="spellStart"/>
      <w:r>
        <w:rPr>
          <w:rFonts w:ascii="Times New Roman" w:hAnsi="Times New Roman" w:eastAsia="Times New Roman" w:cs="Times New Roman"/>
          <w:sz w:val="24"/>
          <w:szCs w:val="24"/>
        </w:rPr>
        <w:t>recordkeepers</w:t>
      </w:r>
      <w:proofErr w:type="spellEnd"/>
      <w:r>
        <w:rPr>
          <w:rFonts w:ascii="Times New Roman" w:hAnsi="Times New Roman" w:eastAsia="Times New Roman" w:cs="Times New Roman"/>
          <w:sz w:val="24"/>
          <w:szCs w:val="24"/>
        </w:rPr>
        <w:t xml:space="preserve"> as records already customarily maintained </w:t>
      </w:r>
      <w:proofErr w:type="gramStart"/>
      <w:r>
        <w:rPr>
          <w:rFonts w:ascii="Times New Roman" w:hAnsi="Times New Roman" w:eastAsia="Times New Roman" w:cs="Times New Roman"/>
          <w:sz w:val="24"/>
          <w:szCs w:val="24"/>
        </w:rPr>
        <w:t>are used</w:t>
      </w:r>
      <w:proofErr w:type="gramEnd"/>
      <w:r>
        <w:rPr>
          <w:rFonts w:ascii="Times New Roman" w:hAnsi="Times New Roman" w:eastAsia="Times New Roman" w:cs="Times New Roman"/>
          <w:sz w:val="24"/>
          <w:szCs w:val="24"/>
        </w:rPr>
        <w:t xml:space="preserve"> to complete the collection form.  Burden to complete the online form </w:t>
      </w:r>
      <w:proofErr w:type="gramStart"/>
      <w:r>
        <w:rPr>
          <w:rFonts w:ascii="Times New Roman" w:hAnsi="Times New Roman" w:eastAsia="Times New Roman" w:cs="Times New Roman"/>
          <w:sz w:val="24"/>
          <w:szCs w:val="24"/>
        </w:rPr>
        <w:t>is reflected</w:t>
      </w:r>
      <w:proofErr w:type="gramEnd"/>
      <w:r>
        <w:rPr>
          <w:rFonts w:ascii="Times New Roman" w:hAnsi="Times New Roman" w:eastAsia="Times New Roman" w:cs="Times New Roman"/>
          <w:sz w:val="24"/>
          <w:szCs w:val="24"/>
        </w:rPr>
        <w:t xml:space="preserve"> on the burden sheet.  This collection may involve the use of photocopying, faxes, mail and online access estimated to be approximately $5 per respondent.  </w:t>
      </w:r>
    </w:p>
    <w:p w:rsidR="00372873" w:rsidP="00B30C07" w:rsidRDefault="00372873" w14:paraId="06C50EF1" w14:textId="77777777">
      <w:pPr>
        <w:pBdr>
          <w:top w:val="nil"/>
          <w:left w:val="nil"/>
          <w:bottom w:val="nil"/>
          <w:right w:val="nil"/>
          <w:between w:val="nil"/>
        </w:pBdr>
        <w:spacing w:before="0"/>
        <w:rPr>
          <w:rFonts w:ascii="Times New Roman" w:hAnsi="Times New Roman" w:eastAsia="Times New Roman" w:cs="Times New Roman"/>
          <w:b/>
          <w:color w:val="000000"/>
          <w:sz w:val="24"/>
          <w:szCs w:val="24"/>
        </w:rPr>
      </w:pPr>
    </w:p>
    <w:tbl>
      <w:tblPr>
        <w:tblStyle w:val="a1"/>
        <w:tblW w:w="9899" w:type="dxa"/>
        <w:tblInd w:w="-25" w:type="dxa"/>
        <w:tblLayout w:type="fixed"/>
        <w:tblLook w:val="0400" w:firstRow="0" w:lastRow="0" w:firstColumn="0" w:lastColumn="0" w:noHBand="0" w:noVBand="1"/>
      </w:tblPr>
      <w:tblGrid>
        <w:gridCol w:w="2182"/>
        <w:gridCol w:w="1474"/>
        <w:gridCol w:w="1474"/>
        <w:gridCol w:w="1474"/>
        <w:gridCol w:w="1821"/>
        <w:gridCol w:w="1474"/>
      </w:tblGrid>
      <w:tr w:rsidR="00372873" w:rsidTr="008E375E" w14:paraId="293A6ABD" w14:textId="77777777">
        <w:trPr>
          <w:trHeight w:val="879"/>
        </w:trPr>
        <w:tc>
          <w:tcPr>
            <w:tcW w:w="2182"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72873" w:rsidRDefault="009C7B27" w14:paraId="50DAD8DD"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74"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76BE81A8"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474"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0580EF0A"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474"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3E5F006A"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821"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5D9FBBAC"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474" w:type="dxa"/>
            <w:tcBorders>
              <w:top w:val="single" w:color="000000" w:sz="8" w:space="0"/>
              <w:left w:val="nil"/>
              <w:bottom w:val="single" w:color="000000" w:sz="8" w:space="0"/>
              <w:right w:val="single" w:color="000000" w:sz="8" w:space="0"/>
            </w:tcBorders>
            <w:shd w:val="clear" w:color="auto" w:fill="BDD7EE"/>
            <w:vAlign w:val="center"/>
          </w:tcPr>
          <w:p w:rsidR="00372873" w:rsidRDefault="009C7B27" w14:paraId="53EF952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372873" w:rsidTr="008E375E" w14:paraId="25CAF3DB" w14:textId="77777777">
        <w:trPr>
          <w:trHeight w:val="288"/>
        </w:trPr>
        <w:tc>
          <w:tcPr>
            <w:tcW w:w="2182" w:type="dxa"/>
            <w:tcBorders>
              <w:top w:val="nil"/>
              <w:left w:val="single" w:color="000000" w:sz="4" w:space="0"/>
              <w:bottom w:val="single" w:color="000000" w:sz="4" w:space="0"/>
              <w:right w:val="single" w:color="000000" w:sz="4" w:space="0"/>
            </w:tcBorders>
            <w:shd w:val="clear" w:color="auto" w:fill="auto"/>
            <w:vAlign w:val="center"/>
          </w:tcPr>
          <w:p w:rsidR="00372873" w:rsidP="007961B7" w:rsidRDefault="009C7B27" w14:paraId="411D9F84" w14:textId="584CDF30">
            <w:pPr>
              <w:spacing w:before="0"/>
              <w:rPr>
                <w:rFonts w:ascii="Calibri" w:hAnsi="Calibri" w:eastAsia="Calibri" w:cs="Calibri"/>
                <w:color w:val="000000"/>
                <w:sz w:val="16"/>
                <w:szCs w:val="16"/>
              </w:rPr>
            </w:pPr>
            <w:r>
              <w:rPr>
                <w:rFonts w:ascii="Calibri" w:hAnsi="Calibri" w:eastAsia="Calibri" w:cs="Calibri"/>
                <w:color w:val="000000"/>
                <w:sz w:val="16"/>
                <w:szCs w:val="16"/>
              </w:rPr>
              <w:t> Annual G</w:t>
            </w:r>
            <w:r w:rsidR="00C66CD7">
              <w:rPr>
                <w:rFonts w:ascii="Calibri" w:hAnsi="Calibri" w:eastAsia="Calibri" w:cs="Calibri"/>
                <w:color w:val="000000"/>
                <w:sz w:val="16"/>
                <w:szCs w:val="16"/>
              </w:rPr>
              <w:t>OA</w:t>
            </w:r>
            <w:r>
              <w:rPr>
                <w:rFonts w:ascii="Calibri" w:hAnsi="Calibri" w:eastAsia="Calibri" w:cs="Calibri"/>
                <w:color w:val="000000"/>
                <w:sz w:val="16"/>
                <w:szCs w:val="16"/>
              </w:rPr>
              <w:t xml:space="preserve"> Trawl</w:t>
            </w:r>
            <w:r w:rsidR="00C66CD7">
              <w:rPr>
                <w:rFonts w:ascii="Calibri" w:hAnsi="Calibri" w:eastAsia="Calibri" w:cs="Calibri"/>
                <w:color w:val="000000"/>
                <w:sz w:val="16"/>
                <w:szCs w:val="16"/>
              </w:rPr>
              <w:t xml:space="preserve"> Catcher/Processor</w:t>
            </w:r>
            <w:r>
              <w:rPr>
                <w:rFonts w:ascii="Calibri" w:hAnsi="Calibri" w:eastAsia="Calibri" w:cs="Calibri"/>
                <w:color w:val="000000"/>
                <w:sz w:val="16"/>
                <w:szCs w:val="16"/>
              </w:rPr>
              <w:t xml:space="preserve"> EDR</w:t>
            </w:r>
          </w:p>
        </w:tc>
        <w:tc>
          <w:tcPr>
            <w:tcW w:w="1474" w:type="dxa"/>
            <w:tcBorders>
              <w:top w:val="nil"/>
              <w:left w:val="nil"/>
              <w:bottom w:val="single" w:color="000000" w:sz="4" w:space="0"/>
              <w:right w:val="single" w:color="000000" w:sz="4" w:space="0"/>
            </w:tcBorders>
            <w:shd w:val="clear" w:color="auto" w:fill="FFFFFF"/>
            <w:vAlign w:val="center"/>
          </w:tcPr>
          <w:p w:rsidR="00372873" w:rsidP="007961B7" w:rsidRDefault="009C7B27" w14:paraId="287D500A" w14:textId="77777777">
            <w:pPr>
              <w:spacing w:before="0"/>
              <w:jc w:val="right"/>
              <w:rPr>
                <w:rFonts w:ascii="Calibri" w:hAnsi="Calibri" w:eastAsia="Calibri" w:cs="Calibri"/>
                <w:color w:val="000000"/>
                <w:sz w:val="16"/>
                <w:szCs w:val="16"/>
              </w:rPr>
            </w:pPr>
            <w:r>
              <w:rPr>
                <w:rFonts w:ascii="Calibri" w:hAnsi="Calibri" w:eastAsia="Calibri" w:cs="Calibri"/>
                <w:color w:val="000000"/>
                <w:sz w:val="16"/>
                <w:szCs w:val="16"/>
              </w:rPr>
              <w:t>30</w:t>
            </w:r>
          </w:p>
        </w:tc>
        <w:tc>
          <w:tcPr>
            <w:tcW w:w="1474" w:type="dxa"/>
            <w:tcBorders>
              <w:top w:val="nil"/>
              <w:left w:val="nil"/>
              <w:bottom w:val="single" w:color="000000" w:sz="4" w:space="0"/>
              <w:right w:val="single" w:color="000000" w:sz="4" w:space="0"/>
            </w:tcBorders>
            <w:shd w:val="clear" w:color="auto" w:fill="FFFFFF"/>
            <w:vAlign w:val="center"/>
          </w:tcPr>
          <w:p w:rsidR="00372873" w:rsidP="007961B7" w:rsidRDefault="009C7B27" w14:paraId="6A74553D" w14:textId="77777777">
            <w:pPr>
              <w:spacing w:before="0"/>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474" w:type="dxa"/>
            <w:tcBorders>
              <w:top w:val="nil"/>
              <w:left w:val="nil"/>
              <w:bottom w:val="single" w:color="000000" w:sz="4" w:space="0"/>
              <w:right w:val="single" w:color="000000" w:sz="4" w:space="0"/>
            </w:tcBorders>
            <w:shd w:val="clear" w:color="auto" w:fill="FFFFFF"/>
            <w:vAlign w:val="center"/>
          </w:tcPr>
          <w:p w:rsidR="00372873" w:rsidP="007961B7" w:rsidRDefault="009C7B27" w14:paraId="0BF6FB8D" w14:textId="77777777">
            <w:pPr>
              <w:spacing w:before="0"/>
              <w:jc w:val="right"/>
              <w:rPr>
                <w:rFonts w:ascii="Calibri" w:hAnsi="Calibri" w:eastAsia="Calibri" w:cs="Calibri"/>
                <w:color w:val="000000"/>
                <w:sz w:val="16"/>
                <w:szCs w:val="16"/>
              </w:rPr>
            </w:pPr>
            <w:r>
              <w:rPr>
                <w:rFonts w:ascii="Calibri" w:hAnsi="Calibri" w:eastAsia="Calibri" w:cs="Calibri"/>
                <w:color w:val="000000"/>
                <w:sz w:val="16"/>
                <w:szCs w:val="16"/>
              </w:rPr>
              <w:t>30</w:t>
            </w:r>
          </w:p>
        </w:tc>
        <w:tc>
          <w:tcPr>
            <w:tcW w:w="1821" w:type="dxa"/>
            <w:tcBorders>
              <w:top w:val="nil"/>
              <w:left w:val="nil"/>
              <w:bottom w:val="single" w:color="000000" w:sz="4" w:space="0"/>
              <w:right w:val="single" w:color="000000" w:sz="4" w:space="0"/>
            </w:tcBorders>
            <w:shd w:val="clear" w:color="auto" w:fill="FFFFFF"/>
            <w:vAlign w:val="center"/>
          </w:tcPr>
          <w:p w:rsidR="00372873" w:rsidP="007961B7" w:rsidRDefault="009C7B27" w14:paraId="1D1D0367" w14:textId="5C0C98D0">
            <w:pPr>
              <w:spacing w:before="0"/>
              <w:jc w:val="right"/>
              <w:rPr>
                <w:rFonts w:ascii="Calibri" w:hAnsi="Calibri" w:eastAsia="Calibri" w:cs="Calibri"/>
                <w:color w:val="000000"/>
                <w:sz w:val="16"/>
                <w:szCs w:val="16"/>
              </w:rPr>
            </w:pPr>
            <w:r>
              <w:rPr>
                <w:rFonts w:ascii="Calibri" w:hAnsi="Calibri" w:eastAsia="Calibri" w:cs="Calibri"/>
                <w:color w:val="000000"/>
                <w:sz w:val="16"/>
                <w:szCs w:val="16"/>
              </w:rPr>
              <w:t>Operating Costs: $5 </w:t>
            </w:r>
          </w:p>
        </w:tc>
        <w:tc>
          <w:tcPr>
            <w:tcW w:w="1474" w:type="dxa"/>
            <w:tcBorders>
              <w:top w:val="nil"/>
              <w:left w:val="nil"/>
              <w:bottom w:val="single" w:color="000000" w:sz="4" w:space="0"/>
              <w:right w:val="single" w:color="000000" w:sz="8" w:space="0"/>
            </w:tcBorders>
            <w:shd w:val="clear" w:color="auto" w:fill="FFFFFF"/>
            <w:vAlign w:val="center"/>
          </w:tcPr>
          <w:p w:rsidR="00372873" w:rsidP="007961B7" w:rsidRDefault="009C7B27" w14:paraId="7D183C37" w14:textId="77777777">
            <w:pPr>
              <w:spacing w:before="0"/>
              <w:jc w:val="right"/>
              <w:rPr>
                <w:rFonts w:ascii="Calibri" w:hAnsi="Calibri" w:eastAsia="Calibri" w:cs="Calibri"/>
                <w:color w:val="000000"/>
                <w:sz w:val="16"/>
                <w:szCs w:val="16"/>
              </w:rPr>
            </w:pPr>
            <w:r>
              <w:rPr>
                <w:rFonts w:ascii="Calibri" w:hAnsi="Calibri" w:eastAsia="Calibri" w:cs="Calibri"/>
                <w:color w:val="000000"/>
                <w:sz w:val="16"/>
                <w:szCs w:val="16"/>
              </w:rPr>
              <w:t>$150 </w:t>
            </w:r>
          </w:p>
        </w:tc>
      </w:tr>
      <w:tr w:rsidR="00372873" w:rsidTr="008E375E" w14:paraId="5511F954" w14:textId="77777777">
        <w:trPr>
          <w:trHeight w:val="302"/>
        </w:trPr>
        <w:tc>
          <w:tcPr>
            <w:tcW w:w="2182"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372873" w:rsidP="007961B7" w:rsidRDefault="009C7B27" w14:paraId="75F9E55B" w14:textId="77777777">
            <w:pPr>
              <w:spacing w:before="0"/>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474" w:type="dxa"/>
            <w:tcBorders>
              <w:top w:val="single" w:color="000000" w:sz="8" w:space="0"/>
              <w:left w:val="nil"/>
              <w:bottom w:val="single" w:color="000000" w:sz="8" w:space="0"/>
              <w:right w:val="single" w:color="000000" w:sz="4" w:space="0"/>
            </w:tcBorders>
            <w:shd w:val="clear" w:color="auto" w:fill="DDEBF7"/>
            <w:vAlign w:val="center"/>
          </w:tcPr>
          <w:p w:rsidR="00372873" w:rsidP="007961B7" w:rsidRDefault="009C7B27" w14:paraId="0EE0DB3C" w14:textId="77777777">
            <w:pPr>
              <w:spacing w:before="0"/>
              <w:jc w:val="right"/>
              <w:rPr>
                <w:rFonts w:ascii="Calibri" w:hAnsi="Calibri" w:eastAsia="Calibri" w:cs="Calibri"/>
                <w:b/>
                <w:color w:val="000000"/>
                <w:sz w:val="16"/>
                <w:szCs w:val="16"/>
              </w:rPr>
            </w:pPr>
            <w:r>
              <w:rPr>
                <w:rFonts w:ascii="Calibri" w:hAnsi="Calibri" w:eastAsia="Calibri" w:cs="Calibri"/>
                <w:b/>
                <w:color w:val="000000"/>
                <w:sz w:val="16"/>
                <w:szCs w:val="16"/>
              </w:rPr>
              <w:t>30 </w:t>
            </w:r>
          </w:p>
        </w:tc>
        <w:tc>
          <w:tcPr>
            <w:tcW w:w="1474" w:type="dxa"/>
            <w:tcBorders>
              <w:top w:val="single" w:color="000000" w:sz="8" w:space="0"/>
              <w:left w:val="nil"/>
              <w:bottom w:val="single" w:color="000000" w:sz="8" w:space="0"/>
              <w:right w:val="single" w:color="000000" w:sz="4" w:space="0"/>
            </w:tcBorders>
            <w:shd w:val="clear" w:color="auto" w:fill="000000"/>
            <w:vAlign w:val="center"/>
          </w:tcPr>
          <w:p w:rsidR="00372873" w:rsidP="007961B7" w:rsidRDefault="009C7B27" w14:paraId="634733FC" w14:textId="77777777">
            <w:pPr>
              <w:spacing w:before="0"/>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474" w:type="dxa"/>
            <w:tcBorders>
              <w:top w:val="single" w:color="000000" w:sz="8" w:space="0"/>
              <w:left w:val="nil"/>
              <w:bottom w:val="single" w:color="000000" w:sz="8" w:space="0"/>
              <w:right w:val="single" w:color="000000" w:sz="4" w:space="0"/>
            </w:tcBorders>
            <w:shd w:val="clear" w:color="auto" w:fill="DDEBF7"/>
            <w:vAlign w:val="center"/>
          </w:tcPr>
          <w:p w:rsidR="00372873" w:rsidP="007961B7" w:rsidRDefault="009C7B27" w14:paraId="3DA22450" w14:textId="77777777">
            <w:pPr>
              <w:spacing w:before="0"/>
              <w:jc w:val="right"/>
              <w:rPr>
                <w:rFonts w:ascii="Calibri" w:hAnsi="Calibri" w:eastAsia="Calibri" w:cs="Calibri"/>
                <w:b/>
                <w:color w:val="000000"/>
                <w:sz w:val="16"/>
                <w:szCs w:val="16"/>
              </w:rPr>
            </w:pPr>
            <w:r>
              <w:rPr>
                <w:rFonts w:ascii="Calibri" w:hAnsi="Calibri" w:eastAsia="Calibri" w:cs="Calibri"/>
                <w:b/>
                <w:color w:val="000000"/>
                <w:sz w:val="16"/>
                <w:szCs w:val="16"/>
              </w:rPr>
              <w:t xml:space="preserve">30   </w:t>
            </w:r>
          </w:p>
        </w:tc>
        <w:tc>
          <w:tcPr>
            <w:tcW w:w="1821" w:type="dxa"/>
            <w:tcBorders>
              <w:top w:val="single" w:color="000000" w:sz="8" w:space="0"/>
              <w:left w:val="nil"/>
              <w:bottom w:val="single" w:color="000000" w:sz="8" w:space="0"/>
              <w:right w:val="single" w:color="000000" w:sz="4" w:space="0"/>
            </w:tcBorders>
            <w:shd w:val="clear" w:color="auto" w:fill="000000"/>
            <w:vAlign w:val="center"/>
          </w:tcPr>
          <w:p w:rsidR="00372873" w:rsidP="007961B7" w:rsidRDefault="009C7B27" w14:paraId="1057DBC5" w14:textId="77777777">
            <w:pPr>
              <w:spacing w:before="0"/>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474" w:type="dxa"/>
            <w:tcBorders>
              <w:top w:val="single" w:color="000000" w:sz="8" w:space="0"/>
              <w:left w:val="nil"/>
              <w:bottom w:val="single" w:color="000000" w:sz="8" w:space="0"/>
              <w:right w:val="single" w:color="000000" w:sz="8" w:space="0"/>
            </w:tcBorders>
            <w:shd w:val="clear" w:color="auto" w:fill="DDEBF7"/>
            <w:vAlign w:val="center"/>
          </w:tcPr>
          <w:p w:rsidR="00372873" w:rsidP="007961B7" w:rsidRDefault="00D20AA8" w14:paraId="1596CBB7" w14:textId="1070DE63">
            <w:pPr>
              <w:spacing w:before="0"/>
              <w:jc w:val="right"/>
              <w:rPr>
                <w:rFonts w:ascii="Calibri" w:hAnsi="Calibri" w:eastAsia="Calibri" w:cs="Calibri"/>
                <w:b/>
                <w:color w:val="000000"/>
                <w:sz w:val="16"/>
                <w:szCs w:val="16"/>
              </w:rPr>
            </w:pPr>
            <w:r>
              <w:rPr>
                <w:rFonts w:ascii="Calibri" w:hAnsi="Calibri" w:eastAsia="Calibri" w:cs="Calibri"/>
                <w:b/>
                <w:color w:val="000000"/>
                <w:sz w:val="16"/>
                <w:szCs w:val="16"/>
              </w:rPr>
              <w:t>$</w:t>
            </w:r>
            <w:r w:rsidR="009C7B27">
              <w:rPr>
                <w:rFonts w:ascii="Calibri" w:hAnsi="Calibri" w:eastAsia="Calibri" w:cs="Calibri"/>
                <w:b/>
                <w:color w:val="000000"/>
                <w:sz w:val="16"/>
                <w:szCs w:val="16"/>
              </w:rPr>
              <w:t xml:space="preserve">150  </w:t>
            </w:r>
          </w:p>
        </w:tc>
      </w:tr>
    </w:tbl>
    <w:p w:rsidR="00372873" w:rsidRDefault="00372873" w14:paraId="2D970128" w14:textId="77777777">
      <w:pPr>
        <w:pBdr>
          <w:top w:val="nil"/>
          <w:left w:val="nil"/>
          <w:bottom w:val="nil"/>
          <w:right w:val="nil"/>
          <w:between w:val="nil"/>
        </w:pBdr>
        <w:spacing w:before="1"/>
        <w:rPr>
          <w:rFonts w:ascii="Times New Roman" w:hAnsi="Times New Roman" w:eastAsia="Times New Roman" w:cs="Times New Roman"/>
          <w:b/>
          <w:color w:val="000000"/>
          <w:sz w:val="24"/>
          <w:szCs w:val="24"/>
        </w:rPr>
      </w:pPr>
    </w:p>
    <w:p w:rsidR="00372873" w:rsidP="00B30C07" w:rsidRDefault="00372873" w14:paraId="151415C1" w14:textId="77777777">
      <w:pPr>
        <w:pBdr>
          <w:top w:val="nil"/>
          <w:left w:val="nil"/>
          <w:bottom w:val="nil"/>
          <w:right w:val="nil"/>
          <w:between w:val="nil"/>
        </w:pBdr>
        <w:spacing w:before="0"/>
        <w:rPr>
          <w:rFonts w:ascii="Times New Roman" w:hAnsi="Times New Roman" w:eastAsia="Times New Roman" w:cs="Times New Roman"/>
          <w:b/>
          <w:color w:val="000000"/>
          <w:sz w:val="24"/>
          <w:szCs w:val="24"/>
        </w:rPr>
      </w:pPr>
    </w:p>
    <w:p w:rsidRPr="00B30C07" w:rsidR="00372873" w:rsidP="00B30C07" w:rsidRDefault="009C7B27" w14:paraId="3E9345C2" w14:textId="0D84F79D">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30C07" w:rsidP="00B30C07" w:rsidRDefault="00B30C07" w14:paraId="411C07CB" w14:textId="77777777">
      <w:pPr>
        <w:pBdr>
          <w:top w:val="nil"/>
          <w:left w:val="nil"/>
          <w:bottom w:val="nil"/>
          <w:right w:val="nil"/>
          <w:between w:val="nil"/>
        </w:pBdr>
        <w:tabs>
          <w:tab w:val="left" w:pos="360"/>
        </w:tabs>
        <w:spacing w:before="0"/>
        <w:rPr>
          <w:color w:val="000000"/>
        </w:rPr>
      </w:pPr>
    </w:p>
    <w:p w:rsidR="00372873" w:rsidP="00B30C07" w:rsidRDefault="009C7B27" w14:paraId="32E8099B" w14:textId="6A3A2AF3">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costs associated with data collection for the GOA </w:t>
      </w:r>
      <w:r w:rsidR="00F51162">
        <w:rPr>
          <w:rFonts w:ascii="Times New Roman" w:hAnsi="Times New Roman" w:eastAsia="Times New Roman" w:cs="Times New Roman"/>
          <w:sz w:val="24"/>
          <w:szCs w:val="24"/>
        </w:rPr>
        <w:t xml:space="preserve">trawl </w:t>
      </w:r>
      <w:r>
        <w:rPr>
          <w:rFonts w:ascii="Times New Roman" w:hAnsi="Times New Roman" w:eastAsia="Times New Roman" w:cs="Times New Roman"/>
          <w:sz w:val="24"/>
          <w:szCs w:val="24"/>
        </w:rPr>
        <w:t xml:space="preserve">catcher/processor fishery management program, as a LAPP, are recoverable through program cost recovery fees. Under this cost recovery program, NMFS </w:t>
      </w:r>
      <w:proofErr w:type="gramStart"/>
      <w:r>
        <w:rPr>
          <w:rFonts w:ascii="Times New Roman" w:hAnsi="Times New Roman" w:eastAsia="Times New Roman" w:cs="Times New Roman"/>
          <w:sz w:val="24"/>
          <w:szCs w:val="24"/>
        </w:rPr>
        <w:t>is authorized</w:t>
      </w:r>
      <w:proofErr w:type="gramEnd"/>
      <w:r>
        <w:rPr>
          <w:rFonts w:ascii="Times New Roman" w:hAnsi="Times New Roman" w:eastAsia="Times New Roman" w:cs="Times New Roman"/>
          <w:sz w:val="24"/>
          <w:szCs w:val="24"/>
        </w:rPr>
        <w:t xml:space="preserve"> to collect direct program costs from the permit holders, including agency costs for administration of mandatory recordkeeping and reporting requirements associated with the LAPP. Therefore, the estimated Federal Oversight and Contractor costs associated with administration of the </w:t>
      </w:r>
      <w:r w:rsidR="00F51162">
        <w:rPr>
          <w:rFonts w:ascii="Times New Roman" w:hAnsi="Times New Roman" w:eastAsia="Times New Roman" w:cs="Times New Roman"/>
          <w:sz w:val="24"/>
          <w:szCs w:val="24"/>
        </w:rPr>
        <w:t xml:space="preserve">Annual </w:t>
      </w:r>
      <w:r>
        <w:rPr>
          <w:rFonts w:ascii="Times New Roman" w:hAnsi="Times New Roman" w:eastAsia="Times New Roman" w:cs="Times New Roman"/>
          <w:sz w:val="24"/>
          <w:szCs w:val="24"/>
        </w:rPr>
        <w:t xml:space="preserve">Trawl Catcher/Processor EDR shown in the table below do not impose a cost on the Federal Government.  </w:t>
      </w:r>
    </w:p>
    <w:p w:rsidR="00B30C07" w:rsidP="00B30C07" w:rsidRDefault="00B30C07" w14:paraId="7AB9A6BE" w14:textId="77777777">
      <w:pPr>
        <w:spacing w:before="0"/>
        <w:rPr>
          <w:rFonts w:ascii="Times New Roman" w:hAnsi="Times New Roman" w:eastAsia="Times New Roman" w:cs="Times New Roman"/>
          <w:sz w:val="24"/>
          <w:szCs w:val="24"/>
        </w:rPr>
      </w:pPr>
    </w:p>
    <w:p w:rsidR="00372873" w:rsidP="00B30C07" w:rsidRDefault="009C7B27" w14:paraId="0AC548E4" w14:textId="3150F83A">
      <w:pPr>
        <w:spacing w:before="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costs are actual costs for a Federal Oversight Economist’s proportion of time applied to this collection within the overall EDR Program.  Costs for the contracted services of the Pacific States Marine Fisheries Commission administration of data collection </w:t>
      </w:r>
      <w:proofErr w:type="gramStart"/>
      <w:r>
        <w:rPr>
          <w:rFonts w:ascii="Times New Roman" w:hAnsi="Times New Roman" w:eastAsia="Times New Roman" w:cs="Times New Roman"/>
          <w:sz w:val="24"/>
          <w:szCs w:val="24"/>
        </w:rPr>
        <w:t>are based</w:t>
      </w:r>
      <w:proofErr w:type="gramEnd"/>
      <w:r>
        <w:rPr>
          <w:rFonts w:ascii="Times New Roman" w:hAnsi="Times New Roman" w:eastAsia="Times New Roman" w:cs="Times New Roman"/>
          <w:sz w:val="24"/>
          <w:szCs w:val="24"/>
        </w:rPr>
        <w:t xml:space="preserve"> on a firm fixed prices mechanism and are inclusive of salaries, fringe benefits, supplies, a</w:t>
      </w:r>
      <w:r w:rsidR="00D20AA8">
        <w:rPr>
          <w:rFonts w:ascii="Times New Roman" w:hAnsi="Times New Roman" w:eastAsia="Times New Roman" w:cs="Times New Roman"/>
          <w:sz w:val="24"/>
          <w:szCs w:val="24"/>
        </w:rPr>
        <w:t xml:space="preserve">nd other miscellaneous costs.  </w:t>
      </w:r>
    </w:p>
    <w:p w:rsidR="00372873" w:rsidP="00B30C07" w:rsidRDefault="00372873" w14:paraId="4D8A148A" w14:textId="77777777">
      <w:pPr>
        <w:spacing w:before="0"/>
        <w:rPr>
          <w:rFonts w:ascii="Times New Roman" w:hAnsi="Times New Roman" w:eastAsia="Times New Roman" w:cs="Times New Roman"/>
          <w:sz w:val="24"/>
          <w:szCs w:val="24"/>
        </w:rPr>
      </w:pPr>
    </w:p>
    <w:tbl>
      <w:tblPr>
        <w:tblStyle w:val="a2"/>
        <w:tblW w:w="0" w:type="auto"/>
        <w:tblLayout w:type="fixed"/>
        <w:tblLook w:val="0400" w:firstRow="0" w:lastRow="0" w:firstColumn="0" w:lastColumn="0" w:noHBand="0" w:noVBand="1"/>
      </w:tblPr>
      <w:tblGrid>
        <w:gridCol w:w="2251"/>
        <w:gridCol w:w="1515"/>
        <w:gridCol w:w="1622"/>
        <w:gridCol w:w="1362"/>
        <w:gridCol w:w="1507"/>
        <w:gridCol w:w="1632"/>
      </w:tblGrid>
      <w:tr w:rsidR="00372873" w:rsidTr="007961B7" w14:paraId="171D8516" w14:textId="77777777">
        <w:trPr>
          <w:trHeight w:val="858"/>
        </w:trPr>
        <w:tc>
          <w:tcPr>
            <w:tcW w:w="2251" w:type="dxa"/>
            <w:tcBorders>
              <w:top w:val="single" w:color="000000" w:sz="8" w:space="0"/>
              <w:left w:val="single" w:color="000000" w:sz="8" w:space="0"/>
              <w:bottom w:val="nil"/>
              <w:right w:val="single" w:color="000000" w:sz="8" w:space="0"/>
            </w:tcBorders>
            <w:shd w:val="clear" w:color="auto" w:fill="BDD7EE"/>
            <w:vAlign w:val="center"/>
          </w:tcPr>
          <w:p w:rsidR="00372873" w:rsidRDefault="009C7B27" w14:paraId="4542D770"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515" w:type="dxa"/>
            <w:tcBorders>
              <w:top w:val="single" w:color="000000" w:sz="8" w:space="0"/>
              <w:left w:val="nil"/>
              <w:bottom w:val="nil"/>
              <w:right w:val="single" w:color="000000" w:sz="8" w:space="0"/>
            </w:tcBorders>
            <w:shd w:val="clear" w:color="auto" w:fill="BDD7EE"/>
            <w:vAlign w:val="center"/>
          </w:tcPr>
          <w:p w:rsidR="00372873" w:rsidRDefault="009C7B27" w14:paraId="304FAD58"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622" w:type="dxa"/>
            <w:tcBorders>
              <w:top w:val="single" w:color="000000" w:sz="8" w:space="0"/>
              <w:left w:val="nil"/>
              <w:bottom w:val="nil"/>
              <w:right w:val="single" w:color="000000" w:sz="8" w:space="0"/>
            </w:tcBorders>
            <w:shd w:val="clear" w:color="auto" w:fill="BDD7EE"/>
            <w:vAlign w:val="center"/>
          </w:tcPr>
          <w:p w:rsidR="00372873" w:rsidRDefault="009C7B27" w14:paraId="7BB9D1A5"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Loaded Salary /Cost </w:t>
            </w:r>
          </w:p>
        </w:tc>
        <w:tc>
          <w:tcPr>
            <w:tcW w:w="1362" w:type="dxa"/>
            <w:tcBorders>
              <w:top w:val="single" w:color="000000" w:sz="8" w:space="0"/>
              <w:left w:val="nil"/>
              <w:bottom w:val="nil"/>
              <w:right w:val="single" w:color="000000" w:sz="8" w:space="0"/>
            </w:tcBorders>
            <w:shd w:val="clear" w:color="auto" w:fill="BDD7EE"/>
            <w:vAlign w:val="center"/>
          </w:tcPr>
          <w:p w:rsidR="00372873" w:rsidRDefault="009C7B27" w14:paraId="22ACAE7D"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507" w:type="dxa"/>
            <w:tcBorders>
              <w:top w:val="single" w:color="000000" w:sz="8" w:space="0"/>
              <w:left w:val="nil"/>
              <w:bottom w:val="nil"/>
              <w:right w:val="single" w:color="000000" w:sz="8" w:space="0"/>
            </w:tcBorders>
            <w:shd w:val="clear" w:color="auto" w:fill="BDD7EE"/>
            <w:vAlign w:val="center"/>
          </w:tcPr>
          <w:p w:rsidR="00372873" w:rsidRDefault="009C7B27" w14:paraId="55AEBB83"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632" w:type="dxa"/>
            <w:tcBorders>
              <w:top w:val="single" w:color="000000" w:sz="8" w:space="0"/>
              <w:left w:val="nil"/>
              <w:bottom w:val="nil"/>
              <w:right w:val="single" w:color="000000" w:sz="8" w:space="0"/>
            </w:tcBorders>
            <w:shd w:val="clear" w:color="auto" w:fill="BDD7EE"/>
            <w:vAlign w:val="center"/>
          </w:tcPr>
          <w:p w:rsidR="00372873" w:rsidRDefault="009C7B27" w14:paraId="2B5C8315"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Cost to Government </w:t>
            </w:r>
          </w:p>
        </w:tc>
      </w:tr>
      <w:tr w:rsidR="00372873" w:rsidTr="007961B7" w14:paraId="4E97D717" w14:textId="77777777">
        <w:trPr>
          <w:trHeight w:val="312"/>
        </w:trPr>
        <w:tc>
          <w:tcPr>
            <w:tcW w:w="2251" w:type="dxa"/>
            <w:tcBorders>
              <w:top w:val="single" w:color="000000" w:sz="8" w:space="0"/>
              <w:left w:val="single" w:color="000000" w:sz="8" w:space="0"/>
              <w:bottom w:val="single" w:color="000000" w:sz="8" w:space="0"/>
              <w:right w:val="single" w:color="000000" w:sz="8" w:space="0"/>
            </w:tcBorders>
            <w:shd w:val="clear" w:color="auto" w:fill="auto"/>
            <w:vAlign w:val="center"/>
          </w:tcPr>
          <w:p w:rsidR="00372873" w:rsidP="007961B7" w:rsidRDefault="009C7B27" w14:paraId="62876944" w14:textId="77777777">
            <w:pPr>
              <w:spacing w:before="0"/>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515" w:type="dxa"/>
            <w:tcBorders>
              <w:top w:val="single" w:color="000000" w:sz="8" w:space="0"/>
              <w:left w:val="nil"/>
              <w:bottom w:val="single" w:color="000000" w:sz="8" w:space="0"/>
              <w:right w:val="single" w:color="000000" w:sz="8" w:space="0"/>
            </w:tcBorders>
            <w:shd w:val="clear" w:color="auto" w:fill="auto"/>
            <w:vAlign w:val="center"/>
          </w:tcPr>
          <w:p w:rsidR="00372873" w:rsidP="007961B7" w:rsidRDefault="009C7B27" w14:paraId="7FDE5275"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ZP III/03</w:t>
            </w:r>
          </w:p>
        </w:tc>
        <w:tc>
          <w:tcPr>
            <w:tcW w:w="1622" w:type="dxa"/>
            <w:tcBorders>
              <w:top w:val="single" w:color="000000" w:sz="8" w:space="0"/>
              <w:left w:val="nil"/>
              <w:bottom w:val="single" w:color="000000" w:sz="8" w:space="0"/>
              <w:right w:val="single" w:color="000000" w:sz="8" w:space="0"/>
            </w:tcBorders>
            <w:shd w:val="clear" w:color="auto" w:fill="auto"/>
            <w:vAlign w:val="center"/>
          </w:tcPr>
          <w:p w:rsidR="00372873" w:rsidP="007961B7" w:rsidRDefault="009C7B27" w14:paraId="0F0E3CE8"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xml:space="preserve"> $           166,081 </w:t>
            </w:r>
          </w:p>
        </w:tc>
        <w:tc>
          <w:tcPr>
            <w:tcW w:w="1362" w:type="dxa"/>
            <w:tcBorders>
              <w:top w:val="single" w:color="000000" w:sz="8" w:space="0"/>
              <w:left w:val="nil"/>
              <w:bottom w:val="single" w:color="000000" w:sz="8" w:space="0"/>
              <w:right w:val="single" w:color="000000" w:sz="8" w:space="0"/>
            </w:tcBorders>
            <w:shd w:val="clear" w:color="auto" w:fill="auto"/>
            <w:vAlign w:val="center"/>
          </w:tcPr>
          <w:p w:rsidR="00372873" w:rsidP="007961B7" w:rsidRDefault="009C7B27" w14:paraId="30434110" w14:textId="77777777">
            <w:pPr>
              <w:spacing w:before="0"/>
              <w:jc w:val="right"/>
              <w:rPr>
                <w:rFonts w:ascii="Calibri" w:hAnsi="Calibri" w:eastAsia="Calibri" w:cs="Calibri"/>
                <w:color w:val="000000"/>
                <w:sz w:val="16"/>
                <w:szCs w:val="16"/>
              </w:rPr>
            </w:pPr>
            <w:r>
              <w:rPr>
                <w:rFonts w:ascii="Calibri" w:hAnsi="Calibri" w:eastAsia="Calibri" w:cs="Calibri"/>
                <w:color w:val="000000"/>
                <w:sz w:val="16"/>
                <w:szCs w:val="16"/>
              </w:rPr>
              <w:t>11</w:t>
            </w:r>
          </w:p>
        </w:tc>
        <w:tc>
          <w:tcPr>
            <w:tcW w:w="1507" w:type="dxa"/>
            <w:tcBorders>
              <w:top w:val="single" w:color="000000" w:sz="8" w:space="0"/>
              <w:left w:val="nil"/>
              <w:bottom w:val="single" w:color="000000" w:sz="8" w:space="0"/>
              <w:right w:val="single" w:color="000000" w:sz="8" w:space="0"/>
            </w:tcBorders>
            <w:shd w:val="clear" w:color="auto" w:fill="808080"/>
            <w:vAlign w:val="center"/>
          </w:tcPr>
          <w:p w:rsidR="00372873" w:rsidP="007961B7" w:rsidRDefault="009C7B27" w14:paraId="1F23BFCE"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32" w:type="dxa"/>
            <w:tcBorders>
              <w:top w:val="single" w:color="000000" w:sz="8" w:space="0"/>
              <w:left w:val="nil"/>
              <w:bottom w:val="single" w:color="000000" w:sz="8" w:space="0"/>
              <w:right w:val="single" w:color="000000" w:sz="8" w:space="0"/>
            </w:tcBorders>
            <w:shd w:val="clear" w:color="auto" w:fill="auto"/>
            <w:vAlign w:val="center"/>
          </w:tcPr>
          <w:p w:rsidR="00372873" w:rsidP="007961B7" w:rsidRDefault="009C7B27" w14:paraId="39821622"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xml:space="preserve"> $              18,269 </w:t>
            </w:r>
          </w:p>
        </w:tc>
      </w:tr>
      <w:tr w:rsidR="00372873" w:rsidTr="007961B7" w14:paraId="6785970E" w14:textId="77777777">
        <w:trPr>
          <w:trHeight w:val="312"/>
        </w:trPr>
        <w:tc>
          <w:tcPr>
            <w:tcW w:w="2251" w:type="dxa"/>
            <w:tcBorders>
              <w:top w:val="nil"/>
              <w:left w:val="single" w:color="000000" w:sz="8" w:space="0"/>
              <w:bottom w:val="single" w:color="000000" w:sz="8" w:space="0"/>
              <w:right w:val="single" w:color="000000" w:sz="8" w:space="0"/>
            </w:tcBorders>
            <w:shd w:val="clear" w:color="auto" w:fill="auto"/>
            <w:vAlign w:val="center"/>
          </w:tcPr>
          <w:p w:rsidR="00372873" w:rsidP="007961B7" w:rsidRDefault="009C7B27" w14:paraId="322364CC"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lastRenderedPageBreak/>
              <w:t>Other Federal Positions</w:t>
            </w:r>
          </w:p>
        </w:tc>
        <w:tc>
          <w:tcPr>
            <w:tcW w:w="1515" w:type="dxa"/>
            <w:tcBorders>
              <w:top w:val="nil"/>
              <w:left w:val="nil"/>
              <w:bottom w:val="single" w:color="000000" w:sz="8" w:space="0"/>
              <w:right w:val="single" w:color="000000" w:sz="8" w:space="0"/>
            </w:tcBorders>
            <w:shd w:val="clear" w:color="auto" w:fill="auto"/>
            <w:vAlign w:val="center"/>
          </w:tcPr>
          <w:p w:rsidR="00372873" w:rsidP="007961B7" w:rsidRDefault="009C7B27" w14:paraId="12DEBEFA"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22" w:type="dxa"/>
            <w:tcBorders>
              <w:top w:val="nil"/>
              <w:left w:val="nil"/>
              <w:bottom w:val="single" w:color="000000" w:sz="8" w:space="0"/>
              <w:right w:val="single" w:color="000000" w:sz="8" w:space="0"/>
            </w:tcBorders>
            <w:shd w:val="clear" w:color="auto" w:fill="auto"/>
            <w:vAlign w:val="center"/>
          </w:tcPr>
          <w:p w:rsidR="00372873" w:rsidP="007961B7" w:rsidRDefault="009C7B27" w14:paraId="065140A2"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362" w:type="dxa"/>
            <w:tcBorders>
              <w:top w:val="nil"/>
              <w:left w:val="nil"/>
              <w:bottom w:val="single" w:color="000000" w:sz="8" w:space="0"/>
              <w:right w:val="single" w:color="000000" w:sz="8" w:space="0"/>
            </w:tcBorders>
            <w:shd w:val="clear" w:color="auto" w:fill="auto"/>
            <w:vAlign w:val="center"/>
          </w:tcPr>
          <w:p w:rsidR="00372873" w:rsidP="007961B7" w:rsidRDefault="009C7B27" w14:paraId="76294916"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507" w:type="dxa"/>
            <w:tcBorders>
              <w:top w:val="nil"/>
              <w:left w:val="nil"/>
              <w:bottom w:val="single" w:color="000000" w:sz="8" w:space="0"/>
              <w:right w:val="single" w:color="000000" w:sz="8" w:space="0"/>
            </w:tcBorders>
            <w:shd w:val="clear" w:color="auto" w:fill="808080"/>
            <w:vAlign w:val="center"/>
          </w:tcPr>
          <w:p w:rsidR="00372873" w:rsidP="007961B7" w:rsidRDefault="009C7B27" w14:paraId="28E5C0B6"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32" w:type="dxa"/>
            <w:tcBorders>
              <w:top w:val="nil"/>
              <w:left w:val="nil"/>
              <w:bottom w:val="single" w:color="000000" w:sz="8" w:space="0"/>
              <w:right w:val="single" w:color="000000" w:sz="8" w:space="0"/>
            </w:tcBorders>
            <w:shd w:val="clear" w:color="auto" w:fill="auto"/>
            <w:vAlign w:val="center"/>
          </w:tcPr>
          <w:p w:rsidR="00372873" w:rsidP="007961B7" w:rsidRDefault="009C7B27" w14:paraId="111ED95E"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r>
      <w:tr w:rsidR="00372873" w:rsidTr="007961B7" w14:paraId="66AD372B" w14:textId="77777777">
        <w:trPr>
          <w:trHeight w:val="312"/>
        </w:trPr>
        <w:tc>
          <w:tcPr>
            <w:tcW w:w="2251" w:type="dxa"/>
            <w:tcBorders>
              <w:top w:val="nil"/>
              <w:left w:val="single" w:color="000000" w:sz="8" w:space="0"/>
              <w:bottom w:val="single" w:color="000000" w:sz="8" w:space="0"/>
              <w:right w:val="single" w:color="000000" w:sz="8" w:space="0"/>
            </w:tcBorders>
            <w:shd w:val="clear" w:color="auto" w:fill="auto"/>
            <w:vAlign w:val="center"/>
          </w:tcPr>
          <w:p w:rsidR="00372873" w:rsidP="007961B7" w:rsidRDefault="009C7B27" w14:paraId="0B00DEDD" w14:textId="77777777">
            <w:pPr>
              <w:spacing w:before="0"/>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515" w:type="dxa"/>
            <w:tcBorders>
              <w:top w:val="nil"/>
              <w:left w:val="nil"/>
              <w:bottom w:val="single" w:color="000000" w:sz="8" w:space="0"/>
              <w:right w:val="single" w:color="000000" w:sz="8" w:space="0"/>
            </w:tcBorders>
            <w:shd w:val="clear" w:color="auto" w:fill="808080"/>
            <w:vAlign w:val="center"/>
          </w:tcPr>
          <w:p w:rsidR="00372873" w:rsidP="007961B7" w:rsidRDefault="009C7B27" w14:paraId="3B72718B"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22" w:type="dxa"/>
            <w:tcBorders>
              <w:top w:val="nil"/>
              <w:left w:val="nil"/>
              <w:bottom w:val="single" w:color="000000" w:sz="8" w:space="0"/>
              <w:right w:val="single" w:color="000000" w:sz="8" w:space="0"/>
            </w:tcBorders>
            <w:shd w:val="clear" w:color="auto" w:fill="auto"/>
            <w:vAlign w:val="center"/>
          </w:tcPr>
          <w:p w:rsidR="00372873" w:rsidP="007961B7" w:rsidRDefault="009C7B27" w14:paraId="307AB03F"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362" w:type="dxa"/>
            <w:tcBorders>
              <w:top w:val="nil"/>
              <w:left w:val="nil"/>
              <w:bottom w:val="single" w:color="000000" w:sz="8" w:space="0"/>
              <w:right w:val="single" w:color="000000" w:sz="8" w:space="0"/>
            </w:tcBorders>
            <w:shd w:val="clear" w:color="auto" w:fill="auto"/>
            <w:vAlign w:val="center"/>
          </w:tcPr>
          <w:p w:rsidR="00372873" w:rsidP="007961B7" w:rsidRDefault="009C7B27" w14:paraId="6DC8370D"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507" w:type="dxa"/>
            <w:tcBorders>
              <w:top w:val="nil"/>
              <w:left w:val="nil"/>
              <w:bottom w:val="single" w:color="000000" w:sz="8" w:space="0"/>
              <w:right w:val="single" w:color="000000" w:sz="8" w:space="0"/>
            </w:tcBorders>
            <w:shd w:val="clear" w:color="auto" w:fill="auto"/>
            <w:vAlign w:val="center"/>
          </w:tcPr>
          <w:p w:rsidR="00372873" w:rsidP="007961B7" w:rsidRDefault="009C7B27" w14:paraId="34F4E995"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32" w:type="dxa"/>
            <w:tcBorders>
              <w:top w:val="nil"/>
              <w:left w:val="nil"/>
              <w:bottom w:val="single" w:color="000000" w:sz="8" w:space="0"/>
              <w:right w:val="single" w:color="000000" w:sz="8" w:space="0"/>
            </w:tcBorders>
            <w:shd w:val="clear" w:color="auto" w:fill="auto"/>
            <w:vAlign w:val="center"/>
          </w:tcPr>
          <w:p w:rsidR="00372873" w:rsidP="007961B7" w:rsidRDefault="009C7B27" w14:paraId="32B1B659"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xml:space="preserve"> $              60,494 </w:t>
            </w:r>
          </w:p>
        </w:tc>
      </w:tr>
      <w:tr w:rsidR="00372873" w:rsidTr="007961B7" w14:paraId="5F7ACB9F" w14:textId="77777777">
        <w:trPr>
          <w:trHeight w:val="312"/>
        </w:trPr>
        <w:tc>
          <w:tcPr>
            <w:tcW w:w="2251" w:type="dxa"/>
            <w:tcBorders>
              <w:top w:val="nil"/>
              <w:left w:val="single" w:color="000000" w:sz="8" w:space="0"/>
              <w:bottom w:val="single" w:color="000000" w:sz="8" w:space="0"/>
              <w:right w:val="single" w:color="000000" w:sz="8" w:space="0"/>
            </w:tcBorders>
            <w:shd w:val="clear" w:color="auto" w:fill="auto"/>
            <w:vAlign w:val="center"/>
          </w:tcPr>
          <w:p w:rsidR="00372873" w:rsidP="007961B7" w:rsidRDefault="009C7B27" w14:paraId="1E2A475D" w14:textId="77777777">
            <w:pPr>
              <w:spacing w:before="0"/>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515" w:type="dxa"/>
            <w:tcBorders>
              <w:top w:val="nil"/>
              <w:left w:val="nil"/>
              <w:bottom w:val="single" w:color="000000" w:sz="8" w:space="0"/>
              <w:right w:val="single" w:color="000000" w:sz="8" w:space="0"/>
            </w:tcBorders>
            <w:shd w:val="clear" w:color="auto" w:fill="808080"/>
            <w:vAlign w:val="center"/>
          </w:tcPr>
          <w:p w:rsidR="00372873" w:rsidP="007961B7" w:rsidRDefault="009C7B27" w14:paraId="57006CFC"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22" w:type="dxa"/>
            <w:tcBorders>
              <w:top w:val="nil"/>
              <w:left w:val="nil"/>
              <w:bottom w:val="single" w:color="000000" w:sz="8" w:space="0"/>
              <w:right w:val="single" w:color="000000" w:sz="8" w:space="0"/>
            </w:tcBorders>
            <w:shd w:val="clear" w:color="auto" w:fill="808080"/>
            <w:vAlign w:val="center"/>
          </w:tcPr>
          <w:p w:rsidR="00372873" w:rsidP="007961B7" w:rsidRDefault="009C7B27" w14:paraId="4661F436"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362" w:type="dxa"/>
            <w:tcBorders>
              <w:top w:val="nil"/>
              <w:left w:val="nil"/>
              <w:bottom w:val="single" w:color="000000" w:sz="8" w:space="0"/>
              <w:right w:val="single" w:color="000000" w:sz="8" w:space="0"/>
            </w:tcBorders>
            <w:shd w:val="clear" w:color="auto" w:fill="808080"/>
            <w:vAlign w:val="center"/>
          </w:tcPr>
          <w:p w:rsidR="00372873" w:rsidP="007961B7" w:rsidRDefault="009C7B27" w14:paraId="36E28E57"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507" w:type="dxa"/>
            <w:tcBorders>
              <w:top w:val="nil"/>
              <w:left w:val="nil"/>
              <w:bottom w:val="single" w:color="000000" w:sz="8" w:space="0"/>
              <w:right w:val="single" w:color="000000" w:sz="8" w:space="0"/>
            </w:tcBorders>
            <w:shd w:val="clear" w:color="auto" w:fill="808080"/>
            <w:vAlign w:val="center"/>
          </w:tcPr>
          <w:p w:rsidR="00372873" w:rsidP="007961B7" w:rsidRDefault="009C7B27" w14:paraId="2C7B6777"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32" w:type="dxa"/>
            <w:tcBorders>
              <w:top w:val="nil"/>
              <w:left w:val="nil"/>
              <w:bottom w:val="single" w:color="000000" w:sz="8" w:space="0"/>
              <w:right w:val="single" w:color="000000" w:sz="8" w:space="0"/>
            </w:tcBorders>
            <w:shd w:val="clear" w:color="auto" w:fill="auto"/>
            <w:vAlign w:val="center"/>
          </w:tcPr>
          <w:p w:rsidR="00372873" w:rsidP="007961B7" w:rsidRDefault="009C7B27" w14:paraId="153CFB21"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r>
      <w:tr w:rsidR="00372873" w:rsidTr="007961B7" w14:paraId="4E733FA5" w14:textId="77777777">
        <w:trPr>
          <w:trHeight w:val="312"/>
        </w:trPr>
        <w:tc>
          <w:tcPr>
            <w:tcW w:w="2251" w:type="dxa"/>
            <w:tcBorders>
              <w:top w:val="nil"/>
              <w:left w:val="single" w:color="000000" w:sz="8" w:space="0"/>
              <w:bottom w:val="nil"/>
              <w:right w:val="single" w:color="000000" w:sz="8" w:space="0"/>
            </w:tcBorders>
            <w:shd w:val="clear" w:color="auto" w:fill="auto"/>
            <w:vAlign w:val="center"/>
          </w:tcPr>
          <w:p w:rsidR="00372873" w:rsidP="007961B7" w:rsidRDefault="009C7B27" w14:paraId="04E27A2B" w14:textId="77777777">
            <w:pPr>
              <w:spacing w:before="0"/>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515" w:type="dxa"/>
            <w:tcBorders>
              <w:top w:val="nil"/>
              <w:left w:val="nil"/>
              <w:bottom w:val="single" w:color="000000" w:sz="8" w:space="0"/>
              <w:right w:val="single" w:color="000000" w:sz="8" w:space="0"/>
            </w:tcBorders>
            <w:shd w:val="clear" w:color="auto" w:fill="808080"/>
            <w:vAlign w:val="center"/>
          </w:tcPr>
          <w:p w:rsidR="00372873" w:rsidP="007961B7" w:rsidRDefault="009C7B27" w14:paraId="7F756A35"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22" w:type="dxa"/>
            <w:tcBorders>
              <w:top w:val="nil"/>
              <w:left w:val="nil"/>
              <w:bottom w:val="single" w:color="000000" w:sz="8" w:space="0"/>
              <w:right w:val="single" w:color="000000" w:sz="8" w:space="0"/>
            </w:tcBorders>
            <w:shd w:val="clear" w:color="auto" w:fill="808080"/>
            <w:vAlign w:val="center"/>
          </w:tcPr>
          <w:p w:rsidR="00372873" w:rsidP="007961B7" w:rsidRDefault="009C7B27" w14:paraId="567861FF"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362" w:type="dxa"/>
            <w:tcBorders>
              <w:top w:val="nil"/>
              <w:left w:val="nil"/>
              <w:bottom w:val="single" w:color="000000" w:sz="8" w:space="0"/>
              <w:right w:val="single" w:color="000000" w:sz="8" w:space="0"/>
            </w:tcBorders>
            <w:shd w:val="clear" w:color="auto" w:fill="808080"/>
            <w:vAlign w:val="center"/>
          </w:tcPr>
          <w:p w:rsidR="00372873" w:rsidP="007961B7" w:rsidRDefault="009C7B27" w14:paraId="63545F75"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507" w:type="dxa"/>
            <w:tcBorders>
              <w:top w:val="nil"/>
              <w:left w:val="nil"/>
              <w:bottom w:val="single" w:color="000000" w:sz="8" w:space="0"/>
              <w:right w:val="single" w:color="000000" w:sz="8" w:space="0"/>
            </w:tcBorders>
            <w:shd w:val="clear" w:color="auto" w:fill="808080"/>
            <w:vAlign w:val="center"/>
          </w:tcPr>
          <w:p w:rsidR="00372873" w:rsidP="007961B7" w:rsidRDefault="009C7B27" w14:paraId="36DEF3F4"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32" w:type="dxa"/>
            <w:tcBorders>
              <w:top w:val="nil"/>
              <w:left w:val="nil"/>
              <w:bottom w:val="single" w:color="000000" w:sz="8" w:space="0"/>
              <w:right w:val="single" w:color="000000" w:sz="8" w:space="0"/>
            </w:tcBorders>
            <w:shd w:val="clear" w:color="auto" w:fill="auto"/>
            <w:vAlign w:val="center"/>
          </w:tcPr>
          <w:p w:rsidR="00372873" w:rsidP="007961B7" w:rsidRDefault="009C7B27" w14:paraId="2241B96D"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r>
      <w:tr w:rsidR="00372873" w:rsidTr="007961B7" w14:paraId="1655515A" w14:textId="77777777">
        <w:trPr>
          <w:trHeight w:val="312"/>
        </w:trPr>
        <w:tc>
          <w:tcPr>
            <w:tcW w:w="2251" w:type="dxa"/>
            <w:tcBorders>
              <w:top w:val="single" w:color="000000" w:sz="8" w:space="0"/>
              <w:left w:val="single" w:color="000000" w:sz="8" w:space="0"/>
              <w:bottom w:val="single" w:color="000000" w:sz="8" w:space="0"/>
              <w:right w:val="single" w:color="000000" w:sz="8" w:space="0"/>
            </w:tcBorders>
            <w:shd w:val="clear" w:color="auto" w:fill="DDEBF7"/>
            <w:vAlign w:val="center"/>
          </w:tcPr>
          <w:p w:rsidR="00372873" w:rsidP="007961B7" w:rsidRDefault="009C7B27" w14:paraId="365D8DDC" w14:textId="77777777">
            <w:pPr>
              <w:spacing w:before="0"/>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515" w:type="dxa"/>
            <w:tcBorders>
              <w:top w:val="nil"/>
              <w:left w:val="nil"/>
              <w:bottom w:val="single" w:color="000000" w:sz="8" w:space="0"/>
              <w:right w:val="single" w:color="000000" w:sz="8" w:space="0"/>
            </w:tcBorders>
            <w:shd w:val="clear" w:color="auto" w:fill="808080"/>
            <w:vAlign w:val="center"/>
          </w:tcPr>
          <w:p w:rsidR="00372873" w:rsidP="007961B7" w:rsidRDefault="009C7B27" w14:paraId="3E18007F"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22" w:type="dxa"/>
            <w:tcBorders>
              <w:top w:val="nil"/>
              <w:left w:val="nil"/>
              <w:bottom w:val="single" w:color="000000" w:sz="8" w:space="0"/>
              <w:right w:val="single" w:color="000000" w:sz="8" w:space="0"/>
            </w:tcBorders>
            <w:shd w:val="clear" w:color="auto" w:fill="808080"/>
            <w:vAlign w:val="center"/>
          </w:tcPr>
          <w:p w:rsidR="00372873" w:rsidP="007961B7" w:rsidRDefault="009C7B27" w14:paraId="39D7DE3B"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362" w:type="dxa"/>
            <w:tcBorders>
              <w:top w:val="nil"/>
              <w:left w:val="nil"/>
              <w:bottom w:val="single" w:color="000000" w:sz="8" w:space="0"/>
              <w:right w:val="single" w:color="000000" w:sz="8" w:space="0"/>
            </w:tcBorders>
            <w:shd w:val="clear" w:color="auto" w:fill="757171"/>
            <w:vAlign w:val="center"/>
          </w:tcPr>
          <w:p w:rsidR="00372873" w:rsidP="007961B7" w:rsidRDefault="009C7B27" w14:paraId="29754BF6"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507" w:type="dxa"/>
            <w:tcBorders>
              <w:top w:val="nil"/>
              <w:left w:val="nil"/>
              <w:bottom w:val="single" w:color="000000" w:sz="8" w:space="0"/>
              <w:right w:val="single" w:color="000000" w:sz="8" w:space="0"/>
            </w:tcBorders>
            <w:shd w:val="clear" w:color="auto" w:fill="DDEBF7"/>
            <w:vAlign w:val="center"/>
          </w:tcPr>
          <w:p w:rsidR="00372873" w:rsidP="007961B7" w:rsidRDefault="009C7B27" w14:paraId="13EFDDA2"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w:t>
            </w:r>
          </w:p>
        </w:tc>
        <w:tc>
          <w:tcPr>
            <w:tcW w:w="1632" w:type="dxa"/>
            <w:tcBorders>
              <w:top w:val="nil"/>
              <w:left w:val="nil"/>
              <w:bottom w:val="single" w:color="000000" w:sz="8" w:space="0"/>
              <w:right w:val="single" w:color="000000" w:sz="8" w:space="0"/>
            </w:tcBorders>
            <w:shd w:val="clear" w:color="auto" w:fill="DDEBF7"/>
            <w:vAlign w:val="center"/>
          </w:tcPr>
          <w:p w:rsidR="00372873" w:rsidP="007961B7" w:rsidRDefault="009C7B27" w14:paraId="74164B57"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xml:space="preserve"> $              78,763 </w:t>
            </w:r>
          </w:p>
        </w:tc>
      </w:tr>
    </w:tbl>
    <w:p w:rsidR="00372873" w:rsidP="00B30C07" w:rsidRDefault="00372873" w14:paraId="621EB033" w14:textId="3946CF6A">
      <w:pPr>
        <w:spacing w:before="0"/>
        <w:rPr>
          <w:rFonts w:ascii="Times New Roman" w:hAnsi="Times New Roman" w:eastAsia="Times New Roman" w:cs="Times New Roman"/>
          <w:sz w:val="24"/>
          <w:szCs w:val="24"/>
        </w:rPr>
      </w:pPr>
    </w:p>
    <w:p w:rsidR="008F5721" w:rsidP="00B30C07" w:rsidRDefault="008F5721" w14:paraId="6C8FD69E" w14:textId="77777777">
      <w:pPr>
        <w:spacing w:before="0"/>
        <w:rPr>
          <w:rFonts w:ascii="Times New Roman" w:hAnsi="Times New Roman" w:eastAsia="Times New Roman" w:cs="Times New Roman"/>
          <w:sz w:val="24"/>
          <w:szCs w:val="24"/>
        </w:rPr>
      </w:pPr>
    </w:p>
    <w:p w:rsidR="00372873" w:rsidP="00B30C07" w:rsidRDefault="009C7B27" w14:paraId="4E5A91CF" w14:textId="77777777">
      <w:pPr>
        <w:keepNext/>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Explain the reasons for any program changes or adjustments reported in ROCIS.</w:t>
      </w:r>
    </w:p>
    <w:p w:rsidR="00372873" w:rsidP="00B30C07" w:rsidRDefault="009C7B27" w14:paraId="039880A7" w14:textId="77777777">
      <w:pPr>
        <w:keepNext/>
        <w:pBdr>
          <w:top w:val="nil"/>
          <w:left w:val="nil"/>
          <w:bottom w:val="nil"/>
          <w:right w:val="nil"/>
          <w:between w:val="nil"/>
        </w:pBdr>
        <w:spacing w:before="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 are no changes to the respondents, responses, burden hours, or labor costs since the last OMB approval.  Miscellaneous costs </w:t>
      </w:r>
      <w:proofErr w:type="gramStart"/>
      <w:r>
        <w:rPr>
          <w:rFonts w:ascii="Times New Roman" w:hAnsi="Times New Roman" w:eastAsia="Times New Roman" w:cs="Times New Roman"/>
          <w:color w:val="000000"/>
          <w:sz w:val="24"/>
          <w:szCs w:val="24"/>
        </w:rPr>
        <w:t>have been estimated</w:t>
      </w:r>
      <w:proofErr w:type="gramEnd"/>
      <w:r>
        <w:rPr>
          <w:rFonts w:ascii="Times New Roman" w:hAnsi="Times New Roman" w:eastAsia="Times New Roman" w:cs="Times New Roman"/>
          <w:color w:val="000000"/>
          <w:sz w:val="24"/>
          <w:szCs w:val="24"/>
        </w:rPr>
        <w:t xml:space="preserve"> as a flat rate of $5 per response.  </w:t>
      </w:r>
    </w:p>
    <w:p w:rsidR="00372873" w:rsidP="00B30C07" w:rsidRDefault="00372873" w14:paraId="7BA50357" w14:textId="77777777">
      <w:pPr>
        <w:pBdr>
          <w:top w:val="nil"/>
          <w:left w:val="nil"/>
          <w:bottom w:val="nil"/>
          <w:right w:val="nil"/>
          <w:between w:val="nil"/>
        </w:pBdr>
        <w:spacing w:before="0"/>
        <w:rPr>
          <w:rFonts w:ascii="Times New Roman" w:hAnsi="Times New Roman" w:eastAsia="Times New Roman" w:cs="Times New Roman"/>
          <w:b/>
          <w:color w:val="000000"/>
          <w:sz w:val="24"/>
          <w:szCs w:val="24"/>
        </w:rPr>
      </w:pPr>
    </w:p>
    <w:tbl>
      <w:tblPr>
        <w:tblStyle w:val="a3"/>
        <w:tblW w:w="9915" w:type="dxa"/>
        <w:tblInd w:w="-25" w:type="dxa"/>
        <w:tblLayout w:type="fixed"/>
        <w:tblLook w:val="0400" w:firstRow="0" w:lastRow="0" w:firstColumn="0" w:lastColumn="0" w:noHBand="0" w:noVBand="1"/>
      </w:tblPr>
      <w:tblGrid>
        <w:gridCol w:w="2175"/>
        <w:gridCol w:w="925"/>
        <w:gridCol w:w="965"/>
        <w:gridCol w:w="1080"/>
        <w:gridCol w:w="1170"/>
        <w:gridCol w:w="3600"/>
      </w:tblGrid>
      <w:tr w:rsidR="00372873" w14:paraId="4661D3BB" w14:textId="77777777">
        <w:trPr>
          <w:trHeight w:val="315"/>
        </w:trPr>
        <w:tc>
          <w:tcPr>
            <w:tcW w:w="217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72873" w:rsidRDefault="009C7B27" w14:paraId="047E28F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372873" w:rsidRDefault="009C7B27" w14:paraId="76F6C8C6"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372873" w:rsidRDefault="009C7B27" w14:paraId="7481387B"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6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72873" w:rsidRDefault="009C7B27" w14:paraId="1C60BDE6" w14:textId="77777777">
            <w:pPr>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72873" w14:paraId="7026565E" w14:textId="77777777">
        <w:trPr>
          <w:trHeight w:val="690"/>
        </w:trPr>
        <w:tc>
          <w:tcPr>
            <w:tcW w:w="217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72873" w:rsidRDefault="00372873" w14:paraId="32048919"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25" w:type="dxa"/>
            <w:tcBorders>
              <w:top w:val="nil"/>
              <w:left w:val="nil"/>
              <w:bottom w:val="single" w:color="000000" w:sz="8" w:space="0"/>
              <w:right w:val="dashed" w:color="000000" w:sz="8" w:space="0"/>
            </w:tcBorders>
            <w:shd w:val="clear" w:color="auto" w:fill="FBE4D5"/>
            <w:vAlign w:val="center"/>
          </w:tcPr>
          <w:p w:rsidR="00372873" w:rsidRDefault="009C7B27" w14:paraId="730C4797"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65" w:type="dxa"/>
            <w:tcBorders>
              <w:top w:val="nil"/>
              <w:left w:val="nil"/>
              <w:bottom w:val="single" w:color="000000" w:sz="8" w:space="0"/>
              <w:right w:val="single" w:color="000000" w:sz="8" w:space="0"/>
            </w:tcBorders>
            <w:shd w:val="clear" w:color="auto" w:fill="FBE4D5"/>
            <w:vAlign w:val="center"/>
          </w:tcPr>
          <w:p w:rsidR="00372873" w:rsidRDefault="009C7B27" w14:paraId="39235EF2"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080" w:type="dxa"/>
            <w:tcBorders>
              <w:top w:val="nil"/>
              <w:left w:val="nil"/>
              <w:bottom w:val="single" w:color="000000" w:sz="8" w:space="0"/>
              <w:right w:val="dashed" w:color="000000" w:sz="8" w:space="0"/>
            </w:tcBorders>
            <w:shd w:val="clear" w:color="auto" w:fill="FBE4D5"/>
            <w:vAlign w:val="center"/>
          </w:tcPr>
          <w:p w:rsidR="00372873" w:rsidRDefault="009C7B27" w14:paraId="1CFE43C1"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70" w:type="dxa"/>
            <w:tcBorders>
              <w:top w:val="nil"/>
              <w:left w:val="nil"/>
              <w:bottom w:val="single" w:color="000000" w:sz="8" w:space="0"/>
              <w:right w:val="single" w:color="000000" w:sz="8" w:space="0"/>
            </w:tcBorders>
            <w:shd w:val="clear" w:color="auto" w:fill="FBE4D5"/>
            <w:vAlign w:val="center"/>
          </w:tcPr>
          <w:p w:rsidR="00372873" w:rsidRDefault="009C7B27" w14:paraId="617A14C9"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6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72873" w:rsidRDefault="00372873" w14:paraId="237C3C69"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72873" w14:paraId="1BD42B50" w14:textId="77777777">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00372873" w:rsidP="007961B7" w:rsidRDefault="009C7B27" w14:paraId="09CC4645" w14:textId="67D6A9AC">
            <w:pPr>
              <w:spacing w:before="0"/>
              <w:rPr>
                <w:rFonts w:ascii="Calibri" w:hAnsi="Calibri" w:eastAsia="Calibri" w:cs="Calibri"/>
                <w:color w:val="000000"/>
                <w:sz w:val="16"/>
                <w:szCs w:val="16"/>
              </w:rPr>
            </w:pPr>
            <w:r>
              <w:rPr>
                <w:rFonts w:ascii="Calibri" w:hAnsi="Calibri" w:eastAsia="Calibri" w:cs="Calibri"/>
                <w:color w:val="000000"/>
                <w:sz w:val="16"/>
                <w:szCs w:val="16"/>
              </w:rPr>
              <w:t> </w:t>
            </w:r>
            <w:r w:rsidR="00C66CD7">
              <w:rPr>
                <w:rFonts w:ascii="Calibri" w:hAnsi="Calibri" w:eastAsia="Calibri" w:cs="Calibri"/>
                <w:color w:val="000000"/>
                <w:sz w:val="16"/>
                <w:szCs w:val="16"/>
              </w:rPr>
              <w:t>Annual GOA Trawl Catcher/Processor</w:t>
            </w:r>
            <w:r>
              <w:rPr>
                <w:rFonts w:ascii="Calibri" w:hAnsi="Calibri" w:eastAsia="Calibri" w:cs="Calibri"/>
                <w:color w:val="000000"/>
                <w:sz w:val="16"/>
                <w:szCs w:val="16"/>
              </w:rPr>
              <w:t xml:space="preserve"> EDR</w:t>
            </w:r>
          </w:p>
        </w:tc>
        <w:tc>
          <w:tcPr>
            <w:tcW w:w="925" w:type="dxa"/>
            <w:tcBorders>
              <w:top w:val="nil"/>
              <w:left w:val="nil"/>
              <w:bottom w:val="dotted" w:color="000000" w:sz="4" w:space="0"/>
              <w:right w:val="dashed" w:color="000000" w:sz="8" w:space="0"/>
            </w:tcBorders>
            <w:shd w:val="clear" w:color="auto" w:fill="auto"/>
            <w:vAlign w:val="center"/>
          </w:tcPr>
          <w:p w:rsidR="00372873" w:rsidP="007961B7" w:rsidRDefault="009C7B27" w14:paraId="7CB06AC1"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 $24,420</w:t>
            </w:r>
          </w:p>
        </w:tc>
        <w:tc>
          <w:tcPr>
            <w:tcW w:w="965" w:type="dxa"/>
            <w:tcBorders>
              <w:top w:val="nil"/>
              <w:left w:val="nil"/>
              <w:bottom w:val="dotted" w:color="000000" w:sz="4" w:space="0"/>
              <w:right w:val="single" w:color="000000" w:sz="8" w:space="0"/>
            </w:tcBorders>
            <w:shd w:val="clear" w:color="auto" w:fill="auto"/>
            <w:vAlign w:val="center"/>
          </w:tcPr>
          <w:p w:rsidR="00372873" w:rsidP="007961B7" w:rsidRDefault="009C7B27" w14:paraId="16FC55F7"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$24,420 </w:t>
            </w:r>
          </w:p>
        </w:tc>
        <w:tc>
          <w:tcPr>
            <w:tcW w:w="1080" w:type="dxa"/>
            <w:tcBorders>
              <w:top w:val="nil"/>
              <w:left w:val="nil"/>
              <w:bottom w:val="dotted" w:color="000000" w:sz="4" w:space="0"/>
              <w:right w:val="dashed" w:color="000000" w:sz="8" w:space="0"/>
            </w:tcBorders>
            <w:shd w:val="clear" w:color="auto" w:fill="auto"/>
            <w:vAlign w:val="center"/>
          </w:tcPr>
          <w:p w:rsidR="00372873" w:rsidP="007961B7" w:rsidRDefault="009C7B27" w14:paraId="697AB547"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 $150</w:t>
            </w:r>
          </w:p>
        </w:tc>
        <w:tc>
          <w:tcPr>
            <w:tcW w:w="1170" w:type="dxa"/>
            <w:tcBorders>
              <w:top w:val="nil"/>
              <w:left w:val="nil"/>
              <w:bottom w:val="dotted" w:color="000000" w:sz="4" w:space="0"/>
              <w:right w:val="single" w:color="000000" w:sz="8" w:space="0"/>
            </w:tcBorders>
            <w:shd w:val="clear" w:color="auto" w:fill="auto"/>
            <w:vAlign w:val="center"/>
          </w:tcPr>
          <w:p w:rsidR="00372873" w:rsidP="007961B7" w:rsidRDefault="009C7B27" w14:paraId="238948C0" w14:textId="77777777">
            <w:pPr>
              <w:spacing w:before="0"/>
              <w:jc w:val="center"/>
              <w:rPr>
                <w:rFonts w:ascii="Calibri" w:hAnsi="Calibri" w:eastAsia="Calibri" w:cs="Calibri"/>
                <w:color w:val="000000"/>
                <w:sz w:val="16"/>
                <w:szCs w:val="16"/>
              </w:rPr>
            </w:pPr>
            <w:r>
              <w:rPr>
                <w:rFonts w:ascii="Calibri" w:hAnsi="Calibri" w:eastAsia="Calibri" w:cs="Calibri"/>
                <w:color w:val="000000"/>
                <w:sz w:val="16"/>
                <w:szCs w:val="16"/>
              </w:rPr>
              <w:t> $35</w:t>
            </w:r>
          </w:p>
        </w:tc>
        <w:tc>
          <w:tcPr>
            <w:tcW w:w="3600" w:type="dxa"/>
            <w:tcBorders>
              <w:top w:val="nil"/>
              <w:left w:val="nil"/>
              <w:bottom w:val="dotted" w:color="000000" w:sz="4" w:space="0"/>
              <w:right w:val="single" w:color="000000" w:sz="8" w:space="0"/>
            </w:tcBorders>
            <w:shd w:val="clear" w:color="auto" w:fill="auto"/>
            <w:vAlign w:val="center"/>
          </w:tcPr>
          <w:p w:rsidR="00372873" w:rsidP="007961B7" w:rsidRDefault="009C7B27" w14:paraId="64B8AD10" w14:textId="77777777">
            <w:pPr>
              <w:spacing w:before="0"/>
              <w:rPr>
                <w:rFonts w:ascii="Calibri" w:hAnsi="Calibri" w:eastAsia="Calibri" w:cs="Calibri"/>
                <w:color w:val="000000"/>
                <w:sz w:val="16"/>
                <w:szCs w:val="16"/>
              </w:rPr>
            </w:pPr>
            <w:r>
              <w:rPr>
                <w:rFonts w:ascii="Calibri" w:hAnsi="Calibri" w:eastAsia="Calibri" w:cs="Calibri"/>
                <w:color w:val="000000"/>
                <w:sz w:val="16"/>
                <w:szCs w:val="16"/>
              </w:rPr>
              <w:t xml:space="preserve">Miscellaneous costs </w:t>
            </w:r>
            <w:proofErr w:type="gramStart"/>
            <w:r>
              <w:rPr>
                <w:rFonts w:ascii="Calibri" w:hAnsi="Calibri" w:eastAsia="Calibri" w:cs="Calibri"/>
                <w:color w:val="000000"/>
                <w:sz w:val="16"/>
                <w:szCs w:val="16"/>
              </w:rPr>
              <w:t>are now estimated</w:t>
            </w:r>
            <w:proofErr w:type="gramEnd"/>
            <w:r>
              <w:rPr>
                <w:rFonts w:ascii="Calibri" w:hAnsi="Calibri" w:eastAsia="Calibri" w:cs="Calibri"/>
                <w:color w:val="000000"/>
                <w:sz w:val="16"/>
                <w:szCs w:val="16"/>
              </w:rPr>
              <w:t xml:space="preserve"> as a flat rate per response. </w:t>
            </w:r>
          </w:p>
        </w:tc>
      </w:tr>
      <w:tr w:rsidR="00372873" w14:paraId="2AB0EE1C" w14:textId="77777777">
        <w:trPr>
          <w:trHeight w:val="465"/>
        </w:trPr>
        <w:tc>
          <w:tcPr>
            <w:tcW w:w="2175" w:type="dxa"/>
            <w:tcBorders>
              <w:top w:val="nil"/>
              <w:left w:val="single" w:color="000000" w:sz="8" w:space="0"/>
              <w:bottom w:val="nil"/>
              <w:right w:val="single" w:color="000000" w:sz="8" w:space="0"/>
            </w:tcBorders>
            <w:shd w:val="clear" w:color="auto" w:fill="BDD6EE"/>
            <w:vAlign w:val="center"/>
          </w:tcPr>
          <w:p w:rsidRPr="007961B7" w:rsidR="00372873" w:rsidP="007961B7" w:rsidRDefault="009C7B27" w14:paraId="358E5023" w14:textId="77777777">
            <w:pPr>
              <w:spacing w:before="0"/>
              <w:jc w:val="center"/>
              <w:rPr>
                <w:rFonts w:ascii="Calibri" w:hAnsi="Calibri" w:eastAsia="Calibri" w:cs="Calibri"/>
                <w:b/>
                <w:color w:val="000000"/>
                <w:sz w:val="18"/>
                <w:szCs w:val="18"/>
              </w:rPr>
            </w:pPr>
            <w:r w:rsidRPr="007961B7">
              <w:rPr>
                <w:rFonts w:ascii="Calibri" w:hAnsi="Calibri" w:eastAsia="Calibri" w:cs="Calibri"/>
                <w:b/>
                <w:color w:val="000000"/>
                <w:sz w:val="18"/>
                <w:szCs w:val="18"/>
              </w:rPr>
              <w:t>Total for Collection</w:t>
            </w:r>
          </w:p>
        </w:tc>
        <w:tc>
          <w:tcPr>
            <w:tcW w:w="925" w:type="dxa"/>
            <w:tcBorders>
              <w:top w:val="nil"/>
              <w:left w:val="nil"/>
              <w:bottom w:val="nil"/>
              <w:right w:val="dashed" w:color="000000" w:sz="8" w:space="0"/>
            </w:tcBorders>
            <w:shd w:val="clear" w:color="auto" w:fill="BDD6EE"/>
            <w:vAlign w:val="center"/>
          </w:tcPr>
          <w:p w:rsidRPr="007961B7" w:rsidR="00372873" w:rsidP="007961B7" w:rsidRDefault="009C7B27" w14:paraId="2FA531C5" w14:textId="77777777">
            <w:pPr>
              <w:spacing w:before="0"/>
              <w:jc w:val="center"/>
              <w:rPr>
                <w:rFonts w:ascii="Calibri" w:hAnsi="Calibri" w:eastAsia="Calibri" w:cs="Calibri"/>
                <w:b/>
                <w:color w:val="000000"/>
                <w:sz w:val="18"/>
                <w:szCs w:val="18"/>
              </w:rPr>
            </w:pPr>
            <w:r w:rsidRPr="007961B7">
              <w:rPr>
                <w:rFonts w:ascii="Calibri" w:hAnsi="Calibri" w:eastAsia="Calibri" w:cs="Calibri"/>
                <w:b/>
                <w:color w:val="000000"/>
                <w:sz w:val="18"/>
                <w:szCs w:val="18"/>
              </w:rPr>
              <w:t> $24,420</w:t>
            </w:r>
          </w:p>
        </w:tc>
        <w:tc>
          <w:tcPr>
            <w:tcW w:w="965" w:type="dxa"/>
            <w:tcBorders>
              <w:top w:val="nil"/>
              <w:left w:val="nil"/>
              <w:bottom w:val="nil"/>
              <w:right w:val="single" w:color="000000" w:sz="8" w:space="0"/>
            </w:tcBorders>
            <w:shd w:val="clear" w:color="auto" w:fill="BDD6EE"/>
            <w:vAlign w:val="center"/>
          </w:tcPr>
          <w:p w:rsidRPr="007961B7" w:rsidR="00372873" w:rsidP="007961B7" w:rsidRDefault="009C7B27" w14:paraId="6F733159" w14:textId="77777777">
            <w:pPr>
              <w:spacing w:before="0"/>
              <w:jc w:val="center"/>
              <w:rPr>
                <w:rFonts w:ascii="Calibri" w:hAnsi="Calibri" w:eastAsia="Calibri" w:cs="Calibri"/>
                <w:b/>
                <w:color w:val="000000"/>
                <w:sz w:val="18"/>
                <w:szCs w:val="18"/>
              </w:rPr>
            </w:pPr>
            <w:r w:rsidRPr="007961B7">
              <w:rPr>
                <w:rFonts w:ascii="Calibri" w:hAnsi="Calibri" w:eastAsia="Calibri" w:cs="Calibri"/>
                <w:b/>
                <w:color w:val="000000"/>
                <w:sz w:val="18"/>
                <w:szCs w:val="18"/>
              </w:rPr>
              <w:t> $24,420</w:t>
            </w:r>
          </w:p>
        </w:tc>
        <w:tc>
          <w:tcPr>
            <w:tcW w:w="1080" w:type="dxa"/>
            <w:tcBorders>
              <w:top w:val="nil"/>
              <w:left w:val="nil"/>
              <w:bottom w:val="nil"/>
              <w:right w:val="dashed" w:color="000000" w:sz="8" w:space="0"/>
            </w:tcBorders>
            <w:shd w:val="clear" w:color="auto" w:fill="BDD6EE"/>
            <w:vAlign w:val="center"/>
          </w:tcPr>
          <w:p w:rsidRPr="007961B7" w:rsidR="00372873" w:rsidP="007961B7" w:rsidRDefault="009C7B27" w14:paraId="31391AEB" w14:textId="77777777">
            <w:pPr>
              <w:spacing w:before="0"/>
              <w:jc w:val="center"/>
              <w:rPr>
                <w:rFonts w:ascii="Calibri" w:hAnsi="Calibri" w:eastAsia="Calibri" w:cs="Calibri"/>
                <w:b/>
                <w:color w:val="000000"/>
                <w:sz w:val="18"/>
                <w:szCs w:val="18"/>
              </w:rPr>
            </w:pPr>
            <w:r w:rsidRPr="007961B7">
              <w:rPr>
                <w:rFonts w:ascii="Calibri" w:hAnsi="Calibri" w:eastAsia="Calibri" w:cs="Calibri"/>
                <w:b/>
                <w:color w:val="000000"/>
                <w:sz w:val="18"/>
                <w:szCs w:val="18"/>
              </w:rPr>
              <w:t>$150</w:t>
            </w:r>
          </w:p>
        </w:tc>
        <w:tc>
          <w:tcPr>
            <w:tcW w:w="1170" w:type="dxa"/>
            <w:tcBorders>
              <w:top w:val="nil"/>
              <w:left w:val="nil"/>
              <w:bottom w:val="nil"/>
              <w:right w:val="single" w:color="000000" w:sz="8" w:space="0"/>
            </w:tcBorders>
            <w:shd w:val="clear" w:color="auto" w:fill="BDD6EE"/>
            <w:vAlign w:val="center"/>
          </w:tcPr>
          <w:p w:rsidRPr="007961B7" w:rsidR="00372873" w:rsidP="007961B7" w:rsidRDefault="009C7B27" w14:paraId="76CA7F50" w14:textId="77777777">
            <w:pPr>
              <w:spacing w:before="0"/>
              <w:jc w:val="center"/>
              <w:rPr>
                <w:rFonts w:ascii="Calibri" w:hAnsi="Calibri" w:eastAsia="Calibri" w:cs="Calibri"/>
                <w:b/>
                <w:color w:val="000000"/>
                <w:sz w:val="18"/>
                <w:szCs w:val="18"/>
              </w:rPr>
            </w:pPr>
            <w:r w:rsidRPr="007961B7">
              <w:rPr>
                <w:rFonts w:ascii="Calibri" w:hAnsi="Calibri" w:eastAsia="Calibri" w:cs="Calibri"/>
                <w:b/>
                <w:color w:val="000000"/>
                <w:sz w:val="18"/>
                <w:szCs w:val="18"/>
              </w:rPr>
              <w:t>$35 </w:t>
            </w:r>
          </w:p>
        </w:tc>
        <w:tc>
          <w:tcPr>
            <w:tcW w:w="3600" w:type="dxa"/>
            <w:tcBorders>
              <w:top w:val="nil"/>
              <w:left w:val="nil"/>
              <w:bottom w:val="nil"/>
              <w:right w:val="single" w:color="000000" w:sz="8" w:space="0"/>
            </w:tcBorders>
            <w:shd w:val="clear" w:color="auto" w:fill="000000"/>
            <w:vAlign w:val="center"/>
          </w:tcPr>
          <w:p w:rsidR="00372873" w:rsidP="007961B7" w:rsidRDefault="009C7B27" w14:paraId="51830703" w14:textId="77777777">
            <w:pPr>
              <w:spacing w:before="0"/>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72873" w:rsidTr="007961B7" w14:paraId="29A800A6" w14:textId="77777777">
        <w:trPr>
          <w:trHeight w:val="315"/>
        </w:trPr>
        <w:tc>
          <w:tcPr>
            <w:tcW w:w="2175" w:type="dxa"/>
            <w:tcBorders>
              <w:top w:val="single" w:color="000000" w:sz="8" w:space="0"/>
              <w:left w:val="single" w:color="000000" w:sz="8" w:space="0"/>
              <w:bottom w:val="single" w:color="000000" w:sz="8" w:space="0"/>
              <w:right w:val="nil"/>
            </w:tcBorders>
            <w:shd w:val="clear" w:color="auto" w:fill="FCE4D6"/>
            <w:vAlign w:val="center"/>
          </w:tcPr>
          <w:p w:rsidRPr="007961B7" w:rsidR="00372873" w:rsidP="007961B7" w:rsidRDefault="009C7B27" w14:paraId="60AB70DA" w14:textId="77777777">
            <w:pPr>
              <w:spacing w:before="0"/>
              <w:jc w:val="center"/>
              <w:rPr>
                <w:rFonts w:ascii="Calibri" w:hAnsi="Calibri" w:eastAsia="Calibri" w:cs="Calibri"/>
                <w:b/>
                <w:color w:val="000000"/>
                <w:sz w:val="18"/>
                <w:szCs w:val="18"/>
              </w:rPr>
            </w:pPr>
            <w:r w:rsidRPr="007961B7">
              <w:rPr>
                <w:rFonts w:ascii="Calibri" w:hAnsi="Calibri" w:eastAsia="Calibri" w:cs="Calibri"/>
                <w:b/>
                <w:color w:val="000000"/>
                <w:sz w:val="18"/>
                <w:szCs w:val="18"/>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7961B7" w:rsidR="00372873" w:rsidP="007961B7" w:rsidRDefault="009C7B27" w14:paraId="2C153C61" w14:textId="77777777">
            <w:pPr>
              <w:spacing w:before="0"/>
              <w:jc w:val="center"/>
              <w:rPr>
                <w:rFonts w:ascii="Calibri" w:hAnsi="Calibri" w:eastAsia="Calibri" w:cs="Calibri"/>
                <w:color w:val="000000"/>
                <w:sz w:val="18"/>
                <w:szCs w:val="18"/>
              </w:rPr>
            </w:pPr>
            <w:r w:rsidRPr="007961B7">
              <w:rPr>
                <w:rFonts w:ascii="Calibri" w:hAnsi="Calibri" w:eastAsia="Calibri" w:cs="Calibri"/>
                <w:color w:val="000000"/>
                <w:sz w:val="18"/>
                <w:szCs w:val="18"/>
              </w:rPr>
              <w:t> 0</w:t>
            </w:r>
          </w:p>
        </w:tc>
        <w:tc>
          <w:tcPr>
            <w:tcW w:w="2250" w:type="dxa"/>
            <w:gridSpan w:val="2"/>
            <w:tcBorders>
              <w:top w:val="single" w:color="000000" w:sz="8" w:space="0"/>
              <w:left w:val="nil"/>
              <w:bottom w:val="single" w:color="000000" w:sz="8" w:space="0"/>
              <w:right w:val="single" w:color="000000" w:sz="4" w:space="0"/>
            </w:tcBorders>
            <w:shd w:val="clear" w:color="auto" w:fill="FCE4D6"/>
            <w:vAlign w:val="center"/>
          </w:tcPr>
          <w:p w:rsidRPr="007961B7" w:rsidR="00372873" w:rsidP="007961B7" w:rsidRDefault="009C7B27" w14:paraId="45BA1F44" w14:textId="77777777">
            <w:pPr>
              <w:spacing w:before="0"/>
              <w:jc w:val="center"/>
              <w:rPr>
                <w:rFonts w:ascii="Calibri" w:hAnsi="Calibri" w:eastAsia="Calibri" w:cs="Calibri"/>
                <w:color w:val="000000"/>
                <w:sz w:val="18"/>
                <w:szCs w:val="18"/>
              </w:rPr>
            </w:pPr>
            <w:r w:rsidRPr="007961B7">
              <w:rPr>
                <w:rFonts w:ascii="Calibri" w:hAnsi="Calibri" w:eastAsia="Calibri" w:cs="Calibri"/>
                <w:color w:val="000000"/>
                <w:sz w:val="18"/>
                <w:szCs w:val="18"/>
              </w:rPr>
              <w:t>$115</w:t>
            </w:r>
          </w:p>
        </w:tc>
        <w:tc>
          <w:tcPr>
            <w:tcW w:w="3600" w:type="dxa"/>
            <w:tcBorders>
              <w:top w:val="single" w:color="000000" w:sz="8" w:space="0"/>
              <w:left w:val="nil"/>
              <w:bottom w:val="single" w:color="000000" w:sz="8" w:space="0"/>
              <w:right w:val="single" w:color="000000" w:sz="8" w:space="0"/>
            </w:tcBorders>
            <w:shd w:val="clear" w:color="auto" w:fill="000000"/>
            <w:vAlign w:val="bottom"/>
          </w:tcPr>
          <w:p w:rsidR="00372873" w:rsidP="007961B7" w:rsidRDefault="009C7B27" w14:paraId="104E5F3A" w14:textId="77777777">
            <w:pPr>
              <w:spacing w:before="0"/>
              <w:rPr>
                <w:rFonts w:ascii="Calibri" w:hAnsi="Calibri" w:eastAsia="Calibri" w:cs="Calibri"/>
                <w:color w:val="000000"/>
              </w:rPr>
            </w:pPr>
            <w:r>
              <w:rPr>
                <w:rFonts w:ascii="Calibri" w:hAnsi="Calibri" w:eastAsia="Calibri" w:cs="Calibri"/>
                <w:color w:val="000000"/>
              </w:rPr>
              <w:t> </w:t>
            </w:r>
          </w:p>
        </w:tc>
      </w:tr>
    </w:tbl>
    <w:p w:rsidR="00372873" w:rsidRDefault="00372873" w14:paraId="4C34472B"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372873" w:rsidP="00B30C07" w:rsidRDefault="00372873" w14:paraId="0C9B1544" w14:textId="77777777">
      <w:pPr>
        <w:pBdr>
          <w:top w:val="nil"/>
          <w:left w:val="nil"/>
          <w:bottom w:val="nil"/>
          <w:right w:val="nil"/>
          <w:between w:val="nil"/>
        </w:pBdr>
        <w:spacing w:before="0"/>
        <w:rPr>
          <w:rFonts w:ascii="Times New Roman" w:hAnsi="Times New Roman" w:eastAsia="Times New Roman" w:cs="Times New Roman"/>
          <w:b/>
          <w:color w:val="000000"/>
          <w:sz w:val="24"/>
          <w:szCs w:val="24"/>
        </w:rPr>
      </w:pPr>
    </w:p>
    <w:p w:rsidRPr="00B30C07" w:rsidR="00372873" w:rsidP="00061524" w:rsidRDefault="009C7B27" w14:paraId="348B809C" w14:textId="2019096F">
      <w:pPr>
        <w:keepNext/>
        <w:keepLines/>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 xml:space="preserve">For collections of information whose results </w:t>
      </w:r>
      <w:proofErr w:type="gramStart"/>
      <w:r>
        <w:rPr>
          <w:rFonts w:ascii="Times New Roman" w:hAnsi="Times New Roman" w:eastAsia="Times New Roman" w:cs="Times New Roman"/>
          <w:b/>
          <w:color w:val="000000"/>
          <w:sz w:val="24"/>
          <w:szCs w:val="24"/>
        </w:rPr>
        <w:t>will be published</w:t>
      </w:r>
      <w:proofErr w:type="gramEnd"/>
      <w:r>
        <w:rPr>
          <w:rFonts w:ascii="Times New Roman" w:hAnsi="Times New Roman" w:eastAsia="Times New Roman" w:cs="Times New Roman"/>
          <w:b/>
          <w:color w:val="000000"/>
          <w:sz w:val="24"/>
          <w:szCs w:val="24"/>
        </w:rPr>
        <w:t xml:space="preserve">, outline plans for tabulation and publication. Address any complex analytical techniques that </w:t>
      </w:r>
      <w:proofErr w:type="gramStart"/>
      <w:r>
        <w:rPr>
          <w:rFonts w:ascii="Times New Roman" w:hAnsi="Times New Roman" w:eastAsia="Times New Roman" w:cs="Times New Roman"/>
          <w:b/>
          <w:color w:val="000000"/>
          <w:sz w:val="24"/>
          <w:szCs w:val="24"/>
        </w:rPr>
        <w:t>will be used</w:t>
      </w:r>
      <w:proofErr w:type="gramEnd"/>
      <w:r>
        <w:rPr>
          <w:rFonts w:ascii="Times New Roman" w:hAnsi="Times New Roman" w:eastAsia="Times New Roman" w:cs="Times New Roman"/>
          <w:b/>
          <w:color w:val="000000"/>
          <w:sz w:val="24"/>
          <w:szCs w:val="24"/>
        </w:rPr>
        <w:t>. Provide the time schedule for the entire project, including beginning and ending dates of the collection of information, completion of report, publication dates, and other actions.</w:t>
      </w:r>
    </w:p>
    <w:p w:rsidR="00B30C07" w:rsidP="00B30C07" w:rsidRDefault="00B30C07" w14:paraId="7B8BA643" w14:textId="77777777">
      <w:pPr>
        <w:pBdr>
          <w:top w:val="nil"/>
          <w:left w:val="nil"/>
          <w:bottom w:val="nil"/>
          <w:right w:val="nil"/>
          <w:between w:val="nil"/>
        </w:pBdr>
        <w:tabs>
          <w:tab w:val="left" w:pos="360"/>
        </w:tabs>
        <w:spacing w:before="0"/>
        <w:rPr>
          <w:color w:val="000000"/>
        </w:rPr>
      </w:pPr>
    </w:p>
    <w:p w:rsidR="00372873" w:rsidP="00B30C07" w:rsidRDefault="009C7B27" w14:paraId="66D1AF45" w14:textId="77777777">
      <w:pPr>
        <w:pBdr>
          <w:top w:val="nil"/>
          <w:left w:val="nil"/>
          <w:bottom w:val="nil"/>
          <w:right w:val="nil"/>
          <w:between w:val="nil"/>
        </w:pBdr>
        <w:spacing w:before="0"/>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 xml:space="preserve">The information collected </w:t>
      </w:r>
      <w:proofErr w:type="gramStart"/>
      <w:r>
        <w:rPr>
          <w:rFonts w:ascii="Times New Roman" w:hAnsi="Times New Roman" w:eastAsia="Times New Roman" w:cs="Times New Roman"/>
          <w:color w:val="000000"/>
          <w:sz w:val="24"/>
          <w:szCs w:val="24"/>
        </w:rPr>
        <w:t>will not be published</w:t>
      </w:r>
      <w:proofErr w:type="gramEnd"/>
      <w:r>
        <w:rPr>
          <w:rFonts w:ascii="Times New Roman" w:hAnsi="Times New Roman" w:eastAsia="Times New Roman" w:cs="Times New Roman"/>
          <w:color w:val="000000"/>
          <w:sz w:val="24"/>
          <w:szCs w:val="24"/>
        </w:rPr>
        <w:t xml:space="preserve">. It </w:t>
      </w:r>
      <w:proofErr w:type="gramStart"/>
      <w:r>
        <w:rPr>
          <w:rFonts w:ascii="Times New Roman" w:hAnsi="Times New Roman" w:eastAsia="Times New Roman" w:cs="Times New Roman"/>
          <w:color w:val="000000"/>
          <w:sz w:val="24"/>
          <w:szCs w:val="24"/>
        </w:rPr>
        <w:t>is anticipated</w:t>
      </w:r>
      <w:proofErr w:type="gramEnd"/>
      <w:r>
        <w:rPr>
          <w:rFonts w:ascii="Times New Roman" w:hAnsi="Times New Roman" w:eastAsia="Times New Roman" w:cs="Times New Roman"/>
          <w:color w:val="000000"/>
          <w:sz w:val="24"/>
          <w:szCs w:val="24"/>
        </w:rPr>
        <w:t xml:space="preserve"> that the information collected will be disseminated in aggregated and non-confidential form to the public or used to support publicly disseminated information.  Annually, the Alaska Fisheries Science Center prepares the Economic Stock Assessment and Fishery Evaluation Report for the </w:t>
      </w:r>
      <w:proofErr w:type="spellStart"/>
      <w:r>
        <w:rPr>
          <w:rFonts w:ascii="Times New Roman" w:hAnsi="Times New Roman" w:eastAsia="Times New Roman" w:cs="Times New Roman"/>
          <w:color w:val="000000"/>
          <w:sz w:val="24"/>
          <w:szCs w:val="24"/>
        </w:rPr>
        <w:t>Groundfish</w:t>
      </w:r>
      <w:proofErr w:type="spellEnd"/>
      <w:r>
        <w:rPr>
          <w:rFonts w:ascii="Times New Roman" w:hAnsi="Times New Roman" w:eastAsia="Times New Roman" w:cs="Times New Roman"/>
          <w:color w:val="000000"/>
          <w:sz w:val="24"/>
          <w:szCs w:val="24"/>
        </w:rPr>
        <w:t xml:space="preserve"> Fisheries of the Gulf of Alaska.  That report contains an appendix summarizing the information from this collection and </w:t>
      </w:r>
      <w:proofErr w:type="gramStart"/>
      <w:r>
        <w:rPr>
          <w:rFonts w:ascii="Times New Roman" w:hAnsi="Times New Roman" w:eastAsia="Times New Roman" w:cs="Times New Roman"/>
          <w:color w:val="000000"/>
          <w:sz w:val="24"/>
          <w:szCs w:val="24"/>
        </w:rPr>
        <w:t>is usually published</w:t>
      </w:r>
      <w:proofErr w:type="gramEnd"/>
      <w:r>
        <w:rPr>
          <w:rFonts w:ascii="Times New Roman" w:hAnsi="Times New Roman" w:eastAsia="Times New Roman" w:cs="Times New Roman"/>
          <w:color w:val="000000"/>
          <w:sz w:val="24"/>
          <w:szCs w:val="24"/>
        </w:rPr>
        <w:t xml:space="preserve"> in December each year.  In addition, all respondents subject to this data collection are Amendment 80 LAPP </w:t>
      </w:r>
      <w:r w:rsidRPr="008148C3">
        <w:rPr>
          <w:rFonts w:ascii="Times New Roman" w:hAnsi="Times New Roman" w:eastAsia="Times New Roman" w:cs="Times New Roman"/>
          <w:color w:val="000000"/>
          <w:sz w:val="24"/>
          <w:szCs w:val="24"/>
        </w:rPr>
        <w:t xml:space="preserve">eligible, and the data from this collection </w:t>
      </w:r>
      <w:proofErr w:type="gramStart"/>
      <w:r w:rsidRPr="008148C3">
        <w:rPr>
          <w:rFonts w:ascii="Times New Roman" w:hAnsi="Times New Roman" w:eastAsia="Times New Roman" w:cs="Times New Roman"/>
          <w:color w:val="000000"/>
          <w:sz w:val="24"/>
          <w:szCs w:val="24"/>
        </w:rPr>
        <w:t>was last used</w:t>
      </w:r>
      <w:proofErr w:type="gramEnd"/>
      <w:r w:rsidRPr="008148C3">
        <w:rPr>
          <w:rFonts w:ascii="Times New Roman" w:hAnsi="Times New Roman" w:eastAsia="Times New Roman" w:cs="Times New Roman"/>
          <w:color w:val="000000"/>
          <w:sz w:val="24"/>
          <w:szCs w:val="24"/>
        </w:rPr>
        <w:t xml:space="preserve"> to evaluate program performance in 2014.  Both the annual report and the periodic program reviews are publicly distributed documents.</w:t>
      </w:r>
      <w:r>
        <w:rPr>
          <w:rFonts w:ascii="Times New Roman" w:hAnsi="Times New Roman" w:eastAsia="Times New Roman" w:cs="Times New Roman"/>
          <w:color w:val="000000"/>
          <w:sz w:val="24"/>
          <w:szCs w:val="24"/>
        </w:rPr>
        <w:t xml:space="preserve">  </w:t>
      </w:r>
    </w:p>
    <w:p w:rsidR="00372873" w:rsidP="00B30C07" w:rsidRDefault="00372873" w14:paraId="153DD8AA" w14:textId="0147623A">
      <w:pPr>
        <w:pBdr>
          <w:top w:val="nil"/>
          <w:left w:val="nil"/>
          <w:bottom w:val="nil"/>
          <w:right w:val="nil"/>
          <w:between w:val="nil"/>
        </w:pBdr>
        <w:spacing w:before="0"/>
        <w:rPr>
          <w:rFonts w:ascii="Times New Roman" w:hAnsi="Times New Roman" w:eastAsia="Times New Roman" w:cs="Times New Roman"/>
          <w:color w:val="000000"/>
          <w:sz w:val="24"/>
          <w:szCs w:val="24"/>
        </w:rPr>
      </w:pPr>
    </w:p>
    <w:p w:rsidRPr="00B30C07" w:rsidR="00372873" w:rsidP="00B30C07" w:rsidRDefault="009C7B27" w14:paraId="00ADA922" w14:textId="6177345B">
      <w:pPr>
        <w:numPr>
          <w:ilvl w:val="0"/>
          <w:numId w:val="7"/>
        </w:numPr>
        <w:pBdr>
          <w:top w:val="nil"/>
          <w:left w:val="nil"/>
          <w:bottom w:val="nil"/>
          <w:right w:val="nil"/>
          <w:between w:val="nil"/>
        </w:pBdr>
        <w:tabs>
          <w:tab w:val="left" w:pos="360"/>
        </w:tabs>
        <w:spacing w:before="0"/>
        <w:ind w:left="0" w:firstLine="0"/>
        <w:rPr>
          <w:color w:val="000000"/>
        </w:rPr>
      </w:pPr>
      <w:r>
        <w:rPr>
          <w:rFonts w:ascii="Times New Roman" w:hAnsi="Times New Roman" w:eastAsia="Times New Roman" w:cs="Times New Roman"/>
          <w:b/>
          <w:color w:val="000000"/>
          <w:sz w:val="24"/>
          <w:szCs w:val="24"/>
        </w:rPr>
        <w:t xml:space="preserve">If seeking approval </w:t>
      </w:r>
      <w:proofErr w:type="gramStart"/>
      <w:r>
        <w:rPr>
          <w:rFonts w:ascii="Times New Roman" w:hAnsi="Times New Roman" w:eastAsia="Times New Roman" w:cs="Times New Roman"/>
          <w:b/>
          <w:color w:val="000000"/>
          <w:sz w:val="24"/>
          <w:szCs w:val="24"/>
        </w:rPr>
        <w:t>to not display</w:t>
      </w:r>
      <w:proofErr w:type="gramEnd"/>
      <w:r>
        <w:rPr>
          <w:rFonts w:ascii="Times New Roman" w:hAnsi="Times New Roman" w:eastAsia="Times New Roman" w:cs="Times New Roman"/>
          <w:b/>
          <w:color w:val="000000"/>
          <w:sz w:val="24"/>
          <w:szCs w:val="24"/>
        </w:rPr>
        <w:t xml:space="preserve"> the expiration date for OMB approval of the information collection, explain the reasons that display would be inappropriate.</w:t>
      </w:r>
    </w:p>
    <w:p w:rsidR="00B30C07" w:rsidP="00B30C07" w:rsidRDefault="00B30C07" w14:paraId="3520847D" w14:textId="77777777">
      <w:pPr>
        <w:pBdr>
          <w:top w:val="nil"/>
          <w:left w:val="nil"/>
          <w:bottom w:val="nil"/>
          <w:right w:val="nil"/>
          <w:between w:val="nil"/>
        </w:pBdr>
        <w:tabs>
          <w:tab w:val="left" w:pos="360"/>
        </w:tabs>
        <w:spacing w:before="0"/>
        <w:rPr>
          <w:color w:val="000000"/>
        </w:rPr>
      </w:pPr>
    </w:p>
    <w:p w:rsidR="00372873" w:rsidP="00B30C07" w:rsidRDefault="009C7B27" w14:paraId="213E39BF" w14:textId="77777777">
      <w:pPr>
        <w:spacing w:before="0"/>
        <w:rPr>
          <w:rFonts w:ascii="Times New Roman" w:hAnsi="Times New Roman" w:eastAsia="Times New Roman" w:cs="Times New Roman"/>
          <w:i/>
          <w:color w:val="2F5496"/>
          <w:sz w:val="24"/>
          <w:szCs w:val="24"/>
        </w:rPr>
      </w:pPr>
      <w:r>
        <w:rPr>
          <w:rFonts w:ascii="Times New Roman" w:hAnsi="Times New Roman" w:eastAsia="Times New Roman" w:cs="Times New Roman"/>
          <w:sz w:val="24"/>
          <w:szCs w:val="24"/>
        </w:rPr>
        <w:t xml:space="preserve">The agency plans to display the expiration data form OMB approval of the information collection on all instruments.  </w:t>
      </w:r>
    </w:p>
    <w:p w:rsidR="00372873" w:rsidP="00B30C07" w:rsidRDefault="00372873" w14:paraId="6B3A174C" w14:textId="77777777">
      <w:pPr>
        <w:spacing w:before="0"/>
        <w:rPr>
          <w:rFonts w:ascii="Times New Roman" w:hAnsi="Times New Roman" w:eastAsia="Times New Roman" w:cs="Times New Roman"/>
          <w:i/>
          <w:sz w:val="24"/>
          <w:szCs w:val="24"/>
        </w:rPr>
      </w:pPr>
    </w:p>
    <w:p w:rsidRPr="00B30C07" w:rsidR="00372873" w:rsidP="00B30C07" w:rsidRDefault="009C7B27" w14:paraId="2E9CABD2" w14:textId="14FD3971">
      <w:pPr>
        <w:numPr>
          <w:ilvl w:val="0"/>
          <w:numId w:val="7"/>
        </w:numPr>
        <w:pBdr>
          <w:top w:val="nil"/>
          <w:left w:val="nil"/>
          <w:bottom w:val="nil"/>
          <w:right w:val="nil"/>
          <w:between w:val="nil"/>
        </w:pBdr>
        <w:tabs>
          <w:tab w:val="left" w:pos="360"/>
        </w:tabs>
        <w:spacing w:before="0"/>
        <w:ind w:left="0" w:firstLine="0"/>
        <w:rPr>
          <w:color w:val="000000"/>
        </w:rPr>
      </w:pPr>
      <w:r w:rsidRPr="00B35326">
        <w:rPr>
          <w:rFonts w:ascii="Times New Roman" w:hAnsi="Times New Roman" w:eastAsia="Times New Roman" w:cs="Times New Roman"/>
          <w:b/>
          <w:color w:val="000000"/>
          <w:sz w:val="24"/>
          <w:szCs w:val="24"/>
        </w:rPr>
        <w:t>Explain each exception to the certification statement identified in “Certification for Paperwork Reduction Act Submissions."</w:t>
      </w:r>
    </w:p>
    <w:p w:rsidRPr="00B35326" w:rsidR="00B30C07" w:rsidP="00B30C07" w:rsidRDefault="00B30C07" w14:paraId="519169CF" w14:textId="77777777">
      <w:pPr>
        <w:pBdr>
          <w:top w:val="nil"/>
          <w:left w:val="nil"/>
          <w:bottom w:val="nil"/>
          <w:right w:val="nil"/>
          <w:between w:val="nil"/>
        </w:pBdr>
        <w:tabs>
          <w:tab w:val="left" w:pos="360"/>
        </w:tabs>
        <w:spacing w:before="0"/>
        <w:rPr>
          <w:color w:val="000000"/>
        </w:rPr>
      </w:pPr>
    </w:p>
    <w:p w:rsidR="00AC0AA1" w:rsidP="00B30C07" w:rsidRDefault="00AC0AA1" w14:paraId="2C6605D0" w14:textId="68FCE5BC">
      <w:pPr>
        <w:spacing w:before="0"/>
        <w:rPr>
          <w:rFonts w:ascii="Times New Roman" w:hAnsi="Times New Roman" w:eastAsia="Times New Roman" w:cs="Times New Roman"/>
          <w:sz w:val="24"/>
          <w:szCs w:val="24"/>
        </w:rPr>
      </w:pPr>
      <w:r w:rsidRPr="00B35326">
        <w:rPr>
          <w:rFonts w:ascii="Times New Roman" w:hAnsi="Times New Roman" w:eastAsia="Times New Roman" w:cs="Times New Roman"/>
          <w:sz w:val="24"/>
          <w:szCs w:val="24"/>
        </w:rPr>
        <w:t>There are no exceptions to this certification.</w:t>
      </w:r>
    </w:p>
    <w:p w:rsidRPr="00B35326" w:rsidR="00B30C07" w:rsidP="00B30C07" w:rsidRDefault="00B30C07" w14:paraId="49063D94" w14:textId="77777777">
      <w:pPr>
        <w:spacing w:before="0"/>
        <w:rPr>
          <w:rFonts w:ascii="Times New Roman" w:hAnsi="Times New Roman" w:eastAsia="Times New Roman" w:cs="Times New Roman"/>
          <w:sz w:val="24"/>
          <w:szCs w:val="24"/>
        </w:rPr>
      </w:pPr>
    </w:p>
    <w:p w:rsidR="00372873" w:rsidRDefault="00E664F3" w14:paraId="66FFA082" w14:textId="7665CCB0">
      <w:pPr>
        <w:spacing w:before="221"/>
        <w:jc w:val="both"/>
        <w:rPr>
          <w:rFonts w:ascii="Times New Roman" w:hAnsi="Times New Roman" w:eastAsia="Times New Roman" w:cs="Times New Roman"/>
          <w:sz w:val="24"/>
          <w:szCs w:val="24"/>
        </w:rPr>
      </w:pPr>
      <w:r w:rsidRPr="00E664F3">
        <w:rPr>
          <w:rFonts w:ascii="Times New Roman" w:hAnsi="Times New Roman" w:eastAsia="Calibri" w:cs="Times New Roman"/>
          <w:sz w:val="24"/>
          <w:szCs w:val="24"/>
        </w:rPr>
        <w:t xml:space="preserve">The agency certifies compliance with </w:t>
      </w:r>
      <w:hyperlink r:id="rId27">
        <w:r w:rsidRPr="00E664F3">
          <w:rPr>
            <w:rFonts w:ascii="Times New Roman" w:hAnsi="Times New Roman" w:eastAsia="Calibri" w:cs="Times New Roman"/>
            <w:color w:val="0563C1"/>
            <w:sz w:val="24"/>
            <w:szCs w:val="24"/>
            <w:u w:val="thick" w:color="0563C1"/>
          </w:rPr>
          <w:t>5 CFR 1320.9</w:t>
        </w:r>
        <w:r w:rsidRPr="00E664F3">
          <w:rPr>
            <w:rFonts w:ascii="Times New Roman" w:hAnsi="Times New Roman" w:eastAsia="Calibri" w:cs="Times New Roman"/>
            <w:color w:val="0563C1"/>
            <w:sz w:val="24"/>
            <w:szCs w:val="24"/>
          </w:rPr>
          <w:t xml:space="preserve"> </w:t>
        </w:r>
      </w:hyperlink>
      <w:r w:rsidRPr="00E664F3">
        <w:rPr>
          <w:rFonts w:ascii="Times New Roman" w:hAnsi="Times New Roman" w:eastAsia="Calibri" w:cs="Times New Roman"/>
          <w:sz w:val="24"/>
          <w:szCs w:val="24"/>
        </w:rPr>
        <w:t xml:space="preserve">and the related provisions of </w:t>
      </w:r>
      <w:hyperlink r:id="rId28">
        <w:r w:rsidRPr="00E664F3">
          <w:rPr>
            <w:rFonts w:ascii="Times New Roman" w:hAnsi="Times New Roman" w:eastAsia="Calibri" w:cs="Times New Roman"/>
            <w:color w:val="0563C1"/>
            <w:sz w:val="24"/>
            <w:szCs w:val="24"/>
            <w:u w:val="thick" w:color="0563C1"/>
          </w:rPr>
          <w:t>5</w:t>
        </w:r>
        <w:r w:rsidRPr="00E664F3">
          <w:rPr>
            <w:rFonts w:ascii="Times New Roman" w:hAnsi="Times New Roman" w:eastAsia="Calibri" w:cs="Times New Roman"/>
            <w:color w:val="0563C1"/>
            <w:spacing w:val="-42"/>
            <w:sz w:val="24"/>
            <w:szCs w:val="24"/>
            <w:u w:val="thick" w:color="0563C1"/>
          </w:rPr>
          <w:t xml:space="preserve"> </w:t>
        </w:r>
        <w:r w:rsidRPr="00E664F3">
          <w:rPr>
            <w:rFonts w:ascii="Times New Roman" w:hAnsi="Times New Roman" w:eastAsia="Calibri" w:cs="Times New Roman"/>
            <w:color w:val="0563C1"/>
            <w:sz w:val="24"/>
            <w:szCs w:val="24"/>
            <w:u w:val="thick" w:color="0563C1"/>
          </w:rPr>
          <w:t>CFR</w:t>
        </w:r>
      </w:hyperlink>
      <w:r w:rsidRPr="00E664F3">
        <w:rPr>
          <w:rFonts w:ascii="Times New Roman" w:hAnsi="Times New Roman" w:eastAsia="Calibri" w:cs="Times New Roman"/>
          <w:color w:val="0563C1"/>
          <w:sz w:val="24"/>
          <w:szCs w:val="24"/>
        </w:rPr>
        <w:t xml:space="preserve"> </w:t>
      </w:r>
      <w:hyperlink r:id="rId29">
        <w:r w:rsidRPr="00E664F3">
          <w:rPr>
            <w:rFonts w:ascii="Times New Roman" w:hAnsi="Times New Roman" w:eastAsia="Calibri" w:cs="Times New Roman"/>
            <w:color w:val="0563C1"/>
            <w:sz w:val="24"/>
            <w:szCs w:val="24"/>
            <w:u w:val="thick" w:color="0563C1"/>
          </w:rPr>
          <w:t>1320.8(b</w:t>
        </w:r>
        <w:proofErr w:type="gramStart"/>
        <w:r w:rsidRPr="00E664F3">
          <w:rPr>
            <w:rFonts w:ascii="Times New Roman" w:hAnsi="Times New Roman" w:eastAsia="Calibri" w:cs="Times New Roman"/>
            <w:color w:val="0563C1"/>
            <w:sz w:val="24"/>
            <w:szCs w:val="24"/>
            <w:u w:val="thick" w:color="0563C1"/>
          </w:rPr>
          <w:t>)(</w:t>
        </w:r>
        <w:proofErr w:type="gramEnd"/>
        <w:r w:rsidRPr="00E664F3">
          <w:rPr>
            <w:rFonts w:ascii="Times New Roman" w:hAnsi="Times New Roman" w:eastAsia="Calibri" w:cs="Times New Roman"/>
            <w:color w:val="0563C1"/>
            <w:sz w:val="24"/>
            <w:szCs w:val="24"/>
            <w:u w:val="thick" w:color="0563C1"/>
          </w:rPr>
          <w:t>3)</w:t>
        </w:r>
      </w:hyperlink>
      <w:r w:rsidRPr="00E664F3">
        <w:rPr>
          <w:rFonts w:ascii="Times New Roman" w:hAnsi="Times New Roman" w:eastAsia="Calibri" w:cs="Times New Roman"/>
          <w:sz w:val="24"/>
          <w:szCs w:val="24"/>
        </w:rPr>
        <w:t>.</w:t>
      </w:r>
      <w:bookmarkStart w:name="_GoBack" w:id="2"/>
      <w:bookmarkEnd w:id="2"/>
    </w:p>
    <w:sectPr w:rsidR="00372873">
      <w:footerReference w:type="default" r:id="rId30"/>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5C5D2" w14:textId="77777777" w:rsidR="00F17D88" w:rsidRDefault="00F17D88">
      <w:r>
        <w:separator/>
      </w:r>
    </w:p>
  </w:endnote>
  <w:endnote w:type="continuationSeparator" w:id="0">
    <w:p w14:paraId="5A2341CA" w14:textId="77777777" w:rsidR="00F17D88" w:rsidRDefault="00F1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E8B7" w14:textId="7539BB0C" w:rsidR="0037553C" w:rsidRPr="00272BCC" w:rsidRDefault="0037553C" w:rsidP="00272BCC">
    <w:pPr>
      <w:spacing w:line="245" w:lineRule="auto"/>
      <w:ind w:left="20" w:firstLine="40"/>
      <w:textDirection w:val="btL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sidRPr="00272BCC">
      <w:rPr>
        <w:rFonts w:ascii="Calibri" w:eastAsia="Calibri" w:hAnsi="Calibri" w:cs="Calibri"/>
        <w:color w:val="000000"/>
      </w:rPr>
      <w:fldChar w:fldCharType="begin"/>
    </w:r>
    <w:r w:rsidRPr="00272BCC">
      <w:rPr>
        <w:rFonts w:ascii="Calibri" w:eastAsia="Calibri" w:hAnsi="Calibri" w:cs="Calibri"/>
        <w:color w:val="000000"/>
      </w:rPr>
      <w:instrText xml:space="preserve"> PAGE  \* Arabic  \* MERGEFORMAT </w:instrText>
    </w:r>
    <w:r w:rsidRPr="00272BCC">
      <w:rPr>
        <w:rFonts w:ascii="Calibri" w:eastAsia="Calibri" w:hAnsi="Calibri" w:cs="Calibri"/>
        <w:color w:val="000000"/>
      </w:rPr>
      <w:fldChar w:fldCharType="separate"/>
    </w:r>
    <w:r w:rsidR="00903B78">
      <w:rPr>
        <w:rFonts w:ascii="Calibri" w:eastAsia="Calibri" w:hAnsi="Calibri" w:cs="Calibri"/>
        <w:noProof/>
        <w:color w:val="000000"/>
      </w:rPr>
      <w:t>10</w:t>
    </w:r>
    <w:r w:rsidRPr="00272BCC">
      <w:rPr>
        <w:rFonts w:ascii="Calibri" w:eastAsia="Calibri" w:hAnsi="Calibri" w:cs="Calibri"/>
        <w:color w:val="000000"/>
      </w:rPr>
      <w:fldChar w:fldCharType="end"/>
    </w:r>
  </w:p>
  <w:p w14:paraId="7271AC87" w14:textId="4DFEC8CB" w:rsidR="0037553C" w:rsidRDefault="0037553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5A3A1" w14:textId="77777777" w:rsidR="00F17D88" w:rsidRDefault="00F17D88">
      <w:r>
        <w:separator/>
      </w:r>
    </w:p>
  </w:footnote>
  <w:footnote w:type="continuationSeparator" w:id="0">
    <w:p w14:paraId="26BBBCF3" w14:textId="77777777" w:rsidR="00F17D88" w:rsidRDefault="00F17D88">
      <w:r>
        <w:continuationSeparator/>
      </w:r>
    </w:p>
  </w:footnote>
  <w:footnote w:id="1">
    <w:p w14:paraId="337C389A" w14:textId="77777777" w:rsidR="0037553C" w:rsidRPr="008F5721" w:rsidRDefault="0037553C">
      <w:pPr>
        <w:pBdr>
          <w:top w:val="nil"/>
          <w:left w:val="nil"/>
          <w:bottom w:val="nil"/>
          <w:right w:val="nil"/>
          <w:between w:val="nil"/>
        </w:pBdr>
        <w:rPr>
          <w:color w:val="000000"/>
          <w:sz w:val="20"/>
          <w:szCs w:val="20"/>
        </w:rPr>
      </w:pPr>
      <w:r w:rsidRPr="008F5721">
        <w:rPr>
          <w:sz w:val="20"/>
          <w:szCs w:val="20"/>
          <w:vertAlign w:val="superscript"/>
        </w:rPr>
        <w:footnoteRef/>
      </w:r>
      <w:r w:rsidRPr="008F5721">
        <w:rPr>
          <w:color w:val="000000"/>
          <w:sz w:val="20"/>
          <w:szCs w:val="20"/>
        </w:rPr>
        <w:t xml:space="preserve"> </w:t>
      </w:r>
      <w:proofErr w:type="spellStart"/>
      <w:r w:rsidRPr="008F5721">
        <w:rPr>
          <w:color w:val="000000"/>
          <w:sz w:val="20"/>
          <w:szCs w:val="20"/>
        </w:rPr>
        <w:t>Shorebased</w:t>
      </w:r>
      <w:proofErr w:type="spellEnd"/>
      <w:r w:rsidRPr="008F5721">
        <w:rPr>
          <w:color w:val="000000"/>
          <w:sz w:val="20"/>
          <w:szCs w:val="20"/>
        </w:rPr>
        <w:t xml:space="preserve"> refers to fixed </w:t>
      </w:r>
      <w:proofErr w:type="spellStart"/>
      <w:r w:rsidRPr="008F5721">
        <w:rPr>
          <w:color w:val="000000"/>
          <w:sz w:val="20"/>
          <w:szCs w:val="20"/>
        </w:rPr>
        <w:t>shoreside</w:t>
      </w:r>
      <w:proofErr w:type="spellEnd"/>
      <w:r w:rsidRPr="008F5721">
        <w:rPr>
          <w:color w:val="000000"/>
          <w:sz w:val="20"/>
          <w:szCs w:val="20"/>
        </w:rPr>
        <w:t xml:space="preserve"> plants with delivery docks, floating processors that </w:t>
      </w:r>
      <w:proofErr w:type="gramStart"/>
      <w:r w:rsidRPr="008F5721">
        <w:rPr>
          <w:color w:val="000000"/>
          <w:sz w:val="20"/>
          <w:szCs w:val="20"/>
        </w:rPr>
        <w:t>are operated</w:t>
      </w:r>
      <w:proofErr w:type="gramEnd"/>
      <w:r w:rsidRPr="008F5721">
        <w:rPr>
          <w:color w:val="000000"/>
          <w:sz w:val="20"/>
          <w:szCs w:val="20"/>
        </w:rPr>
        <w:t xml:space="preserve"> at </w:t>
      </w:r>
      <w:proofErr w:type="spellStart"/>
      <w:r w:rsidRPr="008F5721">
        <w:rPr>
          <w:color w:val="000000"/>
          <w:sz w:val="20"/>
          <w:szCs w:val="20"/>
        </w:rPr>
        <w:t>shoreside</w:t>
      </w:r>
      <w:proofErr w:type="spellEnd"/>
      <w:r w:rsidRPr="008F5721">
        <w:rPr>
          <w:color w:val="000000"/>
          <w:sz w:val="20"/>
          <w:szCs w:val="20"/>
        </w:rPr>
        <w:t xml:space="preserve">, and can include custom processors that operate in facilities that receive deliveries from </w:t>
      </w:r>
      <w:proofErr w:type="spellStart"/>
      <w:r w:rsidRPr="008F5721">
        <w:rPr>
          <w:color w:val="000000"/>
          <w:sz w:val="20"/>
          <w:szCs w:val="20"/>
        </w:rPr>
        <w:t>shoreside</w:t>
      </w:r>
      <w:proofErr w:type="spellEnd"/>
      <w:r w:rsidRPr="008F5721">
        <w:rPr>
          <w:color w:val="000000"/>
          <w:sz w:val="20"/>
          <w:szCs w:val="20"/>
        </w:rPr>
        <w:t xml:space="preserve"> but are not physically located at </w:t>
      </w:r>
      <w:proofErr w:type="spellStart"/>
      <w:r w:rsidRPr="008F5721">
        <w:rPr>
          <w:color w:val="000000"/>
          <w:sz w:val="20"/>
          <w:szCs w:val="20"/>
        </w:rPr>
        <w:t>shoreside</w:t>
      </w:r>
      <w:proofErr w:type="spellEnd"/>
      <w:r w:rsidRPr="008F5721">
        <w:rPr>
          <w:color w:val="000000"/>
          <w:sz w:val="20"/>
          <w:szCs w:val="20"/>
        </w:rPr>
        <w:t>.</w:t>
      </w:r>
    </w:p>
  </w:footnote>
  <w:footnote w:id="2">
    <w:p w14:paraId="3F943BBF" w14:textId="77777777" w:rsidR="0037553C" w:rsidRDefault="0037553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https://www.fisheries.noaa.gov/alaska/ecosystems/economic-status-reports-gulf-alaska-and-bering-sea-aleutian-islands</w:t>
        </w:r>
      </w:hyperlink>
    </w:p>
  </w:footnote>
  <w:footnote w:id="3">
    <w:p w14:paraId="34C4D306" w14:textId="77777777" w:rsidR="0037553C" w:rsidRDefault="0037553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0000FF"/>
            <w:sz w:val="20"/>
            <w:szCs w:val="20"/>
            <w:u w:val="single"/>
          </w:rPr>
          <w:t>https://www.fisheries.noaa.gov/resource/document/five-year-review-effects-amendment-80</w:t>
        </w:r>
      </w:hyperlink>
    </w:p>
  </w:footnote>
  <w:footnote w:id="4">
    <w:p w14:paraId="7DE04F57" w14:textId="77777777" w:rsidR="0037553C" w:rsidRDefault="0037553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3">
        <w:r>
          <w:rPr>
            <w:color w:val="0000FF"/>
            <w:sz w:val="20"/>
            <w:szCs w:val="20"/>
            <w:u w:val="single"/>
          </w:rPr>
          <w:t>https://www.fisheries.noaa.gov/resource/document/final-environmental-impact-statement-steller-sea-lion-protection-measures</w:t>
        </w:r>
      </w:hyperlink>
    </w:p>
  </w:footnote>
  <w:footnote w:id="5">
    <w:p w14:paraId="262D3BA7" w14:textId="258A389F" w:rsidR="0037553C" w:rsidRDefault="0037553C">
      <w:pPr>
        <w:pStyle w:val="FootnoteText"/>
      </w:pPr>
      <w:r>
        <w:rPr>
          <w:rStyle w:val="FootnoteReference"/>
        </w:rPr>
        <w:footnoteRef/>
      </w:r>
      <w:r>
        <w:t xml:space="preserve"> </w:t>
      </w:r>
      <w:r>
        <w:rPr>
          <w:color w:val="000000"/>
        </w:rPr>
        <w:t xml:space="preserve">The EDR </w:t>
      </w:r>
      <w:proofErr w:type="gramStart"/>
      <w:r>
        <w:rPr>
          <w:color w:val="000000"/>
        </w:rPr>
        <w:t>is done</w:t>
      </w:r>
      <w:proofErr w:type="gramEnd"/>
      <w:r>
        <w:rPr>
          <w:color w:val="000000"/>
        </w:rPr>
        <w:t xml:space="preserve"> by LLP, so if a CDQ group is an owner or partial owner then they are included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3749"/>
    <w:multiLevelType w:val="multilevel"/>
    <w:tmpl w:val="39A6133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112A3EBB"/>
    <w:multiLevelType w:val="multilevel"/>
    <w:tmpl w:val="9CC49B8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49F46BC"/>
    <w:multiLevelType w:val="multilevel"/>
    <w:tmpl w:val="A0DA49AC"/>
    <w:lvl w:ilvl="0">
      <w:start w:val="1"/>
      <w:numFmt w:val="bullet"/>
      <w:lvlText w:val="□"/>
      <w:lvlJc w:val="left"/>
      <w:pPr>
        <w:ind w:left="835" w:hanging="360"/>
      </w:pPr>
      <w:rPr>
        <w:rFonts w:ascii="Times New Roman" w:eastAsia="Times New Roman" w:hAnsi="Times New Roman" w:cs="Times New Roman"/>
        <w:sz w:val="24"/>
        <w:szCs w:val="24"/>
      </w:rPr>
    </w:lvl>
    <w:lvl w:ilvl="1">
      <w:start w:val="1"/>
      <w:numFmt w:val="bullet"/>
      <w:lvlText w:val="o"/>
      <w:lvlJc w:val="left"/>
      <w:pPr>
        <w:ind w:left="1555" w:hanging="360"/>
      </w:pPr>
      <w:rPr>
        <w:rFonts w:ascii="Courier New" w:eastAsia="Courier New" w:hAnsi="Courier New" w:cs="Courier New"/>
      </w:rPr>
    </w:lvl>
    <w:lvl w:ilvl="2">
      <w:start w:val="1"/>
      <w:numFmt w:val="bullet"/>
      <w:lvlText w:val="▪"/>
      <w:lvlJc w:val="left"/>
      <w:pPr>
        <w:ind w:left="2275" w:hanging="360"/>
      </w:pPr>
      <w:rPr>
        <w:rFonts w:ascii="Noto Sans Symbols" w:eastAsia="Noto Sans Symbols" w:hAnsi="Noto Sans Symbols" w:cs="Noto Sans Symbols"/>
      </w:rPr>
    </w:lvl>
    <w:lvl w:ilvl="3">
      <w:start w:val="1"/>
      <w:numFmt w:val="bullet"/>
      <w:lvlText w:val="●"/>
      <w:lvlJc w:val="left"/>
      <w:pPr>
        <w:ind w:left="2995" w:hanging="360"/>
      </w:pPr>
      <w:rPr>
        <w:rFonts w:ascii="Noto Sans Symbols" w:eastAsia="Noto Sans Symbols" w:hAnsi="Noto Sans Symbols" w:cs="Noto Sans Symbols"/>
      </w:rPr>
    </w:lvl>
    <w:lvl w:ilvl="4">
      <w:start w:val="1"/>
      <w:numFmt w:val="bullet"/>
      <w:lvlText w:val="o"/>
      <w:lvlJc w:val="left"/>
      <w:pPr>
        <w:ind w:left="3715" w:hanging="360"/>
      </w:pPr>
      <w:rPr>
        <w:rFonts w:ascii="Courier New" w:eastAsia="Courier New" w:hAnsi="Courier New" w:cs="Courier New"/>
      </w:rPr>
    </w:lvl>
    <w:lvl w:ilvl="5">
      <w:start w:val="1"/>
      <w:numFmt w:val="bullet"/>
      <w:lvlText w:val="▪"/>
      <w:lvlJc w:val="left"/>
      <w:pPr>
        <w:ind w:left="4435" w:hanging="360"/>
      </w:pPr>
      <w:rPr>
        <w:rFonts w:ascii="Noto Sans Symbols" w:eastAsia="Noto Sans Symbols" w:hAnsi="Noto Sans Symbols" w:cs="Noto Sans Symbols"/>
      </w:rPr>
    </w:lvl>
    <w:lvl w:ilvl="6">
      <w:start w:val="1"/>
      <w:numFmt w:val="bullet"/>
      <w:lvlText w:val="●"/>
      <w:lvlJc w:val="left"/>
      <w:pPr>
        <w:ind w:left="5155" w:hanging="360"/>
      </w:pPr>
      <w:rPr>
        <w:rFonts w:ascii="Noto Sans Symbols" w:eastAsia="Noto Sans Symbols" w:hAnsi="Noto Sans Symbols" w:cs="Noto Sans Symbols"/>
      </w:rPr>
    </w:lvl>
    <w:lvl w:ilvl="7">
      <w:start w:val="1"/>
      <w:numFmt w:val="bullet"/>
      <w:lvlText w:val="o"/>
      <w:lvlJc w:val="left"/>
      <w:pPr>
        <w:ind w:left="5875" w:hanging="360"/>
      </w:pPr>
      <w:rPr>
        <w:rFonts w:ascii="Courier New" w:eastAsia="Courier New" w:hAnsi="Courier New" w:cs="Courier New"/>
      </w:rPr>
    </w:lvl>
    <w:lvl w:ilvl="8">
      <w:start w:val="1"/>
      <w:numFmt w:val="bullet"/>
      <w:lvlText w:val="▪"/>
      <w:lvlJc w:val="left"/>
      <w:pPr>
        <w:ind w:left="6595" w:hanging="360"/>
      </w:pPr>
      <w:rPr>
        <w:rFonts w:ascii="Noto Sans Symbols" w:eastAsia="Noto Sans Symbols" w:hAnsi="Noto Sans Symbols" w:cs="Noto Sans Symbols"/>
      </w:rPr>
    </w:lvl>
  </w:abstractNum>
  <w:abstractNum w:abstractNumId="3" w15:restartNumberingAfterBreak="0">
    <w:nsid w:val="29851F90"/>
    <w:multiLevelType w:val="multilevel"/>
    <w:tmpl w:val="17E05E1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15:restartNumberingAfterBreak="0">
    <w:nsid w:val="2C7B1A71"/>
    <w:multiLevelType w:val="multilevel"/>
    <w:tmpl w:val="319A55F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30F7260D"/>
    <w:multiLevelType w:val="multilevel"/>
    <w:tmpl w:val="E910A9FE"/>
    <w:lvl w:ilvl="0">
      <w:start w:val="1"/>
      <w:numFmt w:val="upperLetter"/>
      <w:lvlText w:val="%1."/>
      <w:lvlJc w:val="left"/>
      <w:pPr>
        <w:ind w:left="472" w:hanging="352"/>
      </w:pPr>
      <w:rPr>
        <w:rFonts w:ascii="Times New Roman" w:eastAsia="Times New Roman" w:hAnsi="Times New Roman" w:cs="Times New Roman"/>
        <w:b/>
        <w:sz w:val="24"/>
        <w:szCs w:val="24"/>
      </w:rPr>
    </w:lvl>
    <w:lvl w:ilvl="1">
      <w:start w:val="1"/>
      <w:numFmt w:val="decimal"/>
      <w:lvlText w:val="%2."/>
      <w:lvlJc w:val="left"/>
      <w:pPr>
        <w:ind w:left="480" w:hanging="300"/>
      </w:pPr>
      <w:rPr>
        <w:rFonts w:ascii="Times New Roman" w:eastAsia="Times New Roman" w:hAnsi="Times New Roman" w:cs="Times New Roman"/>
        <w:b/>
        <w:sz w:val="24"/>
        <w:szCs w:val="24"/>
      </w:rPr>
    </w:lvl>
    <w:lvl w:ilvl="2">
      <w:start w:val="1"/>
      <w:numFmt w:val="lowerLetter"/>
      <w:lvlText w:val="%3."/>
      <w:lvlJc w:val="left"/>
      <w:pPr>
        <w:ind w:left="420" w:hanging="300"/>
      </w:pPr>
      <w:rPr>
        <w:rFonts w:ascii="Times New Roman" w:eastAsia="Times New Roman" w:hAnsi="Times New Roman" w:cs="Times New Roman"/>
        <w:b/>
        <w:sz w:val="24"/>
        <w:szCs w:val="24"/>
      </w:rPr>
    </w:lvl>
    <w:lvl w:ilvl="3">
      <w:start w:val="1"/>
      <w:numFmt w:val="bullet"/>
      <w:lvlText w:val="◆"/>
      <w:lvlJc w:val="left"/>
      <w:pPr>
        <w:ind w:left="820" w:hanging="360"/>
      </w:pPr>
      <w:rPr>
        <w:rFonts w:ascii="Times New Roman" w:eastAsia="Times New Roman" w:hAnsi="Times New Roman" w:cs="Times New Roman"/>
        <w:sz w:val="24"/>
        <w:szCs w:val="24"/>
      </w:rPr>
    </w:lvl>
    <w:lvl w:ilvl="4">
      <w:start w:val="1"/>
      <w:numFmt w:val="bullet"/>
      <w:lvlText w:val="□"/>
      <w:lvlJc w:val="left"/>
      <w:pPr>
        <w:ind w:left="1200" w:hanging="360"/>
      </w:pPr>
      <w:rPr>
        <w:rFonts w:ascii="Times New Roman" w:eastAsia="Times New Roman" w:hAnsi="Times New Roman" w:cs="Times New Roman"/>
        <w:sz w:val="24"/>
        <w:szCs w:val="24"/>
      </w:rPr>
    </w:lvl>
    <w:lvl w:ilvl="5">
      <w:start w:val="1"/>
      <w:numFmt w:val="bullet"/>
      <w:lvlText w:val="•"/>
      <w:lvlJc w:val="left"/>
      <w:pPr>
        <w:ind w:left="1180" w:hanging="360"/>
      </w:pPr>
    </w:lvl>
    <w:lvl w:ilvl="6">
      <w:start w:val="1"/>
      <w:numFmt w:val="bullet"/>
      <w:lvlText w:val="•"/>
      <w:lvlJc w:val="left"/>
      <w:pPr>
        <w:ind w:left="1180" w:hanging="360"/>
      </w:pPr>
    </w:lvl>
    <w:lvl w:ilvl="7">
      <w:start w:val="1"/>
      <w:numFmt w:val="bullet"/>
      <w:lvlText w:val="•"/>
      <w:lvlJc w:val="left"/>
      <w:pPr>
        <w:ind w:left="1200" w:hanging="360"/>
      </w:pPr>
    </w:lvl>
    <w:lvl w:ilvl="8">
      <w:start w:val="1"/>
      <w:numFmt w:val="bullet"/>
      <w:lvlText w:val="•"/>
      <w:lvlJc w:val="left"/>
      <w:pPr>
        <w:ind w:left="2700" w:hanging="360"/>
      </w:pPr>
    </w:lvl>
  </w:abstractNum>
  <w:abstractNum w:abstractNumId="6" w15:restartNumberingAfterBreak="0">
    <w:nsid w:val="348521A9"/>
    <w:multiLevelType w:val="multilevel"/>
    <w:tmpl w:val="2FECE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280C29"/>
    <w:multiLevelType w:val="multilevel"/>
    <w:tmpl w:val="4B043A5C"/>
    <w:lvl w:ilvl="0">
      <w:start w:val="1"/>
      <w:numFmt w:val="upperLetter"/>
      <w:lvlText w:val="%1."/>
      <w:lvlJc w:val="left"/>
      <w:pPr>
        <w:ind w:left="472" w:hanging="352"/>
      </w:pPr>
      <w:rPr>
        <w:rFonts w:ascii="Times New Roman" w:eastAsia="Times New Roman" w:hAnsi="Times New Roman" w:cs="Times New Roman"/>
        <w:b/>
        <w:sz w:val="24"/>
        <w:szCs w:val="24"/>
      </w:rPr>
    </w:lvl>
    <w:lvl w:ilvl="1">
      <w:start w:val="1"/>
      <w:numFmt w:val="decimal"/>
      <w:lvlText w:val="%2."/>
      <w:lvlJc w:val="left"/>
      <w:pPr>
        <w:ind w:left="120" w:hanging="300"/>
      </w:pPr>
      <w:rPr>
        <w:rFonts w:ascii="Times New Roman" w:eastAsia="Times New Roman" w:hAnsi="Times New Roman" w:cs="Times New Roman"/>
        <w:b/>
        <w:sz w:val="24"/>
        <w:szCs w:val="24"/>
      </w:rPr>
    </w:lvl>
    <w:lvl w:ilvl="2">
      <w:start w:val="1"/>
      <w:numFmt w:val="lowerLetter"/>
      <w:lvlText w:val="%3."/>
      <w:lvlJc w:val="left"/>
      <w:pPr>
        <w:ind w:left="420" w:hanging="300"/>
      </w:pPr>
      <w:rPr>
        <w:rFonts w:ascii="Times New Roman" w:eastAsia="Times New Roman" w:hAnsi="Times New Roman" w:cs="Times New Roman"/>
        <w:b/>
        <w:sz w:val="24"/>
        <w:szCs w:val="24"/>
      </w:rPr>
    </w:lvl>
    <w:lvl w:ilvl="3">
      <w:start w:val="1"/>
      <w:numFmt w:val="bullet"/>
      <w:lvlText w:val="◆"/>
      <w:lvlJc w:val="left"/>
      <w:pPr>
        <w:ind w:left="820" w:hanging="360"/>
      </w:pPr>
      <w:rPr>
        <w:rFonts w:ascii="Times New Roman" w:eastAsia="Times New Roman" w:hAnsi="Times New Roman" w:cs="Times New Roman"/>
        <w:sz w:val="24"/>
        <w:szCs w:val="24"/>
      </w:rPr>
    </w:lvl>
    <w:lvl w:ilvl="4">
      <w:start w:val="1"/>
      <w:numFmt w:val="bullet"/>
      <w:lvlText w:val="◆"/>
      <w:lvlJc w:val="left"/>
      <w:pPr>
        <w:ind w:left="1200" w:hanging="360"/>
      </w:pPr>
      <w:rPr>
        <w:rFonts w:ascii="Times New Roman" w:eastAsia="Times New Roman" w:hAnsi="Times New Roman" w:cs="Times New Roman"/>
        <w:sz w:val="24"/>
        <w:szCs w:val="24"/>
      </w:rPr>
    </w:lvl>
    <w:lvl w:ilvl="5">
      <w:start w:val="1"/>
      <w:numFmt w:val="bullet"/>
      <w:lvlText w:val="•"/>
      <w:lvlJc w:val="left"/>
      <w:pPr>
        <w:ind w:left="1180" w:hanging="360"/>
      </w:pPr>
    </w:lvl>
    <w:lvl w:ilvl="6">
      <w:start w:val="1"/>
      <w:numFmt w:val="bullet"/>
      <w:lvlText w:val="•"/>
      <w:lvlJc w:val="left"/>
      <w:pPr>
        <w:ind w:left="1180" w:hanging="360"/>
      </w:pPr>
    </w:lvl>
    <w:lvl w:ilvl="7">
      <w:start w:val="1"/>
      <w:numFmt w:val="bullet"/>
      <w:lvlText w:val="•"/>
      <w:lvlJc w:val="left"/>
      <w:pPr>
        <w:ind w:left="1200" w:hanging="360"/>
      </w:pPr>
    </w:lvl>
    <w:lvl w:ilvl="8">
      <w:start w:val="1"/>
      <w:numFmt w:val="bullet"/>
      <w:lvlText w:val="•"/>
      <w:lvlJc w:val="left"/>
      <w:pPr>
        <w:ind w:left="2700" w:hanging="360"/>
      </w:p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73"/>
    <w:rsid w:val="00054E82"/>
    <w:rsid w:val="00061524"/>
    <w:rsid w:val="000C5599"/>
    <w:rsid w:val="001110C6"/>
    <w:rsid w:val="00151AC6"/>
    <w:rsid w:val="00180F48"/>
    <w:rsid w:val="001949AD"/>
    <w:rsid w:val="001E51D0"/>
    <w:rsid w:val="001F5359"/>
    <w:rsid w:val="00214067"/>
    <w:rsid w:val="00226D26"/>
    <w:rsid w:val="002309FA"/>
    <w:rsid w:val="00272BCC"/>
    <w:rsid w:val="002814DE"/>
    <w:rsid w:val="002C0264"/>
    <w:rsid w:val="00364F99"/>
    <w:rsid w:val="00372873"/>
    <w:rsid w:val="0037553C"/>
    <w:rsid w:val="003B15B8"/>
    <w:rsid w:val="00456541"/>
    <w:rsid w:val="005124F2"/>
    <w:rsid w:val="00513CBE"/>
    <w:rsid w:val="00522F28"/>
    <w:rsid w:val="005230F4"/>
    <w:rsid w:val="005777C9"/>
    <w:rsid w:val="00595C2E"/>
    <w:rsid w:val="005F0DA4"/>
    <w:rsid w:val="00620087"/>
    <w:rsid w:val="00640E23"/>
    <w:rsid w:val="00690428"/>
    <w:rsid w:val="006B1F98"/>
    <w:rsid w:val="0073501C"/>
    <w:rsid w:val="007961B7"/>
    <w:rsid w:val="007B6A57"/>
    <w:rsid w:val="008148C3"/>
    <w:rsid w:val="0086081F"/>
    <w:rsid w:val="00860A0E"/>
    <w:rsid w:val="00863C7F"/>
    <w:rsid w:val="0089702B"/>
    <w:rsid w:val="008A0D14"/>
    <w:rsid w:val="008E375E"/>
    <w:rsid w:val="008F5721"/>
    <w:rsid w:val="008F62B5"/>
    <w:rsid w:val="00903B78"/>
    <w:rsid w:val="009C7B27"/>
    <w:rsid w:val="00A6764D"/>
    <w:rsid w:val="00A8648A"/>
    <w:rsid w:val="00AC0AA1"/>
    <w:rsid w:val="00B30C07"/>
    <w:rsid w:val="00B35326"/>
    <w:rsid w:val="00B95FE8"/>
    <w:rsid w:val="00BD1D38"/>
    <w:rsid w:val="00BD65AF"/>
    <w:rsid w:val="00C077B3"/>
    <w:rsid w:val="00C1132E"/>
    <w:rsid w:val="00C66CD7"/>
    <w:rsid w:val="00C73710"/>
    <w:rsid w:val="00CB222E"/>
    <w:rsid w:val="00D20AA8"/>
    <w:rsid w:val="00D51002"/>
    <w:rsid w:val="00E57032"/>
    <w:rsid w:val="00E664F3"/>
    <w:rsid w:val="00E81FE4"/>
    <w:rsid w:val="00E95411"/>
    <w:rsid w:val="00EA63DD"/>
    <w:rsid w:val="00EB4CE8"/>
    <w:rsid w:val="00EE10BD"/>
    <w:rsid w:val="00EE1756"/>
    <w:rsid w:val="00F17D88"/>
    <w:rsid w:val="00F51162"/>
    <w:rsid w:val="00F5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E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before="14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5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1D0"/>
    <w:rPr>
      <w:rFonts w:ascii="Segoe UI" w:hAnsi="Segoe UI" w:cs="Segoe UI"/>
      <w:sz w:val="18"/>
      <w:szCs w:val="18"/>
    </w:rPr>
  </w:style>
  <w:style w:type="paragraph" w:styleId="FootnoteText">
    <w:name w:val="footnote text"/>
    <w:basedOn w:val="Normal"/>
    <w:link w:val="FootnoteTextChar"/>
    <w:uiPriority w:val="99"/>
    <w:semiHidden/>
    <w:unhideWhenUsed/>
    <w:rsid w:val="00AC0AA1"/>
    <w:rPr>
      <w:sz w:val="20"/>
      <w:szCs w:val="20"/>
    </w:rPr>
  </w:style>
  <w:style w:type="character" w:customStyle="1" w:styleId="FootnoteTextChar">
    <w:name w:val="Footnote Text Char"/>
    <w:basedOn w:val="DefaultParagraphFont"/>
    <w:link w:val="FootnoteText"/>
    <w:uiPriority w:val="99"/>
    <w:semiHidden/>
    <w:rsid w:val="00AC0AA1"/>
    <w:rPr>
      <w:sz w:val="20"/>
      <w:szCs w:val="20"/>
    </w:rPr>
  </w:style>
  <w:style w:type="character" w:styleId="FootnoteReference">
    <w:name w:val="footnote reference"/>
    <w:basedOn w:val="DefaultParagraphFont"/>
    <w:uiPriority w:val="99"/>
    <w:semiHidden/>
    <w:unhideWhenUsed/>
    <w:rsid w:val="00AC0AA1"/>
    <w:rPr>
      <w:vertAlign w:val="superscript"/>
    </w:rPr>
  </w:style>
  <w:style w:type="paragraph" w:styleId="Header">
    <w:name w:val="header"/>
    <w:basedOn w:val="Normal"/>
    <w:link w:val="HeaderChar"/>
    <w:uiPriority w:val="99"/>
    <w:unhideWhenUsed/>
    <w:rsid w:val="00272BCC"/>
    <w:pPr>
      <w:tabs>
        <w:tab w:val="center" w:pos="4680"/>
        <w:tab w:val="right" w:pos="9360"/>
      </w:tabs>
    </w:pPr>
  </w:style>
  <w:style w:type="character" w:customStyle="1" w:styleId="HeaderChar">
    <w:name w:val="Header Char"/>
    <w:basedOn w:val="DefaultParagraphFont"/>
    <w:link w:val="Header"/>
    <w:uiPriority w:val="99"/>
    <w:rsid w:val="00272BCC"/>
  </w:style>
  <w:style w:type="paragraph" w:styleId="Footer">
    <w:name w:val="footer"/>
    <w:basedOn w:val="Normal"/>
    <w:link w:val="FooterChar"/>
    <w:uiPriority w:val="99"/>
    <w:unhideWhenUsed/>
    <w:rsid w:val="00272BCC"/>
    <w:pPr>
      <w:tabs>
        <w:tab w:val="center" w:pos="4680"/>
        <w:tab w:val="right" w:pos="9360"/>
      </w:tabs>
    </w:pPr>
  </w:style>
  <w:style w:type="character" w:customStyle="1" w:styleId="FooterChar">
    <w:name w:val="Footer Char"/>
    <w:basedOn w:val="DefaultParagraphFont"/>
    <w:link w:val="Footer"/>
    <w:uiPriority w:val="99"/>
    <w:rsid w:val="00272BCC"/>
  </w:style>
  <w:style w:type="paragraph" w:styleId="CommentSubject">
    <w:name w:val="annotation subject"/>
    <w:basedOn w:val="CommentText"/>
    <w:next w:val="CommentText"/>
    <w:link w:val="CommentSubjectChar"/>
    <w:uiPriority w:val="99"/>
    <w:semiHidden/>
    <w:unhideWhenUsed/>
    <w:rsid w:val="0089702B"/>
    <w:rPr>
      <w:b/>
      <w:bCs/>
    </w:rPr>
  </w:style>
  <w:style w:type="character" w:customStyle="1" w:styleId="CommentSubjectChar">
    <w:name w:val="Comment Subject Char"/>
    <w:basedOn w:val="CommentTextChar"/>
    <w:link w:val="CommentSubject"/>
    <w:uiPriority w:val="99"/>
    <w:semiHidden/>
    <w:rsid w:val="0089702B"/>
    <w:rPr>
      <w:b/>
      <w:bCs/>
      <w:sz w:val="20"/>
      <w:szCs w:val="20"/>
    </w:rPr>
  </w:style>
  <w:style w:type="character" w:styleId="Hyperlink">
    <w:name w:val="Hyperlink"/>
    <w:basedOn w:val="DefaultParagraphFont"/>
    <w:uiPriority w:val="99"/>
    <w:unhideWhenUsed/>
    <w:rsid w:val="00F51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kafisheries.noaa.gov/fisheries/amendment-80" TargetMode="External"/><Relationship Id="rId13" Type="http://schemas.openxmlformats.org/officeDocument/2006/relationships/hyperlink" Target="https://www.ecfr.gov/cgi-bin/text-idx?SID=5de959399c6c0fe70032c5c0ed400634&amp;mc=true&amp;node=se50.13.679_194&amp;rgn=div8" TargetMode="External"/><Relationship Id="rId18" Type="http://schemas.openxmlformats.org/officeDocument/2006/relationships/hyperlink" Target="http://www.psmfc.org/goatrawl/index.html" TargetMode="External"/><Relationship Id="rId26" Type="http://schemas.openxmlformats.org/officeDocument/2006/relationships/hyperlink" Target="https://www.bls.gov/oes/current/oes_ak.htm" TargetMode="Externa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endnotes" Target="endnotes.xml"/><Relationship Id="rId12" Type="http://schemas.openxmlformats.org/officeDocument/2006/relationships/hyperlink" Target="https://www.ecfr.gov/cgi-bin/text-idx?SID=0cc954068b4cef56066a93c0ecbd605f&amp;mc=true&amp;node=pt50.13.679&amp;rgn=div5" TargetMode="External"/><Relationship Id="rId17" Type="http://schemas.openxmlformats.org/officeDocument/2006/relationships/hyperlink" Target="http://www.fws.gov/informationquality/section515.html" TargetMode="External"/><Relationship Id="rId25" Type="http://schemas.openxmlformats.org/officeDocument/2006/relationships/hyperlink" Target="https://www.bls.gov/oes/current/oes_ak.htm" TargetMode="External"/><Relationship Id="rId2" Type="http://schemas.openxmlformats.org/officeDocument/2006/relationships/numbering" Target="numbering.xml"/><Relationship Id="rId16" Type="http://schemas.openxmlformats.org/officeDocument/2006/relationships/hyperlink" Target="https://survey.psmfc.org/" TargetMode="External"/><Relationship Id="rId20" Type="http://schemas.openxmlformats.org/officeDocument/2006/relationships/hyperlink" Target="https://www.federalregister.gov/documents/2020/07/23/2020-15980/agency-information-collection-activities-submission-to-the-office-of-management-and-budget-omb-for"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resource/document/magnuson-stevens-fishery-conservation-and-management-act" TargetMode="External"/><Relationship Id="rId24" Type="http://schemas.openxmlformats.org/officeDocument/2006/relationships/hyperlink" Target="https://www.osec.doc.gov/opog/privacy/noaa%20pias/noaa4700_pia_saop_approved.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m80edr@psmfc.org" TargetMode="External"/><Relationship Id="rId23" Type="http://schemas.openxmlformats.org/officeDocument/2006/relationships/hyperlink" Target="http://www.osec.doc.gov/opog/PrivacyAct/SORNs/noaa-16.html" TargetMode="External"/><Relationship Id="rId28" Type="http://schemas.openxmlformats.org/officeDocument/2006/relationships/hyperlink" Target="http://www.gpo.gov/fdsys/pkg/CFR-2014-title5-vol3/pdf/CFR-2014-title5-vol3-sec1320-8.pdf" TargetMode="External"/><Relationship Id="rId10" Type="http://schemas.openxmlformats.org/officeDocument/2006/relationships/hyperlink" Target="https://alaskafisheries.noaa.gov/fisheries/central-goa-rockfish-program" TargetMode="External"/><Relationship Id="rId19" Type="http://schemas.openxmlformats.org/officeDocument/2006/relationships/hyperlink" Target="https://www.npfmc.org/wp-content/PDFdocuments/catch_shares/GOAtrawl/GOATrawlDataCollection913.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askafisheries.noaa.gov/fisheries/central-goa-rockfish-program" TargetMode="External"/><Relationship Id="rId14" Type="http://schemas.openxmlformats.org/officeDocument/2006/relationships/hyperlink" Target="mailto:am80edr@psmfc.org" TargetMode="External"/><Relationship Id="rId22" Type="http://schemas.openxmlformats.org/officeDocument/2006/relationships/hyperlink" Target="http://www.corporateservices.noaa.gov/ames/administrative_orders/chapter_216/216-100.html"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isheries.noaa.gov/resource/document/final-environmental-impact-statement-steller-sea-lion-protection-measures" TargetMode="External"/><Relationship Id="rId2" Type="http://schemas.openxmlformats.org/officeDocument/2006/relationships/hyperlink" Target="https://www.fisheries.noaa.gov/resource/document/five-year-review-effects-amendment-80" TargetMode="External"/><Relationship Id="rId1" Type="http://schemas.openxmlformats.org/officeDocument/2006/relationships/hyperlink" Target="https://www.fisheries.noaa.gov/alaska/ecosystems/economic-status-reports-gulf-alaska-and-bering-sea-aleutian-is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7F027-71A5-4110-AB15-20F2A450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2020-11-03T22:19:00Z</dcterms:created>
  <dcterms:modified xsi:type="dcterms:W3CDTF">2020-11-06T19:31:00Z</dcterms:modified>
</cp:coreProperties>
</file>