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1CC82D8" w14:textId="797E823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ED5A59" w14:paraId="6DC44426" w14:textId="393AA030">
      <w:pPr>
        <w:jc w:val="center"/>
        <w:rPr>
          <w:rFonts w:asciiTheme="majorHAnsi" w:hAnsiTheme="majorHAnsi"/>
          <w:sz w:val="24"/>
        </w:rPr>
      </w:pPr>
      <w:r w:rsidRPr="00ED5A59">
        <w:rPr>
          <w:rFonts w:asciiTheme="majorHAnsi" w:hAnsiTheme="majorHAnsi"/>
          <w:sz w:val="24"/>
        </w:rPr>
        <w:t>Trusted Capital</w:t>
      </w:r>
      <w:r w:rsidR="003F17D1">
        <w:rPr>
          <w:rFonts w:asciiTheme="majorHAnsi" w:hAnsiTheme="majorHAnsi"/>
          <w:sz w:val="24"/>
        </w:rPr>
        <w:t xml:space="preserve"> Digital Marketplace Application</w:t>
      </w:r>
      <w:r w:rsidR="00D25D16">
        <w:rPr>
          <w:rFonts w:asciiTheme="majorHAnsi" w:hAnsiTheme="majorHAnsi"/>
          <w:sz w:val="24"/>
        </w:rPr>
        <w:t xml:space="preserve"> </w:t>
      </w:r>
      <w:r w:rsidRPr="00D25D16" w:rsidR="00D25D16">
        <w:rPr>
          <w:rFonts w:asciiTheme="majorHAnsi" w:hAnsiTheme="majorHAnsi"/>
          <w:sz w:val="24"/>
        </w:rPr>
        <w:t>–</w:t>
      </w:r>
      <w:r w:rsidR="00D25D16">
        <w:rPr>
          <w:rFonts w:asciiTheme="majorHAnsi" w:hAnsiTheme="majorHAnsi"/>
          <w:sz w:val="24"/>
        </w:rPr>
        <w:t xml:space="preserve"> 0704-XXXX</w:t>
      </w:r>
    </w:p>
    <w:p w:rsidR="005C7428" w:rsidP="006E563D" w:rsidRDefault="0027743E" w14:paraId="1D77620A"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750466" w:rsidR="005C7428">
        <w:rPr>
          <w:rFonts w:asciiTheme="majorHAnsi" w:hAnsiTheme="majorHAnsi"/>
          <w:sz w:val="24"/>
          <w:u w:val="single"/>
        </w:rPr>
        <w:t xml:space="preserve">Need for the Information </w:t>
      </w:r>
      <w:r w:rsidRPr="00750466" w:rsidR="0085688C">
        <w:rPr>
          <w:rFonts w:asciiTheme="majorHAnsi" w:hAnsiTheme="majorHAnsi"/>
          <w:sz w:val="24"/>
          <w:u w:val="single"/>
        </w:rPr>
        <w:t>Collection</w:t>
      </w:r>
      <w:r w:rsidRPr="0085688C" w:rsidR="0085688C">
        <w:rPr>
          <w:rFonts w:asciiTheme="majorHAnsi" w:hAnsiTheme="majorHAnsi"/>
          <w:sz w:val="24"/>
        </w:rPr>
        <w:t xml:space="preserve"> </w:t>
      </w:r>
    </w:p>
    <w:p w:rsidR="00931C4A" w:rsidP="00D64803" w:rsidRDefault="00931C4A" w14:paraId="634D936E" w14:textId="4D992470">
      <w:pPr>
        <w:spacing w:after="0" w:line="240" w:lineRule="auto"/>
        <w:rPr>
          <w:rFonts w:asciiTheme="majorHAnsi" w:hAnsiTheme="majorHAnsi"/>
          <w:sz w:val="24"/>
          <w:lang w:val="en-IE"/>
        </w:rPr>
      </w:pPr>
      <w:r w:rsidRPr="00931C4A">
        <w:rPr>
          <w:rFonts w:asciiTheme="majorHAnsi" w:hAnsiTheme="majorHAnsi"/>
          <w:sz w:val="24"/>
          <w:lang w:val="en-IE"/>
        </w:rPr>
        <w:t xml:space="preserve">The Under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 xml:space="preserve"> for Acquisition and Sustainment (USD(A&amp;S)) is “delegated authority to exercise, within assigned responsibilities and functions, all authority of the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 xml:space="preserve">” derived from statute, executive order (E.O.), or interagency agreement, “except where specifically limited by statute or E.O. to the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w:t>
      </w:r>
      <w:r w:rsidR="00BD746F">
        <w:rPr>
          <w:rStyle w:val="FootnoteReference"/>
          <w:rFonts w:asciiTheme="majorHAnsi" w:hAnsiTheme="majorHAnsi"/>
          <w:sz w:val="24"/>
          <w:lang w:val="en-IE"/>
        </w:rPr>
        <w:footnoteReference w:id="1"/>
      </w:r>
      <w:r w:rsidRPr="00931C4A">
        <w:rPr>
          <w:rFonts w:asciiTheme="majorHAnsi" w:hAnsiTheme="majorHAnsi"/>
          <w:sz w:val="24"/>
          <w:lang w:val="en-IE"/>
        </w:rPr>
        <w:t xml:space="preserve">  Responsibilities of the USD(A&amp;S) include the establishment of policies to “maximize U.S. competitive advantage and ensure robust, secure, and resilient national industrial base capabilities” and “support and encourage small business.”</w:t>
      </w:r>
      <w:r w:rsidR="00BD746F">
        <w:rPr>
          <w:rStyle w:val="FootnoteReference"/>
          <w:rFonts w:asciiTheme="majorHAnsi" w:hAnsiTheme="majorHAnsi"/>
          <w:sz w:val="24"/>
          <w:lang w:val="en-IE"/>
        </w:rPr>
        <w:footnoteReference w:id="2"/>
      </w:r>
    </w:p>
    <w:p w:rsidR="00931C4A" w:rsidP="00D64803" w:rsidRDefault="00931C4A" w14:paraId="3CC394E9" w14:textId="77777777">
      <w:pPr>
        <w:spacing w:after="0" w:line="240" w:lineRule="auto"/>
        <w:rPr>
          <w:rFonts w:asciiTheme="majorHAnsi" w:hAnsiTheme="majorHAnsi"/>
          <w:sz w:val="24"/>
          <w:lang w:val="en-IE"/>
        </w:rPr>
      </w:pPr>
    </w:p>
    <w:p w:rsidR="006A6D88" w:rsidP="00D64803" w:rsidRDefault="00D64803" w14:paraId="79574DED" w14:textId="77777777">
      <w:pPr>
        <w:spacing w:after="0" w:line="240" w:lineRule="auto"/>
        <w:rPr>
          <w:rFonts w:ascii="Cambria" w:hAnsi="Cambria"/>
          <w:sz w:val="24"/>
        </w:rPr>
      </w:pPr>
      <w:r w:rsidRPr="00D64803">
        <w:rPr>
          <w:rFonts w:asciiTheme="majorHAnsi" w:hAnsiTheme="majorHAnsi"/>
          <w:sz w:val="24"/>
          <w:lang w:val="en-IE"/>
        </w:rPr>
        <w:t xml:space="preserve">Per the authority vested in the Secretary of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(SECDEF) by Section 1711 of the National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Authorization Act of 2018, </w:t>
      </w:r>
      <w:r w:rsidR="00EE1C2F">
        <w:rPr>
          <w:rFonts w:asciiTheme="majorHAnsi" w:hAnsiTheme="majorHAnsi"/>
          <w:sz w:val="24"/>
          <w:lang w:val="en-IE"/>
        </w:rPr>
        <w:t xml:space="preserve">the Office of the Under Secretary of </w:t>
      </w:r>
      <w:proofErr w:type="spellStart"/>
      <w:r w:rsidR="00EE1C2F">
        <w:rPr>
          <w:rFonts w:asciiTheme="majorHAnsi" w:hAnsiTheme="majorHAnsi"/>
          <w:sz w:val="24"/>
          <w:lang w:val="en-IE"/>
        </w:rPr>
        <w:t>Defense</w:t>
      </w:r>
      <w:proofErr w:type="spellEnd"/>
      <w:r w:rsidR="00EE1C2F">
        <w:rPr>
          <w:rFonts w:asciiTheme="majorHAnsi" w:hAnsiTheme="majorHAnsi"/>
          <w:sz w:val="24"/>
          <w:lang w:val="en-IE"/>
        </w:rPr>
        <w:t xml:space="preserve"> for </w:t>
      </w:r>
      <w:r w:rsidR="00CF0AD2">
        <w:rPr>
          <w:rFonts w:asciiTheme="majorHAnsi" w:hAnsiTheme="majorHAnsi"/>
          <w:sz w:val="24"/>
          <w:lang w:val="en-IE"/>
        </w:rPr>
        <w:t>A</w:t>
      </w:r>
      <w:r w:rsidR="00EE1C2F">
        <w:rPr>
          <w:rFonts w:asciiTheme="majorHAnsi" w:hAnsiTheme="majorHAnsi"/>
          <w:sz w:val="24"/>
          <w:lang w:val="en-IE"/>
        </w:rPr>
        <w:t xml:space="preserve">cquisition and Sustainment (OUSD(A&amp;S)) </w:t>
      </w:r>
      <w:r w:rsidRPr="00D64803">
        <w:rPr>
          <w:rFonts w:asciiTheme="majorHAnsi" w:hAnsiTheme="majorHAnsi"/>
          <w:sz w:val="24"/>
          <w:lang w:val="en-IE"/>
        </w:rPr>
        <w:t xml:space="preserve">has proposed a “Trusted Capital” initiative in the form of a public-private partnership designed to convene trusted sources of private capital with innovative companies critical to the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industrial base (DIB) and national security.​</w:t>
      </w:r>
      <w:r w:rsidR="00EE1C2F">
        <w:rPr>
          <w:rFonts w:asciiTheme="majorHAnsi" w:hAnsiTheme="majorHAnsi"/>
          <w:sz w:val="24"/>
          <w:lang w:val="en-IE"/>
        </w:rPr>
        <w:t xml:space="preserve"> The initiative includes establishment of a Trusted Capital Digital Marketplace (TCDM)</w:t>
      </w:r>
      <w:r w:rsidR="00465663">
        <w:rPr>
          <w:rFonts w:asciiTheme="majorHAnsi" w:hAnsiTheme="majorHAnsi"/>
          <w:sz w:val="24"/>
          <w:lang w:val="en-IE"/>
        </w:rPr>
        <w:t xml:space="preserve"> </w:t>
      </w:r>
      <w:r w:rsidR="00465663">
        <w:rPr>
          <w:rFonts w:asciiTheme="majorHAnsi" w:hAnsiTheme="majorHAnsi"/>
          <w:sz w:val="24"/>
        </w:rPr>
        <w:t xml:space="preserve">to facilitate business relationships between eligible </w:t>
      </w:r>
      <w:r w:rsidRPr="00465663" w:rsidR="00465663">
        <w:rPr>
          <w:rFonts w:asciiTheme="majorHAnsi" w:hAnsiTheme="majorHAnsi"/>
          <w:sz w:val="24"/>
        </w:rPr>
        <w:t>investors (“Capital Providers”)</w:t>
      </w:r>
      <w:r w:rsidR="00465663">
        <w:rPr>
          <w:rFonts w:asciiTheme="majorHAnsi" w:hAnsiTheme="majorHAnsi"/>
          <w:sz w:val="24"/>
        </w:rPr>
        <w:t xml:space="preserve"> and eligible </w:t>
      </w:r>
      <w:r w:rsidRPr="00465663" w:rsidR="00465663">
        <w:rPr>
          <w:rFonts w:asciiTheme="majorHAnsi" w:hAnsiTheme="majorHAnsi"/>
          <w:sz w:val="24"/>
        </w:rPr>
        <w:t>small and medium-sized businesses that have been “</w:t>
      </w:r>
      <w:proofErr w:type="spellStart"/>
      <w:r w:rsidRPr="00465663" w:rsidR="00465663">
        <w:rPr>
          <w:rFonts w:asciiTheme="majorHAnsi" w:hAnsiTheme="majorHAnsi"/>
          <w:sz w:val="24"/>
        </w:rPr>
        <w:t>downselected</w:t>
      </w:r>
      <w:proofErr w:type="spellEnd"/>
      <w:r w:rsidRPr="00465663" w:rsidR="00465663">
        <w:rPr>
          <w:rFonts w:asciiTheme="majorHAnsi" w:hAnsiTheme="majorHAnsi"/>
          <w:sz w:val="24"/>
        </w:rPr>
        <w:t>” by</w:t>
      </w:r>
      <w:r w:rsidR="00465663">
        <w:rPr>
          <w:rFonts w:asciiTheme="majorHAnsi" w:hAnsiTheme="majorHAnsi"/>
          <w:sz w:val="24"/>
        </w:rPr>
        <w:t xml:space="preserve"> Department of Defense (DoD) Components </w:t>
      </w:r>
      <w:r w:rsidRPr="00465663" w:rsidR="00465663">
        <w:rPr>
          <w:rFonts w:asciiTheme="majorHAnsi" w:hAnsiTheme="majorHAnsi"/>
          <w:sz w:val="24"/>
        </w:rPr>
        <w:t>based on relevancy, technical merit, business viability, or innovativeness (“Capability Providers”)</w:t>
      </w:r>
      <w:r w:rsidR="00465663">
        <w:rPr>
          <w:rFonts w:asciiTheme="majorHAnsi" w:hAnsiTheme="majorHAnsi"/>
          <w:sz w:val="24"/>
        </w:rPr>
        <w:t>.</w:t>
      </w:r>
      <w:r w:rsidR="006A6D88">
        <w:t xml:space="preserve"> </w:t>
      </w:r>
      <w:r w:rsidRPr="00182A1E" w:rsidR="006A6D88">
        <w:rPr>
          <w:rFonts w:ascii="Cambria" w:hAnsi="Cambria"/>
          <w:sz w:val="24"/>
        </w:rPr>
        <w:t>Additional</w:t>
      </w:r>
      <w:r w:rsidR="006A6D88">
        <w:rPr>
          <w:rFonts w:ascii="Cambria" w:hAnsi="Cambria"/>
          <w:sz w:val="24"/>
        </w:rPr>
        <w:t xml:space="preserve"> legal authorities are outlined below:</w:t>
      </w:r>
    </w:p>
    <w:p w:rsidR="006A6D88" w:rsidP="00D64803" w:rsidRDefault="006A6D88" w14:paraId="5C168052" w14:textId="77777777">
      <w:pPr>
        <w:spacing w:after="0" w:line="240" w:lineRule="auto"/>
        <w:rPr>
          <w:rFonts w:ascii="Cambria" w:hAnsi="Cambria"/>
          <w:sz w:val="24"/>
        </w:rPr>
      </w:pPr>
    </w:p>
    <w:p w:rsidRPr="00182A1E" w:rsidR="006A6D88" w:rsidP="00182A1E" w:rsidRDefault="006A6D88" w14:paraId="4E56CFD6" w14:textId="7BC583E2">
      <w:pPr>
        <w:pStyle w:val="ListParagraph"/>
        <w:numPr>
          <w:ilvl w:val="0"/>
          <w:numId w:val="25"/>
        </w:numPr>
        <w:spacing w:after="0" w:line="240" w:lineRule="auto"/>
      </w:pPr>
      <w:r w:rsidRPr="006A6D88">
        <w:rPr>
          <w:rFonts w:ascii="Times New Roman" w:hAnsi="Times New Roman" w:eastAsia="Calibri" w:cs="Times New Roman"/>
          <w:color w:val="000000"/>
          <w:sz w:val="24"/>
          <w:szCs w:val="24"/>
        </w:rPr>
        <w:t>Section 2501 of title 10, United States Code, requires that the Secretary of Defense (SECDEF) develop a “national security strategy for the national technology and industrial base.” The strategy must address “the development, manufacture, and supply of items and technologies critical to the production and sustainment of advanced military weapon systems within the national technology and industrial base.”</w:t>
      </w:r>
      <w:r w:rsidRPr="006A6D88">
        <w:rPr>
          <w:rFonts w:ascii="Times New Roman" w:hAnsi="Times New Roman" w:eastAsia="Calibri" w:cs="Times New Roman"/>
          <w:color w:val="000000"/>
          <w:sz w:val="24"/>
          <w:szCs w:val="24"/>
          <w:vertAlign w:val="superscript"/>
        </w:rPr>
        <w:footnoteReference w:id="3"/>
      </w:r>
      <w:r w:rsidRPr="006A6D88">
        <w:rPr>
          <w:rFonts w:ascii="Times New Roman" w:hAnsi="Times New Roman" w:eastAsia="Calibri" w:cs="Times New Roman"/>
          <w:color w:val="000000"/>
          <w:sz w:val="24"/>
          <w:szCs w:val="24"/>
        </w:rPr>
        <w:t xml:space="preserve"> Additional requirements include, ensuring “generation of services capabilities that are not core functions of the armed forces” and “providing for the development, production, and integration of information technology within the national technology and industrial base.”</w:t>
      </w:r>
      <w:r w:rsidRPr="006A6D88">
        <w:rPr>
          <w:rFonts w:ascii="Times New Roman" w:hAnsi="Times New Roman" w:eastAsia="Calibri" w:cs="Times New Roman"/>
          <w:color w:val="000000"/>
          <w:sz w:val="24"/>
          <w:szCs w:val="24"/>
          <w:vertAlign w:val="superscript"/>
        </w:rPr>
        <w:footnoteReference w:id="4"/>
      </w:r>
      <w:r w:rsidRPr="006A6D88">
        <w:rPr>
          <w:rFonts w:ascii="Times New Roman" w:hAnsi="Times New Roman" w:eastAsia="Calibri" w:cs="Times New Roman"/>
          <w:color w:val="000000"/>
          <w:sz w:val="24"/>
          <w:szCs w:val="24"/>
        </w:rPr>
        <w:t xml:space="preserve"> Civil-military integration is a critical component of this strategy and policy that increases the Department’s reliance on commercial capabilities is mandated.</w:t>
      </w:r>
      <w:r w:rsidR="00BD746F">
        <w:rPr>
          <w:rStyle w:val="FootnoteReference"/>
          <w:rFonts w:ascii="Times New Roman" w:hAnsi="Times New Roman" w:eastAsia="Calibri" w:cs="Times New Roman"/>
          <w:color w:val="000000"/>
          <w:sz w:val="24"/>
          <w:szCs w:val="24"/>
        </w:rPr>
        <w:footnoteReference w:id="5"/>
      </w:r>
    </w:p>
    <w:p w:rsidRPr="00182A1E" w:rsidR="006A6D88" w:rsidP="00182A1E" w:rsidRDefault="006A6D88" w14:paraId="3F7F76C9" w14:textId="77777777">
      <w:pPr>
        <w:pStyle w:val="ListParagraph"/>
        <w:spacing w:after="0" w:line="240" w:lineRule="auto"/>
      </w:pPr>
    </w:p>
    <w:p w:rsidRPr="00182A1E" w:rsidR="006A6D88" w:rsidP="00182A1E" w:rsidRDefault="006A6D88" w14:paraId="0E0EF9E1" w14:textId="77777777">
      <w:pPr>
        <w:pStyle w:val="ListParagraph"/>
        <w:numPr>
          <w:ilvl w:val="0"/>
          <w:numId w:val="25"/>
        </w:numPr>
        <w:spacing w:after="0" w:line="240" w:lineRule="auto"/>
      </w:pPr>
      <w:r w:rsidRPr="006A6D88">
        <w:rPr>
          <w:rFonts w:ascii="Times New Roman" w:hAnsi="Times New Roman" w:eastAsia="Calibri" w:cs="Times New Roman"/>
          <w:color w:val="000000"/>
          <w:sz w:val="24"/>
          <w:szCs w:val="24"/>
        </w:rPr>
        <w:t xml:space="preserve">The above mandate was underscored by a directive set forth in Section 1711 of the National Defense Authorization Act (NDAA) for Fiscal Year (FY) 2018 to “assess the feasibility and advisability of increasing the capability of the defense industrial base” to support of military requirements and the production of “emerging defense and commercial technologies.”  Additionally, Section 885 of the FY 2018 NDAA required </w:t>
      </w:r>
      <w:r w:rsidRPr="006A6D88">
        <w:rPr>
          <w:rFonts w:ascii="Times New Roman" w:hAnsi="Times New Roman" w:eastAsia="Calibri" w:cs="Times New Roman"/>
          <w:color w:val="000000"/>
          <w:sz w:val="24"/>
          <w:szCs w:val="24"/>
        </w:rPr>
        <w:lastRenderedPageBreak/>
        <w:t>the SECDEF to “develop a process and procedures for limiting foreign access to technology through contracts, grants, cooperative agreements, or other transactions, when such limitation is in the interest of national security.”</w:t>
      </w:r>
    </w:p>
    <w:p w:rsidR="006A6D88" w:rsidP="00182A1E" w:rsidRDefault="006A6D88" w14:paraId="6F94DB7E" w14:textId="77777777">
      <w:pPr>
        <w:pStyle w:val="ListParagraph"/>
      </w:pPr>
    </w:p>
    <w:p w:rsidR="006A6D88" w:rsidP="00182A1E" w:rsidRDefault="006A6D88" w14:paraId="6DC039AB" w14:textId="351715FE">
      <w:pPr>
        <w:pStyle w:val="ListParagraph"/>
        <w:numPr>
          <w:ilvl w:val="0"/>
          <w:numId w:val="25"/>
        </w:numPr>
        <w:spacing w:after="0" w:line="240" w:lineRule="auto"/>
      </w:pPr>
      <w:r w:rsidRPr="006A6D88">
        <w:rPr>
          <w:rFonts w:ascii="Times New Roman" w:hAnsi="Times New Roman" w:eastAsia="Calibri" w:cs="Times New Roman"/>
          <w:color w:val="000000"/>
          <w:sz w:val="24"/>
          <w:szCs w:val="24"/>
        </w:rPr>
        <w:t>More recently, Section 845 of the NDAA for FY 2020 established a requirement for the SECDEF to “modernize” methods utilized to protect the defense industrial supply base. The Department must develop modernized processes and an “analytical framework for risk mitigation across the acquisition process.”</w:t>
      </w:r>
      <w:r w:rsidRPr="006A6D88">
        <w:rPr>
          <w:rFonts w:ascii="Times New Roman" w:hAnsi="Times New Roman" w:eastAsia="Calibri" w:cs="Times New Roman"/>
          <w:color w:val="000000"/>
          <w:sz w:val="24"/>
          <w:szCs w:val="24"/>
          <w:vertAlign w:val="superscript"/>
        </w:rPr>
        <w:footnoteReference w:id="6"/>
      </w:r>
      <w:r w:rsidRPr="006A6D88">
        <w:rPr>
          <w:rFonts w:ascii="Times New Roman" w:hAnsi="Times New Roman" w:eastAsia="Calibri" w:cs="Times New Roman"/>
          <w:color w:val="000000"/>
          <w:sz w:val="24"/>
          <w:szCs w:val="24"/>
        </w:rPr>
        <w:t xml:space="preserve"> </w:t>
      </w:r>
      <w:r w:rsidRPr="006A6D88">
        <w:rPr>
          <w:rFonts w:ascii="Times New Roman" w:hAnsi="Times New Roman" w:eastAsia="Calibri" w:cs="Times New Roman"/>
          <w:color w:val="000000"/>
          <w:sz w:val="24"/>
          <w:szCs w:val="24"/>
          <w:shd w:val="clear" w:color="auto" w:fill="FFFFFF"/>
        </w:rPr>
        <w:t>“Characterization and monitoring of risks posed by contractor behavior” is a required component of the framework.</w:t>
      </w:r>
      <w:r w:rsidRPr="006A6D88">
        <w:rPr>
          <w:rFonts w:ascii="Times New Roman" w:hAnsi="Times New Roman" w:eastAsia="Calibri" w:cs="Times New Roman"/>
          <w:color w:val="000000"/>
          <w:sz w:val="24"/>
          <w:szCs w:val="24"/>
          <w:shd w:val="clear" w:color="auto" w:fill="FFFFFF"/>
          <w:vertAlign w:val="superscript"/>
        </w:rPr>
        <w:footnoteReference w:id="7"/>
      </w:r>
      <w:r w:rsidRPr="006A6D88">
        <w:rPr>
          <w:rFonts w:ascii="Times New Roman" w:hAnsi="Times New Roman" w:eastAsia="Calibri" w:cs="Times New Roman"/>
          <w:color w:val="000000"/>
          <w:sz w:val="24"/>
          <w:szCs w:val="24"/>
          <w:shd w:val="clear" w:color="auto" w:fill="FFFFFF"/>
        </w:rPr>
        <w:t xml:space="preserve"> Such risks include ownership structures and foreign ownership among other factors.</w:t>
      </w:r>
      <w:r w:rsidR="003C7090">
        <w:rPr>
          <w:rStyle w:val="FootnoteReference"/>
          <w:rFonts w:ascii="Times New Roman" w:hAnsi="Times New Roman" w:eastAsia="Calibri" w:cs="Times New Roman"/>
          <w:color w:val="000000"/>
          <w:sz w:val="24"/>
          <w:szCs w:val="24"/>
          <w:shd w:val="clear" w:color="auto" w:fill="FFFFFF"/>
        </w:rPr>
        <w:footnoteReference w:id="8"/>
      </w:r>
    </w:p>
    <w:p w:rsidR="00931C4A" w:rsidP="00D64803" w:rsidRDefault="00931C4A" w14:paraId="288975BF" w14:textId="77777777">
      <w:pPr>
        <w:spacing w:after="0" w:line="240" w:lineRule="auto"/>
      </w:pPr>
    </w:p>
    <w:p w:rsidR="006A6D88" w:rsidP="00182A1E" w:rsidRDefault="006A6D88" w14:paraId="669B5D15" w14:textId="714EE96F">
      <w:pPr>
        <w:spacing w:after="0" w:line="240" w:lineRule="auto"/>
        <w:rPr>
          <w:rFonts w:ascii="Times New Roman" w:hAnsi="Times New Roman" w:eastAsia="Times New Roman" w:cs="Times New Roman"/>
          <w:color w:val="000000"/>
          <w:sz w:val="24"/>
          <w:szCs w:val="24"/>
          <w:shd w:val="clear" w:color="auto" w:fill="FFFFFF"/>
        </w:rPr>
      </w:pPr>
      <w:r w:rsidRPr="006A6D88">
        <w:rPr>
          <w:rFonts w:ascii="Times New Roman" w:hAnsi="Times New Roman" w:eastAsia="Times New Roman" w:cs="Times New Roman"/>
          <w:color w:val="000000"/>
          <w:sz w:val="24"/>
          <w:szCs w:val="24"/>
        </w:rPr>
        <w:t xml:space="preserve">The information sought is essential to DoD's mission by ensuring the availability of defense articles, modernized defense-industrial base (DIB) capabilities, and force readiness amid increased global supply chain concerns and the Novel Coronavirus (COVID-19) pandemic. </w:t>
      </w:r>
      <w:r w:rsidRPr="006A6D88">
        <w:rPr>
          <w:rFonts w:ascii="Times New Roman" w:hAnsi="Times New Roman" w:eastAsia="Times New Roman" w:cs="Times New Roman"/>
          <w:color w:val="000000"/>
          <w:sz w:val="24"/>
          <w:szCs w:val="24"/>
          <w:shd w:val="clear" w:color="auto" w:fill="FFFFFF"/>
        </w:rPr>
        <w:t xml:space="preserve">The COVID-19 pandemic highlighted the criticality of the security and resiliency of defense supply chains. The Federal emergency enabled DoD to accelerate initiatives to ascertain constraints and risks in our supply chains that were initially identified in the 2018 Executive Order (EO) 13806 report and further outlined in section 885 of the 2018 NDAA and section 845 of the 2020 NDAA. The Department uses these frameworks to continually update assessments and derive new programs to focus DoD’s resources and address the industrial base’s shortfalls. </w:t>
      </w:r>
    </w:p>
    <w:p w:rsidRPr="006A6D88" w:rsidR="006A6D88" w:rsidP="00182A1E" w:rsidRDefault="006A6D88" w14:paraId="7B5E3C5C" w14:textId="77777777">
      <w:pPr>
        <w:spacing w:after="0" w:line="240" w:lineRule="auto"/>
        <w:rPr>
          <w:rFonts w:ascii="Times New Roman" w:hAnsi="Times New Roman" w:eastAsia="Calibri" w:cs="Times New Roman"/>
          <w:color w:val="000000"/>
          <w:sz w:val="24"/>
          <w:szCs w:val="24"/>
        </w:rPr>
      </w:pPr>
    </w:p>
    <w:p w:rsidR="006A6D88" w:rsidP="00D64803" w:rsidRDefault="006A6D88" w14:paraId="11450899" w14:textId="7057046B">
      <w:pPr>
        <w:spacing w:after="0" w:line="240" w:lineRule="auto"/>
        <w:rPr>
          <w:rFonts w:asciiTheme="majorHAnsi" w:hAnsiTheme="majorHAnsi"/>
          <w:sz w:val="24"/>
        </w:rPr>
      </w:pPr>
      <w:r w:rsidRPr="006A6D88">
        <w:rPr>
          <w:rFonts w:asciiTheme="majorHAnsi" w:hAnsiTheme="majorHAnsi"/>
          <w:sz w:val="24"/>
        </w:rPr>
        <w:t>One of the risk archetypes identified in the report is foreign dependency on capital and supply chains. Although DoD will always have a diverse, domestic and international supply chain, we recognize that this comes with some risk. COVID-19 magnified that risk and the difficulties of stalling adversarial offshore sources of capital during times of global emergencies. From January to April 2020, China announced 57 outbound mergers and acquisitions worth $9.9 billion and 145 outbound investments worth $4.5 billion in the United States and other key allies accordi</w:t>
      </w:r>
      <w:r>
        <w:rPr>
          <w:rFonts w:asciiTheme="majorHAnsi" w:hAnsiTheme="majorHAnsi"/>
          <w:sz w:val="24"/>
        </w:rPr>
        <w:t>ng to the source GlobalData.com</w:t>
      </w:r>
      <w:r w:rsidRPr="006A6D88">
        <w:rPr>
          <w:rFonts w:asciiTheme="majorHAnsi" w:hAnsiTheme="majorHAnsi"/>
          <w:sz w:val="24"/>
        </w:rPr>
        <w:t xml:space="preserve">                 (</w:t>
      </w:r>
      <w:hyperlink w:history="1" r:id="rId8">
        <w:r w:rsidRPr="00983E69">
          <w:rPr>
            <w:rStyle w:val="Hyperlink"/>
            <w:rFonts w:asciiTheme="majorHAnsi" w:hAnsiTheme="majorHAnsi"/>
            <w:sz w:val="24"/>
          </w:rPr>
          <w:t>https://www.globaldata.com/covid-19/</w:t>
        </w:r>
      </w:hyperlink>
      <w:r w:rsidRPr="006A6D88">
        <w:rPr>
          <w:rFonts w:asciiTheme="majorHAnsi" w:hAnsiTheme="majorHAnsi"/>
          <w:sz w:val="24"/>
        </w:rPr>
        <w:t>)</w:t>
      </w:r>
      <w:r>
        <w:rPr>
          <w:rFonts w:asciiTheme="majorHAnsi" w:hAnsiTheme="majorHAnsi"/>
          <w:sz w:val="24"/>
        </w:rPr>
        <w:t>.</w:t>
      </w:r>
      <w:r w:rsidRPr="006A6D88">
        <w:rPr>
          <w:rFonts w:asciiTheme="majorHAnsi" w:hAnsiTheme="majorHAnsi"/>
          <w:sz w:val="24"/>
        </w:rPr>
        <w:t xml:space="preserve">  Most companies have some sort of cash reserves, or some sort of government support. However, as time goes on many companies will use up their reserves or government support will no longer be available. That’s when the crisis will begin, and this trend of predatory acquisitions will become more visible.</w:t>
      </w:r>
      <w:r>
        <w:rPr>
          <w:rFonts w:asciiTheme="majorHAnsi" w:hAnsiTheme="majorHAnsi"/>
          <w:sz w:val="24"/>
        </w:rPr>
        <w:t xml:space="preserve"> Concerning examples of this problem set that have already been identified by the Department of Defense and Development Finance Corporation (DFC) are briefly detailed below:</w:t>
      </w:r>
    </w:p>
    <w:p w:rsidR="006A6D88" w:rsidP="00D64803" w:rsidRDefault="006A6D88" w14:paraId="625A646D" w14:textId="40CBA382">
      <w:pPr>
        <w:spacing w:after="0" w:line="240" w:lineRule="auto"/>
        <w:rPr>
          <w:rFonts w:asciiTheme="majorHAnsi" w:hAnsiTheme="majorHAnsi"/>
          <w:sz w:val="24"/>
        </w:rPr>
      </w:pPr>
    </w:p>
    <w:p w:rsidR="009A2A08" w:rsidP="00182A1E" w:rsidRDefault="00B5395D" w14:paraId="223EC449" w14:textId="7B6BD138">
      <w:pPr>
        <w:pStyle w:val="ListParagraph"/>
        <w:numPr>
          <w:ilvl w:val="0"/>
          <w:numId w:val="27"/>
        </w:numPr>
        <w:spacing w:after="0" w:line="240" w:lineRule="auto"/>
        <w:rPr>
          <w:rFonts w:asciiTheme="majorHAnsi" w:hAnsiTheme="majorHAnsi"/>
          <w:sz w:val="24"/>
        </w:rPr>
      </w:pPr>
      <w:r w:rsidRPr="00B5395D">
        <w:rPr>
          <w:rFonts w:asciiTheme="majorHAnsi" w:hAnsiTheme="majorHAnsi"/>
          <w:sz w:val="24"/>
        </w:rPr>
        <w:t>Mesa Biotech, a biotechnology company based in San Diego, California</w:t>
      </w:r>
      <w:r w:rsidR="009A2A08">
        <w:rPr>
          <w:rFonts w:asciiTheme="majorHAnsi" w:hAnsiTheme="majorHAnsi"/>
          <w:sz w:val="24"/>
        </w:rPr>
        <w:t xml:space="preserve"> </w:t>
      </w:r>
      <w:r w:rsidRPr="00B5395D">
        <w:rPr>
          <w:rFonts w:asciiTheme="majorHAnsi" w:hAnsiTheme="majorHAnsi"/>
          <w:sz w:val="24"/>
        </w:rPr>
        <w:t xml:space="preserve">manufactures molecular diagnostics tests and uses third-party distributors to reach customers in the United States, Canada, Sweden, Denmark, and Norway. On March 24, 2020, Mesa Biotech received an Emergency Use Authorization from the U.S. Food &amp; Drug Administration for its name brand </w:t>
      </w:r>
      <w:proofErr w:type="spellStart"/>
      <w:r w:rsidRPr="00B5395D">
        <w:rPr>
          <w:rFonts w:asciiTheme="majorHAnsi" w:hAnsiTheme="majorHAnsi"/>
          <w:sz w:val="24"/>
        </w:rPr>
        <w:t>Accula</w:t>
      </w:r>
      <w:proofErr w:type="spellEnd"/>
      <w:r w:rsidRPr="00B5395D">
        <w:rPr>
          <w:rFonts w:asciiTheme="majorHAnsi" w:hAnsiTheme="majorHAnsi"/>
          <w:sz w:val="24"/>
        </w:rPr>
        <w:t xml:space="preserve"> SARS CoV2-Test for COVID-19 testing. On April 7, 2020, the company shipped 10,000 tests to unspecified locations for rapid </w:t>
      </w:r>
      <w:r w:rsidRPr="00B5395D">
        <w:rPr>
          <w:rFonts w:asciiTheme="majorHAnsi" w:hAnsiTheme="majorHAnsi"/>
          <w:sz w:val="24"/>
        </w:rPr>
        <w:lastRenderedPageBreak/>
        <w:t xml:space="preserve">testing. Mesa submitted an application to DFC for a $120M loan to rapidly grow its ability to ship millions of “Just in Time” tests over the next 12 months. However, due </w:t>
      </w:r>
      <w:r w:rsidR="009A2A08">
        <w:rPr>
          <w:rFonts w:asciiTheme="majorHAnsi" w:hAnsiTheme="majorHAnsi"/>
          <w:sz w:val="24"/>
        </w:rPr>
        <w:t xml:space="preserve">to </w:t>
      </w:r>
      <w:r w:rsidRPr="00B5395D">
        <w:rPr>
          <w:rFonts w:asciiTheme="majorHAnsi" w:hAnsiTheme="majorHAnsi"/>
          <w:sz w:val="24"/>
        </w:rPr>
        <w:t>the company’s minority Chinese ownership, the foreign ties maintained by its executives, foreign ownership control or influence</w:t>
      </w:r>
      <w:r w:rsidR="009A2A08">
        <w:rPr>
          <w:rFonts w:asciiTheme="majorHAnsi" w:hAnsiTheme="majorHAnsi"/>
          <w:sz w:val="24"/>
        </w:rPr>
        <w:t xml:space="preserve"> (FOCI)</w:t>
      </w:r>
      <w:r w:rsidRPr="00B5395D">
        <w:rPr>
          <w:rFonts w:asciiTheme="majorHAnsi" w:hAnsiTheme="majorHAnsi"/>
          <w:sz w:val="24"/>
        </w:rPr>
        <w:t xml:space="preserve"> risks, specifically ownership by entities based in China and Hong Kong, the DFC has thus far been unable to execute on the loan. DFC has asked the Trusted Capital program to help identify trusted sources of capital that would be willing to buy out adversarial capital equity owners.</w:t>
      </w:r>
    </w:p>
    <w:p w:rsidR="009A2A08" w:rsidP="00182A1E" w:rsidRDefault="009A2A08" w14:paraId="2E87E1AB" w14:textId="66A67BC6">
      <w:pPr>
        <w:pStyle w:val="ListParagraph"/>
        <w:spacing w:after="0" w:line="240" w:lineRule="auto"/>
        <w:rPr>
          <w:rFonts w:asciiTheme="majorHAnsi" w:hAnsiTheme="majorHAnsi"/>
          <w:sz w:val="24"/>
        </w:rPr>
      </w:pPr>
      <w:r>
        <w:rPr>
          <w:rFonts w:asciiTheme="majorHAnsi" w:hAnsiTheme="majorHAnsi"/>
          <w:sz w:val="24"/>
        </w:rPr>
        <w:t xml:space="preserve"> </w:t>
      </w:r>
    </w:p>
    <w:p w:rsidRPr="00182A1E" w:rsidR="009A2A08" w:rsidP="00182A1E" w:rsidRDefault="009A2A08" w14:paraId="1BE736E8" w14:textId="1C5D52AA">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Snapdragon Chemistry, </w:t>
      </w:r>
      <w:proofErr w:type="spellStart"/>
      <w:r>
        <w:rPr>
          <w:rFonts w:asciiTheme="majorHAnsi" w:hAnsiTheme="majorHAnsi"/>
          <w:sz w:val="24"/>
        </w:rPr>
        <w:t>Inc</w:t>
      </w:r>
      <w:proofErr w:type="spellEnd"/>
      <w:r>
        <w:rPr>
          <w:rFonts w:asciiTheme="majorHAnsi" w:hAnsiTheme="majorHAnsi"/>
          <w:sz w:val="24"/>
        </w:rPr>
        <w:t>,</w:t>
      </w:r>
      <w:r w:rsidRPr="009A2A08">
        <w:rPr>
          <w:rFonts w:asciiTheme="majorHAnsi" w:hAnsiTheme="majorHAnsi"/>
          <w:sz w:val="24"/>
        </w:rPr>
        <w:t xml:space="preserve"> a privately held chemical technology firm in Waltham, MA. Snapdragon was founded in 2014 by academics at the Massachusetts Institute of Technology and Boston University to provide expertise in chemical continuous manufacturing technology to the pharmaceutical and fine chemical industries. Snapdragon is requesting a $21 million loan from the DFC to rapidly build, operate, and maintain a 50,000-80,000 square foot continuous manufacturing facility that will produce ribonucleotide triphosphates</w:t>
      </w:r>
      <w:r>
        <w:rPr>
          <w:rFonts w:asciiTheme="majorHAnsi" w:hAnsiTheme="majorHAnsi"/>
          <w:sz w:val="24"/>
        </w:rPr>
        <w:t xml:space="preserve"> (</w:t>
      </w:r>
      <w:r w:rsidRPr="009A2A08">
        <w:rPr>
          <w:rFonts w:asciiTheme="majorHAnsi" w:hAnsiTheme="majorHAnsi"/>
          <w:sz w:val="24"/>
        </w:rPr>
        <w:t>NTP</w:t>
      </w:r>
      <w:r>
        <w:rPr>
          <w:rFonts w:asciiTheme="majorHAnsi" w:hAnsiTheme="majorHAnsi"/>
          <w:sz w:val="24"/>
        </w:rPr>
        <w:t>)</w:t>
      </w:r>
      <w:r w:rsidRPr="009A2A08">
        <w:rPr>
          <w:rFonts w:asciiTheme="majorHAnsi" w:hAnsiTheme="majorHAnsi"/>
          <w:sz w:val="24"/>
        </w:rPr>
        <w:t xml:space="preserve"> at a rate of about 10 kilograms per hour. It is projected that the United States will need 500 kilograms of NTP to vaccinate the U.S. population, and then require 150 kilograms per year to account for boosters and population growth. This NTP production will ensure that when the vaccines are approved for use, the raw materials are available to rapidly produce. Snapdragon projects a one-year build timeline and expects to be operational by fall of 2021. The NTP produced will be required by any company trying to produce and distribute an mRNA COVID vaccine, and Snapdragon is currently working with Pfizer as they develop their vaccine. NTP will also be required for mRNA therapeutics, mRNA vaccines in development for cancer, as well as diagnostic uses for COVID testing. Without the loan, the U.S. industry cannot reasonably be expected to provide the needed capacity, technological processes, or materials in a timely manner. However, the company’s overall risk is elevated based on its FOCI and supply chain risks. In August 2020, Snapdragon announced a strategic investment partnership of an undisclosed amount by Chinese pharmaceutical company, </w:t>
      </w:r>
      <w:proofErr w:type="spellStart"/>
      <w:r w:rsidRPr="009A2A08">
        <w:rPr>
          <w:rFonts w:asciiTheme="majorHAnsi" w:hAnsiTheme="majorHAnsi"/>
          <w:sz w:val="24"/>
        </w:rPr>
        <w:t>Asymchem</w:t>
      </w:r>
      <w:proofErr w:type="spellEnd"/>
      <w:r w:rsidRPr="009A2A08">
        <w:rPr>
          <w:rFonts w:asciiTheme="majorHAnsi" w:hAnsiTheme="majorHAnsi"/>
          <w:sz w:val="24"/>
        </w:rPr>
        <w:t xml:space="preserve"> Laboratories (“</w:t>
      </w:r>
      <w:proofErr w:type="spellStart"/>
      <w:r w:rsidRPr="009A2A08">
        <w:rPr>
          <w:rFonts w:asciiTheme="majorHAnsi" w:hAnsiTheme="majorHAnsi"/>
          <w:sz w:val="24"/>
        </w:rPr>
        <w:t>Asymchem</w:t>
      </w:r>
      <w:proofErr w:type="spellEnd"/>
      <w:r w:rsidRPr="009A2A08">
        <w:rPr>
          <w:rFonts w:asciiTheme="majorHAnsi" w:hAnsiTheme="majorHAnsi"/>
          <w:sz w:val="24"/>
        </w:rPr>
        <w:t xml:space="preserve">”). </w:t>
      </w:r>
      <w:proofErr w:type="spellStart"/>
      <w:r w:rsidRPr="009A2A08">
        <w:rPr>
          <w:rFonts w:asciiTheme="majorHAnsi" w:hAnsiTheme="majorHAnsi"/>
          <w:sz w:val="24"/>
        </w:rPr>
        <w:t>Asymchem</w:t>
      </w:r>
      <w:proofErr w:type="spellEnd"/>
      <w:r w:rsidRPr="009A2A08">
        <w:rPr>
          <w:rFonts w:asciiTheme="majorHAnsi" w:hAnsiTheme="majorHAnsi"/>
          <w:sz w:val="24"/>
        </w:rPr>
        <w:t xml:space="preserve"> is owned by its parent company, The </w:t>
      </w:r>
      <w:proofErr w:type="spellStart"/>
      <w:r w:rsidRPr="009A2A08">
        <w:rPr>
          <w:rFonts w:asciiTheme="majorHAnsi" w:hAnsiTheme="majorHAnsi"/>
          <w:sz w:val="24"/>
        </w:rPr>
        <w:t>Asymchem</w:t>
      </w:r>
      <w:proofErr w:type="spellEnd"/>
      <w:r w:rsidRPr="009A2A08">
        <w:rPr>
          <w:rFonts w:asciiTheme="majorHAnsi" w:hAnsiTheme="majorHAnsi"/>
          <w:sz w:val="24"/>
        </w:rPr>
        <w:t xml:space="preserve"> Group, which is based in North Carolina and was founded by </w:t>
      </w:r>
      <w:proofErr w:type="spellStart"/>
      <w:r w:rsidRPr="009A2A08">
        <w:rPr>
          <w:rFonts w:asciiTheme="majorHAnsi" w:hAnsiTheme="majorHAnsi"/>
          <w:sz w:val="24"/>
        </w:rPr>
        <w:t>Hao</w:t>
      </w:r>
      <w:proofErr w:type="spellEnd"/>
      <w:r w:rsidRPr="009A2A08">
        <w:rPr>
          <w:rFonts w:asciiTheme="majorHAnsi" w:hAnsiTheme="majorHAnsi"/>
          <w:sz w:val="24"/>
        </w:rPr>
        <w:t xml:space="preserve"> Hong. The DFC has thus far been unable to execute on the loan because of these FOCI risks. DFC has asked the Trusted Capital program to help identify trusted sources of capital that would be willing to buy out adversarial capital equity owners in Snapdragon Inc.</w:t>
      </w:r>
    </w:p>
    <w:p w:rsidR="006A6D88" w:rsidP="00D64803" w:rsidRDefault="006A6D88" w14:paraId="42BF0B0E" w14:textId="77777777">
      <w:pPr>
        <w:spacing w:after="0" w:line="240" w:lineRule="auto"/>
        <w:rPr>
          <w:rFonts w:asciiTheme="majorHAnsi" w:hAnsiTheme="majorHAnsi"/>
          <w:sz w:val="24"/>
        </w:rPr>
      </w:pPr>
    </w:p>
    <w:p w:rsidR="00BD746F" w:rsidP="00D64803" w:rsidRDefault="009A2A08" w14:paraId="5A10B00B" w14:textId="3181BC71">
      <w:pPr>
        <w:spacing w:after="0" w:line="240" w:lineRule="auto"/>
        <w:rPr>
          <w:rFonts w:asciiTheme="majorHAnsi" w:hAnsiTheme="majorHAnsi"/>
          <w:sz w:val="24"/>
        </w:rPr>
      </w:pPr>
      <w:r w:rsidRPr="009A2A08">
        <w:rPr>
          <w:rFonts w:asciiTheme="majorHAnsi" w:hAnsiTheme="majorHAnsi"/>
          <w:sz w:val="24"/>
        </w:rPr>
        <w:t xml:space="preserve">Examples like this, coupled with the ever-present potential of political uncertainty, means that we need to re-establish domestic trusted sources of capital suppliers to maintain capability for our critical supply chain needs. The OUSD A&amp;S Trusted Capital program offers critical technology companies an alternative to adversarial capital. To accomplish this important national </w:t>
      </w:r>
      <w:proofErr w:type="gramStart"/>
      <w:r w:rsidRPr="009A2A08">
        <w:rPr>
          <w:rFonts w:asciiTheme="majorHAnsi" w:hAnsiTheme="majorHAnsi"/>
          <w:sz w:val="24"/>
        </w:rPr>
        <w:t>security</w:t>
      </w:r>
      <w:proofErr w:type="gramEnd"/>
      <w:r w:rsidRPr="009A2A08">
        <w:rPr>
          <w:rFonts w:asciiTheme="majorHAnsi" w:hAnsiTheme="majorHAnsi"/>
          <w:sz w:val="24"/>
        </w:rPr>
        <w:t xml:space="preserve"> mission the Trusted Capital program requires the ability to gather data required to conduct national security and supply chain due diligence to prioritize “trusted” sources of commercial capital to offset direct financial distress in the Defense Industrial Base and support our partners affected by the virus with investments and local job creation. </w:t>
      </w:r>
      <w:r w:rsidRPr="00BD746F" w:rsidR="00BD746F">
        <w:rPr>
          <w:rFonts w:asciiTheme="majorHAnsi" w:hAnsiTheme="majorHAnsi"/>
          <w:sz w:val="24"/>
        </w:rPr>
        <w:t xml:space="preserve">DoD cannot comply with normal clearance procedures because </w:t>
      </w:r>
      <w:r w:rsidRPr="00BD746F" w:rsidR="00BD746F">
        <w:rPr>
          <w:rFonts w:asciiTheme="majorHAnsi" w:hAnsiTheme="majorHAnsi"/>
          <w:sz w:val="24"/>
        </w:rPr>
        <w:lastRenderedPageBreak/>
        <w:t>public harm is reasonably likely if current clearance procedures are followed. Delayed processing could likely hinder DoD’s ability to mitigate national security and COVID-19 concerns.</w:t>
      </w:r>
    </w:p>
    <w:p w:rsidR="00BD746F" w:rsidP="00D64803" w:rsidRDefault="00BD746F" w14:paraId="41872E98" w14:textId="7A135302">
      <w:pPr>
        <w:spacing w:after="0" w:line="240" w:lineRule="auto"/>
        <w:rPr>
          <w:rFonts w:asciiTheme="majorHAnsi" w:hAnsiTheme="majorHAnsi"/>
          <w:sz w:val="24"/>
        </w:rPr>
      </w:pPr>
    </w:p>
    <w:p w:rsidR="00BD746F" w:rsidP="00D64803" w:rsidRDefault="00BD746F" w14:paraId="5264731B" w14:textId="4C803841">
      <w:pPr>
        <w:spacing w:after="0" w:line="240" w:lineRule="auto"/>
        <w:rPr>
          <w:rFonts w:asciiTheme="majorHAnsi" w:hAnsiTheme="majorHAnsi"/>
          <w:sz w:val="24"/>
        </w:rPr>
      </w:pPr>
      <w:r w:rsidRPr="00BD746F">
        <w:rPr>
          <w:rFonts w:asciiTheme="majorHAnsi" w:hAnsiTheme="majorHAnsi"/>
          <w:sz w:val="24"/>
        </w:rPr>
        <w:t>OUSD(A&amp;S) is requesting emergency clearance for information collection for a period of six months.</w:t>
      </w:r>
    </w:p>
    <w:p w:rsidR="00ED3F4A" w:rsidP="00D64803" w:rsidRDefault="00ED3F4A" w14:paraId="6FD2F1FA" w14:textId="77777777">
      <w:pPr>
        <w:spacing w:after="0" w:line="240" w:lineRule="auto"/>
        <w:rPr>
          <w:rFonts w:asciiTheme="majorHAnsi" w:hAnsiTheme="majorHAnsi"/>
          <w:sz w:val="24"/>
          <w:lang w:val="en-IE"/>
        </w:rPr>
      </w:pPr>
    </w:p>
    <w:p w:rsidR="005C7428" w:rsidP="006E563D" w:rsidRDefault="00510F0C" w14:paraId="0A9A02AD"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EB7FF2" w:rsidR="005C7428">
        <w:rPr>
          <w:rFonts w:asciiTheme="majorHAnsi" w:hAnsiTheme="majorHAnsi"/>
          <w:sz w:val="24"/>
          <w:u w:val="single"/>
        </w:rPr>
        <w:t xml:space="preserve">Use of the </w:t>
      </w:r>
      <w:r w:rsidRPr="00EB7FF2" w:rsidR="0085688C">
        <w:rPr>
          <w:rFonts w:asciiTheme="majorHAnsi" w:hAnsiTheme="majorHAnsi"/>
          <w:sz w:val="24"/>
          <w:u w:val="single"/>
        </w:rPr>
        <w:t>Information</w:t>
      </w:r>
      <w:r w:rsidR="0085688C">
        <w:rPr>
          <w:rFonts w:asciiTheme="majorHAnsi" w:hAnsiTheme="majorHAnsi"/>
          <w:sz w:val="24"/>
        </w:rPr>
        <w:t xml:space="preserve"> </w:t>
      </w:r>
    </w:p>
    <w:p w:rsidR="005A0872" w:rsidP="006E563D" w:rsidRDefault="00EE1C2F" w14:paraId="25EEA809" w14:textId="4DF911E0">
      <w:pPr>
        <w:spacing w:after="0" w:line="240" w:lineRule="auto"/>
        <w:rPr>
          <w:rFonts w:asciiTheme="majorHAnsi" w:hAnsiTheme="majorHAnsi"/>
          <w:sz w:val="24"/>
        </w:rPr>
      </w:pPr>
      <w:r>
        <w:rPr>
          <w:rFonts w:asciiTheme="majorHAnsi" w:hAnsiTheme="majorHAnsi"/>
          <w:sz w:val="24"/>
        </w:rPr>
        <w:t>I</w:t>
      </w:r>
      <w:r w:rsidRPr="004B68C9" w:rsidR="004B68C9">
        <w:rPr>
          <w:rFonts w:asciiTheme="majorHAnsi" w:hAnsiTheme="majorHAnsi"/>
          <w:sz w:val="24"/>
        </w:rPr>
        <w:t xml:space="preserve">nformation collected will be used </w:t>
      </w:r>
      <w:r w:rsidR="00851919">
        <w:rPr>
          <w:rFonts w:asciiTheme="majorHAnsi" w:hAnsiTheme="majorHAnsi"/>
          <w:sz w:val="24"/>
        </w:rPr>
        <w:t>in determining an applicant</w:t>
      </w:r>
      <w:r w:rsidR="00A5743E">
        <w:rPr>
          <w:rFonts w:asciiTheme="majorHAnsi" w:hAnsiTheme="majorHAnsi"/>
          <w:sz w:val="24"/>
        </w:rPr>
        <w:t>’</w:t>
      </w:r>
      <w:r w:rsidR="00851919">
        <w:rPr>
          <w:rFonts w:asciiTheme="majorHAnsi" w:hAnsiTheme="majorHAnsi"/>
          <w:sz w:val="24"/>
        </w:rPr>
        <w:t xml:space="preserve">s </w:t>
      </w:r>
      <w:r>
        <w:rPr>
          <w:rFonts w:asciiTheme="majorHAnsi" w:hAnsiTheme="majorHAnsi"/>
          <w:sz w:val="24"/>
        </w:rPr>
        <w:t>eligibility</w:t>
      </w:r>
      <w:r w:rsidR="002F7B39">
        <w:rPr>
          <w:rFonts w:asciiTheme="majorHAnsi" w:hAnsiTheme="majorHAnsi"/>
          <w:sz w:val="24"/>
        </w:rPr>
        <w:t xml:space="preserve"> for </w:t>
      </w:r>
      <w:r w:rsidR="00BD746F">
        <w:rPr>
          <w:rFonts w:asciiTheme="majorHAnsi" w:hAnsiTheme="majorHAnsi"/>
          <w:sz w:val="24"/>
        </w:rPr>
        <w:t xml:space="preserve">participation on the </w:t>
      </w:r>
      <w:r>
        <w:rPr>
          <w:rFonts w:asciiTheme="majorHAnsi" w:hAnsiTheme="majorHAnsi"/>
          <w:sz w:val="24"/>
        </w:rPr>
        <w:t>T</w:t>
      </w:r>
      <w:r w:rsidR="00BD746F">
        <w:rPr>
          <w:rFonts w:asciiTheme="majorHAnsi" w:hAnsiTheme="majorHAnsi"/>
          <w:sz w:val="24"/>
        </w:rPr>
        <w:t xml:space="preserve">rusted Capital </w:t>
      </w:r>
      <w:r>
        <w:rPr>
          <w:rFonts w:asciiTheme="majorHAnsi" w:hAnsiTheme="majorHAnsi"/>
          <w:sz w:val="24"/>
        </w:rPr>
        <w:t>D</w:t>
      </w:r>
      <w:r w:rsidR="00BD746F">
        <w:rPr>
          <w:rFonts w:asciiTheme="majorHAnsi" w:hAnsiTheme="majorHAnsi"/>
          <w:sz w:val="24"/>
        </w:rPr>
        <w:t xml:space="preserve">igital </w:t>
      </w:r>
      <w:r>
        <w:rPr>
          <w:rFonts w:asciiTheme="majorHAnsi" w:hAnsiTheme="majorHAnsi"/>
          <w:sz w:val="24"/>
        </w:rPr>
        <w:t>M</w:t>
      </w:r>
      <w:r w:rsidR="00BD746F">
        <w:rPr>
          <w:rFonts w:asciiTheme="majorHAnsi" w:hAnsiTheme="majorHAnsi"/>
          <w:sz w:val="24"/>
        </w:rPr>
        <w:t>arketplace (TCDM) platform</w:t>
      </w:r>
      <w:r w:rsidR="005916AA">
        <w:rPr>
          <w:rFonts w:asciiTheme="majorHAnsi" w:hAnsiTheme="majorHAnsi"/>
          <w:sz w:val="24"/>
        </w:rPr>
        <w:t xml:space="preserve">. </w:t>
      </w:r>
      <w:r w:rsidR="00CF0AD2">
        <w:rPr>
          <w:rFonts w:asciiTheme="majorHAnsi" w:hAnsiTheme="majorHAnsi"/>
          <w:sz w:val="24"/>
        </w:rPr>
        <w:t xml:space="preserve">Parties </w:t>
      </w:r>
      <w:r w:rsidR="005916AA">
        <w:rPr>
          <w:rFonts w:asciiTheme="majorHAnsi" w:hAnsiTheme="majorHAnsi"/>
          <w:sz w:val="24"/>
        </w:rPr>
        <w:t xml:space="preserve">will </w:t>
      </w:r>
      <w:r>
        <w:rPr>
          <w:rFonts w:asciiTheme="majorHAnsi" w:hAnsiTheme="majorHAnsi"/>
          <w:sz w:val="24"/>
        </w:rPr>
        <w:t xml:space="preserve">complete an </w:t>
      </w:r>
      <w:r w:rsidR="005916AA">
        <w:rPr>
          <w:rFonts w:asciiTheme="majorHAnsi" w:hAnsiTheme="majorHAnsi"/>
          <w:sz w:val="24"/>
        </w:rPr>
        <w:t>electronic</w:t>
      </w:r>
      <w:r>
        <w:rPr>
          <w:rFonts w:asciiTheme="majorHAnsi" w:hAnsiTheme="majorHAnsi"/>
          <w:sz w:val="24"/>
        </w:rPr>
        <w:t xml:space="preserve"> application</w:t>
      </w:r>
      <w:r w:rsidR="00465663">
        <w:rPr>
          <w:rFonts w:asciiTheme="majorHAnsi" w:hAnsiTheme="majorHAnsi"/>
          <w:sz w:val="24"/>
        </w:rPr>
        <w:t xml:space="preserve"> and be subjected to a due diligence screening process to assess for adversarial foreign ownership, influence, or control as well as other national security risks. </w:t>
      </w:r>
      <w:r>
        <w:rPr>
          <w:rFonts w:asciiTheme="majorHAnsi" w:hAnsiTheme="majorHAnsi"/>
          <w:sz w:val="24"/>
        </w:rPr>
        <w:t xml:space="preserve">In the event additional </w:t>
      </w:r>
      <w:r w:rsidR="00CF0AD2">
        <w:rPr>
          <w:rFonts w:asciiTheme="majorHAnsi" w:hAnsiTheme="majorHAnsi"/>
          <w:sz w:val="24"/>
        </w:rPr>
        <w:t>information</w:t>
      </w:r>
      <w:r w:rsidR="00465663">
        <w:rPr>
          <w:rFonts w:asciiTheme="majorHAnsi" w:hAnsiTheme="majorHAnsi"/>
          <w:sz w:val="24"/>
        </w:rPr>
        <w:t xml:space="preserve"> is necessary to process </w:t>
      </w:r>
      <w:r w:rsidR="007F5A79">
        <w:rPr>
          <w:rFonts w:asciiTheme="majorHAnsi" w:hAnsiTheme="majorHAnsi"/>
          <w:sz w:val="24"/>
        </w:rPr>
        <w:t>an</w:t>
      </w:r>
      <w:r w:rsidR="00465663">
        <w:rPr>
          <w:rFonts w:asciiTheme="majorHAnsi" w:hAnsiTheme="majorHAnsi"/>
          <w:sz w:val="24"/>
        </w:rPr>
        <w:t xml:space="preserve"> application, additional </w:t>
      </w:r>
      <w:r w:rsidR="00CF0AD2">
        <w:rPr>
          <w:rFonts w:asciiTheme="majorHAnsi" w:hAnsiTheme="majorHAnsi"/>
          <w:sz w:val="24"/>
        </w:rPr>
        <w:t xml:space="preserve">inquiries may </w:t>
      </w:r>
      <w:r w:rsidR="00465663">
        <w:rPr>
          <w:rFonts w:asciiTheme="majorHAnsi" w:hAnsiTheme="majorHAnsi"/>
          <w:sz w:val="24"/>
        </w:rPr>
        <w:t>be sent to</w:t>
      </w:r>
      <w:r w:rsidR="007F5A79">
        <w:rPr>
          <w:rFonts w:asciiTheme="majorHAnsi" w:hAnsiTheme="majorHAnsi"/>
          <w:sz w:val="24"/>
        </w:rPr>
        <w:t xml:space="preserve"> </w:t>
      </w:r>
      <w:r w:rsidR="00CF0AD2">
        <w:rPr>
          <w:rFonts w:asciiTheme="majorHAnsi" w:hAnsiTheme="majorHAnsi"/>
          <w:sz w:val="24"/>
        </w:rPr>
        <w:t>the applicant</w:t>
      </w:r>
      <w:r w:rsidR="00465663">
        <w:rPr>
          <w:rFonts w:asciiTheme="majorHAnsi" w:hAnsiTheme="majorHAnsi"/>
          <w:sz w:val="24"/>
        </w:rPr>
        <w:t xml:space="preserve">. </w:t>
      </w:r>
      <w:r w:rsidR="007F5A79">
        <w:rPr>
          <w:rFonts w:asciiTheme="majorHAnsi" w:hAnsiTheme="majorHAnsi"/>
          <w:sz w:val="24"/>
        </w:rPr>
        <w:t xml:space="preserve">Applicants that receive </w:t>
      </w:r>
      <w:r w:rsidR="00CF0AD2">
        <w:rPr>
          <w:rFonts w:asciiTheme="majorHAnsi" w:hAnsiTheme="majorHAnsi"/>
          <w:sz w:val="24"/>
        </w:rPr>
        <w:t xml:space="preserve">a </w:t>
      </w:r>
      <w:r w:rsidR="005A0872">
        <w:rPr>
          <w:rFonts w:asciiTheme="majorHAnsi" w:hAnsiTheme="majorHAnsi"/>
          <w:sz w:val="24"/>
        </w:rPr>
        <w:t xml:space="preserve">favorable </w:t>
      </w:r>
      <w:r w:rsidR="00CF0AD2">
        <w:rPr>
          <w:rFonts w:asciiTheme="majorHAnsi" w:hAnsiTheme="majorHAnsi"/>
          <w:sz w:val="24"/>
        </w:rPr>
        <w:t xml:space="preserve">due diligence screening </w:t>
      </w:r>
      <w:r w:rsidR="00465663">
        <w:rPr>
          <w:rFonts w:asciiTheme="majorHAnsi" w:hAnsiTheme="majorHAnsi"/>
          <w:sz w:val="24"/>
        </w:rPr>
        <w:t xml:space="preserve">adjudication </w:t>
      </w:r>
      <w:r w:rsidR="00CF0AD2">
        <w:rPr>
          <w:rFonts w:asciiTheme="majorHAnsi" w:hAnsiTheme="majorHAnsi"/>
          <w:sz w:val="24"/>
        </w:rPr>
        <w:t xml:space="preserve">by OUSD(A&amp;S) </w:t>
      </w:r>
      <w:r w:rsidR="00465663">
        <w:rPr>
          <w:rFonts w:asciiTheme="majorHAnsi" w:hAnsiTheme="majorHAnsi"/>
          <w:sz w:val="24"/>
        </w:rPr>
        <w:t xml:space="preserve">will be </w:t>
      </w:r>
      <w:r w:rsidR="00EB7FF2">
        <w:rPr>
          <w:rFonts w:asciiTheme="majorHAnsi" w:hAnsiTheme="majorHAnsi"/>
          <w:sz w:val="24"/>
        </w:rPr>
        <w:t xml:space="preserve">approved </w:t>
      </w:r>
      <w:r w:rsidR="00465663">
        <w:rPr>
          <w:rFonts w:asciiTheme="majorHAnsi" w:hAnsiTheme="majorHAnsi"/>
          <w:sz w:val="24"/>
        </w:rPr>
        <w:t xml:space="preserve">for TCDM </w:t>
      </w:r>
      <w:r w:rsidR="00BB4590">
        <w:rPr>
          <w:rFonts w:asciiTheme="majorHAnsi" w:hAnsiTheme="majorHAnsi"/>
          <w:sz w:val="24"/>
        </w:rPr>
        <w:t>participation.</w:t>
      </w:r>
      <w:r w:rsidR="00EB7FF2">
        <w:rPr>
          <w:rFonts w:asciiTheme="majorHAnsi" w:hAnsiTheme="majorHAnsi"/>
          <w:sz w:val="24"/>
        </w:rPr>
        <w:t xml:space="preserve"> </w:t>
      </w:r>
      <w:r w:rsidR="007F5A79">
        <w:rPr>
          <w:rFonts w:asciiTheme="majorHAnsi" w:hAnsiTheme="majorHAnsi"/>
          <w:sz w:val="24"/>
        </w:rPr>
        <w:t xml:space="preserve">In addition to initial application requirements, participants will be subject to continuous </w:t>
      </w:r>
      <w:r w:rsidR="00D97DA6">
        <w:rPr>
          <w:rFonts w:asciiTheme="majorHAnsi" w:hAnsiTheme="majorHAnsi"/>
          <w:sz w:val="24"/>
        </w:rPr>
        <w:t>reporting</w:t>
      </w:r>
      <w:r w:rsidR="007F5A79">
        <w:rPr>
          <w:rFonts w:asciiTheme="majorHAnsi" w:hAnsiTheme="majorHAnsi"/>
          <w:sz w:val="24"/>
        </w:rPr>
        <w:t xml:space="preserve"> obligations.</w:t>
      </w:r>
    </w:p>
    <w:p w:rsidRPr="007F5A79" w:rsidR="007F5A79" w:rsidP="006E563D" w:rsidRDefault="007F5A79" w14:paraId="509CCAC2" w14:textId="77777777">
      <w:pPr>
        <w:spacing w:after="0" w:line="240" w:lineRule="auto"/>
        <w:rPr>
          <w:rFonts w:asciiTheme="majorHAnsi" w:hAnsiTheme="majorHAnsi"/>
          <w:sz w:val="24"/>
        </w:rPr>
      </w:pPr>
    </w:p>
    <w:p w:rsidRPr="0085688C" w:rsidR="005C7428" w:rsidP="006E563D" w:rsidRDefault="005C7428" w14:paraId="2A2EC5F6"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ED5A59">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7F5A79" w14:paraId="5F6D2D28" w14:textId="1D31B7BA">
      <w:pPr>
        <w:spacing w:after="0" w:line="240" w:lineRule="auto"/>
        <w:rPr>
          <w:rFonts w:asciiTheme="majorHAnsi" w:hAnsiTheme="majorHAnsi"/>
          <w:sz w:val="24"/>
        </w:rPr>
      </w:pPr>
      <w:r>
        <w:rPr>
          <w:rFonts w:asciiTheme="majorHAnsi" w:hAnsiTheme="majorHAnsi"/>
          <w:sz w:val="24"/>
        </w:rPr>
        <w:t xml:space="preserve">All </w:t>
      </w:r>
      <w:r w:rsidRPr="00ED5A59" w:rsidR="00ED5A59">
        <w:rPr>
          <w:rFonts w:asciiTheme="majorHAnsi" w:hAnsiTheme="majorHAnsi"/>
          <w:sz w:val="24"/>
        </w:rPr>
        <w:t>responses will be collected electronically.</w:t>
      </w:r>
    </w:p>
    <w:p w:rsidRPr="00ED5A59" w:rsidR="00ED5A59" w:rsidP="006E563D" w:rsidRDefault="00ED5A59" w14:paraId="7A6A399C" w14:textId="77777777">
      <w:pPr>
        <w:spacing w:after="0" w:line="240" w:lineRule="auto"/>
        <w:rPr>
          <w:rFonts w:asciiTheme="majorHAnsi" w:hAnsiTheme="majorHAnsi"/>
          <w:sz w:val="24"/>
        </w:rPr>
      </w:pPr>
    </w:p>
    <w:p w:rsidR="00C97854" w:rsidP="00C97854" w:rsidRDefault="008635C4" w14:paraId="58310CF5" w14:textId="0A6D9B19">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14B22" w:rsidP="00C97854" w:rsidRDefault="00514B22" w14:paraId="29E3BB57" w14:textId="0D4962D0">
      <w:pPr>
        <w:spacing w:after="0" w:line="240" w:lineRule="auto"/>
        <w:rPr>
          <w:rFonts w:asciiTheme="majorHAnsi" w:hAnsiTheme="majorHAnsi"/>
          <w:sz w:val="24"/>
        </w:rPr>
      </w:pPr>
      <w:r w:rsidRPr="00514B22">
        <w:rPr>
          <w:rFonts w:asciiTheme="majorHAnsi" w:hAnsiTheme="majorHAnsi"/>
          <w:sz w:val="24"/>
        </w:rPr>
        <w:t>The information obtained through this collection is unique and is not already available for use or adaptation from another cleared source.</w:t>
      </w:r>
    </w:p>
    <w:p w:rsidR="00514B22" w:rsidP="00C97854" w:rsidRDefault="00514B22" w14:paraId="53607870" w14:textId="36F94757">
      <w:pPr>
        <w:spacing w:after="0" w:line="240" w:lineRule="auto"/>
        <w:rPr>
          <w:rFonts w:asciiTheme="majorHAnsi" w:hAnsiTheme="majorHAnsi"/>
          <w:sz w:val="24"/>
        </w:rPr>
      </w:pPr>
    </w:p>
    <w:p w:rsidRPr="00200261" w:rsidR="00514B22" w:rsidP="00C97854" w:rsidRDefault="00514B22" w14:paraId="1432A89A" w14:textId="1786B5A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514B22">
        <w:rPr>
          <w:rFonts w:asciiTheme="majorHAnsi" w:hAnsiTheme="majorHAnsi"/>
          <w:sz w:val="24"/>
          <w:u w:val="single"/>
        </w:rPr>
        <w:t>Burden on Small Businesses</w:t>
      </w:r>
    </w:p>
    <w:p w:rsidR="002567F9" w:rsidP="006E563D" w:rsidRDefault="004B68C9" w14:paraId="6CCAF36F" w14:textId="77777777">
      <w:pPr>
        <w:spacing w:after="0" w:line="240" w:lineRule="auto"/>
        <w:rPr>
          <w:rFonts w:asciiTheme="majorHAnsi" w:hAnsiTheme="majorHAnsi"/>
          <w:i/>
          <w:sz w:val="24"/>
        </w:rPr>
      </w:pPr>
      <w:r>
        <w:rPr>
          <w:rFonts w:asciiTheme="majorHAnsi" w:hAnsiTheme="majorHAnsi"/>
          <w:sz w:val="24"/>
        </w:rPr>
        <w:t>The infor</w:t>
      </w:r>
      <w:r w:rsidRPr="00C97854" w:rsidR="002567F9">
        <w:rPr>
          <w:rFonts w:asciiTheme="majorHAnsi" w:hAnsiTheme="majorHAnsi"/>
          <w:sz w:val="24"/>
        </w:rPr>
        <w:t>mation collection does not impose a significant economic impact on a substantial number of small businesses or entities.</w:t>
      </w:r>
      <w:r w:rsidRPr="002567F9" w:rsidR="002567F9">
        <w:rPr>
          <w:rFonts w:asciiTheme="majorHAnsi" w:hAnsiTheme="majorHAnsi"/>
          <w:i/>
          <w:sz w:val="24"/>
        </w:rPr>
        <w:t xml:space="preserve"> </w:t>
      </w:r>
    </w:p>
    <w:p w:rsidR="002567F9" w:rsidP="006E563D" w:rsidRDefault="002567F9" w14:paraId="40E9E0C3" w14:textId="77777777">
      <w:pPr>
        <w:spacing w:after="0" w:line="240" w:lineRule="auto"/>
        <w:rPr>
          <w:rFonts w:asciiTheme="majorHAnsi" w:hAnsiTheme="majorHAnsi"/>
          <w:i/>
          <w:sz w:val="24"/>
        </w:rPr>
      </w:pPr>
    </w:p>
    <w:p w:rsidR="002567F9" w:rsidP="006E563D" w:rsidRDefault="002567F9" w14:paraId="676060FE"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9F70CA">
        <w:rPr>
          <w:rFonts w:asciiTheme="majorHAnsi" w:hAnsiTheme="majorHAnsi"/>
          <w:sz w:val="24"/>
          <w:u w:val="single"/>
        </w:rPr>
        <w:t xml:space="preserve">Less Frequent </w:t>
      </w:r>
      <w:r w:rsidRPr="009F70CA" w:rsidR="0085688C">
        <w:rPr>
          <w:rFonts w:asciiTheme="majorHAnsi" w:hAnsiTheme="majorHAnsi"/>
          <w:sz w:val="24"/>
          <w:u w:val="single"/>
        </w:rPr>
        <w:t>Collection</w:t>
      </w:r>
      <w:r w:rsidR="0085688C">
        <w:rPr>
          <w:rFonts w:asciiTheme="majorHAnsi" w:hAnsiTheme="majorHAnsi"/>
          <w:sz w:val="24"/>
          <w:u w:val="single"/>
        </w:rPr>
        <w:t xml:space="preserve"> </w:t>
      </w:r>
    </w:p>
    <w:p w:rsidRPr="0085688C" w:rsidR="009F70CA" w:rsidP="006E563D" w:rsidRDefault="009F70CA" w14:paraId="7775ED67" w14:textId="77777777">
      <w:pPr>
        <w:spacing w:after="0" w:line="240" w:lineRule="auto"/>
        <w:rPr>
          <w:rFonts w:asciiTheme="majorHAnsi" w:hAnsiTheme="majorHAnsi"/>
          <w:sz w:val="24"/>
        </w:rPr>
      </w:pPr>
      <w:r>
        <w:rPr>
          <w:rFonts w:asciiTheme="majorHAnsi" w:hAnsiTheme="majorHAnsi"/>
          <w:sz w:val="24"/>
        </w:rPr>
        <w:t xml:space="preserve">This information is collected during </w:t>
      </w:r>
      <w:r w:rsidR="00B556A2">
        <w:rPr>
          <w:rFonts w:asciiTheme="majorHAnsi" w:hAnsiTheme="majorHAnsi"/>
          <w:sz w:val="24"/>
        </w:rPr>
        <w:t>initial</w:t>
      </w:r>
      <w:r>
        <w:rPr>
          <w:rFonts w:asciiTheme="majorHAnsi" w:hAnsiTheme="majorHAnsi"/>
          <w:sz w:val="24"/>
        </w:rPr>
        <w:t xml:space="preserve"> application to the program and is updated annually to ensure </w:t>
      </w:r>
      <w:r w:rsidR="00B556A2">
        <w:rPr>
          <w:rFonts w:asciiTheme="majorHAnsi" w:hAnsiTheme="majorHAnsi"/>
          <w:sz w:val="24"/>
        </w:rPr>
        <w:t>participants</w:t>
      </w:r>
      <w:r>
        <w:rPr>
          <w:rFonts w:asciiTheme="majorHAnsi" w:hAnsiTheme="majorHAnsi"/>
          <w:sz w:val="24"/>
        </w:rPr>
        <w:t xml:space="preserve"> remain compliant by disclosing any possible disqualifying </w:t>
      </w:r>
      <w:r w:rsidR="00B556A2">
        <w:rPr>
          <w:rFonts w:asciiTheme="majorHAnsi" w:hAnsiTheme="majorHAnsi"/>
          <w:sz w:val="24"/>
        </w:rPr>
        <w:t>information</w:t>
      </w:r>
      <w:r>
        <w:rPr>
          <w:rFonts w:asciiTheme="majorHAnsi" w:hAnsiTheme="majorHAnsi"/>
          <w:sz w:val="24"/>
        </w:rPr>
        <w:t xml:space="preserve">. </w:t>
      </w:r>
    </w:p>
    <w:p w:rsidR="00F86C35" w:rsidP="006E563D" w:rsidRDefault="00F86C35" w14:paraId="02216F4C" w14:textId="77777777">
      <w:pPr>
        <w:spacing w:after="0" w:line="240" w:lineRule="auto"/>
        <w:rPr>
          <w:rFonts w:asciiTheme="majorHAnsi" w:hAnsiTheme="majorHAnsi"/>
          <w:i/>
          <w:sz w:val="24"/>
        </w:rPr>
      </w:pPr>
    </w:p>
    <w:p w:rsidR="00C97854" w:rsidP="00C97854" w:rsidRDefault="00F86C35" w14:paraId="57B77938" w14:textId="77777777">
      <w:pPr>
        <w:spacing w:after="0" w:line="240" w:lineRule="auto"/>
        <w:rPr>
          <w:rFonts w:asciiTheme="majorHAnsi" w:hAnsiTheme="majorHAnsi"/>
          <w:sz w:val="24"/>
          <w:u w:val="single"/>
        </w:rPr>
      </w:pPr>
      <w:r w:rsidRPr="007F454F">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C97854" w:rsidR="00200261" w:rsidP="00C97854" w:rsidRDefault="00200261" w14:paraId="34B2458B" w14:textId="77777777">
      <w:pPr>
        <w:spacing w:after="0" w:line="240" w:lineRule="auto"/>
        <w:rPr>
          <w:rFonts w:asciiTheme="majorHAnsi" w:hAnsiTheme="majorHAnsi"/>
          <w:i/>
          <w:sz w:val="24"/>
          <w:szCs w:val="24"/>
        </w:rPr>
      </w:pPr>
      <w:r w:rsidRPr="00C97854">
        <w:rPr>
          <w:rFonts w:asciiTheme="majorHAnsi" w:hAnsiTheme="majorHAnsi"/>
          <w:sz w:val="24"/>
          <w:szCs w:val="24"/>
        </w:rPr>
        <w:t>This collection of information does not require collection to be conducted in a manner inconsistent with the guidelines delineated in 5 CFR 1320.5(d)(2).</w:t>
      </w:r>
    </w:p>
    <w:p w:rsidR="00200261" w:rsidP="00200261" w:rsidRDefault="00200261" w14:paraId="3622BB1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D25D16">
        <w:rPr>
          <w:rFonts w:asciiTheme="majorHAnsi" w:hAnsiTheme="majorHAnsi" w:eastAsiaTheme="minorHAnsi" w:cstheme="minorBidi"/>
          <w:szCs w:val="22"/>
          <w:u w:val="single"/>
        </w:rPr>
        <w:t>Consultation and Public Comments</w:t>
      </w:r>
    </w:p>
    <w:p w:rsidR="00514B22" w:rsidP="00200261" w:rsidRDefault="00200261" w14:paraId="1B3DB781" w14:textId="7060997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FC5A66" w:rsidP="00FC5A66" w:rsidRDefault="00FC5A66" w14:paraId="469340C5" w14:textId="1BC1C4D0">
      <w:pPr>
        <w:pStyle w:val="NormalWeb"/>
        <w:spacing w:line="288" w:lineRule="atLeast"/>
        <w:rPr>
          <w:rFonts w:asciiTheme="majorHAnsi" w:hAnsiTheme="majorHAnsi" w:eastAsiaTheme="minorHAnsi" w:cstheme="minorBidi"/>
          <w:szCs w:val="22"/>
        </w:rPr>
      </w:pPr>
      <w:r w:rsidRPr="00FC5A66">
        <w:rPr>
          <w:rFonts w:asciiTheme="majorHAnsi" w:hAnsiTheme="majorHAnsi" w:eastAsiaTheme="minorHAnsi" w:cstheme="minorBidi"/>
          <w:szCs w:val="22"/>
        </w:rPr>
        <w:t xml:space="preserve">A 60-Day Federal Register Notice (FRN) for the collection published on </w:t>
      </w:r>
      <w:r w:rsidR="00F846BC">
        <w:rPr>
          <w:rFonts w:asciiTheme="majorHAnsi" w:hAnsiTheme="majorHAnsi" w:eastAsiaTheme="minorHAnsi" w:cstheme="minorBidi"/>
          <w:szCs w:val="22"/>
        </w:rPr>
        <w:t>Tues</w:t>
      </w:r>
      <w:r>
        <w:rPr>
          <w:rFonts w:asciiTheme="majorHAnsi" w:hAnsiTheme="majorHAnsi" w:eastAsiaTheme="minorHAnsi" w:cstheme="minorBidi"/>
          <w:szCs w:val="22"/>
        </w:rPr>
        <w:t>day, December 1, 2020.  The 60-Day FRN citation is 85 FRN 77187</w:t>
      </w:r>
      <w:r w:rsidRPr="00FC5A66">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comment period will end </w:t>
      </w:r>
      <w:r w:rsidR="00E8379E">
        <w:rPr>
          <w:rFonts w:asciiTheme="majorHAnsi" w:hAnsiTheme="majorHAnsi" w:eastAsiaTheme="minorHAnsi" w:cstheme="minorBidi"/>
          <w:szCs w:val="22"/>
        </w:rPr>
        <w:t>Monday, February 1, 2021</w:t>
      </w:r>
      <w:r>
        <w:rPr>
          <w:rFonts w:asciiTheme="majorHAnsi" w:hAnsiTheme="majorHAnsi" w:eastAsiaTheme="minorHAnsi" w:cstheme="minorBidi"/>
          <w:szCs w:val="22"/>
        </w:rPr>
        <w:t xml:space="preserve">. </w:t>
      </w:r>
      <w:r w:rsidRPr="00FC5A66">
        <w:rPr>
          <w:rFonts w:asciiTheme="majorHAnsi" w:hAnsiTheme="majorHAnsi" w:eastAsiaTheme="minorHAnsi" w:cstheme="minorBidi"/>
          <w:szCs w:val="22"/>
        </w:rPr>
        <w:t xml:space="preserve"> </w:t>
      </w:r>
      <w:bookmarkStart w:name="_GoBack" w:id="0"/>
      <w:bookmarkEnd w:id="0"/>
    </w:p>
    <w:p w:rsidR="00514B22" w:rsidP="00FC5A66" w:rsidRDefault="00FC5A66" w14:paraId="44ECDCB3" w14:textId="6004BEE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As explained </w:t>
      </w:r>
      <w:r w:rsidR="00E8379E">
        <w:rPr>
          <w:rFonts w:asciiTheme="majorHAnsi" w:hAnsiTheme="majorHAnsi" w:eastAsiaTheme="minorHAnsi" w:cstheme="minorBidi"/>
          <w:szCs w:val="22"/>
        </w:rPr>
        <w:t xml:space="preserve">above, OUSD(A&amp;S) is requesting expedited emergency approval as </w:t>
      </w:r>
      <w:r>
        <w:rPr>
          <w:rFonts w:asciiTheme="majorHAnsi" w:hAnsiTheme="majorHAnsi" w:eastAsiaTheme="minorHAnsi" w:cstheme="minorBidi"/>
          <w:szCs w:val="22"/>
        </w:rPr>
        <w:t>comply</w:t>
      </w:r>
      <w:r w:rsidR="00E8379E">
        <w:rPr>
          <w:rFonts w:asciiTheme="majorHAnsi" w:hAnsiTheme="majorHAnsi" w:eastAsiaTheme="minorHAnsi" w:cstheme="minorBidi"/>
          <w:szCs w:val="22"/>
        </w:rPr>
        <w:t>ing</w:t>
      </w:r>
      <w:r>
        <w:rPr>
          <w:rFonts w:asciiTheme="majorHAnsi" w:hAnsiTheme="majorHAnsi" w:eastAsiaTheme="minorHAnsi" w:cstheme="minorBidi"/>
          <w:szCs w:val="22"/>
        </w:rPr>
        <w:t xml:space="preserve"> with normal clearance procedures</w:t>
      </w:r>
      <w:r w:rsidR="00E8379E">
        <w:rPr>
          <w:rFonts w:asciiTheme="majorHAnsi" w:hAnsiTheme="majorHAnsi" w:eastAsiaTheme="minorHAnsi" w:cstheme="minorBidi"/>
          <w:szCs w:val="22"/>
        </w:rPr>
        <w:t xml:space="preserve">, to include the FRN process, </w:t>
      </w:r>
      <w:r w:rsidRPr="00E8379E" w:rsidR="00E8379E">
        <w:rPr>
          <w:rFonts w:asciiTheme="majorHAnsi" w:hAnsiTheme="majorHAnsi" w:eastAsiaTheme="minorHAnsi" w:cstheme="minorBidi"/>
          <w:szCs w:val="22"/>
        </w:rPr>
        <w:t xml:space="preserve">is reasonably likely </w:t>
      </w:r>
      <w:r w:rsidR="00E8379E">
        <w:rPr>
          <w:rFonts w:asciiTheme="majorHAnsi" w:hAnsiTheme="majorHAnsi" w:eastAsiaTheme="minorHAnsi" w:cstheme="minorBidi"/>
          <w:szCs w:val="22"/>
        </w:rPr>
        <w:t xml:space="preserve">to cause public harm. </w:t>
      </w:r>
      <w:r w:rsidRPr="00E8379E" w:rsidR="00E8379E">
        <w:rPr>
          <w:rFonts w:asciiTheme="majorHAnsi" w:hAnsiTheme="majorHAnsi" w:eastAsiaTheme="minorHAnsi" w:cstheme="minorBidi"/>
          <w:szCs w:val="22"/>
        </w:rPr>
        <w:t xml:space="preserve">Delayed processing </w:t>
      </w:r>
      <w:r w:rsidR="00E8379E">
        <w:rPr>
          <w:rFonts w:asciiTheme="majorHAnsi" w:hAnsiTheme="majorHAnsi" w:eastAsiaTheme="minorHAnsi" w:cstheme="minorBidi"/>
          <w:szCs w:val="22"/>
        </w:rPr>
        <w:t>is</w:t>
      </w:r>
      <w:r w:rsidRPr="00E8379E" w:rsidR="00E8379E">
        <w:rPr>
          <w:rFonts w:asciiTheme="majorHAnsi" w:hAnsiTheme="majorHAnsi" w:eastAsiaTheme="minorHAnsi" w:cstheme="minorBidi"/>
          <w:szCs w:val="22"/>
        </w:rPr>
        <w:t xml:space="preserve"> likely</w:t>
      </w:r>
      <w:r w:rsidR="00E8379E">
        <w:rPr>
          <w:rFonts w:asciiTheme="majorHAnsi" w:hAnsiTheme="majorHAnsi" w:eastAsiaTheme="minorHAnsi" w:cstheme="minorBidi"/>
          <w:szCs w:val="22"/>
        </w:rPr>
        <w:t xml:space="preserve"> to</w:t>
      </w:r>
      <w:r w:rsidRPr="00E8379E" w:rsidR="00E8379E">
        <w:rPr>
          <w:rFonts w:asciiTheme="majorHAnsi" w:hAnsiTheme="majorHAnsi" w:eastAsiaTheme="minorHAnsi" w:cstheme="minorBidi"/>
          <w:szCs w:val="22"/>
        </w:rPr>
        <w:t xml:space="preserve"> hinder DoD’s ability to mitigate national</w:t>
      </w:r>
      <w:r w:rsidR="00E8379E">
        <w:rPr>
          <w:rFonts w:asciiTheme="majorHAnsi" w:hAnsiTheme="majorHAnsi" w:eastAsiaTheme="minorHAnsi" w:cstheme="minorBidi"/>
          <w:szCs w:val="22"/>
        </w:rPr>
        <w:t xml:space="preserve"> security and COVID-19 concerns</w:t>
      </w:r>
      <w:r>
        <w:rPr>
          <w:rFonts w:asciiTheme="majorHAnsi" w:hAnsiTheme="majorHAnsi" w:eastAsiaTheme="minorHAnsi" w:cstheme="minorBidi"/>
          <w:szCs w:val="22"/>
        </w:rPr>
        <w:t>.</w:t>
      </w:r>
      <w:r w:rsidR="00E8379E">
        <w:rPr>
          <w:rFonts w:asciiTheme="majorHAnsi" w:hAnsiTheme="majorHAnsi" w:eastAsiaTheme="minorHAnsi" w:cstheme="minorBidi"/>
          <w:szCs w:val="22"/>
        </w:rPr>
        <w:t xml:space="preserve"> The 60</w:t>
      </w:r>
      <w:r w:rsidR="00514B22">
        <w:rPr>
          <w:rFonts w:asciiTheme="majorHAnsi" w:hAnsiTheme="majorHAnsi" w:eastAsiaTheme="minorHAnsi" w:cstheme="minorBidi"/>
          <w:szCs w:val="22"/>
        </w:rPr>
        <w:t>-Day</w:t>
      </w:r>
      <w:r w:rsidR="00E8379E">
        <w:rPr>
          <w:rFonts w:asciiTheme="majorHAnsi" w:hAnsiTheme="majorHAnsi" w:eastAsiaTheme="minorHAnsi" w:cstheme="minorBidi"/>
          <w:szCs w:val="22"/>
        </w:rPr>
        <w:t xml:space="preserve"> FRN was published ahead of the normal clearance process that will be completed before the requested six-month emergency approval ends.</w:t>
      </w:r>
      <w:r w:rsidR="00514B22">
        <w:rPr>
          <w:rFonts w:asciiTheme="majorHAnsi" w:hAnsiTheme="majorHAnsi" w:eastAsiaTheme="minorHAnsi" w:cstheme="minorBidi"/>
          <w:szCs w:val="22"/>
        </w:rPr>
        <w:t xml:space="preserve"> </w:t>
      </w:r>
    </w:p>
    <w:p w:rsidR="00200261" w:rsidP="00200261" w:rsidRDefault="00200261" w14:paraId="38BCCEEA" w14:textId="67BC63E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3E5AC8B7" w14:textId="3DBDF4D4">
      <w:pPr>
        <w:pStyle w:val="NormalWeb"/>
        <w:spacing w:line="288" w:lineRule="atLeast"/>
        <w:rPr>
          <w:rFonts w:asciiTheme="majorHAnsi" w:hAnsiTheme="majorHAnsi"/>
          <w:i/>
        </w:rPr>
      </w:pPr>
      <w:r w:rsidRPr="00C97854">
        <w:rPr>
          <w:rFonts w:asciiTheme="majorHAnsi" w:hAnsiTheme="majorHAnsi" w:eastAsiaTheme="minorHAnsi" w:cstheme="minorBidi"/>
          <w:szCs w:val="22"/>
        </w:rPr>
        <w:t>No additional consultation was conducted for this submission.</w:t>
      </w:r>
      <w:r>
        <w:rPr>
          <w:rFonts w:asciiTheme="majorHAnsi" w:hAnsiTheme="majorHAnsi" w:eastAsiaTheme="minorHAnsi" w:cstheme="minorBidi"/>
          <w:szCs w:val="22"/>
        </w:rPr>
        <w:t xml:space="preserve"> </w:t>
      </w:r>
    </w:p>
    <w:p w:rsidRPr="006A13FA" w:rsidR="00C97854" w:rsidP="00C97854" w:rsidRDefault="006A13FA" w14:paraId="3BD2E8ED"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253E9AC6" w14:textId="77777777">
      <w:pPr>
        <w:spacing w:after="0" w:line="240" w:lineRule="auto"/>
        <w:rPr>
          <w:rFonts w:asciiTheme="majorHAnsi" w:hAnsiTheme="majorHAnsi"/>
          <w:i/>
          <w:sz w:val="24"/>
        </w:rPr>
      </w:pPr>
      <w:r w:rsidRPr="00C9785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DC46D20" w14:textId="77777777">
      <w:pPr>
        <w:spacing w:after="0" w:line="240" w:lineRule="auto"/>
        <w:rPr>
          <w:rFonts w:asciiTheme="majorHAnsi" w:hAnsiTheme="majorHAnsi"/>
          <w:i/>
          <w:sz w:val="24"/>
        </w:rPr>
      </w:pPr>
    </w:p>
    <w:p w:rsidR="009F70CA" w:rsidP="009F70CA" w:rsidRDefault="00F97482" w14:paraId="239B649B" w14:textId="27098E9D">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D25D16">
        <w:rPr>
          <w:rFonts w:asciiTheme="majorHAnsi" w:hAnsiTheme="majorHAnsi"/>
          <w:sz w:val="24"/>
          <w:u w:val="single"/>
        </w:rPr>
        <w:t>Confidentiality</w:t>
      </w:r>
      <w:r w:rsidRPr="0097496F" w:rsidR="0085688C">
        <w:rPr>
          <w:rFonts w:asciiTheme="majorHAnsi" w:hAnsiTheme="majorHAnsi"/>
          <w:sz w:val="24"/>
          <w:u w:val="single"/>
        </w:rPr>
        <w:t xml:space="preserve"> </w:t>
      </w:r>
    </w:p>
    <w:p w:rsidRPr="00A62905" w:rsidR="00BE7738" w:rsidP="009F70CA" w:rsidRDefault="00BE7738" w14:paraId="34B0E81D" w14:textId="0D28039A">
      <w:pPr>
        <w:spacing w:after="0" w:line="240" w:lineRule="auto"/>
        <w:rPr>
          <w:rFonts w:asciiTheme="majorHAnsi" w:hAnsiTheme="majorHAnsi"/>
          <w:sz w:val="24"/>
        </w:rPr>
      </w:pPr>
      <w:r w:rsidRPr="00A62905">
        <w:rPr>
          <w:rFonts w:asciiTheme="majorHAnsi" w:hAnsiTheme="majorHAnsi"/>
          <w:sz w:val="24"/>
        </w:rPr>
        <w:t>A Privacy Act Statement is not required for this collection because we are not requesting individuals to furnish personal information for a system of records.</w:t>
      </w:r>
    </w:p>
    <w:p w:rsidRPr="0097496F" w:rsidR="00BE7738" w:rsidP="009F70CA" w:rsidRDefault="00BE7738" w14:paraId="531ED79A" w14:textId="77777777">
      <w:pPr>
        <w:spacing w:after="0" w:line="240" w:lineRule="auto"/>
        <w:rPr>
          <w:rFonts w:asciiTheme="majorHAnsi" w:hAnsiTheme="majorHAnsi"/>
          <w:sz w:val="24"/>
          <w:u w:val="single"/>
        </w:rPr>
      </w:pPr>
    </w:p>
    <w:p w:rsidR="00BE7738" w:rsidP="009F70CA" w:rsidRDefault="00BE7738" w14:paraId="46090D9A" w14:textId="77777777">
      <w:pPr>
        <w:spacing w:after="0" w:line="240" w:lineRule="auto"/>
        <w:rPr>
          <w:rFonts w:asciiTheme="majorHAnsi" w:hAnsiTheme="majorHAnsi"/>
          <w:sz w:val="24"/>
        </w:rPr>
      </w:pPr>
      <w:r w:rsidRPr="00BE7738">
        <w:rPr>
          <w:rFonts w:asciiTheme="majorHAnsi" w:hAnsiTheme="majorHAnsi"/>
          <w:sz w:val="24"/>
        </w:rPr>
        <w:t xml:space="preserve">A System of Record Notice (SORN) is not required for this collection because records are not retrievable by PII. </w:t>
      </w:r>
    </w:p>
    <w:p w:rsidR="00BE7738" w:rsidP="009F70CA" w:rsidRDefault="00BE7738" w14:paraId="56EF5895" w14:textId="77777777">
      <w:pPr>
        <w:spacing w:after="0" w:line="240" w:lineRule="auto"/>
        <w:rPr>
          <w:rFonts w:asciiTheme="majorHAnsi" w:hAnsiTheme="majorHAnsi"/>
          <w:sz w:val="24"/>
        </w:rPr>
      </w:pPr>
    </w:p>
    <w:p w:rsidRPr="00FA1FA3" w:rsidR="005D5C81" w:rsidP="009F70CA" w:rsidRDefault="005D5C81" w14:paraId="6FD2E321" w14:textId="26E0605D">
      <w:pPr>
        <w:spacing w:after="0" w:line="240" w:lineRule="auto"/>
        <w:rPr>
          <w:rFonts w:asciiTheme="majorHAnsi" w:hAnsiTheme="majorHAnsi"/>
          <w:sz w:val="24"/>
          <w:u w:val="single"/>
        </w:rPr>
      </w:pPr>
      <w:r w:rsidRPr="00FA1FA3">
        <w:rPr>
          <w:rFonts w:asciiTheme="majorHAnsi" w:hAnsiTheme="majorHAnsi"/>
          <w:sz w:val="24"/>
        </w:rPr>
        <w:t xml:space="preserve">A draft copy of the PIA, </w:t>
      </w:r>
      <w:r w:rsidRPr="006641CC" w:rsidR="006641CC">
        <w:rPr>
          <w:rFonts w:asciiTheme="majorHAnsi" w:hAnsiTheme="majorHAnsi"/>
          <w:sz w:val="24"/>
        </w:rPr>
        <w:t>Trusted Capital Digital Marketplace (TCDM)</w:t>
      </w:r>
      <w:r w:rsidRPr="00FA1FA3">
        <w:rPr>
          <w:rFonts w:asciiTheme="majorHAnsi" w:hAnsiTheme="majorHAnsi"/>
          <w:sz w:val="24"/>
        </w:rPr>
        <w:t xml:space="preserve">, has been provided with this package for OMB’s review. </w:t>
      </w:r>
      <w:r w:rsidR="006641CC">
        <w:rPr>
          <w:rFonts w:asciiTheme="majorHAnsi" w:hAnsiTheme="majorHAnsi"/>
          <w:sz w:val="24"/>
        </w:rPr>
        <w:t>The PIA is in the process of b</w:t>
      </w:r>
      <w:r w:rsidR="00D745CD">
        <w:rPr>
          <w:rFonts w:asciiTheme="majorHAnsi" w:hAnsiTheme="majorHAnsi"/>
          <w:sz w:val="24"/>
        </w:rPr>
        <w:t>eing finalized.</w:t>
      </w:r>
    </w:p>
    <w:p w:rsidRPr="007F5A79" w:rsidR="00996894" w:rsidP="005D5C81" w:rsidRDefault="00996894" w14:paraId="086065AC" w14:textId="77777777">
      <w:pPr>
        <w:spacing w:after="0" w:line="240" w:lineRule="auto"/>
        <w:ind w:left="720"/>
        <w:rPr>
          <w:rFonts w:asciiTheme="majorHAnsi" w:hAnsiTheme="majorHAnsi"/>
          <w:sz w:val="24"/>
          <w:highlight w:val="yellow"/>
        </w:rPr>
      </w:pPr>
    </w:p>
    <w:p w:rsidRPr="00FA1FA3" w:rsidR="00B52F4E" w:rsidP="00996894" w:rsidRDefault="00D745CD" w14:paraId="7529348C" w14:textId="3F45F3B1">
      <w:pPr>
        <w:spacing w:after="0" w:line="240" w:lineRule="auto"/>
        <w:rPr>
          <w:rFonts w:asciiTheme="majorHAnsi" w:hAnsiTheme="majorHAnsi"/>
          <w:sz w:val="24"/>
        </w:rPr>
      </w:pPr>
      <w:r>
        <w:rPr>
          <w:rFonts w:asciiTheme="majorHAnsi" w:hAnsiTheme="majorHAnsi"/>
          <w:sz w:val="24"/>
        </w:rPr>
        <w:t>The Records Retention and Disposition Schedule is pending NARA approval of an SF-115 Request for Records Disposition Authority.</w:t>
      </w:r>
    </w:p>
    <w:p w:rsidR="00996894" w:rsidP="00996894" w:rsidRDefault="00996894" w14:paraId="48D1E07C" w14:textId="77777777">
      <w:pPr>
        <w:spacing w:after="0" w:line="240" w:lineRule="auto"/>
        <w:rPr>
          <w:rFonts w:asciiTheme="majorHAnsi" w:hAnsiTheme="majorHAnsi"/>
          <w:i/>
          <w:sz w:val="24"/>
        </w:rPr>
      </w:pPr>
    </w:p>
    <w:p w:rsidR="00996894" w:rsidP="00996894" w:rsidRDefault="00337EF1" w14:paraId="369DD82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AF30F4">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rsidRDefault="007F5A79" w14:paraId="6DF1DE8B" w14:textId="14F081CF">
      <w:pPr>
        <w:spacing w:after="0" w:line="240" w:lineRule="auto"/>
        <w:rPr>
          <w:rFonts w:asciiTheme="majorHAnsi" w:hAnsiTheme="majorHAnsi"/>
          <w:sz w:val="24"/>
        </w:rPr>
      </w:pPr>
      <w:r>
        <w:rPr>
          <w:rFonts w:asciiTheme="majorHAnsi" w:hAnsiTheme="majorHAnsi"/>
          <w:sz w:val="24"/>
        </w:rPr>
        <w:t>Business proprietary, b</w:t>
      </w:r>
      <w:r w:rsidRPr="009937D8" w:rsidR="009937D8">
        <w:rPr>
          <w:rFonts w:asciiTheme="majorHAnsi" w:hAnsiTheme="majorHAnsi"/>
          <w:sz w:val="24"/>
        </w:rPr>
        <w:t>anking</w:t>
      </w:r>
      <w:r>
        <w:rPr>
          <w:rFonts w:asciiTheme="majorHAnsi" w:hAnsiTheme="majorHAnsi"/>
          <w:sz w:val="24"/>
        </w:rPr>
        <w:t xml:space="preserve">, taxation, </w:t>
      </w:r>
      <w:r w:rsidRPr="009937D8" w:rsidR="009937D8">
        <w:rPr>
          <w:rFonts w:asciiTheme="majorHAnsi" w:hAnsiTheme="majorHAnsi"/>
          <w:sz w:val="24"/>
        </w:rPr>
        <w:t>and financial</w:t>
      </w:r>
      <w:r w:rsidR="009937D8">
        <w:rPr>
          <w:rFonts w:asciiTheme="majorHAnsi" w:hAnsiTheme="majorHAnsi"/>
          <w:i/>
          <w:sz w:val="24"/>
        </w:rPr>
        <w:t xml:space="preserve"> </w:t>
      </w:r>
      <w:r w:rsidR="009937D8">
        <w:rPr>
          <w:rFonts w:asciiTheme="majorHAnsi" w:hAnsiTheme="majorHAnsi"/>
          <w:sz w:val="24"/>
        </w:rPr>
        <w:t xml:space="preserve">questions are being asked to </w:t>
      </w:r>
      <w:r w:rsidR="00D50245">
        <w:rPr>
          <w:rFonts w:asciiTheme="majorHAnsi" w:hAnsiTheme="majorHAnsi"/>
          <w:sz w:val="24"/>
        </w:rPr>
        <w:t>assess</w:t>
      </w:r>
      <w:r w:rsidR="009937D8">
        <w:rPr>
          <w:rFonts w:asciiTheme="majorHAnsi" w:hAnsiTheme="majorHAnsi"/>
          <w:sz w:val="24"/>
        </w:rPr>
        <w:t xml:space="preserve"> </w:t>
      </w:r>
      <w:r>
        <w:rPr>
          <w:rFonts w:asciiTheme="majorHAnsi" w:hAnsiTheme="majorHAnsi"/>
          <w:sz w:val="24"/>
        </w:rPr>
        <w:t>capabilities of applicants and screen for adversarial foreign ownership, influence, or control as well as other national security risks</w:t>
      </w:r>
      <w:r w:rsidR="00BD746F">
        <w:rPr>
          <w:rFonts w:asciiTheme="majorHAnsi" w:hAnsiTheme="majorHAnsi"/>
          <w:sz w:val="24"/>
        </w:rPr>
        <w:t>.</w:t>
      </w:r>
    </w:p>
    <w:p w:rsidR="007F5A79" w:rsidP="00337EF1" w:rsidRDefault="007F5A79" w14:paraId="30400F77" w14:textId="77777777">
      <w:pPr>
        <w:spacing w:after="0" w:line="240" w:lineRule="auto"/>
        <w:rPr>
          <w:rFonts w:asciiTheme="majorHAnsi" w:hAnsiTheme="majorHAnsi"/>
          <w:sz w:val="24"/>
        </w:rPr>
      </w:pPr>
    </w:p>
    <w:p w:rsidR="00D21AA6" w:rsidP="00337EF1" w:rsidRDefault="00D21AA6" w14:paraId="72F3772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BF26F1" w:rsidR="00A76F7E">
        <w:rPr>
          <w:rFonts w:asciiTheme="majorHAnsi" w:hAnsiTheme="majorHAnsi"/>
          <w:sz w:val="24"/>
          <w:u w:val="single"/>
        </w:rPr>
        <w:t>Respondent Burden and its Labor Costs</w:t>
      </w:r>
    </w:p>
    <w:p w:rsidR="00B55E9F" w:rsidP="00B55E9F" w:rsidRDefault="00235D71" w14:paraId="012FDCC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43599A2" w14:textId="77777777">
      <w:pPr>
        <w:spacing w:after="0" w:line="240" w:lineRule="auto"/>
        <w:rPr>
          <w:rFonts w:asciiTheme="majorHAnsi" w:hAnsiTheme="majorHAnsi"/>
          <w:i/>
          <w:sz w:val="24"/>
        </w:rPr>
      </w:pPr>
    </w:p>
    <w:p w:rsidR="00235D71" w:rsidP="00235D71" w:rsidRDefault="00235D71" w14:paraId="37539F70" w14:textId="48FD7A3E">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A76F7E" w14:paraId="1E186AE3" w14:textId="319A250C">
      <w:pPr>
        <w:pStyle w:val="ListParagraph"/>
        <w:spacing w:after="0" w:line="240" w:lineRule="auto"/>
        <w:rPr>
          <w:rFonts w:asciiTheme="majorHAnsi" w:hAnsiTheme="majorHAnsi"/>
          <w:sz w:val="24"/>
        </w:rPr>
      </w:pPr>
      <w:r w:rsidRPr="00235D71">
        <w:rPr>
          <w:rFonts w:asciiTheme="majorHAnsi" w:hAnsiTheme="majorHAnsi"/>
          <w:sz w:val="24"/>
        </w:rPr>
        <w:t>[</w:t>
      </w:r>
      <w:r w:rsidR="00E14976">
        <w:rPr>
          <w:rFonts w:asciiTheme="majorHAnsi" w:hAnsiTheme="majorHAnsi"/>
          <w:sz w:val="24"/>
        </w:rPr>
        <w:t>Trusted Capital Application</w:t>
      </w:r>
      <w:r w:rsidRPr="00235D71">
        <w:rPr>
          <w:rFonts w:asciiTheme="majorHAnsi" w:hAnsiTheme="majorHAnsi"/>
          <w:sz w:val="24"/>
        </w:rPr>
        <w:t xml:space="preserve">] </w:t>
      </w:r>
    </w:p>
    <w:p w:rsidR="00235D71" w:rsidP="00235D71" w:rsidRDefault="00520B36" w14:paraId="29C9448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14976">
        <w:rPr>
          <w:rFonts w:asciiTheme="majorHAnsi" w:hAnsiTheme="majorHAnsi"/>
          <w:sz w:val="24"/>
        </w:rPr>
        <w:t>300</w:t>
      </w:r>
    </w:p>
    <w:p w:rsidRPr="00E14976" w:rsidR="00235D71" w:rsidP="00235D71" w:rsidRDefault="00A76F7E" w14:paraId="2955F1F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w:t>
      </w:r>
      <w:r w:rsidRPr="00E14976" w:rsidR="00520B36">
        <w:rPr>
          <w:rFonts w:asciiTheme="majorHAnsi" w:hAnsiTheme="majorHAnsi"/>
          <w:sz w:val="24"/>
        </w:rPr>
        <w:t xml:space="preserve">Respondent: </w:t>
      </w:r>
      <w:r w:rsidRPr="00E14976" w:rsidR="00E14976">
        <w:rPr>
          <w:rFonts w:asciiTheme="majorHAnsi" w:hAnsiTheme="majorHAnsi"/>
          <w:sz w:val="24"/>
        </w:rPr>
        <w:t>1</w:t>
      </w:r>
    </w:p>
    <w:p w:rsidRPr="00E14976" w:rsidR="00235D71" w:rsidP="00235D71" w:rsidRDefault="00A76F7E" w14:paraId="61314AAE" w14:textId="77777777">
      <w:pPr>
        <w:pStyle w:val="ListParagraph"/>
        <w:numPr>
          <w:ilvl w:val="0"/>
          <w:numId w:val="15"/>
        </w:numPr>
        <w:spacing w:after="0" w:line="240" w:lineRule="auto"/>
        <w:rPr>
          <w:rFonts w:asciiTheme="majorHAnsi" w:hAnsiTheme="majorHAnsi"/>
          <w:sz w:val="24"/>
        </w:rPr>
      </w:pPr>
      <w:r w:rsidRPr="00E14976">
        <w:rPr>
          <w:rFonts w:asciiTheme="majorHAnsi" w:hAnsiTheme="majorHAnsi"/>
          <w:sz w:val="24"/>
        </w:rPr>
        <w:t>Num</w:t>
      </w:r>
      <w:r w:rsidRPr="00E14976" w:rsidR="00520B36">
        <w:rPr>
          <w:rFonts w:asciiTheme="majorHAnsi" w:hAnsiTheme="majorHAnsi"/>
          <w:sz w:val="24"/>
        </w:rPr>
        <w:t xml:space="preserve">ber of Total Annual Responses: </w:t>
      </w:r>
      <w:r w:rsidRPr="00E14976" w:rsidR="00E14976">
        <w:rPr>
          <w:rFonts w:asciiTheme="majorHAnsi" w:hAnsiTheme="majorHAnsi"/>
          <w:sz w:val="24"/>
        </w:rPr>
        <w:t>300</w:t>
      </w:r>
    </w:p>
    <w:p w:rsidR="00502FF3" w:rsidP="00235D71" w:rsidRDefault="00E14976" w14:paraId="3B0AD1E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1.5 hours</w:t>
      </w:r>
    </w:p>
    <w:p w:rsidR="00A76F7E" w:rsidP="00235D71" w:rsidRDefault="00E14976" w14:paraId="2923327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450 </w:t>
      </w:r>
      <w:r w:rsidR="00A77157">
        <w:rPr>
          <w:rFonts w:asciiTheme="majorHAnsi" w:hAnsiTheme="majorHAnsi"/>
          <w:sz w:val="24"/>
        </w:rPr>
        <w:t xml:space="preserve">hours </w:t>
      </w:r>
    </w:p>
    <w:p w:rsidR="00B55E9F" w:rsidP="00B55E9F" w:rsidRDefault="00B55E9F" w14:paraId="46546EED" w14:textId="77777777">
      <w:pPr>
        <w:pStyle w:val="ListParagraph"/>
        <w:spacing w:after="0" w:line="240" w:lineRule="auto"/>
        <w:ind w:left="1440"/>
        <w:rPr>
          <w:rFonts w:asciiTheme="majorHAnsi" w:hAnsiTheme="majorHAnsi"/>
          <w:sz w:val="24"/>
        </w:rPr>
      </w:pPr>
    </w:p>
    <w:p w:rsidR="00235D71" w:rsidP="00235D71" w:rsidRDefault="00235D71" w14:paraId="3030568F" w14:textId="3612C2BF">
      <w:pPr>
        <w:pStyle w:val="ListParagraph"/>
        <w:numPr>
          <w:ilvl w:val="0"/>
          <w:numId w:val="14"/>
        </w:numPr>
        <w:spacing w:after="0" w:line="240" w:lineRule="auto"/>
        <w:rPr>
          <w:rFonts w:asciiTheme="majorHAnsi" w:hAnsiTheme="majorHAnsi"/>
          <w:sz w:val="24"/>
        </w:rPr>
      </w:pPr>
      <w:r>
        <w:rPr>
          <w:rFonts w:asciiTheme="majorHAnsi" w:hAnsiTheme="majorHAnsi"/>
          <w:sz w:val="24"/>
        </w:rPr>
        <w:lastRenderedPageBreak/>
        <w:t xml:space="preserve">Total Submission Burden </w:t>
      </w:r>
    </w:p>
    <w:p w:rsidR="00235D71" w:rsidP="00235D71" w:rsidRDefault="00235D71" w14:paraId="49758B55"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E14976">
        <w:rPr>
          <w:rFonts w:asciiTheme="majorHAnsi" w:hAnsiTheme="majorHAnsi"/>
          <w:sz w:val="24"/>
        </w:rPr>
        <w:t>300</w:t>
      </w:r>
    </w:p>
    <w:p w:rsidR="00235D71" w:rsidP="00235D71" w:rsidRDefault="00235D71" w14:paraId="3D6F1E7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w:t>
      </w:r>
      <w:r w:rsidR="00E14976">
        <w:rPr>
          <w:rFonts w:asciiTheme="majorHAnsi" w:hAnsiTheme="majorHAnsi"/>
          <w:sz w:val="24"/>
        </w:rPr>
        <w:t>otal Number of Annual Responses: 300</w:t>
      </w:r>
    </w:p>
    <w:p w:rsidRPr="00235D71" w:rsidR="00A77157" w:rsidP="00337EF1" w:rsidRDefault="00235D71" w14:paraId="6AF1566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E14976">
        <w:rPr>
          <w:rFonts w:asciiTheme="majorHAnsi" w:hAnsiTheme="majorHAnsi"/>
          <w:sz w:val="24"/>
        </w:rPr>
        <w:t>450</w:t>
      </w:r>
      <w:r>
        <w:rPr>
          <w:rFonts w:asciiTheme="majorHAnsi" w:hAnsiTheme="majorHAnsi"/>
          <w:sz w:val="24"/>
        </w:rPr>
        <w:t xml:space="preserve"> hours</w:t>
      </w:r>
    </w:p>
    <w:p w:rsidR="00520B36" w:rsidP="00337EF1" w:rsidRDefault="00520B36" w14:paraId="478BD78D" w14:textId="77777777">
      <w:pPr>
        <w:spacing w:after="0" w:line="240" w:lineRule="auto"/>
        <w:rPr>
          <w:rFonts w:asciiTheme="majorHAnsi" w:hAnsiTheme="majorHAnsi"/>
          <w:sz w:val="24"/>
        </w:rPr>
      </w:pPr>
    </w:p>
    <w:p w:rsidR="00105F45" w:rsidP="00337EF1" w:rsidRDefault="00235D71" w14:paraId="5AD91011" w14:textId="71D12309">
      <w:pPr>
        <w:spacing w:after="0" w:line="240" w:lineRule="auto"/>
        <w:rPr>
          <w:rFonts w:asciiTheme="majorHAnsi" w:hAnsiTheme="majorHAnsi"/>
          <w:sz w:val="24"/>
        </w:rPr>
      </w:pPr>
      <w:r>
        <w:rPr>
          <w:rFonts w:asciiTheme="majorHAnsi" w:hAnsiTheme="majorHAnsi"/>
          <w:sz w:val="24"/>
        </w:rPr>
        <w:t>Part B: LABOR COST OF RESPONDENT BURDEN</w:t>
      </w:r>
    </w:p>
    <w:p w:rsidR="0000286E" w:rsidP="00337EF1" w:rsidRDefault="0000286E" w14:paraId="7F3A0946" w14:textId="77777777">
      <w:pPr>
        <w:spacing w:after="0" w:line="240" w:lineRule="auto"/>
        <w:rPr>
          <w:rFonts w:asciiTheme="majorHAnsi" w:hAnsiTheme="majorHAnsi"/>
          <w:sz w:val="24"/>
        </w:rPr>
      </w:pPr>
    </w:p>
    <w:p w:rsidR="00235D71" w:rsidP="00235D71" w:rsidRDefault="00235D71" w14:paraId="5374394D" w14:textId="3867DD1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235D71" w14:paraId="2CC72374"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0B5695">
        <w:rPr>
          <w:rFonts w:asciiTheme="majorHAnsi" w:hAnsiTheme="majorHAnsi"/>
          <w:sz w:val="24"/>
        </w:rPr>
        <w:t>Trusted Capital Application</w:t>
      </w:r>
      <w:r w:rsidRPr="00235D71">
        <w:rPr>
          <w:rFonts w:asciiTheme="majorHAnsi" w:hAnsiTheme="majorHAnsi"/>
          <w:sz w:val="24"/>
        </w:rPr>
        <w:t xml:space="preserve">] </w:t>
      </w:r>
    </w:p>
    <w:p w:rsidR="00235D71" w:rsidP="00235D71" w:rsidRDefault="00235D71" w14:paraId="6EA7E2D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E14976">
        <w:rPr>
          <w:rFonts w:asciiTheme="majorHAnsi" w:hAnsiTheme="majorHAnsi"/>
          <w:sz w:val="24"/>
        </w:rPr>
        <w:t>300</w:t>
      </w:r>
    </w:p>
    <w:p w:rsidR="00761B19" w:rsidP="00761B19" w:rsidRDefault="000B5695" w14:paraId="39B754A9" w14:textId="77777777">
      <w:pPr>
        <w:pStyle w:val="ListParagraph"/>
        <w:numPr>
          <w:ilvl w:val="0"/>
          <w:numId w:val="17"/>
        </w:numPr>
        <w:spacing w:after="0" w:line="240" w:lineRule="auto"/>
        <w:rPr>
          <w:rFonts w:asciiTheme="majorHAnsi" w:hAnsiTheme="majorHAnsi"/>
          <w:sz w:val="24"/>
        </w:rPr>
      </w:pPr>
      <w:r w:rsidRPr="00761B19">
        <w:rPr>
          <w:rFonts w:asciiTheme="majorHAnsi" w:hAnsiTheme="majorHAnsi"/>
          <w:sz w:val="24"/>
        </w:rPr>
        <w:t>Response Time</w:t>
      </w:r>
      <w:r w:rsidRPr="00761B19" w:rsidR="00235D71">
        <w:rPr>
          <w:rFonts w:asciiTheme="majorHAnsi" w:hAnsiTheme="majorHAnsi"/>
          <w:sz w:val="24"/>
        </w:rPr>
        <w:t xml:space="preserve">: </w:t>
      </w:r>
      <w:r w:rsidRPr="00761B19" w:rsidR="00761B19">
        <w:rPr>
          <w:rFonts w:asciiTheme="majorHAnsi" w:hAnsiTheme="majorHAnsi"/>
          <w:sz w:val="24"/>
        </w:rPr>
        <w:t>1.</w:t>
      </w:r>
      <w:r w:rsidR="00761B19">
        <w:rPr>
          <w:rFonts w:asciiTheme="majorHAnsi" w:hAnsiTheme="majorHAnsi"/>
          <w:sz w:val="24"/>
        </w:rPr>
        <w:t>5 hours</w:t>
      </w:r>
    </w:p>
    <w:p w:rsidRPr="00761B19" w:rsidR="00235D71" w:rsidP="00761B19" w:rsidRDefault="00235D71" w14:paraId="4937B488" w14:textId="3B662B1A">
      <w:pPr>
        <w:pStyle w:val="ListParagraph"/>
        <w:numPr>
          <w:ilvl w:val="0"/>
          <w:numId w:val="17"/>
        </w:numPr>
        <w:spacing w:after="0" w:line="240" w:lineRule="auto"/>
        <w:rPr>
          <w:rFonts w:asciiTheme="majorHAnsi" w:hAnsiTheme="majorHAnsi"/>
          <w:sz w:val="24"/>
        </w:rPr>
      </w:pPr>
      <w:r w:rsidRPr="00761B19">
        <w:rPr>
          <w:rFonts w:asciiTheme="majorHAnsi" w:hAnsiTheme="majorHAnsi"/>
          <w:sz w:val="24"/>
        </w:rPr>
        <w:t xml:space="preserve">Respondent Hourly Wage: </w:t>
      </w:r>
      <w:r w:rsidRPr="00EE1C2F">
        <w:rPr>
          <w:rFonts w:asciiTheme="majorHAnsi" w:hAnsiTheme="majorHAnsi"/>
          <w:sz w:val="24"/>
        </w:rPr>
        <w:t>$</w:t>
      </w:r>
      <w:r w:rsidR="00BB4590">
        <w:rPr>
          <w:rFonts w:asciiTheme="majorHAnsi" w:hAnsiTheme="majorHAnsi"/>
          <w:sz w:val="24"/>
        </w:rPr>
        <w:t>50.33</w:t>
      </w:r>
    </w:p>
    <w:p w:rsidR="00235D71" w:rsidP="00235D71" w:rsidRDefault="00235D71" w14:paraId="791596C6" w14:textId="0B64060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E1C2F">
        <w:rPr>
          <w:rFonts w:asciiTheme="majorHAnsi" w:hAnsiTheme="majorHAnsi"/>
          <w:sz w:val="24"/>
        </w:rPr>
        <w:t>$</w:t>
      </w:r>
      <w:r w:rsidR="00BB4590">
        <w:rPr>
          <w:rFonts w:asciiTheme="majorHAnsi" w:hAnsiTheme="majorHAnsi"/>
          <w:sz w:val="24"/>
        </w:rPr>
        <w:t>75.50</w:t>
      </w:r>
    </w:p>
    <w:p w:rsidR="00235D71" w:rsidP="00235D71" w:rsidRDefault="00235D71" w14:paraId="4C46342C" w14:textId="75438C2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EE1C2F">
        <w:rPr>
          <w:rFonts w:asciiTheme="majorHAnsi" w:hAnsiTheme="majorHAnsi"/>
          <w:sz w:val="24"/>
        </w:rPr>
        <w:t>$</w:t>
      </w:r>
      <w:r w:rsidR="0000286E">
        <w:rPr>
          <w:rFonts w:asciiTheme="majorHAnsi" w:hAnsiTheme="majorHAnsi"/>
          <w:sz w:val="24"/>
        </w:rPr>
        <w:t>22,648.50</w:t>
      </w:r>
    </w:p>
    <w:p w:rsidR="00B55E9F" w:rsidP="00B55E9F" w:rsidRDefault="00B55E9F" w14:paraId="3C4C5AC5" w14:textId="77777777">
      <w:pPr>
        <w:pStyle w:val="ListParagraph"/>
        <w:spacing w:after="0" w:line="240" w:lineRule="auto"/>
        <w:ind w:left="1440"/>
        <w:rPr>
          <w:rFonts w:asciiTheme="majorHAnsi" w:hAnsiTheme="majorHAnsi"/>
          <w:sz w:val="24"/>
        </w:rPr>
      </w:pPr>
    </w:p>
    <w:p w:rsidR="00235D71" w:rsidP="00235D71" w:rsidRDefault="00235D71" w14:paraId="584308C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EB5035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B5695">
        <w:rPr>
          <w:rFonts w:asciiTheme="majorHAnsi" w:hAnsiTheme="majorHAnsi"/>
          <w:sz w:val="24"/>
        </w:rPr>
        <w:t>300</w:t>
      </w:r>
    </w:p>
    <w:p w:rsidR="00235D71" w:rsidP="00235D71" w:rsidRDefault="00235D71" w14:paraId="214D6E1B" w14:textId="3B651AF3">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A72453" w:rsidR="00BB4590">
        <w:rPr>
          <w:rFonts w:asciiTheme="majorHAnsi" w:hAnsiTheme="majorHAnsi"/>
          <w:sz w:val="24"/>
        </w:rPr>
        <w:t>$</w:t>
      </w:r>
      <w:r w:rsidR="0000286E">
        <w:rPr>
          <w:rFonts w:asciiTheme="majorHAnsi" w:hAnsiTheme="majorHAnsi"/>
          <w:sz w:val="24"/>
        </w:rPr>
        <w:t>22,649</w:t>
      </w:r>
    </w:p>
    <w:p w:rsidR="00520B36" w:rsidP="006F2DF8" w:rsidRDefault="00520B36" w14:paraId="3285CB50" w14:textId="77777777">
      <w:pPr>
        <w:spacing w:after="0" w:line="240" w:lineRule="auto"/>
        <w:rPr>
          <w:rFonts w:asciiTheme="majorHAnsi" w:hAnsiTheme="majorHAnsi"/>
          <w:sz w:val="24"/>
        </w:rPr>
      </w:pPr>
    </w:p>
    <w:p w:rsidR="00520B36" w:rsidP="0019309D" w:rsidRDefault="0019309D" w14:paraId="51D59D2B" w14:textId="3ABEA0FA">
      <w:pPr>
        <w:spacing w:after="0" w:line="240" w:lineRule="auto"/>
        <w:rPr>
          <w:rFonts w:asciiTheme="majorHAnsi" w:hAnsiTheme="majorHAnsi"/>
          <w:sz w:val="24"/>
        </w:rPr>
      </w:pPr>
      <w:r w:rsidRPr="00A62905">
        <w:rPr>
          <w:rFonts w:asciiTheme="majorHAnsi" w:hAnsiTheme="majorHAnsi"/>
          <w:sz w:val="24"/>
        </w:rPr>
        <w:t xml:space="preserve">The Respondent </w:t>
      </w:r>
      <w:r w:rsidR="0000286E">
        <w:rPr>
          <w:rFonts w:asciiTheme="majorHAnsi" w:hAnsiTheme="majorHAnsi"/>
          <w:sz w:val="24"/>
        </w:rPr>
        <w:t>H</w:t>
      </w:r>
      <w:r w:rsidRPr="00BF26F1">
        <w:rPr>
          <w:rFonts w:asciiTheme="majorHAnsi" w:hAnsiTheme="majorHAnsi"/>
          <w:sz w:val="24"/>
        </w:rPr>
        <w:t xml:space="preserve">ourly </w:t>
      </w:r>
      <w:r w:rsidR="0000286E">
        <w:rPr>
          <w:rFonts w:asciiTheme="majorHAnsi" w:hAnsiTheme="majorHAnsi"/>
          <w:sz w:val="24"/>
        </w:rPr>
        <w:t>W</w:t>
      </w:r>
      <w:r w:rsidRPr="00A62905">
        <w:rPr>
          <w:rFonts w:asciiTheme="majorHAnsi" w:hAnsiTheme="majorHAnsi"/>
          <w:sz w:val="24"/>
        </w:rPr>
        <w:t xml:space="preserve">age was determined by using the </w:t>
      </w:r>
      <w:r w:rsidRPr="00BF26F1" w:rsidR="0000286E">
        <w:rPr>
          <w:rFonts w:asciiTheme="majorHAnsi" w:hAnsiTheme="majorHAnsi"/>
          <w:sz w:val="24"/>
        </w:rPr>
        <w:t>Bureau of Labor Statistics, Occupation Outlook Handbook, Management (Top Executives) 2019 median pay</w:t>
      </w:r>
      <w:r w:rsidRPr="00A62905" w:rsidR="0000286E">
        <w:rPr>
          <w:rFonts w:asciiTheme="majorHAnsi" w:hAnsiTheme="majorHAnsi"/>
          <w:sz w:val="24"/>
        </w:rPr>
        <w:t xml:space="preserve">. </w:t>
      </w:r>
      <w:r w:rsidRPr="00A62905">
        <w:rPr>
          <w:rFonts w:asciiTheme="majorHAnsi" w:hAnsiTheme="majorHAnsi"/>
          <w:sz w:val="24"/>
        </w:rPr>
        <w:t>(</w:t>
      </w:r>
      <w:hyperlink w:history="1" r:id="rId9">
        <w:r w:rsidRPr="00BF26F1" w:rsidR="0097496F">
          <w:rPr>
            <w:rStyle w:val="Hyperlink"/>
            <w:rFonts w:asciiTheme="majorHAnsi" w:hAnsiTheme="majorHAnsi"/>
            <w:sz w:val="24"/>
          </w:rPr>
          <w:t>https://www.bls.gov/oes/current/oes_nat.htm</w:t>
        </w:r>
      </w:hyperlink>
      <w:r w:rsidRPr="00BF26F1" w:rsidR="008A06EF">
        <w:rPr>
          <w:rFonts w:asciiTheme="majorHAnsi" w:hAnsiTheme="majorHAnsi"/>
          <w:sz w:val="24"/>
        </w:rPr>
        <w:t>)</w:t>
      </w:r>
    </w:p>
    <w:p w:rsidR="006F2DF8" w:rsidP="00337EF1" w:rsidRDefault="006F2DF8" w14:paraId="0AFB640C" w14:textId="77777777">
      <w:pPr>
        <w:spacing w:after="0" w:line="240" w:lineRule="auto"/>
        <w:rPr>
          <w:rFonts w:asciiTheme="majorHAnsi" w:hAnsiTheme="majorHAnsi"/>
          <w:sz w:val="24"/>
        </w:rPr>
      </w:pPr>
    </w:p>
    <w:p w:rsidRPr="0019309D" w:rsidR="00FC7BB5" w:rsidP="00FC7BB5" w:rsidRDefault="0019309D" w14:paraId="6939E9A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DC504C7" w14:textId="77777777">
      <w:pPr>
        <w:spacing w:after="0" w:line="240" w:lineRule="auto"/>
        <w:rPr>
          <w:rFonts w:asciiTheme="majorHAnsi" w:hAnsiTheme="majorHAnsi"/>
          <w:sz w:val="24"/>
        </w:rPr>
      </w:pPr>
      <w:r w:rsidRPr="00FC7BB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A553C15" w14:textId="77777777">
      <w:pPr>
        <w:spacing w:after="0" w:line="240" w:lineRule="auto"/>
        <w:rPr>
          <w:rFonts w:asciiTheme="majorHAnsi" w:hAnsiTheme="majorHAnsi"/>
          <w:sz w:val="24"/>
        </w:rPr>
      </w:pPr>
    </w:p>
    <w:p w:rsidR="00F25499" w:rsidP="0019309D" w:rsidRDefault="00F25499" w14:paraId="72EEB9C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BF26F1">
        <w:rPr>
          <w:rFonts w:asciiTheme="majorHAnsi" w:hAnsiTheme="majorHAnsi"/>
          <w:sz w:val="24"/>
          <w:u w:val="single"/>
        </w:rPr>
        <w:t>Cost to the Federal Government</w:t>
      </w:r>
    </w:p>
    <w:p w:rsidR="00235D71" w:rsidP="0019309D" w:rsidRDefault="00235D71" w14:paraId="4B5A2AC9" w14:textId="77777777">
      <w:pPr>
        <w:spacing w:after="0" w:line="240" w:lineRule="auto"/>
        <w:rPr>
          <w:rFonts w:asciiTheme="majorHAnsi" w:hAnsiTheme="majorHAnsi"/>
          <w:sz w:val="24"/>
        </w:rPr>
      </w:pPr>
    </w:p>
    <w:p w:rsidRPr="00235D71" w:rsidR="00722FDB" w:rsidP="00722FDB" w:rsidRDefault="00235D71" w14:paraId="6D60C4D4" w14:textId="3A188898">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346BFC5E" w14:textId="77777777">
      <w:pPr>
        <w:pStyle w:val="ListParagraph"/>
        <w:spacing w:after="0" w:line="240" w:lineRule="auto"/>
        <w:rPr>
          <w:rFonts w:asciiTheme="majorHAnsi" w:hAnsiTheme="majorHAnsi"/>
          <w:sz w:val="24"/>
        </w:rPr>
      </w:pPr>
    </w:p>
    <w:p w:rsidRPr="00A40903" w:rsidR="00235D71" w:rsidP="00235D71" w:rsidRDefault="00235D71" w14:paraId="2DBD65A9" w14:textId="40FA2A0E">
      <w:pPr>
        <w:pStyle w:val="ListParagraph"/>
        <w:numPr>
          <w:ilvl w:val="0"/>
          <w:numId w:val="18"/>
        </w:numPr>
        <w:spacing w:after="0" w:line="240" w:lineRule="auto"/>
        <w:rPr>
          <w:rFonts w:asciiTheme="majorHAnsi" w:hAnsiTheme="majorHAnsi"/>
          <w:sz w:val="24"/>
        </w:rPr>
      </w:pPr>
      <w:r w:rsidRPr="00A40903">
        <w:rPr>
          <w:rFonts w:asciiTheme="majorHAnsi" w:hAnsiTheme="majorHAnsi"/>
          <w:sz w:val="24"/>
        </w:rPr>
        <w:t>Collection Instrument</w:t>
      </w:r>
    </w:p>
    <w:p w:rsidRPr="00A40903" w:rsidR="00235D71" w:rsidP="00235D71" w:rsidRDefault="00235D71" w14:paraId="38F06C1A" w14:textId="77777777">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Number of Total Annual Responses: </w:t>
      </w:r>
      <w:r w:rsidRPr="00A40903" w:rsidR="000B5695">
        <w:rPr>
          <w:rFonts w:asciiTheme="majorHAnsi" w:hAnsiTheme="majorHAnsi"/>
          <w:sz w:val="24"/>
        </w:rPr>
        <w:t>300</w:t>
      </w:r>
    </w:p>
    <w:p w:rsidRPr="00A40903" w:rsidR="00235D71" w:rsidP="00235D71" w:rsidRDefault="00235D71" w14:paraId="7A6FF31D" w14:textId="5F6C5084">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Processing Time per Response: </w:t>
      </w:r>
      <w:r w:rsidRPr="00A40903" w:rsidR="00A40903">
        <w:rPr>
          <w:rFonts w:asciiTheme="majorHAnsi" w:hAnsiTheme="majorHAnsi"/>
          <w:sz w:val="24"/>
        </w:rPr>
        <w:t>60</w:t>
      </w:r>
      <w:r w:rsidRPr="00A40903" w:rsidR="000B5695">
        <w:rPr>
          <w:rFonts w:asciiTheme="majorHAnsi" w:hAnsiTheme="majorHAnsi"/>
          <w:sz w:val="24"/>
        </w:rPr>
        <w:t xml:space="preserve"> </w:t>
      </w:r>
      <w:proofErr w:type="spellStart"/>
      <w:r w:rsidRPr="00A40903" w:rsidR="000B5695">
        <w:rPr>
          <w:rFonts w:asciiTheme="majorHAnsi" w:hAnsiTheme="majorHAnsi"/>
          <w:sz w:val="24"/>
        </w:rPr>
        <w:t>mins</w:t>
      </w:r>
      <w:proofErr w:type="spellEnd"/>
    </w:p>
    <w:p w:rsidRPr="00A40903" w:rsidR="00235D71" w:rsidP="00235D71" w:rsidRDefault="00235D71" w14:paraId="33CE9F4A" w14:textId="5959D468">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Hourly Wage of Worker(s) Processing </w:t>
      </w:r>
      <w:proofErr w:type="gramStart"/>
      <w:r w:rsidRPr="00A40903">
        <w:rPr>
          <w:rFonts w:asciiTheme="majorHAnsi" w:hAnsiTheme="majorHAnsi"/>
          <w:sz w:val="24"/>
        </w:rPr>
        <w:t>Responses :</w:t>
      </w:r>
      <w:proofErr w:type="gramEnd"/>
      <w:r w:rsidRPr="00A40903">
        <w:rPr>
          <w:rFonts w:asciiTheme="majorHAnsi" w:hAnsiTheme="majorHAnsi"/>
          <w:sz w:val="24"/>
        </w:rPr>
        <w:t xml:space="preserve"> $</w:t>
      </w:r>
      <w:r w:rsidRPr="00EE1C2F" w:rsidR="00A40903">
        <w:rPr>
          <w:rFonts w:asciiTheme="majorHAnsi" w:hAnsiTheme="majorHAnsi"/>
          <w:sz w:val="24"/>
        </w:rPr>
        <w:t>57.69</w:t>
      </w:r>
    </w:p>
    <w:p w:rsidRPr="00A40903" w:rsidR="00235D71" w:rsidP="00235D71" w:rsidRDefault="00235D71" w14:paraId="18C1A830" w14:textId="141D51BB">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Cost to Process Each Response: $</w:t>
      </w:r>
      <w:r w:rsidRPr="00EE1C2F" w:rsidR="00A40903">
        <w:rPr>
          <w:rFonts w:asciiTheme="majorHAnsi" w:hAnsiTheme="majorHAnsi"/>
          <w:sz w:val="24"/>
        </w:rPr>
        <w:t>57.69</w:t>
      </w:r>
    </w:p>
    <w:p w:rsidRPr="00A40903" w:rsidR="00235D71" w:rsidP="00235D71" w:rsidRDefault="00235D71" w14:paraId="585DE5CB" w14:textId="06EF7EDD">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Total Cost to Process Responses: $</w:t>
      </w:r>
      <w:r w:rsidRPr="00EE1C2F" w:rsidR="00A40903">
        <w:rPr>
          <w:rFonts w:asciiTheme="majorHAnsi" w:hAnsiTheme="majorHAnsi"/>
          <w:sz w:val="24"/>
        </w:rPr>
        <w:t>17,307</w:t>
      </w:r>
    </w:p>
    <w:p w:rsidRPr="00A40903" w:rsidR="00B55E9F" w:rsidP="00B55E9F" w:rsidRDefault="00B55E9F" w14:paraId="25458AF8" w14:textId="77777777">
      <w:pPr>
        <w:pStyle w:val="ListParagraph"/>
        <w:spacing w:after="0" w:line="240" w:lineRule="auto"/>
        <w:ind w:left="1440"/>
        <w:rPr>
          <w:rFonts w:asciiTheme="majorHAnsi" w:hAnsiTheme="majorHAnsi"/>
          <w:sz w:val="24"/>
        </w:rPr>
      </w:pPr>
    </w:p>
    <w:p w:rsidRPr="00A40903" w:rsidR="00235D71" w:rsidP="00235D71" w:rsidRDefault="00235D71" w14:paraId="77F106FC" w14:textId="77777777">
      <w:pPr>
        <w:pStyle w:val="ListParagraph"/>
        <w:numPr>
          <w:ilvl w:val="0"/>
          <w:numId w:val="18"/>
        </w:numPr>
        <w:spacing w:after="0" w:line="240" w:lineRule="auto"/>
        <w:rPr>
          <w:rFonts w:asciiTheme="majorHAnsi" w:hAnsiTheme="majorHAnsi"/>
          <w:sz w:val="24"/>
        </w:rPr>
      </w:pPr>
      <w:r w:rsidRPr="00A40903">
        <w:rPr>
          <w:rFonts w:asciiTheme="majorHAnsi" w:hAnsiTheme="majorHAnsi"/>
          <w:sz w:val="24"/>
        </w:rPr>
        <w:t>Overall Labor Burden to the Federal Government</w:t>
      </w:r>
    </w:p>
    <w:p w:rsidRPr="00A40903" w:rsidR="00235D71" w:rsidP="00235D71" w:rsidRDefault="00235D71" w14:paraId="74A5E8E8" w14:textId="54A7F890">
      <w:pPr>
        <w:pStyle w:val="ListParagraph"/>
        <w:numPr>
          <w:ilvl w:val="1"/>
          <w:numId w:val="18"/>
        </w:numPr>
        <w:spacing w:after="0" w:line="240" w:lineRule="auto"/>
        <w:rPr>
          <w:rFonts w:asciiTheme="majorHAnsi" w:hAnsiTheme="majorHAnsi"/>
          <w:sz w:val="24"/>
        </w:rPr>
      </w:pPr>
      <w:r w:rsidRPr="00A40903">
        <w:rPr>
          <w:rFonts w:asciiTheme="majorHAnsi" w:hAnsiTheme="majorHAnsi"/>
          <w:sz w:val="24"/>
        </w:rPr>
        <w:t xml:space="preserve">Total Number of Annual Responses: </w:t>
      </w:r>
      <w:r w:rsidRPr="00EE1C2F" w:rsidR="00A40903">
        <w:rPr>
          <w:rFonts w:asciiTheme="majorHAnsi" w:hAnsiTheme="majorHAnsi"/>
          <w:sz w:val="24"/>
        </w:rPr>
        <w:t>300</w:t>
      </w:r>
    </w:p>
    <w:p w:rsidR="00B55E9F" w:rsidP="00722FDB" w:rsidRDefault="00235D71" w14:paraId="1BE4F3C2" w14:textId="18F8A8C5">
      <w:pPr>
        <w:pStyle w:val="ListParagraph"/>
        <w:numPr>
          <w:ilvl w:val="1"/>
          <w:numId w:val="18"/>
        </w:numPr>
        <w:spacing w:after="0" w:line="240" w:lineRule="auto"/>
        <w:rPr>
          <w:rFonts w:asciiTheme="majorHAnsi" w:hAnsiTheme="majorHAnsi"/>
          <w:sz w:val="24"/>
        </w:rPr>
      </w:pPr>
      <w:r w:rsidRPr="00A40903">
        <w:rPr>
          <w:rFonts w:asciiTheme="majorHAnsi" w:hAnsiTheme="majorHAnsi"/>
          <w:sz w:val="24"/>
        </w:rPr>
        <w:t>Total Labor Burden</w:t>
      </w:r>
      <w:r w:rsidRPr="00BF26F1">
        <w:rPr>
          <w:rFonts w:asciiTheme="majorHAnsi" w:hAnsiTheme="majorHAnsi"/>
          <w:sz w:val="24"/>
        </w:rPr>
        <w:t>:</w:t>
      </w:r>
      <w:r w:rsidRPr="00A40903">
        <w:rPr>
          <w:rFonts w:asciiTheme="majorHAnsi" w:hAnsiTheme="majorHAnsi"/>
          <w:i/>
          <w:sz w:val="24"/>
        </w:rPr>
        <w:t xml:space="preserve"> </w:t>
      </w:r>
      <w:r w:rsidRPr="00EE1C2F">
        <w:rPr>
          <w:rFonts w:asciiTheme="majorHAnsi" w:hAnsiTheme="majorHAnsi"/>
          <w:sz w:val="24"/>
        </w:rPr>
        <w:t>$</w:t>
      </w:r>
      <w:r w:rsidRPr="00EE1C2F" w:rsidR="00A40903">
        <w:rPr>
          <w:rFonts w:asciiTheme="majorHAnsi" w:hAnsiTheme="majorHAnsi"/>
          <w:sz w:val="24"/>
        </w:rPr>
        <w:t>17,307</w:t>
      </w:r>
    </w:p>
    <w:p w:rsidR="00B55E9F" w:rsidP="00B55E9F" w:rsidRDefault="00B55E9F" w14:paraId="39682D79" w14:textId="77777777">
      <w:pPr>
        <w:spacing w:after="0" w:line="240" w:lineRule="auto"/>
        <w:rPr>
          <w:rFonts w:asciiTheme="majorHAnsi" w:hAnsiTheme="majorHAnsi"/>
          <w:sz w:val="24"/>
        </w:rPr>
      </w:pPr>
    </w:p>
    <w:p w:rsidRPr="00B55E9F" w:rsidR="00722FDB" w:rsidP="00B55E9F" w:rsidRDefault="00235D71" w14:paraId="6CA5462F"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B826101" w14:textId="77777777">
      <w:pPr>
        <w:spacing w:after="0" w:line="240" w:lineRule="auto"/>
        <w:rPr>
          <w:rFonts w:asciiTheme="majorHAnsi" w:hAnsiTheme="majorHAnsi"/>
          <w:sz w:val="24"/>
        </w:rPr>
      </w:pPr>
    </w:p>
    <w:p w:rsidRPr="00235D71" w:rsidR="00235D71" w:rsidP="00235D71" w:rsidRDefault="00235D71" w14:paraId="73D0147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0AD0BE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F70CA">
        <w:rPr>
          <w:rFonts w:asciiTheme="majorHAnsi" w:hAnsiTheme="majorHAnsi"/>
          <w:sz w:val="24"/>
        </w:rPr>
        <w:t>0</w:t>
      </w:r>
    </w:p>
    <w:p w:rsidRPr="00235D71" w:rsidR="00235D71" w:rsidP="00235D71" w:rsidRDefault="00235D71" w14:paraId="59AEFA5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Printing: $</w:t>
      </w:r>
      <w:r w:rsidR="009F70CA">
        <w:rPr>
          <w:rFonts w:asciiTheme="majorHAnsi" w:hAnsiTheme="majorHAnsi"/>
          <w:sz w:val="24"/>
        </w:rPr>
        <w:t>0</w:t>
      </w:r>
    </w:p>
    <w:p w:rsidRPr="00235D71" w:rsidR="00235D71" w:rsidP="00235D71" w:rsidRDefault="00235D71" w14:paraId="28C65F0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F70CA">
        <w:rPr>
          <w:rFonts w:asciiTheme="majorHAnsi" w:hAnsiTheme="majorHAnsi"/>
          <w:sz w:val="24"/>
        </w:rPr>
        <w:t>0</w:t>
      </w:r>
    </w:p>
    <w:p w:rsidRPr="00235D71" w:rsidR="00235D71" w:rsidP="00235D71" w:rsidRDefault="00235D71" w14:paraId="5D395D32" w14:textId="14504A9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A1FA3">
        <w:rPr>
          <w:rFonts w:asciiTheme="majorHAnsi" w:hAnsiTheme="majorHAnsi"/>
          <w:sz w:val="24"/>
        </w:rPr>
        <w:t>2,500,000 (Due Diligence Platform)</w:t>
      </w:r>
    </w:p>
    <w:p w:rsidRPr="00735D71" w:rsidR="00235D71" w:rsidP="00235D71" w:rsidRDefault="00235D71" w14:paraId="7CB94172" w14:textId="7D94C6CA">
      <w:pPr>
        <w:pStyle w:val="ListParagraph"/>
        <w:numPr>
          <w:ilvl w:val="1"/>
          <w:numId w:val="20"/>
        </w:numPr>
        <w:spacing w:after="0" w:line="240" w:lineRule="auto"/>
        <w:rPr>
          <w:rFonts w:asciiTheme="majorHAnsi" w:hAnsiTheme="majorHAnsi"/>
          <w:i/>
          <w:sz w:val="24"/>
        </w:rPr>
      </w:pPr>
      <w:r w:rsidRPr="00735D71">
        <w:rPr>
          <w:rFonts w:asciiTheme="majorHAnsi" w:hAnsiTheme="majorHAnsi"/>
          <w:sz w:val="24"/>
        </w:rPr>
        <w:t>Licensing Costs: $</w:t>
      </w:r>
      <w:r w:rsidRPr="00735D71" w:rsidR="00A62905">
        <w:rPr>
          <w:rFonts w:asciiTheme="majorHAnsi" w:hAnsiTheme="majorHAnsi"/>
          <w:sz w:val="24"/>
        </w:rPr>
        <w:t>0</w:t>
      </w:r>
    </w:p>
    <w:p w:rsidRPr="00735D71" w:rsidR="00235D71" w:rsidP="00235D71" w:rsidRDefault="00235D71" w14:paraId="6A109D09" w14:textId="4F9B3588">
      <w:pPr>
        <w:pStyle w:val="ListParagraph"/>
        <w:numPr>
          <w:ilvl w:val="1"/>
          <w:numId w:val="20"/>
        </w:numPr>
        <w:spacing w:after="0" w:line="240" w:lineRule="auto"/>
        <w:rPr>
          <w:rFonts w:asciiTheme="majorHAnsi" w:hAnsiTheme="majorHAnsi"/>
          <w:i/>
          <w:sz w:val="24"/>
        </w:rPr>
      </w:pPr>
      <w:r w:rsidRPr="00735D71">
        <w:rPr>
          <w:rFonts w:asciiTheme="majorHAnsi" w:hAnsiTheme="majorHAnsi"/>
          <w:sz w:val="24"/>
        </w:rPr>
        <w:t>Other: $</w:t>
      </w:r>
      <w:r w:rsidRPr="00735D71" w:rsidR="00A62905">
        <w:rPr>
          <w:rFonts w:asciiTheme="majorHAnsi" w:hAnsiTheme="majorHAnsi"/>
          <w:sz w:val="24"/>
        </w:rPr>
        <w:t>0</w:t>
      </w:r>
    </w:p>
    <w:p w:rsidRPr="00735D71" w:rsidR="00B55E9F" w:rsidP="00B55E9F" w:rsidRDefault="00B55E9F" w14:paraId="1A654E65" w14:textId="77777777">
      <w:pPr>
        <w:pStyle w:val="ListParagraph"/>
        <w:spacing w:after="0" w:line="240" w:lineRule="auto"/>
        <w:ind w:left="1440"/>
        <w:rPr>
          <w:rFonts w:asciiTheme="majorHAnsi" w:hAnsiTheme="majorHAnsi"/>
          <w:i/>
          <w:sz w:val="24"/>
        </w:rPr>
      </w:pPr>
    </w:p>
    <w:p w:rsidRPr="00735D71" w:rsidR="00235D71" w:rsidP="00B55E9F" w:rsidRDefault="00B55E9F" w14:paraId="3B7D304A" w14:textId="2839FA3B">
      <w:pPr>
        <w:pStyle w:val="ListParagraph"/>
        <w:numPr>
          <w:ilvl w:val="0"/>
          <w:numId w:val="20"/>
        </w:numPr>
        <w:spacing w:after="0" w:line="240" w:lineRule="auto"/>
        <w:rPr>
          <w:rFonts w:asciiTheme="majorHAnsi" w:hAnsiTheme="majorHAnsi"/>
          <w:i/>
          <w:sz w:val="24"/>
        </w:rPr>
      </w:pPr>
      <w:r w:rsidRPr="00735D71">
        <w:rPr>
          <w:rFonts w:asciiTheme="majorHAnsi" w:hAnsiTheme="majorHAnsi"/>
          <w:sz w:val="24"/>
        </w:rPr>
        <w:t>Total Operational and Maintenance Cost: $</w:t>
      </w:r>
      <w:r w:rsidR="00FA1FA3">
        <w:rPr>
          <w:rFonts w:asciiTheme="majorHAnsi" w:hAnsiTheme="majorHAnsi"/>
          <w:sz w:val="24"/>
        </w:rPr>
        <w:t>2,500,000</w:t>
      </w:r>
    </w:p>
    <w:p w:rsidRPr="00735D71" w:rsidR="00B55E9F" w:rsidP="00B55E9F" w:rsidRDefault="00B55E9F" w14:paraId="4CB2582E" w14:textId="77777777">
      <w:pPr>
        <w:spacing w:after="0" w:line="240" w:lineRule="auto"/>
        <w:rPr>
          <w:rFonts w:asciiTheme="majorHAnsi" w:hAnsiTheme="majorHAnsi"/>
          <w:i/>
          <w:sz w:val="24"/>
        </w:rPr>
      </w:pPr>
    </w:p>
    <w:p w:rsidRPr="00735D71" w:rsidR="00B55E9F" w:rsidP="00B55E9F" w:rsidRDefault="00B55E9F" w14:paraId="70EDB99F" w14:textId="77777777">
      <w:pPr>
        <w:spacing w:after="0" w:line="240" w:lineRule="auto"/>
        <w:rPr>
          <w:rFonts w:asciiTheme="majorHAnsi" w:hAnsiTheme="majorHAnsi"/>
          <w:sz w:val="24"/>
        </w:rPr>
      </w:pPr>
      <w:r w:rsidRPr="00735D71">
        <w:rPr>
          <w:rFonts w:asciiTheme="majorHAnsi" w:hAnsiTheme="majorHAnsi"/>
          <w:sz w:val="24"/>
        </w:rPr>
        <w:t>Part C: TOTAL COST TO THE FEDERAL GOVERNMENT</w:t>
      </w:r>
    </w:p>
    <w:p w:rsidRPr="00735D71" w:rsidR="00B55E9F" w:rsidP="00B55E9F" w:rsidRDefault="00B55E9F" w14:paraId="6AF6EB97" w14:textId="77777777">
      <w:pPr>
        <w:spacing w:after="0" w:line="240" w:lineRule="auto"/>
        <w:rPr>
          <w:rFonts w:asciiTheme="majorHAnsi" w:hAnsiTheme="majorHAnsi"/>
          <w:sz w:val="24"/>
        </w:rPr>
      </w:pPr>
    </w:p>
    <w:p w:rsidRPr="00735D71" w:rsidR="00486235" w:rsidP="00B55E9F" w:rsidRDefault="00B55E9F" w14:paraId="1DB8F02D" w14:textId="05A30B23">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 Labor Cost to the Federal Government: $</w:t>
      </w:r>
      <w:r w:rsidRPr="00735D71" w:rsidR="00EE1C2F">
        <w:rPr>
          <w:rFonts w:asciiTheme="majorHAnsi" w:hAnsiTheme="majorHAnsi"/>
          <w:sz w:val="24"/>
        </w:rPr>
        <w:t>17,307</w:t>
      </w:r>
    </w:p>
    <w:p w:rsidRPr="00735D71" w:rsidR="00B55E9F" w:rsidP="00B55E9F" w:rsidRDefault="00B55E9F" w14:paraId="5AE2AC9D" w14:textId="77777777">
      <w:pPr>
        <w:pStyle w:val="ListParagraph"/>
        <w:spacing w:after="0" w:line="240" w:lineRule="auto"/>
        <w:rPr>
          <w:rFonts w:asciiTheme="majorHAnsi" w:hAnsiTheme="majorHAnsi"/>
          <w:sz w:val="24"/>
        </w:rPr>
      </w:pPr>
    </w:p>
    <w:p w:rsidRPr="00735D71" w:rsidR="00B55E9F" w:rsidP="00B55E9F" w:rsidRDefault="00B55E9F" w14:paraId="4504DAB4" w14:textId="10618FE1">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 Operational and Maintenance Costs: $</w:t>
      </w:r>
      <w:r w:rsidRPr="00735D71" w:rsidR="00A62905">
        <w:rPr>
          <w:rFonts w:asciiTheme="majorHAnsi" w:hAnsiTheme="majorHAnsi"/>
          <w:sz w:val="24"/>
        </w:rPr>
        <w:t>0</w:t>
      </w:r>
    </w:p>
    <w:p w:rsidRPr="00735D71" w:rsidR="00B55E9F" w:rsidP="00B55E9F" w:rsidRDefault="00B55E9F" w14:paraId="6646F2CC" w14:textId="77777777">
      <w:pPr>
        <w:spacing w:after="0" w:line="240" w:lineRule="auto"/>
        <w:rPr>
          <w:rFonts w:asciiTheme="majorHAnsi" w:hAnsiTheme="majorHAnsi"/>
          <w:sz w:val="24"/>
        </w:rPr>
      </w:pPr>
    </w:p>
    <w:p w:rsidRPr="00735D71" w:rsidR="00B55E9F" w:rsidP="00B55E9F" w:rsidRDefault="00B55E9F" w14:paraId="4ADD59EB" w14:textId="775F317E">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w:t>
      </w:r>
      <w:r w:rsidR="00FA1FA3">
        <w:rPr>
          <w:rFonts w:asciiTheme="majorHAnsi" w:hAnsiTheme="majorHAnsi"/>
          <w:sz w:val="24"/>
        </w:rPr>
        <w:t xml:space="preserve"> Cost to the Federal Government</w:t>
      </w:r>
      <w:r w:rsidRPr="00735D71">
        <w:rPr>
          <w:rFonts w:asciiTheme="majorHAnsi" w:hAnsiTheme="majorHAnsi"/>
          <w:sz w:val="24"/>
        </w:rPr>
        <w:t>: $</w:t>
      </w:r>
      <w:r w:rsidR="00FA1FA3">
        <w:rPr>
          <w:rFonts w:asciiTheme="majorHAnsi" w:hAnsiTheme="majorHAnsi"/>
          <w:sz w:val="24"/>
        </w:rPr>
        <w:t>2,517,307</w:t>
      </w:r>
    </w:p>
    <w:p w:rsidR="00486235" w:rsidP="00486235" w:rsidRDefault="00486235" w14:paraId="28CF7619" w14:textId="77777777">
      <w:pPr>
        <w:spacing w:after="0" w:line="240" w:lineRule="auto"/>
        <w:rPr>
          <w:rFonts w:asciiTheme="majorHAnsi" w:hAnsiTheme="majorHAnsi"/>
          <w:sz w:val="24"/>
        </w:rPr>
      </w:pPr>
    </w:p>
    <w:p w:rsidR="00FC7BB5" w:rsidP="00FC7BB5" w:rsidRDefault="00DA2B37" w14:paraId="39F25BDF"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FC7BB5" w:rsidRDefault="00DA2B37" w14:paraId="21BB5C18" w14:textId="77777777">
      <w:pPr>
        <w:spacing w:after="0" w:line="240" w:lineRule="auto"/>
        <w:rPr>
          <w:rFonts w:asciiTheme="majorHAnsi" w:hAnsiTheme="majorHAnsi"/>
          <w:sz w:val="24"/>
        </w:rPr>
      </w:pPr>
      <w:r w:rsidRPr="00FC7BB5">
        <w:rPr>
          <w:rFonts w:asciiTheme="majorHAnsi" w:hAnsiTheme="majorHAnsi"/>
          <w:sz w:val="24"/>
        </w:rPr>
        <w:t>This is a new collection with a new associated burden.</w:t>
      </w:r>
    </w:p>
    <w:p w:rsidR="00DA2B37" w:rsidP="00486235" w:rsidRDefault="00DA2B37" w14:paraId="2BC8D5A5" w14:textId="77777777">
      <w:pPr>
        <w:spacing w:after="0" w:line="240" w:lineRule="auto"/>
        <w:rPr>
          <w:rFonts w:asciiTheme="majorHAnsi" w:hAnsiTheme="majorHAnsi"/>
          <w:sz w:val="24"/>
        </w:rPr>
      </w:pPr>
    </w:p>
    <w:p w:rsidRPr="005C3A95" w:rsidR="00FC7BB5" w:rsidP="00FC7BB5" w:rsidRDefault="005C3A95" w14:paraId="52B8D50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17D0A52A" w14:textId="77777777">
      <w:pPr>
        <w:spacing w:after="0" w:line="240" w:lineRule="auto"/>
        <w:rPr>
          <w:rFonts w:asciiTheme="majorHAnsi" w:hAnsiTheme="majorHAnsi"/>
          <w:sz w:val="24"/>
        </w:rPr>
      </w:pPr>
      <w:r w:rsidRPr="00FC7BB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3A5D0444" w14:textId="77777777">
      <w:pPr>
        <w:spacing w:after="0" w:line="240" w:lineRule="auto"/>
        <w:rPr>
          <w:rFonts w:asciiTheme="majorHAnsi" w:hAnsiTheme="majorHAnsi"/>
          <w:sz w:val="24"/>
        </w:rPr>
      </w:pPr>
    </w:p>
    <w:p w:rsidRPr="00C62D17" w:rsidR="00FC7BB5" w:rsidP="00FC7BB5" w:rsidRDefault="005C3A95" w14:paraId="1D796D89"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566BE986" w14:textId="77777777">
      <w:pPr>
        <w:spacing w:after="0" w:line="240" w:lineRule="auto"/>
        <w:rPr>
          <w:rFonts w:asciiTheme="majorHAnsi" w:hAnsiTheme="majorHAnsi"/>
          <w:sz w:val="24"/>
        </w:rPr>
      </w:pPr>
      <w:r w:rsidRPr="00FC7BB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4EAA1D5" w14:textId="77777777">
      <w:pPr>
        <w:spacing w:after="0" w:line="240" w:lineRule="auto"/>
        <w:rPr>
          <w:rFonts w:asciiTheme="majorHAnsi" w:hAnsiTheme="majorHAnsi"/>
          <w:sz w:val="24"/>
        </w:rPr>
      </w:pPr>
    </w:p>
    <w:p w:rsidRPr="0085688C" w:rsidR="00C62D17" w:rsidP="00486235" w:rsidRDefault="00C62D17" w14:paraId="384F2E4A"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50AF926A" w14:textId="77777777">
      <w:pPr>
        <w:spacing w:after="0" w:line="240" w:lineRule="auto"/>
        <w:rPr>
          <w:rFonts w:asciiTheme="majorHAnsi" w:hAnsiTheme="majorHAnsi"/>
          <w:i/>
          <w:sz w:val="24"/>
        </w:rPr>
      </w:pPr>
      <w:r w:rsidRPr="00FC7BB5">
        <w:rPr>
          <w:rFonts w:asciiTheme="majorHAnsi" w:hAnsiTheme="majorHAnsi"/>
          <w:sz w:val="24"/>
        </w:rPr>
        <w:t>We are not requesting an</w:t>
      </w:r>
      <w:r w:rsidRPr="00FC7BB5" w:rsidR="00420AE9">
        <w:rPr>
          <w:rFonts w:asciiTheme="majorHAnsi" w:hAnsiTheme="majorHAnsi"/>
          <w:sz w:val="24"/>
        </w:rPr>
        <w:t>y</w:t>
      </w:r>
      <w:r w:rsidRPr="00FC7BB5">
        <w:rPr>
          <w:rFonts w:asciiTheme="majorHAnsi" w:hAnsiTheme="majorHAnsi"/>
          <w:sz w:val="24"/>
        </w:rPr>
        <w:t xml:space="preserve"> exemption</w:t>
      </w:r>
      <w:r w:rsidRPr="00FC7BB5" w:rsidR="00420AE9">
        <w:rPr>
          <w:rFonts w:asciiTheme="majorHAnsi" w:hAnsiTheme="majorHAnsi"/>
          <w:sz w:val="24"/>
        </w:rPr>
        <w:t>s</w:t>
      </w:r>
      <w:r w:rsidRPr="00FC7BB5">
        <w:rPr>
          <w:rFonts w:asciiTheme="majorHAnsi" w:hAnsiTheme="majorHAnsi"/>
          <w:sz w:val="24"/>
        </w:rPr>
        <w:t xml:space="preserve"> to the provisions </w:t>
      </w:r>
      <w:r w:rsidRPr="00FC7BB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94CA" w14:textId="77777777" w:rsidR="00CC052C" w:rsidRDefault="00CC052C" w:rsidP="00FB569C">
      <w:pPr>
        <w:spacing w:after="0" w:line="240" w:lineRule="auto"/>
      </w:pPr>
      <w:r>
        <w:separator/>
      </w:r>
    </w:p>
  </w:endnote>
  <w:endnote w:type="continuationSeparator" w:id="0">
    <w:p w14:paraId="0A241AF1" w14:textId="77777777" w:rsidR="00CC052C" w:rsidRDefault="00CC052C"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1DB6" w14:textId="77777777" w:rsidR="00CC052C" w:rsidRDefault="00CC052C" w:rsidP="00FB569C">
      <w:pPr>
        <w:spacing w:after="0" w:line="240" w:lineRule="auto"/>
      </w:pPr>
      <w:r>
        <w:separator/>
      </w:r>
    </w:p>
  </w:footnote>
  <w:footnote w:type="continuationSeparator" w:id="0">
    <w:p w14:paraId="4E288C7B" w14:textId="77777777" w:rsidR="00CC052C" w:rsidRDefault="00CC052C" w:rsidP="00FB569C">
      <w:pPr>
        <w:spacing w:after="0" w:line="240" w:lineRule="auto"/>
      </w:pPr>
      <w:r>
        <w:continuationSeparator/>
      </w:r>
    </w:p>
  </w:footnote>
  <w:footnote w:id="1">
    <w:p w14:paraId="0717AEAA" w14:textId="2DED182F" w:rsidR="00BD746F" w:rsidRPr="00182A1E" w:rsidRDefault="00BD746F">
      <w:pPr>
        <w:pStyle w:val="FootnoteText"/>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DoD Directive 5135.02</w:t>
      </w:r>
    </w:p>
  </w:footnote>
  <w:footnote w:id="2">
    <w:p w14:paraId="792C907E" w14:textId="72319C8C" w:rsidR="00BD746F" w:rsidRPr="00182A1E" w:rsidRDefault="00BD746F">
      <w:pPr>
        <w:pStyle w:val="FootnoteText"/>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Id.</w:t>
      </w:r>
    </w:p>
  </w:footnote>
  <w:footnote w:id="3">
    <w:p w14:paraId="00073AD5" w14:textId="77777777" w:rsidR="006A6D88" w:rsidRPr="00182A1E" w:rsidRDefault="006A6D88" w:rsidP="006A6D88">
      <w:pPr>
        <w:pStyle w:val="FootnoteText1"/>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2501(a)(5)</w:t>
      </w:r>
    </w:p>
  </w:footnote>
  <w:footnote w:id="4">
    <w:p w14:paraId="3068BAAC" w14:textId="77777777" w:rsidR="006A6D88" w:rsidRPr="00182A1E" w:rsidRDefault="006A6D88" w:rsidP="006A6D88">
      <w:pPr>
        <w:pStyle w:val="FootnoteText1"/>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2501(a)(6) and 10 U.S. Code § 2501(a)(7)</w:t>
      </w:r>
    </w:p>
  </w:footnote>
  <w:footnote w:id="5">
    <w:p w14:paraId="636179DF" w14:textId="4D7D2FE2" w:rsidR="00BD746F" w:rsidRDefault="00BD746F">
      <w:pPr>
        <w:pStyle w:val="FootnoteText"/>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2501(b)(1)</w:t>
      </w:r>
    </w:p>
  </w:footnote>
  <w:footnote w:id="6">
    <w:p w14:paraId="1E8702CF" w14:textId="77777777" w:rsidR="006A6D88" w:rsidRPr="00A933AB" w:rsidRDefault="006A6D88" w:rsidP="006A6D88">
      <w:pPr>
        <w:pStyle w:val="FootnoteText"/>
        <w:rPr>
          <w:rFonts w:ascii="Times New Roman" w:hAnsi="Times New Roman" w:cs="Times New Roman"/>
        </w:rPr>
      </w:pPr>
      <w:r w:rsidRPr="00A933AB">
        <w:rPr>
          <w:rStyle w:val="FootnoteReference"/>
          <w:rFonts w:ascii="Times New Roman" w:hAnsi="Times New Roman" w:cs="Times New Roman"/>
        </w:rPr>
        <w:footnoteRef/>
      </w:r>
      <w:r w:rsidRPr="00A933AB">
        <w:rPr>
          <w:rFonts w:ascii="Times New Roman" w:hAnsi="Times New Roman" w:cs="Times New Roman"/>
        </w:rPr>
        <w:t xml:space="preserve"> 10 U.S. Code § 2509(a) and 10 U.S. Code § 2509(b)1</w:t>
      </w:r>
    </w:p>
  </w:footnote>
  <w:footnote w:id="7">
    <w:p w14:paraId="3C838E66" w14:textId="77777777" w:rsidR="006A6D88" w:rsidRPr="00A933AB" w:rsidRDefault="006A6D88" w:rsidP="006A6D88">
      <w:pPr>
        <w:pStyle w:val="FootnoteText"/>
        <w:rPr>
          <w:rFonts w:ascii="Times New Roman" w:hAnsi="Times New Roman" w:cs="Times New Roman"/>
        </w:rPr>
      </w:pPr>
      <w:r w:rsidRPr="00A933AB">
        <w:rPr>
          <w:rStyle w:val="FootnoteReference"/>
          <w:rFonts w:ascii="Times New Roman" w:hAnsi="Times New Roman" w:cs="Times New Roman"/>
        </w:rPr>
        <w:footnoteRef/>
      </w:r>
      <w:r w:rsidRPr="00A933AB">
        <w:rPr>
          <w:rFonts w:ascii="Times New Roman" w:hAnsi="Times New Roman" w:cs="Times New Roman"/>
        </w:rPr>
        <w:t xml:space="preserve"> 10 U.S. Code § 2509 (b)(2)(B)</w:t>
      </w:r>
    </w:p>
  </w:footnote>
  <w:footnote w:id="8">
    <w:p w14:paraId="2A2F6310" w14:textId="4B0F3977" w:rsidR="003C7090" w:rsidRPr="002C77C3" w:rsidRDefault="003C709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31BC"/>
    <w:multiLevelType w:val="hybridMultilevel"/>
    <w:tmpl w:val="4688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247F1"/>
    <w:multiLevelType w:val="hybridMultilevel"/>
    <w:tmpl w:val="2CC247F1"/>
    <w:lvl w:ilvl="0" w:tplc="189210CE">
      <w:start w:val="1"/>
      <w:numFmt w:val="bullet"/>
      <w:lvlText w:val="l"/>
      <w:lvlJc w:val="left"/>
      <w:pPr>
        <w:tabs>
          <w:tab w:val="num" w:pos="360"/>
        </w:tabs>
        <w:ind w:left="360" w:hanging="360"/>
      </w:pPr>
      <w:rPr>
        <w:rFonts w:ascii="Wingdings" w:eastAsia="Wingdings" w:hAnsi="Wingdings" w:cs="Wingdings"/>
        <w:color w:val="000000"/>
        <w:sz w:val="16"/>
      </w:rPr>
    </w:lvl>
    <w:lvl w:ilvl="1" w:tplc="28C47168">
      <w:start w:val="1"/>
      <w:numFmt w:val="bullet"/>
      <w:lvlText w:val="¡"/>
      <w:lvlJc w:val="left"/>
      <w:pPr>
        <w:tabs>
          <w:tab w:val="num" w:pos="720"/>
        </w:tabs>
        <w:ind w:left="720" w:hanging="360"/>
      </w:pPr>
      <w:rPr>
        <w:rFonts w:ascii="Wingdings" w:eastAsia="Wingdings" w:hAnsi="Wingdings" w:cs="Wingdings"/>
        <w:color w:val="000000"/>
        <w:sz w:val="16"/>
      </w:rPr>
    </w:lvl>
    <w:lvl w:ilvl="2" w:tplc="3920F88E">
      <w:start w:val="1"/>
      <w:numFmt w:val="bullet"/>
      <w:lvlText w:val="¡"/>
      <w:lvlJc w:val="left"/>
      <w:pPr>
        <w:tabs>
          <w:tab w:val="num" w:pos="1080"/>
        </w:tabs>
        <w:ind w:left="1080" w:hanging="360"/>
      </w:pPr>
      <w:rPr>
        <w:rFonts w:ascii="Wingdings" w:eastAsia="Wingdings" w:hAnsi="Wingdings" w:cs="Wingdings"/>
        <w:color w:val="000000"/>
        <w:sz w:val="16"/>
      </w:rPr>
    </w:lvl>
    <w:lvl w:ilvl="3" w:tplc="2CDE9B38">
      <w:start w:val="1"/>
      <w:numFmt w:val="bullet"/>
      <w:lvlText w:val="¡"/>
      <w:lvlJc w:val="left"/>
      <w:pPr>
        <w:tabs>
          <w:tab w:val="num" w:pos="1440"/>
        </w:tabs>
        <w:ind w:left="1440" w:hanging="360"/>
      </w:pPr>
      <w:rPr>
        <w:rFonts w:ascii="Wingdings" w:eastAsia="Wingdings" w:hAnsi="Wingdings" w:cs="Wingdings"/>
        <w:color w:val="000000"/>
        <w:sz w:val="16"/>
      </w:rPr>
    </w:lvl>
    <w:lvl w:ilvl="4" w:tplc="442CB216">
      <w:start w:val="1"/>
      <w:numFmt w:val="bullet"/>
      <w:lvlText w:val="o"/>
      <w:lvlJc w:val="left"/>
      <w:pPr>
        <w:tabs>
          <w:tab w:val="num" w:pos="3600"/>
        </w:tabs>
        <w:ind w:left="3600" w:hanging="360"/>
      </w:pPr>
      <w:rPr>
        <w:rFonts w:ascii="Courier New" w:hAnsi="Courier New"/>
      </w:rPr>
    </w:lvl>
    <w:lvl w:ilvl="5" w:tplc="86305484">
      <w:start w:val="1"/>
      <w:numFmt w:val="bullet"/>
      <w:lvlText w:val=""/>
      <w:lvlJc w:val="left"/>
      <w:pPr>
        <w:tabs>
          <w:tab w:val="num" w:pos="4320"/>
        </w:tabs>
        <w:ind w:left="4320" w:hanging="360"/>
      </w:pPr>
      <w:rPr>
        <w:rFonts w:ascii="Wingdings" w:hAnsi="Wingdings"/>
      </w:rPr>
    </w:lvl>
    <w:lvl w:ilvl="6" w:tplc="A036C8B6">
      <w:start w:val="1"/>
      <w:numFmt w:val="bullet"/>
      <w:lvlText w:val=""/>
      <w:lvlJc w:val="left"/>
      <w:pPr>
        <w:tabs>
          <w:tab w:val="num" w:pos="5040"/>
        </w:tabs>
        <w:ind w:left="5040" w:hanging="360"/>
      </w:pPr>
      <w:rPr>
        <w:rFonts w:ascii="Symbol" w:hAnsi="Symbol"/>
      </w:rPr>
    </w:lvl>
    <w:lvl w:ilvl="7" w:tplc="8BB4F108">
      <w:start w:val="1"/>
      <w:numFmt w:val="bullet"/>
      <w:lvlText w:val="o"/>
      <w:lvlJc w:val="left"/>
      <w:pPr>
        <w:tabs>
          <w:tab w:val="num" w:pos="5760"/>
        </w:tabs>
        <w:ind w:left="5760" w:hanging="360"/>
      </w:pPr>
      <w:rPr>
        <w:rFonts w:ascii="Courier New" w:hAnsi="Courier New"/>
      </w:rPr>
    </w:lvl>
    <w:lvl w:ilvl="8" w:tplc="65C81CD8">
      <w:start w:val="1"/>
      <w:numFmt w:val="bullet"/>
      <w:lvlText w:val=""/>
      <w:lvlJc w:val="left"/>
      <w:pPr>
        <w:tabs>
          <w:tab w:val="num" w:pos="6480"/>
        </w:tabs>
        <w:ind w:left="6480" w:hanging="360"/>
      </w:pPr>
      <w:rPr>
        <w:rFonts w:ascii="Wingdings" w:hAnsi="Wingdings"/>
      </w:r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1B9C"/>
    <w:multiLevelType w:val="hybridMultilevel"/>
    <w:tmpl w:val="DAA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4"/>
  </w:num>
  <w:num w:numId="11">
    <w:abstractNumId w:val="17"/>
  </w:num>
  <w:num w:numId="12">
    <w:abstractNumId w:val="19"/>
  </w:num>
  <w:num w:numId="13">
    <w:abstractNumId w:val="25"/>
  </w:num>
  <w:num w:numId="14">
    <w:abstractNumId w:val="26"/>
  </w:num>
  <w:num w:numId="15">
    <w:abstractNumId w:val="11"/>
  </w:num>
  <w:num w:numId="16">
    <w:abstractNumId w:val="10"/>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5"/>
  </w:num>
  <w:num w:numId="24">
    <w:abstractNumId w:val="23"/>
  </w:num>
  <w:num w:numId="25">
    <w:abstractNumId w:val="24"/>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86E"/>
    <w:rsid w:val="000B0E70"/>
    <w:rsid w:val="000B5695"/>
    <w:rsid w:val="000F59AF"/>
    <w:rsid w:val="00105F45"/>
    <w:rsid w:val="00127B46"/>
    <w:rsid w:val="00162DB6"/>
    <w:rsid w:val="00182A1E"/>
    <w:rsid w:val="0019309D"/>
    <w:rsid w:val="001F526C"/>
    <w:rsid w:val="00200261"/>
    <w:rsid w:val="00203BC2"/>
    <w:rsid w:val="00211832"/>
    <w:rsid w:val="00222D1B"/>
    <w:rsid w:val="00235D71"/>
    <w:rsid w:val="0024335E"/>
    <w:rsid w:val="00254DCF"/>
    <w:rsid w:val="002567F9"/>
    <w:rsid w:val="0027743E"/>
    <w:rsid w:val="00294E92"/>
    <w:rsid w:val="002C77C3"/>
    <w:rsid w:val="002D7713"/>
    <w:rsid w:val="002F7B39"/>
    <w:rsid w:val="003132E7"/>
    <w:rsid w:val="00320011"/>
    <w:rsid w:val="00331D7E"/>
    <w:rsid w:val="00337EF1"/>
    <w:rsid w:val="00340D9B"/>
    <w:rsid w:val="00394A8A"/>
    <w:rsid w:val="003C0540"/>
    <w:rsid w:val="003C7090"/>
    <w:rsid w:val="003F17D1"/>
    <w:rsid w:val="003F4655"/>
    <w:rsid w:val="00420AE9"/>
    <w:rsid w:val="00442494"/>
    <w:rsid w:val="00465663"/>
    <w:rsid w:val="00480AFF"/>
    <w:rsid w:val="00486235"/>
    <w:rsid w:val="00490797"/>
    <w:rsid w:val="004B68C9"/>
    <w:rsid w:val="004C74D6"/>
    <w:rsid w:val="004F4F5D"/>
    <w:rsid w:val="00502FF3"/>
    <w:rsid w:val="00510F0C"/>
    <w:rsid w:val="00514B22"/>
    <w:rsid w:val="00520B36"/>
    <w:rsid w:val="00571698"/>
    <w:rsid w:val="00576EDB"/>
    <w:rsid w:val="005916AA"/>
    <w:rsid w:val="00594B6B"/>
    <w:rsid w:val="00596BBA"/>
    <w:rsid w:val="005A0872"/>
    <w:rsid w:val="005C3A95"/>
    <w:rsid w:val="005C7428"/>
    <w:rsid w:val="005D5C81"/>
    <w:rsid w:val="00627307"/>
    <w:rsid w:val="00642741"/>
    <w:rsid w:val="0065530D"/>
    <w:rsid w:val="006641CC"/>
    <w:rsid w:val="00690D3E"/>
    <w:rsid w:val="006A13FA"/>
    <w:rsid w:val="006A6D88"/>
    <w:rsid w:val="006E563D"/>
    <w:rsid w:val="006F2DF8"/>
    <w:rsid w:val="00722FDB"/>
    <w:rsid w:val="00735D71"/>
    <w:rsid w:val="00750466"/>
    <w:rsid w:val="00761B19"/>
    <w:rsid w:val="0077261C"/>
    <w:rsid w:val="007C785D"/>
    <w:rsid w:val="007F454F"/>
    <w:rsid w:val="007F5A79"/>
    <w:rsid w:val="00851919"/>
    <w:rsid w:val="0085688C"/>
    <w:rsid w:val="008635C4"/>
    <w:rsid w:val="008A06EF"/>
    <w:rsid w:val="008D1294"/>
    <w:rsid w:val="008E3029"/>
    <w:rsid w:val="00931C4A"/>
    <w:rsid w:val="0097496F"/>
    <w:rsid w:val="0098628F"/>
    <w:rsid w:val="009937D8"/>
    <w:rsid w:val="00994F2B"/>
    <w:rsid w:val="00996894"/>
    <w:rsid w:val="009A2A08"/>
    <w:rsid w:val="009A6246"/>
    <w:rsid w:val="009F2544"/>
    <w:rsid w:val="009F70CA"/>
    <w:rsid w:val="00A1492C"/>
    <w:rsid w:val="00A40903"/>
    <w:rsid w:val="00A50A0F"/>
    <w:rsid w:val="00A5743E"/>
    <w:rsid w:val="00A62905"/>
    <w:rsid w:val="00A76F7E"/>
    <w:rsid w:val="00A77157"/>
    <w:rsid w:val="00AD2841"/>
    <w:rsid w:val="00AE6529"/>
    <w:rsid w:val="00AF30F4"/>
    <w:rsid w:val="00B52F4E"/>
    <w:rsid w:val="00B5395D"/>
    <w:rsid w:val="00B556A2"/>
    <w:rsid w:val="00B55E9F"/>
    <w:rsid w:val="00B74454"/>
    <w:rsid w:val="00B92295"/>
    <w:rsid w:val="00B933B0"/>
    <w:rsid w:val="00BB4590"/>
    <w:rsid w:val="00BD746F"/>
    <w:rsid w:val="00BD7755"/>
    <w:rsid w:val="00BE7738"/>
    <w:rsid w:val="00BF26F1"/>
    <w:rsid w:val="00C23997"/>
    <w:rsid w:val="00C33684"/>
    <w:rsid w:val="00C62D17"/>
    <w:rsid w:val="00C808F4"/>
    <w:rsid w:val="00C97854"/>
    <w:rsid w:val="00CA15B1"/>
    <w:rsid w:val="00CC052C"/>
    <w:rsid w:val="00CC24D5"/>
    <w:rsid w:val="00CC2835"/>
    <w:rsid w:val="00CF0AD2"/>
    <w:rsid w:val="00D21AA6"/>
    <w:rsid w:val="00D25D16"/>
    <w:rsid w:val="00D462F7"/>
    <w:rsid w:val="00D50245"/>
    <w:rsid w:val="00D61659"/>
    <w:rsid w:val="00D64803"/>
    <w:rsid w:val="00D734A2"/>
    <w:rsid w:val="00D745CD"/>
    <w:rsid w:val="00D97DA6"/>
    <w:rsid w:val="00DA2B37"/>
    <w:rsid w:val="00E14976"/>
    <w:rsid w:val="00E5409A"/>
    <w:rsid w:val="00E8379E"/>
    <w:rsid w:val="00E95FFB"/>
    <w:rsid w:val="00EA6C04"/>
    <w:rsid w:val="00EB7FF2"/>
    <w:rsid w:val="00ED3F4A"/>
    <w:rsid w:val="00ED5A59"/>
    <w:rsid w:val="00EE1C2F"/>
    <w:rsid w:val="00F25499"/>
    <w:rsid w:val="00F55A89"/>
    <w:rsid w:val="00F846BC"/>
    <w:rsid w:val="00F86C35"/>
    <w:rsid w:val="00F97482"/>
    <w:rsid w:val="00FA1FA3"/>
    <w:rsid w:val="00FB569C"/>
    <w:rsid w:val="00FC5A66"/>
    <w:rsid w:val="00FC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9D8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454"/>
    <w:rPr>
      <w:sz w:val="16"/>
      <w:szCs w:val="16"/>
    </w:rPr>
  </w:style>
  <w:style w:type="paragraph" w:styleId="CommentText">
    <w:name w:val="annotation text"/>
    <w:basedOn w:val="Normal"/>
    <w:link w:val="CommentTextChar"/>
    <w:uiPriority w:val="99"/>
    <w:semiHidden/>
    <w:unhideWhenUsed/>
    <w:rsid w:val="00B74454"/>
    <w:pPr>
      <w:spacing w:line="240" w:lineRule="auto"/>
    </w:pPr>
    <w:rPr>
      <w:sz w:val="20"/>
      <w:szCs w:val="20"/>
    </w:rPr>
  </w:style>
  <w:style w:type="character" w:customStyle="1" w:styleId="CommentTextChar">
    <w:name w:val="Comment Text Char"/>
    <w:basedOn w:val="DefaultParagraphFont"/>
    <w:link w:val="CommentText"/>
    <w:uiPriority w:val="99"/>
    <w:semiHidden/>
    <w:rsid w:val="00B74454"/>
    <w:rPr>
      <w:sz w:val="20"/>
      <w:szCs w:val="20"/>
    </w:rPr>
  </w:style>
  <w:style w:type="paragraph" w:styleId="CommentSubject">
    <w:name w:val="annotation subject"/>
    <w:basedOn w:val="CommentText"/>
    <w:next w:val="CommentText"/>
    <w:link w:val="CommentSubjectChar"/>
    <w:uiPriority w:val="99"/>
    <w:semiHidden/>
    <w:unhideWhenUsed/>
    <w:rsid w:val="00B74454"/>
    <w:rPr>
      <w:b/>
      <w:bCs/>
    </w:rPr>
  </w:style>
  <w:style w:type="character" w:customStyle="1" w:styleId="CommentSubjectChar">
    <w:name w:val="Comment Subject Char"/>
    <w:basedOn w:val="CommentTextChar"/>
    <w:link w:val="CommentSubject"/>
    <w:uiPriority w:val="99"/>
    <w:semiHidden/>
    <w:rsid w:val="00B74454"/>
    <w:rPr>
      <w:b/>
      <w:bCs/>
      <w:sz w:val="20"/>
      <w:szCs w:val="20"/>
    </w:rPr>
  </w:style>
  <w:style w:type="paragraph" w:styleId="Revision">
    <w:name w:val="Revision"/>
    <w:hidden/>
    <w:uiPriority w:val="99"/>
    <w:semiHidden/>
    <w:rsid w:val="00BE7738"/>
    <w:pPr>
      <w:spacing w:after="0" w:line="240" w:lineRule="auto"/>
    </w:pPr>
  </w:style>
  <w:style w:type="paragraph" w:customStyle="1" w:styleId="FootnoteText1">
    <w:name w:val="Footnote Text1"/>
    <w:basedOn w:val="Normal"/>
    <w:next w:val="FootnoteText"/>
    <w:link w:val="FootnoteTextChar"/>
    <w:uiPriority w:val="99"/>
    <w:semiHidden/>
    <w:unhideWhenUsed/>
    <w:rsid w:val="006A6D88"/>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6D88"/>
    <w:rPr>
      <w:sz w:val="20"/>
      <w:szCs w:val="20"/>
    </w:rPr>
  </w:style>
  <w:style w:type="character" w:styleId="FootnoteReference">
    <w:name w:val="footnote reference"/>
    <w:basedOn w:val="DefaultParagraphFont"/>
    <w:uiPriority w:val="99"/>
    <w:semiHidden/>
    <w:unhideWhenUsed/>
    <w:rsid w:val="006A6D88"/>
    <w:rPr>
      <w:vertAlign w:val="superscript"/>
    </w:rPr>
  </w:style>
  <w:style w:type="paragraph" w:styleId="FootnoteText">
    <w:name w:val="footnote text"/>
    <w:basedOn w:val="Normal"/>
    <w:link w:val="FootnoteTextChar1"/>
    <w:uiPriority w:val="99"/>
    <w:semiHidden/>
    <w:unhideWhenUsed/>
    <w:rsid w:val="006A6D8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6D88"/>
    <w:rPr>
      <w:sz w:val="20"/>
      <w:szCs w:val="20"/>
    </w:rPr>
  </w:style>
  <w:style w:type="paragraph" w:styleId="EndnoteText">
    <w:name w:val="endnote text"/>
    <w:basedOn w:val="Normal"/>
    <w:link w:val="EndnoteTextChar"/>
    <w:uiPriority w:val="99"/>
    <w:semiHidden/>
    <w:unhideWhenUsed/>
    <w:rsid w:val="00BD74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46F"/>
    <w:rPr>
      <w:sz w:val="20"/>
      <w:szCs w:val="20"/>
    </w:rPr>
  </w:style>
  <w:style w:type="character" w:styleId="EndnoteReference">
    <w:name w:val="endnote reference"/>
    <w:basedOn w:val="DefaultParagraphFont"/>
    <w:uiPriority w:val="99"/>
    <w:semiHidden/>
    <w:unhideWhenUsed/>
    <w:rsid w:val="00BD7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448">
      <w:bodyDiv w:val="1"/>
      <w:marLeft w:val="0"/>
      <w:marRight w:val="0"/>
      <w:marTop w:val="0"/>
      <w:marBottom w:val="0"/>
      <w:divBdr>
        <w:top w:val="none" w:sz="0" w:space="0" w:color="auto"/>
        <w:left w:val="none" w:sz="0" w:space="0" w:color="auto"/>
        <w:bottom w:val="none" w:sz="0" w:space="0" w:color="auto"/>
        <w:right w:val="none" w:sz="0" w:space="0" w:color="auto"/>
      </w:divBdr>
    </w:div>
    <w:div w:id="634986138">
      <w:bodyDiv w:val="1"/>
      <w:marLeft w:val="0"/>
      <w:marRight w:val="0"/>
      <w:marTop w:val="0"/>
      <w:marBottom w:val="0"/>
      <w:divBdr>
        <w:top w:val="none" w:sz="0" w:space="0" w:color="auto"/>
        <w:left w:val="none" w:sz="0" w:space="0" w:color="auto"/>
        <w:bottom w:val="none" w:sz="0" w:space="0" w:color="auto"/>
        <w:right w:val="none" w:sz="0" w:space="0" w:color="auto"/>
      </w:divBdr>
    </w:div>
    <w:div w:id="1507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aldata.com/covid-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2B17-8D1C-4D6A-92DE-FD567563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6</cp:revision>
  <cp:lastPrinted>2016-09-20T19:55:00Z</cp:lastPrinted>
  <dcterms:created xsi:type="dcterms:W3CDTF">2020-11-30T17:29:00Z</dcterms:created>
  <dcterms:modified xsi:type="dcterms:W3CDTF">2020-12-03T22:42:00Z</dcterms:modified>
</cp:coreProperties>
</file>