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EC1" w:rsidP="005A668A" w:rsidRDefault="00DF4EC1">
      <w:pPr>
        <w:pStyle w:val="Title"/>
        <w:rPr/>
      </w:pPr>
      <w:bookmarkStart w:name="_Hlk23502284" w:id="1"/>
      <w:r xmlns:w="http://schemas.openxmlformats.org/wordprocessingml/2006/main">
        <w:t>Emergency Shortages Data Collection System</w:t>
      </w:r>
    </w:p>
    <w:p w:rsidRPr="00072FB2" w:rsidR="00B25F71" w:rsidDel="00DF4EC1" w:rsidP="005A668A" w:rsidRDefault="00B25F71">
      <w:pPr>
        <w:pStyle w:val="Title"/>
        <w:rPr/>
      </w:pPr>
      <w:bookmarkStart w:name="_GoBack" w:id="4"/>
      <w:bookmarkEnd w:id="4"/>
    </w:p>
    <w:p w:rsidR="00B25F71" w:rsidP="00B25F71" w:rsidRDefault="00B25F71">
      <w:pPr>
        <w:widowControl w:val="0"/>
        <w:tabs>
          <w:tab w:val="center" w:pos="4680"/>
        </w:tabs>
        <w:jc w:val="center"/>
        <w:rPr>
          <w:b/>
        </w:rPr>
      </w:pPr>
      <w:r w:rsidRPr="00072FB2">
        <w:rPr>
          <w:b/>
        </w:rPr>
        <w:t>OMB No. 0910-0491</w:t>
      </w:r>
    </w:p>
    <w:p w:rsidRPr="005A668A" w:rsidR="005A668A" w:rsidP="00B25F71" w:rsidRDefault="005A668A">
      <w:pPr>
        <w:widowControl w:val="0"/>
        <w:tabs>
          <w:tab w:val="center" w:pos="4680"/>
        </w:tabs>
        <w:jc w:val="center"/>
        <w:rPr>
          <w:b/>
        </w:rPr>
      </w:pPr>
      <w:r w:rsidRPr="005A668A">
        <w:rPr>
          <w:b/>
        </w:rPr>
        <w:t>SUPPORTING STATEMENT</w:t>
      </w:r>
    </w:p>
    <w:p w:rsidRPr="00C310D2" w:rsidR="00C310D2" w:rsidP="00C310D2" w:rsidRDefault="00B25F71">
      <w:pPr>
        <w:spacing w:before="100" w:beforeAutospacing="1" w:after="100" w:afterAutospacing="1"/>
        <w:rPr>
          <w:b/>
        </w:rPr>
      </w:pPr>
      <w:r>
        <w:rPr>
          <w:b/>
        </w:rPr>
        <w:t xml:space="preserve">B.  </w:t>
      </w:r>
      <w:r w:rsidRPr="00C310D2" w:rsidR="00C310D2">
        <w:rPr>
          <w:b/>
        </w:rPr>
        <w:t>Statistical Methods (used for collection of information employing statistical methods)</w:t>
      </w:r>
    </w:p>
    <w:p w:rsidRPr="00C310D2" w:rsidR="00C310D2" w:rsidP="00C310D2" w:rsidRDefault="00C310D2">
      <w:pPr>
        <w:numPr>
          <w:ilvl w:val="0"/>
          <w:numId w:val="1"/>
        </w:numPr>
        <w:spacing w:before="100" w:beforeAutospacing="1" w:after="100" w:afterAutospacing="1"/>
        <w:rPr>
          <w:b/>
          <w:u w:val="single"/>
        </w:rPr>
      </w:pPr>
      <w:r w:rsidRPr="00C310D2">
        <w:rPr>
          <w:b/>
          <w:u w:val="single"/>
        </w:rPr>
        <w:t>Respondent Universe and Sampling Methods</w:t>
      </w:r>
    </w:p>
    <w:p w:rsidR="00C310D2" w:rsidP="00443C79" w:rsidRDefault="00C310D2">
      <w:pPr>
        <w:ind w:left="360"/>
      </w:pPr>
      <w:r>
        <w:t xml:space="preserve">Because the goals of this program are to </w:t>
      </w:r>
      <w:r w:rsidRPr="00AF154A">
        <w:rPr>
          <w:lang w:val="en"/>
        </w:rPr>
        <w:t xml:space="preserve">acquire and maintain </w:t>
      </w:r>
      <w:r w:rsidRPr="00AF154A">
        <w:t xml:space="preserve">detailed data on domestic inventory, manufacturing capabilities, distribution plans and raw material constraints for </w:t>
      </w:r>
      <w:r w:rsidRPr="003F137E" w:rsidR="00E959B5">
        <w:t xml:space="preserve">essential </w:t>
      </w:r>
      <w:r w:rsidRPr="003F137E">
        <w:t>m</w:t>
      </w:r>
      <w:r w:rsidRPr="00AF154A">
        <w:t>edical devices that would be vulnerable to shortages in specific disaster/emergency situations, or following specific regulatory actions</w:t>
      </w:r>
      <w:r>
        <w:t xml:space="preserve">, the respondent universe is limited to those </w:t>
      </w:r>
      <w:r w:rsidRPr="003F137E">
        <w:t xml:space="preserve">manufacturers </w:t>
      </w:r>
      <w:r w:rsidRPr="003F137E" w:rsidR="006B6C8A">
        <w:t>producing</w:t>
      </w:r>
      <w:r w:rsidRPr="003F137E">
        <w:t xml:space="preserve"> </w:t>
      </w:r>
      <w:r w:rsidRPr="003F137E" w:rsidR="006B6C8A">
        <w:t>essential medical devices.</w:t>
      </w:r>
      <w:r>
        <w:t xml:space="preserve"> The CDRH Registration and Listing database </w:t>
      </w:r>
      <w:r w:rsidR="00A021D4">
        <w:t>has been queried on a regular basis to generate a list of candidate manufacturers (i.e., believed</w:t>
      </w:r>
      <w:r w:rsidR="0044057D">
        <w:t xml:space="preserve"> to </w:t>
      </w:r>
      <w:r w:rsidRPr="004D0DD1" w:rsidR="0044057D">
        <w:t>meet</w:t>
      </w:r>
      <w:r w:rsidRPr="004D0DD1" w:rsidR="00CA3BD7">
        <w:t xml:space="preserve"> the</w:t>
      </w:r>
      <w:r w:rsidRPr="004D0DD1" w:rsidR="0044057D">
        <w:t xml:space="preserve"> </w:t>
      </w:r>
      <w:r w:rsidRPr="004D0DD1" w:rsidR="00CA3BD7">
        <w:t xml:space="preserve">factors CDRH considers </w:t>
      </w:r>
      <w:r w:rsidR="004D0DD1">
        <w:t xml:space="preserve">in determining </w:t>
      </w:r>
      <w:r w:rsidRPr="004D0DD1" w:rsidR="00CA3BD7">
        <w:t>essential medical devices</w:t>
      </w:r>
      <w:r w:rsidRPr="004D0DD1" w:rsidR="00A021D4">
        <w:t>, based on information</w:t>
      </w:r>
      <w:r w:rsidR="00A021D4">
        <w:t xml:space="preserve"> that the manufacturer submits during the annual registration process),</w:t>
      </w:r>
      <w:r>
        <w:t xml:space="preserve"> we estimate that approximately </w:t>
      </w:r>
      <w:r w:rsidRPr="004D0DD1" w:rsidR="00CA3BD7">
        <w:t>300</w:t>
      </w:r>
      <w:r>
        <w:t xml:space="preserve"> registered entities </w:t>
      </w:r>
      <w:r w:rsidR="00A021D4">
        <w:t xml:space="preserve">currently </w:t>
      </w:r>
      <w:r>
        <w:t>meet t</w:t>
      </w:r>
      <w:r w:rsidR="00A021D4">
        <w:t>hese</w:t>
      </w:r>
      <w:r>
        <w:t xml:space="preserve"> inclusion criteria. </w:t>
      </w:r>
      <w:r w:rsidR="00A021D4">
        <w:t>Because</w:t>
      </w:r>
      <w:r>
        <w:t xml:space="preserve"> manufacturers enter </w:t>
      </w:r>
      <w:r w:rsidR="00336CD6">
        <w:t xml:space="preserve">and leave </w:t>
      </w:r>
      <w:r>
        <w:t xml:space="preserve">the market, </w:t>
      </w:r>
      <w:r w:rsidR="00336CD6">
        <w:t xml:space="preserve">existing manufacturers merge with other manufacturers, </w:t>
      </w:r>
      <w:r w:rsidR="00A021D4">
        <w:t>and because manufactur</w:t>
      </w:r>
      <w:r w:rsidR="00336CD6">
        <w:t>er</w:t>
      </w:r>
      <w:r w:rsidR="00A021D4">
        <w:t xml:space="preserve"> may withdraw products and product lines, this number is subject to change. Given the low number of candidate </w:t>
      </w:r>
      <w:r w:rsidR="00AF27D9">
        <w:t>respondents and</w:t>
      </w:r>
      <w:r w:rsidR="00A021D4">
        <w:t xml:space="preserve"> because of the need to be comprehensive in the data acquisition, all candidate respondents will</w:t>
      </w:r>
      <w:r w:rsidR="003D66B5">
        <w:t xml:space="preserve"> be</w:t>
      </w:r>
      <w:r w:rsidR="00A021D4">
        <w:t xml:space="preserve"> contacted and invited to participate. We anticipate a response rate in </w:t>
      </w:r>
      <w:r w:rsidR="00CD7584">
        <w:sym w:font="Symbol" w:char="F0B3"/>
      </w:r>
      <w:r w:rsidR="00A021D4">
        <w:t xml:space="preserve"> 75% based on prior years’ activities. However, unlike typical surveys, the information acquired will not be used for inferential purposes or hypothesis testing, and therefore </w:t>
      </w:r>
      <w:r w:rsidR="00CD7584">
        <w:t xml:space="preserve">will not be </w:t>
      </w:r>
      <w:r w:rsidR="00A021D4">
        <w:t>subject</w:t>
      </w:r>
      <w:r w:rsidR="00CD7584">
        <w:t>ed</w:t>
      </w:r>
      <w:r w:rsidR="00A021D4">
        <w:t xml:space="preserve"> to a statistical test procedure.</w:t>
      </w:r>
    </w:p>
    <w:p w:rsidR="005A668A" w:rsidP="0058283A" w:rsidRDefault="005A668A">
      <w:pPr>
        <w:ind w:left="360"/>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00"/>
        <w:gridCol w:w="3960"/>
        <w:gridCol w:w="1800"/>
      </w:tblGrid>
      <w:tr w:rsidR="003D66B5" w:rsidTr="0007478B">
        <w:trPr>
          <w:cantSplit/>
          <w:jc w:val="center"/>
        </w:trPr>
        <w:tc>
          <w:tcPr>
            <w:tcW w:w="3600" w:type="dxa"/>
            <w:shd w:val="clear" w:color="auto" w:fill="auto"/>
          </w:tcPr>
          <w:p w:rsidR="003D66B5" w:rsidP="0007478B" w:rsidRDefault="003D66B5">
            <w:pPr>
              <w:jc w:val="center"/>
            </w:pPr>
            <w:r>
              <w:t>Type of Respondents</w:t>
            </w:r>
          </w:p>
        </w:tc>
        <w:tc>
          <w:tcPr>
            <w:tcW w:w="3960" w:type="dxa"/>
            <w:shd w:val="clear" w:color="auto" w:fill="auto"/>
          </w:tcPr>
          <w:p w:rsidR="003D66B5" w:rsidP="0007478B" w:rsidRDefault="003D66B5">
            <w:pPr>
              <w:jc w:val="center"/>
            </w:pPr>
            <w:r>
              <w:t xml:space="preserve">Approximate No. of Respondents That </w:t>
            </w:r>
            <w:r w:rsidR="00C43C8D">
              <w:t>Manufacture</w:t>
            </w:r>
            <w:r w:rsidR="00443C79">
              <w:t xml:space="preserve"> </w:t>
            </w:r>
            <w:r w:rsidRPr="004D0DD1" w:rsidR="00443C79">
              <w:t>Essential Device</w:t>
            </w:r>
            <w:r w:rsidRPr="004D0DD1" w:rsidR="00C43C8D">
              <w:t>s</w:t>
            </w:r>
          </w:p>
        </w:tc>
        <w:tc>
          <w:tcPr>
            <w:tcW w:w="1800" w:type="dxa"/>
            <w:shd w:val="clear" w:color="auto" w:fill="auto"/>
          </w:tcPr>
          <w:p w:rsidR="003D66B5" w:rsidP="0007478B" w:rsidRDefault="003D66B5">
            <w:pPr>
              <w:jc w:val="center"/>
            </w:pPr>
            <w:r>
              <w:t>Anticipated Response Rate</w:t>
            </w:r>
          </w:p>
        </w:tc>
      </w:tr>
      <w:tr w:rsidR="003D66B5" w:rsidTr="0007478B">
        <w:trPr>
          <w:cantSplit/>
          <w:jc w:val="center"/>
        </w:trPr>
        <w:tc>
          <w:tcPr>
            <w:tcW w:w="3600" w:type="dxa"/>
            <w:shd w:val="clear" w:color="auto" w:fill="auto"/>
          </w:tcPr>
          <w:p w:rsidR="003D66B5" w:rsidP="0058283A" w:rsidRDefault="003D66B5">
            <w:r>
              <w:t>Medical device manufacturers</w:t>
            </w:r>
          </w:p>
        </w:tc>
        <w:tc>
          <w:tcPr>
            <w:tcW w:w="3960" w:type="dxa"/>
            <w:shd w:val="clear" w:color="auto" w:fill="auto"/>
          </w:tcPr>
          <w:p w:rsidR="003D66B5" w:rsidP="0007478B" w:rsidRDefault="00CA3BD7">
            <w:pPr>
              <w:jc w:val="center"/>
            </w:pPr>
            <w:r w:rsidRPr="004D0DD1">
              <w:t>~300</w:t>
            </w:r>
          </w:p>
        </w:tc>
        <w:tc>
          <w:tcPr>
            <w:tcW w:w="1800" w:type="dxa"/>
            <w:shd w:val="clear" w:color="auto" w:fill="auto"/>
          </w:tcPr>
          <w:p w:rsidR="003D66B5" w:rsidP="0007478B" w:rsidRDefault="001658E6">
            <w:pPr>
              <w:jc w:val="right"/>
            </w:pPr>
            <w:r>
              <w:t>≥</w:t>
            </w:r>
            <w:r w:rsidR="003D66B5">
              <w:t xml:space="preserve"> 75 %</w:t>
            </w:r>
          </w:p>
        </w:tc>
      </w:tr>
    </w:tbl>
    <w:p w:rsidR="005A668A" w:rsidP="0058283A" w:rsidRDefault="005A668A">
      <w:pPr>
        <w:ind w:left="360"/>
      </w:pPr>
    </w:p>
    <w:p w:rsidRPr="00CD7584" w:rsidR="00C310D2" w:rsidP="00C310D2" w:rsidRDefault="00C310D2">
      <w:pPr>
        <w:numPr>
          <w:ilvl w:val="0"/>
          <w:numId w:val="1"/>
        </w:numPr>
        <w:spacing w:before="100" w:beforeAutospacing="1" w:after="100" w:afterAutospacing="1"/>
        <w:rPr>
          <w:b/>
          <w:u w:val="single"/>
        </w:rPr>
      </w:pPr>
      <w:r w:rsidRPr="00CD7584">
        <w:rPr>
          <w:b/>
          <w:u w:val="single"/>
        </w:rPr>
        <w:t>Procedures for the Collection of Information</w:t>
      </w:r>
    </w:p>
    <w:p w:rsidR="0044057D" w:rsidP="0058283A" w:rsidRDefault="00336CD6">
      <w:pPr>
        <w:pStyle w:val="BodyTextIndent"/>
      </w:pPr>
      <w:r>
        <w:t xml:space="preserve">The </w:t>
      </w:r>
      <w:r w:rsidR="0058283A">
        <w:t xml:space="preserve">CDRH Registration and Listing database will be queried </w:t>
      </w:r>
      <w:r w:rsidR="004D0DD1">
        <w:t xml:space="preserve">every 6 months </w:t>
      </w:r>
      <w:r w:rsidR="0058283A">
        <w:t xml:space="preserve">to generate a list of candidate manufacturers. Criteria for participation/inclusion in this data collection effort are:  </w:t>
      </w:r>
    </w:p>
    <w:p w:rsidR="0044057D" w:rsidP="0044057D" w:rsidRDefault="0044057D">
      <w:pPr>
        <w:pStyle w:val="BodyTextIndent"/>
        <w:numPr>
          <w:ilvl w:val="0"/>
          <w:numId w:val="8"/>
        </w:numPr>
      </w:pPr>
      <w:r>
        <w:t>Currently registered with FDA/CDRH</w:t>
      </w:r>
    </w:p>
    <w:p w:rsidRPr="004D0DD1" w:rsidR="006B6C8A" w:rsidP="0044057D" w:rsidRDefault="006B6C8A">
      <w:pPr>
        <w:pStyle w:val="BodyTextIndent"/>
        <w:numPr>
          <w:ilvl w:val="0"/>
          <w:numId w:val="8"/>
        </w:numPr>
      </w:pPr>
      <w:r w:rsidRPr="004D0DD1">
        <w:t>Currently manufacturing</w:t>
      </w:r>
      <w:r w:rsidR="004D0DD1">
        <w:t>:</w:t>
      </w:r>
    </w:p>
    <w:p w:rsidRPr="004D0DD1" w:rsidR="006B6C8A" w:rsidP="004D0DD1" w:rsidRDefault="006B6C8A">
      <w:pPr>
        <w:pStyle w:val="HTMLPreformatted"/>
        <w:numPr>
          <w:ilvl w:val="1"/>
          <w:numId w:val="8"/>
        </w:numPr>
        <w:rPr>
          <w:rFonts w:ascii="Times New Roman" w:hAnsi="Times New Roman"/>
          <w:sz w:val="24"/>
        </w:rPr>
      </w:pPr>
      <w:r w:rsidRPr="004D0DD1">
        <w:rPr>
          <w:rFonts w:ascii="Times New Roman" w:hAnsi="Times New Roman"/>
          <w:sz w:val="24"/>
        </w:rPr>
        <w:t>Devices that are used to diagnose, treat, or prevent a serious disease or medical condition;</w:t>
      </w:r>
    </w:p>
    <w:p w:rsidRPr="004D0DD1" w:rsidR="006B6C8A" w:rsidP="004D0DD1" w:rsidRDefault="006B6C8A">
      <w:pPr>
        <w:pStyle w:val="HTMLPreformatted"/>
        <w:numPr>
          <w:ilvl w:val="1"/>
          <w:numId w:val="8"/>
        </w:numPr>
        <w:rPr>
          <w:rFonts w:ascii="Times New Roman" w:hAnsi="Times New Roman"/>
          <w:sz w:val="24"/>
        </w:rPr>
      </w:pPr>
      <w:r w:rsidRPr="004D0DD1">
        <w:rPr>
          <w:rFonts w:ascii="Times New Roman" w:hAnsi="Times New Roman"/>
          <w:sz w:val="24"/>
        </w:rPr>
        <w:t>Devices for which no satisfactory alternative devices, drugs, or therapies are available;</w:t>
      </w:r>
    </w:p>
    <w:p w:rsidRPr="004D0DD1" w:rsidR="006B6C8A" w:rsidP="004D0DD1" w:rsidRDefault="006B6C8A">
      <w:pPr>
        <w:pStyle w:val="HTMLPreformatted"/>
        <w:numPr>
          <w:ilvl w:val="1"/>
          <w:numId w:val="8"/>
        </w:numPr>
        <w:rPr>
          <w:rFonts w:ascii="Times New Roman" w:hAnsi="Times New Roman"/>
          <w:sz w:val="24"/>
        </w:rPr>
      </w:pPr>
      <w:r w:rsidRPr="004D0DD1">
        <w:rPr>
          <w:rFonts w:ascii="Times New Roman" w:hAnsi="Times New Roman"/>
          <w:sz w:val="24"/>
        </w:rPr>
        <w:t>Devices used as a tool (e.g. core medical equipment) for life-sustaining conditions or patient care;</w:t>
      </w:r>
    </w:p>
    <w:p w:rsidRPr="004D0DD1" w:rsidR="006B6C8A" w:rsidP="004D0DD1" w:rsidRDefault="006B6C8A">
      <w:pPr>
        <w:pStyle w:val="ListParagraph"/>
        <w:numPr>
          <w:ilvl w:val="1"/>
          <w:numId w:val="8"/>
        </w:numPr>
        <w:rPr>
          <w:rFonts w:ascii="Times New Roman" w:hAnsi="Times New Roman" w:cs="Courier New"/>
        </w:rPr>
      </w:pPr>
      <w:r w:rsidRPr="004D0DD1">
        <w:rPr>
          <w:rFonts w:ascii="Times New Roman" w:hAnsi="Times New Roman" w:cs="Courier New"/>
        </w:rPr>
        <w:t>Devices commonly used with vulnerable patient populations (e.g. pediatrics);</w:t>
      </w:r>
    </w:p>
    <w:p w:rsidRPr="004D0DD1" w:rsidR="006B6C8A" w:rsidP="004D0DD1" w:rsidRDefault="006B6C8A">
      <w:pPr>
        <w:pStyle w:val="HTMLPreformatted"/>
        <w:numPr>
          <w:ilvl w:val="1"/>
          <w:numId w:val="8"/>
        </w:numPr>
        <w:rPr>
          <w:rFonts w:ascii="Times New Roman" w:hAnsi="Times New Roman"/>
          <w:sz w:val="24"/>
        </w:rPr>
      </w:pPr>
      <w:r w:rsidRPr="004D0DD1">
        <w:rPr>
          <w:rFonts w:ascii="Times New Roman" w:hAnsi="Times New Roman"/>
          <w:sz w:val="24"/>
        </w:rPr>
        <w:lastRenderedPageBreak/>
        <w:t>Devices that are part of a system and if it/they were not available, healthcare facilities would be required to switch to a completely different system; and</w:t>
      </w:r>
    </w:p>
    <w:p w:rsidRPr="004D0DD1" w:rsidR="006B6C8A" w:rsidP="004D0DD1" w:rsidRDefault="006B6C8A">
      <w:pPr>
        <w:pStyle w:val="HTMLPreformatted"/>
        <w:numPr>
          <w:ilvl w:val="1"/>
          <w:numId w:val="8"/>
        </w:numPr>
        <w:rPr>
          <w:rFonts w:ascii="Times New Roman" w:hAnsi="Times New Roman"/>
          <w:sz w:val="24"/>
        </w:rPr>
      </w:pPr>
      <w:r w:rsidRPr="004D0DD1">
        <w:rPr>
          <w:rFonts w:ascii="Times New Roman" w:hAnsi="Times New Roman"/>
          <w:sz w:val="24"/>
        </w:rPr>
        <w:t>Devices where the manufacturer is the sole manufacturer.</w:t>
      </w:r>
    </w:p>
    <w:p w:rsidR="006B6C8A" w:rsidP="004D0DD1" w:rsidRDefault="006B6C8A">
      <w:pPr>
        <w:pStyle w:val="BodyTextIndent"/>
        <w:ind w:left="1080"/>
      </w:pPr>
    </w:p>
    <w:p w:rsidRPr="00381D73" w:rsidR="0058283A" w:rsidP="0058283A" w:rsidRDefault="0058283A">
      <w:pPr>
        <w:pStyle w:val="BodyTextIndent"/>
      </w:pPr>
      <w:r>
        <w:t>Using</w:t>
      </w:r>
      <w:r w:rsidR="0044057D">
        <w:t xml:space="preserve"> the official correspondence contact information provided by the manufacture</w:t>
      </w:r>
      <w:r w:rsidR="006B6C8A">
        <w:t xml:space="preserve">r </w:t>
      </w:r>
      <w:r w:rsidR="0044057D">
        <w:t xml:space="preserve">during the annual registration and listing process, </w:t>
      </w:r>
      <w:r w:rsidR="00336CD6">
        <w:t xml:space="preserve">CDRH shortages staff will initially contact </w:t>
      </w:r>
      <w:r w:rsidR="0044057D">
        <w:t>the manufacturer via telephone, at which time</w:t>
      </w:r>
      <w:r>
        <w:t xml:space="preserve"> the rationale and goals of the program</w:t>
      </w:r>
      <w:r w:rsidR="0044057D">
        <w:t xml:space="preserve"> will be explained. If the respondent </w:t>
      </w:r>
      <w:r w:rsidR="00336CD6">
        <w:t xml:space="preserve">agrees </w:t>
      </w:r>
      <w:r w:rsidR="0044057D">
        <w:t xml:space="preserve">to participate further, the </w:t>
      </w:r>
      <w:r w:rsidR="00336CD6">
        <w:t xml:space="preserve">CDRH </w:t>
      </w:r>
      <w:r w:rsidR="0044057D">
        <w:t>call</w:t>
      </w:r>
      <w:r w:rsidR="00AA2BFA">
        <w:t>er</w:t>
      </w:r>
      <w:r w:rsidR="0044057D">
        <w:t xml:space="preserve"> will </w:t>
      </w:r>
      <w:r w:rsidR="00336CD6">
        <w:t xml:space="preserve">pose </w:t>
      </w:r>
      <w:r w:rsidR="004D0DD1">
        <w:t xml:space="preserve">questions </w:t>
      </w:r>
      <w:r w:rsidR="00336CD6">
        <w:t>to them</w:t>
      </w:r>
      <w:r w:rsidRPr="00381D73">
        <w:t xml:space="preserve">. The following represents the content of the </w:t>
      </w:r>
      <w:r w:rsidR="004D0DD1">
        <w:t>5</w:t>
      </w:r>
      <w:r w:rsidRPr="00381D73" w:rsidR="004D0DD1">
        <w:t xml:space="preserve"> </w:t>
      </w:r>
      <w:r w:rsidRPr="00381D73">
        <w:t>questions t</w:t>
      </w:r>
      <w:r w:rsidR="00B25F71">
        <w:t>hat will be asked</w:t>
      </w:r>
      <w:r w:rsidR="0092568D">
        <w:t>. CDRH shortages staff will forward written documentation of the request to the manufacturer via electronic mail within 24 hours, creating an electronic record of the interaction.</w:t>
      </w:r>
    </w:p>
    <w:p w:rsidRPr="00381D73" w:rsidR="0058283A" w:rsidP="0058283A" w:rsidRDefault="0058283A">
      <w:pPr>
        <w:numPr>
          <w:ilvl w:val="0"/>
          <w:numId w:val="7"/>
        </w:numPr>
      </w:pPr>
      <w:r w:rsidRPr="00381D73">
        <w:t xml:space="preserve">What contact name(s), address, phone number, FAX number, and e-mail address </w:t>
      </w:r>
      <w:r w:rsidR="0092568D">
        <w:t xml:space="preserve">can </w:t>
      </w:r>
      <w:r w:rsidRPr="00381D73">
        <w:t xml:space="preserve">CDRH </w:t>
      </w:r>
      <w:r w:rsidR="0092568D">
        <w:t xml:space="preserve">use to contact you </w:t>
      </w:r>
      <w:r w:rsidRPr="00381D73">
        <w:t>during an emergency?</w:t>
      </w:r>
    </w:p>
    <w:p w:rsidR="004D0DD1" w:rsidP="004D0DD1" w:rsidRDefault="0058283A">
      <w:pPr>
        <w:numPr>
          <w:ilvl w:val="0"/>
          <w:numId w:val="7"/>
        </w:numPr>
      </w:pPr>
      <w:r w:rsidRPr="00381D73">
        <w:t>What is the current production capacit</w:t>
      </w:r>
      <w:r w:rsidR="004F2C77">
        <w:t>y</w:t>
      </w:r>
      <w:r w:rsidR="004D0DD1">
        <w:t xml:space="preserve"> and </w:t>
      </w:r>
      <w:r w:rsidRPr="00381D73">
        <w:t xml:space="preserve">additional surge </w:t>
      </w:r>
      <w:r w:rsidR="0092568D">
        <w:t xml:space="preserve">(i.e., maximum) </w:t>
      </w:r>
      <w:r w:rsidRPr="00381D73">
        <w:t xml:space="preserve">capacity </w:t>
      </w:r>
      <w:r w:rsidR="0092568D">
        <w:t>at the production location</w:t>
      </w:r>
      <w:r w:rsidR="004F2C77">
        <w:t xml:space="preserve">, </w:t>
      </w:r>
      <w:r w:rsidRPr="004D0DD1" w:rsidR="004F2C77">
        <w:t>and time required to attain surge capacity</w:t>
      </w:r>
      <w:r w:rsidR="004D0DD1">
        <w:t xml:space="preserve"> </w:t>
      </w:r>
      <w:r w:rsidRPr="00381D73">
        <w:t>for these devices?</w:t>
      </w:r>
      <w:r w:rsidR="004F2C77">
        <w:t xml:space="preserve"> </w:t>
      </w:r>
    </w:p>
    <w:p w:rsidRPr="00381D73" w:rsidR="0092568D" w:rsidP="004F2C77" w:rsidRDefault="0092568D">
      <w:pPr>
        <w:numPr>
          <w:ilvl w:val="0"/>
          <w:numId w:val="7"/>
        </w:numPr>
      </w:pPr>
      <w:r>
        <w:t>How long would it take to reach maximal production capacity?</w:t>
      </w:r>
    </w:p>
    <w:p w:rsidR="0058283A" w:rsidP="0058283A" w:rsidRDefault="0058283A">
      <w:pPr>
        <w:widowControl w:val="0"/>
        <w:numPr>
          <w:ilvl w:val="0"/>
          <w:numId w:val="7"/>
        </w:numPr>
      </w:pPr>
      <w:r w:rsidRPr="00381D73">
        <w:t xml:space="preserve">What, if any, </w:t>
      </w:r>
      <w:r w:rsidR="0092568D">
        <w:t xml:space="preserve">critical </w:t>
      </w:r>
      <w:r w:rsidRPr="00381D73">
        <w:t>raw material</w:t>
      </w:r>
      <w:r w:rsidR="0092568D">
        <w:t xml:space="preserve">, </w:t>
      </w:r>
      <w:r w:rsidRPr="00381D73">
        <w:t>subcomponent</w:t>
      </w:r>
      <w:r w:rsidR="0092568D">
        <w:t>, or contractor</w:t>
      </w:r>
      <w:r w:rsidRPr="00381D73">
        <w:t xml:space="preserve"> dependencies </w:t>
      </w:r>
      <w:r>
        <w:t xml:space="preserve">or constraints </w:t>
      </w:r>
      <w:r w:rsidRPr="00381D73">
        <w:t>do these devices have?</w:t>
      </w:r>
      <w:r w:rsidR="0092568D">
        <w:t xml:space="preserve"> </w:t>
      </w:r>
    </w:p>
    <w:p w:rsidRPr="00381D73" w:rsidR="00336CD6" w:rsidP="0058283A" w:rsidRDefault="00336CD6">
      <w:pPr>
        <w:widowControl w:val="0"/>
        <w:numPr>
          <w:ilvl w:val="0"/>
          <w:numId w:val="7"/>
        </w:numPr>
      </w:pPr>
      <w:r>
        <w:t xml:space="preserve">Do you have any contingency plans </w:t>
      </w:r>
      <w:r w:rsidR="0092568D">
        <w:t xml:space="preserve">in place </w:t>
      </w:r>
      <w:r>
        <w:t xml:space="preserve">to provide continued </w:t>
      </w:r>
      <w:r w:rsidR="0092568D">
        <w:t xml:space="preserve">manufacturing of your device </w:t>
      </w:r>
      <w:r>
        <w:t>should any of your critical suppliers or manufacturing processes become unavailable?</w:t>
      </w:r>
    </w:p>
    <w:p w:rsidR="004D0DD1" w:rsidP="00B47534" w:rsidRDefault="003B0647">
      <w:pPr>
        <w:pStyle w:val="BodyTextIndent"/>
      </w:pPr>
      <w:r>
        <w:t xml:space="preserve">Because the data/information provided by the respondents </w:t>
      </w:r>
      <w:r w:rsidR="0092568D">
        <w:t xml:space="preserve">have </w:t>
      </w:r>
      <w:r>
        <w:t>the potential to impact public health preparedness, we ask that the respondents provide data that are as accurate and up-to-date as possible. If the respondent prefers to provide estimates, or provide range (vs. precise</w:t>
      </w:r>
      <w:r w:rsidR="0092568D">
        <w:t>)</w:t>
      </w:r>
      <w:r>
        <w:t xml:space="preserve"> data, </w:t>
      </w:r>
      <w:r w:rsidR="0092568D">
        <w:t xml:space="preserve">their </w:t>
      </w:r>
      <w:r>
        <w:t xml:space="preserve">responses will be annotated in the database to reflect this level of precision.  </w:t>
      </w:r>
      <w:r w:rsidR="008E5F6B">
        <w:t xml:space="preserve">If the respondent prefers to provide data for only a subset of questions, the database will be annotated to reflect the incompleteness of the dataset. </w:t>
      </w:r>
    </w:p>
    <w:p w:rsidR="00293064" w:rsidP="00B47534" w:rsidRDefault="004F2C77">
      <w:pPr>
        <w:pStyle w:val="BodyTextIndent"/>
        <w:rPr/>
      </w:pPr>
      <w:r w:rsidRPr="00293064">
        <w:t>After the initial call, one or more additional follow-up calls and/or electronic mail correspondence</w:t>
      </w:r>
      <w:r w:rsidRPr="00293064" w:rsidR="004D0DD1">
        <w:t>s</w:t>
      </w:r>
      <w:r w:rsidRPr="00293064">
        <w:t xml:space="preserve"> may be required to verify/validate data sent from the manufacturer, confirm receipt and/or request additional details.</w:t>
      </w:r>
      <w:r>
        <w:t xml:space="preserve"> </w:t>
      </w:r>
    </w:p>
    <w:p w:rsidR="00B47534" w:rsidP="00B47534" w:rsidRDefault="008E5F6B">
      <w:pPr>
        <w:pStyle w:val="BodyTextIndent"/>
      </w:pPr>
      <w:r>
        <w:t xml:space="preserve">After initial data submissions, </w:t>
      </w:r>
      <w:r w:rsidR="0092568D">
        <w:t xml:space="preserve">CDRH shortages staff will contact </w:t>
      </w:r>
      <w:r>
        <w:t xml:space="preserve">respondents </w:t>
      </w:r>
      <w:r w:rsidR="0092568D">
        <w:t xml:space="preserve">every 4 months </w:t>
      </w:r>
      <w:r>
        <w:t>via</w:t>
      </w:r>
      <w:r w:rsidRPr="00072FB2" w:rsidR="0058283A">
        <w:t xml:space="preserve"> electronic mail request</w:t>
      </w:r>
      <w:r>
        <w:t xml:space="preserve">ing </w:t>
      </w:r>
      <w:r w:rsidRPr="00072FB2" w:rsidR="0058283A">
        <w:t>update</w:t>
      </w:r>
      <w:r>
        <w:t xml:space="preserve">s or revisions. </w:t>
      </w:r>
      <w:r w:rsidR="0092568D">
        <w:t xml:space="preserve">They may respond simply that there have been no </w:t>
      </w:r>
      <w:proofErr w:type="gramStart"/>
      <w:r w:rsidR="0092568D">
        <w:t>changes, or</w:t>
      </w:r>
      <w:proofErr w:type="gramEnd"/>
      <w:r w:rsidR="0092568D">
        <w:t xml:space="preserve"> provide CDRH with targeted responses where there have been changes. </w:t>
      </w:r>
    </w:p>
    <w:p w:rsidRPr="00CD7584" w:rsidR="00C310D2" w:rsidP="00B47534" w:rsidRDefault="008E5F6B">
      <w:pPr>
        <w:pStyle w:val="BodyTextIndent"/>
      </w:pPr>
      <w:r>
        <w:t xml:space="preserve">This mode of communication </w:t>
      </w:r>
      <w:r w:rsidR="0092568D">
        <w:t xml:space="preserve">and timing </w:t>
      </w:r>
      <w:r>
        <w:t xml:space="preserve">is </w:t>
      </w:r>
      <w:r w:rsidR="0092568D">
        <w:t xml:space="preserve">a reasonable compromise between </w:t>
      </w:r>
      <w:r w:rsidR="00B47534">
        <w:t xml:space="preserve">the need for </w:t>
      </w:r>
      <w:r w:rsidR="0092568D">
        <w:t>CDRH</w:t>
      </w:r>
      <w:r w:rsidR="00B47534">
        <w:t xml:space="preserve"> to have the most </w:t>
      </w:r>
      <w:r w:rsidR="0092568D">
        <w:t>up-to-date information and the least burdensome imposition on the manufacturer’s resources.</w:t>
      </w:r>
      <w:r w:rsidR="00B47534">
        <w:t xml:space="preserve"> </w:t>
      </w:r>
      <w:r w:rsidR="00CD7584">
        <w:t xml:space="preserve">If a manufacturer </w:t>
      </w:r>
      <w:r w:rsidR="00B47534">
        <w:t xml:space="preserve">were to </w:t>
      </w:r>
      <w:r w:rsidR="00CD7584">
        <w:t xml:space="preserve">provide evidence </w:t>
      </w:r>
      <w:r w:rsidR="00B47534">
        <w:t xml:space="preserve">to CDRH of </w:t>
      </w:r>
      <w:r w:rsidR="00CD7584">
        <w:t>a more stable manufacturing cycle (i.e., the quantity of devices, manufacturing sites, raw material sources, etc. do not change</w:t>
      </w:r>
      <w:r w:rsidR="00B47534">
        <w:t xml:space="preserve"> over longer periods of time</w:t>
      </w:r>
      <w:r w:rsidR="00CD7584">
        <w:t xml:space="preserve">), </w:t>
      </w:r>
      <w:r w:rsidR="00B47534">
        <w:t xml:space="preserve">then </w:t>
      </w:r>
      <w:r w:rsidR="00CD7584">
        <w:t xml:space="preserve">data collection </w:t>
      </w:r>
      <w:r w:rsidR="00CD7584">
        <w:rPr>
          <w:i/>
          <w:u w:val="single"/>
        </w:rPr>
        <w:t>for this manufacturer/device pairing</w:t>
      </w:r>
      <w:r w:rsidR="00CD7584">
        <w:t xml:space="preserve"> may be conducted at less frequent intervals. </w:t>
      </w:r>
    </w:p>
    <w:p w:rsidRPr="00CD7584" w:rsidR="00C310D2" w:rsidP="00C310D2" w:rsidRDefault="00C310D2">
      <w:pPr>
        <w:numPr>
          <w:ilvl w:val="0"/>
          <w:numId w:val="1"/>
        </w:numPr>
        <w:spacing w:before="100" w:beforeAutospacing="1" w:after="100" w:afterAutospacing="1"/>
        <w:rPr>
          <w:b/>
          <w:u w:val="single"/>
        </w:rPr>
      </w:pPr>
      <w:r w:rsidRPr="00CD7584">
        <w:rPr>
          <w:b/>
          <w:u w:val="single"/>
        </w:rPr>
        <w:t>Methods to Maximize Response Rates and Deal with Non-response</w:t>
      </w:r>
    </w:p>
    <w:p w:rsidR="00B47534" w:rsidP="002C4952" w:rsidRDefault="008E5F6B">
      <w:pPr>
        <w:pStyle w:val="BodyTextIndent2"/>
        <w:spacing w:after="0" w:line="240" w:lineRule="auto"/>
      </w:pPr>
      <w:proofErr w:type="gramStart"/>
      <w:r>
        <w:lastRenderedPageBreak/>
        <w:t>In an effort t</w:t>
      </w:r>
      <w:r w:rsidR="00C310D2">
        <w:t>o</w:t>
      </w:r>
      <w:proofErr w:type="gramEnd"/>
      <w:r w:rsidR="00C310D2">
        <w:t xml:space="preserve"> maximize response rates</w:t>
      </w:r>
      <w:r>
        <w:t xml:space="preserve">, </w:t>
      </w:r>
      <w:r w:rsidR="00B47534">
        <w:t xml:space="preserve">the contacted manufacturers </w:t>
      </w:r>
      <w:r>
        <w:t>will be given a clear and concise explanation of the rationale for, and goals of</w:t>
      </w:r>
      <w:r w:rsidR="00B47534">
        <w:t>,</w:t>
      </w:r>
      <w:r>
        <w:t xml:space="preserve"> the </w:t>
      </w:r>
      <w:r w:rsidR="00B47534">
        <w:t xml:space="preserve">shortages </w:t>
      </w:r>
      <w:r>
        <w:t xml:space="preserve">program. </w:t>
      </w:r>
      <w:r w:rsidR="00B47534">
        <w:t xml:space="preserve">All questions will be answered to the best of CDRH’s ability. The manufacturer will be given as much time as they require to discuss CDRH’s request internally before committing to participate in data gathering. </w:t>
      </w:r>
    </w:p>
    <w:p w:rsidR="00B47534" w:rsidP="002C4952" w:rsidRDefault="00B47534">
      <w:pPr>
        <w:pStyle w:val="BodyTextIndent2"/>
        <w:spacing w:after="0" w:line="240" w:lineRule="auto"/>
      </w:pPr>
    </w:p>
    <w:p w:rsidR="00C310D2" w:rsidP="002C4952" w:rsidRDefault="008E5F6B">
      <w:pPr>
        <w:pStyle w:val="BodyTextIndent2"/>
        <w:spacing w:after="0" w:line="240" w:lineRule="auto"/>
      </w:pPr>
      <w:r>
        <w:t>Because the data collection effort is intended to limit the potential for disruption in healthcare processes and/or threats to the public health in the event of a natural or man-made disaster</w:t>
      </w:r>
      <w:r w:rsidR="004F2C77">
        <w:t xml:space="preserve"> </w:t>
      </w:r>
      <w:r w:rsidRPr="00293064" w:rsidR="004F2C77">
        <w:t>or emergency</w:t>
      </w:r>
      <w:r>
        <w:t xml:space="preserve">, </w:t>
      </w:r>
      <w:r w:rsidR="00206AC6">
        <w:t>we believe that a clear explanation of th</w:t>
      </w:r>
      <w:r w:rsidR="00B47534">
        <w:t>e intention to protect the public health, along with an avoidance of any pressure to respond,</w:t>
      </w:r>
      <w:r w:rsidR="00206AC6">
        <w:t xml:space="preserve"> will enhance voluntary participation. Because the initial contact </w:t>
      </w:r>
      <w:r w:rsidR="00B47534">
        <w:t>will be</w:t>
      </w:r>
      <w:r w:rsidR="00206AC6">
        <w:t xml:space="preserve"> via telephone, and is made by </w:t>
      </w:r>
      <w:r w:rsidR="00293064">
        <w:t>members of the Shortages Team, which includes a senior Medical Officer,</w:t>
      </w:r>
      <w:r w:rsidR="00206AC6">
        <w:t xml:space="preserve"> we believe that there will be a relatively low rate of non-response. </w:t>
      </w:r>
      <w:r w:rsidR="00B47534">
        <w:t>B</w:t>
      </w:r>
      <w:r w:rsidR="00206AC6">
        <w:t xml:space="preserve">ecause of their clinical expertise, the </w:t>
      </w:r>
      <w:r w:rsidR="00293064">
        <w:t xml:space="preserve">Shortage Team </w:t>
      </w:r>
      <w:r w:rsidR="00206AC6">
        <w:t xml:space="preserve">Medical Officer can provide </w:t>
      </w:r>
      <w:r w:rsidR="00293064">
        <w:t xml:space="preserve">any needed </w:t>
      </w:r>
      <w:r w:rsidR="00206AC6">
        <w:t>real-time clarification</w:t>
      </w:r>
      <w:r w:rsidR="002C4952">
        <w:t xml:space="preserve"> (i.e., with respect to granularity of data) and perform first-pass validation of the data and/or source of the data to be provided.</w:t>
      </w:r>
      <w:r w:rsidR="00B47534">
        <w:t xml:space="preserve"> Finally, if additional time for consideration is requested, the same </w:t>
      </w:r>
      <w:r w:rsidR="00293064">
        <w:t xml:space="preserve">team member </w:t>
      </w:r>
      <w:r w:rsidR="00B47534">
        <w:t>will remain the primary CDRH point of contact with the manufacturer; this will help provide continuity and identify a “friendly face” for future questions or concerns.</w:t>
      </w:r>
    </w:p>
    <w:p w:rsidRPr="007D0D16" w:rsidR="00C310D2" w:rsidP="00800F1B" w:rsidRDefault="00C310D2">
      <w:pPr>
        <w:keepNext/>
        <w:numPr>
          <w:ilvl w:val="0"/>
          <w:numId w:val="1"/>
        </w:numPr>
        <w:spacing w:before="100" w:beforeAutospacing="1" w:after="100" w:afterAutospacing="1"/>
        <w:rPr>
          <w:b/>
          <w:u w:val="single"/>
        </w:rPr>
      </w:pPr>
      <w:r w:rsidRPr="007D0D16">
        <w:rPr>
          <w:b/>
          <w:u w:val="single"/>
        </w:rPr>
        <w:t>Test of Procedures or Methods to be Undertaken</w:t>
      </w:r>
    </w:p>
    <w:p w:rsidR="00C310D2" w:rsidP="002C4952" w:rsidRDefault="007D0D16">
      <w:pPr>
        <w:ind w:left="360"/>
      </w:pPr>
      <w:r>
        <w:t xml:space="preserve">The current procedure for data collection </w:t>
      </w:r>
      <w:r w:rsidR="00387FFC">
        <w:t xml:space="preserve">was </w:t>
      </w:r>
      <w:r>
        <w:t xml:space="preserve">operationally validated </w:t>
      </w:r>
      <w:r w:rsidR="00387FFC">
        <w:t xml:space="preserve">at </w:t>
      </w:r>
      <w:r>
        <w:t xml:space="preserve">the program’s </w:t>
      </w:r>
      <w:r w:rsidR="0058283A">
        <w:t xml:space="preserve">inception. We do not anticipate a need for significant changes in the procedure </w:t>
      </w:r>
      <w:proofErr w:type="gramStart"/>
      <w:r w:rsidR="0058283A">
        <w:t>at this time</w:t>
      </w:r>
      <w:proofErr w:type="gramEnd"/>
      <w:r w:rsidR="0058283A">
        <w:t>.</w:t>
      </w:r>
    </w:p>
    <w:p w:rsidRPr="00B25F71" w:rsidR="00B25F71" w:rsidP="00B25F71" w:rsidRDefault="00C310D2">
      <w:pPr>
        <w:numPr>
          <w:ilvl w:val="0"/>
          <w:numId w:val="1"/>
        </w:numPr>
        <w:spacing w:before="100" w:beforeAutospacing="1" w:after="100" w:afterAutospacing="1"/>
        <w:rPr>
          <w:b/>
        </w:rPr>
      </w:pPr>
      <w:r w:rsidRPr="007D0D16">
        <w:rPr>
          <w:b/>
          <w:u w:val="single"/>
        </w:rPr>
        <w:t>Individuals Consulted on Statistical Aspects and Individuals Collecting and/or Analyzing Data</w:t>
      </w:r>
    </w:p>
    <w:p w:rsidRPr="004C6979" w:rsidR="00C310D2" w:rsidP="00B25F71" w:rsidRDefault="00387FFC">
      <w:pPr>
        <w:spacing w:before="100" w:beforeAutospacing="1" w:after="100" w:afterAutospacing="1"/>
        <w:ind w:left="360"/>
        <w:rPr>
          <w:b/>
        </w:rPr>
      </w:pPr>
      <w:r>
        <w:t xml:space="preserve">As described above, </w:t>
      </w:r>
      <w:r w:rsidR="007D0D16">
        <w:t>no statistical testing procedures will be applied to the data</w:t>
      </w:r>
      <w:r>
        <w:t>;</w:t>
      </w:r>
      <w:r w:rsidR="007D0D16">
        <w:t xml:space="preserve"> this is not applicable.</w:t>
      </w:r>
    </w:p>
    <w:bookmarkEnd w:id="1"/>
    <w:p w:rsidR="00141F6A" w:rsidRDefault="00141F6A"/>
    <w:sectPr w:rsidR="00141F6A" w:rsidSect="00800F1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CE210CC"/>
    <w:multiLevelType w:val="hybridMultilevel"/>
    <w:tmpl w:val="36CA66D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F466F80"/>
    <w:multiLevelType w:val="hybridMultilevel"/>
    <w:tmpl w:val="A100F60C"/>
    <w:lvl w:ilvl="0" w:tplc="FE0A8FAC">
      <w:start w:val="1"/>
      <w:numFmt w:val="bullet"/>
      <w:lvlText w:val="-"/>
      <w:lvlJc w:val="left"/>
      <w:pPr>
        <w:tabs>
          <w:tab w:val="num" w:pos="1080"/>
        </w:tabs>
        <w:ind w:left="1080" w:hanging="360"/>
      </w:pPr>
      <w:rPr>
        <w:rFonts w:ascii="Arial" w:hAnsi="Arial" w:hint="default"/>
        <w:color w:val="0000FF"/>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FF0B05"/>
    <w:multiLevelType w:val="hybridMultilevel"/>
    <w:tmpl w:val="D93C4D6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6"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6"/>
  </w:num>
  <w:num w:numId="4">
    <w:abstractNumId w:val="8"/>
  </w:num>
  <w:num w:numId="5">
    <w:abstractNumId w:val="7"/>
  </w:num>
  <w:num w:numId="6">
    <w:abstractNumId w:val="3"/>
  </w:num>
  <w:num w:numId="7">
    <w:abstractNumId w:val="1"/>
  </w:num>
  <w:num w:numId="8">
    <w:abstractNumId w:val="4"/>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ford, Amber">
    <w15:presenceInfo w15:providerId="AD" w15:userId="S::Amber.Sanford@fda.gov::47de8c1f-a16a-4baf-bf59-bd48f82a59cb"/>
  </w15:person>
  <w15:person w15:author="Saltman, Adam">
    <w15:presenceInfo w15:providerId="AD" w15:userId="S-1-5-21-1078081533-606747145-839522115-2569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0D2"/>
    <w:rsid w:val="0007478B"/>
    <w:rsid w:val="000E1B00"/>
    <w:rsid w:val="00141F6A"/>
    <w:rsid w:val="001658E6"/>
    <w:rsid w:val="00206AC6"/>
    <w:rsid w:val="00293064"/>
    <w:rsid w:val="002C4952"/>
    <w:rsid w:val="002C71A9"/>
    <w:rsid w:val="00336CD6"/>
    <w:rsid w:val="00387FFC"/>
    <w:rsid w:val="003B0647"/>
    <w:rsid w:val="003D66B5"/>
    <w:rsid w:val="003F137E"/>
    <w:rsid w:val="0042394E"/>
    <w:rsid w:val="0044057D"/>
    <w:rsid w:val="00443C79"/>
    <w:rsid w:val="004D0DD1"/>
    <w:rsid w:val="004F2C77"/>
    <w:rsid w:val="0058283A"/>
    <w:rsid w:val="005A668A"/>
    <w:rsid w:val="005F09B4"/>
    <w:rsid w:val="006936BB"/>
    <w:rsid w:val="006B6C8A"/>
    <w:rsid w:val="00762813"/>
    <w:rsid w:val="007B64BC"/>
    <w:rsid w:val="007D0D16"/>
    <w:rsid w:val="00800F1B"/>
    <w:rsid w:val="008B097E"/>
    <w:rsid w:val="008C34F7"/>
    <w:rsid w:val="008E5F6B"/>
    <w:rsid w:val="0092568D"/>
    <w:rsid w:val="00A021D4"/>
    <w:rsid w:val="00A24900"/>
    <w:rsid w:val="00A35DCE"/>
    <w:rsid w:val="00AA2BFA"/>
    <w:rsid w:val="00AF27D9"/>
    <w:rsid w:val="00B1647F"/>
    <w:rsid w:val="00B25F71"/>
    <w:rsid w:val="00B47534"/>
    <w:rsid w:val="00BA3DBA"/>
    <w:rsid w:val="00BD1BE4"/>
    <w:rsid w:val="00C21729"/>
    <w:rsid w:val="00C310D2"/>
    <w:rsid w:val="00C43C8D"/>
    <w:rsid w:val="00CA3BD7"/>
    <w:rsid w:val="00CA5F37"/>
    <w:rsid w:val="00CD7584"/>
    <w:rsid w:val="00D416A9"/>
    <w:rsid w:val="00D5253F"/>
    <w:rsid w:val="00DF0B4B"/>
    <w:rsid w:val="00DF4EC1"/>
    <w:rsid w:val="00E84FB6"/>
    <w:rsid w:val="00E959B5"/>
    <w:rsid w:val="00EF166B"/>
    <w:rsid w:val="00F6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FC696"/>
  <w15:chartTrackingRefBased/>
  <w15:docId w15:val="{CAE05BAD-3998-4C06-A564-0493F62AE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10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C310D2"/>
    <w:pPr>
      <w:spacing w:after="120" w:line="480" w:lineRule="auto"/>
      <w:ind w:left="360"/>
    </w:pPr>
  </w:style>
  <w:style w:type="paragraph" w:styleId="BodyTextIndent">
    <w:name w:val="Body Text Indent"/>
    <w:basedOn w:val="Normal"/>
    <w:rsid w:val="0058283A"/>
    <w:pPr>
      <w:spacing w:after="120"/>
      <w:ind w:left="360"/>
    </w:pPr>
  </w:style>
  <w:style w:type="paragraph" w:styleId="Title">
    <w:name w:val="Title"/>
    <w:basedOn w:val="Normal"/>
    <w:qFormat/>
    <w:rsid w:val="00B25F71"/>
    <w:pPr>
      <w:widowControl w:val="0"/>
      <w:tabs>
        <w:tab w:val="center" w:pos="4680"/>
      </w:tabs>
      <w:jc w:val="center"/>
    </w:pPr>
    <w:rPr>
      <w:b/>
      <w:szCs w:val="20"/>
    </w:rPr>
  </w:style>
  <w:style w:type="paragraph" w:styleId="BalloonText">
    <w:name w:val="Balloon Text"/>
    <w:basedOn w:val="Normal"/>
    <w:semiHidden/>
    <w:rsid w:val="005A668A"/>
    <w:rPr>
      <w:rFonts w:ascii="Tahoma" w:hAnsi="Tahoma" w:cs="Tahoma"/>
      <w:sz w:val="16"/>
      <w:szCs w:val="16"/>
    </w:rPr>
  </w:style>
  <w:style w:type="table" w:styleId="TableGrid">
    <w:name w:val="Table Grid"/>
    <w:basedOn w:val="TableNormal"/>
    <w:rsid w:val="003D6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1647F"/>
    <w:rPr>
      <w:sz w:val="16"/>
      <w:szCs w:val="16"/>
    </w:rPr>
  </w:style>
  <w:style w:type="paragraph" w:styleId="CommentText">
    <w:name w:val="annotation text"/>
    <w:basedOn w:val="Normal"/>
    <w:semiHidden/>
    <w:rsid w:val="00B1647F"/>
    <w:rPr>
      <w:sz w:val="20"/>
      <w:szCs w:val="20"/>
    </w:rPr>
  </w:style>
  <w:style w:type="paragraph" w:styleId="CommentSubject">
    <w:name w:val="annotation subject"/>
    <w:basedOn w:val="CommentText"/>
    <w:next w:val="CommentText"/>
    <w:semiHidden/>
    <w:rsid w:val="00B1647F"/>
    <w:rPr>
      <w:b/>
      <w:bCs/>
    </w:rPr>
  </w:style>
  <w:style w:type="paragraph" w:styleId="HTMLPreformatted">
    <w:name w:val="HTML Preformatted"/>
    <w:basedOn w:val="Normal"/>
    <w:link w:val="HTMLPreformattedChar"/>
    <w:unhideWhenUsed/>
    <w:rsid w:val="006B6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6B6C8A"/>
    <w:rPr>
      <w:rFonts w:ascii="Courier New" w:hAnsi="Courier New" w:cs="Courier New"/>
    </w:rPr>
  </w:style>
  <w:style w:type="paragraph" w:styleId="ListParagraph">
    <w:name w:val="List Paragraph"/>
    <w:basedOn w:val="Normal"/>
    <w:uiPriority w:val="34"/>
    <w:qFormat/>
    <w:rsid w:val="006B6C8A"/>
    <w:pPr>
      <w:ind w:left="720"/>
      <w:contextualSpacing/>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522585">
      <w:bodyDiv w:val="1"/>
      <w:marLeft w:val="0"/>
      <w:marRight w:val="0"/>
      <w:marTop w:val="0"/>
      <w:marBottom w:val="0"/>
      <w:divBdr>
        <w:top w:val="none" w:sz="0" w:space="0" w:color="auto"/>
        <w:left w:val="none" w:sz="0" w:space="0" w:color="auto"/>
        <w:bottom w:val="none" w:sz="0" w:space="0" w:color="auto"/>
        <w:right w:val="none" w:sz="0" w:space="0" w:color="auto"/>
      </w:divBdr>
    </w:div>
    <w:div w:id="70734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1129</Words>
  <Characters>6442</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B</vt:lpstr>
    </vt:vector>
  </TitlesOfParts>
  <Company>US FDA</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tempuser</dc:creator>
  <cp:keywords/>
  <cp:lastModifiedBy>Sanford, Amber</cp:lastModifiedBy>
  <cp:revision>2</cp:revision>
  <dcterms:created xsi:type="dcterms:W3CDTF">2020-01-30T19:29:00Z</dcterms:created>
  <dcterms:modified xsi:type="dcterms:W3CDTF">2020-01-30T19:29:00Z</dcterms:modified>
</cp:coreProperties>
</file>