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EA4010" w:rsidRDefault="00357C8A">
      <w:pPr>
        <w:jc w:val="center"/>
        <w:rPr>
          <w:rFonts w:eastAsia="Calibri"/>
        </w:rPr>
      </w:pPr>
      <w:r w:rsidRPr="00357C8A">
        <w:rPr>
          <w:rFonts w:eastAsia="Calibri"/>
        </w:rPr>
        <w:t>United States Food and Drug Administration</w:t>
      </w:r>
    </w:p>
    <w:p w:rsidR="00357C8A" w:rsidP="00357C8A" w:rsidRDefault="00357C8A">
      <w:pPr>
        <w:jc w:val="center"/>
        <w:rPr>
          <w:rFonts w:eastAsia="Calibri"/>
        </w:rPr>
      </w:pPr>
    </w:p>
    <w:p w:rsidRPr="00BC556D" w:rsidR="00357C8A" w:rsidP="00357C8A" w:rsidRDefault="00386FD8">
      <w:pPr>
        <w:jc w:val="center"/>
        <w:rPr>
          <w:rFonts w:eastAsia="Calibri"/>
          <w:color w:val="000000"/>
        </w:rPr>
      </w:pPr>
      <w:r>
        <w:rPr>
          <w:rFonts w:eastAsia="Calibri"/>
          <w:color w:val="000000"/>
        </w:rPr>
        <w:t xml:space="preserve">Obtaining Information to Understand and Challenges and Opportunities Encountered by </w:t>
      </w:r>
      <w:r w:rsidR="00A20647">
        <w:rPr>
          <w:rFonts w:eastAsia="Calibri"/>
          <w:color w:val="000000"/>
        </w:rPr>
        <w:t>Compounding Outsourcing Facilities</w:t>
      </w:r>
    </w:p>
    <w:p w:rsidRPr="00BC556D" w:rsidR="00357C8A" w:rsidP="00357C8A" w:rsidRDefault="00357C8A">
      <w:pPr>
        <w:jc w:val="center"/>
        <w:rPr>
          <w:rFonts w:eastAsia="Calibri"/>
          <w:color w:val="000000"/>
        </w:rPr>
      </w:pPr>
    </w:p>
    <w:p w:rsidR="00357C8A" w:rsidP="00357C8A" w:rsidRDefault="00357C8A">
      <w:pPr>
        <w:jc w:val="center"/>
        <w:rPr>
          <w:rFonts w:eastAsia="Calibri"/>
        </w:rPr>
      </w:pPr>
      <w:r w:rsidRPr="00357C8A">
        <w:rPr>
          <w:rFonts w:eastAsia="Calibri"/>
        </w:rPr>
        <w:t>OMB Control No. 0910-</w:t>
      </w:r>
      <w:r w:rsidR="003433FA">
        <w:rPr>
          <w:rFonts w:eastAsia="Calibri"/>
        </w:rPr>
        <w:t>0883</w:t>
      </w:r>
    </w:p>
    <w:p w:rsidR="00357C8A" w:rsidP="00357C8A" w:rsidRDefault="00357C8A">
      <w:pPr>
        <w:jc w:val="center"/>
        <w:rPr>
          <w:rFonts w:eastAsia="Calibri"/>
        </w:rPr>
      </w:pPr>
    </w:p>
    <w:p w:rsidRPr="00357C8A" w:rsidR="009B4DF2" w:rsidP="00EA4010" w:rsidRDefault="00357C8A">
      <w:pPr>
        <w:jc w:val="center"/>
        <w:rPr>
          <w:rFonts w:eastAsia="Calibri"/>
        </w:rPr>
      </w:pPr>
      <w:r w:rsidRPr="00357C8A">
        <w:rPr>
          <w:rFonts w:eastAsia="Calibri"/>
        </w:rPr>
        <w:t>SUPPORTING STATEMENT</w:t>
      </w:r>
      <w:r w:rsidR="00D77E4B">
        <w:rPr>
          <w:rFonts w:eastAsia="Calibri"/>
        </w:rPr>
        <w:t xml:space="preserve"> </w:t>
      </w:r>
      <w:bookmarkStart w:name="_GoBack" w:id="0"/>
      <w:bookmarkEnd w:id="0"/>
    </w:p>
    <w:p w:rsidRPr="00357C8A" w:rsidR="00357C8A" w:rsidP="00357C8A" w:rsidRDefault="00357C8A">
      <w:pPr>
        <w:rPr>
          <w:rFonts w:eastAsia="Calibri"/>
          <w:b/>
        </w:rPr>
      </w:pPr>
    </w:p>
    <w:p w:rsidR="00357C8A" w:rsidP="000D79CC" w:rsidRDefault="00357C8A">
      <w:pPr>
        <w:rPr>
          <w:rFonts w:eastAsia="Calibri"/>
        </w:rPr>
      </w:pPr>
      <w:r w:rsidRPr="00357C8A">
        <w:rPr>
          <w:rFonts w:eastAsia="Calibri"/>
          <w:b/>
        </w:rPr>
        <w:t>Part A:  Justification</w:t>
      </w:r>
      <w:r w:rsidRPr="00357C8A">
        <w:rPr>
          <w:rFonts w:eastAsia="Calibri"/>
        </w:rPr>
        <w:t>:</w:t>
      </w:r>
    </w:p>
    <w:p w:rsidRPr="00357C8A" w:rsidR="000D79CC" w:rsidP="000D79CC" w:rsidRDefault="000D79CC">
      <w:pPr>
        <w:rPr>
          <w:rFonts w:eastAsia="Calibri"/>
        </w:rPr>
      </w:pPr>
    </w:p>
    <w:p w:rsidRPr="00357C8A" w:rsidR="00357C8A" w:rsidP="006705EA" w:rsidRDefault="00357C8A">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1A2EE2" w:rsidR="003A2F74" w:rsidP="003A2F74" w:rsidRDefault="003A2F74">
      <w:pPr>
        <w:spacing w:after="200"/>
        <w:rPr>
          <w:rFonts w:eastAsia="Calibri"/>
        </w:rPr>
      </w:pPr>
      <w:r w:rsidRPr="001A2EE2">
        <w:rPr>
          <w:rFonts w:eastAsia="Calibri"/>
        </w:rPr>
        <w:t xml:space="preserve">This information collection supports a Food and Drug Administration program.  Compounding is generally a practice in which a licensed pharmacist, a licensed physician, or, in the case of an outsourcing facility, a person under the supervision of a licensed pharmacist, combines, mixes, or alters ingredients of a drug to create a medication tailored to the needs of an individual patient. </w:t>
      </w:r>
    </w:p>
    <w:p w:rsidRPr="001A2EE2" w:rsidR="003A2F74" w:rsidP="003A2F74" w:rsidRDefault="003A2F74">
      <w:pPr>
        <w:spacing w:after="200"/>
        <w:rPr>
          <w:rFonts w:eastAsia="Calibri"/>
        </w:rPr>
      </w:pPr>
      <w:r w:rsidRPr="001A2EE2">
        <w:rPr>
          <w:rFonts w:eastAsia="Calibri"/>
        </w:rPr>
        <w:t xml:space="preserve">The Drug Quality and Security Act of 2013 created “outsourcing facilities” – a new type of drug compounder, regulated under Section 503B of the Federal Food, Drug, and Cosmetic Act, that is held to higher quality standards for drug production to protect patient health. Outsourcing facilities are intended to offer a safer, more reliable supply of compounded drugs needed by hospitals, clinics, and other health care providers to administer to patients.  Six years since its creation, this domestic industry is still relatively small (approximately 70 entities), is experiencing growth challenges, and is not yet fulfilling its potential to supply high-quality, needed drugs for patients.  Outsourcing facilities have encountered barriers that limit entry and advancement, and FDA continues to find quality and safety problems during inspections that raise public health concerns.  </w:t>
      </w:r>
    </w:p>
    <w:p w:rsidR="001A2EE2" w:rsidP="0022425B" w:rsidRDefault="003A2F74">
      <w:pPr>
        <w:spacing w:after="200"/>
        <w:rPr>
          <w:rFonts w:eastAsia="Calibri"/>
        </w:rPr>
      </w:pPr>
      <w:r w:rsidRPr="001A2EE2">
        <w:rPr>
          <w:rFonts w:eastAsia="Calibri"/>
        </w:rPr>
        <w:t xml:space="preserve">FDA seeks to engage in research to analyze and better understand perspectives on challenges and opportunities faced by outsourcing facilities as they attempt to supply safe, high-quality drug products needed by patients.  The agency currently lacks information in this area and the information is not available through other entities. FDA seeks to obtain this information through use of targeted surveys. </w:t>
      </w:r>
    </w:p>
    <w:p w:rsidRPr="00E06758" w:rsidR="00C34154" w:rsidP="0022425B" w:rsidRDefault="004C0531">
      <w:pPr>
        <w:spacing w:after="200"/>
        <w:rPr>
          <w:rFonts w:eastAsia="Calibri"/>
        </w:rPr>
      </w:pPr>
      <w:r w:rsidRPr="00E06758">
        <w:rPr>
          <w:rFonts w:eastAsia="Calibri"/>
        </w:rPr>
        <w:t>This is an extension of research that began</w:t>
      </w:r>
      <w:r w:rsidRPr="00E06758" w:rsidR="00C34154">
        <w:rPr>
          <w:rFonts w:eastAsia="Calibri"/>
        </w:rPr>
        <w:t xml:space="preserve"> last year. We have learned about barriers and opportunities encountered by outsourcing facilities in several areas.  These include:  operational barriers and opportunities related to the outsourcing facility market and business viability; knowledge and operational barriers and opportunities related to compliance with federal policies and good quality drug production; and barriers and opportunities related to outsourcing facility interactions with FDA.  We need to extend this information collection for two reasons:  1.  Based on what we learned, we will want to ask some follow up questions in these areas.  2.  We received a low response rate and need to reach the rest of the outsourcing facility industry. </w:t>
      </w:r>
      <w:r w:rsidRPr="00E06758" w:rsidR="008655FA">
        <w:rPr>
          <w:rFonts w:eastAsia="Calibri"/>
        </w:rPr>
        <w:t>We only managed to obtain completed surveys from approximately one third of respondents.  Only 45% of outsourcing facilities provided any response to the survey.  Therefore, over half of outsourcing facilities did not respond to our survey and we were unable to obtain their viewpoints.</w:t>
      </w:r>
    </w:p>
    <w:p w:rsidRPr="00357C8A" w:rsidR="00357C8A" w:rsidP="006705EA" w:rsidRDefault="00357C8A">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EA4010" w:rsidR="00357C8A" w:rsidP="0022425B" w:rsidRDefault="003A2F74">
      <w:pPr>
        <w:spacing w:after="200"/>
        <w:rPr>
          <w:rFonts w:eastAsia="Calibri"/>
        </w:rPr>
      </w:pPr>
      <w:r w:rsidRPr="001A2EE2">
        <w:rPr>
          <w:rFonts w:eastAsia="Calibri"/>
        </w:rPr>
        <w:t xml:space="preserve">The results of this research will be used by FDA to develop a comprehensive understanding of the outsourcing facility sector, its challenges, and opportunities for advancement.  The information </w:t>
      </w:r>
      <w:r w:rsidRPr="001A2EE2">
        <w:rPr>
          <w:rFonts w:eastAsia="Calibri"/>
        </w:rPr>
        <w:lastRenderedPageBreak/>
        <w:t>will be essential to help identify knowledge and information gaps, operational barriers, and views on interactions with FDA.  The research results will inform FDA's future approaches to communication, education, training, and other engagement with outsourcing facilities to address challenges and support advancement of the industry</w:t>
      </w:r>
      <w:r w:rsidR="003A38DD">
        <w:rPr>
          <w:rFonts w:eastAsia="Calibri"/>
        </w:rPr>
        <w:t xml:space="preserve"> in its ability to produce high-quality drug products that are safe for patients</w:t>
      </w:r>
      <w:r w:rsidRPr="001A2EE2">
        <w:rPr>
          <w:rFonts w:eastAsia="Calibri"/>
        </w:rPr>
        <w:t>.</w:t>
      </w:r>
    </w:p>
    <w:p w:rsidRPr="00357C8A" w:rsidR="00357C8A" w:rsidP="006705EA" w:rsidRDefault="00357C8A">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1A2EE2" w:rsidR="001A2EE2" w:rsidP="00E06758" w:rsidRDefault="00AF4488">
      <w:pPr>
        <w:pStyle w:val="NormalWeb"/>
        <w:spacing w:before="0" w:beforeAutospacing="0" w:after="240" w:afterAutospacing="0" w:line="288" w:lineRule="atLeast"/>
        <w:rPr>
          <w:rFonts w:eastAsia="Calibri"/>
        </w:rPr>
      </w:pPr>
      <w:bookmarkStart w:name="_Hlk25156801" w:id="1"/>
      <w:r w:rsidRPr="001A2EE2">
        <w:t xml:space="preserve">An electronic survey will be used to administer the survey. The electronic survey will use standardized questions submitted as part of this package. </w:t>
      </w:r>
      <w:r w:rsidRPr="001A2EE2" w:rsidR="005B0CD9">
        <w:t>Skip patterns will be applied to tailor the survey questions to the respondent in order to reduce burden.</w:t>
      </w:r>
    </w:p>
    <w:bookmarkEnd w:id="1"/>
    <w:p w:rsidRPr="00357C8A" w:rsidR="00357C8A" w:rsidP="006705EA" w:rsidRDefault="00357C8A">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AF4488" w:rsidP="001A2EE2" w:rsidRDefault="00AF4488">
      <w:bookmarkStart w:name="_Hlk25156831" w:id="2"/>
      <w:r w:rsidRPr="001A2EE2">
        <w:t xml:space="preserve">The information obtained through this collection is unique and is not already available for use or adaptation from another cleared source. </w:t>
      </w:r>
      <w:bookmarkEnd w:id="2"/>
    </w:p>
    <w:p w:rsidRPr="000C1260" w:rsidR="001A2EE2" w:rsidP="001A2EE2" w:rsidRDefault="001A2EE2"/>
    <w:p w:rsidRPr="00357C8A" w:rsidR="00357C8A" w:rsidP="006705EA" w:rsidRDefault="00357C8A">
      <w:pPr>
        <w:numPr>
          <w:ilvl w:val="0"/>
          <w:numId w:val="6"/>
        </w:numPr>
        <w:spacing w:after="200" w:line="276" w:lineRule="auto"/>
        <w:rPr>
          <w:rFonts w:eastAsia="Calibri"/>
        </w:rPr>
      </w:pPr>
      <w:r w:rsidRPr="00357C8A">
        <w:rPr>
          <w:rFonts w:eastAsia="Calibri"/>
          <w:u w:val="single"/>
        </w:rPr>
        <w:t>Impact on Small Businesses or Other Small Entities</w:t>
      </w:r>
    </w:p>
    <w:p w:rsidRPr="001A2EE2" w:rsidR="00AF4488" w:rsidP="00AF4488" w:rsidRDefault="00AF4488">
      <w:pPr>
        <w:pStyle w:val="NormalWeb"/>
        <w:spacing w:line="288" w:lineRule="atLeast"/>
      </w:pPr>
      <w:bookmarkStart w:name="_Hlk25156852" w:id="3"/>
      <w:r w:rsidRPr="001A2EE2">
        <w:t>This information collection does not impose a significant economic impact on a substantial number of small businesses or entities.</w:t>
      </w:r>
    </w:p>
    <w:bookmarkEnd w:id="3"/>
    <w:p w:rsidRPr="00357C8A" w:rsidR="00357C8A" w:rsidP="006705EA" w:rsidRDefault="00357C8A">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AF4488" w:rsidP="001A2EE2" w:rsidRDefault="00AF4488">
      <w:pPr>
        <w:rPr>
          <w:color w:val="0070C0"/>
        </w:rPr>
      </w:pPr>
      <w:bookmarkStart w:name="_Hlk25156866" w:id="4"/>
      <w:r w:rsidRPr="001A2EE2">
        <w:t>The proposed survey represents a one-time collection</w:t>
      </w:r>
      <w:r w:rsidRPr="001A2EE2" w:rsidR="00B309D2">
        <w:t xml:space="preserve"> in the Spring of 202</w:t>
      </w:r>
      <w:r w:rsidR="008655FA">
        <w:t>1</w:t>
      </w:r>
      <w:r w:rsidRPr="001A2EE2" w:rsidR="00B309D2">
        <w:t xml:space="preserve"> with the potential for </w:t>
      </w:r>
      <w:r w:rsidR="003A38DD">
        <w:t xml:space="preserve">occasional </w:t>
      </w:r>
      <w:r w:rsidRPr="001A2EE2" w:rsidR="00B309D2">
        <w:t>repeat surveys, as needed.</w:t>
      </w:r>
      <w:r w:rsidRPr="001A2EE2">
        <w:t xml:space="preserve"> </w:t>
      </w:r>
      <w:r w:rsidRPr="001A2EE2" w:rsidR="00B309D2">
        <w:t xml:space="preserve">Understanding the unique perspectives of outsourcing facilities is essential to developing effective future approaches to communication, education, training, and other engagement with outsourcing facilities to address challenges and support advancement of the industry </w:t>
      </w:r>
      <w:r w:rsidRPr="001A2EE2" w:rsidR="00B309D2">
        <w:rPr>
          <w:rFonts w:eastAsia="Calibri"/>
        </w:rPr>
        <w:t>as they attempt to supply safe, high-quality drug products needed by patients</w:t>
      </w:r>
      <w:r w:rsidRPr="007D72F6" w:rsidR="00B309D2">
        <w:rPr>
          <w:rFonts w:eastAsia="Calibri"/>
          <w:color w:val="4472C4"/>
        </w:rPr>
        <w:t>.</w:t>
      </w:r>
      <w:bookmarkEnd w:id="4"/>
      <w:r w:rsidR="003A38DD">
        <w:rPr>
          <w:rFonts w:eastAsia="Calibri"/>
          <w:color w:val="4472C4"/>
        </w:rPr>
        <w:t xml:space="preserve"> </w:t>
      </w:r>
    </w:p>
    <w:p w:rsidRPr="001A2EE2" w:rsidR="001A2EE2" w:rsidP="001A2EE2" w:rsidRDefault="001A2EE2">
      <w:pPr>
        <w:rPr>
          <w:color w:val="0070C0"/>
        </w:rPr>
      </w:pPr>
    </w:p>
    <w:p w:rsidRPr="00357C8A" w:rsidR="00357C8A" w:rsidP="006705EA" w:rsidRDefault="00357C8A">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AF4488" w:rsidP="00EA4010" w:rsidRDefault="00AF4488">
      <w:bookmarkStart w:name="_Hlk25156886" w:id="5"/>
      <w:r w:rsidRPr="001A2EE2">
        <w:t>There are no special circumstances for this collection of information.</w:t>
      </w:r>
      <w:bookmarkEnd w:id="5"/>
    </w:p>
    <w:p w:rsidRPr="00EA4010" w:rsidR="00EA4010" w:rsidP="00EA4010" w:rsidRDefault="00EA4010"/>
    <w:p w:rsidRPr="00357C8A" w:rsidR="00357C8A" w:rsidP="006705EA" w:rsidRDefault="00357C8A">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EA4010" w:rsidR="00AF4488" w:rsidP="00357C8A" w:rsidRDefault="00606D75">
      <w:pPr>
        <w:spacing w:after="200"/>
      </w:pPr>
      <w:r>
        <w:t>In accordance with 5 CFR 1320.8(d), FDA published a 60</w:t>
      </w:r>
      <w:r w:rsidR="00386FD8">
        <w:t>-</w:t>
      </w:r>
      <w:r>
        <w:t xml:space="preserve">day notice for public comment in the </w:t>
      </w:r>
      <w:r w:rsidRPr="005E1375">
        <w:rPr>
          <w:i/>
        </w:rPr>
        <w:t>Federal Register</w:t>
      </w:r>
      <w:r>
        <w:t xml:space="preserve"> of </w:t>
      </w:r>
      <w:r w:rsidR="00A65B80">
        <w:t>Ju</w:t>
      </w:r>
      <w:r w:rsidR="00A437D0">
        <w:t>ne 18</w:t>
      </w:r>
      <w:r>
        <w:t>, 20</w:t>
      </w:r>
      <w:r w:rsidR="00A437D0">
        <w:t>20</w:t>
      </w:r>
      <w:r>
        <w:t xml:space="preserve"> (</w:t>
      </w:r>
      <w:r w:rsidRPr="00A65B80" w:rsidR="00A65B80">
        <w:t>8</w:t>
      </w:r>
      <w:r w:rsidR="00A437D0">
        <w:t>5</w:t>
      </w:r>
      <w:r w:rsidRPr="00A65B80" w:rsidR="00A65B80">
        <w:t xml:space="preserve"> FR 36</w:t>
      </w:r>
      <w:r w:rsidR="00A437D0">
        <w:t>857</w:t>
      </w:r>
      <w:r w:rsidR="00A65B80">
        <w:t xml:space="preserve">).  </w:t>
      </w:r>
      <w:r w:rsidRPr="00860080" w:rsidR="00860080">
        <w:t>FDA received four comments.  Although four comments were received, three were not responsive to the four collection of information topics solicited and therefore will not be discussed in this document.  The other comment included a number of suggested questions to expand upon the questions posed in the 60-day notice and therefore can be considered ways to enhance the quality, utility, and clarity of the information to be collected.  While the questions will not be included verbatim in our survey instrument, FDA will give the questions due consideration as the Agency proceeds with this study</w:t>
      </w:r>
      <w:r w:rsidR="00860080">
        <w:t>.</w:t>
      </w:r>
      <w:r w:rsidRPr="00827AE0" w:rsidR="00A437D0">
        <w:rPr>
          <w:highlight w:val="yellow"/>
        </w:rPr>
        <w:t xml:space="preserve"> </w:t>
      </w:r>
      <w:r w:rsidR="00A437D0">
        <w:t xml:space="preserve">  </w:t>
      </w:r>
    </w:p>
    <w:p w:rsidRPr="00357C8A" w:rsidR="00357C8A" w:rsidP="006705EA" w:rsidRDefault="00357C8A">
      <w:pPr>
        <w:numPr>
          <w:ilvl w:val="0"/>
          <w:numId w:val="6"/>
        </w:numPr>
        <w:spacing w:after="200" w:line="276" w:lineRule="auto"/>
        <w:rPr>
          <w:rFonts w:eastAsia="Calibri"/>
        </w:rPr>
      </w:pPr>
      <w:r w:rsidRPr="00357C8A">
        <w:rPr>
          <w:rFonts w:eastAsia="Calibri"/>
          <w:u w:val="single"/>
        </w:rPr>
        <w:t>Explanation of Any Payment or Gift to Respondents</w:t>
      </w:r>
    </w:p>
    <w:p w:rsidRPr="00EA4010" w:rsidR="001A2EE2" w:rsidP="00357C8A" w:rsidRDefault="00AF4488">
      <w:pPr>
        <w:spacing w:after="200"/>
        <w:rPr>
          <w:rFonts w:eastAsia="Calibri"/>
        </w:rPr>
      </w:pPr>
      <w:r w:rsidRPr="001A2EE2">
        <w:rPr>
          <w:rFonts w:eastAsia="Calibri"/>
        </w:rPr>
        <w:t xml:space="preserve">There are no incentives, payments or gifts associated with this information collection. </w:t>
      </w:r>
    </w:p>
    <w:p w:rsidRPr="00E21DC8" w:rsidR="00E21DC8" w:rsidP="00E21DC8" w:rsidRDefault="00357C8A">
      <w:pPr>
        <w:numPr>
          <w:ilvl w:val="0"/>
          <w:numId w:val="6"/>
        </w:numPr>
        <w:spacing w:after="200" w:line="276" w:lineRule="auto"/>
        <w:rPr>
          <w:rFonts w:eastAsia="Calibri"/>
        </w:rPr>
      </w:pPr>
      <w:r w:rsidRPr="00357C8A">
        <w:rPr>
          <w:rFonts w:eastAsia="Calibri"/>
          <w:u w:val="single"/>
        </w:rPr>
        <w:lastRenderedPageBreak/>
        <w:t>Assurance of Confidentiality Provided to Respondents</w:t>
      </w:r>
    </w:p>
    <w:p w:rsidRPr="00D46C17" w:rsidR="00E21DC8" w:rsidP="00185B93" w:rsidRDefault="00E21DC8">
      <w:pPr>
        <w:spacing w:after="200"/>
        <w:rPr>
          <w:rFonts w:eastAsia="Calibri"/>
        </w:rPr>
      </w:pPr>
      <w:r w:rsidRPr="00D46C17">
        <w:t>This ICR does not collect personally identifiable information (PII) or information of a personal nature.</w:t>
      </w:r>
      <w:r w:rsidR="00B74F5E">
        <w:t xml:space="preserve"> </w:t>
      </w:r>
      <w:r w:rsidRPr="00D46C17">
        <w:rPr>
          <w:rFonts w:eastAsia="Calibri"/>
        </w:rPr>
        <w:t xml:space="preserve">This information collection supports a Food and Drug Administration, compounding program.  Compounding is generally a practice in which a licensed pharmacist, a licensed physician, or, in the case of an outsourcing facility, a person under the supervision of a licensed pharmacist, combines, mixes, or alters ingredients of a drug to create a medication tailored to the needs of an individual patient. </w:t>
      </w:r>
    </w:p>
    <w:p w:rsidRPr="00D46C17" w:rsidR="00E21DC8" w:rsidP="00E21DC8" w:rsidRDefault="00E21DC8">
      <w:pPr>
        <w:pStyle w:val="ListParagraph"/>
        <w:ind w:left="0"/>
      </w:pPr>
      <w:r w:rsidRPr="00D46C17">
        <w:t>FDA further determined that this collection  is not subject to the Privacy Act of 1974 and the particular notice and other requirements of the Act do not apply. Specifically, FDA (including vendors or service providers acting on behalf of FDA) does  not use name or any other personal identifier to retrieve records from the information collected</w:t>
      </w:r>
    </w:p>
    <w:p w:rsidRPr="00D46C17" w:rsidR="00E21DC8" w:rsidP="00E21DC8" w:rsidRDefault="00E21DC8">
      <w:pPr>
        <w:pStyle w:val="ListParagraph"/>
        <w:ind w:left="0"/>
      </w:pPr>
    </w:p>
    <w:p w:rsidRPr="00D46C17" w:rsidR="00E21DC8" w:rsidP="00E21DC8" w:rsidRDefault="00E21DC8">
      <w:pPr>
        <w:pStyle w:val="ListParagraph"/>
        <w:ind w:left="0"/>
      </w:pPr>
      <w:r w:rsidRPr="00D46C17">
        <w:t xml:space="preserve">In preparing this Supporting Statement, we consulted with our Privacy Office to ensure appropriate handling of information collected. </w:t>
      </w:r>
    </w:p>
    <w:p w:rsidR="00E21DC8" w:rsidP="00AF4488" w:rsidRDefault="00E21DC8">
      <w:pPr>
        <w:rPr>
          <w:rFonts w:eastAsia="Calibri"/>
        </w:rPr>
      </w:pPr>
    </w:p>
    <w:p w:rsidRPr="001A2EE2" w:rsidR="00AF4488" w:rsidP="00AF4488" w:rsidRDefault="00AF4488">
      <w:r w:rsidRPr="001A2EE2">
        <w:rPr>
          <w:rFonts w:eastAsia="Calibri"/>
        </w:rPr>
        <w:t>The survey will be distributed to a limited group who have already registered</w:t>
      </w:r>
      <w:r w:rsidR="00BC15BD">
        <w:rPr>
          <w:rFonts w:eastAsia="Calibri"/>
        </w:rPr>
        <w:t xml:space="preserve"> with</w:t>
      </w:r>
      <w:r w:rsidRPr="001A2EE2">
        <w:rPr>
          <w:rFonts w:eastAsia="Calibri"/>
        </w:rPr>
        <w:t xml:space="preserve"> the FDA. Respondents to the survey will remain anonymous </w:t>
      </w:r>
      <w:r w:rsidRPr="001A2EE2" w:rsidR="00C677BE">
        <w:rPr>
          <w:rFonts w:eastAsia="Calibri"/>
        </w:rPr>
        <w:t xml:space="preserve">to </w:t>
      </w:r>
      <w:r w:rsidRPr="001A2EE2">
        <w:rPr>
          <w:rFonts w:eastAsia="Calibri"/>
        </w:rPr>
        <w:t xml:space="preserve">provide assurances of privacy and non-attribution. </w:t>
      </w:r>
      <w:r w:rsidRPr="001A2EE2">
        <w:t xml:space="preserve">No personally identifiable information (PII) is being collected as part of this data collection. A System of Record Notice (SORN) is not required for this collection because records are not retrievable by PII. A Privacy Impact Assessment (PIA) is not required for this collection because PII is not being collected electronically. A Privacy Act Statement is not required for this collection because we are not requesting individuals to furnish personal information for a system of records. </w:t>
      </w:r>
    </w:p>
    <w:p w:rsidR="001A2EE2" w:rsidP="00AF4488" w:rsidRDefault="001A2EE2">
      <w:pPr>
        <w:rPr>
          <w:color w:val="0070C0"/>
        </w:rPr>
      </w:pPr>
    </w:p>
    <w:p w:rsidRPr="00357C8A" w:rsidR="00357C8A" w:rsidP="006705EA" w:rsidRDefault="00357C8A">
      <w:pPr>
        <w:numPr>
          <w:ilvl w:val="0"/>
          <w:numId w:val="6"/>
        </w:numPr>
        <w:spacing w:after="200" w:line="276" w:lineRule="auto"/>
        <w:rPr>
          <w:rFonts w:eastAsia="Calibri"/>
        </w:rPr>
      </w:pPr>
      <w:r w:rsidRPr="00357C8A">
        <w:rPr>
          <w:rFonts w:eastAsia="Calibri"/>
          <w:u w:val="single"/>
        </w:rPr>
        <w:t>Justification for Sensitive Questions</w:t>
      </w:r>
    </w:p>
    <w:p w:rsidRPr="001A2EE2" w:rsidR="001A2EE2" w:rsidP="001A2EE2" w:rsidRDefault="001A2EE2">
      <w:pPr>
        <w:spacing w:after="200"/>
        <w:rPr>
          <w:rFonts w:eastAsia="Calibri"/>
        </w:rPr>
      </w:pPr>
      <w:r w:rsidRPr="001A2EE2">
        <w:rPr>
          <w:rFonts w:eastAsia="Calibri"/>
        </w:rPr>
        <w:t xml:space="preserve">The collection of information does not involve sensitive questions. </w:t>
      </w:r>
    </w:p>
    <w:p w:rsidRPr="00357C8A" w:rsidR="00357C8A" w:rsidP="006705EA" w:rsidRDefault="00357C8A">
      <w:pPr>
        <w:numPr>
          <w:ilvl w:val="0"/>
          <w:numId w:val="6"/>
        </w:numPr>
        <w:spacing w:after="200" w:line="276" w:lineRule="auto"/>
        <w:rPr>
          <w:rFonts w:eastAsia="Calibri"/>
          <w:u w:val="single"/>
        </w:rPr>
      </w:pPr>
      <w:r w:rsidRPr="00357C8A">
        <w:rPr>
          <w:rFonts w:eastAsia="Calibri"/>
          <w:u w:val="single"/>
        </w:rPr>
        <w:t>Estimates of Annualized Burden Hours and Cost</w:t>
      </w:r>
    </w:p>
    <w:p w:rsidRPr="005C71CA" w:rsidR="00357C8A" w:rsidP="0022425B" w:rsidRDefault="00357C8A">
      <w:pPr>
        <w:spacing w:after="200"/>
        <w:ind w:left="360"/>
        <w:rPr>
          <w:rFonts w:eastAsia="Calibri"/>
        </w:rPr>
      </w:pPr>
      <w:r w:rsidRPr="005C71CA">
        <w:rPr>
          <w:rFonts w:eastAsia="Calibri"/>
        </w:rPr>
        <w:t>12a.  Annualized Hour Burden Estimate</w:t>
      </w:r>
    </w:p>
    <w:p w:rsidRPr="001A2EE2" w:rsidR="003861B3" w:rsidP="003861B3" w:rsidRDefault="00EA29C7">
      <w:pPr>
        <w:spacing w:after="200"/>
        <w:ind w:left="360"/>
        <w:rPr>
          <w:rFonts w:eastAsia="Calibri"/>
        </w:rPr>
      </w:pPr>
      <w:r w:rsidRPr="001A2EE2">
        <w:rPr>
          <w:rFonts w:eastAsia="Calibri"/>
        </w:rPr>
        <w:t xml:space="preserve">The following is </w:t>
      </w:r>
      <w:r w:rsidRPr="001A2EE2" w:rsidR="00290E9C">
        <w:rPr>
          <w:rFonts w:eastAsia="Calibri"/>
        </w:rPr>
        <w:t>a calculation of the annualized reporting burden for this information collection</w:t>
      </w:r>
      <w:r w:rsidR="006501AC">
        <w:rPr>
          <w:rFonts w:eastAsia="Calibri"/>
        </w:rPr>
        <w:t xml:space="preserve">. </w:t>
      </w:r>
      <w:r w:rsidRPr="001A2EE2" w:rsidR="00290E9C">
        <w:rPr>
          <w:rFonts w:eastAsia="Calibri"/>
        </w:rPr>
        <w:t xml:space="preserve">FDA updated this calculation from its 30-day notice, decreasing the estimated total hours given a refined estimate of the number of respondents. </w:t>
      </w:r>
    </w:p>
    <w:tbl>
      <w:tblPr>
        <w:tblW w:w="4759" w:type="pct"/>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17"/>
        <w:gridCol w:w="1429"/>
        <w:gridCol w:w="1518"/>
        <w:gridCol w:w="1250"/>
        <w:gridCol w:w="1518"/>
        <w:gridCol w:w="914"/>
      </w:tblGrid>
      <w:tr w:rsidRPr="00AF4488" w:rsidR="00AF4488" w:rsidTr="005E1375">
        <w:trPr>
          <w:cantSplit/>
          <w:trHeight w:val="20"/>
          <w:tblHeader/>
        </w:trPr>
        <w:tc>
          <w:tcPr>
            <w:tcW w:w="5000" w:type="pct"/>
            <w:gridSpan w:val="6"/>
            <w:tcBorders>
              <w:top w:val="nil"/>
              <w:left w:val="nil"/>
              <w:bottom w:val="single" w:color="auto" w:sz="4" w:space="0"/>
              <w:right w:val="nil"/>
            </w:tcBorders>
            <w:hideMark/>
          </w:tcPr>
          <w:p w:rsidRPr="00AF4488" w:rsidR="00AF4488" w:rsidP="00AF4488" w:rsidRDefault="00AF4488">
            <w:pPr>
              <w:jc w:val="center"/>
              <w:rPr>
                <w:sz w:val="20"/>
                <w:szCs w:val="20"/>
              </w:rPr>
            </w:pPr>
            <w:r w:rsidRPr="00AF4488">
              <w:rPr>
                <w:sz w:val="20"/>
                <w:szCs w:val="20"/>
              </w:rPr>
              <w:t>Table 1.--Estimated Annual Reporting Burden</w:t>
            </w:r>
            <w:r w:rsidRPr="00AF4488">
              <w:rPr>
                <w:sz w:val="20"/>
                <w:szCs w:val="20"/>
                <w:vertAlign w:val="superscript"/>
              </w:rPr>
              <w:t>1</w:t>
            </w:r>
          </w:p>
        </w:tc>
      </w:tr>
      <w:tr w:rsidRPr="001A2EE2" w:rsidR="00AF4488" w:rsidTr="005E1375">
        <w:trPr>
          <w:cantSplit/>
          <w:trHeight w:val="20"/>
        </w:trPr>
        <w:tc>
          <w:tcPr>
            <w:tcW w:w="1336" w:type="pct"/>
            <w:tcBorders>
              <w:top w:val="single" w:color="auto" w:sz="4" w:space="0"/>
              <w:left w:val="single" w:color="auto" w:sz="4" w:space="0"/>
              <w:bottom w:val="single" w:color="auto" w:sz="4" w:space="0"/>
              <w:right w:val="single" w:color="auto" w:sz="4" w:space="0"/>
            </w:tcBorders>
            <w:hideMark/>
          </w:tcPr>
          <w:p w:rsidRPr="001A2EE2" w:rsidR="00AF4488" w:rsidP="00AF4488" w:rsidRDefault="00AF4488">
            <w:pPr>
              <w:jc w:val="center"/>
              <w:rPr>
                <w:sz w:val="20"/>
                <w:szCs w:val="20"/>
              </w:rPr>
            </w:pPr>
            <w:r w:rsidRPr="001A2EE2">
              <w:rPr>
                <w:sz w:val="20"/>
                <w:szCs w:val="20"/>
              </w:rPr>
              <w:t>Activity</w:t>
            </w:r>
          </w:p>
        </w:tc>
        <w:tc>
          <w:tcPr>
            <w:tcW w:w="790" w:type="pct"/>
            <w:tcBorders>
              <w:top w:val="single" w:color="auto" w:sz="4" w:space="0"/>
              <w:left w:val="single" w:color="auto" w:sz="4" w:space="0"/>
              <w:bottom w:val="single" w:color="auto" w:sz="4" w:space="0"/>
              <w:right w:val="single" w:color="auto" w:sz="4" w:space="0"/>
            </w:tcBorders>
            <w:hideMark/>
          </w:tcPr>
          <w:p w:rsidRPr="001A2EE2" w:rsidR="00AF4488" w:rsidP="00AF4488" w:rsidRDefault="00AF4488">
            <w:pPr>
              <w:jc w:val="center"/>
              <w:rPr>
                <w:sz w:val="20"/>
                <w:szCs w:val="20"/>
              </w:rPr>
            </w:pPr>
            <w:r w:rsidRPr="001A2EE2">
              <w:rPr>
                <w:sz w:val="20"/>
                <w:szCs w:val="20"/>
              </w:rPr>
              <w:t>No. of Respondents</w:t>
            </w:r>
          </w:p>
        </w:tc>
        <w:tc>
          <w:tcPr>
            <w:tcW w:w="839" w:type="pct"/>
            <w:tcBorders>
              <w:top w:val="single" w:color="auto" w:sz="4" w:space="0"/>
              <w:left w:val="single" w:color="auto" w:sz="4" w:space="0"/>
              <w:bottom w:val="single" w:color="auto" w:sz="4" w:space="0"/>
              <w:right w:val="single" w:color="auto" w:sz="4" w:space="0"/>
            </w:tcBorders>
            <w:hideMark/>
          </w:tcPr>
          <w:p w:rsidRPr="001A2EE2" w:rsidR="00AF4488" w:rsidP="00AF4488" w:rsidRDefault="00AF4488">
            <w:pPr>
              <w:jc w:val="center"/>
              <w:rPr>
                <w:sz w:val="20"/>
                <w:szCs w:val="20"/>
              </w:rPr>
            </w:pPr>
            <w:r w:rsidRPr="001A2EE2">
              <w:rPr>
                <w:bCs/>
                <w:sz w:val="20"/>
                <w:szCs w:val="20"/>
              </w:rPr>
              <w:t>No. of Responses per Respondent</w:t>
            </w:r>
          </w:p>
        </w:tc>
        <w:tc>
          <w:tcPr>
            <w:tcW w:w="691" w:type="pct"/>
            <w:tcBorders>
              <w:top w:val="single" w:color="auto" w:sz="4" w:space="0"/>
              <w:left w:val="single" w:color="auto" w:sz="4" w:space="0"/>
              <w:bottom w:val="single" w:color="auto" w:sz="4" w:space="0"/>
              <w:right w:val="single" w:color="auto" w:sz="4" w:space="0"/>
            </w:tcBorders>
            <w:hideMark/>
          </w:tcPr>
          <w:p w:rsidRPr="001A2EE2" w:rsidR="00AF4488" w:rsidP="00AF4488" w:rsidRDefault="00AF4488">
            <w:pPr>
              <w:jc w:val="center"/>
              <w:rPr>
                <w:sz w:val="20"/>
                <w:szCs w:val="20"/>
              </w:rPr>
            </w:pPr>
            <w:r w:rsidRPr="001A2EE2">
              <w:rPr>
                <w:sz w:val="20"/>
                <w:szCs w:val="20"/>
              </w:rPr>
              <w:t>Total Annual Responses</w:t>
            </w:r>
          </w:p>
        </w:tc>
        <w:tc>
          <w:tcPr>
            <w:tcW w:w="839" w:type="pct"/>
            <w:tcBorders>
              <w:top w:val="single" w:color="auto" w:sz="4" w:space="0"/>
              <w:left w:val="single" w:color="auto" w:sz="4" w:space="0"/>
              <w:bottom w:val="single" w:color="auto" w:sz="4" w:space="0"/>
              <w:right w:val="single" w:color="auto" w:sz="4" w:space="0"/>
            </w:tcBorders>
            <w:hideMark/>
          </w:tcPr>
          <w:p w:rsidRPr="001A2EE2" w:rsidR="00AF4488" w:rsidP="00AF4488" w:rsidRDefault="00AF4488">
            <w:pPr>
              <w:jc w:val="center"/>
              <w:rPr>
                <w:sz w:val="20"/>
                <w:szCs w:val="20"/>
              </w:rPr>
            </w:pPr>
            <w:r w:rsidRPr="001A2EE2">
              <w:rPr>
                <w:bCs/>
                <w:sz w:val="20"/>
                <w:szCs w:val="20"/>
              </w:rPr>
              <w:t>Average Burden per Response</w:t>
            </w:r>
          </w:p>
        </w:tc>
        <w:tc>
          <w:tcPr>
            <w:tcW w:w="504" w:type="pct"/>
            <w:tcBorders>
              <w:top w:val="single" w:color="auto" w:sz="4" w:space="0"/>
              <w:left w:val="single" w:color="auto" w:sz="4" w:space="0"/>
              <w:bottom w:val="single" w:color="auto" w:sz="4" w:space="0"/>
              <w:right w:val="single" w:color="auto" w:sz="4" w:space="0"/>
            </w:tcBorders>
            <w:hideMark/>
          </w:tcPr>
          <w:p w:rsidRPr="001A2EE2" w:rsidR="00AF4488" w:rsidP="00AF4488" w:rsidRDefault="00AF4488">
            <w:pPr>
              <w:jc w:val="center"/>
              <w:rPr>
                <w:sz w:val="20"/>
                <w:szCs w:val="20"/>
              </w:rPr>
            </w:pPr>
            <w:r w:rsidRPr="001A2EE2">
              <w:rPr>
                <w:sz w:val="20"/>
                <w:szCs w:val="20"/>
              </w:rPr>
              <w:t>Total Hours</w:t>
            </w:r>
          </w:p>
        </w:tc>
      </w:tr>
      <w:tr w:rsidRPr="001A2EE2" w:rsidR="00AF4488" w:rsidTr="005E1375">
        <w:trPr>
          <w:cantSplit/>
          <w:trHeight w:val="20"/>
        </w:trPr>
        <w:tc>
          <w:tcPr>
            <w:tcW w:w="1336" w:type="pct"/>
            <w:tcBorders>
              <w:top w:val="single" w:color="auto" w:sz="4" w:space="0"/>
              <w:left w:val="single" w:color="auto" w:sz="4" w:space="0"/>
              <w:bottom w:val="single" w:color="auto" w:sz="4" w:space="0"/>
              <w:right w:val="single" w:color="auto" w:sz="4" w:space="0"/>
            </w:tcBorders>
            <w:hideMark/>
          </w:tcPr>
          <w:p w:rsidRPr="001A2EE2" w:rsidR="00AF4488" w:rsidP="00AF4488" w:rsidRDefault="00AF4488">
            <w:pPr>
              <w:rPr>
                <w:sz w:val="20"/>
                <w:szCs w:val="20"/>
              </w:rPr>
            </w:pPr>
            <w:r w:rsidRPr="001A2EE2">
              <w:rPr>
                <w:sz w:val="20"/>
                <w:szCs w:val="20"/>
              </w:rPr>
              <w:t>Survey</w:t>
            </w:r>
          </w:p>
        </w:tc>
        <w:tc>
          <w:tcPr>
            <w:tcW w:w="790" w:type="pct"/>
            <w:tcBorders>
              <w:top w:val="single" w:color="auto" w:sz="4" w:space="0"/>
              <w:left w:val="single" w:color="auto" w:sz="4" w:space="0"/>
              <w:bottom w:val="single" w:color="auto" w:sz="4" w:space="0"/>
              <w:right w:val="single" w:color="auto" w:sz="4" w:space="0"/>
            </w:tcBorders>
            <w:hideMark/>
          </w:tcPr>
          <w:p w:rsidRPr="001A2EE2" w:rsidR="00AF4488" w:rsidP="00AF4488" w:rsidRDefault="003861B3">
            <w:pPr>
              <w:jc w:val="right"/>
              <w:rPr>
                <w:sz w:val="20"/>
                <w:szCs w:val="20"/>
              </w:rPr>
            </w:pPr>
            <w:r>
              <w:rPr>
                <w:sz w:val="20"/>
                <w:szCs w:val="20"/>
              </w:rPr>
              <w:t>300</w:t>
            </w:r>
          </w:p>
        </w:tc>
        <w:tc>
          <w:tcPr>
            <w:tcW w:w="839" w:type="pct"/>
            <w:tcBorders>
              <w:top w:val="single" w:color="auto" w:sz="4" w:space="0"/>
              <w:left w:val="single" w:color="auto" w:sz="4" w:space="0"/>
              <w:bottom w:val="single" w:color="auto" w:sz="4" w:space="0"/>
              <w:right w:val="single" w:color="auto" w:sz="4" w:space="0"/>
            </w:tcBorders>
            <w:hideMark/>
          </w:tcPr>
          <w:p w:rsidRPr="001A2EE2" w:rsidR="00AF4488" w:rsidP="00AF4488" w:rsidRDefault="003861B3">
            <w:pPr>
              <w:jc w:val="right"/>
              <w:rPr>
                <w:sz w:val="20"/>
                <w:szCs w:val="20"/>
              </w:rPr>
            </w:pPr>
            <w:r>
              <w:rPr>
                <w:sz w:val="20"/>
                <w:szCs w:val="20"/>
              </w:rPr>
              <w:t>2</w:t>
            </w:r>
          </w:p>
        </w:tc>
        <w:tc>
          <w:tcPr>
            <w:tcW w:w="691" w:type="pct"/>
            <w:tcBorders>
              <w:top w:val="single" w:color="auto" w:sz="4" w:space="0"/>
              <w:left w:val="single" w:color="auto" w:sz="4" w:space="0"/>
              <w:bottom w:val="single" w:color="auto" w:sz="4" w:space="0"/>
              <w:right w:val="single" w:color="auto" w:sz="4" w:space="0"/>
            </w:tcBorders>
            <w:hideMark/>
          </w:tcPr>
          <w:p w:rsidRPr="001A2EE2" w:rsidR="00AF4488" w:rsidP="00AF4488" w:rsidRDefault="003861B3">
            <w:pPr>
              <w:jc w:val="right"/>
              <w:rPr>
                <w:sz w:val="20"/>
                <w:szCs w:val="20"/>
              </w:rPr>
            </w:pPr>
            <w:r>
              <w:rPr>
                <w:sz w:val="20"/>
                <w:szCs w:val="20"/>
              </w:rPr>
              <w:t>600</w:t>
            </w:r>
          </w:p>
        </w:tc>
        <w:tc>
          <w:tcPr>
            <w:tcW w:w="839" w:type="pct"/>
            <w:tcBorders>
              <w:top w:val="single" w:color="auto" w:sz="4" w:space="0"/>
              <w:left w:val="single" w:color="auto" w:sz="4" w:space="0"/>
              <w:bottom w:val="single" w:color="auto" w:sz="4" w:space="0"/>
              <w:right w:val="single" w:color="auto" w:sz="4" w:space="0"/>
            </w:tcBorders>
            <w:hideMark/>
          </w:tcPr>
          <w:p w:rsidRPr="001A2EE2" w:rsidR="00AF4488" w:rsidP="00AF4488" w:rsidRDefault="00770334">
            <w:pPr>
              <w:jc w:val="right"/>
              <w:rPr>
                <w:sz w:val="20"/>
                <w:szCs w:val="20"/>
              </w:rPr>
            </w:pPr>
            <w:r>
              <w:rPr>
                <w:sz w:val="20"/>
                <w:szCs w:val="20"/>
              </w:rPr>
              <w:t>1</w:t>
            </w:r>
          </w:p>
        </w:tc>
        <w:tc>
          <w:tcPr>
            <w:tcW w:w="504" w:type="pct"/>
            <w:tcBorders>
              <w:top w:val="single" w:color="auto" w:sz="4" w:space="0"/>
              <w:left w:val="single" w:color="auto" w:sz="4" w:space="0"/>
              <w:bottom w:val="single" w:color="auto" w:sz="4" w:space="0"/>
              <w:right w:val="single" w:color="auto" w:sz="4" w:space="0"/>
            </w:tcBorders>
            <w:hideMark/>
          </w:tcPr>
          <w:p w:rsidRPr="001A2EE2" w:rsidR="00AF4488" w:rsidP="00AF4488" w:rsidRDefault="003861B3">
            <w:pPr>
              <w:jc w:val="right"/>
              <w:rPr>
                <w:sz w:val="20"/>
                <w:szCs w:val="20"/>
              </w:rPr>
            </w:pPr>
            <w:r>
              <w:rPr>
                <w:sz w:val="20"/>
                <w:szCs w:val="20"/>
              </w:rPr>
              <w:t>600</w:t>
            </w:r>
          </w:p>
        </w:tc>
      </w:tr>
    </w:tbl>
    <w:p w:rsidRPr="00AF4488" w:rsidR="00AF4488" w:rsidP="00AF4488" w:rsidRDefault="00AF4488">
      <w:pPr>
        <w:rPr>
          <w:sz w:val="20"/>
          <w:szCs w:val="20"/>
        </w:rPr>
      </w:pPr>
      <w:r w:rsidRPr="00AF4488">
        <w:rPr>
          <w:sz w:val="20"/>
          <w:szCs w:val="20"/>
          <w:vertAlign w:val="superscript"/>
        </w:rPr>
        <w:t>1</w:t>
      </w:r>
      <w:r w:rsidRPr="00AF4488">
        <w:rPr>
          <w:sz w:val="20"/>
          <w:szCs w:val="20"/>
        </w:rPr>
        <w:t>There are no capital costs or operating and maintenance costs associated with this collection of information.</w:t>
      </w:r>
    </w:p>
    <w:p w:rsidR="00AF4488" w:rsidP="001A2EE2" w:rsidRDefault="00AF4488">
      <w:pPr>
        <w:spacing w:after="200"/>
        <w:rPr>
          <w:rFonts w:eastAsia="Calibri"/>
          <w:b/>
        </w:rPr>
      </w:pPr>
    </w:p>
    <w:p w:rsidRPr="005C71CA" w:rsidR="00357C8A" w:rsidP="00DC371B" w:rsidRDefault="00357C8A">
      <w:pPr>
        <w:spacing w:after="200"/>
        <w:ind w:left="360"/>
        <w:rPr>
          <w:rFonts w:eastAsia="Calibri"/>
        </w:rPr>
      </w:pPr>
      <w:r w:rsidRPr="005C71CA">
        <w:rPr>
          <w:rFonts w:eastAsia="Calibri"/>
        </w:rPr>
        <w:t>12b.  Annualized Cost Burden Estimate</w:t>
      </w:r>
    </w:p>
    <w:p w:rsidR="00A707CC" w:rsidP="0022425B" w:rsidRDefault="00A707CC">
      <w:pPr>
        <w:rPr>
          <w:rFonts w:eastAsia="Calibri"/>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2448"/>
        <w:gridCol w:w="2340"/>
        <w:gridCol w:w="2430"/>
      </w:tblGrid>
      <w:tr w:rsidRPr="001A2EE2" w:rsidR="001A2EE2" w:rsidTr="001A2EE2">
        <w:tc>
          <w:tcPr>
            <w:tcW w:w="2520" w:type="dxa"/>
            <w:shd w:val="clear" w:color="auto" w:fill="auto"/>
          </w:tcPr>
          <w:p w:rsidRPr="001A2EE2" w:rsidR="00A707CC" w:rsidP="00312622" w:rsidRDefault="00A707CC">
            <w:pPr>
              <w:jc w:val="center"/>
              <w:rPr>
                <w:sz w:val="20"/>
                <w:szCs w:val="20"/>
              </w:rPr>
            </w:pPr>
            <w:r w:rsidRPr="001A2EE2">
              <w:rPr>
                <w:sz w:val="20"/>
                <w:szCs w:val="20"/>
              </w:rPr>
              <w:t>Type of Respondent</w:t>
            </w:r>
          </w:p>
        </w:tc>
        <w:tc>
          <w:tcPr>
            <w:tcW w:w="2448" w:type="dxa"/>
            <w:shd w:val="clear" w:color="auto" w:fill="auto"/>
          </w:tcPr>
          <w:p w:rsidRPr="001A2EE2" w:rsidR="00A707CC" w:rsidP="00312622" w:rsidRDefault="00A707CC">
            <w:pPr>
              <w:jc w:val="center"/>
              <w:rPr>
                <w:sz w:val="20"/>
                <w:szCs w:val="20"/>
              </w:rPr>
            </w:pPr>
            <w:r w:rsidRPr="001A2EE2">
              <w:rPr>
                <w:sz w:val="20"/>
                <w:szCs w:val="20"/>
              </w:rPr>
              <w:t>Total Burden Hours</w:t>
            </w:r>
          </w:p>
        </w:tc>
        <w:tc>
          <w:tcPr>
            <w:tcW w:w="2340" w:type="dxa"/>
            <w:shd w:val="clear" w:color="auto" w:fill="auto"/>
          </w:tcPr>
          <w:p w:rsidRPr="001A2EE2" w:rsidR="00A707CC" w:rsidP="00312622" w:rsidRDefault="00A707CC">
            <w:pPr>
              <w:jc w:val="center"/>
              <w:rPr>
                <w:sz w:val="20"/>
                <w:szCs w:val="20"/>
              </w:rPr>
            </w:pPr>
            <w:r w:rsidRPr="001A2EE2">
              <w:rPr>
                <w:sz w:val="20"/>
                <w:szCs w:val="20"/>
              </w:rPr>
              <w:t>Hourly Wage Rate</w:t>
            </w:r>
          </w:p>
        </w:tc>
        <w:tc>
          <w:tcPr>
            <w:tcW w:w="2430" w:type="dxa"/>
            <w:shd w:val="clear" w:color="auto" w:fill="auto"/>
          </w:tcPr>
          <w:p w:rsidRPr="001A2EE2" w:rsidR="00A707CC" w:rsidP="00312622" w:rsidRDefault="00A707CC">
            <w:pPr>
              <w:jc w:val="center"/>
              <w:rPr>
                <w:sz w:val="20"/>
                <w:szCs w:val="20"/>
              </w:rPr>
            </w:pPr>
            <w:r w:rsidRPr="001A2EE2">
              <w:rPr>
                <w:sz w:val="20"/>
                <w:szCs w:val="20"/>
              </w:rPr>
              <w:t>Total Respondent Costs</w:t>
            </w:r>
          </w:p>
        </w:tc>
      </w:tr>
      <w:tr w:rsidRPr="001A2EE2" w:rsidR="001A2EE2" w:rsidTr="001A2EE2">
        <w:tc>
          <w:tcPr>
            <w:tcW w:w="2520" w:type="dxa"/>
            <w:shd w:val="clear" w:color="auto" w:fill="auto"/>
          </w:tcPr>
          <w:p w:rsidRPr="001A2EE2" w:rsidR="00A707CC" w:rsidP="00312622" w:rsidRDefault="00290E9C">
            <w:pPr>
              <w:rPr>
                <w:sz w:val="20"/>
                <w:szCs w:val="20"/>
              </w:rPr>
            </w:pPr>
            <w:r w:rsidRPr="001A2EE2">
              <w:rPr>
                <w:sz w:val="20"/>
                <w:szCs w:val="20"/>
              </w:rPr>
              <w:t>Outsourcing Facility Manager</w:t>
            </w:r>
          </w:p>
        </w:tc>
        <w:tc>
          <w:tcPr>
            <w:tcW w:w="2448" w:type="dxa"/>
            <w:shd w:val="clear" w:color="auto" w:fill="auto"/>
          </w:tcPr>
          <w:p w:rsidRPr="001A2EE2" w:rsidR="00A707CC" w:rsidP="00312622" w:rsidRDefault="003861B3">
            <w:pPr>
              <w:rPr>
                <w:sz w:val="20"/>
                <w:szCs w:val="20"/>
              </w:rPr>
            </w:pPr>
            <w:r>
              <w:rPr>
                <w:sz w:val="20"/>
                <w:szCs w:val="20"/>
              </w:rPr>
              <w:t>600</w:t>
            </w:r>
          </w:p>
        </w:tc>
        <w:tc>
          <w:tcPr>
            <w:tcW w:w="2340" w:type="dxa"/>
            <w:shd w:val="clear" w:color="auto" w:fill="auto"/>
          </w:tcPr>
          <w:p w:rsidRPr="001A2EE2" w:rsidR="00A707CC" w:rsidP="00312622" w:rsidRDefault="00290E9C">
            <w:pPr>
              <w:rPr>
                <w:sz w:val="20"/>
                <w:szCs w:val="20"/>
              </w:rPr>
            </w:pPr>
            <w:r w:rsidRPr="001A2EE2">
              <w:rPr>
                <w:sz w:val="20"/>
                <w:szCs w:val="20"/>
              </w:rPr>
              <w:t>$47.95</w:t>
            </w:r>
          </w:p>
        </w:tc>
        <w:tc>
          <w:tcPr>
            <w:tcW w:w="2430" w:type="dxa"/>
            <w:shd w:val="clear" w:color="auto" w:fill="auto"/>
          </w:tcPr>
          <w:p w:rsidRPr="001A2EE2" w:rsidR="00A707CC" w:rsidP="00312622" w:rsidRDefault="00290E9C">
            <w:pPr>
              <w:rPr>
                <w:sz w:val="20"/>
                <w:szCs w:val="20"/>
              </w:rPr>
            </w:pPr>
            <w:r w:rsidRPr="001A2EE2">
              <w:rPr>
                <w:sz w:val="20"/>
                <w:szCs w:val="20"/>
              </w:rPr>
              <w:t>$</w:t>
            </w:r>
            <w:r w:rsidR="003861B3">
              <w:rPr>
                <w:sz w:val="20"/>
                <w:szCs w:val="20"/>
              </w:rPr>
              <w:t>28</w:t>
            </w:r>
            <w:r w:rsidRPr="001A2EE2">
              <w:rPr>
                <w:sz w:val="20"/>
                <w:szCs w:val="20"/>
              </w:rPr>
              <w:t>,</w:t>
            </w:r>
            <w:r w:rsidR="003861B3">
              <w:rPr>
                <w:sz w:val="20"/>
                <w:szCs w:val="20"/>
              </w:rPr>
              <w:t>770</w:t>
            </w:r>
          </w:p>
        </w:tc>
      </w:tr>
    </w:tbl>
    <w:p w:rsidR="005E1375" w:rsidP="005E1375" w:rsidRDefault="005E1375">
      <w:pPr>
        <w:ind w:left="360"/>
      </w:pPr>
    </w:p>
    <w:p w:rsidRPr="001A2EE2" w:rsidR="00290E9C" w:rsidP="005E1375" w:rsidRDefault="00290E9C">
      <w:pPr>
        <w:ind w:left="360"/>
      </w:pPr>
      <w:r w:rsidRPr="001A2EE2">
        <w:t>The respondent hourly wage was determined by using the Bureau of Labor Statistics, U.S. Department of Labor, Occupational Outlook Handbook, Medical and Health Services Managers, on the Internet at https://www.bls.gov/ooh/management/medical-and-health-services-managers.htm (visited November 05, 2019).</w:t>
      </w:r>
    </w:p>
    <w:p w:rsidRPr="00357C8A" w:rsidR="00290E9C" w:rsidP="00357C8A" w:rsidRDefault="00290E9C">
      <w:pPr>
        <w:rPr>
          <w:rFonts w:eastAsia="Calibri"/>
        </w:rPr>
      </w:pPr>
    </w:p>
    <w:p w:rsidRPr="00357C8A" w:rsidR="00357C8A" w:rsidP="006705EA" w:rsidRDefault="00357C8A">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1A2EE2" w:rsidP="00EA4010" w:rsidRDefault="00290E9C">
      <w:r w:rsidRPr="001A2EE2">
        <w:t>There are no capital, start-up, operating or maintenance costs associated with this information collection.</w:t>
      </w:r>
    </w:p>
    <w:p w:rsidRPr="00EA4010" w:rsidR="00EA4010" w:rsidP="00EA4010" w:rsidRDefault="00EA4010"/>
    <w:p w:rsidR="00357C8A" w:rsidP="006705EA" w:rsidRDefault="00357C8A">
      <w:pPr>
        <w:numPr>
          <w:ilvl w:val="0"/>
          <w:numId w:val="6"/>
        </w:numPr>
        <w:spacing w:after="200" w:line="276" w:lineRule="auto"/>
        <w:rPr>
          <w:rFonts w:eastAsia="Calibri"/>
          <w:u w:val="single"/>
        </w:rPr>
      </w:pPr>
      <w:r w:rsidRPr="00357C8A">
        <w:rPr>
          <w:rFonts w:eastAsia="Calibri"/>
          <w:u w:val="single"/>
        </w:rPr>
        <w:t>Annualized Cost to the Federal Government</w:t>
      </w:r>
    </w:p>
    <w:p w:rsidRPr="00160749" w:rsidR="00CA4CD8" w:rsidP="004162BC" w:rsidRDefault="00CA4CD8">
      <w:pPr>
        <w:spacing w:after="200"/>
        <w:rPr>
          <w:rFonts w:eastAsia="Calibri"/>
          <w:i/>
        </w:rPr>
      </w:pPr>
      <w:r w:rsidRPr="00CA4CD8">
        <w:rPr>
          <w:rFonts w:eastAsia="Calibri"/>
        </w:rPr>
        <w:t xml:space="preserve">The annualized cost to the </w:t>
      </w:r>
      <w:r w:rsidR="004F6719">
        <w:rPr>
          <w:rFonts w:eastAsia="Calibri"/>
        </w:rPr>
        <w:t>f</w:t>
      </w:r>
      <w:r w:rsidRPr="00CA4CD8">
        <w:rPr>
          <w:rFonts w:eastAsia="Calibri"/>
        </w:rPr>
        <w:t xml:space="preserve">ederal </w:t>
      </w:r>
      <w:r w:rsidR="004F6719">
        <w:rPr>
          <w:rFonts w:eastAsia="Calibri"/>
        </w:rPr>
        <w:t>g</w:t>
      </w:r>
      <w:r w:rsidRPr="00CA4CD8">
        <w:rPr>
          <w:rFonts w:eastAsia="Calibri"/>
        </w:rPr>
        <w:t xml:space="preserve">overnment has been calculated by </w:t>
      </w:r>
      <w:r w:rsidR="00E50C93">
        <w:rPr>
          <w:rFonts w:eastAsia="Calibri"/>
        </w:rPr>
        <w:t>multipl</w:t>
      </w:r>
      <w:r w:rsidR="00F67F93">
        <w:rPr>
          <w:rFonts w:eastAsia="Calibri"/>
        </w:rPr>
        <w:t xml:space="preserve">ying the total number of responses </w:t>
      </w:r>
      <w:r w:rsidR="00C65C88">
        <w:rPr>
          <w:rFonts w:eastAsia="Calibri"/>
        </w:rPr>
        <w:t xml:space="preserve">– </w:t>
      </w:r>
      <w:r w:rsidR="00F67F93">
        <w:rPr>
          <w:rFonts w:eastAsia="Calibri"/>
        </w:rPr>
        <w:t>600</w:t>
      </w:r>
      <w:r w:rsidR="00C65C88">
        <w:rPr>
          <w:rFonts w:eastAsia="Calibri"/>
        </w:rPr>
        <w:t xml:space="preserve"> – by the cost to process each response – $23.70 </w:t>
      </w:r>
      <w:r w:rsidR="00160749">
        <w:rPr>
          <w:rFonts w:eastAsia="Calibri"/>
          <w:i/>
        </w:rPr>
        <w:t xml:space="preserve">– </w:t>
      </w:r>
      <w:r w:rsidR="00F67F93">
        <w:rPr>
          <w:rFonts w:eastAsia="Calibri"/>
        </w:rPr>
        <w:t xml:space="preserve">to get </w:t>
      </w:r>
      <w:r>
        <w:rPr>
          <w:rFonts w:eastAsia="Calibri"/>
        </w:rPr>
        <w:t>a total</w:t>
      </w:r>
      <w:r w:rsidR="004F6719">
        <w:rPr>
          <w:rFonts w:eastAsia="Calibri"/>
        </w:rPr>
        <w:t xml:space="preserve"> labor</w:t>
      </w:r>
      <w:r>
        <w:rPr>
          <w:rFonts w:eastAsia="Calibri"/>
        </w:rPr>
        <w:t xml:space="preserve"> cost </w:t>
      </w:r>
      <w:r w:rsidR="004F6719">
        <w:rPr>
          <w:rFonts w:eastAsia="Calibri"/>
        </w:rPr>
        <w:t xml:space="preserve">to the government </w:t>
      </w:r>
      <w:r>
        <w:rPr>
          <w:rFonts w:eastAsia="Calibri"/>
        </w:rPr>
        <w:t xml:space="preserve">of </w:t>
      </w:r>
      <w:r w:rsidRPr="00CA4CD8">
        <w:rPr>
          <w:rFonts w:eastAsia="Calibri"/>
        </w:rPr>
        <w:t>$14,220.</w:t>
      </w:r>
      <w:r>
        <w:rPr>
          <w:rFonts w:eastAsia="Calibri"/>
        </w:rPr>
        <w:t xml:space="preserve"> </w:t>
      </w:r>
      <w:r w:rsidRPr="00C60782" w:rsidR="00160749">
        <w:rPr>
          <w:rFonts w:eastAsia="Calibri"/>
        </w:rPr>
        <w:t xml:space="preserve">The cost to process </w:t>
      </w:r>
      <w:r w:rsidRPr="00C60782" w:rsidR="00C60782">
        <w:rPr>
          <w:rFonts w:eastAsia="Calibri"/>
        </w:rPr>
        <w:t xml:space="preserve">each response was </w:t>
      </w:r>
      <w:r w:rsidRPr="00C60782" w:rsidR="00160749">
        <w:rPr>
          <w:rFonts w:eastAsia="Calibri"/>
        </w:rPr>
        <w:t>calculated by multiplying the hourly wage of worker’s processing the responses – $94.80 – by the number of hours needed to process each response – .25</w:t>
      </w:r>
      <w:r w:rsidRPr="00C60782" w:rsidR="00C60782">
        <w:rPr>
          <w:rFonts w:eastAsia="Calibri"/>
        </w:rPr>
        <w:t>.</w:t>
      </w:r>
      <w:r w:rsidRPr="00C60782" w:rsidR="00160749">
        <w:rPr>
          <w:rFonts w:eastAsia="Calibri"/>
        </w:rPr>
        <w:t xml:space="preserve"> </w:t>
      </w:r>
      <w:r w:rsidRPr="00C60782" w:rsidR="004F6719">
        <w:rPr>
          <w:rFonts w:eastAsia="Calibri"/>
        </w:rPr>
        <w:t>There</w:t>
      </w:r>
      <w:r w:rsidR="004F6719">
        <w:rPr>
          <w:rFonts w:eastAsia="Calibri"/>
        </w:rPr>
        <w:t xml:space="preserve"> are no operational and maintenance costs to the government, so the total annualized cost to the federal government is $14,220. </w:t>
      </w:r>
    </w:p>
    <w:p w:rsidRPr="001A2EE2" w:rsidR="00290E9C" w:rsidP="00290E9C" w:rsidRDefault="00290E9C">
      <w:pPr>
        <w:rPr>
          <w:u w:val="single"/>
        </w:rPr>
      </w:pPr>
      <w:r w:rsidRPr="001A2EE2">
        <w:rPr>
          <w:u w:val="single"/>
        </w:rPr>
        <w:t>Labor Cost to the Federal Government (Contract Costs)</w:t>
      </w:r>
    </w:p>
    <w:p w:rsidRPr="001A2EE2" w:rsidR="00290E9C" w:rsidP="00290E9C" w:rsidRDefault="00290E9C"/>
    <w:p w:rsidRPr="001A2EE2" w:rsidR="00290E9C" w:rsidP="00290E9C" w:rsidRDefault="00290E9C">
      <w:pPr>
        <w:ind w:firstLine="720"/>
        <w:rPr>
          <w:rFonts w:eastAsia="Calibri"/>
          <w:szCs w:val="22"/>
        </w:rPr>
      </w:pPr>
      <w:r w:rsidRPr="001A2EE2">
        <w:rPr>
          <w:rFonts w:eastAsia="Calibri"/>
          <w:szCs w:val="22"/>
        </w:rPr>
        <w:t xml:space="preserve">a. Number of Total Annual Responses: </w:t>
      </w:r>
      <w:r w:rsidRPr="001A2EE2">
        <w:rPr>
          <w:rFonts w:eastAsia="Calibri"/>
          <w:szCs w:val="22"/>
        </w:rPr>
        <w:tab/>
      </w:r>
      <w:r w:rsidRPr="001A2EE2">
        <w:rPr>
          <w:rFonts w:eastAsia="Calibri"/>
          <w:szCs w:val="22"/>
        </w:rPr>
        <w:tab/>
      </w:r>
      <w:r w:rsidRPr="001A2EE2">
        <w:rPr>
          <w:rFonts w:eastAsia="Calibri"/>
          <w:szCs w:val="22"/>
        </w:rPr>
        <w:tab/>
      </w:r>
      <w:r w:rsidR="00237CC5">
        <w:rPr>
          <w:rFonts w:eastAsia="Calibri"/>
          <w:szCs w:val="22"/>
        </w:rPr>
        <w:t>600</w:t>
      </w:r>
    </w:p>
    <w:p w:rsidRPr="001A2EE2" w:rsidR="00290E9C" w:rsidP="00290E9C" w:rsidRDefault="00290E9C">
      <w:pPr>
        <w:ind w:left="720"/>
        <w:rPr>
          <w:rFonts w:eastAsia="Calibri"/>
          <w:szCs w:val="22"/>
        </w:rPr>
      </w:pPr>
      <w:r w:rsidRPr="001A2EE2">
        <w:rPr>
          <w:rFonts w:eastAsia="Calibri"/>
          <w:szCs w:val="22"/>
        </w:rPr>
        <w:t xml:space="preserve">b. Processing Time per Response: </w:t>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0097549F">
        <w:rPr>
          <w:rFonts w:eastAsia="Calibri"/>
          <w:szCs w:val="22"/>
        </w:rPr>
        <w:t>.25 hours</w:t>
      </w:r>
    </w:p>
    <w:p w:rsidRPr="001A2EE2" w:rsidR="00290E9C" w:rsidP="00290E9C" w:rsidRDefault="00290E9C">
      <w:pPr>
        <w:rPr>
          <w:rFonts w:eastAsia="Calibri"/>
          <w:szCs w:val="22"/>
        </w:rPr>
      </w:pPr>
      <w:r w:rsidRPr="001A2EE2">
        <w:rPr>
          <w:rFonts w:eastAsia="Calibri"/>
          <w:szCs w:val="22"/>
        </w:rPr>
        <w:tab/>
        <w:t xml:space="preserve">c. Hourly Wage of Worker(s) Processing Responses: </w:t>
      </w:r>
      <w:r w:rsidRPr="001A2EE2">
        <w:rPr>
          <w:rFonts w:eastAsia="Calibri"/>
          <w:szCs w:val="22"/>
        </w:rPr>
        <w:tab/>
        <w:t>$94.80</w:t>
      </w:r>
    </w:p>
    <w:p w:rsidRPr="001A2EE2" w:rsidR="00290E9C" w:rsidP="00290E9C" w:rsidRDefault="00290E9C">
      <w:pPr>
        <w:rPr>
          <w:rFonts w:eastAsia="Calibri"/>
          <w:szCs w:val="22"/>
        </w:rPr>
      </w:pPr>
      <w:r w:rsidRPr="001A2EE2">
        <w:rPr>
          <w:rFonts w:eastAsia="Calibri"/>
          <w:szCs w:val="22"/>
        </w:rPr>
        <w:tab/>
        <w:t xml:space="preserve">d. Cost to Process Each Response: </w:t>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t>$</w:t>
      </w:r>
      <w:r w:rsidRPr="001A2EE2" w:rsidR="00BC753A">
        <w:rPr>
          <w:rFonts w:eastAsia="Calibri"/>
          <w:szCs w:val="22"/>
        </w:rPr>
        <w:t>23</w:t>
      </w:r>
      <w:r w:rsidRPr="001A2EE2">
        <w:rPr>
          <w:rFonts w:eastAsia="Calibri"/>
          <w:szCs w:val="22"/>
        </w:rPr>
        <w:t>.</w:t>
      </w:r>
      <w:r w:rsidRPr="001A2EE2" w:rsidR="00BC753A">
        <w:rPr>
          <w:rFonts w:eastAsia="Calibri"/>
          <w:szCs w:val="22"/>
        </w:rPr>
        <w:t>7</w:t>
      </w:r>
      <w:r w:rsidRPr="001A2EE2">
        <w:rPr>
          <w:rFonts w:eastAsia="Calibri"/>
          <w:szCs w:val="22"/>
        </w:rPr>
        <w:t>0</w:t>
      </w:r>
      <w:r w:rsidR="00F67F93">
        <w:rPr>
          <w:rFonts w:eastAsia="Calibri"/>
          <w:szCs w:val="22"/>
        </w:rPr>
        <w:t xml:space="preserve"> </w:t>
      </w:r>
      <w:r w:rsidR="00C65C88">
        <w:rPr>
          <w:rFonts w:eastAsia="Calibri"/>
          <w:szCs w:val="22"/>
        </w:rPr>
        <w:t>= ($94.80*.25)</w:t>
      </w:r>
    </w:p>
    <w:p w:rsidRPr="001A2EE2" w:rsidR="00290E9C" w:rsidP="00290E9C" w:rsidRDefault="00290E9C">
      <w:pPr>
        <w:ind w:firstLine="720"/>
        <w:rPr>
          <w:rFonts w:eastAsia="Calibri"/>
          <w:szCs w:val="22"/>
        </w:rPr>
      </w:pPr>
      <w:r w:rsidRPr="001A2EE2">
        <w:rPr>
          <w:rFonts w:eastAsia="Calibri"/>
          <w:szCs w:val="22"/>
        </w:rPr>
        <w:t xml:space="preserve">e. Total Cost to Process Responses: </w:t>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t>$</w:t>
      </w:r>
      <w:r w:rsidR="00214D0E">
        <w:rPr>
          <w:rFonts w:eastAsia="Calibri"/>
          <w:szCs w:val="22"/>
        </w:rPr>
        <w:t>14</w:t>
      </w:r>
      <w:r w:rsidR="00020740">
        <w:rPr>
          <w:rFonts w:eastAsia="Calibri"/>
          <w:szCs w:val="22"/>
        </w:rPr>
        <w:t>,</w:t>
      </w:r>
      <w:r w:rsidR="00214D0E">
        <w:rPr>
          <w:rFonts w:eastAsia="Calibri"/>
          <w:szCs w:val="22"/>
        </w:rPr>
        <w:t>220</w:t>
      </w:r>
      <w:r w:rsidR="00C65C88">
        <w:rPr>
          <w:rFonts w:eastAsia="Calibri"/>
          <w:szCs w:val="22"/>
        </w:rPr>
        <w:t xml:space="preserve"> = (600*</w:t>
      </w:r>
      <w:r w:rsidR="00C60782">
        <w:rPr>
          <w:rFonts w:eastAsia="Calibri"/>
          <w:szCs w:val="22"/>
        </w:rPr>
        <w:t>$23.70</w:t>
      </w:r>
      <w:r w:rsidR="00C65C88">
        <w:rPr>
          <w:rFonts w:eastAsia="Calibri"/>
          <w:szCs w:val="22"/>
        </w:rPr>
        <w:t>)</w:t>
      </w:r>
    </w:p>
    <w:p w:rsidRPr="001A2EE2" w:rsidR="00290E9C" w:rsidP="00290E9C" w:rsidRDefault="00290E9C">
      <w:pPr>
        <w:ind w:firstLine="720"/>
        <w:rPr>
          <w:rFonts w:eastAsia="Calibri"/>
          <w:szCs w:val="22"/>
          <w:u w:val="single"/>
        </w:rPr>
      </w:pPr>
    </w:p>
    <w:p w:rsidRPr="001A2EE2" w:rsidR="00290E9C" w:rsidP="00290E9C" w:rsidRDefault="00290E9C">
      <w:pPr>
        <w:rPr>
          <w:rFonts w:eastAsia="Calibri"/>
          <w:szCs w:val="22"/>
        </w:rPr>
      </w:pPr>
      <w:r w:rsidRPr="001A2EE2">
        <w:rPr>
          <w:rFonts w:eastAsia="Calibri"/>
          <w:szCs w:val="22"/>
          <w:u w:val="single"/>
        </w:rPr>
        <w:t xml:space="preserve">Overall Labor Burden to Federal Government </w:t>
      </w:r>
    </w:p>
    <w:p w:rsidRPr="001A2EE2" w:rsidR="00290E9C" w:rsidP="00290E9C" w:rsidRDefault="00290E9C">
      <w:pPr>
        <w:rPr>
          <w:rFonts w:eastAsia="Calibri"/>
          <w:szCs w:val="22"/>
        </w:rPr>
      </w:pPr>
      <w:r w:rsidRPr="001A2EE2">
        <w:rPr>
          <w:rFonts w:eastAsia="Calibri"/>
          <w:szCs w:val="22"/>
        </w:rPr>
        <w:tab/>
        <w:t>a. Total Number of Annual Responses:</w:t>
      </w:r>
      <w:r w:rsidRPr="001A2EE2">
        <w:rPr>
          <w:rFonts w:eastAsia="Calibri"/>
          <w:szCs w:val="22"/>
        </w:rPr>
        <w:tab/>
      </w:r>
      <w:r w:rsidRPr="001A2EE2">
        <w:rPr>
          <w:rFonts w:eastAsia="Calibri"/>
          <w:szCs w:val="22"/>
        </w:rPr>
        <w:tab/>
      </w:r>
      <w:r w:rsidRPr="001A2EE2">
        <w:rPr>
          <w:rFonts w:eastAsia="Calibri"/>
          <w:szCs w:val="22"/>
        </w:rPr>
        <w:tab/>
      </w:r>
      <w:r w:rsidR="009855C9">
        <w:rPr>
          <w:rFonts w:eastAsia="Calibri"/>
          <w:szCs w:val="22"/>
        </w:rPr>
        <w:t>600</w:t>
      </w:r>
    </w:p>
    <w:p w:rsidRPr="001A2EE2" w:rsidR="00290E9C" w:rsidP="00290E9C" w:rsidRDefault="00290E9C">
      <w:pPr>
        <w:rPr>
          <w:rFonts w:eastAsia="Calibri"/>
          <w:szCs w:val="22"/>
        </w:rPr>
      </w:pPr>
      <w:r w:rsidRPr="001A2EE2">
        <w:rPr>
          <w:rFonts w:eastAsia="Calibri"/>
          <w:szCs w:val="22"/>
        </w:rPr>
        <w:tab/>
        <w:t>b. Total Labor Burden</w:t>
      </w:r>
      <w:r w:rsidRPr="001A2EE2">
        <w:rPr>
          <w:rFonts w:eastAsia="Calibri"/>
          <w:i/>
          <w:szCs w:val="22"/>
        </w:rPr>
        <w:t>:</w:t>
      </w:r>
      <w:r w:rsidRPr="001A2EE2">
        <w:rPr>
          <w:rFonts w:eastAsia="Calibri"/>
          <w:i/>
          <w:szCs w:val="22"/>
        </w:rPr>
        <w:tab/>
      </w:r>
      <w:r w:rsidRPr="001A2EE2">
        <w:rPr>
          <w:rFonts w:eastAsia="Calibri"/>
          <w:i/>
          <w:szCs w:val="22"/>
        </w:rPr>
        <w:tab/>
      </w:r>
      <w:r w:rsidRPr="001A2EE2">
        <w:rPr>
          <w:rFonts w:eastAsia="Calibri"/>
          <w:i/>
          <w:szCs w:val="22"/>
        </w:rPr>
        <w:tab/>
      </w:r>
      <w:r w:rsidRPr="001A2EE2">
        <w:rPr>
          <w:rFonts w:eastAsia="Calibri"/>
          <w:i/>
          <w:szCs w:val="22"/>
        </w:rPr>
        <w:tab/>
      </w:r>
      <w:r w:rsidRPr="001A2EE2">
        <w:rPr>
          <w:rFonts w:eastAsia="Calibri"/>
          <w:i/>
          <w:szCs w:val="22"/>
        </w:rPr>
        <w:tab/>
      </w:r>
      <w:r w:rsidRPr="001A2EE2" w:rsidR="00020740">
        <w:rPr>
          <w:rFonts w:eastAsia="Calibri"/>
          <w:szCs w:val="22"/>
        </w:rPr>
        <w:t>$</w:t>
      </w:r>
      <w:r w:rsidR="00214D0E">
        <w:rPr>
          <w:rFonts w:eastAsia="Calibri"/>
          <w:szCs w:val="22"/>
        </w:rPr>
        <w:t>14</w:t>
      </w:r>
      <w:r w:rsidR="00020740">
        <w:rPr>
          <w:rFonts w:eastAsia="Calibri"/>
          <w:szCs w:val="22"/>
        </w:rPr>
        <w:t>,</w:t>
      </w:r>
      <w:r w:rsidR="00214D0E">
        <w:rPr>
          <w:rFonts w:eastAsia="Calibri"/>
          <w:szCs w:val="22"/>
        </w:rPr>
        <w:t>220</w:t>
      </w:r>
      <w:r w:rsidRPr="001A2EE2">
        <w:rPr>
          <w:rFonts w:eastAsia="Calibri"/>
          <w:szCs w:val="22"/>
        </w:rPr>
        <w:tab/>
      </w:r>
    </w:p>
    <w:p w:rsidRPr="001A2EE2" w:rsidR="00290E9C" w:rsidP="00290E9C" w:rsidRDefault="00290E9C"/>
    <w:p w:rsidRPr="001A2EE2" w:rsidR="00290E9C" w:rsidP="00290E9C" w:rsidRDefault="00290E9C">
      <w:pPr>
        <w:rPr>
          <w:rFonts w:eastAsia="Calibri"/>
          <w:szCs w:val="22"/>
          <w:u w:val="single"/>
        </w:rPr>
      </w:pPr>
      <w:r w:rsidRPr="001A2EE2">
        <w:rPr>
          <w:rFonts w:eastAsia="Calibri"/>
          <w:szCs w:val="22"/>
          <w:u w:val="single"/>
        </w:rPr>
        <w:t xml:space="preserve"> Operational and Maintenance Costs</w:t>
      </w:r>
    </w:p>
    <w:p w:rsidRPr="001A2EE2" w:rsidR="00290E9C" w:rsidP="00290E9C" w:rsidRDefault="00290E9C">
      <w:pPr>
        <w:numPr>
          <w:ilvl w:val="0"/>
          <w:numId w:val="9"/>
        </w:numPr>
        <w:spacing w:after="200" w:line="276" w:lineRule="auto"/>
        <w:contextualSpacing/>
        <w:rPr>
          <w:rFonts w:eastAsia="Calibri"/>
          <w:szCs w:val="22"/>
        </w:rPr>
      </w:pPr>
      <w:r w:rsidRPr="001A2EE2">
        <w:rPr>
          <w:rFonts w:eastAsia="Calibri"/>
          <w:szCs w:val="22"/>
        </w:rPr>
        <w:t>Equipment:</w:t>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t>$0</w:t>
      </w:r>
    </w:p>
    <w:p w:rsidRPr="001A2EE2" w:rsidR="00290E9C" w:rsidP="00290E9C" w:rsidRDefault="00290E9C">
      <w:pPr>
        <w:numPr>
          <w:ilvl w:val="0"/>
          <w:numId w:val="9"/>
        </w:numPr>
        <w:spacing w:after="200" w:line="276" w:lineRule="auto"/>
        <w:contextualSpacing/>
        <w:rPr>
          <w:rFonts w:eastAsia="Calibri"/>
          <w:szCs w:val="22"/>
        </w:rPr>
      </w:pPr>
      <w:r w:rsidRPr="001A2EE2">
        <w:rPr>
          <w:rFonts w:eastAsia="Calibri"/>
          <w:szCs w:val="22"/>
        </w:rPr>
        <w:t xml:space="preserve">Printing: </w:t>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t>$0</w:t>
      </w:r>
    </w:p>
    <w:p w:rsidRPr="001A2EE2" w:rsidR="00290E9C" w:rsidP="00290E9C" w:rsidRDefault="00290E9C">
      <w:pPr>
        <w:numPr>
          <w:ilvl w:val="0"/>
          <w:numId w:val="9"/>
        </w:numPr>
        <w:spacing w:after="200" w:line="276" w:lineRule="auto"/>
        <w:contextualSpacing/>
        <w:rPr>
          <w:rFonts w:eastAsia="Calibri"/>
          <w:szCs w:val="22"/>
        </w:rPr>
      </w:pPr>
      <w:r w:rsidRPr="001A2EE2">
        <w:rPr>
          <w:rFonts w:eastAsia="Calibri"/>
          <w:szCs w:val="22"/>
        </w:rPr>
        <w:t xml:space="preserve">Postage: </w:t>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t>$0</w:t>
      </w:r>
    </w:p>
    <w:p w:rsidRPr="001A2EE2" w:rsidR="00290E9C" w:rsidP="00290E9C" w:rsidRDefault="00290E9C">
      <w:pPr>
        <w:numPr>
          <w:ilvl w:val="0"/>
          <w:numId w:val="9"/>
        </w:numPr>
        <w:spacing w:after="200" w:line="276" w:lineRule="auto"/>
        <w:contextualSpacing/>
        <w:rPr>
          <w:rFonts w:eastAsia="Calibri"/>
          <w:szCs w:val="22"/>
        </w:rPr>
      </w:pPr>
      <w:r w:rsidRPr="001A2EE2">
        <w:rPr>
          <w:rFonts w:eastAsia="Calibri"/>
          <w:szCs w:val="22"/>
        </w:rPr>
        <w:t xml:space="preserve">Software Purchases: </w:t>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t>$0</w:t>
      </w:r>
    </w:p>
    <w:p w:rsidRPr="001A2EE2" w:rsidR="00290E9C" w:rsidP="00290E9C" w:rsidRDefault="00290E9C">
      <w:pPr>
        <w:numPr>
          <w:ilvl w:val="0"/>
          <w:numId w:val="9"/>
        </w:numPr>
        <w:spacing w:after="200" w:line="276" w:lineRule="auto"/>
        <w:contextualSpacing/>
        <w:rPr>
          <w:rFonts w:eastAsia="Calibri"/>
          <w:szCs w:val="22"/>
        </w:rPr>
      </w:pPr>
      <w:r w:rsidRPr="001A2EE2">
        <w:rPr>
          <w:rFonts w:eastAsia="Calibri"/>
          <w:szCs w:val="22"/>
        </w:rPr>
        <w:t xml:space="preserve">Licensing Costs: </w:t>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t>$0</w:t>
      </w:r>
    </w:p>
    <w:p w:rsidRPr="001A2EE2" w:rsidR="00290E9C" w:rsidP="00290E9C" w:rsidRDefault="00290E9C">
      <w:pPr>
        <w:numPr>
          <w:ilvl w:val="0"/>
          <w:numId w:val="9"/>
        </w:numPr>
        <w:spacing w:after="200" w:line="276" w:lineRule="auto"/>
        <w:contextualSpacing/>
        <w:rPr>
          <w:rFonts w:eastAsia="Calibri"/>
          <w:szCs w:val="22"/>
        </w:rPr>
      </w:pPr>
      <w:r w:rsidRPr="001A2EE2">
        <w:rPr>
          <w:rFonts w:eastAsia="Calibri"/>
          <w:szCs w:val="22"/>
        </w:rPr>
        <w:t xml:space="preserve">Other: </w:t>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t>$0</w:t>
      </w:r>
    </w:p>
    <w:p w:rsidRPr="001A2EE2" w:rsidR="00290E9C" w:rsidP="00290E9C" w:rsidRDefault="00290E9C">
      <w:pPr>
        <w:ind w:left="360"/>
        <w:rPr>
          <w:rFonts w:eastAsia="Calibri"/>
          <w:szCs w:val="22"/>
        </w:rPr>
      </w:pPr>
      <w:r w:rsidRPr="001A2EE2">
        <w:rPr>
          <w:rFonts w:eastAsia="Calibri"/>
          <w:szCs w:val="22"/>
        </w:rPr>
        <w:t xml:space="preserve">g. </w:t>
      </w:r>
      <w:r w:rsidRPr="001A2EE2">
        <w:rPr>
          <w:rFonts w:eastAsia="Calibri"/>
          <w:szCs w:val="22"/>
        </w:rPr>
        <w:tab/>
        <w:t xml:space="preserve">Total: </w:t>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t>$0</w:t>
      </w:r>
    </w:p>
    <w:p w:rsidRPr="001A2EE2" w:rsidR="00290E9C" w:rsidP="00290E9C" w:rsidRDefault="00290E9C">
      <w:pPr>
        <w:rPr>
          <w:rFonts w:eastAsia="Calibri"/>
          <w:szCs w:val="22"/>
        </w:rPr>
      </w:pPr>
    </w:p>
    <w:p w:rsidRPr="001A2EE2" w:rsidR="00290E9C" w:rsidP="00290E9C" w:rsidRDefault="00290E9C">
      <w:pPr>
        <w:rPr>
          <w:rFonts w:eastAsia="Calibri"/>
          <w:szCs w:val="22"/>
        </w:rPr>
      </w:pPr>
    </w:p>
    <w:p w:rsidRPr="001A2EE2" w:rsidR="00290E9C" w:rsidP="00290E9C" w:rsidRDefault="00290E9C">
      <w:pPr>
        <w:rPr>
          <w:rFonts w:eastAsia="Calibri"/>
          <w:szCs w:val="22"/>
        </w:rPr>
      </w:pPr>
      <w:r w:rsidRPr="001A2EE2">
        <w:rPr>
          <w:rFonts w:eastAsia="Calibri"/>
          <w:szCs w:val="22"/>
        </w:rPr>
        <w:t xml:space="preserve">1. Total Operational and Maintenance Costs: </w:t>
      </w:r>
      <w:r w:rsidRPr="001A2EE2">
        <w:rPr>
          <w:rFonts w:eastAsia="Calibri"/>
          <w:szCs w:val="22"/>
        </w:rPr>
        <w:tab/>
      </w:r>
      <w:r w:rsidRPr="001A2EE2">
        <w:rPr>
          <w:rFonts w:eastAsia="Calibri"/>
          <w:szCs w:val="22"/>
        </w:rPr>
        <w:tab/>
      </w:r>
      <w:r w:rsidRPr="001A2EE2">
        <w:rPr>
          <w:rFonts w:eastAsia="Calibri"/>
          <w:szCs w:val="22"/>
        </w:rPr>
        <w:tab/>
        <w:t>$0</w:t>
      </w:r>
    </w:p>
    <w:p w:rsidRPr="001A2EE2" w:rsidR="00290E9C" w:rsidP="00290E9C" w:rsidRDefault="00290E9C">
      <w:pPr>
        <w:rPr>
          <w:rFonts w:eastAsia="Calibri"/>
          <w:szCs w:val="22"/>
        </w:rPr>
      </w:pPr>
      <w:r w:rsidRPr="001A2EE2">
        <w:rPr>
          <w:rFonts w:eastAsia="Calibri"/>
          <w:szCs w:val="22"/>
        </w:rPr>
        <w:t xml:space="preserve">2. Total Labor Cost to the Federal Government: </w:t>
      </w:r>
      <w:r w:rsidRPr="001A2EE2">
        <w:rPr>
          <w:rFonts w:eastAsia="Calibri"/>
          <w:szCs w:val="22"/>
        </w:rPr>
        <w:tab/>
      </w:r>
      <w:r w:rsidRPr="001A2EE2">
        <w:rPr>
          <w:rFonts w:eastAsia="Calibri"/>
          <w:szCs w:val="22"/>
        </w:rPr>
        <w:tab/>
      </w:r>
      <w:r w:rsidRPr="001A2EE2">
        <w:rPr>
          <w:rFonts w:eastAsia="Calibri"/>
          <w:szCs w:val="22"/>
        </w:rPr>
        <w:tab/>
        <w:t>$</w:t>
      </w:r>
      <w:r w:rsidR="00CA4CD8">
        <w:rPr>
          <w:rFonts w:eastAsia="Calibri"/>
          <w:szCs w:val="22"/>
        </w:rPr>
        <w:t>14,220</w:t>
      </w:r>
    </w:p>
    <w:p w:rsidR="001A2EE2" w:rsidP="001A2EE2" w:rsidRDefault="00290E9C">
      <w:pPr>
        <w:rPr>
          <w:rFonts w:eastAsia="Calibri"/>
          <w:szCs w:val="22"/>
        </w:rPr>
      </w:pPr>
      <w:r w:rsidRPr="001A2EE2">
        <w:rPr>
          <w:rFonts w:eastAsia="Calibri"/>
          <w:szCs w:val="22"/>
        </w:rPr>
        <w:t xml:space="preserve">3. Total Cost to the Federal Government: </w:t>
      </w:r>
      <w:r w:rsidRPr="001A2EE2">
        <w:rPr>
          <w:rFonts w:eastAsia="Calibri"/>
          <w:szCs w:val="22"/>
        </w:rPr>
        <w:tab/>
      </w:r>
      <w:r w:rsidRPr="001A2EE2">
        <w:rPr>
          <w:rFonts w:eastAsia="Calibri"/>
          <w:szCs w:val="22"/>
        </w:rPr>
        <w:tab/>
      </w:r>
      <w:r w:rsidRPr="001A2EE2">
        <w:rPr>
          <w:rFonts w:eastAsia="Calibri"/>
          <w:szCs w:val="22"/>
        </w:rPr>
        <w:tab/>
      </w:r>
      <w:r w:rsidRPr="001A2EE2">
        <w:rPr>
          <w:rFonts w:eastAsia="Calibri"/>
          <w:szCs w:val="22"/>
        </w:rPr>
        <w:tab/>
        <w:t>$</w:t>
      </w:r>
      <w:r w:rsidR="00CA4CD8">
        <w:rPr>
          <w:rFonts w:eastAsia="Calibri"/>
          <w:szCs w:val="22"/>
        </w:rPr>
        <w:t>14,220</w:t>
      </w:r>
    </w:p>
    <w:p w:rsidR="001A2EE2" w:rsidP="00357C8A" w:rsidRDefault="001A2EE2">
      <w:pPr>
        <w:spacing w:after="200"/>
        <w:rPr>
          <w:rFonts w:eastAsia="Calibri"/>
        </w:rPr>
      </w:pPr>
    </w:p>
    <w:p w:rsidRPr="00357C8A" w:rsidR="00DF2EDA" w:rsidP="00357C8A" w:rsidRDefault="00DF2EDA">
      <w:pPr>
        <w:spacing w:after="200"/>
        <w:rPr>
          <w:rFonts w:eastAsia="Calibri"/>
        </w:rPr>
      </w:pPr>
    </w:p>
    <w:p w:rsidR="00357C8A" w:rsidP="006705EA" w:rsidRDefault="00357C8A">
      <w:pPr>
        <w:numPr>
          <w:ilvl w:val="0"/>
          <w:numId w:val="6"/>
        </w:numPr>
        <w:spacing w:after="200" w:line="276" w:lineRule="auto"/>
        <w:rPr>
          <w:rFonts w:eastAsia="Calibri"/>
          <w:u w:val="single"/>
        </w:rPr>
      </w:pPr>
      <w:r w:rsidRPr="00357C8A">
        <w:rPr>
          <w:rFonts w:eastAsia="Calibri"/>
          <w:u w:val="single"/>
        </w:rPr>
        <w:lastRenderedPageBreak/>
        <w:t>Explanation for Program Changes or Adjustments</w:t>
      </w:r>
    </w:p>
    <w:p w:rsidR="00463387" w:rsidP="00463387" w:rsidRDefault="00463387">
      <w:r>
        <w:t xml:space="preserve">Based on a review of the information collection since our last request for OMB approval, we have made no adjustments to our burden estimate.  </w:t>
      </w:r>
      <w:r w:rsidRPr="00D47819">
        <w:t xml:space="preserve"> </w:t>
      </w:r>
    </w:p>
    <w:p w:rsidR="00463387" w:rsidP="00463387" w:rsidRDefault="00463387"/>
    <w:p w:rsidRPr="00357C8A" w:rsidR="00357C8A" w:rsidP="006705EA" w:rsidRDefault="00357C8A">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A775B0" w:rsidP="00357C8A" w:rsidRDefault="00CE2ADA">
      <w:pPr>
        <w:spacing w:after="200"/>
        <w:rPr>
          <w:rFonts w:eastAsia="Calibri"/>
        </w:rPr>
      </w:pPr>
      <w:r w:rsidRPr="001A2EE2">
        <w:rPr>
          <w:rFonts w:eastAsia="Calibri"/>
        </w:rPr>
        <w:t xml:space="preserve">Select information collected as part of this survey may be published as part of FDA's future approaches to communication, education, training, and other engagement with outsourcing facilities to address challenges and support advancement. The collection and tabulation of the results will be combined with additional research to develop a comprehensive understanding of the outsourcing facility sector, its challenges and opportunities for advancement. </w:t>
      </w:r>
      <w:r w:rsidR="000F318D">
        <w:rPr>
          <w:rFonts w:eastAsia="Calibri"/>
        </w:rPr>
        <w:t>The c</w:t>
      </w:r>
      <w:r w:rsidRPr="001A2EE2" w:rsidR="004A2DB3">
        <w:rPr>
          <w:rFonts w:eastAsia="Calibri"/>
        </w:rPr>
        <w:t>urrent schedule</w:t>
      </w:r>
      <w:r w:rsidR="00F57ED4">
        <w:rPr>
          <w:rFonts w:eastAsia="Calibri"/>
        </w:rPr>
        <w:t xml:space="preserve"> for the survey</w:t>
      </w:r>
      <w:r w:rsidR="00B60372">
        <w:rPr>
          <w:rFonts w:eastAsia="Calibri"/>
        </w:rPr>
        <w:t xml:space="preserve"> (and potential repeat surveys)</w:t>
      </w:r>
      <w:r w:rsidR="00F57ED4">
        <w:rPr>
          <w:rFonts w:eastAsia="Calibri"/>
        </w:rPr>
        <w:t xml:space="preserve"> </w:t>
      </w:r>
      <w:r w:rsidRPr="001A2EE2" w:rsidR="004A2DB3">
        <w:rPr>
          <w:rFonts w:eastAsia="Calibri"/>
        </w:rPr>
        <w:t>is as follows</w:t>
      </w:r>
      <w:r w:rsidR="000949F7">
        <w:rPr>
          <w:rFonts w:eastAsia="Calibri"/>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84"/>
        <w:gridCol w:w="2155"/>
        <w:gridCol w:w="2155"/>
      </w:tblGrid>
      <w:tr w:rsidRPr="00E910E5" w:rsidR="00A74965" w:rsidTr="000D1EB7">
        <w:tc>
          <w:tcPr>
            <w:tcW w:w="5184" w:type="dxa"/>
            <w:shd w:val="clear" w:color="auto" w:fill="auto"/>
          </w:tcPr>
          <w:p w:rsidRPr="009973AB" w:rsidR="00A74965" w:rsidP="00E910E5" w:rsidRDefault="00A74965">
            <w:pPr>
              <w:spacing w:after="200"/>
              <w:jc w:val="center"/>
              <w:rPr>
                <w:rFonts w:eastAsia="Calibri"/>
                <w:sz w:val="20"/>
              </w:rPr>
            </w:pPr>
            <w:bookmarkStart w:name="_Hlk29566720" w:id="6"/>
            <w:r w:rsidRPr="009973AB">
              <w:rPr>
                <w:rFonts w:eastAsia="Calibri"/>
                <w:sz w:val="20"/>
              </w:rPr>
              <w:t>Activity</w:t>
            </w:r>
          </w:p>
        </w:tc>
        <w:tc>
          <w:tcPr>
            <w:tcW w:w="2155" w:type="dxa"/>
            <w:shd w:val="clear" w:color="auto" w:fill="auto"/>
          </w:tcPr>
          <w:p w:rsidRPr="009973AB" w:rsidR="00A74965" w:rsidP="00E910E5" w:rsidRDefault="00A74965">
            <w:pPr>
              <w:spacing w:after="200"/>
              <w:jc w:val="center"/>
              <w:rPr>
                <w:rFonts w:eastAsia="Calibri"/>
                <w:sz w:val="20"/>
              </w:rPr>
            </w:pPr>
            <w:r w:rsidRPr="009973AB">
              <w:rPr>
                <w:rFonts w:eastAsia="Calibri"/>
                <w:sz w:val="20"/>
              </w:rPr>
              <w:t>Estimated Start Date</w:t>
            </w:r>
          </w:p>
        </w:tc>
        <w:tc>
          <w:tcPr>
            <w:tcW w:w="2155" w:type="dxa"/>
            <w:shd w:val="clear" w:color="auto" w:fill="auto"/>
          </w:tcPr>
          <w:p w:rsidRPr="009973AB" w:rsidR="00A74965" w:rsidP="00E910E5" w:rsidRDefault="00A74965">
            <w:pPr>
              <w:spacing w:after="200"/>
              <w:jc w:val="center"/>
              <w:rPr>
                <w:rFonts w:eastAsia="Calibri"/>
                <w:sz w:val="20"/>
              </w:rPr>
            </w:pPr>
            <w:r w:rsidRPr="009973AB">
              <w:rPr>
                <w:rFonts w:eastAsia="Calibri"/>
                <w:sz w:val="20"/>
              </w:rPr>
              <w:t>Estimated End Date</w:t>
            </w:r>
          </w:p>
        </w:tc>
      </w:tr>
      <w:tr w:rsidRPr="00E910E5" w:rsidR="00A74965" w:rsidTr="000D1EB7">
        <w:tc>
          <w:tcPr>
            <w:tcW w:w="5184" w:type="dxa"/>
            <w:shd w:val="clear" w:color="auto" w:fill="auto"/>
          </w:tcPr>
          <w:p w:rsidRPr="009973AB" w:rsidR="00A74965" w:rsidP="00E910E5" w:rsidRDefault="00A74965">
            <w:pPr>
              <w:spacing w:after="200"/>
              <w:rPr>
                <w:rFonts w:eastAsia="Calibri"/>
                <w:sz w:val="20"/>
              </w:rPr>
            </w:pPr>
            <w:r w:rsidRPr="009973AB">
              <w:rPr>
                <w:rFonts w:eastAsia="Calibri"/>
                <w:sz w:val="20"/>
              </w:rPr>
              <w:t>OMB review of PRA package</w:t>
            </w:r>
          </w:p>
        </w:tc>
        <w:tc>
          <w:tcPr>
            <w:tcW w:w="2155" w:type="dxa"/>
            <w:shd w:val="clear" w:color="auto" w:fill="auto"/>
          </w:tcPr>
          <w:p w:rsidRPr="00E06758" w:rsidR="00A74965" w:rsidP="00E910E5" w:rsidRDefault="00C34154">
            <w:pPr>
              <w:spacing w:after="200"/>
              <w:rPr>
                <w:rFonts w:eastAsia="Calibri"/>
                <w:sz w:val="20"/>
              </w:rPr>
            </w:pPr>
            <w:r>
              <w:rPr>
                <w:rFonts w:eastAsia="Calibri"/>
                <w:sz w:val="20"/>
              </w:rPr>
              <w:t>1-1</w:t>
            </w:r>
            <w:r w:rsidR="001B0E7B">
              <w:rPr>
                <w:rFonts w:eastAsia="Calibri"/>
                <w:sz w:val="20"/>
              </w:rPr>
              <w:t>5</w:t>
            </w:r>
            <w:r>
              <w:rPr>
                <w:rFonts w:eastAsia="Calibri"/>
                <w:sz w:val="20"/>
              </w:rPr>
              <w:t>-2021</w:t>
            </w:r>
          </w:p>
        </w:tc>
        <w:tc>
          <w:tcPr>
            <w:tcW w:w="2155" w:type="dxa"/>
            <w:shd w:val="clear" w:color="auto" w:fill="auto"/>
          </w:tcPr>
          <w:p w:rsidRPr="00E06758" w:rsidR="00A74965" w:rsidP="00E910E5" w:rsidRDefault="001B0E7B">
            <w:pPr>
              <w:spacing w:after="200"/>
              <w:rPr>
                <w:rFonts w:eastAsia="Calibri"/>
                <w:sz w:val="20"/>
              </w:rPr>
            </w:pPr>
            <w:r>
              <w:rPr>
                <w:rFonts w:eastAsia="Calibri"/>
                <w:sz w:val="20"/>
              </w:rPr>
              <w:t>3</w:t>
            </w:r>
            <w:r w:rsidR="00C34154">
              <w:rPr>
                <w:rFonts w:eastAsia="Calibri"/>
                <w:sz w:val="20"/>
              </w:rPr>
              <w:t>-</w:t>
            </w:r>
            <w:r>
              <w:rPr>
                <w:rFonts w:eastAsia="Calibri"/>
                <w:sz w:val="20"/>
              </w:rPr>
              <w:t>19</w:t>
            </w:r>
            <w:r w:rsidR="00C34154">
              <w:rPr>
                <w:rFonts w:eastAsia="Calibri"/>
                <w:sz w:val="20"/>
              </w:rPr>
              <w:t>-2021</w:t>
            </w:r>
          </w:p>
        </w:tc>
      </w:tr>
      <w:tr w:rsidRPr="00E910E5" w:rsidR="00A74965" w:rsidTr="000D1EB7">
        <w:tc>
          <w:tcPr>
            <w:tcW w:w="5184" w:type="dxa"/>
            <w:shd w:val="clear" w:color="auto" w:fill="auto"/>
          </w:tcPr>
          <w:p w:rsidRPr="009973AB" w:rsidR="00A74965" w:rsidP="00E910E5" w:rsidRDefault="00A74965">
            <w:pPr>
              <w:spacing w:after="200"/>
              <w:rPr>
                <w:rFonts w:eastAsia="Calibri"/>
                <w:sz w:val="20"/>
              </w:rPr>
            </w:pPr>
            <w:r w:rsidRPr="009973AB">
              <w:rPr>
                <w:rFonts w:eastAsia="Calibri"/>
                <w:sz w:val="20"/>
              </w:rPr>
              <w:t>Issue survey</w:t>
            </w:r>
            <w:r w:rsidR="00B60372">
              <w:rPr>
                <w:rFonts w:eastAsia="Calibri"/>
                <w:sz w:val="20"/>
              </w:rPr>
              <w:t>(s)</w:t>
            </w:r>
            <w:r w:rsidRPr="009973AB">
              <w:rPr>
                <w:rFonts w:eastAsia="Calibri"/>
                <w:sz w:val="20"/>
              </w:rPr>
              <w:t xml:space="preserve"> to registered outsourcing facilities </w:t>
            </w:r>
            <w:r w:rsidR="00B60372">
              <w:rPr>
                <w:rFonts w:eastAsia="Calibri"/>
                <w:sz w:val="20"/>
              </w:rPr>
              <w:t>and collect results</w:t>
            </w:r>
          </w:p>
        </w:tc>
        <w:tc>
          <w:tcPr>
            <w:tcW w:w="2155" w:type="dxa"/>
            <w:shd w:val="clear" w:color="auto" w:fill="auto"/>
          </w:tcPr>
          <w:p w:rsidRPr="00EA7516" w:rsidR="00A74965" w:rsidP="00E910E5" w:rsidRDefault="00C34154">
            <w:pPr>
              <w:spacing w:after="200"/>
              <w:rPr>
                <w:rFonts w:eastAsia="Calibri"/>
                <w:strike/>
                <w:sz w:val="20"/>
              </w:rPr>
            </w:pPr>
            <w:r w:rsidRPr="00E06758">
              <w:rPr>
                <w:rFonts w:eastAsia="Calibri"/>
                <w:sz w:val="20"/>
              </w:rPr>
              <w:t>4-01-202</w:t>
            </w:r>
            <w:r>
              <w:rPr>
                <w:rFonts w:eastAsia="Calibri"/>
                <w:sz w:val="20"/>
              </w:rPr>
              <w:t>1</w:t>
            </w:r>
          </w:p>
        </w:tc>
        <w:tc>
          <w:tcPr>
            <w:tcW w:w="2155" w:type="dxa"/>
            <w:shd w:val="clear" w:color="auto" w:fill="auto"/>
          </w:tcPr>
          <w:p w:rsidRPr="00EA7516" w:rsidR="00A74965" w:rsidP="00E910E5" w:rsidRDefault="00C34154">
            <w:pPr>
              <w:spacing w:after="200"/>
              <w:rPr>
                <w:rFonts w:eastAsia="Calibri"/>
                <w:strike/>
                <w:sz w:val="20"/>
              </w:rPr>
            </w:pPr>
            <w:r w:rsidRPr="00E06758">
              <w:rPr>
                <w:rFonts w:eastAsia="Calibri"/>
                <w:sz w:val="20"/>
              </w:rPr>
              <w:t>4-01-2023</w:t>
            </w:r>
          </w:p>
        </w:tc>
      </w:tr>
      <w:bookmarkEnd w:id="6"/>
    </w:tbl>
    <w:p w:rsidR="009973AB" w:rsidP="00357C8A" w:rsidRDefault="009973AB">
      <w:pPr>
        <w:spacing w:after="200"/>
        <w:rPr>
          <w:rFonts w:eastAsia="Calibri"/>
        </w:rPr>
      </w:pPr>
    </w:p>
    <w:p w:rsidRPr="00A775B0" w:rsidR="00357C8A" w:rsidP="00357C8A" w:rsidRDefault="004A2DB3">
      <w:pPr>
        <w:spacing w:after="200"/>
        <w:rPr>
          <w:rFonts w:eastAsia="Calibri"/>
          <w:sz w:val="20"/>
        </w:rPr>
      </w:pPr>
      <w:r w:rsidRPr="001A2EE2">
        <w:rPr>
          <w:rFonts w:eastAsia="Calibri"/>
        </w:rPr>
        <w:t xml:space="preserve">Upon completion of the internal FDA report, FDA will decide what portions, if any, should be published and included as part of communication, education, training, and engagement with outsourcing facilities. </w:t>
      </w:r>
    </w:p>
    <w:p w:rsidRPr="00357C8A" w:rsidR="00357C8A" w:rsidP="006705EA" w:rsidRDefault="00357C8A">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1A2EE2" w:rsidP="00EA4010" w:rsidRDefault="00CE2ADA">
      <w:r w:rsidRPr="001A2EE2">
        <w:t>FDA will display the OMB expiration date as required by 5 CFR 1320.5.</w:t>
      </w:r>
    </w:p>
    <w:p w:rsidRPr="00EA4010" w:rsidR="00EA4010" w:rsidP="00EA4010" w:rsidRDefault="00EA4010"/>
    <w:p w:rsidRPr="00357C8A" w:rsidR="00357C8A" w:rsidP="006705EA" w:rsidRDefault="00357C8A">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172DAF" w:rsidR="00FF1D20" w:rsidP="00C20690" w:rsidRDefault="00CE2ADA">
      <w:pPr>
        <w:spacing w:after="200"/>
        <w:rPr>
          <w:rFonts w:eastAsia="Calibri"/>
        </w:rPr>
      </w:pPr>
      <w:r w:rsidRPr="001A2EE2">
        <w:rPr>
          <w:rFonts w:eastAsia="Calibri"/>
        </w:rPr>
        <w:t>There are no exceptions to the certification.</w:t>
      </w:r>
    </w:p>
    <w:sectPr w:rsidRPr="00172DAF" w:rsidR="00FF1D20" w:rsidSect="005C71CA">
      <w:footerReference w:type="even" r:id="rId7"/>
      <w:footerReference w:type="default" r:id="rId8"/>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217" w:rsidRDefault="00814217">
      <w:r>
        <w:separator/>
      </w:r>
    </w:p>
  </w:endnote>
  <w:endnote w:type="continuationSeparator" w:id="0">
    <w:p w:rsidR="00814217" w:rsidRDefault="0081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BCD" w:rsidRDefault="00DA1BCD">
    <w:pPr>
      <w:pStyle w:val="Footer"/>
      <w:jc w:val="center"/>
    </w:pPr>
    <w:r>
      <w:fldChar w:fldCharType="begin"/>
    </w:r>
    <w:r>
      <w:instrText xml:space="preserve"> PAGE   \* MERGEFORMAT </w:instrText>
    </w:r>
    <w:r>
      <w:fldChar w:fldCharType="separate"/>
    </w:r>
    <w:r w:rsidR="00EA262B">
      <w:rPr>
        <w:noProof/>
      </w:rPr>
      <w:t>1</w:t>
    </w:r>
    <w:r>
      <w:rPr>
        <w:noProof/>
      </w:rPr>
      <w:fldChar w:fldCharType="end"/>
    </w:r>
  </w:p>
  <w:p w:rsidR="00DA1BCD" w:rsidRDefault="00DA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217" w:rsidRDefault="00814217">
      <w:r>
        <w:separator/>
      </w:r>
    </w:p>
  </w:footnote>
  <w:footnote w:type="continuationSeparator" w:id="0">
    <w:p w:rsidR="00814217" w:rsidRDefault="0081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8"/>
  </w:num>
  <w:num w:numId="6">
    <w:abstractNumId w:val="0"/>
  </w:num>
  <w:num w:numId="7">
    <w:abstractNumId w:val="2"/>
  </w:num>
  <w:num w:numId="8">
    <w:abstractNumId w:val="4"/>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o:colormru v:ext="edit" colors="#f8f8f8,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F7E"/>
    <w:rsid w:val="00001FC6"/>
    <w:rsid w:val="00012F93"/>
    <w:rsid w:val="00014861"/>
    <w:rsid w:val="00020740"/>
    <w:rsid w:val="00031A2C"/>
    <w:rsid w:val="00042B93"/>
    <w:rsid w:val="00043C7F"/>
    <w:rsid w:val="000467A8"/>
    <w:rsid w:val="0006570F"/>
    <w:rsid w:val="00073536"/>
    <w:rsid w:val="00075DE8"/>
    <w:rsid w:val="00087439"/>
    <w:rsid w:val="000949F7"/>
    <w:rsid w:val="000C1260"/>
    <w:rsid w:val="000C560C"/>
    <w:rsid w:val="000D080B"/>
    <w:rsid w:val="000D1EB7"/>
    <w:rsid w:val="000D48FD"/>
    <w:rsid w:val="000D79CC"/>
    <w:rsid w:val="000E1C64"/>
    <w:rsid w:val="000E28A4"/>
    <w:rsid w:val="000F318D"/>
    <w:rsid w:val="000F7119"/>
    <w:rsid w:val="00100739"/>
    <w:rsid w:val="0010493E"/>
    <w:rsid w:val="001075D3"/>
    <w:rsid w:val="00107885"/>
    <w:rsid w:val="00110B81"/>
    <w:rsid w:val="00111C34"/>
    <w:rsid w:val="00114FC4"/>
    <w:rsid w:val="0012329C"/>
    <w:rsid w:val="00134FA7"/>
    <w:rsid w:val="00137950"/>
    <w:rsid w:val="00140B52"/>
    <w:rsid w:val="00152F29"/>
    <w:rsid w:val="00160749"/>
    <w:rsid w:val="00172DAF"/>
    <w:rsid w:val="00174D54"/>
    <w:rsid w:val="00176D40"/>
    <w:rsid w:val="0017702C"/>
    <w:rsid w:val="001804AD"/>
    <w:rsid w:val="00185270"/>
    <w:rsid w:val="00185B93"/>
    <w:rsid w:val="001957E1"/>
    <w:rsid w:val="001A19D8"/>
    <w:rsid w:val="001A2EE2"/>
    <w:rsid w:val="001A3B5A"/>
    <w:rsid w:val="001B0E7B"/>
    <w:rsid w:val="001B7CE9"/>
    <w:rsid w:val="001D495A"/>
    <w:rsid w:val="001E244C"/>
    <w:rsid w:val="001F1437"/>
    <w:rsid w:val="00201DD7"/>
    <w:rsid w:val="00204C32"/>
    <w:rsid w:val="00206799"/>
    <w:rsid w:val="002074FE"/>
    <w:rsid w:val="00214D0E"/>
    <w:rsid w:val="00221523"/>
    <w:rsid w:val="0022425B"/>
    <w:rsid w:val="002259EF"/>
    <w:rsid w:val="00237CC5"/>
    <w:rsid w:val="00242ED1"/>
    <w:rsid w:val="002444BB"/>
    <w:rsid w:val="00254069"/>
    <w:rsid w:val="00262FF6"/>
    <w:rsid w:val="00270748"/>
    <w:rsid w:val="002734E5"/>
    <w:rsid w:val="002746DB"/>
    <w:rsid w:val="00280CAF"/>
    <w:rsid w:val="00282F09"/>
    <w:rsid w:val="00284BBD"/>
    <w:rsid w:val="002901B4"/>
    <w:rsid w:val="00290E9C"/>
    <w:rsid w:val="00291810"/>
    <w:rsid w:val="00294D62"/>
    <w:rsid w:val="00297532"/>
    <w:rsid w:val="00297FFD"/>
    <w:rsid w:val="002A1210"/>
    <w:rsid w:val="002A47D2"/>
    <w:rsid w:val="002A7FB5"/>
    <w:rsid w:val="002B2074"/>
    <w:rsid w:val="002C7772"/>
    <w:rsid w:val="002D14D8"/>
    <w:rsid w:val="002D3115"/>
    <w:rsid w:val="002D4799"/>
    <w:rsid w:val="002E0686"/>
    <w:rsid w:val="002E398B"/>
    <w:rsid w:val="002E3FA4"/>
    <w:rsid w:val="002E53A5"/>
    <w:rsid w:val="002E5CE5"/>
    <w:rsid w:val="002E64B8"/>
    <w:rsid w:val="002E6834"/>
    <w:rsid w:val="002E75AE"/>
    <w:rsid w:val="003113FF"/>
    <w:rsid w:val="00312622"/>
    <w:rsid w:val="0032277F"/>
    <w:rsid w:val="00335023"/>
    <w:rsid w:val="00336B69"/>
    <w:rsid w:val="0034302B"/>
    <w:rsid w:val="003433FA"/>
    <w:rsid w:val="00350523"/>
    <w:rsid w:val="0035189D"/>
    <w:rsid w:val="00355B62"/>
    <w:rsid w:val="00357C8A"/>
    <w:rsid w:val="003740BC"/>
    <w:rsid w:val="0037456B"/>
    <w:rsid w:val="003801A3"/>
    <w:rsid w:val="00383D90"/>
    <w:rsid w:val="003861B3"/>
    <w:rsid w:val="00386FD8"/>
    <w:rsid w:val="003870AE"/>
    <w:rsid w:val="003A1A27"/>
    <w:rsid w:val="003A2F74"/>
    <w:rsid w:val="003A38DD"/>
    <w:rsid w:val="003A50CC"/>
    <w:rsid w:val="003A62B9"/>
    <w:rsid w:val="003B286A"/>
    <w:rsid w:val="003B42B3"/>
    <w:rsid w:val="003B6384"/>
    <w:rsid w:val="003C0FE2"/>
    <w:rsid w:val="003C4EBB"/>
    <w:rsid w:val="003D1531"/>
    <w:rsid w:val="003E07A1"/>
    <w:rsid w:val="003E4EC6"/>
    <w:rsid w:val="003E527E"/>
    <w:rsid w:val="003E553E"/>
    <w:rsid w:val="003E7078"/>
    <w:rsid w:val="003F3852"/>
    <w:rsid w:val="003F3DF5"/>
    <w:rsid w:val="003F73B8"/>
    <w:rsid w:val="0040297E"/>
    <w:rsid w:val="00411D11"/>
    <w:rsid w:val="00414494"/>
    <w:rsid w:val="00415E23"/>
    <w:rsid w:val="004162BC"/>
    <w:rsid w:val="0041670D"/>
    <w:rsid w:val="004226DE"/>
    <w:rsid w:val="00423272"/>
    <w:rsid w:val="00424061"/>
    <w:rsid w:val="00442A3C"/>
    <w:rsid w:val="00443969"/>
    <w:rsid w:val="00444DF7"/>
    <w:rsid w:val="00447D74"/>
    <w:rsid w:val="00450A74"/>
    <w:rsid w:val="004546BF"/>
    <w:rsid w:val="00463387"/>
    <w:rsid w:val="00465350"/>
    <w:rsid w:val="00465618"/>
    <w:rsid w:val="00476B91"/>
    <w:rsid w:val="004846BF"/>
    <w:rsid w:val="00494912"/>
    <w:rsid w:val="00496403"/>
    <w:rsid w:val="004A2DB3"/>
    <w:rsid w:val="004A5323"/>
    <w:rsid w:val="004A5A99"/>
    <w:rsid w:val="004C0531"/>
    <w:rsid w:val="004C22EA"/>
    <w:rsid w:val="004C6979"/>
    <w:rsid w:val="004D13A2"/>
    <w:rsid w:val="004D3E7A"/>
    <w:rsid w:val="004F594B"/>
    <w:rsid w:val="004F61E1"/>
    <w:rsid w:val="004F6719"/>
    <w:rsid w:val="00502257"/>
    <w:rsid w:val="00505D1B"/>
    <w:rsid w:val="00511D5D"/>
    <w:rsid w:val="005337DE"/>
    <w:rsid w:val="0053380B"/>
    <w:rsid w:val="00543194"/>
    <w:rsid w:val="00544138"/>
    <w:rsid w:val="00554E34"/>
    <w:rsid w:val="005719C6"/>
    <w:rsid w:val="00584583"/>
    <w:rsid w:val="00590E90"/>
    <w:rsid w:val="00590EEB"/>
    <w:rsid w:val="00591926"/>
    <w:rsid w:val="00594449"/>
    <w:rsid w:val="005A0239"/>
    <w:rsid w:val="005A23E0"/>
    <w:rsid w:val="005A4099"/>
    <w:rsid w:val="005A5211"/>
    <w:rsid w:val="005B0CD9"/>
    <w:rsid w:val="005B5890"/>
    <w:rsid w:val="005C3843"/>
    <w:rsid w:val="005C38B2"/>
    <w:rsid w:val="005C5029"/>
    <w:rsid w:val="005C55C2"/>
    <w:rsid w:val="005C71CA"/>
    <w:rsid w:val="005C745C"/>
    <w:rsid w:val="005D4DF5"/>
    <w:rsid w:val="005E1375"/>
    <w:rsid w:val="005E42BA"/>
    <w:rsid w:val="00606D75"/>
    <w:rsid w:val="00611D6B"/>
    <w:rsid w:val="00613B86"/>
    <w:rsid w:val="00625A6B"/>
    <w:rsid w:val="00626332"/>
    <w:rsid w:val="006326EC"/>
    <w:rsid w:val="006501AC"/>
    <w:rsid w:val="0066039A"/>
    <w:rsid w:val="006616AA"/>
    <w:rsid w:val="00663A42"/>
    <w:rsid w:val="006641C7"/>
    <w:rsid w:val="00666A38"/>
    <w:rsid w:val="006705EA"/>
    <w:rsid w:val="00670BE2"/>
    <w:rsid w:val="00672360"/>
    <w:rsid w:val="006916D9"/>
    <w:rsid w:val="00692B9A"/>
    <w:rsid w:val="006A0E05"/>
    <w:rsid w:val="006A26C6"/>
    <w:rsid w:val="006A465A"/>
    <w:rsid w:val="006A7D5D"/>
    <w:rsid w:val="006B0BFD"/>
    <w:rsid w:val="006D0C12"/>
    <w:rsid w:val="006D5D57"/>
    <w:rsid w:val="006E2538"/>
    <w:rsid w:val="006E302F"/>
    <w:rsid w:val="006E7E16"/>
    <w:rsid w:val="006F4D6D"/>
    <w:rsid w:val="00705086"/>
    <w:rsid w:val="00712AC6"/>
    <w:rsid w:val="00716A39"/>
    <w:rsid w:val="00722001"/>
    <w:rsid w:val="00751E66"/>
    <w:rsid w:val="00754497"/>
    <w:rsid w:val="00770334"/>
    <w:rsid w:val="00775844"/>
    <w:rsid w:val="00784092"/>
    <w:rsid w:val="00787C39"/>
    <w:rsid w:val="00792947"/>
    <w:rsid w:val="00795DF3"/>
    <w:rsid w:val="007A373C"/>
    <w:rsid w:val="007B225C"/>
    <w:rsid w:val="007C75B1"/>
    <w:rsid w:val="007D3DFC"/>
    <w:rsid w:val="007D72F6"/>
    <w:rsid w:val="007D746F"/>
    <w:rsid w:val="007E2F07"/>
    <w:rsid w:val="007E5008"/>
    <w:rsid w:val="007E59A8"/>
    <w:rsid w:val="0080776D"/>
    <w:rsid w:val="00810145"/>
    <w:rsid w:val="008108FA"/>
    <w:rsid w:val="00810FF1"/>
    <w:rsid w:val="00814217"/>
    <w:rsid w:val="00822336"/>
    <w:rsid w:val="00823DFA"/>
    <w:rsid w:val="00827AE0"/>
    <w:rsid w:val="00842DB7"/>
    <w:rsid w:val="00843752"/>
    <w:rsid w:val="0084479F"/>
    <w:rsid w:val="008476E3"/>
    <w:rsid w:val="008478FD"/>
    <w:rsid w:val="00852AD1"/>
    <w:rsid w:val="00856B0A"/>
    <w:rsid w:val="0085725E"/>
    <w:rsid w:val="00860080"/>
    <w:rsid w:val="00863459"/>
    <w:rsid w:val="008655FA"/>
    <w:rsid w:val="00873D4F"/>
    <w:rsid w:val="008742AF"/>
    <w:rsid w:val="0087509F"/>
    <w:rsid w:val="00885B09"/>
    <w:rsid w:val="00892400"/>
    <w:rsid w:val="008A1BB7"/>
    <w:rsid w:val="008A209D"/>
    <w:rsid w:val="008A22BB"/>
    <w:rsid w:val="008A4367"/>
    <w:rsid w:val="008A62D3"/>
    <w:rsid w:val="008B035D"/>
    <w:rsid w:val="008B0E29"/>
    <w:rsid w:val="008B0EFA"/>
    <w:rsid w:val="008B17DD"/>
    <w:rsid w:val="008B30AB"/>
    <w:rsid w:val="008C3BB8"/>
    <w:rsid w:val="008C4B65"/>
    <w:rsid w:val="008D33A2"/>
    <w:rsid w:val="008D5BE6"/>
    <w:rsid w:val="008E5F55"/>
    <w:rsid w:val="009009E7"/>
    <w:rsid w:val="00905DEF"/>
    <w:rsid w:val="00906056"/>
    <w:rsid w:val="009122AE"/>
    <w:rsid w:val="00913B43"/>
    <w:rsid w:val="00930203"/>
    <w:rsid w:val="009311D2"/>
    <w:rsid w:val="009311E6"/>
    <w:rsid w:val="00931275"/>
    <w:rsid w:val="00936AC7"/>
    <w:rsid w:val="00951236"/>
    <w:rsid w:val="00953B64"/>
    <w:rsid w:val="009646A7"/>
    <w:rsid w:val="00967944"/>
    <w:rsid w:val="00970A88"/>
    <w:rsid w:val="0097549F"/>
    <w:rsid w:val="00980B74"/>
    <w:rsid w:val="009818A1"/>
    <w:rsid w:val="009855C9"/>
    <w:rsid w:val="009973AB"/>
    <w:rsid w:val="009A1674"/>
    <w:rsid w:val="009A5EC2"/>
    <w:rsid w:val="009B38BE"/>
    <w:rsid w:val="009B4DF2"/>
    <w:rsid w:val="009C2229"/>
    <w:rsid w:val="009C27A9"/>
    <w:rsid w:val="009C684F"/>
    <w:rsid w:val="009D074C"/>
    <w:rsid w:val="009D6E73"/>
    <w:rsid w:val="009E21DF"/>
    <w:rsid w:val="009F1F1D"/>
    <w:rsid w:val="009F2B4F"/>
    <w:rsid w:val="009F3C63"/>
    <w:rsid w:val="009F66B5"/>
    <w:rsid w:val="00A02F10"/>
    <w:rsid w:val="00A153E9"/>
    <w:rsid w:val="00A16221"/>
    <w:rsid w:val="00A20647"/>
    <w:rsid w:val="00A20A7D"/>
    <w:rsid w:val="00A35D42"/>
    <w:rsid w:val="00A437D0"/>
    <w:rsid w:val="00A46CCF"/>
    <w:rsid w:val="00A47F81"/>
    <w:rsid w:val="00A506DE"/>
    <w:rsid w:val="00A53451"/>
    <w:rsid w:val="00A63C83"/>
    <w:rsid w:val="00A65B80"/>
    <w:rsid w:val="00A70426"/>
    <w:rsid w:val="00A707CC"/>
    <w:rsid w:val="00A71410"/>
    <w:rsid w:val="00A74965"/>
    <w:rsid w:val="00A775B0"/>
    <w:rsid w:val="00A84114"/>
    <w:rsid w:val="00A9101D"/>
    <w:rsid w:val="00A91E9A"/>
    <w:rsid w:val="00A93ED9"/>
    <w:rsid w:val="00A94606"/>
    <w:rsid w:val="00A96221"/>
    <w:rsid w:val="00A979A0"/>
    <w:rsid w:val="00AC2DBB"/>
    <w:rsid w:val="00AC6A99"/>
    <w:rsid w:val="00AD428C"/>
    <w:rsid w:val="00AD4E30"/>
    <w:rsid w:val="00AD6048"/>
    <w:rsid w:val="00AE0C4A"/>
    <w:rsid w:val="00AE3136"/>
    <w:rsid w:val="00AF4488"/>
    <w:rsid w:val="00B055EF"/>
    <w:rsid w:val="00B06B5B"/>
    <w:rsid w:val="00B21186"/>
    <w:rsid w:val="00B23769"/>
    <w:rsid w:val="00B309D2"/>
    <w:rsid w:val="00B32B1C"/>
    <w:rsid w:val="00B41789"/>
    <w:rsid w:val="00B56724"/>
    <w:rsid w:val="00B60372"/>
    <w:rsid w:val="00B74F5E"/>
    <w:rsid w:val="00B76948"/>
    <w:rsid w:val="00B81808"/>
    <w:rsid w:val="00B86DFA"/>
    <w:rsid w:val="00B936D0"/>
    <w:rsid w:val="00BB15FB"/>
    <w:rsid w:val="00BC149D"/>
    <w:rsid w:val="00BC15BD"/>
    <w:rsid w:val="00BC556D"/>
    <w:rsid w:val="00BC753A"/>
    <w:rsid w:val="00BD10BB"/>
    <w:rsid w:val="00BD2655"/>
    <w:rsid w:val="00BD27D6"/>
    <w:rsid w:val="00BD3D5B"/>
    <w:rsid w:val="00BD7524"/>
    <w:rsid w:val="00BE3600"/>
    <w:rsid w:val="00C01F6F"/>
    <w:rsid w:val="00C041EA"/>
    <w:rsid w:val="00C11D8C"/>
    <w:rsid w:val="00C13BBD"/>
    <w:rsid w:val="00C149AB"/>
    <w:rsid w:val="00C15184"/>
    <w:rsid w:val="00C164BB"/>
    <w:rsid w:val="00C16929"/>
    <w:rsid w:val="00C20690"/>
    <w:rsid w:val="00C252DA"/>
    <w:rsid w:val="00C34154"/>
    <w:rsid w:val="00C36020"/>
    <w:rsid w:val="00C40694"/>
    <w:rsid w:val="00C479BF"/>
    <w:rsid w:val="00C5124B"/>
    <w:rsid w:val="00C60782"/>
    <w:rsid w:val="00C65C88"/>
    <w:rsid w:val="00C677BE"/>
    <w:rsid w:val="00C70542"/>
    <w:rsid w:val="00C75CBF"/>
    <w:rsid w:val="00CA4CD8"/>
    <w:rsid w:val="00CC2894"/>
    <w:rsid w:val="00CD3DF9"/>
    <w:rsid w:val="00CD77C3"/>
    <w:rsid w:val="00CE112C"/>
    <w:rsid w:val="00CE2ADA"/>
    <w:rsid w:val="00CE51B2"/>
    <w:rsid w:val="00CF55D4"/>
    <w:rsid w:val="00D3003A"/>
    <w:rsid w:val="00D46C17"/>
    <w:rsid w:val="00D608DA"/>
    <w:rsid w:val="00D62DAD"/>
    <w:rsid w:val="00D6746B"/>
    <w:rsid w:val="00D730BF"/>
    <w:rsid w:val="00D77E4B"/>
    <w:rsid w:val="00D852F4"/>
    <w:rsid w:val="00D86AF2"/>
    <w:rsid w:val="00D97286"/>
    <w:rsid w:val="00DA1BCD"/>
    <w:rsid w:val="00DB1110"/>
    <w:rsid w:val="00DB3730"/>
    <w:rsid w:val="00DC371B"/>
    <w:rsid w:val="00DC3788"/>
    <w:rsid w:val="00DC76C7"/>
    <w:rsid w:val="00DD09F5"/>
    <w:rsid w:val="00DD0E02"/>
    <w:rsid w:val="00DD4201"/>
    <w:rsid w:val="00DD5E9F"/>
    <w:rsid w:val="00DE2EDB"/>
    <w:rsid w:val="00DE5711"/>
    <w:rsid w:val="00DF2EDA"/>
    <w:rsid w:val="00E00EA0"/>
    <w:rsid w:val="00E021CB"/>
    <w:rsid w:val="00E06758"/>
    <w:rsid w:val="00E138F1"/>
    <w:rsid w:val="00E13F46"/>
    <w:rsid w:val="00E21DC8"/>
    <w:rsid w:val="00E2309D"/>
    <w:rsid w:val="00E26758"/>
    <w:rsid w:val="00E429E0"/>
    <w:rsid w:val="00E4357B"/>
    <w:rsid w:val="00E443A7"/>
    <w:rsid w:val="00E45904"/>
    <w:rsid w:val="00E50C93"/>
    <w:rsid w:val="00E63DE5"/>
    <w:rsid w:val="00E647AF"/>
    <w:rsid w:val="00E647C7"/>
    <w:rsid w:val="00E65A37"/>
    <w:rsid w:val="00E65EF7"/>
    <w:rsid w:val="00E73568"/>
    <w:rsid w:val="00E74D0D"/>
    <w:rsid w:val="00E76ACB"/>
    <w:rsid w:val="00E77B48"/>
    <w:rsid w:val="00E857FB"/>
    <w:rsid w:val="00E910E5"/>
    <w:rsid w:val="00E91799"/>
    <w:rsid w:val="00E97DF8"/>
    <w:rsid w:val="00EA21FE"/>
    <w:rsid w:val="00EA262B"/>
    <w:rsid w:val="00EA29C7"/>
    <w:rsid w:val="00EA34E3"/>
    <w:rsid w:val="00EA4010"/>
    <w:rsid w:val="00EA7516"/>
    <w:rsid w:val="00EB7538"/>
    <w:rsid w:val="00EC1868"/>
    <w:rsid w:val="00EC2199"/>
    <w:rsid w:val="00ED371D"/>
    <w:rsid w:val="00EE299D"/>
    <w:rsid w:val="00EE6468"/>
    <w:rsid w:val="00EE6A2C"/>
    <w:rsid w:val="00F1299B"/>
    <w:rsid w:val="00F207A4"/>
    <w:rsid w:val="00F23A3C"/>
    <w:rsid w:val="00F25173"/>
    <w:rsid w:val="00F355AC"/>
    <w:rsid w:val="00F40CF7"/>
    <w:rsid w:val="00F44194"/>
    <w:rsid w:val="00F517C7"/>
    <w:rsid w:val="00F57ED4"/>
    <w:rsid w:val="00F67F93"/>
    <w:rsid w:val="00F70ED2"/>
    <w:rsid w:val="00F71A5A"/>
    <w:rsid w:val="00F73A1A"/>
    <w:rsid w:val="00F769E0"/>
    <w:rsid w:val="00FA4A46"/>
    <w:rsid w:val="00FA75FE"/>
    <w:rsid w:val="00FB1032"/>
    <w:rsid w:val="00FB39BC"/>
    <w:rsid w:val="00FB4600"/>
    <w:rsid w:val="00FB6A53"/>
    <w:rsid w:val="00FC11CA"/>
    <w:rsid w:val="00FC6BDE"/>
    <w:rsid w:val="00FE3F03"/>
    <w:rsid w:val="00FE61DA"/>
    <w:rsid w:val="00FF1D20"/>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f8f8f8,white"/>
    </o:shapedefaults>
    <o:shapelayout v:ext="edit">
      <o:idmap v:ext="edit" data="1"/>
    </o:shapelayout>
  </w:shapeDefaults>
  <w:decimalSymbol w:val="."/>
  <w:listSeparator w:val=","/>
  <w14:docId w14:val="472DBA81"/>
  <w15:chartTrackingRefBased/>
  <w15:docId w15:val="{88D81F68-A339-433C-B628-877B6A9D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AF4488"/>
    <w:rPr>
      <w:sz w:val="16"/>
      <w:szCs w:val="16"/>
    </w:rPr>
  </w:style>
  <w:style w:type="paragraph" w:styleId="CommentText">
    <w:name w:val="annotation text"/>
    <w:basedOn w:val="Normal"/>
    <w:link w:val="CommentTextChar"/>
    <w:rsid w:val="00AF4488"/>
    <w:rPr>
      <w:sz w:val="20"/>
      <w:szCs w:val="20"/>
    </w:rPr>
  </w:style>
  <w:style w:type="character" w:customStyle="1" w:styleId="CommentTextChar">
    <w:name w:val="Comment Text Char"/>
    <w:basedOn w:val="DefaultParagraphFont"/>
    <w:link w:val="CommentText"/>
    <w:rsid w:val="00AF4488"/>
  </w:style>
  <w:style w:type="paragraph" w:styleId="CommentSubject">
    <w:name w:val="annotation subject"/>
    <w:basedOn w:val="CommentText"/>
    <w:next w:val="CommentText"/>
    <w:link w:val="CommentSubjectChar"/>
    <w:rsid w:val="00AF4488"/>
    <w:rPr>
      <w:b/>
      <w:bCs/>
    </w:rPr>
  </w:style>
  <w:style w:type="character" w:customStyle="1" w:styleId="CommentSubjectChar">
    <w:name w:val="Comment Subject Char"/>
    <w:link w:val="CommentSubject"/>
    <w:rsid w:val="00AF4488"/>
    <w:rPr>
      <w:b/>
      <w:bCs/>
    </w:rPr>
  </w:style>
  <w:style w:type="character" w:customStyle="1" w:styleId="FooterChar">
    <w:name w:val="Footer Char"/>
    <w:link w:val="Footer"/>
    <w:uiPriority w:val="99"/>
    <w:rsid w:val="00DA1B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2877">
      <w:bodyDiv w:val="1"/>
      <w:marLeft w:val="0"/>
      <w:marRight w:val="0"/>
      <w:marTop w:val="0"/>
      <w:marBottom w:val="0"/>
      <w:divBdr>
        <w:top w:val="none" w:sz="0" w:space="0" w:color="auto"/>
        <w:left w:val="none" w:sz="0" w:space="0" w:color="auto"/>
        <w:bottom w:val="none" w:sz="0" w:space="0" w:color="auto"/>
        <w:right w:val="none" w:sz="0" w:space="0" w:color="auto"/>
      </w:divBdr>
    </w:div>
    <w:div w:id="144779390">
      <w:bodyDiv w:val="1"/>
      <w:marLeft w:val="0"/>
      <w:marRight w:val="0"/>
      <w:marTop w:val="0"/>
      <w:marBottom w:val="0"/>
      <w:divBdr>
        <w:top w:val="none" w:sz="0" w:space="0" w:color="auto"/>
        <w:left w:val="none" w:sz="0" w:space="0" w:color="auto"/>
        <w:bottom w:val="none" w:sz="0" w:space="0" w:color="auto"/>
        <w:right w:val="none" w:sz="0" w:space="0" w:color="auto"/>
      </w:divBdr>
    </w:div>
    <w:div w:id="161164546">
      <w:bodyDiv w:val="1"/>
      <w:marLeft w:val="0"/>
      <w:marRight w:val="0"/>
      <w:marTop w:val="0"/>
      <w:marBottom w:val="0"/>
      <w:divBdr>
        <w:top w:val="none" w:sz="0" w:space="0" w:color="auto"/>
        <w:left w:val="none" w:sz="0" w:space="0" w:color="auto"/>
        <w:bottom w:val="none" w:sz="0" w:space="0" w:color="auto"/>
        <w:right w:val="none" w:sz="0" w:space="0" w:color="auto"/>
      </w:divBdr>
    </w:div>
    <w:div w:id="453135130">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032419931">
      <w:bodyDiv w:val="1"/>
      <w:marLeft w:val="0"/>
      <w:marRight w:val="0"/>
      <w:marTop w:val="0"/>
      <w:marBottom w:val="0"/>
      <w:divBdr>
        <w:top w:val="none" w:sz="0" w:space="0" w:color="auto"/>
        <w:left w:val="none" w:sz="0" w:space="0" w:color="auto"/>
        <w:bottom w:val="none" w:sz="0" w:space="0" w:color="auto"/>
        <w:right w:val="none" w:sz="0" w:space="0" w:color="auto"/>
      </w:divBdr>
    </w:div>
    <w:div w:id="106518105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7</cp:revision>
  <cp:lastPrinted>2019-07-03T16:25:00Z</cp:lastPrinted>
  <dcterms:created xsi:type="dcterms:W3CDTF">2020-10-23T16:21:00Z</dcterms:created>
  <dcterms:modified xsi:type="dcterms:W3CDTF">2020-11-10T21:30:00Z</dcterms:modified>
</cp:coreProperties>
</file>